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DE0ED" w14:textId="77777777" w:rsidR="00955AF0" w:rsidRPr="00655E5B" w:rsidRDefault="00955AF0" w:rsidP="00955AF0">
      <w:pPr>
        <w:spacing w:before="120" w:after="120"/>
      </w:pPr>
    </w:p>
    <w:p w14:paraId="31DAA6EF" w14:textId="77777777" w:rsidR="00955AF0" w:rsidRPr="00655E5B" w:rsidRDefault="00955AF0" w:rsidP="00955AF0">
      <w:pPr>
        <w:spacing w:before="120" w:after="120"/>
      </w:pPr>
    </w:p>
    <w:p w14:paraId="2C42F990" w14:textId="77777777" w:rsidR="00955AF0" w:rsidRPr="00655E5B" w:rsidRDefault="00955AF0" w:rsidP="00955AF0">
      <w:pPr>
        <w:spacing w:before="120" w:after="120"/>
      </w:pPr>
    </w:p>
    <w:p w14:paraId="206CE1E1" w14:textId="77777777" w:rsidR="00955AF0" w:rsidRPr="00655E5B" w:rsidRDefault="00955AF0" w:rsidP="00955AF0">
      <w:pPr>
        <w:spacing w:before="120" w:after="120"/>
      </w:pPr>
    </w:p>
    <w:p w14:paraId="0C22430B" w14:textId="77777777" w:rsidR="00955AF0" w:rsidRPr="00655E5B" w:rsidRDefault="00955AF0" w:rsidP="00955AF0">
      <w:pPr>
        <w:spacing w:before="120" w:after="120"/>
      </w:pPr>
    </w:p>
    <w:p w14:paraId="1972A95B" w14:textId="77777777" w:rsidR="00955AF0" w:rsidRPr="00DF06F0" w:rsidRDefault="00955AF0" w:rsidP="00955AF0">
      <w:pPr>
        <w:spacing w:before="120" w:after="120"/>
        <w:rPr>
          <w:sz w:val="40"/>
          <w:szCs w:val="40"/>
        </w:rPr>
      </w:pPr>
    </w:p>
    <w:p w14:paraId="586C70EB" w14:textId="77777777" w:rsidR="00DF06F0" w:rsidRPr="00DF06F0" w:rsidRDefault="00DF06F0" w:rsidP="00DF06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jc w:val="center"/>
        <w:rPr>
          <w:rFonts w:ascii="Times New Roman" w:hAnsi="Times New Roman"/>
          <w:sz w:val="40"/>
          <w:szCs w:val="40"/>
        </w:rPr>
      </w:pPr>
      <w:r w:rsidRPr="00DF06F0">
        <w:rPr>
          <w:rFonts w:ascii="Times New Roman" w:hAnsi="Times New Roman"/>
          <w:sz w:val="40"/>
          <w:szCs w:val="40"/>
        </w:rPr>
        <w:t>Informatīvais ziņojums</w:t>
      </w:r>
    </w:p>
    <w:p w14:paraId="55B272B3" w14:textId="77777777" w:rsidR="00955AF0" w:rsidRPr="00A46CC4" w:rsidRDefault="004359BC" w:rsidP="00FD633D">
      <w:pPr>
        <w:spacing w:before="120" w:after="120"/>
        <w:ind w:firstLine="0"/>
        <w:jc w:val="center"/>
        <w:rPr>
          <w:b/>
          <w:sz w:val="48"/>
          <w:szCs w:val="48"/>
        </w:rPr>
      </w:pPr>
      <w:r w:rsidRPr="00A46CC4">
        <w:rPr>
          <w:b/>
          <w:sz w:val="48"/>
          <w:szCs w:val="48"/>
        </w:rPr>
        <w:t>Stratēģija Latvijas oglekļa mazietilpīgai attīstība</w:t>
      </w:r>
      <w:r w:rsidR="003E1E2B" w:rsidRPr="00A46CC4">
        <w:rPr>
          <w:b/>
          <w:sz w:val="48"/>
          <w:szCs w:val="48"/>
        </w:rPr>
        <w:t>i</w:t>
      </w:r>
      <w:r w:rsidRPr="00A46CC4">
        <w:rPr>
          <w:b/>
          <w:sz w:val="48"/>
          <w:szCs w:val="48"/>
        </w:rPr>
        <w:t xml:space="preserve"> līdz 2050.</w:t>
      </w:r>
      <w:r w:rsidR="00CD1126" w:rsidRPr="00A46CC4">
        <w:rPr>
          <w:b/>
          <w:sz w:val="48"/>
          <w:szCs w:val="48"/>
        </w:rPr>
        <w:t xml:space="preserve"> </w:t>
      </w:r>
      <w:r w:rsidRPr="00A46CC4">
        <w:rPr>
          <w:b/>
          <w:sz w:val="48"/>
          <w:szCs w:val="48"/>
        </w:rPr>
        <w:t>gadam</w:t>
      </w:r>
    </w:p>
    <w:p w14:paraId="39E7246E" w14:textId="77777777" w:rsidR="00955AF0" w:rsidRPr="00A46CC4" w:rsidRDefault="00955AF0" w:rsidP="00955AF0">
      <w:pPr>
        <w:spacing w:before="120" w:after="120"/>
        <w:jc w:val="center"/>
        <w:rPr>
          <w:b/>
          <w:sz w:val="48"/>
          <w:szCs w:val="48"/>
        </w:rPr>
      </w:pPr>
    </w:p>
    <w:p w14:paraId="736D5CE9" w14:textId="77777777" w:rsidR="00955AF0" w:rsidRPr="00A46CC4" w:rsidRDefault="00955AF0" w:rsidP="00955AF0">
      <w:pPr>
        <w:spacing w:before="120" w:after="120"/>
        <w:jc w:val="center"/>
        <w:rPr>
          <w:b/>
          <w:sz w:val="48"/>
          <w:szCs w:val="48"/>
        </w:rPr>
      </w:pPr>
    </w:p>
    <w:p w14:paraId="45924563" w14:textId="77777777" w:rsidR="00955AF0" w:rsidRPr="00A46CC4" w:rsidRDefault="00955AF0" w:rsidP="00955AF0">
      <w:pPr>
        <w:spacing w:before="120" w:after="120"/>
        <w:jc w:val="center"/>
        <w:rPr>
          <w:b/>
          <w:sz w:val="48"/>
          <w:szCs w:val="48"/>
        </w:rPr>
      </w:pPr>
    </w:p>
    <w:p w14:paraId="177CD2CA" w14:textId="77777777" w:rsidR="00955AF0" w:rsidRPr="00A46CC4" w:rsidRDefault="00955AF0" w:rsidP="00955AF0">
      <w:pPr>
        <w:spacing w:before="120" w:after="120"/>
        <w:jc w:val="center"/>
        <w:rPr>
          <w:b/>
          <w:sz w:val="48"/>
          <w:szCs w:val="48"/>
        </w:rPr>
      </w:pPr>
    </w:p>
    <w:p w14:paraId="2AAF5179" w14:textId="77777777" w:rsidR="00955AF0" w:rsidRPr="00A46CC4" w:rsidRDefault="00955AF0" w:rsidP="00955AF0">
      <w:pPr>
        <w:spacing w:before="120" w:after="120"/>
        <w:jc w:val="center"/>
        <w:rPr>
          <w:b/>
          <w:sz w:val="48"/>
          <w:szCs w:val="48"/>
        </w:rPr>
      </w:pPr>
    </w:p>
    <w:p w14:paraId="22D54A61" w14:textId="77777777" w:rsidR="00955AF0" w:rsidRPr="00A46CC4" w:rsidRDefault="00955AF0" w:rsidP="00955AF0">
      <w:pPr>
        <w:spacing w:before="120" w:after="120"/>
        <w:jc w:val="center"/>
        <w:rPr>
          <w:b/>
          <w:sz w:val="48"/>
          <w:szCs w:val="48"/>
        </w:rPr>
      </w:pPr>
    </w:p>
    <w:p w14:paraId="6B932049" w14:textId="77777777" w:rsidR="00955AF0" w:rsidRPr="00A46CC4" w:rsidRDefault="00955AF0" w:rsidP="00955AF0">
      <w:pPr>
        <w:spacing w:before="120" w:after="120"/>
        <w:jc w:val="center"/>
        <w:rPr>
          <w:b/>
          <w:sz w:val="48"/>
          <w:szCs w:val="48"/>
        </w:rPr>
      </w:pPr>
    </w:p>
    <w:p w14:paraId="064A8171" w14:textId="77777777" w:rsidR="00BD64C0" w:rsidRPr="00A46CC4" w:rsidRDefault="00BD64C0" w:rsidP="00955AF0">
      <w:pPr>
        <w:spacing w:before="120" w:after="120"/>
        <w:jc w:val="center"/>
        <w:rPr>
          <w:b/>
          <w:sz w:val="48"/>
          <w:szCs w:val="48"/>
        </w:rPr>
      </w:pPr>
    </w:p>
    <w:p w14:paraId="73547555" w14:textId="77777777" w:rsidR="00BD64C0" w:rsidRPr="00A46CC4" w:rsidRDefault="00BD64C0" w:rsidP="00955AF0">
      <w:pPr>
        <w:spacing w:before="120" w:after="120"/>
        <w:jc w:val="center"/>
        <w:rPr>
          <w:b/>
          <w:sz w:val="48"/>
          <w:szCs w:val="48"/>
        </w:rPr>
      </w:pPr>
    </w:p>
    <w:p w14:paraId="0A26414F" w14:textId="77777777" w:rsidR="00BD64C0" w:rsidRPr="00A46CC4" w:rsidRDefault="00BD64C0" w:rsidP="00955AF0">
      <w:pPr>
        <w:spacing w:before="120" w:after="120"/>
        <w:jc w:val="center"/>
        <w:rPr>
          <w:b/>
          <w:sz w:val="48"/>
          <w:szCs w:val="48"/>
        </w:rPr>
      </w:pPr>
    </w:p>
    <w:p w14:paraId="78A417E3" w14:textId="77777777" w:rsidR="00BD64C0" w:rsidRPr="00A46CC4" w:rsidRDefault="00BD64C0" w:rsidP="00955AF0">
      <w:pPr>
        <w:spacing w:before="120" w:after="120"/>
        <w:jc w:val="center"/>
        <w:rPr>
          <w:b/>
          <w:sz w:val="48"/>
          <w:szCs w:val="48"/>
        </w:rPr>
      </w:pPr>
    </w:p>
    <w:p w14:paraId="4A355567" w14:textId="77777777" w:rsidR="00955AF0" w:rsidRPr="00A46CC4" w:rsidRDefault="00955AF0" w:rsidP="00955AF0">
      <w:pPr>
        <w:spacing w:before="120" w:after="120"/>
        <w:jc w:val="center"/>
        <w:rPr>
          <w:b/>
          <w:sz w:val="48"/>
          <w:szCs w:val="48"/>
        </w:rPr>
      </w:pPr>
    </w:p>
    <w:p w14:paraId="7B1A26A8" w14:textId="6A10D296" w:rsidR="00A65511" w:rsidRPr="00A46CC4" w:rsidRDefault="00C240A3" w:rsidP="00FD633D">
      <w:pPr>
        <w:spacing w:before="120" w:after="120"/>
        <w:ind w:firstLine="0"/>
        <w:jc w:val="center"/>
      </w:pPr>
      <w:r w:rsidRPr="00A46CC4">
        <w:rPr>
          <w:b/>
          <w:szCs w:val="24"/>
        </w:rPr>
        <w:t>2018</w:t>
      </w:r>
    </w:p>
    <w:p w14:paraId="3549FDDB" w14:textId="77777777" w:rsidR="00955AF0" w:rsidRPr="00A46CC4" w:rsidRDefault="004359BC" w:rsidP="00955AF0">
      <w:pPr>
        <w:spacing w:before="120" w:after="120"/>
      </w:pPr>
      <w:r w:rsidRPr="00A46CC4">
        <w:br w:type="page"/>
      </w:r>
    </w:p>
    <w:p w14:paraId="729C9A17" w14:textId="77777777" w:rsidR="006717E2" w:rsidRPr="00A46CC4" w:rsidRDefault="005A51FF" w:rsidP="00172ED4">
      <w:pPr>
        <w:pStyle w:val="TOCHeading"/>
        <w:spacing w:after="240"/>
        <w:rPr>
          <w:rFonts w:ascii="Times New Roman" w:hAnsi="Times New Roman"/>
          <w:color w:val="auto"/>
          <w:sz w:val="32"/>
          <w:szCs w:val="32"/>
        </w:rPr>
      </w:pPr>
      <w:r w:rsidRPr="00A46CC4">
        <w:rPr>
          <w:rFonts w:ascii="Times New Roman" w:hAnsi="Times New Roman"/>
          <w:color w:val="auto"/>
          <w:sz w:val="32"/>
          <w:szCs w:val="32"/>
        </w:rPr>
        <w:lastRenderedPageBreak/>
        <w:t>Saturs</w:t>
      </w:r>
    </w:p>
    <w:p w14:paraId="75B9534E" w14:textId="77777777" w:rsidR="003B27E8" w:rsidRDefault="00953B38">
      <w:pPr>
        <w:pStyle w:val="TOC1"/>
        <w:rPr>
          <w:rFonts w:asciiTheme="minorHAnsi" w:eastAsiaTheme="minorEastAsia" w:hAnsiTheme="minorHAnsi" w:cstheme="minorBidi"/>
          <w:noProof/>
          <w:sz w:val="22"/>
        </w:rPr>
      </w:pPr>
      <w:r w:rsidRPr="00A46CC4">
        <w:fldChar w:fldCharType="begin"/>
      </w:r>
      <w:r w:rsidR="006717E2" w:rsidRPr="00A46CC4">
        <w:instrText xml:space="preserve"> TOC \o "1-3" \h \z \u </w:instrText>
      </w:r>
      <w:r w:rsidRPr="00A46CC4">
        <w:fldChar w:fldCharType="separate"/>
      </w:r>
      <w:hyperlink w:anchor="_Toc523217364" w:history="1">
        <w:r w:rsidR="003B27E8" w:rsidRPr="001C1C8F">
          <w:rPr>
            <w:rStyle w:val="Hyperlink"/>
            <w:noProof/>
          </w:rPr>
          <w:t>Ievads</w:t>
        </w:r>
        <w:r w:rsidR="003B27E8">
          <w:rPr>
            <w:noProof/>
            <w:webHidden/>
          </w:rPr>
          <w:tab/>
        </w:r>
        <w:r w:rsidR="003B27E8">
          <w:rPr>
            <w:noProof/>
            <w:webHidden/>
          </w:rPr>
          <w:fldChar w:fldCharType="begin"/>
        </w:r>
        <w:r w:rsidR="003B27E8">
          <w:rPr>
            <w:noProof/>
            <w:webHidden/>
          </w:rPr>
          <w:instrText xml:space="preserve"> PAGEREF _Toc523217364 \h </w:instrText>
        </w:r>
        <w:r w:rsidR="003B27E8">
          <w:rPr>
            <w:noProof/>
            <w:webHidden/>
          </w:rPr>
        </w:r>
        <w:r w:rsidR="003B27E8">
          <w:rPr>
            <w:noProof/>
            <w:webHidden/>
          </w:rPr>
          <w:fldChar w:fldCharType="separate"/>
        </w:r>
        <w:r w:rsidR="003B27E8">
          <w:rPr>
            <w:noProof/>
            <w:webHidden/>
          </w:rPr>
          <w:t>4</w:t>
        </w:r>
        <w:r w:rsidR="003B27E8">
          <w:rPr>
            <w:noProof/>
            <w:webHidden/>
          </w:rPr>
          <w:fldChar w:fldCharType="end"/>
        </w:r>
      </w:hyperlink>
    </w:p>
    <w:p w14:paraId="61BDD55D" w14:textId="77777777" w:rsidR="003B27E8" w:rsidRDefault="003B27E8">
      <w:pPr>
        <w:pStyle w:val="TOC1"/>
        <w:rPr>
          <w:rFonts w:asciiTheme="minorHAnsi" w:eastAsiaTheme="minorEastAsia" w:hAnsiTheme="minorHAnsi" w:cstheme="minorBidi"/>
          <w:noProof/>
          <w:sz w:val="22"/>
        </w:rPr>
      </w:pPr>
      <w:hyperlink w:anchor="_Toc523217365" w:history="1">
        <w:r w:rsidRPr="001C1C8F">
          <w:rPr>
            <w:rStyle w:val="Hyperlink"/>
            <w:noProof/>
          </w:rPr>
          <w:t>1.</w:t>
        </w:r>
        <w:r>
          <w:rPr>
            <w:rFonts w:asciiTheme="minorHAnsi" w:eastAsiaTheme="minorEastAsia" w:hAnsiTheme="minorHAnsi" w:cstheme="minorBidi"/>
            <w:noProof/>
            <w:sz w:val="22"/>
          </w:rPr>
          <w:tab/>
        </w:r>
        <w:r w:rsidRPr="001C1C8F">
          <w:rPr>
            <w:rStyle w:val="Hyperlink"/>
            <w:noProof/>
          </w:rPr>
          <w:t>OMA stratēģijas mērķis un uzdevumi</w:t>
        </w:r>
        <w:r>
          <w:rPr>
            <w:noProof/>
            <w:webHidden/>
          </w:rPr>
          <w:tab/>
        </w:r>
        <w:r>
          <w:rPr>
            <w:noProof/>
            <w:webHidden/>
          </w:rPr>
          <w:fldChar w:fldCharType="begin"/>
        </w:r>
        <w:r>
          <w:rPr>
            <w:noProof/>
            <w:webHidden/>
          </w:rPr>
          <w:instrText xml:space="preserve"> PAGEREF _Toc523217365 \h </w:instrText>
        </w:r>
        <w:r>
          <w:rPr>
            <w:noProof/>
            <w:webHidden/>
          </w:rPr>
        </w:r>
        <w:r>
          <w:rPr>
            <w:noProof/>
            <w:webHidden/>
          </w:rPr>
          <w:fldChar w:fldCharType="separate"/>
        </w:r>
        <w:r>
          <w:rPr>
            <w:noProof/>
            <w:webHidden/>
          </w:rPr>
          <w:t>6</w:t>
        </w:r>
        <w:r>
          <w:rPr>
            <w:noProof/>
            <w:webHidden/>
          </w:rPr>
          <w:fldChar w:fldCharType="end"/>
        </w:r>
      </w:hyperlink>
    </w:p>
    <w:p w14:paraId="4AAF3EB4" w14:textId="77777777" w:rsidR="003B27E8" w:rsidRDefault="003B27E8">
      <w:pPr>
        <w:pStyle w:val="TOC2"/>
        <w:tabs>
          <w:tab w:val="left" w:pos="1100"/>
        </w:tabs>
        <w:rPr>
          <w:rFonts w:asciiTheme="minorHAnsi" w:eastAsiaTheme="minorEastAsia" w:hAnsiTheme="minorHAnsi" w:cstheme="minorBidi"/>
          <w:noProof/>
          <w:sz w:val="22"/>
        </w:rPr>
      </w:pPr>
      <w:hyperlink w:anchor="_Toc523217366" w:history="1">
        <w:r w:rsidRPr="001C1C8F">
          <w:rPr>
            <w:rStyle w:val="Hyperlink"/>
            <w:rFonts w:eastAsia="Calibri"/>
            <w:noProof/>
          </w:rPr>
          <w:t>1.1.</w:t>
        </w:r>
        <w:r>
          <w:rPr>
            <w:rFonts w:asciiTheme="minorHAnsi" w:eastAsiaTheme="minorEastAsia" w:hAnsiTheme="minorHAnsi" w:cstheme="minorBidi"/>
            <w:noProof/>
            <w:sz w:val="22"/>
          </w:rPr>
          <w:tab/>
        </w:r>
        <w:r w:rsidRPr="001C1C8F">
          <w:rPr>
            <w:rStyle w:val="Hyperlink"/>
            <w:rFonts w:eastAsia="Calibri"/>
            <w:noProof/>
          </w:rPr>
          <w:t>OMA stratēģijas mērķis un īstenošanas indikatori</w:t>
        </w:r>
        <w:r>
          <w:rPr>
            <w:noProof/>
            <w:webHidden/>
          </w:rPr>
          <w:tab/>
        </w:r>
        <w:r>
          <w:rPr>
            <w:noProof/>
            <w:webHidden/>
          </w:rPr>
          <w:fldChar w:fldCharType="begin"/>
        </w:r>
        <w:r>
          <w:rPr>
            <w:noProof/>
            <w:webHidden/>
          </w:rPr>
          <w:instrText xml:space="preserve"> PAGEREF _Toc523217366 \h </w:instrText>
        </w:r>
        <w:r>
          <w:rPr>
            <w:noProof/>
            <w:webHidden/>
          </w:rPr>
        </w:r>
        <w:r>
          <w:rPr>
            <w:noProof/>
            <w:webHidden/>
          </w:rPr>
          <w:fldChar w:fldCharType="separate"/>
        </w:r>
        <w:r>
          <w:rPr>
            <w:noProof/>
            <w:webHidden/>
          </w:rPr>
          <w:t>6</w:t>
        </w:r>
        <w:r>
          <w:rPr>
            <w:noProof/>
            <w:webHidden/>
          </w:rPr>
          <w:fldChar w:fldCharType="end"/>
        </w:r>
      </w:hyperlink>
    </w:p>
    <w:p w14:paraId="40056B23" w14:textId="77777777" w:rsidR="003B27E8" w:rsidRDefault="003B27E8">
      <w:pPr>
        <w:pStyle w:val="TOC2"/>
        <w:tabs>
          <w:tab w:val="left" w:pos="1100"/>
        </w:tabs>
        <w:rPr>
          <w:rFonts w:asciiTheme="minorHAnsi" w:eastAsiaTheme="minorEastAsia" w:hAnsiTheme="minorHAnsi" w:cstheme="minorBidi"/>
          <w:noProof/>
          <w:sz w:val="22"/>
        </w:rPr>
      </w:pPr>
      <w:hyperlink w:anchor="_Toc523217367" w:history="1">
        <w:r w:rsidRPr="001C1C8F">
          <w:rPr>
            <w:rStyle w:val="Hyperlink"/>
            <w:rFonts w:eastAsia="Calibri"/>
            <w:noProof/>
          </w:rPr>
          <w:t>1.2.</w:t>
        </w:r>
        <w:r>
          <w:rPr>
            <w:rFonts w:asciiTheme="minorHAnsi" w:eastAsiaTheme="minorEastAsia" w:hAnsiTheme="minorHAnsi" w:cstheme="minorBidi"/>
            <w:noProof/>
            <w:sz w:val="22"/>
          </w:rPr>
          <w:tab/>
        </w:r>
        <w:r w:rsidRPr="001C1C8F">
          <w:rPr>
            <w:rStyle w:val="Hyperlink"/>
            <w:rFonts w:eastAsia="Calibri"/>
            <w:noProof/>
          </w:rPr>
          <w:t>OMA stratēģijas uzdevumi</w:t>
        </w:r>
        <w:r>
          <w:rPr>
            <w:noProof/>
            <w:webHidden/>
          </w:rPr>
          <w:tab/>
        </w:r>
        <w:r>
          <w:rPr>
            <w:noProof/>
            <w:webHidden/>
          </w:rPr>
          <w:fldChar w:fldCharType="begin"/>
        </w:r>
        <w:r>
          <w:rPr>
            <w:noProof/>
            <w:webHidden/>
          </w:rPr>
          <w:instrText xml:space="preserve"> PAGEREF _Toc523217367 \h </w:instrText>
        </w:r>
        <w:r>
          <w:rPr>
            <w:noProof/>
            <w:webHidden/>
          </w:rPr>
        </w:r>
        <w:r>
          <w:rPr>
            <w:noProof/>
            <w:webHidden/>
          </w:rPr>
          <w:fldChar w:fldCharType="separate"/>
        </w:r>
        <w:r>
          <w:rPr>
            <w:noProof/>
            <w:webHidden/>
          </w:rPr>
          <w:t>7</w:t>
        </w:r>
        <w:r>
          <w:rPr>
            <w:noProof/>
            <w:webHidden/>
          </w:rPr>
          <w:fldChar w:fldCharType="end"/>
        </w:r>
      </w:hyperlink>
    </w:p>
    <w:p w14:paraId="2AEBFF33" w14:textId="77777777" w:rsidR="003B27E8" w:rsidRPr="003B27E8" w:rsidRDefault="003B27E8">
      <w:pPr>
        <w:pStyle w:val="TOC1"/>
        <w:rPr>
          <w:rFonts w:asciiTheme="minorHAnsi" w:eastAsiaTheme="minorEastAsia" w:hAnsiTheme="minorHAnsi" w:cstheme="minorBidi"/>
          <w:noProof/>
          <w:sz w:val="22"/>
        </w:rPr>
      </w:pPr>
      <w:hyperlink w:anchor="_Toc523217368" w:history="1">
        <w:r w:rsidRPr="003B27E8">
          <w:rPr>
            <w:rStyle w:val="Hyperlink"/>
            <w:rFonts w:eastAsia="Calibri"/>
            <w:noProof/>
          </w:rPr>
          <w:t>2.</w:t>
        </w:r>
        <w:r w:rsidRPr="003B27E8">
          <w:rPr>
            <w:rFonts w:asciiTheme="minorHAnsi" w:eastAsiaTheme="minorEastAsia" w:hAnsiTheme="minorHAnsi" w:cstheme="minorBidi"/>
            <w:noProof/>
            <w:sz w:val="22"/>
          </w:rPr>
          <w:tab/>
        </w:r>
        <w:r w:rsidRPr="003B27E8">
          <w:rPr>
            <w:rStyle w:val="Hyperlink"/>
            <w:rFonts w:eastAsia="Calibri"/>
            <w:noProof/>
          </w:rPr>
          <w:t>OMA stratēģijas sasaiste ar esošiem tiesību aktiem un politikas plānošanas dokumentiem</w:t>
        </w:r>
        <w:r w:rsidRPr="003B27E8">
          <w:rPr>
            <w:noProof/>
            <w:webHidden/>
          </w:rPr>
          <w:tab/>
        </w:r>
        <w:r w:rsidRPr="003B27E8">
          <w:rPr>
            <w:noProof/>
            <w:webHidden/>
          </w:rPr>
          <w:fldChar w:fldCharType="begin"/>
        </w:r>
        <w:r w:rsidRPr="003B27E8">
          <w:rPr>
            <w:noProof/>
            <w:webHidden/>
          </w:rPr>
          <w:instrText xml:space="preserve"> PAGEREF _Toc523217368 \h </w:instrText>
        </w:r>
        <w:r w:rsidRPr="003B27E8">
          <w:rPr>
            <w:noProof/>
            <w:webHidden/>
          </w:rPr>
        </w:r>
        <w:r w:rsidRPr="003B27E8">
          <w:rPr>
            <w:noProof/>
            <w:webHidden/>
          </w:rPr>
          <w:fldChar w:fldCharType="separate"/>
        </w:r>
        <w:r w:rsidRPr="003B27E8">
          <w:rPr>
            <w:noProof/>
            <w:webHidden/>
          </w:rPr>
          <w:t>8</w:t>
        </w:r>
        <w:r w:rsidRPr="003B27E8">
          <w:rPr>
            <w:noProof/>
            <w:webHidden/>
          </w:rPr>
          <w:fldChar w:fldCharType="end"/>
        </w:r>
      </w:hyperlink>
    </w:p>
    <w:p w14:paraId="3AAA0711" w14:textId="77777777" w:rsidR="003B27E8" w:rsidRPr="003B27E8" w:rsidRDefault="003B27E8">
      <w:pPr>
        <w:pStyle w:val="TOC1"/>
        <w:rPr>
          <w:rFonts w:asciiTheme="minorHAnsi" w:eastAsiaTheme="minorEastAsia" w:hAnsiTheme="minorHAnsi" w:cstheme="minorBidi"/>
          <w:noProof/>
          <w:sz w:val="22"/>
        </w:rPr>
      </w:pPr>
      <w:hyperlink w:anchor="_Toc523217369" w:history="1">
        <w:r w:rsidRPr="003B27E8">
          <w:rPr>
            <w:rStyle w:val="Hyperlink"/>
            <w:noProof/>
          </w:rPr>
          <w:t>3.</w:t>
        </w:r>
        <w:r w:rsidRPr="003B27E8">
          <w:rPr>
            <w:rFonts w:asciiTheme="minorHAnsi" w:eastAsiaTheme="minorEastAsia" w:hAnsiTheme="minorHAnsi" w:cstheme="minorBidi"/>
            <w:noProof/>
            <w:sz w:val="22"/>
          </w:rPr>
          <w:tab/>
        </w:r>
        <w:r w:rsidRPr="003B27E8">
          <w:rPr>
            <w:rStyle w:val="Hyperlink"/>
            <w:noProof/>
          </w:rPr>
          <w:t>Latvijas progress siltumnīcefekta gāzu emisiju ierobežošanā</w:t>
        </w:r>
        <w:r w:rsidRPr="003B27E8">
          <w:rPr>
            <w:noProof/>
            <w:webHidden/>
          </w:rPr>
          <w:tab/>
        </w:r>
        <w:r w:rsidRPr="003B27E8">
          <w:rPr>
            <w:noProof/>
            <w:webHidden/>
          </w:rPr>
          <w:fldChar w:fldCharType="begin"/>
        </w:r>
        <w:r w:rsidRPr="003B27E8">
          <w:rPr>
            <w:noProof/>
            <w:webHidden/>
          </w:rPr>
          <w:instrText xml:space="preserve"> PAGEREF _Toc523217369 \h </w:instrText>
        </w:r>
        <w:r w:rsidRPr="003B27E8">
          <w:rPr>
            <w:noProof/>
            <w:webHidden/>
          </w:rPr>
        </w:r>
        <w:r w:rsidRPr="003B27E8">
          <w:rPr>
            <w:noProof/>
            <w:webHidden/>
          </w:rPr>
          <w:fldChar w:fldCharType="separate"/>
        </w:r>
        <w:r w:rsidRPr="003B27E8">
          <w:rPr>
            <w:noProof/>
            <w:webHidden/>
          </w:rPr>
          <w:t>12</w:t>
        </w:r>
        <w:r w:rsidRPr="003B27E8">
          <w:rPr>
            <w:noProof/>
            <w:webHidden/>
          </w:rPr>
          <w:fldChar w:fldCharType="end"/>
        </w:r>
      </w:hyperlink>
    </w:p>
    <w:p w14:paraId="27DDF237" w14:textId="77777777" w:rsidR="003B27E8" w:rsidRPr="003B27E8" w:rsidRDefault="003B27E8">
      <w:pPr>
        <w:pStyle w:val="TOC2"/>
        <w:rPr>
          <w:rFonts w:asciiTheme="minorHAnsi" w:eastAsiaTheme="minorEastAsia" w:hAnsiTheme="minorHAnsi" w:cstheme="minorBidi"/>
          <w:noProof/>
          <w:sz w:val="22"/>
        </w:rPr>
      </w:pPr>
      <w:hyperlink w:anchor="_Toc523217370" w:history="1">
        <w:r w:rsidRPr="003B27E8">
          <w:rPr>
            <w:rStyle w:val="Hyperlink"/>
            <w:noProof/>
          </w:rPr>
          <w:t>3.1. SEG emisiju struktūra un dinamika</w:t>
        </w:r>
        <w:r w:rsidRPr="003B27E8">
          <w:rPr>
            <w:noProof/>
            <w:webHidden/>
          </w:rPr>
          <w:tab/>
        </w:r>
        <w:r w:rsidRPr="003B27E8">
          <w:rPr>
            <w:noProof/>
            <w:webHidden/>
          </w:rPr>
          <w:fldChar w:fldCharType="begin"/>
        </w:r>
        <w:r w:rsidRPr="003B27E8">
          <w:rPr>
            <w:noProof/>
            <w:webHidden/>
          </w:rPr>
          <w:instrText xml:space="preserve"> PAGEREF _Toc523217370 \h </w:instrText>
        </w:r>
        <w:r w:rsidRPr="003B27E8">
          <w:rPr>
            <w:noProof/>
            <w:webHidden/>
          </w:rPr>
        </w:r>
        <w:r w:rsidRPr="003B27E8">
          <w:rPr>
            <w:noProof/>
            <w:webHidden/>
          </w:rPr>
          <w:fldChar w:fldCharType="separate"/>
        </w:r>
        <w:r w:rsidRPr="003B27E8">
          <w:rPr>
            <w:noProof/>
            <w:webHidden/>
          </w:rPr>
          <w:t>12</w:t>
        </w:r>
        <w:r w:rsidRPr="003B27E8">
          <w:rPr>
            <w:noProof/>
            <w:webHidden/>
          </w:rPr>
          <w:fldChar w:fldCharType="end"/>
        </w:r>
      </w:hyperlink>
    </w:p>
    <w:p w14:paraId="08A1F60F" w14:textId="77777777" w:rsidR="003B27E8" w:rsidRPr="003B27E8" w:rsidRDefault="003B27E8">
      <w:pPr>
        <w:pStyle w:val="TOC2"/>
        <w:rPr>
          <w:rFonts w:asciiTheme="minorHAnsi" w:eastAsiaTheme="minorEastAsia" w:hAnsiTheme="minorHAnsi" w:cstheme="minorBidi"/>
          <w:noProof/>
          <w:sz w:val="22"/>
        </w:rPr>
      </w:pPr>
      <w:hyperlink w:anchor="_Toc523217371" w:history="1">
        <w:r w:rsidRPr="003B27E8">
          <w:rPr>
            <w:rStyle w:val="Hyperlink"/>
            <w:noProof/>
          </w:rPr>
          <w:t>3.2. CO</w:t>
        </w:r>
        <w:r w:rsidRPr="003B27E8">
          <w:rPr>
            <w:rStyle w:val="Hyperlink"/>
            <w:noProof/>
            <w:vertAlign w:val="subscript"/>
          </w:rPr>
          <w:t>2</w:t>
        </w:r>
        <w:r w:rsidRPr="003B27E8">
          <w:rPr>
            <w:rStyle w:val="Hyperlink"/>
            <w:noProof/>
          </w:rPr>
          <w:t xml:space="preserve"> piesaistes struktūra un dinamika</w:t>
        </w:r>
        <w:r w:rsidRPr="003B27E8">
          <w:rPr>
            <w:noProof/>
            <w:webHidden/>
          </w:rPr>
          <w:tab/>
        </w:r>
        <w:r w:rsidRPr="003B27E8">
          <w:rPr>
            <w:noProof/>
            <w:webHidden/>
          </w:rPr>
          <w:fldChar w:fldCharType="begin"/>
        </w:r>
        <w:r w:rsidRPr="003B27E8">
          <w:rPr>
            <w:noProof/>
            <w:webHidden/>
          </w:rPr>
          <w:instrText xml:space="preserve"> PAGEREF _Toc523217371 \h </w:instrText>
        </w:r>
        <w:r w:rsidRPr="003B27E8">
          <w:rPr>
            <w:noProof/>
            <w:webHidden/>
          </w:rPr>
        </w:r>
        <w:r w:rsidRPr="003B27E8">
          <w:rPr>
            <w:noProof/>
            <w:webHidden/>
          </w:rPr>
          <w:fldChar w:fldCharType="separate"/>
        </w:r>
        <w:r w:rsidRPr="003B27E8">
          <w:rPr>
            <w:noProof/>
            <w:webHidden/>
          </w:rPr>
          <w:t>17</w:t>
        </w:r>
        <w:r w:rsidRPr="003B27E8">
          <w:rPr>
            <w:noProof/>
            <w:webHidden/>
          </w:rPr>
          <w:fldChar w:fldCharType="end"/>
        </w:r>
      </w:hyperlink>
    </w:p>
    <w:p w14:paraId="48695B44" w14:textId="77777777" w:rsidR="003B27E8" w:rsidRPr="003B27E8" w:rsidRDefault="003B27E8">
      <w:pPr>
        <w:pStyle w:val="TOC2"/>
        <w:rPr>
          <w:rFonts w:asciiTheme="minorHAnsi" w:eastAsiaTheme="minorEastAsia" w:hAnsiTheme="minorHAnsi" w:cstheme="minorBidi"/>
          <w:noProof/>
          <w:sz w:val="22"/>
        </w:rPr>
      </w:pPr>
      <w:hyperlink w:anchor="_Toc523217372" w:history="1">
        <w:r w:rsidRPr="003B27E8">
          <w:rPr>
            <w:rStyle w:val="Hyperlink"/>
            <w:noProof/>
          </w:rPr>
          <w:t>3.3. SEG emisiju atsaistes tendences</w:t>
        </w:r>
        <w:r w:rsidRPr="003B27E8">
          <w:rPr>
            <w:noProof/>
            <w:webHidden/>
          </w:rPr>
          <w:tab/>
        </w:r>
        <w:r w:rsidRPr="003B27E8">
          <w:rPr>
            <w:noProof/>
            <w:webHidden/>
          </w:rPr>
          <w:fldChar w:fldCharType="begin"/>
        </w:r>
        <w:r w:rsidRPr="003B27E8">
          <w:rPr>
            <w:noProof/>
            <w:webHidden/>
          </w:rPr>
          <w:instrText xml:space="preserve"> PAGEREF _Toc523217372 \h </w:instrText>
        </w:r>
        <w:r w:rsidRPr="003B27E8">
          <w:rPr>
            <w:noProof/>
            <w:webHidden/>
          </w:rPr>
        </w:r>
        <w:r w:rsidRPr="003B27E8">
          <w:rPr>
            <w:noProof/>
            <w:webHidden/>
          </w:rPr>
          <w:fldChar w:fldCharType="separate"/>
        </w:r>
        <w:r w:rsidRPr="003B27E8">
          <w:rPr>
            <w:noProof/>
            <w:webHidden/>
          </w:rPr>
          <w:t>19</w:t>
        </w:r>
        <w:r w:rsidRPr="003B27E8">
          <w:rPr>
            <w:noProof/>
            <w:webHidden/>
          </w:rPr>
          <w:fldChar w:fldCharType="end"/>
        </w:r>
      </w:hyperlink>
    </w:p>
    <w:p w14:paraId="0CDF13ED" w14:textId="77777777" w:rsidR="003B27E8" w:rsidRPr="003B27E8" w:rsidRDefault="003B27E8">
      <w:pPr>
        <w:pStyle w:val="TOC1"/>
        <w:rPr>
          <w:rFonts w:asciiTheme="minorHAnsi" w:eastAsiaTheme="minorEastAsia" w:hAnsiTheme="minorHAnsi" w:cstheme="minorBidi"/>
          <w:noProof/>
          <w:sz w:val="22"/>
        </w:rPr>
      </w:pPr>
      <w:hyperlink w:anchor="_Toc523217373" w:history="1">
        <w:r w:rsidRPr="003B27E8">
          <w:rPr>
            <w:rStyle w:val="Hyperlink"/>
            <w:noProof/>
          </w:rPr>
          <w:t>4.</w:t>
        </w:r>
        <w:r w:rsidRPr="003B27E8">
          <w:rPr>
            <w:rFonts w:asciiTheme="minorHAnsi" w:eastAsiaTheme="minorEastAsia" w:hAnsiTheme="minorHAnsi" w:cstheme="minorBidi"/>
            <w:noProof/>
            <w:sz w:val="22"/>
          </w:rPr>
          <w:tab/>
        </w:r>
        <w:r w:rsidRPr="003B27E8">
          <w:rPr>
            <w:rStyle w:val="Hyperlink"/>
            <w:noProof/>
          </w:rPr>
          <w:t>Latvijas siltumnīcefekta gāzu emisiju būtiskākie ietekmējošie faktori</w:t>
        </w:r>
        <w:r w:rsidRPr="003B27E8">
          <w:rPr>
            <w:noProof/>
            <w:webHidden/>
          </w:rPr>
          <w:tab/>
        </w:r>
        <w:r w:rsidRPr="003B27E8">
          <w:rPr>
            <w:noProof/>
            <w:webHidden/>
          </w:rPr>
          <w:fldChar w:fldCharType="begin"/>
        </w:r>
        <w:r w:rsidRPr="003B27E8">
          <w:rPr>
            <w:noProof/>
            <w:webHidden/>
          </w:rPr>
          <w:instrText xml:space="preserve"> PAGEREF _Toc523217373 \h </w:instrText>
        </w:r>
        <w:r w:rsidRPr="003B27E8">
          <w:rPr>
            <w:noProof/>
            <w:webHidden/>
          </w:rPr>
        </w:r>
        <w:r w:rsidRPr="003B27E8">
          <w:rPr>
            <w:noProof/>
            <w:webHidden/>
          </w:rPr>
          <w:fldChar w:fldCharType="separate"/>
        </w:r>
        <w:r w:rsidRPr="003B27E8">
          <w:rPr>
            <w:noProof/>
            <w:webHidden/>
          </w:rPr>
          <w:t>21</w:t>
        </w:r>
        <w:r w:rsidRPr="003B27E8">
          <w:rPr>
            <w:noProof/>
            <w:webHidden/>
          </w:rPr>
          <w:fldChar w:fldCharType="end"/>
        </w:r>
      </w:hyperlink>
    </w:p>
    <w:p w14:paraId="650C24DE" w14:textId="77777777" w:rsidR="003B27E8" w:rsidRPr="003B27E8" w:rsidRDefault="003B27E8">
      <w:pPr>
        <w:pStyle w:val="TOC2"/>
        <w:rPr>
          <w:rFonts w:asciiTheme="minorHAnsi" w:eastAsiaTheme="minorEastAsia" w:hAnsiTheme="minorHAnsi" w:cstheme="minorBidi"/>
          <w:noProof/>
          <w:sz w:val="22"/>
        </w:rPr>
      </w:pPr>
      <w:hyperlink w:anchor="_Toc523217374" w:history="1">
        <w:r w:rsidRPr="003B27E8">
          <w:rPr>
            <w:rStyle w:val="Hyperlink"/>
            <w:noProof/>
          </w:rPr>
          <w:t>4.1. Energoresursu patēriņš</w:t>
        </w:r>
        <w:r w:rsidRPr="003B27E8">
          <w:rPr>
            <w:noProof/>
            <w:webHidden/>
          </w:rPr>
          <w:tab/>
        </w:r>
        <w:r w:rsidRPr="003B27E8">
          <w:rPr>
            <w:noProof/>
            <w:webHidden/>
          </w:rPr>
          <w:fldChar w:fldCharType="begin"/>
        </w:r>
        <w:r w:rsidRPr="003B27E8">
          <w:rPr>
            <w:noProof/>
            <w:webHidden/>
          </w:rPr>
          <w:instrText xml:space="preserve"> PAGEREF _Toc523217374 \h </w:instrText>
        </w:r>
        <w:r w:rsidRPr="003B27E8">
          <w:rPr>
            <w:noProof/>
            <w:webHidden/>
          </w:rPr>
        </w:r>
        <w:r w:rsidRPr="003B27E8">
          <w:rPr>
            <w:noProof/>
            <w:webHidden/>
          </w:rPr>
          <w:fldChar w:fldCharType="separate"/>
        </w:r>
        <w:r w:rsidRPr="003B27E8">
          <w:rPr>
            <w:noProof/>
            <w:webHidden/>
          </w:rPr>
          <w:t>21</w:t>
        </w:r>
        <w:r w:rsidRPr="003B27E8">
          <w:rPr>
            <w:noProof/>
            <w:webHidden/>
          </w:rPr>
          <w:fldChar w:fldCharType="end"/>
        </w:r>
      </w:hyperlink>
    </w:p>
    <w:p w14:paraId="1DEF3437" w14:textId="77777777" w:rsidR="003B27E8" w:rsidRPr="003B27E8" w:rsidRDefault="003B27E8">
      <w:pPr>
        <w:pStyle w:val="TOC2"/>
        <w:rPr>
          <w:rFonts w:asciiTheme="minorHAnsi" w:eastAsiaTheme="minorEastAsia" w:hAnsiTheme="minorHAnsi" w:cstheme="minorBidi"/>
          <w:noProof/>
          <w:sz w:val="22"/>
        </w:rPr>
      </w:pPr>
      <w:hyperlink w:anchor="_Toc523217375" w:history="1">
        <w:r w:rsidRPr="003B27E8">
          <w:rPr>
            <w:rStyle w:val="Hyperlink"/>
            <w:noProof/>
          </w:rPr>
          <w:t>4.3. Rūpnieciskās ražošanas izejvielu izmantošana</w:t>
        </w:r>
        <w:r w:rsidRPr="003B27E8">
          <w:rPr>
            <w:noProof/>
            <w:webHidden/>
          </w:rPr>
          <w:tab/>
        </w:r>
        <w:r w:rsidRPr="003B27E8">
          <w:rPr>
            <w:noProof/>
            <w:webHidden/>
          </w:rPr>
          <w:fldChar w:fldCharType="begin"/>
        </w:r>
        <w:r w:rsidRPr="003B27E8">
          <w:rPr>
            <w:noProof/>
            <w:webHidden/>
          </w:rPr>
          <w:instrText xml:space="preserve"> PAGEREF _Toc523217375 \h </w:instrText>
        </w:r>
        <w:r w:rsidRPr="003B27E8">
          <w:rPr>
            <w:noProof/>
            <w:webHidden/>
          </w:rPr>
        </w:r>
        <w:r w:rsidRPr="003B27E8">
          <w:rPr>
            <w:noProof/>
            <w:webHidden/>
          </w:rPr>
          <w:fldChar w:fldCharType="separate"/>
        </w:r>
        <w:r w:rsidRPr="003B27E8">
          <w:rPr>
            <w:noProof/>
            <w:webHidden/>
          </w:rPr>
          <w:t>25</w:t>
        </w:r>
        <w:r w:rsidRPr="003B27E8">
          <w:rPr>
            <w:noProof/>
            <w:webHidden/>
          </w:rPr>
          <w:fldChar w:fldCharType="end"/>
        </w:r>
      </w:hyperlink>
    </w:p>
    <w:p w14:paraId="7CB2D41B" w14:textId="77777777" w:rsidR="003B27E8" w:rsidRPr="003B27E8" w:rsidRDefault="003B27E8">
      <w:pPr>
        <w:pStyle w:val="TOC2"/>
        <w:rPr>
          <w:rFonts w:asciiTheme="minorHAnsi" w:eastAsiaTheme="minorEastAsia" w:hAnsiTheme="minorHAnsi" w:cstheme="minorBidi"/>
          <w:noProof/>
          <w:sz w:val="22"/>
        </w:rPr>
      </w:pPr>
      <w:hyperlink w:anchor="_Toc523217376" w:history="1">
        <w:r w:rsidRPr="003B27E8">
          <w:rPr>
            <w:rStyle w:val="Hyperlink"/>
            <w:noProof/>
          </w:rPr>
          <w:t>4.4. Ķīmisko vielu un saldēšanas aģentu patēriņš</w:t>
        </w:r>
        <w:r w:rsidRPr="003B27E8">
          <w:rPr>
            <w:noProof/>
            <w:webHidden/>
          </w:rPr>
          <w:tab/>
        </w:r>
        <w:r w:rsidRPr="003B27E8">
          <w:rPr>
            <w:noProof/>
            <w:webHidden/>
          </w:rPr>
          <w:fldChar w:fldCharType="begin"/>
        </w:r>
        <w:r w:rsidRPr="003B27E8">
          <w:rPr>
            <w:noProof/>
            <w:webHidden/>
          </w:rPr>
          <w:instrText xml:space="preserve"> PAGEREF _Toc523217376 \h </w:instrText>
        </w:r>
        <w:r w:rsidRPr="003B27E8">
          <w:rPr>
            <w:noProof/>
            <w:webHidden/>
          </w:rPr>
        </w:r>
        <w:r w:rsidRPr="003B27E8">
          <w:rPr>
            <w:noProof/>
            <w:webHidden/>
          </w:rPr>
          <w:fldChar w:fldCharType="separate"/>
        </w:r>
        <w:r w:rsidRPr="003B27E8">
          <w:rPr>
            <w:noProof/>
            <w:webHidden/>
          </w:rPr>
          <w:t>26</w:t>
        </w:r>
        <w:r w:rsidRPr="003B27E8">
          <w:rPr>
            <w:noProof/>
            <w:webHidden/>
          </w:rPr>
          <w:fldChar w:fldCharType="end"/>
        </w:r>
      </w:hyperlink>
    </w:p>
    <w:p w14:paraId="737FFD80" w14:textId="77777777" w:rsidR="003B27E8" w:rsidRPr="003B27E8" w:rsidRDefault="003B27E8">
      <w:pPr>
        <w:pStyle w:val="TOC2"/>
        <w:rPr>
          <w:rFonts w:asciiTheme="minorHAnsi" w:eastAsiaTheme="minorEastAsia" w:hAnsiTheme="minorHAnsi" w:cstheme="minorBidi"/>
          <w:noProof/>
          <w:sz w:val="22"/>
        </w:rPr>
      </w:pPr>
      <w:hyperlink w:anchor="_Toc523217377" w:history="1">
        <w:r w:rsidRPr="003B27E8">
          <w:rPr>
            <w:rStyle w:val="Hyperlink"/>
            <w:noProof/>
          </w:rPr>
          <w:t>4.5. Atkritumu radīšana</w:t>
        </w:r>
        <w:r w:rsidRPr="003B27E8">
          <w:rPr>
            <w:noProof/>
            <w:webHidden/>
          </w:rPr>
          <w:tab/>
        </w:r>
        <w:r w:rsidRPr="003B27E8">
          <w:rPr>
            <w:noProof/>
            <w:webHidden/>
          </w:rPr>
          <w:fldChar w:fldCharType="begin"/>
        </w:r>
        <w:r w:rsidRPr="003B27E8">
          <w:rPr>
            <w:noProof/>
            <w:webHidden/>
          </w:rPr>
          <w:instrText xml:space="preserve"> PAGEREF _Toc523217377 \h </w:instrText>
        </w:r>
        <w:r w:rsidRPr="003B27E8">
          <w:rPr>
            <w:noProof/>
            <w:webHidden/>
          </w:rPr>
        </w:r>
        <w:r w:rsidRPr="003B27E8">
          <w:rPr>
            <w:noProof/>
            <w:webHidden/>
          </w:rPr>
          <w:fldChar w:fldCharType="separate"/>
        </w:r>
        <w:r w:rsidRPr="003B27E8">
          <w:rPr>
            <w:noProof/>
            <w:webHidden/>
          </w:rPr>
          <w:t>27</w:t>
        </w:r>
        <w:r w:rsidRPr="003B27E8">
          <w:rPr>
            <w:noProof/>
            <w:webHidden/>
          </w:rPr>
          <w:fldChar w:fldCharType="end"/>
        </w:r>
      </w:hyperlink>
    </w:p>
    <w:p w14:paraId="102D14B5" w14:textId="77777777" w:rsidR="003B27E8" w:rsidRPr="003B27E8" w:rsidRDefault="003B27E8">
      <w:pPr>
        <w:pStyle w:val="TOC2"/>
        <w:rPr>
          <w:rFonts w:asciiTheme="minorHAnsi" w:eastAsiaTheme="minorEastAsia" w:hAnsiTheme="minorHAnsi" w:cstheme="minorBidi"/>
          <w:noProof/>
          <w:sz w:val="22"/>
        </w:rPr>
      </w:pPr>
      <w:hyperlink w:anchor="_Toc523217378" w:history="1">
        <w:r w:rsidRPr="003B27E8">
          <w:rPr>
            <w:rStyle w:val="Hyperlink"/>
            <w:noProof/>
          </w:rPr>
          <w:t>4.6. Pārtikas produktu ražošana</w:t>
        </w:r>
        <w:r w:rsidRPr="003B27E8">
          <w:rPr>
            <w:noProof/>
            <w:webHidden/>
          </w:rPr>
          <w:tab/>
        </w:r>
        <w:r w:rsidRPr="003B27E8">
          <w:rPr>
            <w:noProof/>
            <w:webHidden/>
          </w:rPr>
          <w:fldChar w:fldCharType="begin"/>
        </w:r>
        <w:r w:rsidRPr="003B27E8">
          <w:rPr>
            <w:noProof/>
            <w:webHidden/>
          </w:rPr>
          <w:instrText xml:space="preserve"> PAGEREF _Toc523217378 \h </w:instrText>
        </w:r>
        <w:r w:rsidRPr="003B27E8">
          <w:rPr>
            <w:noProof/>
            <w:webHidden/>
          </w:rPr>
        </w:r>
        <w:r w:rsidRPr="003B27E8">
          <w:rPr>
            <w:noProof/>
            <w:webHidden/>
          </w:rPr>
          <w:fldChar w:fldCharType="separate"/>
        </w:r>
        <w:r w:rsidRPr="003B27E8">
          <w:rPr>
            <w:noProof/>
            <w:webHidden/>
          </w:rPr>
          <w:t>27</w:t>
        </w:r>
        <w:r w:rsidRPr="003B27E8">
          <w:rPr>
            <w:noProof/>
            <w:webHidden/>
          </w:rPr>
          <w:fldChar w:fldCharType="end"/>
        </w:r>
      </w:hyperlink>
    </w:p>
    <w:p w14:paraId="2C802B50" w14:textId="77777777" w:rsidR="003B27E8" w:rsidRPr="003B27E8" w:rsidRDefault="003B27E8">
      <w:pPr>
        <w:pStyle w:val="TOC1"/>
        <w:rPr>
          <w:rFonts w:asciiTheme="minorHAnsi" w:eastAsiaTheme="minorEastAsia" w:hAnsiTheme="minorHAnsi" w:cstheme="minorBidi"/>
          <w:noProof/>
          <w:sz w:val="22"/>
        </w:rPr>
      </w:pPr>
      <w:hyperlink w:anchor="_Toc523217379" w:history="1">
        <w:r w:rsidRPr="003B27E8">
          <w:rPr>
            <w:rStyle w:val="Hyperlink"/>
            <w:noProof/>
          </w:rPr>
          <w:t>5.</w:t>
        </w:r>
        <w:r w:rsidRPr="003B27E8">
          <w:rPr>
            <w:rFonts w:asciiTheme="minorHAnsi" w:eastAsiaTheme="minorEastAsia" w:hAnsiTheme="minorHAnsi" w:cstheme="minorBidi"/>
            <w:noProof/>
            <w:sz w:val="22"/>
          </w:rPr>
          <w:tab/>
        </w:r>
        <w:r w:rsidRPr="003B27E8">
          <w:rPr>
            <w:rStyle w:val="Hyperlink"/>
            <w:noProof/>
          </w:rPr>
          <w:t>Risinājumi oglekļa mazietilpīgas attīstības nodrošināšanai</w:t>
        </w:r>
        <w:r w:rsidRPr="003B27E8">
          <w:rPr>
            <w:noProof/>
            <w:webHidden/>
          </w:rPr>
          <w:tab/>
        </w:r>
        <w:r w:rsidRPr="003B27E8">
          <w:rPr>
            <w:noProof/>
            <w:webHidden/>
          </w:rPr>
          <w:fldChar w:fldCharType="begin"/>
        </w:r>
        <w:r w:rsidRPr="003B27E8">
          <w:rPr>
            <w:noProof/>
            <w:webHidden/>
          </w:rPr>
          <w:instrText xml:space="preserve"> PAGEREF _Toc523217379 \h </w:instrText>
        </w:r>
        <w:r w:rsidRPr="003B27E8">
          <w:rPr>
            <w:noProof/>
            <w:webHidden/>
          </w:rPr>
        </w:r>
        <w:r w:rsidRPr="003B27E8">
          <w:rPr>
            <w:noProof/>
            <w:webHidden/>
          </w:rPr>
          <w:fldChar w:fldCharType="separate"/>
        </w:r>
        <w:r w:rsidRPr="003B27E8">
          <w:rPr>
            <w:noProof/>
            <w:webHidden/>
          </w:rPr>
          <w:t>30</w:t>
        </w:r>
        <w:r w:rsidRPr="003B27E8">
          <w:rPr>
            <w:noProof/>
            <w:webHidden/>
          </w:rPr>
          <w:fldChar w:fldCharType="end"/>
        </w:r>
      </w:hyperlink>
    </w:p>
    <w:p w14:paraId="4C0A6172" w14:textId="77777777" w:rsidR="003B27E8" w:rsidRPr="003B27E8" w:rsidRDefault="003B27E8">
      <w:pPr>
        <w:pStyle w:val="TOC2"/>
        <w:rPr>
          <w:rFonts w:asciiTheme="minorHAnsi" w:eastAsiaTheme="minorEastAsia" w:hAnsiTheme="minorHAnsi" w:cstheme="minorBidi"/>
          <w:noProof/>
          <w:sz w:val="22"/>
        </w:rPr>
      </w:pPr>
      <w:hyperlink w:anchor="_Toc523217380" w:history="1">
        <w:r w:rsidRPr="003B27E8">
          <w:rPr>
            <w:rStyle w:val="Hyperlink"/>
            <w:noProof/>
          </w:rPr>
          <w:t>5.1. Ilgtspējīga enerģētika</w:t>
        </w:r>
        <w:r w:rsidRPr="003B27E8">
          <w:rPr>
            <w:noProof/>
            <w:webHidden/>
          </w:rPr>
          <w:tab/>
        </w:r>
        <w:r w:rsidRPr="003B27E8">
          <w:rPr>
            <w:noProof/>
            <w:webHidden/>
          </w:rPr>
          <w:fldChar w:fldCharType="begin"/>
        </w:r>
        <w:r w:rsidRPr="003B27E8">
          <w:rPr>
            <w:noProof/>
            <w:webHidden/>
          </w:rPr>
          <w:instrText xml:space="preserve"> PAGEREF _Toc523217380 \h </w:instrText>
        </w:r>
        <w:r w:rsidRPr="003B27E8">
          <w:rPr>
            <w:noProof/>
            <w:webHidden/>
          </w:rPr>
        </w:r>
        <w:r w:rsidRPr="003B27E8">
          <w:rPr>
            <w:noProof/>
            <w:webHidden/>
          </w:rPr>
          <w:fldChar w:fldCharType="separate"/>
        </w:r>
        <w:r w:rsidRPr="003B27E8">
          <w:rPr>
            <w:noProof/>
            <w:webHidden/>
          </w:rPr>
          <w:t>30</w:t>
        </w:r>
        <w:r w:rsidRPr="003B27E8">
          <w:rPr>
            <w:noProof/>
            <w:webHidden/>
          </w:rPr>
          <w:fldChar w:fldCharType="end"/>
        </w:r>
      </w:hyperlink>
    </w:p>
    <w:p w14:paraId="454933E5" w14:textId="77777777" w:rsidR="003B27E8" w:rsidRPr="003B27E8" w:rsidRDefault="003B27E8">
      <w:pPr>
        <w:pStyle w:val="TOC2"/>
        <w:rPr>
          <w:rFonts w:asciiTheme="minorHAnsi" w:eastAsiaTheme="minorEastAsia" w:hAnsiTheme="minorHAnsi" w:cstheme="minorBidi"/>
          <w:noProof/>
          <w:sz w:val="22"/>
        </w:rPr>
      </w:pPr>
      <w:hyperlink w:anchor="_Toc523217381" w:history="1">
        <w:r w:rsidRPr="003B27E8">
          <w:rPr>
            <w:rStyle w:val="Hyperlink"/>
            <w:noProof/>
          </w:rPr>
          <w:t>5.2. Visaptveroša energoefektivitāte</w:t>
        </w:r>
        <w:r w:rsidRPr="003B27E8">
          <w:rPr>
            <w:noProof/>
            <w:webHidden/>
          </w:rPr>
          <w:tab/>
        </w:r>
        <w:r w:rsidRPr="003B27E8">
          <w:rPr>
            <w:noProof/>
            <w:webHidden/>
          </w:rPr>
          <w:fldChar w:fldCharType="begin"/>
        </w:r>
        <w:r w:rsidRPr="003B27E8">
          <w:rPr>
            <w:noProof/>
            <w:webHidden/>
          </w:rPr>
          <w:instrText xml:space="preserve"> PAGEREF _Toc523217381 \h </w:instrText>
        </w:r>
        <w:r w:rsidRPr="003B27E8">
          <w:rPr>
            <w:noProof/>
            <w:webHidden/>
          </w:rPr>
        </w:r>
        <w:r w:rsidRPr="003B27E8">
          <w:rPr>
            <w:noProof/>
            <w:webHidden/>
          </w:rPr>
          <w:fldChar w:fldCharType="separate"/>
        </w:r>
        <w:r w:rsidRPr="003B27E8">
          <w:rPr>
            <w:noProof/>
            <w:webHidden/>
          </w:rPr>
          <w:t>31</w:t>
        </w:r>
        <w:r w:rsidRPr="003B27E8">
          <w:rPr>
            <w:noProof/>
            <w:webHidden/>
          </w:rPr>
          <w:fldChar w:fldCharType="end"/>
        </w:r>
      </w:hyperlink>
    </w:p>
    <w:p w14:paraId="2458BE19" w14:textId="77777777" w:rsidR="003B27E8" w:rsidRPr="003B27E8" w:rsidRDefault="003B27E8">
      <w:pPr>
        <w:pStyle w:val="TOC2"/>
        <w:rPr>
          <w:rFonts w:asciiTheme="minorHAnsi" w:eastAsiaTheme="minorEastAsia" w:hAnsiTheme="minorHAnsi" w:cstheme="minorBidi"/>
          <w:noProof/>
          <w:sz w:val="22"/>
        </w:rPr>
      </w:pPr>
      <w:hyperlink w:anchor="_Toc523217382" w:history="1">
        <w:r w:rsidRPr="003B27E8">
          <w:rPr>
            <w:rStyle w:val="Hyperlink"/>
            <w:noProof/>
          </w:rPr>
          <w:t>5.3. Resursefektīvs un videi draudzīgs transports</w:t>
        </w:r>
        <w:r w:rsidRPr="003B27E8">
          <w:rPr>
            <w:noProof/>
            <w:webHidden/>
          </w:rPr>
          <w:tab/>
        </w:r>
        <w:r w:rsidRPr="003B27E8">
          <w:rPr>
            <w:noProof/>
            <w:webHidden/>
          </w:rPr>
          <w:fldChar w:fldCharType="begin"/>
        </w:r>
        <w:r w:rsidRPr="003B27E8">
          <w:rPr>
            <w:noProof/>
            <w:webHidden/>
          </w:rPr>
          <w:instrText xml:space="preserve"> PAGEREF _Toc523217382 \h </w:instrText>
        </w:r>
        <w:r w:rsidRPr="003B27E8">
          <w:rPr>
            <w:noProof/>
            <w:webHidden/>
          </w:rPr>
        </w:r>
        <w:r w:rsidRPr="003B27E8">
          <w:rPr>
            <w:noProof/>
            <w:webHidden/>
          </w:rPr>
          <w:fldChar w:fldCharType="separate"/>
        </w:r>
        <w:r w:rsidRPr="003B27E8">
          <w:rPr>
            <w:noProof/>
            <w:webHidden/>
          </w:rPr>
          <w:t>32</w:t>
        </w:r>
        <w:r w:rsidRPr="003B27E8">
          <w:rPr>
            <w:noProof/>
            <w:webHidden/>
          </w:rPr>
          <w:fldChar w:fldCharType="end"/>
        </w:r>
      </w:hyperlink>
    </w:p>
    <w:p w14:paraId="7B8179C1" w14:textId="77777777" w:rsidR="003B27E8" w:rsidRPr="003B27E8" w:rsidRDefault="003B27E8">
      <w:pPr>
        <w:pStyle w:val="TOC2"/>
        <w:rPr>
          <w:rFonts w:asciiTheme="minorHAnsi" w:eastAsiaTheme="minorEastAsia" w:hAnsiTheme="minorHAnsi" w:cstheme="minorBidi"/>
          <w:noProof/>
          <w:sz w:val="22"/>
        </w:rPr>
      </w:pPr>
      <w:hyperlink w:anchor="_Toc523217383" w:history="1">
        <w:r w:rsidRPr="003B27E8">
          <w:rPr>
            <w:rStyle w:val="Hyperlink"/>
            <w:bCs/>
            <w:noProof/>
          </w:rPr>
          <w:t>5.4. Ilgtspējīga zemes apsaimniekošana</w:t>
        </w:r>
        <w:r w:rsidRPr="003B27E8">
          <w:rPr>
            <w:noProof/>
            <w:webHidden/>
          </w:rPr>
          <w:tab/>
        </w:r>
        <w:r w:rsidRPr="003B27E8">
          <w:rPr>
            <w:noProof/>
            <w:webHidden/>
          </w:rPr>
          <w:fldChar w:fldCharType="begin"/>
        </w:r>
        <w:r w:rsidRPr="003B27E8">
          <w:rPr>
            <w:noProof/>
            <w:webHidden/>
          </w:rPr>
          <w:instrText xml:space="preserve"> PAGEREF _Toc523217383 \h </w:instrText>
        </w:r>
        <w:r w:rsidRPr="003B27E8">
          <w:rPr>
            <w:noProof/>
            <w:webHidden/>
          </w:rPr>
        </w:r>
        <w:r w:rsidRPr="003B27E8">
          <w:rPr>
            <w:noProof/>
            <w:webHidden/>
          </w:rPr>
          <w:fldChar w:fldCharType="separate"/>
        </w:r>
        <w:r w:rsidRPr="003B27E8">
          <w:rPr>
            <w:noProof/>
            <w:webHidden/>
          </w:rPr>
          <w:t>35</w:t>
        </w:r>
        <w:r w:rsidRPr="003B27E8">
          <w:rPr>
            <w:noProof/>
            <w:webHidden/>
          </w:rPr>
          <w:fldChar w:fldCharType="end"/>
        </w:r>
      </w:hyperlink>
    </w:p>
    <w:p w14:paraId="3128D58E" w14:textId="77777777" w:rsidR="003B27E8" w:rsidRPr="003B27E8" w:rsidRDefault="003B27E8">
      <w:pPr>
        <w:pStyle w:val="TOC2"/>
        <w:rPr>
          <w:rFonts w:asciiTheme="minorHAnsi" w:eastAsiaTheme="minorEastAsia" w:hAnsiTheme="minorHAnsi" w:cstheme="minorBidi"/>
          <w:noProof/>
          <w:sz w:val="22"/>
        </w:rPr>
      </w:pPr>
      <w:hyperlink w:anchor="_Toc523217384" w:history="1">
        <w:r w:rsidRPr="003B27E8">
          <w:rPr>
            <w:rStyle w:val="Hyperlink"/>
            <w:noProof/>
          </w:rPr>
          <w:t>5.5. Ilgtspējīgs patēriņš un ražošana</w:t>
        </w:r>
        <w:r w:rsidRPr="003B27E8">
          <w:rPr>
            <w:noProof/>
            <w:webHidden/>
          </w:rPr>
          <w:tab/>
        </w:r>
        <w:r w:rsidRPr="003B27E8">
          <w:rPr>
            <w:noProof/>
            <w:webHidden/>
          </w:rPr>
          <w:fldChar w:fldCharType="begin"/>
        </w:r>
        <w:r w:rsidRPr="003B27E8">
          <w:rPr>
            <w:noProof/>
            <w:webHidden/>
          </w:rPr>
          <w:instrText xml:space="preserve"> PAGEREF _Toc523217384 \h </w:instrText>
        </w:r>
        <w:r w:rsidRPr="003B27E8">
          <w:rPr>
            <w:noProof/>
            <w:webHidden/>
          </w:rPr>
        </w:r>
        <w:r w:rsidRPr="003B27E8">
          <w:rPr>
            <w:noProof/>
            <w:webHidden/>
          </w:rPr>
          <w:fldChar w:fldCharType="separate"/>
        </w:r>
        <w:r w:rsidRPr="003B27E8">
          <w:rPr>
            <w:noProof/>
            <w:webHidden/>
          </w:rPr>
          <w:t>37</w:t>
        </w:r>
        <w:r w:rsidRPr="003B27E8">
          <w:rPr>
            <w:noProof/>
            <w:webHidden/>
          </w:rPr>
          <w:fldChar w:fldCharType="end"/>
        </w:r>
      </w:hyperlink>
    </w:p>
    <w:p w14:paraId="0695668E" w14:textId="77777777" w:rsidR="003B27E8" w:rsidRPr="003B27E8" w:rsidRDefault="003B27E8">
      <w:pPr>
        <w:pStyle w:val="TOC2"/>
        <w:rPr>
          <w:rFonts w:asciiTheme="minorHAnsi" w:eastAsiaTheme="minorEastAsia" w:hAnsiTheme="minorHAnsi" w:cstheme="minorBidi"/>
          <w:noProof/>
          <w:sz w:val="22"/>
        </w:rPr>
      </w:pPr>
      <w:hyperlink w:anchor="_Toc523217385" w:history="1">
        <w:r w:rsidRPr="003B27E8">
          <w:rPr>
            <w:rStyle w:val="Hyperlink"/>
            <w:noProof/>
          </w:rPr>
          <w:t>5.6. Pētniecība un inovācijas oglekļa mazietilpīgās tehnoloģijās</w:t>
        </w:r>
        <w:r w:rsidRPr="003B27E8">
          <w:rPr>
            <w:noProof/>
            <w:webHidden/>
          </w:rPr>
          <w:tab/>
        </w:r>
        <w:r w:rsidRPr="003B27E8">
          <w:rPr>
            <w:noProof/>
            <w:webHidden/>
          </w:rPr>
          <w:fldChar w:fldCharType="begin"/>
        </w:r>
        <w:r w:rsidRPr="003B27E8">
          <w:rPr>
            <w:noProof/>
            <w:webHidden/>
          </w:rPr>
          <w:instrText xml:space="preserve"> PAGEREF _Toc523217385 \h </w:instrText>
        </w:r>
        <w:r w:rsidRPr="003B27E8">
          <w:rPr>
            <w:noProof/>
            <w:webHidden/>
          </w:rPr>
        </w:r>
        <w:r w:rsidRPr="003B27E8">
          <w:rPr>
            <w:noProof/>
            <w:webHidden/>
          </w:rPr>
          <w:fldChar w:fldCharType="separate"/>
        </w:r>
        <w:r w:rsidRPr="003B27E8">
          <w:rPr>
            <w:noProof/>
            <w:webHidden/>
          </w:rPr>
          <w:t>38</w:t>
        </w:r>
        <w:r w:rsidRPr="003B27E8">
          <w:rPr>
            <w:noProof/>
            <w:webHidden/>
          </w:rPr>
          <w:fldChar w:fldCharType="end"/>
        </w:r>
      </w:hyperlink>
    </w:p>
    <w:p w14:paraId="2C8C1161" w14:textId="77777777" w:rsidR="003B27E8" w:rsidRPr="003B27E8" w:rsidRDefault="003B27E8">
      <w:pPr>
        <w:pStyle w:val="TOC1"/>
        <w:rPr>
          <w:rFonts w:asciiTheme="minorHAnsi" w:eastAsiaTheme="minorEastAsia" w:hAnsiTheme="minorHAnsi" w:cstheme="minorBidi"/>
          <w:noProof/>
          <w:sz w:val="22"/>
        </w:rPr>
      </w:pPr>
      <w:hyperlink w:anchor="_Toc523217386" w:history="1">
        <w:r w:rsidRPr="003B27E8">
          <w:rPr>
            <w:rStyle w:val="Hyperlink"/>
            <w:noProof/>
          </w:rPr>
          <w:t>6.</w:t>
        </w:r>
        <w:r w:rsidRPr="003B27E8">
          <w:rPr>
            <w:rFonts w:asciiTheme="minorHAnsi" w:eastAsiaTheme="minorEastAsia" w:hAnsiTheme="minorHAnsi" w:cstheme="minorBidi"/>
            <w:noProof/>
            <w:sz w:val="22"/>
          </w:rPr>
          <w:tab/>
        </w:r>
        <w:r w:rsidRPr="003B27E8">
          <w:rPr>
            <w:rStyle w:val="Hyperlink"/>
            <w:noProof/>
          </w:rPr>
          <w:t>Stratēģijas īstenošana un pārskats</w:t>
        </w:r>
        <w:r w:rsidRPr="003B27E8">
          <w:rPr>
            <w:noProof/>
            <w:webHidden/>
          </w:rPr>
          <w:tab/>
        </w:r>
        <w:r w:rsidRPr="003B27E8">
          <w:rPr>
            <w:noProof/>
            <w:webHidden/>
          </w:rPr>
          <w:fldChar w:fldCharType="begin"/>
        </w:r>
        <w:r w:rsidRPr="003B27E8">
          <w:rPr>
            <w:noProof/>
            <w:webHidden/>
          </w:rPr>
          <w:instrText xml:space="preserve"> PAGEREF _Toc523217386 \h </w:instrText>
        </w:r>
        <w:r w:rsidRPr="003B27E8">
          <w:rPr>
            <w:noProof/>
            <w:webHidden/>
          </w:rPr>
        </w:r>
        <w:r w:rsidRPr="003B27E8">
          <w:rPr>
            <w:noProof/>
            <w:webHidden/>
          </w:rPr>
          <w:fldChar w:fldCharType="separate"/>
        </w:r>
        <w:r w:rsidRPr="003B27E8">
          <w:rPr>
            <w:noProof/>
            <w:webHidden/>
          </w:rPr>
          <w:t>41</w:t>
        </w:r>
        <w:r w:rsidRPr="003B27E8">
          <w:rPr>
            <w:noProof/>
            <w:webHidden/>
          </w:rPr>
          <w:fldChar w:fldCharType="end"/>
        </w:r>
      </w:hyperlink>
    </w:p>
    <w:p w14:paraId="14838E22" w14:textId="77777777" w:rsidR="003B27E8" w:rsidRPr="003B27E8" w:rsidRDefault="003B27E8">
      <w:pPr>
        <w:pStyle w:val="TOC2"/>
        <w:rPr>
          <w:rFonts w:asciiTheme="minorHAnsi" w:eastAsiaTheme="minorEastAsia" w:hAnsiTheme="minorHAnsi" w:cstheme="minorBidi"/>
          <w:noProof/>
          <w:sz w:val="22"/>
        </w:rPr>
      </w:pPr>
      <w:hyperlink w:anchor="_Toc523217387" w:history="1">
        <w:r w:rsidRPr="003B27E8">
          <w:rPr>
            <w:rStyle w:val="Hyperlink"/>
            <w:noProof/>
          </w:rPr>
          <w:t>6.1. Stratēģijas īstenošanā iesaistītās puses</w:t>
        </w:r>
        <w:r w:rsidRPr="003B27E8">
          <w:rPr>
            <w:noProof/>
            <w:webHidden/>
          </w:rPr>
          <w:tab/>
        </w:r>
        <w:r w:rsidRPr="003B27E8">
          <w:rPr>
            <w:noProof/>
            <w:webHidden/>
          </w:rPr>
          <w:fldChar w:fldCharType="begin"/>
        </w:r>
        <w:r w:rsidRPr="003B27E8">
          <w:rPr>
            <w:noProof/>
            <w:webHidden/>
          </w:rPr>
          <w:instrText xml:space="preserve"> PAGEREF _Toc523217387 \h </w:instrText>
        </w:r>
        <w:r w:rsidRPr="003B27E8">
          <w:rPr>
            <w:noProof/>
            <w:webHidden/>
          </w:rPr>
        </w:r>
        <w:r w:rsidRPr="003B27E8">
          <w:rPr>
            <w:noProof/>
            <w:webHidden/>
          </w:rPr>
          <w:fldChar w:fldCharType="separate"/>
        </w:r>
        <w:r w:rsidRPr="003B27E8">
          <w:rPr>
            <w:noProof/>
            <w:webHidden/>
          </w:rPr>
          <w:t>41</w:t>
        </w:r>
        <w:r w:rsidRPr="003B27E8">
          <w:rPr>
            <w:noProof/>
            <w:webHidden/>
          </w:rPr>
          <w:fldChar w:fldCharType="end"/>
        </w:r>
      </w:hyperlink>
    </w:p>
    <w:p w14:paraId="15F0644E" w14:textId="77777777" w:rsidR="003B27E8" w:rsidRPr="003B27E8" w:rsidRDefault="003B27E8">
      <w:pPr>
        <w:pStyle w:val="TOC2"/>
        <w:rPr>
          <w:rFonts w:asciiTheme="minorHAnsi" w:eastAsiaTheme="minorEastAsia" w:hAnsiTheme="minorHAnsi" w:cstheme="minorBidi"/>
          <w:noProof/>
          <w:sz w:val="22"/>
        </w:rPr>
      </w:pPr>
      <w:hyperlink w:anchor="_Toc523217388" w:history="1">
        <w:r w:rsidRPr="003B27E8">
          <w:rPr>
            <w:rStyle w:val="Hyperlink"/>
            <w:noProof/>
          </w:rPr>
          <w:t>6.2. Stratēģijas īstenošanā izmantojamie instrumenti</w:t>
        </w:r>
        <w:r w:rsidRPr="003B27E8">
          <w:rPr>
            <w:noProof/>
            <w:webHidden/>
          </w:rPr>
          <w:tab/>
        </w:r>
        <w:r w:rsidRPr="003B27E8">
          <w:rPr>
            <w:noProof/>
            <w:webHidden/>
          </w:rPr>
          <w:fldChar w:fldCharType="begin"/>
        </w:r>
        <w:r w:rsidRPr="003B27E8">
          <w:rPr>
            <w:noProof/>
            <w:webHidden/>
          </w:rPr>
          <w:instrText xml:space="preserve"> PAGEREF _Toc523217388 \h </w:instrText>
        </w:r>
        <w:r w:rsidRPr="003B27E8">
          <w:rPr>
            <w:noProof/>
            <w:webHidden/>
          </w:rPr>
        </w:r>
        <w:r w:rsidRPr="003B27E8">
          <w:rPr>
            <w:noProof/>
            <w:webHidden/>
          </w:rPr>
          <w:fldChar w:fldCharType="separate"/>
        </w:r>
        <w:r w:rsidRPr="003B27E8">
          <w:rPr>
            <w:noProof/>
            <w:webHidden/>
          </w:rPr>
          <w:t>42</w:t>
        </w:r>
        <w:r w:rsidRPr="003B27E8">
          <w:rPr>
            <w:noProof/>
            <w:webHidden/>
          </w:rPr>
          <w:fldChar w:fldCharType="end"/>
        </w:r>
      </w:hyperlink>
    </w:p>
    <w:p w14:paraId="4244AF6B" w14:textId="77777777" w:rsidR="003B27E8" w:rsidRPr="003B27E8" w:rsidRDefault="003B27E8">
      <w:pPr>
        <w:pStyle w:val="TOC2"/>
        <w:rPr>
          <w:rFonts w:asciiTheme="minorHAnsi" w:eastAsiaTheme="minorEastAsia" w:hAnsiTheme="minorHAnsi" w:cstheme="minorBidi"/>
          <w:noProof/>
          <w:sz w:val="22"/>
        </w:rPr>
      </w:pPr>
      <w:hyperlink w:anchor="_Toc523217389" w:history="1">
        <w:r w:rsidRPr="003B27E8">
          <w:rPr>
            <w:rStyle w:val="Hyperlink"/>
            <w:noProof/>
          </w:rPr>
          <w:t>6.3. Stratēģijas pārskats</w:t>
        </w:r>
        <w:r w:rsidRPr="003B27E8">
          <w:rPr>
            <w:noProof/>
            <w:webHidden/>
          </w:rPr>
          <w:tab/>
        </w:r>
        <w:r w:rsidRPr="003B27E8">
          <w:rPr>
            <w:noProof/>
            <w:webHidden/>
          </w:rPr>
          <w:fldChar w:fldCharType="begin"/>
        </w:r>
        <w:r w:rsidRPr="003B27E8">
          <w:rPr>
            <w:noProof/>
            <w:webHidden/>
          </w:rPr>
          <w:instrText xml:space="preserve"> PAGEREF _Toc523217389 \h </w:instrText>
        </w:r>
        <w:r w:rsidRPr="003B27E8">
          <w:rPr>
            <w:noProof/>
            <w:webHidden/>
          </w:rPr>
        </w:r>
        <w:r w:rsidRPr="003B27E8">
          <w:rPr>
            <w:noProof/>
            <w:webHidden/>
          </w:rPr>
          <w:fldChar w:fldCharType="separate"/>
        </w:r>
        <w:r w:rsidRPr="003B27E8">
          <w:rPr>
            <w:noProof/>
            <w:webHidden/>
          </w:rPr>
          <w:t>44</w:t>
        </w:r>
        <w:r w:rsidRPr="003B27E8">
          <w:rPr>
            <w:noProof/>
            <w:webHidden/>
          </w:rPr>
          <w:fldChar w:fldCharType="end"/>
        </w:r>
      </w:hyperlink>
    </w:p>
    <w:p w14:paraId="600A86B8" w14:textId="77777777" w:rsidR="003B27E8" w:rsidRPr="003B27E8" w:rsidRDefault="003B27E8">
      <w:pPr>
        <w:pStyle w:val="TOC1"/>
        <w:rPr>
          <w:rFonts w:asciiTheme="minorHAnsi" w:eastAsiaTheme="minorEastAsia" w:hAnsiTheme="minorHAnsi" w:cstheme="minorBidi"/>
          <w:noProof/>
          <w:sz w:val="22"/>
        </w:rPr>
      </w:pPr>
      <w:hyperlink w:anchor="_Toc523217390" w:history="1">
        <w:r w:rsidRPr="003B27E8">
          <w:rPr>
            <w:rStyle w:val="Hyperlink"/>
            <w:noProof/>
          </w:rPr>
          <w:t>7.</w:t>
        </w:r>
        <w:r w:rsidRPr="003B27E8">
          <w:rPr>
            <w:rFonts w:asciiTheme="minorHAnsi" w:eastAsiaTheme="minorEastAsia" w:hAnsiTheme="minorHAnsi" w:cstheme="minorBidi"/>
            <w:noProof/>
            <w:sz w:val="22"/>
          </w:rPr>
          <w:tab/>
        </w:r>
        <w:r w:rsidRPr="003B27E8">
          <w:rPr>
            <w:rStyle w:val="Hyperlink"/>
            <w:noProof/>
          </w:rPr>
          <w:t>Sabiedrības līdzdalība</w:t>
        </w:r>
        <w:r w:rsidRPr="003B27E8">
          <w:rPr>
            <w:noProof/>
            <w:webHidden/>
          </w:rPr>
          <w:tab/>
        </w:r>
        <w:r w:rsidRPr="003B27E8">
          <w:rPr>
            <w:noProof/>
            <w:webHidden/>
          </w:rPr>
          <w:fldChar w:fldCharType="begin"/>
        </w:r>
        <w:r w:rsidRPr="003B27E8">
          <w:rPr>
            <w:noProof/>
            <w:webHidden/>
          </w:rPr>
          <w:instrText xml:space="preserve"> PAGEREF _Toc523217390 \h </w:instrText>
        </w:r>
        <w:r w:rsidRPr="003B27E8">
          <w:rPr>
            <w:noProof/>
            <w:webHidden/>
          </w:rPr>
        </w:r>
        <w:r w:rsidRPr="003B27E8">
          <w:rPr>
            <w:noProof/>
            <w:webHidden/>
          </w:rPr>
          <w:fldChar w:fldCharType="separate"/>
        </w:r>
        <w:r w:rsidRPr="003B27E8">
          <w:rPr>
            <w:noProof/>
            <w:webHidden/>
          </w:rPr>
          <w:t>45</w:t>
        </w:r>
        <w:r w:rsidRPr="003B27E8">
          <w:rPr>
            <w:noProof/>
            <w:webHidden/>
          </w:rPr>
          <w:fldChar w:fldCharType="end"/>
        </w:r>
      </w:hyperlink>
    </w:p>
    <w:p w14:paraId="238C6CC9" w14:textId="77777777" w:rsidR="00FB4DD8" w:rsidRPr="00A46CC4" w:rsidRDefault="00953B38" w:rsidP="00172ED4">
      <w:r w:rsidRPr="00A46CC4">
        <w:fldChar w:fldCharType="end"/>
      </w:r>
      <w:r w:rsidR="004359BC" w:rsidRPr="00A46CC4">
        <w:br w:type="page"/>
      </w:r>
    </w:p>
    <w:p w14:paraId="126D7F03" w14:textId="492915D1" w:rsidR="00016142" w:rsidRPr="00A46CC4" w:rsidRDefault="00016142" w:rsidP="00B72B4F">
      <w:pPr>
        <w:spacing w:before="120" w:after="120"/>
        <w:rPr>
          <w:rFonts w:eastAsia="Calibri"/>
          <w:color w:val="000000"/>
          <w:szCs w:val="24"/>
        </w:rPr>
      </w:pPr>
      <w:r w:rsidRPr="00A46CC4">
        <w:rPr>
          <w:szCs w:val="24"/>
        </w:rPr>
        <w:lastRenderedPageBreak/>
        <w:t>Stratēģija Latvijas oglekļa mazi</w:t>
      </w:r>
      <w:r w:rsidR="00970696">
        <w:rPr>
          <w:szCs w:val="24"/>
        </w:rPr>
        <w:t>etilpīgai attīstībai līdz 2050. </w:t>
      </w:r>
      <w:r w:rsidRPr="00A46CC4">
        <w:rPr>
          <w:szCs w:val="24"/>
        </w:rPr>
        <w:t>gadam (turpmāk</w:t>
      </w:r>
      <w:r w:rsidR="00970696">
        <w:rPr>
          <w:szCs w:val="24"/>
        </w:rPr>
        <w:t> </w:t>
      </w:r>
      <w:r w:rsidRPr="00A46CC4">
        <w:rPr>
          <w:szCs w:val="24"/>
        </w:rPr>
        <w:t>–</w:t>
      </w:r>
      <w:r w:rsidR="00970696">
        <w:rPr>
          <w:szCs w:val="24"/>
        </w:rPr>
        <w:t> </w:t>
      </w:r>
      <w:r w:rsidRPr="00A46CC4">
        <w:rPr>
          <w:szCs w:val="24"/>
        </w:rPr>
        <w:t xml:space="preserve">OMA stratēģija) ir dokuments ilgtermiņa politikas plānošanai, </w:t>
      </w:r>
      <w:r w:rsidRPr="00A46CC4">
        <w:rPr>
          <w:rFonts w:eastAsia="Calibri"/>
          <w:color w:val="000000"/>
          <w:szCs w:val="24"/>
        </w:rPr>
        <w:t>kas ir izstrādāts sas</w:t>
      </w:r>
      <w:r w:rsidR="00970696">
        <w:rPr>
          <w:rFonts w:eastAsia="Calibri"/>
          <w:color w:val="000000"/>
          <w:szCs w:val="24"/>
        </w:rPr>
        <w:t>kaņā ar Ministru kabineta 2016. </w:t>
      </w:r>
      <w:r w:rsidRPr="00A46CC4">
        <w:rPr>
          <w:rFonts w:eastAsia="Calibri"/>
          <w:color w:val="000000"/>
          <w:szCs w:val="24"/>
        </w:rPr>
        <w:t>gada 3.</w:t>
      </w:r>
      <w:r w:rsidR="00970696">
        <w:rPr>
          <w:rFonts w:eastAsia="Calibri"/>
          <w:color w:val="000000"/>
          <w:szCs w:val="24"/>
        </w:rPr>
        <w:t> </w:t>
      </w:r>
      <w:r w:rsidRPr="00A46CC4">
        <w:rPr>
          <w:rFonts w:eastAsia="Calibri"/>
          <w:color w:val="000000"/>
          <w:szCs w:val="24"/>
        </w:rPr>
        <w:t>maija rīkojumu Nr.</w:t>
      </w:r>
      <w:r w:rsidR="00970696">
        <w:rPr>
          <w:rFonts w:eastAsia="Calibri"/>
          <w:color w:val="000000"/>
          <w:szCs w:val="24"/>
        </w:rPr>
        <w:t> </w:t>
      </w:r>
      <w:r w:rsidRPr="00A46CC4">
        <w:rPr>
          <w:rFonts w:eastAsia="Calibri"/>
          <w:color w:val="000000"/>
          <w:szCs w:val="24"/>
        </w:rPr>
        <w:t>275 “Par Valdības rīcības plānu Deklarācijas par Māra Kučinska vadītā Ministru kabineta iecerēto darbību īstenošanai”</w:t>
      </w:r>
      <w:r w:rsidRPr="00A46CC4">
        <w:rPr>
          <w:rStyle w:val="FootnoteReference"/>
          <w:rFonts w:eastAsia="Calibri"/>
          <w:color w:val="000000"/>
          <w:szCs w:val="24"/>
        </w:rPr>
        <w:footnoteReference w:id="1"/>
      </w:r>
      <w:r w:rsidRPr="00A46CC4">
        <w:rPr>
          <w:rFonts w:eastAsia="Calibri"/>
          <w:color w:val="000000"/>
          <w:szCs w:val="24"/>
        </w:rPr>
        <w:t xml:space="preserve"> (deklarācijā dotā uzdevuma numurs 004, Pasākuma numurs 4.1.). </w:t>
      </w:r>
    </w:p>
    <w:p w14:paraId="4D92B467" w14:textId="205799D4" w:rsidR="00016142" w:rsidRPr="00A46CC4" w:rsidRDefault="00B72B4F" w:rsidP="00BE463D">
      <w:pPr>
        <w:spacing w:before="120" w:after="120"/>
        <w:rPr>
          <w:rFonts w:eastAsia="Calibri"/>
          <w:color w:val="000000"/>
          <w:szCs w:val="24"/>
        </w:rPr>
      </w:pPr>
      <w:r w:rsidRPr="00A46CC4">
        <w:rPr>
          <w:rFonts w:eastAsia="Calibri"/>
          <w:color w:val="000000"/>
          <w:szCs w:val="24"/>
        </w:rPr>
        <w:t>Starptautiski</w:t>
      </w:r>
      <w:r w:rsidR="00970696">
        <w:rPr>
          <w:rFonts w:eastAsia="Calibri"/>
          <w:color w:val="000000"/>
          <w:szCs w:val="24"/>
        </w:rPr>
        <w:t xml:space="preserve"> un Eiropas Savienības (turpmāk </w:t>
      </w:r>
      <w:r w:rsidRPr="00A46CC4">
        <w:rPr>
          <w:rFonts w:eastAsia="Calibri"/>
          <w:color w:val="000000"/>
          <w:szCs w:val="24"/>
        </w:rPr>
        <w:t>–</w:t>
      </w:r>
      <w:r w:rsidR="00970696">
        <w:rPr>
          <w:rFonts w:eastAsia="Calibri"/>
          <w:color w:val="000000"/>
          <w:szCs w:val="24"/>
        </w:rPr>
        <w:t> </w:t>
      </w:r>
      <w:r w:rsidRPr="00A46CC4">
        <w:rPr>
          <w:rFonts w:eastAsia="Calibri"/>
          <w:color w:val="000000"/>
          <w:szCs w:val="24"/>
        </w:rPr>
        <w:t xml:space="preserve">ES) līmenī </w:t>
      </w:r>
      <w:r w:rsidR="00BB63CC" w:rsidRPr="00A46CC4">
        <w:rPr>
          <w:rFonts w:eastAsia="Calibri"/>
          <w:color w:val="000000"/>
          <w:szCs w:val="24"/>
        </w:rPr>
        <w:t>OMA s</w:t>
      </w:r>
      <w:r w:rsidR="00016142" w:rsidRPr="00A46CC4">
        <w:rPr>
          <w:rFonts w:eastAsia="Calibri"/>
          <w:color w:val="000000"/>
          <w:szCs w:val="24"/>
        </w:rPr>
        <w:t>tratēģijas izstrādi nosaka arī A</w:t>
      </w:r>
      <w:r w:rsidR="00284B0B">
        <w:rPr>
          <w:rFonts w:eastAsia="Calibri"/>
          <w:color w:val="000000"/>
          <w:szCs w:val="24"/>
        </w:rPr>
        <w:t>pvienoto Nāciju Organizācijas</w:t>
      </w:r>
      <w:r w:rsidR="00016142" w:rsidRPr="00A46CC4">
        <w:rPr>
          <w:rFonts w:eastAsia="Calibri"/>
          <w:color w:val="000000"/>
          <w:szCs w:val="24"/>
        </w:rPr>
        <w:t xml:space="preserve"> Vispārējās konvencijas par klimata pārmaiņām (turpmāk</w:t>
      </w:r>
      <w:r w:rsidR="00970696">
        <w:rPr>
          <w:rFonts w:eastAsia="Calibri"/>
          <w:color w:val="000000"/>
          <w:szCs w:val="24"/>
        </w:rPr>
        <w:t> </w:t>
      </w:r>
      <w:r w:rsidR="00016142" w:rsidRPr="00A46CC4">
        <w:rPr>
          <w:rFonts w:eastAsia="Calibri"/>
          <w:color w:val="000000"/>
          <w:szCs w:val="24"/>
        </w:rPr>
        <w:t>–</w:t>
      </w:r>
      <w:r w:rsidR="00970696">
        <w:rPr>
          <w:rFonts w:eastAsia="Calibri"/>
          <w:color w:val="000000"/>
          <w:szCs w:val="24"/>
        </w:rPr>
        <w:t> </w:t>
      </w:r>
      <w:r w:rsidR="00016142" w:rsidRPr="00A46CC4">
        <w:rPr>
          <w:rFonts w:eastAsia="Calibri"/>
          <w:color w:val="000000"/>
          <w:szCs w:val="24"/>
        </w:rPr>
        <w:t>Konvencija) Parīzes nolīgums un Eiropas Parlamenta un Padomes regulas Nr.525/2013</w:t>
      </w:r>
      <w:r w:rsidR="00016142" w:rsidRPr="00A46CC4">
        <w:rPr>
          <w:rStyle w:val="FootnoteReference"/>
          <w:rFonts w:eastAsia="Calibri"/>
          <w:color w:val="000000"/>
          <w:szCs w:val="24"/>
        </w:rPr>
        <w:footnoteReference w:id="2"/>
      </w:r>
      <w:r w:rsidR="00970696">
        <w:rPr>
          <w:rFonts w:eastAsia="Calibri"/>
          <w:color w:val="000000"/>
          <w:szCs w:val="24"/>
        </w:rPr>
        <w:t xml:space="preserve"> 4. </w:t>
      </w:r>
      <w:r w:rsidR="00016142" w:rsidRPr="00A46CC4">
        <w:rPr>
          <w:rFonts w:eastAsia="Calibri"/>
          <w:color w:val="000000"/>
          <w:szCs w:val="24"/>
        </w:rPr>
        <w:t>pants, kur ir noteikts, ka ES dalībvalstis saskaņā ar visiem ziņošanas noteikumiem, par ko panākta starptautiska vienošanās Konvencijas līgumslēdzējpušu procesā, izstrādā savas OMA stratēģijas, lai veicinātu:</w:t>
      </w:r>
    </w:p>
    <w:p w14:paraId="3D459E4E" w14:textId="7E6DFF6F" w:rsidR="00016142" w:rsidRPr="00A46CC4" w:rsidRDefault="00016142" w:rsidP="00970696">
      <w:pPr>
        <w:pStyle w:val="ListParagraph"/>
        <w:numPr>
          <w:ilvl w:val="0"/>
          <w:numId w:val="22"/>
        </w:numPr>
        <w:spacing w:before="120" w:after="120"/>
        <w:ind w:left="851" w:hanging="340"/>
        <w:contextualSpacing w:val="0"/>
        <w:rPr>
          <w:rFonts w:eastAsia="Calibri"/>
          <w:bCs/>
          <w:szCs w:val="24"/>
        </w:rPr>
      </w:pPr>
      <w:r w:rsidRPr="00A46CC4">
        <w:rPr>
          <w:rFonts w:eastAsia="Calibri"/>
          <w:color w:val="000000"/>
          <w:szCs w:val="24"/>
        </w:rPr>
        <w:t xml:space="preserve">pārredzamu un precīzu pārraudzību attiecībā uz dalībvalstu faktisko un prognozēto progresu, tostarp attiecībā uz ieguldījumu, ko devuši ES pasākumi, izpildot ES un dalībvalstu saistības atbilstīgi Konvencijai ierobežot vai samazināt antropogēnās </w:t>
      </w:r>
      <w:r w:rsidRPr="00A46CC4">
        <w:rPr>
          <w:szCs w:val="24"/>
        </w:rPr>
        <w:t>siltumnīcefekta gāzu (turpmāk</w:t>
      </w:r>
      <w:r w:rsidR="00970696">
        <w:rPr>
          <w:szCs w:val="24"/>
        </w:rPr>
        <w:t> </w:t>
      </w:r>
      <w:r w:rsidRPr="00A46CC4">
        <w:rPr>
          <w:szCs w:val="24"/>
        </w:rPr>
        <w:t>–</w:t>
      </w:r>
      <w:r w:rsidR="00970696">
        <w:rPr>
          <w:szCs w:val="24"/>
        </w:rPr>
        <w:t> </w:t>
      </w:r>
      <w:r w:rsidRPr="00A46CC4">
        <w:rPr>
          <w:szCs w:val="24"/>
        </w:rPr>
        <w:t>SEG) emisijas</w:t>
      </w:r>
      <w:r w:rsidRPr="00A46CC4">
        <w:rPr>
          <w:rStyle w:val="FootnoteReference"/>
          <w:szCs w:val="24"/>
        </w:rPr>
        <w:footnoteReference w:id="3"/>
      </w:r>
      <w:r w:rsidRPr="00A46CC4">
        <w:rPr>
          <w:rFonts w:eastAsia="Calibri"/>
          <w:color w:val="000000"/>
          <w:szCs w:val="24"/>
        </w:rPr>
        <w:t>;</w:t>
      </w:r>
    </w:p>
    <w:p w14:paraId="2A603EC4" w14:textId="26AE49F7" w:rsidR="00AE4337" w:rsidRPr="00A46CC4" w:rsidRDefault="00016142" w:rsidP="00970696">
      <w:pPr>
        <w:pStyle w:val="ListParagraph"/>
        <w:numPr>
          <w:ilvl w:val="0"/>
          <w:numId w:val="22"/>
        </w:numPr>
        <w:spacing w:before="120" w:after="120"/>
        <w:ind w:left="851" w:hanging="340"/>
        <w:contextualSpacing w:val="0"/>
        <w:rPr>
          <w:rFonts w:eastAsia="Calibri"/>
          <w:bCs/>
          <w:szCs w:val="24"/>
        </w:rPr>
      </w:pPr>
      <w:r w:rsidRPr="00A46CC4">
        <w:rPr>
          <w:rFonts w:eastAsia="Calibri"/>
          <w:color w:val="000000"/>
          <w:szCs w:val="24"/>
        </w:rPr>
        <w:t>SEG emisiju samazināšanas saistību izpildi dalībvalstīs un lielāku oglekļa dioksīda (turpmāk</w:t>
      </w:r>
      <w:r w:rsidR="00970696">
        <w:rPr>
          <w:rFonts w:eastAsia="Calibri"/>
          <w:color w:val="000000"/>
          <w:szCs w:val="24"/>
        </w:rPr>
        <w:t> </w:t>
      </w:r>
      <w:r w:rsidRPr="00A46CC4">
        <w:rPr>
          <w:rFonts w:eastAsia="Calibri"/>
          <w:color w:val="000000"/>
          <w:szCs w:val="24"/>
        </w:rPr>
        <w:t>–</w:t>
      </w:r>
      <w:r w:rsidR="00970696">
        <w:rPr>
          <w:rFonts w:eastAsia="Calibri"/>
          <w:color w:val="000000"/>
          <w:szCs w:val="24"/>
        </w:rPr>
        <w:t> </w:t>
      </w:r>
      <w:r w:rsidRPr="00A46CC4">
        <w:rPr>
          <w:rFonts w:eastAsia="Calibri"/>
          <w:color w:val="000000"/>
          <w:szCs w:val="24"/>
        </w:rPr>
        <w:t>CO</w:t>
      </w:r>
      <w:r w:rsidRPr="00A46CC4">
        <w:rPr>
          <w:rFonts w:eastAsia="Calibri"/>
          <w:color w:val="000000"/>
          <w:szCs w:val="24"/>
          <w:vertAlign w:val="subscript"/>
        </w:rPr>
        <w:t>2</w:t>
      </w:r>
      <w:r w:rsidRPr="00A46CC4">
        <w:rPr>
          <w:rFonts w:eastAsia="Calibri"/>
          <w:color w:val="000000"/>
          <w:szCs w:val="24"/>
        </w:rPr>
        <w:t>) piesaisti vi</w:t>
      </w:r>
      <w:r w:rsidR="00970696">
        <w:rPr>
          <w:rFonts w:eastAsia="Calibri"/>
          <w:color w:val="000000"/>
          <w:szCs w:val="24"/>
        </w:rPr>
        <w:t>sās nozarēs saskaņā ar ES mērķi </w:t>
      </w:r>
      <w:r w:rsidRPr="00A46CC4">
        <w:rPr>
          <w:rFonts w:eastAsia="Calibri"/>
          <w:color w:val="000000"/>
          <w:szCs w:val="24"/>
        </w:rPr>
        <w:t>–</w:t>
      </w:r>
      <w:r w:rsidR="00970696">
        <w:rPr>
          <w:rFonts w:eastAsia="Calibri"/>
          <w:color w:val="000000"/>
          <w:szCs w:val="24"/>
        </w:rPr>
        <w:t> </w:t>
      </w:r>
      <w:r w:rsidRPr="00A46CC4">
        <w:rPr>
          <w:rFonts w:eastAsia="Calibri"/>
          <w:color w:val="000000"/>
          <w:szCs w:val="24"/>
        </w:rPr>
        <w:t>izmaksu ziņā efektīvā veidā līdz 2050.</w:t>
      </w:r>
      <w:r w:rsidR="00970696">
        <w:rPr>
          <w:rFonts w:eastAsia="Calibri"/>
          <w:color w:val="000000"/>
          <w:szCs w:val="24"/>
        </w:rPr>
        <w:t> </w:t>
      </w:r>
      <w:r w:rsidRPr="00A46CC4">
        <w:rPr>
          <w:rFonts w:eastAsia="Calibri"/>
          <w:color w:val="000000"/>
          <w:szCs w:val="24"/>
        </w:rPr>
        <w:t>gadam samazināt SEG emisijas par 80</w:t>
      </w:r>
      <w:r w:rsidR="00970696">
        <w:rPr>
          <w:rFonts w:eastAsia="Calibri"/>
          <w:color w:val="000000"/>
          <w:szCs w:val="24"/>
        </w:rPr>
        <w:t xml:space="preserve"> līdz 95 %, salīdzinot ar 1990. </w:t>
      </w:r>
      <w:r w:rsidRPr="00A46CC4">
        <w:rPr>
          <w:rFonts w:eastAsia="Calibri"/>
          <w:color w:val="000000"/>
          <w:szCs w:val="24"/>
        </w:rPr>
        <w:t xml:space="preserve">gada līmeni. </w:t>
      </w:r>
    </w:p>
    <w:p w14:paraId="2CCF8A1E" w14:textId="3E2D4B3A" w:rsidR="00AE4337" w:rsidRPr="00A46CC4" w:rsidRDefault="00AE4337" w:rsidP="00BE463D">
      <w:pPr>
        <w:spacing w:before="120" w:after="120"/>
        <w:rPr>
          <w:rFonts w:eastAsia="Calibri"/>
          <w:bCs/>
          <w:szCs w:val="24"/>
        </w:rPr>
      </w:pPr>
      <w:r w:rsidRPr="00A46CC4">
        <w:rPr>
          <w:rFonts w:eastAsia="Calibri"/>
          <w:bCs/>
          <w:szCs w:val="24"/>
        </w:rPr>
        <w:t>Saskaņā ar Konvencijas līgumslēdzējpušu lēmum</w:t>
      </w:r>
      <w:r w:rsidR="005970D7" w:rsidRPr="00A46CC4">
        <w:rPr>
          <w:rFonts w:eastAsia="Calibri"/>
          <w:bCs/>
          <w:szCs w:val="24"/>
        </w:rPr>
        <w:t>a</w:t>
      </w:r>
      <w:r w:rsidR="00B36B9A">
        <w:rPr>
          <w:rFonts w:eastAsia="Calibri"/>
          <w:bCs/>
          <w:szCs w:val="24"/>
        </w:rPr>
        <w:t xml:space="preserve"> Nr.</w:t>
      </w:r>
      <w:r w:rsidR="00970696">
        <w:rPr>
          <w:rFonts w:eastAsia="Calibri"/>
          <w:bCs/>
          <w:szCs w:val="24"/>
        </w:rPr>
        <w:t> </w:t>
      </w:r>
      <w:r w:rsidR="00B36B9A">
        <w:rPr>
          <w:rFonts w:eastAsia="Calibri"/>
          <w:bCs/>
          <w:szCs w:val="24"/>
        </w:rPr>
        <w:t>1/CP.</w:t>
      </w:r>
      <w:r w:rsidRPr="00A46CC4">
        <w:rPr>
          <w:rFonts w:eastAsia="Calibri"/>
          <w:bCs/>
          <w:szCs w:val="24"/>
        </w:rPr>
        <w:t>2</w:t>
      </w:r>
      <w:r w:rsidR="00B36B9A">
        <w:rPr>
          <w:rFonts w:eastAsia="Calibri"/>
          <w:bCs/>
          <w:szCs w:val="24"/>
        </w:rPr>
        <w:t>1</w:t>
      </w:r>
      <w:r w:rsidRPr="00A46CC4">
        <w:rPr>
          <w:rStyle w:val="FootnoteReference"/>
          <w:rFonts w:eastAsia="Calibri"/>
          <w:bCs/>
          <w:szCs w:val="24"/>
        </w:rPr>
        <w:footnoteReference w:id="4"/>
      </w:r>
      <w:r w:rsidRPr="00A46CC4">
        <w:rPr>
          <w:rFonts w:eastAsia="Calibri"/>
          <w:bCs/>
          <w:szCs w:val="24"/>
        </w:rPr>
        <w:t xml:space="preserve"> </w:t>
      </w:r>
      <w:r w:rsidR="005970D7" w:rsidRPr="00A46CC4">
        <w:rPr>
          <w:rFonts w:eastAsia="Calibri"/>
          <w:bCs/>
          <w:szCs w:val="24"/>
        </w:rPr>
        <w:t>35.punktu OMA stratēģijas, kas izstrādāta termiņam līdz 21.</w:t>
      </w:r>
      <w:r w:rsidR="00970696">
        <w:rPr>
          <w:rFonts w:eastAsia="Calibri"/>
          <w:bCs/>
          <w:szCs w:val="24"/>
        </w:rPr>
        <w:t> </w:t>
      </w:r>
      <w:r w:rsidR="005970D7" w:rsidRPr="00A46CC4">
        <w:rPr>
          <w:rFonts w:eastAsia="Calibri"/>
          <w:bCs/>
          <w:szCs w:val="24"/>
        </w:rPr>
        <w:t>gadsim</w:t>
      </w:r>
      <w:r w:rsidR="006C3301" w:rsidRPr="00A46CC4">
        <w:rPr>
          <w:rFonts w:eastAsia="Calibri"/>
          <w:bCs/>
          <w:szCs w:val="24"/>
        </w:rPr>
        <w:t>t</w:t>
      </w:r>
      <w:r w:rsidR="005970D7" w:rsidRPr="00A46CC4">
        <w:rPr>
          <w:rFonts w:eastAsia="Calibri"/>
          <w:bCs/>
          <w:szCs w:val="24"/>
        </w:rPr>
        <w:t>a vidum, ir jāiesniedz Konvencijas sekretariātā</w:t>
      </w:r>
      <w:r w:rsidR="006C3301" w:rsidRPr="00A46CC4">
        <w:rPr>
          <w:rFonts w:eastAsia="Calibri"/>
          <w:bCs/>
          <w:szCs w:val="24"/>
        </w:rPr>
        <w:t xml:space="preserve"> līdz 2020.</w:t>
      </w:r>
      <w:r w:rsidR="00970696">
        <w:rPr>
          <w:rFonts w:eastAsia="Calibri"/>
          <w:bCs/>
          <w:szCs w:val="24"/>
        </w:rPr>
        <w:t> </w:t>
      </w:r>
      <w:r w:rsidR="006C3301" w:rsidRPr="00A46CC4">
        <w:rPr>
          <w:rFonts w:eastAsia="Calibri"/>
          <w:bCs/>
          <w:szCs w:val="24"/>
        </w:rPr>
        <w:t xml:space="preserve">gadam, savukārt </w:t>
      </w:r>
      <w:r w:rsidR="006C3301" w:rsidRPr="00A46CC4">
        <w:rPr>
          <w:rFonts w:eastAsia="Calibri"/>
          <w:color w:val="000000"/>
          <w:szCs w:val="24"/>
        </w:rPr>
        <w:t>Eiropas Parlamenta un Padomes regulas Nr.</w:t>
      </w:r>
      <w:r w:rsidR="00970696">
        <w:rPr>
          <w:rFonts w:eastAsia="Calibri"/>
          <w:color w:val="000000"/>
          <w:szCs w:val="24"/>
        </w:rPr>
        <w:t> </w:t>
      </w:r>
      <w:r w:rsidR="006C3301" w:rsidRPr="00A46CC4">
        <w:rPr>
          <w:rFonts w:eastAsia="Calibri"/>
          <w:color w:val="000000"/>
          <w:szCs w:val="24"/>
        </w:rPr>
        <w:t>525/2013 4.</w:t>
      </w:r>
      <w:r w:rsidR="00970696">
        <w:rPr>
          <w:rFonts w:eastAsia="Calibri"/>
          <w:color w:val="000000"/>
          <w:szCs w:val="24"/>
        </w:rPr>
        <w:t> </w:t>
      </w:r>
      <w:r w:rsidR="006C3301" w:rsidRPr="00A46CC4">
        <w:rPr>
          <w:rFonts w:eastAsia="Calibri"/>
          <w:color w:val="000000"/>
          <w:szCs w:val="24"/>
        </w:rPr>
        <w:t>pants nosaka, ka OMA stratēģija ir jāiesniedz Eiropas Komisijā</w:t>
      </w:r>
      <w:r w:rsidR="006C3301" w:rsidRPr="00A46CC4">
        <w:rPr>
          <w:rFonts w:eastAsia="Calibri"/>
          <w:bCs/>
          <w:szCs w:val="24"/>
        </w:rPr>
        <w:t xml:space="preserve">. </w:t>
      </w:r>
    </w:p>
    <w:p w14:paraId="124550C4" w14:textId="36E9B0B8" w:rsidR="00A615DA" w:rsidRPr="00A46CC4" w:rsidRDefault="006C3301" w:rsidP="00BE463D">
      <w:pPr>
        <w:spacing w:before="120" w:after="120"/>
        <w:rPr>
          <w:rFonts w:eastAsia="Calibri"/>
          <w:bCs/>
          <w:szCs w:val="24"/>
        </w:rPr>
      </w:pPr>
      <w:r w:rsidRPr="00A46CC4">
        <w:rPr>
          <w:rFonts w:eastAsia="Calibri"/>
          <w:bCs/>
          <w:szCs w:val="24"/>
        </w:rPr>
        <w:t>OMA stratēģija ir sagatavota, lai izpildītu Vides politikas pamatnostādnēs 2014.-2020.</w:t>
      </w:r>
      <w:r w:rsidR="00970696">
        <w:rPr>
          <w:rFonts w:eastAsia="Calibri"/>
          <w:bCs/>
          <w:szCs w:val="24"/>
        </w:rPr>
        <w:t> </w:t>
      </w:r>
      <w:r w:rsidRPr="00A46CC4">
        <w:rPr>
          <w:rFonts w:eastAsia="Calibri"/>
          <w:bCs/>
          <w:szCs w:val="24"/>
        </w:rPr>
        <w:t>gadam</w:t>
      </w:r>
      <w:r w:rsidRPr="00A46CC4">
        <w:rPr>
          <w:rStyle w:val="FootnoteReference"/>
          <w:rFonts w:eastAsia="Calibri"/>
          <w:bCs/>
          <w:szCs w:val="24"/>
        </w:rPr>
        <w:footnoteReference w:id="5"/>
      </w:r>
      <w:r w:rsidRPr="00A46CC4">
        <w:rPr>
          <w:rFonts w:eastAsia="Calibri"/>
          <w:bCs/>
          <w:szCs w:val="24"/>
        </w:rPr>
        <w:t xml:space="preserve"> noteikto rīcības darbību, jo </w:t>
      </w:r>
      <w:r w:rsidR="00016142" w:rsidRPr="00A46CC4">
        <w:rPr>
          <w:rFonts w:eastAsia="Calibri"/>
          <w:bCs/>
          <w:szCs w:val="24"/>
        </w:rPr>
        <w:t xml:space="preserve">Vides politikas pamatnostādnēs 2014.-2020.gadam ir secināts, ka </w:t>
      </w:r>
      <w:r w:rsidR="00A615DA" w:rsidRPr="00A46CC4">
        <w:rPr>
          <w:rFonts w:eastAsia="Calibri"/>
          <w:bCs/>
          <w:szCs w:val="24"/>
        </w:rPr>
        <w:t>Latvijā:</w:t>
      </w:r>
    </w:p>
    <w:p w14:paraId="4D2BD281" w14:textId="77777777" w:rsidR="00A615DA" w:rsidRPr="00A46CC4" w:rsidRDefault="00A615DA" w:rsidP="00970696">
      <w:pPr>
        <w:pStyle w:val="ListParagraph"/>
        <w:numPr>
          <w:ilvl w:val="0"/>
          <w:numId w:val="23"/>
        </w:numPr>
        <w:spacing w:before="120" w:after="120"/>
        <w:ind w:left="851" w:hanging="340"/>
        <w:contextualSpacing w:val="0"/>
        <w:rPr>
          <w:rFonts w:eastAsia="Calibri"/>
          <w:bCs/>
          <w:szCs w:val="24"/>
        </w:rPr>
      </w:pPr>
      <w:r w:rsidRPr="00A46CC4">
        <w:rPr>
          <w:rFonts w:eastAsia="Calibri"/>
          <w:bCs/>
          <w:szCs w:val="24"/>
        </w:rPr>
        <w:t>vienotas rīcībpolitikas trūkums SEG emisijas ierobežošanai no darbībām, kas nav iekļautas ES Emisijas kvotu tirdzniecības sistēmā;</w:t>
      </w:r>
    </w:p>
    <w:p w14:paraId="4375A020" w14:textId="77777777" w:rsidR="00A615DA" w:rsidRPr="00A46CC4" w:rsidRDefault="00A615DA" w:rsidP="00970696">
      <w:pPr>
        <w:pStyle w:val="ListParagraph"/>
        <w:numPr>
          <w:ilvl w:val="0"/>
          <w:numId w:val="23"/>
        </w:numPr>
        <w:spacing w:before="120" w:after="120"/>
        <w:ind w:left="851" w:hanging="340"/>
        <w:contextualSpacing w:val="0"/>
        <w:rPr>
          <w:rFonts w:eastAsia="Calibri"/>
          <w:bCs/>
          <w:szCs w:val="24"/>
        </w:rPr>
      </w:pPr>
      <w:r w:rsidRPr="00A46CC4">
        <w:rPr>
          <w:rFonts w:eastAsia="Calibri"/>
          <w:bCs/>
          <w:szCs w:val="24"/>
        </w:rPr>
        <w:t>nav izstrādāti oglekļa mazietilpīgas attīstības virzieni.</w:t>
      </w:r>
    </w:p>
    <w:p w14:paraId="1AE37667" w14:textId="367F7554" w:rsidR="00B72B4F" w:rsidRPr="00A46CC4" w:rsidRDefault="00B72B4F" w:rsidP="00BE463D">
      <w:pPr>
        <w:spacing w:before="120" w:after="120"/>
      </w:pPr>
      <w:r w:rsidRPr="00A46CC4">
        <w:t xml:space="preserve">OMA stratēģija ir </w:t>
      </w:r>
      <w:r w:rsidR="00D60E04" w:rsidRPr="00A46CC4">
        <w:t xml:space="preserve">stratēģisks </w:t>
      </w:r>
      <w:r w:rsidRPr="00A46CC4">
        <w:t>dokuments, kas jāievieš ilgtermiņā, primāri ievērojot klimata mērķus. Tai jāņem vērā daudzi paredzami faktori (ekonomiskais cikliskums) un neparedzami faktori</w:t>
      </w:r>
      <w:r w:rsidR="00E42CD6">
        <w:t>, kā arī</w:t>
      </w:r>
      <w:r w:rsidRPr="00A46CC4">
        <w:t xml:space="preserve"> ģeopolitiskās attīstības scenāriji (politiskā mainība un neprognozējamā globālā situācija). Paralēli OMA ieviešanai, jānodrošina periodisks stratēģijas progresa un ieviešanas efektivitātes</w:t>
      </w:r>
      <w:r w:rsidRPr="00A46CC4" w:rsidDel="008A2780">
        <w:t xml:space="preserve"> </w:t>
      </w:r>
      <w:r w:rsidRPr="00A46CC4">
        <w:t>izvērtējums, nodrošinot OMA stratēģijas mērķu sasniegšanu.</w:t>
      </w:r>
    </w:p>
    <w:p w14:paraId="2F5FC0C5" w14:textId="00EACD92" w:rsidR="00016142" w:rsidRDefault="00016142" w:rsidP="00CE7080">
      <w:pPr>
        <w:spacing w:before="120" w:after="120"/>
      </w:pPr>
      <w:r w:rsidRPr="00A46CC4">
        <w:t>OMA stratēģija ir izstrādāta, ņemot vērā pieejamās un izstrādē esošās un prognozētās jaunākās tehnoloģijas, ekonomikas un tautsaimniecības sektoru attīstības tendences un plānus, SEG emisiju prognozes</w:t>
      </w:r>
      <w:r w:rsidR="00B72B4F" w:rsidRPr="00A46CC4">
        <w:t xml:space="preserve">, </w:t>
      </w:r>
      <w:r w:rsidRPr="00A46CC4">
        <w:t>izmantojot pēdējos pieejamos datus</w:t>
      </w:r>
      <w:r w:rsidRPr="00896CAF">
        <w:t>.</w:t>
      </w:r>
      <w:r w:rsidRPr="00A46CC4">
        <w:t xml:space="preserve"> </w:t>
      </w:r>
    </w:p>
    <w:p w14:paraId="47ABC3FA" w14:textId="49B33B51" w:rsidR="00172ED4" w:rsidRPr="00970696" w:rsidRDefault="00172ED4" w:rsidP="00970696">
      <w:r w:rsidRPr="00970696">
        <w:lastRenderedPageBreak/>
        <w:t>OMA stratēģija ir izstrādāta saskaņā ar</w:t>
      </w:r>
      <w:r w:rsidR="006B3CC7" w:rsidRPr="00970696">
        <w:t xml:space="preserve"> ES</w:t>
      </w:r>
      <w:r w:rsidRPr="00970696">
        <w:t xml:space="preserve"> Enerģētikas Savienības pārvaldības </w:t>
      </w:r>
      <w:r w:rsidR="00297AAC" w:rsidRPr="00970696">
        <w:t>regul</w:t>
      </w:r>
      <w:r w:rsidR="00297AAC">
        <w:t xml:space="preserve">as projektā </w:t>
      </w:r>
      <w:r w:rsidRPr="00970696">
        <w:t xml:space="preserve">noteiktajām prasībām. </w:t>
      </w:r>
    </w:p>
    <w:p w14:paraId="4C712D4B" w14:textId="77777777" w:rsidR="00B72B4F" w:rsidRPr="00A46CC4" w:rsidRDefault="00B72B4F" w:rsidP="00B72B4F">
      <w:pPr>
        <w:pStyle w:val="Heading1"/>
        <w:numPr>
          <w:ilvl w:val="0"/>
          <w:numId w:val="0"/>
        </w:numPr>
        <w:spacing w:before="120" w:after="120"/>
        <w:ind w:left="142"/>
        <w:rPr>
          <w:sz w:val="32"/>
          <w:szCs w:val="32"/>
        </w:rPr>
      </w:pPr>
      <w:bookmarkStart w:id="0" w:name="_Toc523217364"/>
      <w:r w:rsidRPr="00A46CC4">
        <w:rPr>
          <w:sz w:val="32"/>
          <w:szCs w:val="32"/>
        </w:rPr>
        <w:t>Ievads</w:t>
      </w:r>
      <w:bookmarkEnd w:id="0"/>
    </w:p>
    <w:p w14:paraId="7E38AB68" w14:textId="0592C123" w:rsidR="00AF2FD4" w:rsidRPr="00A46CC4" w:rsidRDefault="00AF2FD4" w:rsidP="00CE7080">
      <w:pPr>
        <w:spacing w:before="120" w:after="120"/>
        <w:ind w:firstLine="709"/>
        <w:rPr>
          <w:szCs w:val="24"/>
        </w:rPr>
      </w:pPr>
      <w:r w:rsidRPr="00A46CC4">
        <w:rPr>
          <w:szCs w:val="24"/>
        </w:rPr>
        <w:t>Oglekļa mazietilpīga attīstība (turpmāk</w:t>
      </w:r>
      <w:r w:rsidR="00970696">
        <w:rPr>
          <w:szCs w:val="24"/>
        </w:rPr>
        <w:t> </w:t>
      </w:r>
      <w:r w:rsidRPr="00A46CC4">
        <w:rPr>
          <w:szCs w:val="24"/>
        </w:rPr>
        <w:t>–</w:t>
      </w:r>
      <w:r w:rsidR="00970696">
        <w:rPr>
          <w:szCs w:val="24"/>
        </w:rPr>
        <w:t> </w:t>
      </w:r>
      <w:r w:rsidRPr="00A46CC4">
        <w:rPr>
          <w:szCs w:val="24"/>
        </w:rPr>
        <w:t>OMA) ir ilgtspējīga</w:t>
      </w:r>
      <w:r w:rsidR="00DF54BF" w:rsidRPr="00A46CC4">
        <w:rPr>
          <w:rStyle w:val="FootnoteReference"/>
          <w:szCs w:val="24"/>
        </w:rPr>
        <w:footnoteReference w:id="6"/>
      </w:r>
      <w:r w:rsidRPr="00A46CC4">
        <w:rPr>
          <w:szCs w:val="24"/>
        </w:rPr>
        <w:t xml:space="preserve"> ekonomiskā, vides un sociālā attīstība, kas balstīta gan uz zemām antropogēnām (cilvēku darbības radītām) siltumnīcefekta gāzu (</w:t>
      </w:r>
      <w:r w:rsidR="00970696">
        <w:rPr>
          <w:szCs w:val="24"/>
        </w:rPr>
        <w:t>turpmāk </w:t>
      </w:r>
      <w:r w:rsidR="009919B6" w:rsidRPr="00A46CC4">
        <w:rPr>
          <w:szCs w:val="24"/>
        </w:rPr>
        <w:t>–</w:t>
      </w:r>
      <w:r w:rsidR="00970696">
        <w:rPr>
          <w:szCs w:val="24"/>
        </w:rPr>
        <w:t> </w:t>
      </w:r>
      <w:r w:rsidRPr="00A46CC4">
        <w:rPr>
          <w:szCs w:val="24"/>
        </w:rPr>
        <w:t>SEG) emisijām</w:t>
      </w:r>
      <w:r w:rsidR="007159FA" w:rsidRPr="00A46CC4">
        <w:rPr>
          <w:rStyle w:val="FootnoteReference"/>
          <w:szCs w:val="24"/>
        </w:rPr>
        <w:footnoteReference w:id="7"/>
      </w:r>
      <w:r w:rsidRPr="00A46CC4">
        <w:rPr>
          <w:szCs w:val="24"/>
        </w:rPr>
        <w:t xml:space="preserve"> un augstu oglekļa dioksīda (</w:t>
      </w:r>
      <w:r w:rsidR="009919B6" w:rsidRPr="00A46CC4">
        <w:rPr>
          <w:szCs w:val="24"/>
        </w:rPr>
        <w:t>turpmāk</w:t>
      </w:r>
      <w:r w:rsidR="00970696">
        <w:rPr>
          <w:szCs w:val="24"/>
        </w:rPr>
        <w:t> </w:t>
      </w:r>
      <w:r w:rsidR="009919B6" w:rsidRPr="00A46CC4">
        <w:rPr>
          <w:szCs w:val="24"/>
        </w:rPr>
        <w:t>–</w:t>
      </w:r>
      <w:r w:rsidR="00970696">
        <w:rPr>
          <w:szCs w:val="24"/>
        </w:rPr>
        <w:t> </w:t>
      </w:r>
      <w:r w:rsidRPr="00A46CC4">
        <w:rPr>
          <w:szCs w:val="24"/>
        </w:rPr>
        <w:t>CO</w:t>
      </w:r>
      <w:r w:rsidRPr="00A46CC4">
        <w:rPr>
          <w:szCs w:val="24"/>
          <w:vertAlign w:val="subscript"/>
        </w:rPr>
        <w:t>2</w:t>
      </w:r>
      <w:r w:rsidRPr="00A46CC4">
        <w:rPr>
          <w:szCs w:val="24"/>
        </w:rPr>
        <w:t>) piesaistes</w:t>
      </w:r>
      <w:r w:rsidRPr="00A46CC4">
        <w:rPr>
          <w:rStyle w:val="FootnoteReference"/>
          <w:szCs w:val="24"/>
        </w:rPr>
        <w:footnoteReference w:id="8"/>
      </w:r>
      <w:r w:rsidR="009919B6" w:rsidRPr="00A46CC4">
        <w:rPr>
          <w:szCs w:val="24"/>
        </w:rPr>
        <w:t xml:space="preserve"> līmeni, gan</w:t>
      </w:r>
      <w:r w:rsidRPr="00A46CC4">
        <w:rPr>
          <w:szCs w:val="24"/>
        </w:rPr>
        <w:t xml:space="preserve"> noturību pret klimata pārmaiņām, to radīto risku mazināšanu un </w:t>
      </w:r>
      <w:r w:rsidR="00F66F45" w:rsidRPr="00A46CC4">
        <w:rPr>
          <w:szCs w:val="24"/>
        </w:rPr>
        <w:t>klimata pārmaiņu radīto ieguvumu izmantošanu.</w:t>
      </w:r>
    </w:p>
    <w:p w14:paraId="5F14C1DF" w14:textId="43AFE0EE" w:rsidR="00AF2FD4" w:rsidRPr="00A46CC4" w:rsidRDefault="00AF2FD4" w:rsidP="00CE7080">
      <w:pPr>
        <w:spacing w:before="120" w:after="120"/>
        <w:rPr>
          <w:rStyle w:val="Corpsdutexte"/>
          <w:sz w:val="24"/>
          <w:szCs w:val="24"/>
        </w:rPr>
      </w:pPr>
      <w:r w:rsidRPr="00A46CC4">
        <w:t xml:space="preserve">OMA ir viens no ilgtspējīgas attīstības stūrakmeņiem, kuram pamati likti jau </w:t>
      </w:r>
      <w:r w:rsidRPr="00A46CC4">
        <w:rPr>
          <w:rFonts w:eastAsia="Calibri"/>
        </w:rPr>
        <w:t>20.</w:t>
      </w:r>
      <w:r w:rsidR="009919B6" w:rsidRPr="00A46CC4">
        <w:rPr>
          <w:rFonts w:eastAsia="Calibri"/>
        </w:rPr>
        <w:t> </w:t>
      </w:r>
      <w:r w:rsidRPr="00A46CC4">
        <w:rPr>
          <w:rFonts w:eastAsia="Calibri"/>
        </w:rPr>
        <w:t>gadsimta 80-to gadu beigās, kad sākās nozīmīgi starptautiski politiskie procesi, iezīmējot jaunas domāšanas, attieksmes un patēriņa aizsākumus.</w:t>
      </w:r>
      <w:r w:rsidRPr="00A46CC4">
        <w:t xml:space="preserve"> </w:t>
      </w:r>
      <w:r w:rsidR="00FF73C1" w:rsidRPr="00A46CC4">
        <w:t>Apvienoto Nāciju organizācijas (</w:t>
      </w:r>
      <w:r w:rsidR="009919B6" w:rsidRPr="00A46CC4">
        <w:t>turpmāk</w:t>
      </w:r>
      <w:r w:rsidR="00970696">
        <w:t> </w:t>
      </w:r>
      <w:r w:rsidR="009919B6" w:rsidRPr="00A46CC4">
        <w:t>–</w:t>
      </w:r>
      <w:r w:rsidR="00970696">
        <w:t> </w:t>
      </w:r>
      <w:r w:rsidRPr="00A46CC4">
        <w:t>ANO</w:t>
      </w:r>
      <w:r w:rsidR="00FF73C1" w:rsidRPr="00A46CC4">
        <w:t>)</w:t>
      </w:r>
      <w:r w:rsidRPr="00A46CC4">
        <w:rPr>
          <w:rFonts w:eastAsia="Calibri"/>
        </w:rPr>
        <w:t xml:space="preserve"> izveidotā Pasaules Vides un attīstības komisija ziņojumā “Mūsu kopējā nākotne” (1987) raksturoja pasaules attīstību, parādot </w:t>
      </w:r>
      <w:r w:rsidR="00FF73C1" w:rsidRPr="00A46CC4">
        <w:t xml:space="preserve">tās </w:t>
      </w:r>
      <w:r w:rsidRPr="00A46CC4">
        <w:rPr>
          <w:rFonts w:eastAsia="Calibri"/>
        </w:rPr>
        <w:t>strupceļu, ja netiks mainīta politiskā domāšana un attieksme pret nesaudzīgo dabas resursu patēriņu, radot milzīgu piesārņojumu vidē, ieskaitot</w:t>
      </w:r>
      <w:r w:rsidRPr="00A46CC4">
        <w:t xml:space="preserve"> antropogēnās SEG emisijas, tādējādi negatīvi ietekmējot klimata sistēmu. Vēsturiski 1750-to gadu vidū, strauji attīstoties rūpniecībai un </w:t>
      </w:r>
      <w:r w:rsidR="00FF73C1" w:rsidRPr="00A46CC4">
        <w:t xml:space="preserve">būtiski palielinoties </w:t>
      </w:r>
      <w:r w:rsidRPr="00A46CC4">
        <w:t>ogļu patēriņam, dramatiski sāka pieaugt cilvēku darbības radītais atmosfēras piesārņojums un arī SEG</w:t>
      </w:r>
      <w:r w:rsidR="009919B6" w:rsidRPr="00A46CC4">
        <w:t xml:space="preserve"> emisijas</w:t>
      </w:r>
      <w:r w:rsidRPr="00A46CC4">
        <w:t>, īpaši CO</w:t>
      </w:r>
      <w:r w:rsidRPr="00A46CC4">
        <w:rPr>
          <w:vertAlign w:val="subscript"/>
        </w:rPr>
        <w:t>2</w:t>
      </w:r>
      <w:r w:rsidRPr="00A46CC4">
        <w:t>, pastiprinot siltumnīcas efektu. 2015.</w:t>
      </w:r>
      <w:r w:rsidR="00970696">
        <w:t> </w:t>
      </w:r>
      <w:r w:rsidRPr="00A46CC4">
        <w:t>gada sākumā, salīdzinot ar 1880</w:t>
      </w:r>
      <w:r w:rsidR="009919B6" w:rsidRPr="00A46CC4">
        <w:t>-</w:t>
      </w:r>
      <w:r w:rsidRPr="00A46CC4">
        <w:t>iem gadiem, globālās vidējās gaisa temperatūras pieaugums bija 0,87</w:t>
      </w:r>
      <w:r w:rsidRPr="00A46CC4">
        <w:rPr>
          <w:rStyle w:val="Corpsdutexte"/>
          <w:sz w:val="24"/>
          <w:szCs w:val="24"/>
        </w:rPr>
        <w:t>°C, bet Latvijā šis pali</w:t>
      </w:r>
      <w:r w:rsidR="00970696">
        <w:rPr>
          <w:rStyle w:val="Corpsdutexte"/>
          <w:sz w:val="24"/>
          <w:szCs w:val="24"/>
        </w:rPr>
        <w:t>elinājums bijis daudz būtiskāks </w:t>
      </w:r>
      <w:r w:rsidR="009919B6" w:rsidRPr="00A46CC4">
        <w:rPr>
          <w:rStyle w:val="Corpsdutexte"/>
          <w:sz w:val="24"/>
          <w:szCs w:val="24"/>
        </w:rPr>
        <w:t>–</w:t>
      </w:r>
      <w:r w:rsidR="00970696">
        <w:rPr>
          <w:rStyle w:val="Corpsdutexte"/>
          <w:sz w:val="24"/>
          <w:szCs w:val="24"/>
        </w:rPr>
        <w:t> </w:t>
      </w:r>
      <w:r w:rsidRPr="00A46CC4">
        <w:rPr>
          <w:rStyle w:val="Corpsdutexte"/>
          <w:sz w:val="24"/>
          <w:szCs w:val="24"/>
        </w:rPr>
        <w:t>1,5°C. Mūsdienās nepārtraukti tiek pārspēti līdzšinējie rekordi gan vidējās un maksim</w:t>
      </w:r>
      <w:r w:rsidR="00265C23" w:rsidRPr="00A46CC4">
        <w:rPr>
          <w:rStyle w:val="Corpsdutexte"/>
          <w:sz w:val="24"/>
          <w:szCs w:val="24"/>
        </w:rPr>
        <w:t>ālās temperatūras</w:t>
      </w:r>
      <w:r w:rsidRPr="00A46CC4">
        <w:rPr>
          <w:rStyle w:val="Corpsdutexte"/>
          <w:sz w:val="24"/>
          <w:szCs w:val="24"/>
        </w:rPr>
        <w:t>, gan nokrišņu, vētru skaita</w:t>
      </w:r>
      <w:r w:rsidR="009919B6" w:rsidRPr="00A46CC4">
        <w:rPr>
          <w:rStyle w:val="Corpsdutexte"/>
          <w:sz w:val="24"/>
          <w:szCs w:val="24"/>
        </w:rPr>
        <w:t xml:space="preserve"> un stipruma</w:t>
      </w:r>
      <w:r w:rsidRPr="00A46CC4">
        <w:rPr>
          <w:rStyle w:val="Corpsdutexte"/>
          <w:sz w:val="24"/>
          <w:szCs w:val="24"/>
        </w:rPr>
        <w:t xml:space="preserve"> u</w:t>
      </w:r>
      <w:r w:rsidR="007159FA" w:rsidRPr="00A46CC4">
        <w:rPr>
          <w:rStyle w:val="Corpsdutexte"/>
          <w:sz w:val="24"/>
          <w:szCs w:val="24"/>
        </w:rPr>
        <w:t>n</w:t>
      </w:r>
      <w:r w:rsidR="008E3219" w:rsidRPr="00A46CC4">
        <w:rPr>
          <w:rStyle w:val="Corpsdutexte"/>
          <w:sz w:val="24"/>
          <w:szCs w:val="24"/>
        </w:rPr>
        <w:t xml:space="preserve"> </w:t>
      </w:r>
      <w:r w:rsidRPr="00A46CC4">
        <w:rPr>
          <w:rStyle w:val="Corpsdutexte"/>
          <w:sz w:val="24"/>
          <w:szCs w:val="24"/>
        </w:rPr>
        <w:t>c</w:t>
      </w:r>
      <w:r w:rsidR="007159FA" w:rsidRPr="00A46CC4">
        <w:rPr>
          <w:rStyle w:val="Corpsdutexte"/>
          <w:sz w:val="24"/>
          <w:szCs w:val="24"/>
        </w:rPr>
        <w:t xml:space="preserve">itu parametru </w:t>
      </w:r>
      <w:r w:rsidRPr="00A46CC4">
        <w:rPr>
          <w:rStyle w:val="Corpsdutexte"/>
          <w:sz w:val="24"/>
          <w:szCs w:val="24"/>
        </w:rPr>
        <w:t xml:space="preserve">ziņā. </w:t>
      </w:r>
      <w:r w:rsidR="009919B6" w:rsidRPr="00A46CC4">
        <w:t>CO</w:t>
      </w:r>
      <w:r w:rsidR="009919B6" w:rsidRPr="00A46CC4">
        <w:rPr>
          <w:vertAlign w:val="subscript"/>
        </w:rPr>
        <w:t>2</w:t>
      </w:r>
      <w:r w:rsidRPr="00A46CC4">
        <w:rPr>
          <w:rStyle w:val="Corpsdutexte"/>
          <w:sz w:val="24"/>
          <w:szCs w:val="24"/>
        </w:rPr>
        <w:t xml:space="preserve"> koncentrācija,</w:t>
      </w:r>
      <w:r w:rsidR="00FF73C1" w:rsidRPr="00A46CC4">
        <w:rPr>
          <w:rStyle w:val="Corpsdutexte"/>
          <w:sz w:val="24"/>
          <w:szCs w:val="24"/>
        </w:rPr>
        <w:t xml:space="preserve"> </w:t>
      </w:r>
      <w:r w:rsidR="009919B6" w:rsidRPr="00A46CC4">
        <w:rPr>
          <w:rStyle w:val="Corpsdutexte"/>
          <w:sz w:val="24"/>
          <w:szCs w:val="24"/>
        </w:rPr>
        <w:t xml:space="preserve">kas </w:t>
      </w:r>
      <w:r w:rsidR="00FF73C1" w:rsidRPr="00A46CC4">
        <w:rPr>
          <w:rStyle w:val="Corpsdutexte"/>
          <w:sz w:val="24"/>
          <w:szCs w:val="24"/>
        </w:rPr>
        <w:t>ir</w:t>
      </w:r>
      <w:r w:rsidRPr="00A46CC4">
        <w:rPr>
          <w:rStyle w:val="Corpsdutexte"/>
          <w:sz w:val="24"/>
          <w:szCs w:val="24"/>
        </w:rPr>
        <w:t xml:space="preserve"> cieši saistīta ar vidējās gaisa temperatūras paaugstināšanos,</w:t>
      </w:r>
      <w:r w:rsidRPr="00A46CC4" w:rsidDel="00861C2E">
        <w:rPr>
          <w:rStyle w:val="Corpsdutexte"/>
          <w:sz w:val="24"/>
          <w:szCs w:val="24"/>
        </w:rPr>
        <w:t xml:space="preserve"> </w:t>
      </w:r>
      <w:r w:rsidRPr="00A46CC4">
        <w:rPr>
          <w:rStyle w:val="Corpsdutexte"/>
          <w:sz w:val="24"/>
          <w:szCs w:val="24"/>
        </w:rPr>
        <w:t>turpina pieaugt, un 2016.</w:t>
      </w:r>
      <w:r w:rsidR="009919B6" w:rsidRPr="00A46CC4">
        <w:rPr>
          <w:rStyle w:val="Corpsdutexte"/>
          <w:sz w:val="24"/>
          <w:szCs w:val="24"/>
        </w:rPr>
        <w:t xml:space="preserve"> </w:t>
      </w:r>
      <w:r w:rsidRPr="00A46CC4">
        <w:rPr>
          <w:rStyle w:val="Corpsdutexte"/>
          <w:sz w:val="24"/>
          <w:szCs w:val="24"/>
        </w:rPr>
        <w:t>gada augustā sasniedza</w:t>
      </w:r>
      <w:r w:rsidR="00FF73C1" w:rsidRPr="00A46CC4">
        <w:rPr>
          <w:rStyle w:val="Corpsdutexte"/>
          <w:sz w:val="24"/>
          <w:szCs w:val="24"/>
        </w:rPr>
        <w:t xml:space="preserve"> jau</w:t>
      </w:r>
      <w:r w:rsidRPr="00A46CC4">
        <w:rPr>
          <w:rStyle w:val="Corpsdutexte"/>
          <w:sz w:val="24"/>
          <w:szCs w:val="24"/>
        </w:rPr>
        <w:t xml:space="preserve"> 404,07 ppm</w:t>
      </w:r>
      <w:r w:rsidRPr="00A46CC4">
        <w:rPr>
          <w:rStyle w:val="FootnoteReference"/>
          <w:szCs w:val="24"/>
          <w:shd w:val="clear" w:color="auto" w:fill="FFFFFF"/>
        </w:rPr>
        <w:footnoteReference w:id="9"/>
      </w:r>
      <w:r w:rsidRPr="00A46CC4">
        <w:rPr>
          <w:rStyle w:val="Corpsdutexte"/>
          <w:sz w:val="24"/>
          <w:szCs w:val="24"/>
        </w:rPr>
        <w:t>.</w:t>
      </w:r>
    </w:p>
    <w:p w14:paraId="3A5E630D" w14:textId="77777777" w:rsidR="00AF2FD4" w:rsidRPr="00A46CC4" w:rsidRDefault="00AF2FD4" w:rsidP="00CE7080">
      <w:pPr>
        <w:spacing w:before="120" w:after="120"/>
      </w:pPr>
      <w:r w:rsidRPr="00A46CC4">
        <w:t xml:space="preserve">Būtiskākais faktors mūsdienās, kas ietekmē dabas resursu patēriņu un SEG emisiju palielināšanos dažādos sektoros, ir strauji augošais iedzīvotāju skaits, kur ikkatram nepieciešama pārtika, mājoklis, kvalitatīvas dzīves </w:t>
      </w:r>
      <w:r w:rsidR="009919B6" w:rsidRPr="00A46CC4">
        <w:t xml:space="preserve">apstākļu </w:t>
      </w:r>
      <w:r w:rsidRPr="00A46CC4">
        <w:t>nodrošināšana. Ja pēc ANO datiem 2015.</w:t>
      </w:r>
      <w:r w:rsidR="009919B6" w:rsidRPr="00A46CC4">
        <w:t> </w:t>
      </w:r>
      <w:r w:rsidRPr="00A46CC4">
        <w:t>gadā pasaulē bija 7,349 miljardi iedzīvotāju, tad 2030.</w:t>
      </w:r>
      <w:r w:rsidR="009919B6" w:rsidRPr="00A46CC4">
        <w:t> </w:t>
      </w:r>
      <w:r w:rsidRPr="00A46CC4">
        <w:t>gadā tiek prognozēti 8,501 miljardi, 2050.</w:t>
      </w:r>
      <w:r w:rsidR="009919B6" w:rsidRPr="00A46CC4">
        <w:t> </w:t>
      </w:r>
      <w:r w:rsidRPr="00A46CC4">
        <w:t>gadā 9,725 miljardi</w:t>
      </w:r>
      <w:r w:rsidR="009919B6" w:rsidRPr="00A46CC4">
        <w:t xml:space="preserve"> iedzīvotāju</w:t>
      </w:r>
      <w:r w:rsidRPr="00A46CC4">
        <w:t xml:space="preserve">. </w:t>
      </w:r>
      <w:r w:rsidR="00FF73C1" w:rsidRPr="00A46CC4">
        <w:t>Lai arī p</w:t>
      </w:r>
      <w:r w:rsidRPr="00A46CC4">
        <w:t>retējs process notiek Latvijā – cilvēku skaits sarūk</w:t>
      </w:r>
      <w:r w:rsidRPr="00A46CC4">
        <w:rPr>
          <w:rStyle w:val="FootnoteReference"/>
          <w:szCs w:val="24"/>
        </w:rPr>
        <w:footnoteReference w:id="10"/>
      </w:r>
      <w:r w:rsidR="00515D20" w:rsidRPr="00A46CC4">
        <w:t>, ilgtspējīgas attīstības nozīmība nemazinās.</w:t>
      </w:r>
    </w:p>
    <w:p w14:paraId="520AB7CC" w14:textId="0AFC3A35" w:rsidR="00AF2FD4" w:rsidRPr="00A46CC4" w:rsidRDefault="00AF2FD4" w:rsidP="00A41E0B">
      <w:pPr>
        <w:spacing w:before="120" w:after="120"/>
      </w:pPr>
      <w:r w:rsidRPr="00A46CC4">
        <w:t xml:space="preserve">Lai mazinātu slodzi uz klimata sistēmu, apdraudējumu mums un nākotnes paaudzēm, tiek veidota rīcībspējīga politika un meklēti </w:t>
      </w:r>
      <w:r w:rsidR="009919B6" w:rsidRPr="00A46CC4">
        <w:t xml:space="preserve">ilgtspējīgi </w:t>
      </w:r>
      <w:r w:rsidRPr="00A46CC4">
        <w:t xml:space="preserve">risinājumi. </w:t>
      </w:r>
      <w:r w:rsidR="00E42CD6">
        <w:t xml:space="preserve">Starptautiski klimata pārmaiņu politikas pamatnosacījumi ir </w:t>
      </w:r>
      <w:r w:rsidR="00297AAC">
        <w:t>Konvencijā</w:t>
      </w:r>
      <w:r w:rsidR="00E42CD6">
        <w:t xml:space="preserve">. </w:t>
      </w:r>
      <w:r w:rsidRPr="00A46CC4">
        <w:t>2015.</w:t>
      </w:r>
      <w:r w:rsidR="00970696">
        <w:t> </w:t>
      </w:r>
      <w:r w:rsidRPr="00A46CC4">
        <w:t xml:space="preserve">gada decembrī Parīzē visu UNFCCC dalībvalstu jeb </w:t>
      </w:r>
      <w:r w:rsidR="00515D20" w:rsidRPr="00A46CC4">
        <w:t>Līgumslēdzējp</w:t>
      </w:r>
      <w:r w:rsidRPr="00A46CC4">
        <w:t xml:space="preserve">ušu konferencē </w:t>
      </w:r>
      <w:r w:rsidR="00E42CD6">
        <w:t xml:space="preserve">tika pieņemts būtisks jauns </w:t>
      </w:r>
      <w:r w:rsidR="00970696">
        <w:t>ilgtermiņa dokuments </w:t>
      </w:r>
      <w:r w:rsidRPr="00A46CC4">
        <w:t>–</w:t>
      </w:r>
      <w:r w:rsidR="00970696">
        <w:t> </w:t>
      </w:r>
      <w:r w:rsidRPr="00A46CC4">
        <w:t>Parīzes nolīgums</w:t>
      </w:r>
      <w:r w:rsidR="00662BE8" w:rsidRPr="00A46CC4">
        <w:t xml:space="preserve"> (</w:t>
      </w:r>
      <w:r w:rsidR="00662BE8" w:rsidRPr="00A46CC4">
        <w:rPr>
          <w:i/>
        </w:rPr>
        <w:t>Paris Agreement</w:t>
      </w:r>
      <w:r w:rsidR="00662BE8" w:rsidRPr="00A46CC4">
        <w:t>)</w:t>
      </w:r>
      <w:r w:rsidRPr="00A46CC4">
        <w:t xml:space="preserve">, </w:t>
      </w:r>
      <w:r w:rsidR="00A41E0B">
        <w:t>kura mērķis ir stiprināt globālo rīcību klimata pārmaiņu novēršanai un noturēt globālo sasilšanu būtiski zem 2°C robežām salīdzinot ar pirms industriālo līmeni un censties ier</w:t>
      </w:r>
      <w:r w:rsidR="00970696">
        <w:t>obežot temperatūras pieaugumu 1,</w:t>
      </w:r>
      <w:r w:rsidR="00A41E0B">
        <w:t xml:space="preserve">5°C robežās, jo tas būtiski samazinās klimata pārmaiņu izraisītos riskus un ietekmes; uzlabot pielāgošanos klimata pārmaiņu negatīvajām </w:t>
      </w:r>
      <w:r w:rsidR="00A41E0B">
        <w:lastRenderedPageBreak/>
        <w:t>ietekmēm un sekmēt noturīgumu pret klimata pārmaiņām; sekmēt investīciju novirzi saskaņā ar oglekļa mazietilpīgu un pret klimata pārmaiņām noturīgu attīstību.</w:t>
      </w:r>
    </w:p>
    <w:p w14:paraId="0039F14B" w14:textId="76597435" w:rsidR="00AF2FD4" w:rsidRPr="00A46CC4" w:rsidRDefault="00AF2FD4" w:rsidP="00CE7080">
      <w:pPr>
        <w:spacing w:before="120" w:after="120"/>
      </w:pPr>
      <w:r w:rsidRPr="00A46CC4">
        <w:t>Klimata pārmaiņas ir viens no ANO Ilgtspējīgas attīstības 17 mērķiem (</w:t>
      </w:r>
      <w:r w:rsidRPr="00A46CC4">
        <w:rPr>
          <w:i/>
        </w:rPr>
        <w:t>Sustainable Development Goals</w:t>
      </w:r>
      <w:r w:rsidRPr="00A46CC4">
        <w:t>)</w:t>
      </w:r>
      <w:r w:rsidRPr="00A46CC4">
        <w:rPr>
          <w:rStyle w:val="FootnoteReference"/>
          <w:szCs w:val="24"/>
        </w:rPr>
        <w:footnoteReference w:id="11"/>
      </w:r>
      <w:r w:rsidRPr="00A46CC4">
        <w:t xml:space="preserve"> laika periodam līdz 2030.</w:t>
      </w:r>
      <w:r w:rsidR="00970696">
        <w:t> </w:t>
      </w:r>
      <w:r w:rsidRPr="00A46CC4">
        <w:t>gadam, tomēr t</w:t>
      </w:r>
      <w:r w:rsidR="00515D20" w:rsidRPr="00A46CC4">
        <w:t>ā</w:t>
      </w:r>
      <w:r w:rsidRPr="00A46CC4">
        <w:t>s ietekmē arī pārējos attīstības mērķus. Klimata pārmaiņas ir visaptveroša problēma, saistīta ar pārtikas pieejamību, cilvēku veselību, labklājību, nodarbinātību, valstu ekonomisko attīstību, drošību, pilsētu attīstību, dabas integritāti, bioloģisko daudzveidību un citām jomām. Tādējādi OMA (1.</w:t>
      </w:r>
      <w:r w:rsidR="00970696">
        <w:t> </w:t>
      </w:r>
      <w:r w:rsidRPr="00A46CC4">
        <w:t>attēl</w:t>
      </w:r>
      <w:r w:rsidR="00663AE3" w:rsidRPr="00A46CC4">
        <w:t>s</w:t>
      </w:r>
      <w:r w:rsidRPr="00A46CC4">
        <w:t xml:space="preserve">) </w:t>
      </w:r>
      <w:r w:rsidR="00C3308A" w:rsidRPr="00A46CC4">
        <w:t xml:space="preserve">princips ir </w:t>
      </w:r>
      <w:r w:rsidR="00515D20" w:rsidRPr="00A46CC4">
        <w:t>veicin</w:t>
      </w:r>
      <w:r w:rsidR="00C3308A" w:rsidRPr="00A46CC4">
        <w:t>āt</w:t>
      </w:r>
      <w:r w:rsidR="00515D20" w:rsidRPr="00A46CC4">
        <w:t xml:space="preserve"> </w:t>
      </w:r>
      <w:r w:rsidRPr="00A46CC4">
        <w:t>ilgtspējīgu attīstību ar minimālu ietekmi uz apkārtējo vidi, īpaši klimatu. Latvijai OMA</w:t>
      </w:r>
      <w:r w:rsidR="00662BE8" w:rsidRPr="00A46CC4">
        <w:t xml:space="preserve"> stratēģija</w:t>
      </w:r>
      <w:r w:rsidR="001026F8" w:rsidRPr="00A46CC4">
        <w:t xml:space="preserve"> </w:t>
      </w:r>
      <w:r w:rsidRPr="00A46CC4">
        <w:t>ļaus samazināt antropogēnās SEG emisijas, izpildīt starptautiskos klimata</w:t>
      </w:r>
      <w:r w:rsidR="007159FA" w:rsidRPr="00A46CC4">
        <w:t xml:space="preserve"> politikas</w:t>
      </w:r>
      <w:r w:rsidRPr="00A46CC4">
        <w:t xml:space="preserve"> mērķus un uzlabot sabiedrības labklājību un ekonomikas </w:t>
      </w:r>
      <w:r w:rsidR="00BC07BC" w:rsidRPr="00A46CC4">
        <w:t>konkurētspēju</w:t>
      </w:r>
      <w:r w:rsidR="001026F8" w:rsidRPr="00A46CC4">
        <w:t>.</w:t>
      </w:r>
      <w:r w:rsidR="00515D20" w:rsidRPr="00A46CC4">
        <w:t xml:space="preserve"> </w:t>
      </w:r>
      <w:r w:rsidR="001026F8" w:rsidRPr="00A46CC4">
        <w:t xml:space="preserve">Šo iemeslu dēļ </w:t>
      </w:r>
      <w:r w:rsidR="00515D20" w:rsidRPr="00A46CC4">
        <w:t xml:space="preserve">OMA stratēģija jāīsteno </w:t>
      </w:r>
      <w:r w:rsidRPr="00A46CC4">
        <w:t xml:space="preserve">iespējami ātrāk un </w:t>
      </w:r>
      <w:r w:rsidR="00BC07BC" w:rsidRPr="00A46CC4">
        <w:t>efektīvāk</w:t>
      </w:r>
      <w:r w:rsidRPr="00A46CC4">
        <w:t>.</w:t>
      </w:r>
    </w:p>
    <w:p w14:paraId="49EA781A" w14:textId="77777777" w:rsidR="00662BE8" w:rsidRPr="00A46CC4" w:rsidRDefault="00662BE8" w:rsidP="00977BCE"/>
    <w:p w14:paraId="430E5D94" w14:textId="77777777" w:rsidR="00AF2FD4" w:rsidRPr="00A46CC4" w:rsidRDefault="00DA5E83" w:rsidP="00AF2FD4">
      <w:pPr>
        <w:spacing w:before="120" w:after="120"/>
        <w:ind w:firstLine="709"/>
        <w:jc w:val="center"/>
        <w:rPr>
          <w:szCs w:val="24"/>
        </w:rPr>
      </w:pPr>
      <w:r w:rsidRPr="00A46CC4">
        <w:rPr>
          <w:noProof/>
          <w:szCs w:val="24"/>
        </w:rPr>
        <w:drawing>
          <wp:inline distT="0" distB="0" distL="0" distR="0" wp14:anchorId="2B16E24D" wp14:editId="27F46D41">
            <wp:extent cx="3149600" cy="3137579"/>
            <wp:effectExtent l="0" t="0" r="0" b="5715"/>
            <wp:docPr id="1" name="Picture 1" desc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jpg"/>
                    <pic:cNvPicPr>
                      <a:picLocks noChangeAspect="1" noChangeArrowheads="1"/>
                    </pic:cNvPicPr>
                  </pic:nvPicPr>
                  <pic:blipFill>
                    <a:blip r:embed="rId8" cstate="print">
                      <a:extLst>
                        <a:ext uri="{28A0092B-C50C-407E-A947-70E740481C1C}">
                          <a14:useLocalDpi xmlns:a14="http://schemas.microsoft.com/office/drawing/2010/main" val="0"/>
                        </a:ext>
                      </a:extLst>
                    </a:blip>
                    <a:srcRect l="6258" t="3343" r="2957"/>
                    <a:stretch>
                      <a:fillRect/>
                    </a:stretch>
                  </pic:blipFill>
                  <pic:spPr bwMode="auto">
                    <a:xfrm>
                      <a:off x="0" y="0"/>
                      <a:ext cx="3152431" cy="3140399"/>
                    </a:xfrm>
                    <a:prstGeom prst="rect">
                      <a:avLst/>
                    </a:prstGeom>
                    <a:noFill/>
                    <a:ln>
                      <a:noFill/>
                    </a:ln>
                  </pic:spPr>
                </pic:pic>
              </a:graphicData>
            </a:graphic>
          </wp:inline>
        </w:drawing>
      </w:r>
    </w:p>
    <w:p w14:paraId="1928E0B8" w14:textId="0C86078A" w:rsidR="00AF2FD4" w:rsidRPr="00D67E58" w:rsidRDefault="00AF2FD4" w:rsidP="00662BE8">
      <w:pPr>
        <w:pStyle w:val="Title"/>
      </w:pPr>
      <w:r w:rsidRPr="00D67E58">
        <w:t>1.</w:t>
      </w:r>
      <w:r w:rsidR="00970696">
        <w:t> </w:t>
      </w:r>
      <w:r w:rsidRPr="00D67E58">
        <w:t>attēls. Oglekļa mazietilpīga attīstība un ilgtspējīgas attīstības dimensijas</w:t>
      </w:r>
    </w:p>
    <w:p w14:paraId="2FCAC239" w14:textId="77777777" w:rsidR="00E773F8" w:rsidRPr="00A46CC4" w:rsidRDefault="00E773F8">
      <w:pPr>
        <w:rPr>
          <w:szCs w:val="24"/>
        </w:rPr>
      </w:pPr>
      <w:r w:rsidRPr="00A46CC4">
        <w:rPr>
          <w:szCs w:val="24"/>
        </w:rPr>
        <w:br w:type="page"/>
      </w:r>
    </w:p>
    <w:p w14:paraId="1089DA94" w14:textId="77777777" w:rsidR="00AE7060" w:rsidRPr="00A46CC4" w:rsidRDefault="00254C4F" w:rsidP="00CE7080">
      <w:pPr>
        <w:pStyle w:val="Heading1"/>
        <w:spacing w:before="120" w:after="120"/>
      </w:pPr>
      <w:bookmarkStart w:id="1" w:name="_Toc460423719"/>
      <w:bookmarkStart w:id="2" w:name="_Toc523217365"/>
      <w:bookmarkEnd w:id="1"/>
      <w:r w:rsidRPr="00A46CC4">
        <w:rPr>
          <w:lang w:val="lv-LV"/>
        </w:rPr>
        <w:lastRenderedPageBreak/>
        <w:t xml:space="preserve">OMA </w:t>
      </w:r>
      <w:r w:rsidR="00A06B4F" w:rsidRPr="00A46CC4">
        <w:t>stratēģijas</w:t>
      </w:r>
      <w:r w:rsidR="00DC5B65" w:rsidRPr="00A46CC4">
        <w:t xml:space="preserve"> mērķi</w:t>
      </w:r>
      <w:r w:rsidR="004E6A9A" w:rsidRPr="00A46CC4">
        <w:t>s</w:t>
      </w:r>
      <w:r w:rsidR="00DC5B65" w:rsidRPr="00A46CC4">
        <w:t xml:space="preserve"> un uzdevumi</w:t>
      </w:r>
      <w:bookmarkEnd w:id="2"/>
    </w:p>
    <w:p w14:paraId="139324E4" w14:textId="0F2DBA17" w:rsidR="00657A6A" w:rsidRPr="00A46CC4" w:rsidRDefault="00254C4F" w:rsidP="00CE7080">
      <w:pPr>
        <w:pStyle w:val="Heading2"/>
        <w:numPr>
          <w:ilvl w:val="1"/>
          <w:numId w:val="25"/>
        </w:numPr>
        <w:spacing w:before="120" w:after="120"/>
        <w:jc w:val="both"/>
        <w:rPr>
          <w:rFonts w:eastAsia="Calibri"/>
        </w:rPr>
      </w:pPr>
      <w:bookmarkStart w:id="3" w:name="_Toc523217366"/>
      <w:r w:rsidRPr="00A46CC4">
        <w:rPr>
          <w:rFonts w:eastAsia="Calibri"/>
        </w:rPr>
        <w:t>OMA s</w:t>
      </w:r>
      <w:r w:rsidR="00657A6A" w:rsidRPr="00A46CC4">
        <w:rPr>
          <w:rFonts w:eastAsia="Calibri"/>
        </w:rPr>
        <w:t>tratēģijas mērķis un īstenošanas indikatori</w:t>
      </w:r>
      <w:bookmarkEnd w:id="3"/>
    </w:p>
    <w:p w14:paraId="0EFAF4BE" w14:textId="77777777" w:rsidR="00657A6A" w:rsidRPr="00A46CC4" w:rsidRDefault="00254C4F" w:rsidP="00CE7080">
      <w:pPr>
        <w:spacing w:before="120" w:after="120"/>
        <w:rPr>
          <w:rFonts w:eastAsia="Calibri"/>
          <w:lang w:eastAsia="en-US"/>
        </w:rPr>
      </w:pPr>
      <w:r w:rsidRPr="00A46CC4">
        <w:rPr>
          <w:rFonts w:eastAsia="Calibri"/>
          <w:lang w:eastAsia="en-US"/>
        </w:rPr>
        <w:t>OMA s</w:t>
      </w:r>
      <w:r w:rsidR="007159FA" w:rsidRPr="00A46CC4">
        <w:rPr>
          <w:rFonts w:eastAsia="Calibri"/>
          <w:lang w:eastAsia="en-US"/>
        </w:rPr>
        <w:t>tratēģijas mērķis ir l</w:t>
      </w:r>
      <w:r w:rsidR="00657A6A" w:rsidRPr="00A46CC4">
        <w:rPr>
          <w:rFonts w:eastAsia="Calibri"/>
          <w:lang w:eastAsia="en-US"/>
        </w:rPr>
        <w:t>īdz 2050. gadam samazināt Latvijas tautsaimniecība</w:t>
      </w:r>
      <w:r w:rsidR="00C3308A" w:rsidRPr="00A46CC4">
        <w:rPr>
          <w:rFonts w:eastAsia="Calibri"/>
          <w:lang w:eastAsia="en-US"/>
        </w:rPr>
        <w:t>s radītās SEG emisijas par 80% salīdzinot ar 1990. gadu</w:t>
      </w:r>
      <w:r w:rsidR="00657A6A" w:rsidRPr="00A46CC4">
        <w:rPr>
          <w:rFonts w:eastAsia="Calibri"/>
          <w:lang w:eastAsia="en-US"/>
        </w:rPr>
        <w:t xml:space="preserve"> un palielināt oglekļa piesaisti, pilnībā nosedzot Latvijas antropogēno SEG emisiju apjomu un sasniedzot oglekļa neitralitāti.</w:t>
      </w:r>
    </w:p>
    <w:p w14:paraId="4C8BD7CE" w14:textId="23CA4FBE" w:rsidR="00992B1D" w:rsidRPr="00A46CC4" w:rsidRDefault="00992B1D" w:rsidP="00CE7080">
      <w:pPr>
        <w:spacing w:before="120" w:after="120"/>
        <w:rPr>
          <w:rFonts w:eastAsia="Calibri"/>
          <w:szCs w:val="24"/>
          <w:lang w:eastAsia="en-US"/>
        </w:rPr>
      </w:pPr>
      <w:r w:rsidRPr="00A46CC4">
        <w:rPr>
          <w:rFonts w:eastAsia="Calibri"/>
          <w:szCs w:val="24"/>
          <w:lang w:eastAsia="en-US"/>
        </w:rPr>
        <w:t>OMA ir ilgtspējīgs izaugsmes ceļš, kurš, apvieno vides, ekonomikas un sociālās dimensijas un labākos pieejamos tehnoloģiskos risinājumus</w:t>
      </w:r>
      <w:r w:rsidR="00B8071E" w:rsidRPr="00A46CC4">
        <w:rPr>
          <w:rFonts w:eastAsia="Calibri"/>
          <w:szCs w:val="24"/>
          <w:lang w:eastAsia="en-US"/>
        </w:rPr>
        <w:t xml:space="preserve"> (1.</w:t>
      </w:r>
      <w:r w:rsidR="00970696">
        <w:rPr>
          <w:rFonts w:eastAsia="Calibri"/>
          <w:szCs w:val="24"/>
          <w:lang w:eastAsia="en-US"/>
        </w:rPr>
        <w:t> </w:t>
      </w:r>
      <w:r w:rsidR="00B8071E" w:rsidRPr="00A46CC4">
        <w:rPr>
          <w:rFonts w:eastAsia="Calibri"/>
          <w:szCs w:val="24"/>
          <w:lang w:eastAsia="en-US"/>
        </w:rPr>
        <w:t>attēls)</w:t>
      </w:r>
      <w:r w:rsidRPr="00A46CC4">
        <w:rPr>
          <w:rFonts w:eastAsia="Calibri"/>
          <w:szCs w:val="24"/>
          <w:lang w:eastAsia="en-US"/>
        </w:rPr>
        <w:t>. OMA ietver sevī SEG emisiju samazināšanu ar mērķi mazināt klimata pārmaiņas un tās radītos riskus. OMA nodrošina pakāpenisku pāreju uz ekonomiku</w:t>
      </w:r>
      <w:r w:rsidR="00970696">
        <w:rPr>
          <w:rFonts w:eastAsia="Calibri"/>
          <w:szCs w:val="24"/>
          <w:lang w:eastAsia="en-US"/>
        </w:rPr>
        <w:t> </w:t>
      </w:r>
      <w:r w:rsidR="00B8071E" w:rsidRPr="00A46CC4">
        <w:rPr>
          <w:rFonts w:eastAsia="Calibri"/>
          <w:szCs w:val="24"/>
          <w:lang w:eastAsia="en-US"/>
        </w:rPr>
        <w:t>–</w:t>
      </w:r>
      <w:r w:rsidR="00970696">
        <w:rPr>
          <w:rFonts w:eastAsia="Calibri"/>
          <w:szCs w:val="24"/>
          <w:lang w:eastAsia="en-US"/>
        </w:rPr>
        <w:t> </w:t>
      </w:r>
      <w:r w:rsidR="00B8071E" w:rsidRPr="00A46CC4">
        <w:rPr>
          <w:rFonts w:eastAsia="Calibri"/>
          <w:szCs w:val="24"/>
          <w:lang w:eastAsia="en-US"/>
        </w:rPr>
        <w:t>oglekļa mazietilpīgu ekonomiku</w:t>
      </w:r>
      <w:r w:rsidRPr="00A46CC4">
        <w:rPr>
          <w:rFonts w:eastAsia="Calibri"/>
          <w:szCs w:val="24"/>
          <w:lang w:eastAsia="en-US"/>
        </w:rPr>
        <w:t xml:space="preserve">, kas rada minimālas SEG, sevišķi </w:t>
      </w:r>
      <w:r w:rsidR="00B8071E" w:rsidRPr="00A46CC4">
        <w:rPr>
          <w:rFonts w:eastAsia="Calibri"/>
          <w:szCs w:val="24"/>
          <w:lang w:eastAsia="en-US"/>
        </w:rPr>
        <w:t>CO</w:t>
      </w:r>
      <w:r w:rsidR="00B8071E" w:rsidRPr="00A46CC4">
        <w:rPr>
          <w:rFonts w:eastAsia="Calibri"/>
          <w:szCs w:val="24"/>
          <w:vertAlign w:val="subscript"/>
          <w:lang w:eastAsia="en-US"/>
        </w:rPr>
        <w:t>2</w:t>
      </w:r>
      <w:r w:rsidR="00B8071E" w:rsidRPr="00A46CC4">
        <w:rPr>
          <w:rFonts w:eastAsia="Calibri"/>
          <w:szCs w:val="24"/>
          <w:lang w:eastAsia="en-US"/>
        </w:rPr>
        <w:t xml:space="preserve"> emisijas</w:t>
      </w:r>
      <w:r w:rsidRPr="00A46CC4">
        <w:rPr>
          <w:rFonts w:eastAsia="Calibri"/>
          <w:szCs w:val="24"/>
          <w:lang w:eastAsia="en-US"/>
        </w:rPr>
        <w:t>, izmaksu efektīvā un dabas resursus saudzējošā veidā.</w:t>
      </w:r>
    </w:p>
    <w:p w14:paraId="2BE2D390" w14:textId="2390196A" w:rsidR="00793E59" w:rsidRPr="00A46CC4" w:rsidRDefault="00A27C6D" w:rsidP="00CE7080">
      <w:pPr>
        <w:spacing w:before="120" w:after="120"/>
        <w:ind w:firstLine="720"/>
        <w:rPr>
          <w:rFonts w:eastAsia="Calibri"/>
          <w:b/>
          <w:szCs w:val="24"/>
          <w:lang w:eastAsia="en-US"/>
        </w:rPr>
      </w:pPr>
      <w:r w:rsidRPr="00A46CC4">
        <w:rPr>
          <w:rFonts w:eastAsia="Calibri"/>
          <w:b/>
          <w:szCs w:val="24"/>
          <w:lang w:eastAsia="en-US"/>
        </w:rPr>
        <w:t>Pāreja uz oglekļa mazietilpīgu ekonomiku īstenojama trīs posmos (2.</w:t>
      </w:r>
      <w:r w:rsidR="00970696">
        <w:rPr>
          <w:rFonts w:eastAsia="Calibri"/>
          <w:b/>
          <w:szCs w:val="24"/>
          <w:lang w:eastAsia="en-US"/>
        </w:rPr>
        <w:t> </w:t>
      </w:r>
      <w:r w:rsidRPr="00A46CC4">
        <w:rPr>
          <w:rFonts w:eastAsia="Calibri"/>
          <w:b/>
          <w:szCs w:val="24"/>
          <w:lang w:eastAsia="en-US"/>
        </w:rPr>
        <w:t>attēls)</w:t>
      </w:r>
      <w:r w:rsidR="00793E59" w:rsidRPr="00A46CC4">
        <w:rPr>
          <w:rFonts w:eastAsia="Calibri"/>
          <w:b/>
          <w:szCs w:val="24"/>
          <w:lang w:eastAsia="en-US"/>
        </w:rPr>
        <w:t>:</w:t>
      </w:r>
    </w:p>
    <w:p w14:paraId="122DA937" w14:textId="41D53A1D" w:rsidR="00EB3C64" w:rsidRPr="00A46CC4" w:rsidRDefault="00A27C6D" w:rsidP="00CE7080">
      <w:pPr>
        <w:pStyle w:val="ListParagraph"/>
        <w:numPr>
          <w:ilvl w:val="0"/>
          <w:numId w:val="8"/>
        </w:numPr>
        <w:spacing w:before="120" w:after="120"/>
        <w:ind w:left="454" w:hanging="454"/>
        <w:contextualSpacing w:val="0"/>
        <w:rPr>
          <w:rFonts w:eastAsia="Calibri"/>
          <w:szCs w:val="24"/>
          <w:lang w:eastAsia="en-US"/>
        </w:rPr>
      </w:pPr>
      <w:r w:rsidRPr="00A46CC4">
        <w:rPr>
          <w:rFonts w:eastAsia="Calibri"/>
          <w:szCs w:val="24"/>
          <w:lang w:eastAsia="en-US"/>
        </w:rPr>
        <w:t>Līdz 2030.</w:t>
      </w:r>
      <w:r w:rsidR="00B8071E" w:rsidRPr="00A46CC4">
        <w:rPr>
          <w:rFonts w:eastAsia="Calibri"/>
          <w:szCs w:val="24"/>
          <w:lang w:eastAsia="en-US"/>
        </w:rPr>
        <w:t> </w:t>
      </w:r>
      <w:r w:rsidRPr="00A46CC4">
        <w:rPr>
          <w:rFonts w:eastAsia="Calibri"/>
          <w:szCs w:val="24"/>
          <w:lang w:eastAsia="en-US"/>
        </w:rPr>
        <w:t>gadam ir jānodrošina, ka Latvijas</w:t>
      </w:r>
      <w:r w:rsidR="00B8071E" w:rsidRPr="00A46CC4">
        <w:rPr>
          <w:rFonts w:eastAsia="Calibri"/>
          <w:szCs w:val="24"/>
          <w:lang w:eastAsia="en-US"/>
        </w:rPr>
        <w:t xml:space="preserve"> iekšzemes kopprodukts (turpmāk –</w:t>
      </w:r>
      <w:r w:rsidRPr="00A46CC4">
        <w:rPr>
          <w:rFonts w:eastAsia="Calibri"/>
          <w:szCs w:val="24"/>
          <w:lang w:eastAsia="en-US"/>
        </w:rPr>
        <w:t xml:space="preserve"> IKP</w:t>
      </w:r>
      <w:r w:rsidR="00B8071E" w:rsidRPr="00A46CC4">
        <w:rPr>
          <w:rFonts w:eastAsia="Calibri"/>
          <w:szCs w:val="24"/>
          <w:lang w:eastAsia="en-US"/>
        </w:rPr>
        <w:t>)</w:t>
      </w:r>
      <w:r w:rsidRPr="00A46CC4">
        <w:rPr>
          <w:rFonts w:eastAsia="Calibri"/>
          <w:szCs w:val="24"/>
          <w:lang w:eastAsia="en-US"/>
        </w:rPr>
        <w:t xml:space="preserve"> apjoms ir atsaistīts no SEG emisiju apjoma</w:t>
      </w:r>
      <w:r w:rsidR="00EB3C64" w:rsidRPr="00A46CC4">
        <w:rPr>
          <w:rFonts w:eastAsia="Calibri"/>
          <w:szCs w:val="24"/>
          <w:lang w:eastAsia="en-US"/>
        </w:rPr>
        <w:t>, izpildot:</w:t>
      </w:r>
    </w:p>
    <w:p w14:paraId="608FC235" w14:textId="5D91236B" w:rsidR="00EB3C64" w:rsidRPr="00A46CC4" w:rsidRDefault="00EC52A5" w:rsidP="00970696">
      <w:pPr>
        <w:pStyle w:val="ListParagraph"/>
        <w:numPr>
          <w:ilvl w:val="0"/>
          <w:numId w:val="28"/>
        </w:numPr>
        <w:spacing w:before="120" w:after="120"/>
        <w:ind w:left="851" w:hanging="454"/>
        <w:contextualSpacing w:val="0"/>
        <w:rPr>
          <w:rFonts w:eastAsia="Calibri"/>
          <w:szCs w:val="24"/>
          <w:lang w:eastAsia="en-US"/>
        </w:rPr>
      </w:pPr>
      <w:r w:rsidRPr="00A46CC4">
        <w:rPr>
          <w:rFonts w:eastAsia="Calibri"/>
          <w:szCs w:val="24"/>
          <w:lang w:eastAsia="en-US"/>
        </w:rPr>
        <w:t>Resursu produktivitātes mērķi</w:t>
      </w:r>
      <w:r w:rsidR="00EB3C64" w:rsidRPr="00A46CC4">
        <w:rPr>
          <w:rFonts w:eastAsia="Calibri"/>
          <w:szCs w:val="24"/>
          <w:lang w:eastAsia="en-US"/>
        </w:rPr>
        <w:t xml:space="preserve">: </w:t>
      </w:r>
      <w:r w:rsidRPr="00A46CC4">
        <w:rPr>
          <w:rFonts w:eastAsia="Calibri"/>
          <w:szCs w:val="24"/>
          <w:lang w:eastAsia="en-US"/>
        </w:rPr>
        <w:t>līdz 2030.</w:t>
      </w:r>
      <w:r w:rsidR="00970696">
        <w:rPr>
          <w:rFonts w:eastAsia="Calibri"/>
          <w:szCs w:val="24"/>
          <w:lang w:eastAsia="en-US"/>
        </w:rPr>
        <w:t> </w:t>
      </w:r>
      <w:r w:rsidRPr="00A46CC4">
        <w:rPr>
          <w:rFonts w:eastAsia="Calibri"/>
          <w:szCs w:val="24"/>
          <w:lang w:eastAsia="en-US"/>
        </w:rPr>
        <w:t xml:space="preserve">gadam resursu produktivitātes radītāju sasniegt 1,55 </w:t>
      </w:r>
      <w:r w:rsidR="00297AAC">
        <w:rPr>
          <w:rFonts w:eastAsia="Calibri"/>
          <w:szCs w:val="24"/>
          <w:lang w:eastAsia="en-US"/>
        </w:rPr>
        <w:t>euro</w:t>
      </w:r>
      <w:r w:rsidRPr="00A46CC4">
        <w:rPr>
          <w:rFonts w:eastAsia="Calibri"/>
          <w:szCs w:val="24"/>
          <w:lang w:eastAsia="en-US"/>
        </w:rPr>
        <w:t>/kg</w:t>
      </w:r>
      <w:r w:rsidR="00EB3C64" w:rsidRPr="00A46CC4">
        <w:rPr>
          <w:rFonts w:eastAsia="Calibri"/>
          <w:szCs w:val="24"/>
          <w:lang w:eastAsia="en-US"/>
        </w:rPr>
        <w:t>;</w:t>
      </w:r>
    </w:p>
    <w:p w14:paraId="37DB15AD" w14:textId="1A2E0205" w:rsidR="00793E59" w:rsidRPr="00A46CC4" w:rsidRDefault="00EB3C64" w:rsidP="00970696">
      <w:pPr>
        <w:pStyle w:val="ListParagraph"/>
        <w:numPr>
          <w:ilvl w:val="0"/>
          <w:numId w:val="28"/>
        </w:numPr>
        <w:spacing w:before="120" w:after="120"/>
        <w:ind w:left="851" w:hanging="454"/>
        <w:contextualSpacing w:val="0"/>
        <w:rPr>
          <w:rFonts w:eastAsia="Calibri"/>
          <w:szCs w:val="24"/>
          <w:lang w:eastAsia="en-US"/>
        </w:rPr>
      </w:pPr>
      <w:r w:rsidRPr="00A46CC4">
        <w:rPr>
          <w:rFonts w:eastAsia="Calibri"/>
          <w:szCs w:val="24"/>
          <w:lang w:eastAsia="en-US"/>
        </w:rPr>
        <w:t>SEG emisiju mērķi: līdz 2030.</w:t>
      </w:r>
      <w:r w:rsidR="00970696">
        <w:rPr>
          <w:rFonts w:eastAsia="Calibri"/>
          <w:szCs w:val="24"/>
          <w:lang w:eastAsia="en-US"/>
        </w:rPr>
        <w:t> </w:t>
      </w:r>
      <w:r w:rsidRPr="00A46CC4">
        <w:rPr>
          <w:rFonts w:eastAsia="Calibri"/>
          <w:szCs w:val="24"/>
          <w:lang w:eastAsia="en-US"/>
        </w:rPr>
        <w:t>gadam samazināt kopējo Latvijas SEG emisiju apjomu par 60</w:t>
      </w:r>
      <w:r w:rsidR="00970696">
        <w:rPr>
          <w:rFonts w:eastAsia="Calibri"/>
          <w:szCs w:val="24"/>
          <w:lang w:eastAsia="en-US"/>
        </w:rPr>
        <w:t> </w:t>
      </w:r>
      <w:r w:rsidRPr="00A46CC4">
        <w:rPr>
          <w:rFonts w:eastAsia="Calibri"/>
          <w:szCs w:val="24"/>
          <w:lang w:eastAsia="en-US"/>
        </w:rPr>
        <w:t>% salīdzinot ar 1990.gada kopējo Latvijas SEG emisiju apjomu;</w:t>
      </w:r>
      <w:r w:rsidR="00A27C6D" w:rsidRPr="00A46CC4">
        <w:rPr>
          <w:rFonts w:eastAsia="Calibri"/>
          <w:szCs w:val="24"/>
          <w:lang w:eastAsia="en-US"/>
        </w:rPr>
        <w:t xml:space="preserve"> </w:t>
      </w:r>
    </w:p>
    <w:p w14:paraId="6ADB69EF" w14:textId="77777777" w:rsidR="00793E59" w:rsidRPr="00A46CC4" w:rsidRDefault="00A27C6D" w:rsidP="00CE7080">
      <w:pPr>
        <w:pStyle w:val="ListParagraph"/>
        <w:numPr>
          <w:ilvl w:val="0"/>
          <w:numId w:val="8"/>
        </w:numPr>
        <w:spacing w:before="120" w:after="120"/>
        <w:ind w:left="454" w:hanging="454"/>
        <w:contextualSpacing w:val="0"/>
        <w:rPr>
          <w:rFonts w:eastAsia="Calibri"/>
          <w:szCs w:val="24"/>
          <w:lang w:eastAsia="en-US"/>
        </w:rPr>
      </w:pPr>
      <w:r w:rsidRPr="00A46CC4">
        <w:rPr>
          <w:rFonts w:eastAsia="Calibri"/>
          <w:szCs w:val="24"/>
          <w:lang w:eastAsia="en-US"/>
        </w:rPr>
        <w:t>Līdz 2040.</w:t>
      </w:r>
      <w:r w:rsidR="00EC04AA" w:rsidRPr="00A46CC4">
        <w:rPr>
          <w:rFonts w:eastAsia="Calibri"/>
          <w:szCs w:val="24"/>
          <w:lang w:eastAsia="en-US"/>
        </w:rPr>
        <w:t> </w:t>
      </w:r>
      <w:r w:rsidRPr="00A46CC4">
        <w:rPr>
          <w:rFonts w:eastAsia="Calibri"/>
          <w:szCs w:val="24"/>
          <w:lang w:eastAsia="en-US"/>
        </w:rPr>
        <w:t xml:space="preserve">gadam ir jāsasniedz oglekļa </w:t>
      </w:r>
      <w:r w:rsidR="00C56225" w:rsidRPr="00A46CC4">
        <w:rPr>
          <w:rFonts w:eastAsia="Calibri"/>
          <w:szCs w:val="24"/>
          <w:lang w:eastAsia="en-US"/>
        </w:rPr>
        <w:t xml:space="preserve">neitralitāte, nodrošinot, ka Latvijas SEG emisiju apjoms ir </w:t>
      </w:r>
      <w:r w:rsidR="00A06B4F" w:rsidRPr="00A46CC4">
        <w:rPr>
          <w:rFonts w:eastAsia="Calibri"/>
          <w:szCs w:val="24"/>
          <w:lang w:eastAsia="en-US"/>
        </w:rPr>
        <w:t>vienāds ar</w:t>
      </w:r>
      <w:r w:rsidR="00C56225" w:rsidRPr="00A46CC4">
        <w:rPr>
          <w:rFonts w:eastAsia="Calibri"/>
          <w:szCs w:val="24"/>
          <w:lang w:eastAsia="en-US"/>
        </w:rPr>
        <w:t xml:space="preserve"> radīt</w:t>
      </w:r>
      <w:r w:rsidR="00A06B4F" w:rsidRPr="00A46CC4">
        <w:rPr>
          <w:rFonts w:eastAsia="Calibri"/>
          <w:szCs w:val="24"/>
          <w:lang w:eastAsia="en-US"/>
        </w:rPr>
        <w:t>o</w:t>
      </w:r>
      <w:r w:rsidR="00C56225" w:rsidRPr="00A46CC4">
        <w:rPr>
          <w:rFonts w:eastAsia="Calibri"/>
          <w:szCs w:val="24"/>
          <w:lang w:eastAsia="en-US"/>
        </w:rPr>
        <w:t xml:space="preserve"> CO</w:t>
      </w:r>
      <w:r w:rsidR="00C56225" w:rsidRPr="00A46CC4">
        <w:rPr>
          <w:rFonts w:eastAsia="Calibri"/>
          <w:szCs w:val="24"/>
          <w:vertAlign w:val="subscript"/>
          <w:lang w:eastAsia="en-US"/>
        </w:rPr>
        <w:t xml:space="preserve">2 </w:t>
      </w:r>
      <w:r w:rsidR="00C56225" w:rsidRPr="00A46CC4">
        <w:rPr>
          <w:rFonts w:eastAsia="Calibri"/>
          <w:szCs w:val="24"/>
          <w:lang w:eastAsia="en-US"/>
        </w:rPr>
        <w:t>piesaist</w:t>
      </w:r>
      <w:r w:rsidR="00A06B4F" w:rsidRPr="00A46CC4">
        <w:rPr>
          <w:rFonts w:eastAsia="Calibri"/>
          <w:szCs w:val="24"/>
          <w:lang w:eastAsia="en-US"/>
        </w:rPr>
        <w:t>i</w:t>
      </w:r>
      <w:r w:rsidRPr="00A46CC4">
        <w:rPr>
          <w:rFonts w:eastAsia="Calibri"/>
          <w:szCs w:val="24"/>
          <w:lang w:eastAsia="en-US"/>
        </w:rPr>
        <w:t xml:space="preserve">. </w:t>
      </w:r>
    </w:p>
    <w:p w14:paraId="7E7BD8BA" w14:textId="77777777" w:rsidR="00657A6A" w:rsidRPr="00A46CC4" w:rsidRDefault="00A27C6D" w:rsidP="00CE7080">
      <w:pPr>
        <w:pStyle w:val="ListParagraph"/>
        <w:numPr>
          <w:ilvl w:val="0"/>
          <w:numId w:val="8"/>
        </w:numPr>
        <w:spacing w:before="120" w:after="120"/>
        <w:ind w:left="454" w:hanging="454"/>
        <w:contextualSpacing w:val="0"/>
        <w:rPr>
          <w:rFonts w:eastAsia="Calibri"/>
          <w:szCs w:val="24"/>
          <w:lang w:eastAsia="en-US"/>
        </w:rPr>
      </w:pPr>
      <w:r w:rsidRPr="00A46CC4">
        <w:rPr>
          <w:rFonts w:eastAsia="Calibri"/>
          <w:szCs w:val="24"/>
          <w:lang w:eastAsia="en-US"/>
        </w:rPr>
        <w:t>Līdz 2050.</w:t>
      </w:r>
      <w:r w:rsidR="00EC04AA" w:rsidRPr="00A46CC4">
        <w:rPr>
          <w:rFonts w:eastAsia="Calibri"/>
          <w:szCs w:val="24"/>
          <w:lang w:eastAsia="en-US"/>
        </w:rPr>
        <w:t> </w:t>
      </w:r>
      <w:r w:rsidRPr="00A46CC4">
        <w:rPr>
          <w:rFonts w:eastAsia="Calibri"/>
          <w:szCs w:val="24"/>
          <w:lang w:eastAsia="en-US"/>
        </w:rPr>
        <w:t>gadam ir jāturpina Latvijas SEG emisiju samazināšana, nodrošinot, ka Latvijas SEG emisiju apjoms 2050.</w:t>
      </w:r>
      <w:r w:rsidR="00EC04AA" w:rsidRPr="00A46CC4">
        <w:rPr>
          <w:rFonts w:eastAsia="Calibri"/>
          <w:szCs w:val="24"/>
          <w:lang w:eastAsia="en-US"/>
        </w:rPr>
        <w:t> </w:t>
      </w:r>
      <w:r w:rsidRPr="00A46CC4">
        <w:rPr>
          <w:rFonts w:eastAsia="Calibri"/>
          <w:szCs w:val="24"/>
          <w:lang w:eastAsia="en-US"/>
        </w:rPr>
        <w:t>gadā ir par 80% mazāks nekā 1990.</w:t>
      </w:r>
      <w:r w:rsidR="00EC04AA" w:rsidRPr="00A46CC4">
        <w:rPr>
          <w:rFonts w:eastAsia="Calibri"/>
          <w:szCs w:val="24"/>
          <w:lang w:eastAsia="en-US"/>
        </w:rPr>
        <w:t> </w:t>
      </w:r>
      <w:r w:rsidRPr="00A46CC4">
        <w:rPr>
          <w:rFonts w:eastAsia="Calibri"/>
          <w:szCs w:val="24"/>
          <w:lang w:eastAsia="en-US"/>
        </w:rPr>
        <w:t>gadā.</w:t>
      </w:r>
    </w:p>
    <w:p w14:paraId="6E792831" w14:textId="77777777" w:rsidR="00657A6A" w:rsidRPr="00A46CC4" w:rsidRDefault="00062F70" w:rsidP="00CE7080">
      <w:pPr>
        <w:spacing w:before="120" w:after="120"/>
        <w:rPr>
          <w:rFonts w:eastAsia="Calibri"/>
          <w:b/>
          <w:lang w:eastAsia="en-US"/>
        </w:rPr>
      </w:pPr>
      <w:r w:rsidRPr="00A46CC4">
        <w:rPr>
          <w:rFonts w:eastAsia="Calibri"/>
          <w:b/>
          <w:noProof/>
        </w:rPr>
        <mc:AlternateContent>
          <mc:Choice Requires="wps">
            <w:drawing>
              <wp:anchor distT="0" distB="0" distL="114300" distR="114300" simplePos="0" relativeHeight="251664896" behindDoc="0" locked="0" layoutInCell="1" allowOverlap="1" wp14:anchorId="671022D0" wp14:editId="71147B59">
                <wp:simplePos x="0" y="0"/>
                <wp:positionH relativeFrom="column">
                  <wp:posOffset>4120515</wp:posOffset>
                </wp:positionH>
                <wp:positionV relativeFrom="paragraph">
                  <wp:posOffset>99060</wp:posOffset>
                </wp:positionV>
                <wp:extent cx="786765" cy="278130"/>
                <wp:effectExtent l="0" t="0" r="0" b="7620"/>
                <wp:wrapNone/>
                <wp:docPr id="4" name="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6765" cy="278130"/>
                        </a:xfrm>
                        <a:prstGeom prst="homePlate">
                          <a:avLst/>
                        </a:prstGeom>
                        <a:solidFill>
                          <a:srgbClr val="4F81BD"/>
                        </a:solidFill>
                        <a:ln w="25400" cap="flat" cmpd="sng" algn="ctr">
                          <a:noFill/>
                          <a:prstDash val="solid"/>
                        </a:ln>
                        <a:effectLst/>
                      </wps:spPr>
                      <wps:txbx>
                        <w:txbxContent>
                          <w:p w14:paraId="04563F3D" w14:textId="77777777" w:rsidR="006208D7" w:rsidRPr="009A6570" w:rsidRDefault="006208D7" w:rsidP="00BC07BC">
                            <w:pPr>
                              <w:ind w:firstLine="142"/>
                              <w:jc w:val="center"/>
                              <w:rPr>
                                <w:color w:val="FFFFFF" w:themeColor="background1"/>
                              </w:rPr>
                            </w:pPr>
                            <w:r w:rsidRPr="009A6570">
                              <w:rPr>
                                <w:color w:val="FFFFFF" w:themeColor="background1"/>
                              </w:rPr>
                              <w:t>2050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71022D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left:0;text-align:left;margin-left:324.45pt;margin-top:7.8pt;width:61.95pt;height:2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" adj="17782" fillcolor="#4f81bd" stroked="f" strokeweight="2pt">
                <v:path arrowok="t"/>
                <v:textbox>
                  <w:txbxContent>
                    <w:p w14:paraId="04563F3D" w14:textId="77777777" w:rsidR="006208D7" w:rsidRPr="009A6570" w:rsidRDefault="006208D7" w:rsidP="00BC07BC">
                      <w:pPr>
                        <w:ind w:firstLine="142"/>
                        <w:jc w:val="center"/>
                        <w:rPr>
                          <w:color w:val="FFFFFF" w:themeColor="background1"/>
                        </w:rPr>
                      </w:pPr>
                      <w:r w:rsidRPr="009A6570">
                        <w:rPr>
                          <w:color w:val="FFFFFF" w:themeColor="background1"/>
                        </w:rPr>
                        <w:t>2050</w:t>
                      </w:r>
                    </w:p>
                  </w:txbxContent>
                </v:textbox>
              </v:shape>
            </w:pict>
          </mc:Fallback>
        </mc:AlternateContent>
      </w:r>
      <w:r w:rsidRPr="00A46CC4">
        <w:rPr>
          <w:rFonts w:eastAsia="Calibri"/>
          <w:b/>
          <w:noProof/>
        </w:rPr>
        <mc:AlternateContent>
          <mc:Choice Requires="wps">
            <w:drawing>
              <wp:anchor distT="0" distB="0" distL="114300" distR="114300" simplePos="0" relativeHeight="251660800" behindDoc="0" locked="0" layoutInCell="1" allowOverlap="1" wp14:anchorId="39CCF3DA" wp14:editId="06B3C90B">
                <wp:simplePos x="0" y="0"/>
                <wp:positionH relativeFrom="column">
                  <wp:posOffset>582295</wp:posOffset>
                </wp:positionH>
                <wp:positionV relativeFrom="paragraph">
                  <wp:posOffset>99060</wp:posOffset>
                </wp:positionV>
                <wp:extent cx="786765" cy="285750"/>
                <wp:effectExtent l="0" t="0" r="0" b="0"/>
                <wp:wrapNone/>
                <wp:docPr id="16" name="Pentago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6765" cy="285750"/>
                        </a:xfrm>
                        <a:prstGeom prst="homePlate">
                          <a:avLst/>
                        </a:prstGeom>
                        <a:solidFill>
                          <a:srgbClr val="4F81BD"/>
                        </a:solidFill>
                        <a:ln w="25400" cap="flat" cmpd="sng" algn="ctr">
                          <a:noFill/>
                          <a:prstDash val="solid"/>
                        </a:ln>
                        <a:effectLst/>
                      </wps:spPr>
                      <wps:txbx>
                        <w:txbxContent>
                          <w:p w14:paraId="44D4356A" w14:textId="77777777" w:rsidR="006208D7" w:rsidRPr="00EC04AA" w:rsidRDefault="006208D7" w:rsidP="00C56225">
                            <w:pPr>
                              <w:ind w:firstLine="142"/>
                              <w:jc w:val="center"/>
                              <w:rPr>
                                <w:color w:val="FFFFFF" w:themeColor="background1"/>
                              </w:rPr>
                            </w:pPr>
                            <w:r>
                              <w:rPr>
                                <w:color w:val="FFFFFF" w:themeColor="background1"/>
                              </w:rPr>
                              <w:t>2</w:t>
                            </w:r>
                            <w:r w:rsidRPr="00EC04AA">
                              <w:rPr>
                                <w:color w:val="FFFFFF" w:themeColor="background1"/>
                              </w:rPr>
                              <w:t>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CCF3DA" id="Pentagon 16" o:spid="_x0000_s1027" type="#_x0000_t15" style="position:absolute;left:0;text-align:left;margin-left:45.85pt;margin-top:7.8pt;width:61.9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" adj="17677" fillcolor="#4f81bd" stroked="f" strokeweight="2pt">
                <v:path arrowok="t"/>
                <v:textbox>
                  <w:txbxContent>
                    <w:p w14:paraId="44D4356A" w14:textId="77777777" w:rsidR="006208D7" w:rsidRPr="00EC04AA" w:rsidRDefault="006208D7" w:rsidP="00C56225">
                      <w:pPr>
                        <w:ind w:firstLine="142"/>
                        <w:jc w:val="center"/>
                        <w:rPr>
                          <w:color w:val="FFFFFF" w:themeColor="background1"/>
                        </w:rPr>
                      </w:pPr>
                      <w:r>
                        <w:rPr>
                          <w:color w:val="FFFFFF" w:themeColor="background1"/>
                        </w:rPr>
                        <w:t>2</w:t>
                      </w:r>
                      <w:r w:rsidRPr="00EC04AA">
                        <w:rPr>
                          <w:color w:val="FFFFFF" w:themeColor="background1"/>
                        </w:rPr>
                        <w:t>030</w:t>
                      </w:r>
                    </w:p>
                  </w:txbxContent>
                </v:textbox>
              </v:shape>
            </w:pict>
          </mc:Fallback>
        </mc:AlternateContent>
      </w:r>
      <w:r w:rsidRPr="00A46CC4">
        <w:rPr>
          <w:rFonts w:eastAsia="Calibri"/>
          <w:b/>
          <w:noProof/>
        </w:rPr>
        <mc:AlternateContent>
          <mc:Choice Requires="wps">
            <w:drawing>
              <wp:anchor distT="0" distB="0" distL="114300" distR="114300" simplePos="0" relativeHeight="251662848" behindDoc="0" locked="0" layoutInCell="1" allowOverlap="1" wp14:anchorId="3A344C1D" wp14:editId="0358D951">
                <wp:simplePos x="0" y="0"/>
                <wp:positionH relativeFrom="column">
                  <wp:posOffset>2331085</wp:posOffset>
                </wp:positionH>
                <wp:positionV relativeFrom="paragraph">
                  <wp:posOffset>99060</wp:posOffset>
                </wp:positionV>
                <wp:extent cx="786765" cy="278130"/>
                <wp:effectExtent l="0" t="0" r="0" b="7620"/>
                <wp:wrapNone/>
                <wp:docPr id="18" name="Pentago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6765" cy="278130"/>
                        </a:xfrm>
                        <a:prstGeom prst="homePlate">
                          <a:avLst/>
                        </a:prstGeom>
                        <a:solidFill>
                          <a:srgbClr val="4F81BD"/>
                        </a:solidFill>
                        <a:ln w="25400" cap="flat" cmpd="sng" algn="ctr">
                          <a:noFill/>
                          <a:prstDash val="solid"/>
                        </a:ln>
                        <a:effectLst/>
                      </wps:spPr>
                      <wps:txbx>
                        <w:txbxContent>
                          <w:p w14:paraId="77C1218E" w14:textId="77777777" w:rsidR="006208D7" w:rsidRPr="009A6570" w:rsidRDefault="006208D7" w:rsidP="00BC07BC">
                            <w:pPr>
                              <w:ind w:firstLine="142"/>
                              <w:jc w:val="center"/>
                              <w:rPr>
                                <w:color w:val="FFFFFF" w:themeColor="background1"/>
                              </w:rPr>
                            </w:pPr>
                            <w:r w:rsidRPr="009A6570">
                              <w:rPr>
                                <w:color w:val="FFFFFF" w:themeColor="background1"/>
                              </w:rPr>
                              <w:t>2040</w:t>
                            </w:r>
                          </w:p>
                          <w:p w14:paraId="47313ABF" w14:textId="77777777" w:rsidR="006208D7" w:rsidRDefault="006208D7" w:rsidP="007828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344C1D" id="Pentagon 18" o:spid="_x0000_s1028" type="#_x0000_t15" style="position:absolute;left:0;text-align:left;margin-left:183.55pt;margin-top:7.8pt;width:61.95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" adj="17782" fillcolor="#4f81bd" stroked="f" strokeweight="2pt">
                <v:path arrowok="t"/>
                <v:textbox>
                  <w:txbxContent>
                    <w:p w14:paraId="77C1218E" w14:textId="77777777" w:rsidR="006208D7" w:rsidRPr="009A6570" w:rsidRDefault="006208D7" w:rsidP="00BC07BC">
                      <w:pPr>
                        <w:ind w:firstLine="142"/>
                        <w:jc w:val="center"/>
                        <w:rPr>
                          <w:color w:val="FFFFFF" w:themeColor="background1"/>
                        </w:rPr>
                      </w:pPr>
                      <w:r w:rsidRPr="009A6570">
                        <w:rPr>
                          <w:color w:val="FFFFFF" w:themeColor="background1"/>
                        </w:rPr>
                        <w:t>2040</w:t>
                      </w:r>
                    </w:p>
                    <w:p w14:paraId="47313ABF" w14:textId="77777777" w:rsidR="006208D7" w:rsidRDefault="006208D7" w:rsidP="00782899"/>
                  </w:txbxContent>
                </v:textbox>
              </v:shape>
            </w:pict>
          </mc:Fallback>
        </mc:AlternateContent>
      </w:r>
      <w:r w:rsidR="00DA5E83" w:rsidRPr="00A46CC4">
        <w:rPr>
          <w:rFonts w:eastAsia="Calibri"/>
          <w:b/>
          <w:noProof/>
        </w:rPr>
        <w:drawing>
          <wp:inline distT="0" distB="0" distL="0" distR="0" wp14:anchorId="0295B7AB" wp14:editId="44B3DA49">
            <wp:extent cx="5539740" cy="14458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9740" cy="1445895"/>
                    </a:xfrm>
                    <a:prstGeom prst="rect">
                      <a:avLst/>
                    </a:prstGeom>
                    <a:noFill/>
                    <a:ln>
                      <a:noFill/>
                    </a:ln>
                  </pic:spPr>
                </pic:pic>
              </a:graphicData>
            </a:graphic>
          </wp:inline>
        </w:drawing>
      </w:r>
    </w:p>
    <w:p w14:paraId="3907E267" w14:textId="19B4511D" w:rsidR="00657A6A" w:rsidRPr="001B79A2" w:rsidRDefault="00657A6A" w:rsidP="00CE7080">
      <w:pPr>
        <w:pStyle w:val="Title"/>
        <w:spacing w:before="120" w:after="120"/>
        <w:contextualSpacing w:val="0"/>
        <w:rPr>
          <w:rFonts w:eastAsia="Calibri"/>
          <w:lang w:eastAsia="en-US"/>
        </w:rPr>
      </w:pPr>
      <w:r w:rsidRPr="001B79A2">
        <w:rPr>
          <w:rFonts w:eastAsia="Calibri"/>
          <w:lang w:eastAsia="en-US"/>
        </w:rPr>
        <w:t>2.</w:t>
      </w:r>
      <w:r w:rsidR="00793E59" w:rsidRPr="001B79A2">
        <w:rPr>
          <w:rFonts w:eastAsia="Calibri"/>
          <w:lang w:eastAsia="en-US"/>
        </w:rPr>
        <w:t xml:space="preserve"> </w:t>
      </w:r>
      <w:r w:rsidRPr="001B79A2">
        <w:rPr>
          <w:rFonts w:eastAsia="Calibri"/>
          <w:lang w:eastAsia="en-US"/>
        </w:rPr>
        <w:t xml:space="preserve">attēls. </w:t>
      </w:r>
      <w:r w:rsidR="00254C4F" w:rsidRPr="001B79A2">
        <w:rPr>
          <w:rFonts w:eastAsia="Calibri"/>
          <w:lang w:eastAsia="en-US"/>
        </w:rPr>
        <w:t>OMA s</w:t>
      </w:r>
      <w:r w:rsidRPr="001B79A2">
        <w:rPr>
          <w:rFonts w:eastAsia="Calibri"/>
          <w:lang w:eastAsia="en-US"/>
        </w:rPr>
        <w:t>tratēģijas īstenošanas ceļa karte</w:t>
      </w:r>
    </w:p>
    <w:p w14:paraId="7E8553F8" w14:textId="77777777" w:rsidR="00657A6A" w:rsidRPr="00A46CC4" w:rsidRDefault="00254C4F" w:rsidP="00CE7080">
      <w:pPr>
        <w:spacing w:before="120" w:after="120"/>
        <w:rPr>
          <w:rFonts w:eastAsia="Calibri"/>
          <w:lang w:eastAsia="en-US"/>
        </w:rPr>
      </w:pPr>
      <w:r w:rsidRPr="00A46CC4">
        <w:rPr>
          <w:rFonts w:eastAsia="Calibri"/>
          <w:lang w:eastAsia="en-US"/>
        </w:rPr>
        <w:t>OMA s</w:t>
      </w:r>
      <w:r w:rsidR="00657A6A" w:rsidRPr="00A46CC4">
        <w:rPr>
          <w:rFonts w:eastAsia="Calibri"/>
          <w:lang w:eastAsia="en-US"/>
        </w:rPr>
        <w:t xml:space="preserve">tratēģijas īstenošanas rezultātu </w:t>
      </w:r>
      <w:r w:rsidR="006853EA" w:rsidRPr="00A46CC4">
        <w:rPr>
          <w:rFonts w:eastAsia="Calibri"/>
          <w:lang w:eastAsia="en-US"/>
        </w:rPr>
        <w:t xml:space="preserve">novērtēšanai </w:t>
      </w:r>
      <w:r w:rsidR="00657A6A" w:rsidRPr="00A46CC4">
        <w:rPr>
          <w:rFonts w:eastAsia="Calibri"/>
          <w:lang w:eastAsia="en-US"/>
        </w:rPr>
        <w:t>svarīga nozīme ir indikatoriem, kas atspoguļo virzību uz stratēģijā izvirzītā mērķa un uzdevumu izpildi. Stratēģijas indikatori mēra svarīgākos attīstības aspektus, lai vispusīgā veidā informētu sabiedrību par progresu stratēģijas izpildē.</w:t>
      </w:r>
    </w:p>
    <w:p w14:paraId="5BF34708" w14:textId="1A0E4328" w:rsidR="00657A6A" w:rsidRPr="00A46CC4" w:rsidRDefault="00657A6A" w:rsidP="00CE7080">
      <w:pPr>
        <w:pStyle w:val="Subtitle"/>
        <w:spacing w:after="120"/>
        <w:rPr>
          <w:rFonts w:eastAsia="Calibri"/>
          <w:lang w:eastAsia="en-US"/>
        </w:rPr>
      </w:pPr>
      <w:r w:rsidRPr="00A46CC4">
        <w:rPr>
          <w:rFonts w:eastAsia="Calibri"/>
          <w:lang w:eastAsia="en-US"/>
        </w:rPr>
        <w:t>Indikators</w:t>
      </w:r>
      <w:r w:rsidR="00EB3C64" w:rsidRPr="00A46CC4">
        <w:rPr>
          <w:rFonts w:eastAsia="Calibri"/>
          <w:lang w:eastAsia="en-US"/>
        </w:rPr>
        <w:t xml:space="preserve"> 1</w:t>
      </w:r>
      <w:r w:rsidRPr="00A46CC4">
        <w:rPr>
          <w:rFonts w:eastAsia="Calibri"/>
          <w:lang w:eastAsia="en-US"/>
        </w:rPr>
        <w:t xml:space="preserve">: </w:t>
      </w:r>
      <w:r w:rsidR="00751FD9" w:rsidRPr="00A46CC4">
        <w:rPr>
          <w:rFonts w:eastAsia="Calibri"/>
          <w:lang w:eastAsia="en-US"/>
        </w:rPr>
        <w:t>SEG emisiju intensitāte pret IKP (kt CO</w:t>
      </w:r>
      <w:r w:rsidR="00751FD9" w:rsidRPr="00A46CC4">
        <w:rPr>
          <w:rFonts w:eastAsia="Calibri"/>
          <w:vertAlign w:val="subscript"/>
          <w:lang w:eastAsia="en-US"/>
        </w:rPr>
        <w:t>2</w:t>
      </w:r>
      <w:r w:rsidR="008631C1" w:rsidRPr="00A46CC4">
        <w:rPr>
          <w:rFonts w:eastAsia="Calibri"/>
          <w:vertAlign w:val="subscript"/>
          <w:lang w:eastAsia="en-US"/>
        </w:rPr>
        <w:t xml:space="preserve"> ekv</w:t>
      </w:r>
      <w:r w:rsidR="00751FD9" w:rsidRPr="00A46CC4">
        <w:rPr>
          <w:rFonts w:eastAsia="Calibri"/>
          <w:lang w:eastAsia="en-US"/>
        </w:rPr>
        <w:t xml:space="preserve"> </w:t>
      </w:r>
      <w:r w:rsidR="00C33E4A" w:rsidRPr="00A46CC4">
        <w:rPr>
          <w:rStyle w:val="FootnoteReference"/>
          <w:rFonts w:eastAsia="Calibri"/>
          <w:lang w:eastAsia="en-US"/>
        </w:rPr>
        <w:footnoteReference w:id="12"/>
      </w:r>
      <w:r w:rsidR="00751FD9" w:rsidRPr="00A46CC4">
        <w:rPr>
          <w:rFonts w:eastAsia="Calibri"/>
          <w:lang w:eastAsia="en-US"/>
        </w:rPr>
        <w:t xml:space="preserve"> uz IKP)</w:t>
      </w:r>
    </w:p>
    <w:p w14:paraId="1EF8D427" w14:textId="77777777" w:rsidR="00657A6A" w:rsidRPr="00A46CC4" w:rsidRDefault="00657A6A" w:rsidP="00CE7080">
      <w:pPr>
        <w:spacing w:before="120" w:after="120"/>
        <w:rPr>
          <w:rFonts w:eastAsia="Calibri"/>
          <w:lang w:eastAsia="en-US"/>
        </w:rPr>
      </w:pPr>
      <w:r w:rsidRPr="00A46CC4">
        <w:rPr>
          <w:rFonts w:eastAsia="Calibri"/>
          <w:lang w:eastAsia="en-US"/>
        </w:rPr>
        <w:t xml:space="preserve">IKP atsaiste no SEG emisijām </w:t>
      </w:r>
      <w:r w:rsidR="008C2258" w:rsidRPr="00A46CC4">
        <w:rPr>
          <w:rFonts w:eastAsia="Calibri"/>
          <w:lang w:eastAsia="en-US"/>
        </w:rPr>
        <w:t>ir</w:t>
      </w:r>
      <w:r w:rsidRPr="00A46CC4">
        <w:rPr>
          <w:rFonts w:eastAsia="Calibri"/>
          <w:lang w:eastAsia="en-US"/>
        </w:rPr>
        <w:t xml:space="preserve"> nacionālās ekonomikas izaugsme, nepalielinot SEG emisijas no tautsaimniecības nozarēm</w:t>
      </w:r>
      <w:r w:rsidR="00613C39" w:rsidRPr="00A46CC4">
        <w:rPr>
          <w:rFonts w:eastAsia="Calibri"/>
          <w:lang w:eastAsia="en-US"/>
        </w:rPr>
        <w:t>.</w:t>
      </w:r>
      <w:r w:rsidR="00793E59" w:rsidRPr="00A46CC4">
        <w:rPr>
          <w:rFonts w:eastAsia="Calibri"/>
          <w:lang w:eastAsia="en-US"/>
        </w:rPr>
        <w:t xml:space="preserve"> </w:t>
      </w:r>
      <w:r w:rsidR="00254C4F" w:rsidRPr="00A46CC4">
        <w:rPr>
          <w:rFonts w:eastAsia="Calibri"/>
          <w:lang w:eastAsia="en-US"/>
        </w:rPr>
        <w:t>OMA s</w:t>
      </w:r>
      <w:r w:rsidR="00B401FE" w:rsidRPr="00A46CC4">
        <w:rPr>
          <w:rFonts w:eastAsia="Calibri"/>
          <w:lang w:eastAsia="en-US"/>
        </w:rPr>
        <w:t>tratēģija paredz IKP palielinājumu, taču tajā pašā laikā SEG emisiju samazinājumu</w:t>
      </w:r>
      <w:r w:rsidR="008C2258" w:rsidRPr="00A46CC4">
        <w:rPr>
          <w:rFonts w:eastAsia="Calibri"/>
          <w:lang w:eastAsia="en-US"/>
        </w:rPr>
        <w:t xml:space="preserve"> no tautsaimniecības nozarēm</w:t>
      </w:r>
      <w:r w:rsidR="00B401FE" w:rsidRPr="00A46CC4">
        <w:rPr>
          <w:rFonts w:eastAsia="Calibri"/>
          <w:lang w:eastAsia="en-US"/>
        </w:rPr>
        <w:t>.</w:t>
      </w:r>
    </w:p>
    <w:p w14:paraId="63CB1A16" w14:textId="7A0620E3" w:rsidR="005F1971" w:rsidRPr="00A46CC4" w:rsidRDefault="005F1971" w:rsidP="00CE7080">
      <w:pPr>
        <w:spacing w:before="120" w:after="120"/>
        <w:rPr>
          <w:rFonts w:eastAsia="Calibri"/>
          <w:b/>
          <w:lang w:eastAsia="en-US"/>
        </w:rPr>
      </w:pPr>
      <w:r w:rsidRPr="00A46CC4">
        <w:rPr>
          <w:rFonts w:eastAsia="Calibri"/>
          <w:b/>
          <w:lang w:eastAsia="en-US"/>
        </w:rPr>
        <w:t>Indikators</w:t>
      </w:r>
      <w:r w:rsidR="00EB3C64" w:rsidRPr="00A46CC4">
        <w:rPr>
          <w:rFonts w:eastAsia="Calibri"/>
          <w:b/>
          <w:lang w:eastAsia="en-US"/>
        </w:rPr>
        <w:t xml:space="preserve"> 2</w:t>
      </w:r>
      <w:r w:rsidRPr="00A46CC4">
        <w:rPr>
          <w:rFonts w:eastAsia="Calibri"/>
          <w:b/>
          <w:lang w:eastAsia="en-US"/>
        </w:rPr>
        <w:t>: Resursu produktivitāte (</w:t>
      </w:r>
      <w:r w:rsidR="00297AAC">
        <w:rPr>
          <w:rFonts w:eastAsia="Calibri"/>
          <w:b/>
          <w:lang w:eastAsia="en-US"/>
        </w:rPr>
        <w:t>euro</w:t>
      </w:r>
      <w:r w:rsidRPr="00A46CC4">
        <w:rPr>
          <w:rFonts w:eastAsia="Calibri"/>
          <w:b/>
          <w:lang w:eastAsia="en-US"/>
        </w:rPr>
        <w:t>/kg)</w:t>
      </w:r>
    </w:p>
    <w:p w14:paraId="0981E8EC" w14:textId="74820EBA" w:rsidR="005F1971" w:rsidRPr="00A46CC4" w:rsidRDefault="005F1971" w:rsidP="00CE7080">
      <w:pPr>
        <w:spacing w:before="120" w:after="120"/>
        <w:rPr>
          <w:rFonts w:eastAsia="Calibri"/>
          <w:lang w:eastAsia="en-US"/>
        </w:rPr>
      </w:pPr>
      <w:r w:rsidRPr="00A46CC4">
        <w:rPr>
          <w:rFonts w:eastAsia="Calibri"/>
          <w:lang w:eastAsia="en-US"/>
        </w:rPr>
        <w:t xml:space="preserve">Resursu produktivitāte raksturo kopējo materiālu daudzumu, kas valstī tiek izmantots saimnieciskajai darbībai. Šis rādītājs parāda, vai notiek dabas resursu izmantošanas un </w:t>
      </w:r>
      <w:r w:rsidRPr="00A46CC4">
        <w:rPr>
          <w:rFonts w:eastAsia="Calibri"/>
          <w:lang w:eastAsia="en-US"/>
        </w:rPr>
        <w:lastRenderedPageBreak/>
        <w:t>ekonomiskās izaugsmes atsaiste, kas ir viens no valsts ilgtspējīgas attīstības rādītājiem. Resursu produktivitātes mērķis ir līdz 2030.</w:t>
      </w:r>
      <w:r w:rsidR="00905A47">
        <w:rPr>
          <w:rFonts w:eastAsia="Calibri"/>
          <w:lang w:eastAsia="en-US"/>
        </w:rPr>
        <w:t> </w:t>
      </w:r>
      <w:r w:rsidRPr="00A46CC4">
        <w:rPr>
          <w:rFonts w:eastAsia="Calibri"/>
          <w:lang w:eastAsia="en-US"/>
        </w:rPr>
        <w:t xml:space="preserve">gadam resursu produktivitātes radītāju sasniegt 1,55 </w:t>
      </w:r>
      <w:r w:rsidR="00297AAC">
        <w:rPr>
          <w:rFonts w:eastAsia="Calibri"/>
          <w:lang w:eastAsia="en-US"/>
        </w:rPr>
        <w:t>euro</w:t>
      </w:r>
      <w:r w:rsidRPr="00A46CC4">
        <w:rPr>
          <w:rFonts w:eastAsia="Calibri"/>
          <w:lang w:eastAsia="en-US"/>
        </w:rPr>
        <w:t xml:space="preserve">/kg. </w:t>
      </w:r>
    </w:p>
    <w:p w14:paraId="15EF810E" w14:textId="34209E8B" w:rsidR="00657A6A" w:rsidRPr="00A46CC4" w:rsidRDefault="00657A6A" w:rsidP="00CE7080">
      <w:pPr>
        <w:pStyle w:val="Subtitle"/>
        <w:spacing w:after="120"/>
        <w:rPr>
          <w:rFonts w:eastAsia="Calibri"/>
          <w:lang w:eastAsia="en-US"/>
        </w:rPr>
      </w:pPr>
      <w:r w:rsidRPr="00A46CC4">
        <w:rPr>
          <w:rFonts w:eastAsia="Calibri"/>
          <w:lang w:eastAsia="en-US"/>
        </w:rPr>
        <w:t>Indikators</w:t>
      </w:r>
      <w:r w:rsidR="00EB3C64" w:rsidRPr="00A46CC4">
        <w:rPr>
          <w:rFonts w:eastAsia="Calibri"/>
          <w:lang w:eastAsia="en-US"/>
        </w:rPr>
        <w:t xml:space="preserve"> 3</w:t>
      </w:r>
      <w:r w:rsidRPr="00A46CC4">
        <w:rPr>
          <w:rFonts w:eastAsia="Calibri"/>
          <w:lang w:eastAsia="en-US"/>
        </w:rPr>
        <w:t xml:space="preserve">: SEG emisiju attiecība pret </w:t>
      </w:r>
      <w:r w:rsidR="006853EA" w:rsidRPr="00A46CC4">
        <w:rPr>
          <w:rFonts w:eastAsia="Calibri"/>
          <w:lang w:eastAsia="en-US"/>
        </w:rPr>
        <w:t>CO</w:t>
      </w:r>
      <w:r w:rsidR="006853EA" w:rsidRPr="00A46CC4">
        <w:rPr>
          <w:rFonts w:eastAsia="Calibri"/>
          <w:vertAlign w:val="subscript"/>
          <w:lang w:eastAsia="en-US"/>
        </w:rPr>
        <w:t>2</w:t>
      </w:r>
      <w:r w:rsidR="006853EA" w:rsidRPr="00A46CC4">
        <w:rPr>
          <w:rFonts w:eastAsia="Calibri"/>
          <w:lang w:eastAsia="en-US"/>
        </w:rPr>
        <w:t xml:space="preserve"> </w:t>
      </w:r>
      <w:r w:rsidRPr="00A46CC4">
        <w:rPr>
          <w:rFonts w:eastAsia="Calibri"/>
          <w:lang w:eastAsia="en-US"/>
        </w:rPr>
        <w:t>piesaisti (kt CO</w:t>
      </w:r>
      <w:r w:rsidRPr="00A46CC4">
        <w:rPr>
          <w:rFonts w:eastAsia="Calibri"/>
          <w:vertAlign w:val="subscript"/>
          <w:lang w:eastAsia="en-US"/>
        </w:rPr>
        <w:t>2</w:t>
      </w:r>
      <w:r w:rsidR="008631C1" w:rsidRPr="00A46CC4">
        <w:rPr>
          <w:rFonts w:eastAsia="Calibri"/>
          <w:vertAlign w:val="subscript"/>
          <w:lang w:eastAsia="en-US"/>
        </w:rPr>
        <w:t xml:space="preserve"> ekv</w:t>
      </w:r>
      <w:r w:rsidRPr="00A46CC4">
        <w:rPr>
          <w:rFonts w:eastAsia="Calibri"/>
          <w:lang w:eastAsia="en-US"/>
        </w:rPr>
        <w:t>)</w:t>
      </w:r>
    </w:p>
    <w:p w14:paraId="2036A07F" w14:textId="77777777" w:rsidR="00657A6A" w:rsidRPr="00A46CC4" w:rsidRDefault="00657A6A" w:rsidP="00CE7080">
      <w:pPr>
        <w:spacing w:before="120" w:after="120"/>
        <w:rPr>
          <w:rFonts w:eastAsia="Calibri"/>
          <w:lang w:eastAsia="en-US"/>
        </w:rPr>
      </w:pPr>
      <w:r w:rsidRPr="00A46CC4">
        <w:rPr>
          <w:rFonts w:eastAsia="Calibri"/>
          <w:lang w:eastAsia="en-US"/>
        </w:rPr>
        <w:t xml:space="preserve">Oglekļa neitralitātes sasniegšana </w:t>
      </w:r>
      <w:r w:rsidR="008C2258" w:rsidRPr="00A46CC4">
        <w:rPr>
          <w:rFonts w:eastAsia="Calibri"/>
          <w:lang w:eastAsia="en-US"/>
        </w:rPr>
        <w:t xml:space="preserve">ir </w:t>
      </w:r>
      <w:r w:rsidRPr="00A46CC4">
        <w:rPr>
          <w:rFonts w:eastAsia="Calibri"/>
          <w:lang w:eastAsia="en-US"/>
        </w:rPr>
        <w:t>nozīmīgs solis ekonomikas dekarbonizācijā. Oglekļa neitralitāte nozīmē pilnīgu cilvēka saimnieciskajā darbībā radītā CO</w:t>
      </w:r>
      <w:r w:rsidRPr="00A46CC4">
        <w:rPr>
          <w:rFonts w:eastAsia="Calibri"/>
          <w:vertAlign w:val="subscript"/>
          <w:lang w:eastAsia="en-US"/>
        </w:rPr>
        <w:t>2</w:t>
      </w:r>
      <w:r w:rsidRPr="00A46CC4">
        <w:rPr>
          <w:rFonts w:eastAsia="Calibri"/>
          <w:lang w:eastAsia="en-US"/>
        </w:rPr>
        <w:t xml:space="preserve"> absorbēšanu zaļajā biomasā un okeānos. </w:t>
      </w:r>
      <w:r w:rsidR="006853EA" w:rsidRPr="00A46CC4">
        <w:rPr>
          <w:rFonts w:eastAsia="Calibri"/>
          <w:lang w:eastAsia="en-US"/>
        </w:rPr>
        <w:t xml:space="preserve">Oglekļa neitralitāte ir sasniegta tad, ja </w:t>
      </w:r>
      <w:r w:rsidR="008C2258" w:rsidRPr="00A46CC4">
        <w:rPr>
          <w:rFonts w:eastAsia="Calibri"/>
          <w:lang w:eastAsia="en-US"/>
        </w:rPr>
        <w:t xml:space="preserve">radīto </w:t>
      </w:r>
      <w:r w:rsidR="006853EA" w:rsidRPr="00A46CC4">
        <w:rPr>
          <w:rFonts w:eastAsia="Calibri"/>
          <w:lang w:eastAsia="en-US"/>
        </w:rPr>
        <w:t>SEG emisiju apjoms ir vienāds ar CO</w:t>
      </w:r>
      <w:r w:rsidR="006853EA" w:rsidRPr="00A46CC4">
        <w:rPr>
          <w:rFonts w:eastAsia="Calibri"/>
          <w:vertAlign w:val="subscript"/>
          <w:lang w:eastAsia="en-US"/>
        </w:rPr>
        <w:t>2</w:t>
      </w:r>
      <w:r w:rsidR="006853EA" w:rsidRPr="00A46CC4">
        <w:rPr>
          <w:rFonts w:eastAsia="Calibri"/>
          <w:lang w:eastAsia="en-US"/>
        </w:rPr>
        <w:t xml:space="preserve"> piesaistes apjomu.</w:t>
      </w:r>
    </w:p>
    <w:p w14:paraId="6AB7FAA1" w14:textId="626EFC48" w:rsidR="00657A6A" w:rsidRPr="00A46CC4" w:rsidRDefault="00657A6A" w:rsidP="00CE7080">
      <w:pPr>
        <w:pStyle w:val="Subtitle"/>
        <w:spacing w:after="120"/>
        <w:rPr>
          <w:rFonts w:eastAsia="Calibri"/>
          <w:lang w:eastAsia="en-US"/>
        </w:rPr>
      </w:pPr>
      <w:r w:rsidRPr="00A46CC4">
        <w:rPr>
          <w:rFonts w:eastAsia="Calibri"/>
          <w:lang w:eastAsia="en-US"/>
        </w:rPr>
        <w:t>Indikators</w:t>
      </w:r>
      <w:r w:rsidR="00EB3C64" w:rsidRPr="00A46CC4">
        <w:rPr>
          <w:rFonts w:eastAsia="Calibri"/>
          <w:lang w:eastAsia="en-US"/>
        </w:rPr>
        <w:t xml:space="preserve"> 4</w:t>
      </w:r>
      <w:r w:rsidRPr="00A46CC4">
        <w:rPr>
          <w:rFonts w:eastAsia="Calibri"/>
          <w:lang w:eastAsia="en-US"/>
        </w:rPr>
        <w:t xml:space="preserve">: SEG </w:t>
      </w:r>
      <w:r w:rsidRPr="00A46CC4">
        <w:t>emisiju</w:t>
      </w:r>
      <w:r w:rsidRPr="00A46CC4">
        <w:rPr>
          <w:rFonts w:eastAsia="Calibri"/>
          <w:lang w:eastAsia="en-US"/>
        </w:rPr>
        <w:t xml:space="preserve"> apjoma izmaiņas pret iepriekšējo gadu sektorālā griezumā (kt CO</w:t>
      </w:r>
      <w:r w:rsidRPr="00A46CC4">
        <w:rPr>
          <w:rFonts w:eastAsia="Calibri"/>
          <w:vertAlign w:val="subscript"/>
          <w:lang w:eastAsia="en-US"/>
        </w:rPr>
        <w:t>2</w:t>
      </w:r>
      <w:r w:rsidR="008631C1" w:rsidRPr="00A46CC4">
        <w:rPr>
          <w:rFonts w:eastAsia="Calibri"/>
          <w:vertAlign w:val="subscript"/>
          <w:lang w:eastAsia="en-US"/>
        </w:rPr>
        <w:t xml:space="preserve"> ekv</w:t>
      </w:r>
      <w:r w:rsidRPr="00A46CC4">
        <w:rPr>
          <w:rFonts w:eastAsia="Calibri"/>
          <w:lang w:eastAsia="en-US"/>
        </w:rPr>
        <w:t>)</w:t>
      </w:r>
    </w:p>
    <w:p w14:paraId="2F16F22B" w14:textId="744149E9" w:rsidR="00657A6A" w:rsidRPr="00A46CC4" w:rsidRDefault="00657A6A" w:rsidP="00CE7080">
      <w:pPr>
        <w:spacing w:before="120" w:after="120"/>
        <w:rPr>
          <w:rFonts w:eastAsia="Calibri"/>
          <w:u w:val="single"/>
          <w:lang w:eastAsia="en-US"/>
        </w:rPr>
      </w:pPr>
      <w:r w:rsidRPr="00A46CC4">
        <w:rPr>
          <w:rFonts w:eastAsia="Calibri"/>
          <w:lang w:eastAsia="en-US"/>
        </w:rPr>
        <w:t>Lai novērtētu SEG emisiju dinamiku un tendences, katru gadu tiek uzskaitītas Latvijas SEG emisi</w:t>
      </w:r>
      <w:r w:rsidR="00970696">
        <w:rPr>
          <w:rFonts w:eastAsia="Calibri"/>
          <w:lang w:eastAsia="en-US"/>
        </w:rPr>
        <w:t>jas un piesaiste sākot no 1990. </w:t>
      </w:r>
      <w:r w:rsidR="007159FA" w:rsidRPr="00A46CC4">
        <w:rPr>
          <w:rFonts w:eastAsia="Calibri"/>
          <w:lang w:eastAsia="en-US"/>
        </w:rPr>
        <w:t>g</w:t>
      </w:r>
      <w:r w:rsidRPr="00A46CC4">
        <w:rPr>
          <w:rFonts w:eastAsia="Calibri"/>
          <w:lang w:eastAsia="en-US"/>
        </w:rPr>
        <w:t>ada</w:t>
      </w:r>
      <w:r w:rsidR="007159FA" w:rsidRPr="00A46CC4">
        <w:rPr>
          <w:rFonts w:eastAsia="Calibri"/>
          <w:lang w:eastAsia="en-US"/>
        </w:rPr>
        <w:t xml:space="preserve"> enerģētikas</w:t>
      </w:r>
      <w:r w:rsidR="009D26D6" w:rsidRPr="00A46CC4">
        <w:rPr>
          <w:rFonts w:eastAsia="Calibri"/>
          <w:lang w:eastAsia="en-US"/>
        </w:rPr>
        <w:t>;</w:t>
      </w:r>
      <w:r w:rsidR="007159FA" w:rsidRPr="00A46CC4">
        <w:rPr>
          <w:rFonts w:eastAsia="Calibri"/>
          <w:lang w:eastAsia="en-US"/>
        </w:rPr>
        <w:t xml:space="preserve"> transporta</w:t>
      </w:r>
      <w:r w:rsidR="009D26D6" w:rsidRPr="00A46CC4">
        <w:rPr>
          <w:rFonts w:eastAsia="Calibri"/>
          <w:lang w:eastAsia="en-US"/>
        </w:rPr>
        <w:t>;</w:t>
      </w:r>
      <w:r w:rsidR="007159FA" w:rsidRPr="00A46CC4">
        <w:rPr>
          <w:rFonts w:eastAsia="Calibri"/>
          <w:lang w:eastAsia="en-US"/>
        </w:rPr>
        <w:t xml:space="preserve"> rūpniecisko procesu un produktu izmantošanas</w:t>
      </w:r>
      <w:r w:rsidR="009D26D6" w:rsidRPr="00A46CC4">
        <w:rPr>
          <w:rFonts w:eastAsia="Calibri"/>
          <w:lang w:eastAsia="en-US"/>
        </w:rPr>
        <w:t>;</w:t>
      </w:r>
      <w:r w:rsidR="007159FA" w:rsidRPr="00A46CC4">
        <w:rPr>
          <w:rFonts w:eastAsia="Calibri"/>
          <w:lang w:eastAsia="en-US"/>
        </w:rPr>
        <w:t xml:space="preserve"> lauksaimniecības</w:t>
      </w:r>
      <w:r w:rsidR="009D26D6" w:rsidRPr="00A46CC4">
        <w:rPr>
          <w:rFonts w:eastAsia="Calibri"/>
          <w:lang w:eastAsia="en-US"/>
        </w:rPr>
        <w:t>;</w:t>
      </w:r>
      <w:r w:rsidR="007159FA" w:rsidRPr="00A46CC4">
        <w:rPr>
          <w:rFonts w:eastAsia="Calibri"/>
          <w:lang w:eastAsia="en-US"/>
        </w:rPr>
        <w:t xml:space="preserve"> zemes izmantošanas, zemes izmantošanas maiņas un mežsaimniecības un atkritumu apsaimniekošanas sektor</w:t>
      </w:r>
      <w:r w:rsidR="00663AE3" w:rsidRPr="00A46CC4">
        <w:rPr>
          <w:rFonts w:eastAsia="Calibri"/>
          <w:lang w:eastAsia="en-US"/>
        </w:rPr>
        <w:t>ā</w:t>
      </w:r>
      <w:r w:rsidR="007159FA" w:rsidRPr="00A46CC4">
        <w:rPr>
          <w:rFonts w:eastAsia="Calibri"/>
          <w:lang w:eastAsia="en-US"/>
        </w:rPr>
        <w:t xml:space="preserve">. </w:t>
      </w:r>
    </w:p>
    <w:p w14:paraId="1E5522E1" w14:textId="77777777" w:rsidR="009A4A33" w:rsidRPr="00A46CC4" w:rsidRDefault="009A4A33" w:rsidP="00CE7080">
      <w:pPr>
        <w:spacing w:before="120" w:after="120"/>
        <w:rPr>
          <w:rFonts w:eastAsia="Calibri"/>
          <w:b/>
          <w:lang w:eastAsia="en-US"/>
        </w:rPr>
      </w:pPr>
    </w:p>
    <w:p w14:paraId="4327E19D" w14:textId="118DFCF3" w:rsidR="00657A6A" w:rsidRPr="00A46CC4" w:rsidRDefault="00254C4F" w:rsidP="00CE7080">
      <w:pPr>
        <w:pStyle w:val="Heading2"/>
        <w:numPr>
          <w:ilvl w:val="1"/>
          <w:numId w:val="25"/>
        </w:numPr>
        <w:spacing w:before="120" w:after="120"/>
        <w:jc w:val="both"/>
        <w:rPr>
          <w:rFonts w:eastAsia="Calibri"/>
        </w:rPr>
      </w:pPr>
      <w:bookmarkStart w:id="4" w:name="_Toc523217367"/>
      <w:r w:rsidRPr="00A46CC4">
        <w:rPr>
          <w:rFonts w:eastAsia="Calibri"/>
        </w:rPr>
        <w:t>OMA s</w:t>
      </w:r>
      <w:r w:rsidR="00657A6A" w:rsidRPr="00A46CC4">
        <w:rPr>
          <w:rFonts w:eastAsia="Calibri"/>
        </w:rPr>
        <w:t>tratēģijas uzdevumi</w:t>
      </w:r>
      <w:bookmarkEnd w:id="4"/>
      <w:r w:rsidR="00657A6A" w:rsidRPr="00A46CC4">
        <w:rPr>
          <w:rFonts w:eastAsia="Calibri"/>
        </w:rPr>
        <w:t xml:space="preserve"> </w:t>
      </w:r>
    </w:p>
    <w:p w14:paraId="65EFC49E" w14:textId="77777777" w:rsidR="006E45B1" w:rsidRPr="00A46CC4" w:rsidRDefault="006E45B1" w:rsidP="00CE7080">
      <w:pPr>
        <w:spacing w:before="120" w:after="120"/>
        <w:rPr>
          <w:rFonts w:eastAsia="Calibri"/>
          <w:b/>
          <w:lang w:eastAsia="en-US"/>
        </w:rPr>
      </w:pPr>
      <w:r w:rsidRPr="00A46CC4">
        <w:rPr>
          <w:rFonts w:eastAsia="Calibri"/>
          <w:b/>
          <w:lang w:eastAsia="en-US"/>
        </w:rPr>
        <w:t>Stratēģijas sekmīgai īstenošanai ir noteikti šādi uzdevumi:</w:t>
      </w:r>
    </w:p>
    <w:p w14:paraId="2EA44A73" w14:textId="08896EB9" w:rsidR="00657A6A" w:rsidRPr="00A46CC4" w:rsidRDefault="00657A6A" w:rsidP="00CE7080">
      <w:pPr>
        <w:numPr>
          <w:ilvl w:val="0"/>
          <w:numId w:val="16"/>
        </w:numPr>
        <w:spacing w:before="120" w:after="120"/>
        <w:rPr>
          <w:rFonts w:eastAsia="Calibri"/>
          <w:szCs w:val="24"/>
          <w:lang w:eastAsia="en-US"/>
        </w:rPr>
      </w:pPr>
      <w:r w:rsidRPr="00A46CC4">
        <w:rPr>
          <w:rFonts w:eastAsia="Calibri"/>
          <w:szCs w:val="24"/>
          <w:lang w:eastAsia="en-US"/>
        </w:rPr>
        <w:t>Nodrošināt zemes izmantošanas, zemes izmantošanas</w:t>
      </w:r>
      <w:r w:rsidR="00C81076">
        <w:rPr>
          <w:rFonts w:eastAsia="Calibri"/>
          <w:szCs w:val="24"/>
          <w:lang w:eastAsia="en-US"/>
        </w:rPr>
        <w:t xml:space="preserve"> maiņas</w:t>
      </w:r>
      <w:r w:rsidRPr="00A46CC4">
        <w:rPr>
          <w:rFonts w:eastAsia="Calibri"/>
          <w:szCs w:val="24"/>
          <w:lang w:eastAsia="en-US"/>
        </w:rPr>
        <w:t xml:space="preserve"> un mežsaimniecības devumu SEG emisiju samazināšanā un CO</w:t>
      </w:r>
      <w:r w:rsidRPr="00A46CC4">
        <w:rPr>
          <w:rFonts w:eastAsia="Calibri"/>
          <w:szCs w:val="24"/>
          <w:vertAlign w:val="subscript"/>
          <w:lang w:eastAsia="en-US"/>
        </w:rPr>
        <w:t>2</w:t>
      </w:r>
      <w:r w:rsidRPr="00A46CC4">
        <w:rPr>
          <w:rFonts w:eastAsia="Calibri"/>
          <w:szCs w:val="24"/>
          <w:lang w:eastAsia="en-US"/>
        </w:rPr>
        <w:t xml:space="preserve"> piesaistes palielināšanā, ieviešot ilgtspējīgu zemes apsaimniekošanu</w:t>
      </w:r>
      <w:r w:rsidR="00663AE3" w:rsidRPr="00A46CC4">
        <w:rPr>
          <w:rFonts w:eastAsia="Calibri"/>
          <w:szCs w:val="24"/>
          <w:lang w:eastAsia="en-US"/>
        </w:rPr>
        <w:t>;</w:t>
      </w:r>
    </w:p>
    <w:p w14:paraId="6FC8FA76" w14:textId="77777777" w:rsidR="00657A6A" w:rsidRPr="00A46CC4" w:rsidRDefault="00657A6A" w:rsidP="00CE7080">
      <w:pPr>
        <w:numPr>
          <w:ilvl w:val="0"/>
          <w:numId w:val="16"/>
        </w:numPr>
        <w:spacing w:before="120" w:after="120"/>
        <w:rPr>
          <w:rFonts w:eastAsia="Calibri"/>
          <w:szCs w:val="24"/>
          <w:lang w:eastAsia="en-US"/>
        </w:rPr>
      </w:pPr>
      <w:r w:rsidRPr="00A46CC4">
        <w:rPr>
          <w:rFonts w:eastAsia="Calibri"/>
          <w:szCs w:val="24"/>
          <w:lang w:eastAsia="en-US"/>
        </w:rPr>
        <w:t>Nodrošināt inovāciju attīstību un jauno tehnoloģiju un zināšanu pārnesi uz visām tautsaimniecības nozarēm</w:t>
      </w:r>
      <w:r w:rsidR="00663AE3" w:rsidRPr="00A46CC4">
        <w:rPr>
          <w:rFonts w:eastAsia="Calibri"/>
          <w:szCs w:val="24"/>
          <w:lang w:eastAsia="en-US"/>
        </w:rPr>
        <w:t>;</w:t>
      </w:r>
    </w:p>
    <w:p w14:paraId="0C3D7529" w14:textId="0A67EBBA" w:rsidR="00657A6A" w:rsidRPr="00A46CC4" w:rsidRDefault="002F07FE" w:rsidP="00CE7080">
      <w:pPr>
        <w:numPr>
          <w:ilvl w:val="0"/>
          <w:numId w:val="16"/>
        </w:numPr>
        <w:spacing w:before="120" w:after="120"/>
        <w:rPr>
          <w:rFonts w:eastAsia="Calibri"/>
          <w:szCs w:val="24"/>
          <w:lang w:eastAsia="en-US"/>
        </w:rPr>
      </w:pPr>
      <w:r w:rsidRPr="00A46CC4">
        <w:rPr>
          <w:rFonts w:eastAsia="Calibri"/>
          <w:szCs w:val="24"/>
          <w:lang w:eastAsia="en-US"/>
        </w:rPr>
        <w:t xml:space="preserve">Latvijas tautsaimniecībā panākt atsaisti starp IKP pieaugumu un resursu patēriņu. </w:t>
      </w:r>
      <w:r w:rsidR="005F1971" w:rsidRPr="00A46CC4">
        <w:rPr>
          <w:rFonts w:eastAsia="Calibri"/>
          <w:szCs w:val="24"/>
          <w:lang w:eastAsia="en-US"/>
        </w:rPr>
        <w:t xml:space="preserve">Resursu produktivitātes radītājs ir sasniegts vismaz 1,55 </w:t>
      </w:r>
      <w:r w:rsidR="00297AAC">
        <w:rPr>
          <w:rFonts w:eastAsia="Calibri"/>
          <w:szCs w:val="24"/>
          <w:lang w:eastAsia="en-US"/>
        </w:rPr>
        <w:t>euro</w:t>
      </w:r>
      <w:r w:rsidR="005F1971" w:rsidRPr="00A46CC4">
        <w:rPr>
          <w:rFonts w:eastAsia="Calibri"/>
          <w:szCs w:val="24"/>
          <w:lang w:eastAsia="en-US"/>
        </w:rPr>
        <w:t>/kg</w:t>
      </w:r>
      <w:r w:rsidR="00663AE3" w:rsidRPr="00A46CC4">
        <w:rPr>
          <w:rFonts w:eastAsia="Calibri"/>
          <w:szCs w:val="24"/>
          <w:lang w:eastAsia="en-US"/>
        </w:rPr>
        <w:t>;</w:t>
      </w:r>
      <w:r w:rsidR="00657A6A" w:rsidRPr="00A46CC4">
        <w:rPr>
          <w:rFonts w:eastAsia="Calibri"/>
          <w:szCs w:val="24"/>
          <w:lang w:eastAsia="en-US"/>
        </w:rPr>
        <w:t xml:space="preserve"> </w:t>
      </w:r>
    </w:p>
    <w:p w14:paraId="2CC455C6" w14:textId="3D1EA407" w:rsidR="00657A6A" w:rsidRPr="00A46CC4" w:rsidRDefault="003B6292" w:rsidP="00CE7080">
      <w:pPr>
        <w:numPr>
          <w:ilvl w:val="0"/>
          <w:numId w:val="16"/>
        </w:numPr>
        <w:spacing w:before="120" w:after="120"/>
        <w:rPr>
          <w:rFonts w:eastAsia="Calibri"/>
          <w:szCs w:val="24"/>
          <w:lang w:eastAsia="en-US"/>
        </w:rPr>
      </w:pPr>
      <w:r w:rsidRPr="00A46CC4">
        <w:rPr>
          <w:rFonts w:eastAsia="Calibri"/>
          <w:szCs w:val="24"/>
          <w:lang w:eastAsia="en-US"/>
        </w:rPr>
        <w:t>Transporta SEG emisiju samazināšana un pakāpeniska pāreja no fosilo energoresursu izmantošanas uz atjaunoja</w:t>
      </w:r>
      <w:r w:rsidR="00970696">
        <w:rPr>
          <w:rFonts w:eastAsia="Calibri"/>
          <w:szCs w:val="24"/>
          <w:lang w:eastAsia="en-US"/>
        </w:rPr>
        <w:t>majiem energoresursiem (turpmāk </w:t>
      </w:r>
      <w:r w:rsidRPr="00A46CC4">
        <w:rPr>
          <w:rFonts w:eastAsia="Calibri"/>
          <w:szCs w:val="24"/>
          <w:lang w:eastAsia="en-US"/>
        </w:rPr>
        <w:t>–</w:t>
      </w:r>
      <w:r w:rsidR="00970696">
        <w:rPr>
          <w:rFonts w:eastAsia="Calibri"/>
          <w:szCs w:val="24"/>
          <w:lang w:eastAsia="en-US"/>
        </w:rPr>
        <w:t> </w:t>
      </w:r>
      <w:r w:rsidRPr="00A46CC4">
        <w:rPr>
          <w:rFonts w:eastAsia="Calibri"/>
          <w:szCs w:val="24"/>
          <w:lang w:eastAsia="en-US"/>
        </w:rPr>
        <w:t>AER) un alternatīvo pārvietošanās līdzekļu ieviešana;</w:t>
      </w:r>
    </w:p>
    <w:p w14:paraId="031B6965" w14:textId="77777777" w:rsidR="003831D1" w:rsidRPr="00A46CC4" w:rsidRDefault="003831D1" w:rsidP="00CE7080">
      <w:pPr>
        <w:numPr>
          <w:ilvl w:val="0"/>
          <w:numId w:val="16"/>
        </w:numPr>
        <w:spacing w:before="120" w:after="120"/>
        <w:rPr>
          <w:rFonts w:eastAsia="Calibri"/>
          <w:szCs w:val="24"/>
          <w:lang w:eastAsia="en-US"/>
        </w:rPr>
      </w:pPr>
      <w:r w:rsidRPr="00A46CC4">
        <w:rPr>
          <w:rFonts w:eastAsia="Calibri"/>
          <w:szCs w:val="24"/>
          <w:lang w:eastAsia="en-US"/>
        </w:rPr>
        <w:t>Nodrošināt inovatīvu un atjaunojamos energoresursus izmantojošu tehnoloģiju ieviešanu, lai pilnībā atteiktos no fosilo energoresursu izmantošanas;</w:t>
      </w:r>
    </w:p>
    <w:p w14:paraId="4DA700B6" w14:textId="77777777" w:rsidR="003831D1" w:rsidRPr="00A46CC4" w:rsidRDefault="003831D1" w:rsidP="00CE7080">
      <w:pPr>
        <w:numPr>
          <w:ilvl w:val="0"/>
          <w:numId w:val="16"/>
        </w:numPr>
        <w:spacing w:before="120" w:after="120"/>
        <w:rPr>
          <w:rFonts w:eastAsia="Calibri"/>
          <w:szCs w:val="24"/>
          <w:lang w:eastAsia="en-US"/>
        </w:rPr>
      </w:pPr>
      <w:r w:rsidRPr="00A46CC4">
        <w:rPr>
          <w:rFonts w:eastAsia="Calibri"/>
          <w:szCs w:val="24"/>
          <w:lang w:eastAsia="en-US"/>
        </w:rPr>
        <w:t xml:space="preserve">Nodrošināt nulles enerģijas patēriņa un zema enerģijas patēriņa jaunu ēku būvniecību un energoefektivitātes pasākumu īstenošanu visās tautsaimniecības nozarēs. </w:t>
      </w:r>
    </w:p>
    <w:p w14:paraId="1AD328BA" w14:textId="77777777" w:rsidR="00E773F8" w:rsidRPr="00A46CC4" w:rsidRDefault="00E773F8" w:rsidP="00663AE3">
      <w:pPr>
        <w:ind w:firstLine="0"/>
        <w:jc w:val="left"/>
        <w:rPr>
          <w:rFonts w:eastAsia="Calibri"/>
          <w:szCs w:val="24"/>
          <w:lang w:eastAsia="en-US"/>
        </w:rPr>
      </w:pPr>
      <w:r w:rsidRPr="00A46CC4">
        <w:rPr>
          <w:rFonts w:eastAsia="Calibri"/>
          <w:szCs w:val="24"/>
          <w:lang w:eastAsia="en-US"/>
        </w:rPr>
        <w:br w:type="page"/>
      </w:r>
    </w:p>
    <w:p w14:paraId="31CE338C" w14:textId="64296C10" w:rsidR="00657A6A" w:rsidRPr="00A46CC4" w:rsidRDefault="00385F81" w:rsidP="00A33C13">
      <w:pPr>
        <w:pStyle w:val="Heading1"/>
        <w:rPr>
          <w:rFonts w:eastAsia="Calibri"/>
        </w:rPr>
      </w:pPr>
      <w:bookmarkStart w:id="5" w:name="_Toc523217368"/>
      <w:r>
        <w:rPr>
          <w:rFonts w:eastAsia="Calibri"/>
          <w:lang w:val="lv-LV"/>
        </w:rPr>
        <w:lastRenderedPageBreak/>
        <w:t xml:space="preserve">OMA </w:t>
      </w:r>
      <w:r w:rsidRPr="00A46CC4">
        <w:rPr>
          <w:rFonts w:eastAsia="Calibri"/>
        </w:rPr>
        <w:t>stratēģijas</w:t>
      </w:r>
      <w:r w:rsidR="00657A6A" w:rsidRPr="00A46CC4">
        <w:rPr>
          <w:rFonts w:eastAsia="Calibri"/>
        </w:rPr>
        <w:t xml:space="preserve"> sasaiste ar esošiem </w:t>
      </w:r>
      <w:r w:rsidR="00E02B6C" w:rsidRPr="00A46CC4">
        <w:rPr>
          <w:rFonts w:eastAsia="Calibri"/>
          <w:lang w:val="lv-LV"/>
        </w:rPr>
        <w:t xml:space="preserve">tiesību aktiem un </w:t>
      </w:r>
      <w:r w:rsidR="00657A6A" w:rsidRPr="00A46CC4">
        <w:rPr>
          <w:rFonts w:eastAsia="Calibri"/>
        </w:rPr>
        <w:t>politikas plānošanas dokumentiem</w:t>
      </w:r>
      <w:bookmarkEnd w:id="5"/>
    </w:p>
    <w:p w14:paraId="4E9C62BE" w14:textId="46BDE5F0" w:rsidR="00657A6A" w:rsidRPr="00A46CC4" w:rsidRDefault="00657A6A" w:rsidP="0005736E">
      <w:pPr>
        <w:rPr>
          <w:rFonts w:eastAsia="Calibri"/>
          <w:lang w:eastAsia="en-US"/>
        </w:rPr>
      </w:pPr>
      <w:r w:rsidRPr="00A46CC4">
        <w:rPr>
          <w:rFonts w:eastAsia="Calibri"/>
          <w:lang w:eastAsia="en-US"/>
        </w:rPr>
        <w:t>OMA stratēģijas izstrāde ir nozīmīgs solis gan nacionālā, gan starptautiskā līmenī. OMA stratēģij</w:t>
      </w:r>
      <w:r w:rsidR="00A33C13" w:rsidRPr="00A46CC4">
        <w:rPr>
          <w:rFonts w:eastAsia="Calibri"/>
          <w:lang w:eastAsia="en-US"/>
        </w:rPr>
        <w:t>as</w:t>
      </w:r>
      <w:r w:rsidRPr="00A46CC4">
        <w:rPr>
          <w:rFonts w:eastAsia="Calibri"/>
          <w:lang w:eastAsia="en-US"/>
        </w:rPr>
        <w:t xml:space="preserve"> izstrāde</w:t>
      </w:r>
      <w:r w:rsidR="00385F81">
        <w:rPr>
          <w:rFonts w:eastAsia="Calibri"/>
          <w:lang w:eastAsia="en-US"/>
        </w:rPr>
        <w:t>s nepieciešamība</w:t>
      </w:r>
      <w:r w:rsidRPr="00A46CC4">
        <w:rPr>
          <w:rFonts w:eastAsia="Calibri"/>
          <w:lang w:eastAsia="en-US"/>
        </w:rPr>
        <w:t xml:space="preserve"> ir </w:t>
      </w:r>
      <w:r w:rsidR="00385F81">
        <w:rPr>
          <w:rFonts w:eastAsia="Calibri"/>
          <w:lang w:eastAsia="en-US"/>
        </w:rPr>
        <w:t>noteik</w:t>
      </w:r>
      <w:r w:rsidRPr="00A46CC4">
        <w:rPr>
          <w:rFonts w:eastAsia="Calibri"/>
          <w:lang w:eastAsia="en-US"/>
        </w:rPr>
        <w:t>ta vairākos starptautiskos ANO un ES līme</w:t>
      </w:r>
      <w:r w:rsidR="00E02B6C" w:rsidRPr="00A46CC4">
        <w:rPr>
          <w:rFonts w:eastAsia="Calibri"/>
          <w:lang w:eastAsia="en-US"/>
        </w:rPr>
        <w:t>ņa dokumentos</w:t>
      </w:r>
      <w:r w:rsidRPr="00A46CC4">
        <w:rPr>
          <w:rFonts w:eastAsia="Calibri"/>
          <w:lang w:eastAsia="en-US"/>
        </w:rPr>
        <w:t xml:space="preserve"> un ir cieši saistīta ar nacionāliem nozaru un starpnozaru politikas plānošanas dokumentiem</w:t>
      </w:r>
      <w:r w:rsidR="000C1686" w:rsidRPr="00A46CC4">
        <w:rPr>
          <w:rFonts w:eastAsia="Calibri"/>
          <w:lang w:eastAsia="en-US"/>
        </w:rPr>
        <w:t xml:space="preserve"> (skatīt 3.</w:t>
      </w:r>
      <w:r w:rsidR="00663AE3" w:rsidRPr="00A46CC4">
        <w:rPr>
          <w:rFonts w:eastAsia="Calibri"/>
          <w:lang w:eastAsia="en-US"/>
        </w:rPr>
        <w:t> </w:t>
      </w:r>
      <w:r w:rsidR="000C1686" w:rsidRPr="00A46CC4">
        <w:rPr>
          <w:rFonts w:eastAsia="Calibri"/>
          <w:lang w:eastAsia="en-US"/>
        </w:rPr>
        <w:t xml:space="preserve">attēlu). </w:t>
      </w:r>
    </w:p>
    <w:p w14:paraId="6084E78A" w14:textId="77777777" w:rsidR="00657A6A" w:rsidRPr="00A46CC4" w:rsidRDefault="003B4DCD" w:rsidP="00977BCE">
      <w:pPr>
        <w:spacing w:before="240"/>
        <w:jc w:val="center"/>
        <w:rPr>
          <w:rFonts w:eastAsia="Calibri"/>
          <w:lang w:eastAsia="en-US"/>
        </w:rPr>
      </w:pPr>
      <w:r w:rsidRPr="00A46CC4">
        <w:rPr>
          <w:rFonts w:eastAsia="Calibri"/>
          <w:noProof/>
        </w:rPr>
        <w:drawing>
          <wp:inline distT="0" distB="0" distL="0" distR="0" wp14:anchorId="42CA0115" wp14:editId="2FB735E9">
            <wp:extent cx="4299045" cy="3138985"/>
            <wp:effectExtent l="0" t="0" r="0" b="4445"/>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5B39523" w14:textId="7962FCC4" w:rsidR="000C1686" w:rsidRPr="001B79A2" w:rsidRDefault="00970696" w:rsidP="00254C4F">
      <w:pPr>
        <w:jc w:val="center"/>
        <w:rPr>
          <w:rFonts w:eastAsia="Calibri"/>
          <w:lang w:eastAsia="en-US"/>
        </w:rPr>
      </w:pPr>
      <w:r>
        <w:rPr>
          <w:rFonts w:eastAsia="Calibri"/>
          <w:lang w:eastAsia="en-US"/>
        </w:rPr>
        <w:t>3. </w:t>
      </w:r>
      <w:r w:rsidR="000C1686" w:rsidRPr="001B79A2">
        <w:rPr>
          <w:rFonts w:eastAsia="Calibri"/>
          <w:lang w:eastAsia="en-US"/>
        </w:rPr>
        <w:t xml:space="preserve">attēls. </w:t>
      </w:r>
      <w:r w:rsidR="00254C4F" w:rsidRPr="001B79A2">
        <w:rPr>
          <w:rFonts w:eastAsia="Calibri"/>
          <w:lang w:eastAsia="en-US"/>
        </w:rPr>
        <w:t xml:space="preserve">OMA </w:t>
      </w:r>
      <w:r w:rsidR="000C1686" w:rsidRPr="001B79A2">
        <w:rPr>
          <w:rFonts w:eastAsia="Calibri"/>
          <w:lang w:eastAsia="en-US"/>
        </w:rPr>
        <w:t>stratēģijas izstrādi nosakošie dokumenti</w:t>
      </w:r>
    </w:p>
    <w:p w14:paraId="356D5128" w14:textId="77777777" w:rsidR="00657A6A" w:rsidRPr="00A46CC4" w:rsidRDefault="00657A6A" w:rsidP="00BE0FD4">
      <w:pPr>
        <w:pStyle w:val="Subtitle"/>
        <w:numPr>
          <w:ilvl w:val="0"/>
          <w:numId w:val="15"/>
        </w:numPr>
        <w:rPr>
          <w:rFonts w:eastAsia="Calibri"/>
          <w:lang w:eastAsia="en-US"/>
        </w:rPr>
      </w:pPr>
      <w:r w:rsidRPr="00A46CC4">
        <w:rPr>
          <w:rFonts w:eastAsia="Calibri"/>
          <w:lang w:eastAsia="en-US"/>
        </w:rPr>
        <w:t xml:space="preserve">Starptautiskie tiesību </w:t>
      </w:r>
      <w:r w:rsidR="00E02B6C" w:rsidRPr="00A46CC4">
        <w:rPr>
          <w:rFonts w:eastAsia="Calibri"/>
          <w:lang w:eastAsia="en-US"/>
        </w:rPr>
        <w:t>dokumenti</w:t>
      </w:r>
    </w:p>
    <w:p w14:paraId="3DCF4585" w14:textId="23D3744C" w:rsidR="00E33990" w:rsidRPr="00A46CC4" w:rsidRDefault="00663AE3" w:rsidP="00E33990">
      <w:pPr>
        <w:rPr>
          <w:rFonts w:eastAsia="Calibri"/>
          <w:vanish/>
          <w:szCs w:val="24"/>
          <w:lang w:eastAsia="en-US"/>
        </w:rPr>
      </w:pPr>
      <w:r w:rsidRPr="00A46CC4">
        <w:rPr>
          <w:rFonts w:eastAsia="Calibri"/>
          <w:lang w:eastAsia="en-US"/>
        </w:rPr>
        <w:t>Konvencija</w:t>
      </w:r>
      <w:r w:rsidR="00657A6A" w:rsidRPr="00A46CC4">
        <w:rPr>
          <w:rFonts w:eastAsia="Calibri"/>
          <w:lang w:eastAsia="en-US"/>
        </w:rPr>
        <w:t xml:space="preserve"> ir </w:t>
      </w:r>
      <w:r w:rsidR="00E02B6C" w:rsidRPr="00A46CC4">
        <w:rPr>
          <w:rFonts w:eastAsia="Calibri"/>
          <w:lang w:eastAsia="en-US"/>
        </w:rPr>
        <w:t xml:space="preserve">svarīgākais </w:t>
      </w:r>
      <w:r w:rsidR="00657A6A" w:rsidRPr="00A46CC4">
        <w:rPr>
          <w:rFonts w:eastAsia="Calibri"/>
          <w:lang w:eastAsia="en-US"/>
        </w:rPr>
        <w:t>starptautiskais dokuments, kas nosaka SEG emisiju samazināšan</w:t>
      </w:r>
      <w:r w:rsidR="00DC76A7" w:rsidRPr="00A46CC4">
        <w:rPr>
          <w:rFonts w:eastAsia="Calibri"/>
          <w:lang w:eastAsia="en-US"/>
        </w:rPr>
        <w:t>as nepieciešamību</w:t>
      </w:r>
      <w:r w:rsidR="00657A6A" w:rsidRPr="00A46CC4">
        <w:rPr>
          <w:rFonts w:eastAsia="Calibri"/>
          <w:lang w:eastAsia="en-US"/>
        </w:rPr>
        <w:t>, lai mazinātu cilvēka ietekmi uz klimata sistēmu un ļautu ekosistēmām pielāgoties klimata pārmaiņām. Konvencija</w:t>
      </w:r>
      <w:r w:rsidR="00297AAC">
        <w:rPr>
          <w:rFonts w:eastAsia="Calibri"/>
          <w:lang w:eastAsia="en-US"/>
        </w:rPr>
        <w:t>s 2.pants</w:t>
      </w:r>
      <w:r w:rsidR="00657A6A" w:rsidRPr="00A46CC4">
        <w:rPr>
          <w:rFonts w:eastAsia="Calibri"/>
          <w:lang w:eastAsia="en-US"/>
        </w:rPr>
        <w:t xml:space="preserve"> </w:t>
      </w:r>
      <w:r w:rsidR="00905A47" w:rsidRPr="00A46CC4">
        <w:rPr>
          <w:rFonts w:eastAsia="Calibri"/>
          <w:lang w:eastAsia="en-US"/>
        </w:rPr>
        <w:t>no</w:t>
      </w:r>
      <w:r w:rsidR="00905A47">
        <w:rPr>
          <w:rFonts w:eastAsia="Calibri"/>
          <w:lang w:eastAsia="en-US"/>
        </w:rPr>
        <w:t>teic</w:t>
      </w:r>
      <w:r w:rsidR="00657A6A" w:rsidRPr="00A46CC4">
        <w:rPr>
          <w:rFonts w:eastAsia="Calibri"/>
          <w:lang w:eastAsia="en-US"/>
        </w:rPr>
        <w:t>, ka SEG emisij</w:t>
      </w:r>
      <w:r w:rsidR="000C1686" w:rsidRPr="00A46CC4">
        <w:rPr>
          <w:rFonts w:eastAsia="Calibri"/>
          <w:lang w:eastAsia="en-US"/>
        </w:rPr>
        <w:t>as ir jāmazina ilgtspējīgā veidā, neietekmējot pārtikas resursus</w:t>
      </w:r>
      <w:r w:rsidR="009A4A33" w:rsidRPr="00A46CC4">
        <w:rPr>
          <w:rFonts w:eastAsia="Calibri"/>
          <w:lang w:eastAsia="en-US"/>
        </w:rPr>
        <w:t>.</w:t>
      </w:r>
      <w:r w:rsidR="0083273D" w:rsidRPr="00A46CC4">
        <w:rPr>
          <w:rFonts w:eastAsia="Calibri"/>
          <w:lang w:eastAsia="en-US"/>
        </w:rPr>
        <w:t xml:space="preserve"> </w:t>
      </w:r>
    </w:p>
    <w:p w14:paraId="53AADEED" w14:textId="4C0C1D58" w:rsidR="00657A6A" w:rsidRPr="00A46CC4" w:rsidRDefault="00385F81" w:rsidP="00E33990">
      <w:pPr>
        <w:rPr>
          <w:rFonts w:eastAsia="Calibri"/>
          <w:szCs w:val="24"/>
          <w:lang w:eastAsia="en-US"/>
        </w:rPr>
      </w:pPr>
      <w:r>
        <w:rPr>
          <w:rFonts w:eastAsia="Calibri"/>
          <w:szCs w:val="24"/>
          <w:lang w:eastAsia="en-US"/>
        </w:rPr>
        <w:t>Parīzes n</w:t>
      </w:r>
      <w:r w:rsidR="00657A6A" w:rsidRPr="00A46CC4">
        <w:rPr>
          <w:rFonts w:eastAsia="Calibri"/>
          <w:szCs w:val="24"/>
          <w:lang w:eastAsia="en-US"/>
        </w:rPr>
        <w:t xml:space="preserve">olīgums, kas tika pieņemts </w:t>
      </w:r>
      <w:r w:rsidR="00A402E3" w:rsidRPr="00A46CC4">
        <w:rPr>
          <w:rFonts w:eastAsia="Calibri"/>
          <w:szCs w:val="24"/>
          <w:lang w:eastAsia="en-US"/>
        </w:rPr>
        <w:t>K</w:t>
      </w:r>
      <w:r w:rsidR="00657A6A" w:rsidRPr="00A46CC4">
        <w:rPr>
          <w:rFonts w:eastAsia="Calibri"/>
          <w:szCs w:val="24"/>
          <w:lang w:eastAsia="en-US"/>
        </w:rPr>
        <w:t>onvencijas Līgumslēdzēju pušu konferences 21.</w:t>
      </w:r>
      <w:r w:rsidR="00970696">
        <w:rPr>
          <w:rFonts w:eastAsia="Calibri"/>
          <w:szCs w:val="24"/>
          <w:lang w:eastAsia="en-US"/>
        </w:rPr>
        <w:t> </w:t>
      </w:r>
      <w:r w:rsidR="00657A6A" w:rsidRPr="00A46CC4">
        <w:rPr>
          <w:rFonts w:eastAsia="Calibri"/>
          <w:szCs w:val="24"/>
          <w:lang w:eastAsia="en-US"/>
        </w:rPr>
        <w:t>sesijā Parīzē, Francijā 2015.</w:t>
      </w:r>
      <w:r w:rsidR="00DC76A7" w:rsidRPr="00A46CC4">
        <w:rPr>
          <w:rFonts w:eastAsia="Calibri"/>
          <w:szCs w:val="24"/>
          <w:lang w:eastAsia="en-US"/>
        </w:rPr>
        <w:t> </w:t>
      </w:r>
      <w:r w:rsidR="00657A6A" w:rsidRPr="00A46CC4">
        <w:rPr>
          <w:rFonts w:eastAsia="Calibri"/>
          <w:szCs w:val="24"/>
          <w:lang w:eastAsia="en-US"/>
        </w:rPr>
        <w:t>gada 12.</w:t>
      </w:r>
      <w:r w:rsidR="00DC76A7" w:rsidRPr="00A46CC4">
        <w:rPr>
          <w:rFonts w:eastAsia="Calibri"/>
          <w:szCs w:val="24"/>
          <w:lang w:eastAsia="en-US"/>
        </w:rPr>
        <w:t> </w:t>
      </w:r>
      <w:r w:rsidR="00657A6A" w:rsidRPr="00A46CC4">
        <w:rPr>
          <w:rFonts w:eastAsia="Calibri"/>
          <w:szCs w:val="24"/>
          <w:lang w:eastAsia="en-US"/>
        </w:rPr>
        <w:t xml:space="preserve">decembrī, </w:t>
      </w:r>
      <w:r w:rsidR="00E02B6C" w:rsidRPr="00A46CC4">
        <w:rPr>
          <w:rFonts w:eastAsia="Calibri"/>
          <w:szCs w:val="24"/>
          <w:lang w:eastAsia="en-US"/>
        </w:rPr>
        <w:t xml:space="preserve">tostarp </w:t>
      </w:r>
      <w:r w:rsidR="00657A6A" w:rsidRPr="00A46CC4">
        <w:rPr>
          <w:rFonts w:eastAsia="Calibri"/>
          <w:szCs w:val="24"/>
          <w:lang w:eastAsia="en-US"/>
        </w:rPr>
        <w:t>nosaka, ka nolīguma dalībvalstīm ir jācenšas izstrādāt ilgtermiņa zemu SEG emisiju attīstības stratēģij</w:t>
      </w:r>
      <w:r w:rsidR="00A402E3" w:rsidRPr="00A46CC4">
        <w:rPr>
          <w:rFonts w:eastAsia="Calibri"/>
          <w:szCs w:val="24"/>
          <w:lang w:eastAsia="en-US"/>
        </w:rPr>
        <w:t>a</w:t>
      </w:r>
      <w:r>
        <w:rPr>
          <w:rFonts w:eastAsia="Calibri"/>
          <w:szCs w:val="24"/>
          <w:lang w:eastAsia="en-US"/>
        </w:rPr>
        <w:t>s</w:t>
      </w:r>
      <w:r w:rsidR="00657A6A" w:rsidRPr="00A46CC4">
        <w:rPr>
          <w:rFonts w:eastAsia="Calibri"/>
          <w:szCs w:val="24"/>
          <w:vertAlign w:val="superscript"/>
          <w:lang w:eastAsia="en-US"/>
        </w:rPr>
        <w:footnoteReference w:id="13"/>
      </w:r>
      <w:r w:rsidR="00970696">
        <w:rPr>
          <w:rFonts w:eastAsia="Calibri"/>
          <w:szCs w:val="24"/>
          <w:lang w:eastAsia="en-US"/>
        </w:rPr>
        <w:t>.</w:t>
      </w:r>
    </w:p>
    <w:p w14:paraId="5D36FB3E" w14:textId="77777777" w:rsidR="00657A6A" w:rsidRPr="00A46CC4" w:rsidRDefault="00657A6A" w:rsidP="00BE0FD4">
      <w:pPr>
        <w:pStyle w:val="Subtitle"/>
        <w:numPr>
          <w:ilvl w:val="0"/>
          <w:numId w:val="14"/>
        </w:numPr>
        <w:rPr>
          <w:rFonts w:eastAsia="Calibri"/>
          <w:lang w:eastAsia="en-US"/>
        </w:rPr>
      </w:pPr>
      <w:r w:rsidRPr="00A46CC4">
        <w:rPr>
          <w:rFonts w:eastAsia="Calibri"/>
          <w:lang w:eastAsia="en-US"/>
        </w:rPr>
        <w:t xml:space="preserve">Eiropas Savienības </w:t>
      </w:r>
      <w:r w:rsidR="00E02B6C" w:rsidRPr="00A46CC4">
        <w:rPr>
          <w:rFonts w:eastAsia="Calibri"/>
          <w:lang w:eastAsia="en-US"/>
        </w:rPr>
        <w:t>tiesību dokumenti</w:t>
      </w:r>
    </w:p>
    <w:p w14:paraId="21516EDD" w14:textId="022155D7" w:rsidR="00657A6A" w:rsidRPr="00775188" w:rsidRDefault="00657A6A" w:rsidP="003B4DCD">
      <w:pPr>
        <w:rPr>
          <w:rFonts w:eastAsia="Calibri"/>
          <w:lang w:eastAsia="en-US"/>
        </w:rPr>
      </w:pPr>
      <w:r w:rsidRPr="00775188">
        <w:rPr>
          <w:rFonts w:eastAsia="Calibri"/>
          <w:lang w:eastAsia="en-US"/>
        </w:rPr>
        <w:t>OMA stratēģijas izstrādi savos politikas dokumentos Eiropas Savienība</w:t>
      </w:r>
      <w:r w:rsidR="00970696">
        <w:rPr>
          <w:rFonts w:eastAsia="Calibri"/>
          <w:lang w:eastAsia="en-US"/>
        </w:rPr>
        <w:t xml:space="preserve"> (turpmāk </w:t>
      </w:r>
      <w:r w:rsidR="00A05AEA" w:rsidRPr="00775188">
        <w:rPr>
          <w:rFonts w:eastAsia="Calibri"/>
          <w:lang w:eastAsia="en-US"/>
        </w:rPr>
        <w:t>–</w:t>
      </w:r>
      <w:r w:rsidR="00970696">
        <w:rPr>
          <w:rFonts w:eastAsia="Calibri"/>
          <w:lang w:eastAsia="en-US"/>
        </w:rPr>
        <w:t> </w:t>
      </w:r>
      <w:r w:rsidR="00A05AEA" w:rsidRPr="00775188">
        <w:rPr>
          <w:rFonts w:eastAsia="Calibri"/>
          <w:lang w:eastAsia="en-US"/>
        </w:rPr>
        <w:t>ES)</w:t>
      </w:r>
      <w:r w:rsidRPr="00775188">
        <w:rPr>
          <w:rFonts w:eastAsia="Calibri"/>
          <w:lang w:eastAsia="en-US"/>
        </w:rPr>
        <w:t xml:space="preserve"> ir iekļāvusi atbilstoši starptautiskajiem dokumentiem. Eiropas Parlamenta un Padomes regulas (ES) Nr.</w:t>
      </w:r>
      <w:r w:rsidR="00DC76A7" w:rsidRPr="00775188">
        <w:rPr>
          <w:rFonts w:eastAsia="Calibri"/>
          <w:lang w:eastAsia="en-US"/>
        </w:rPr>
        <w:t> </w:t>
      </w:r>
      <w:r w:rsidRPr="00775188">
        <w:rPr>
          <w:rFonts w:eastAsia="Calibri"/>
          <w:lang w:eastAsia="en-US"/>
        </w:rPr>
        <w:t>525/2013</w:t>
      </w:r>
      <w:r w:rsidRPr="00775188">
        <w:rPr>
          <w:rFonts w:eastAsia="Calibri"/>
          <w:vertAlign w:val="superscript"/>
          <w:lang w:eastAsia="en-US"/>
        </w:rPr>
        <w:footnoteReference w:id="14"/>
      </w:r>
      <w:r w:rsidRPr="00775188">
        <w:rPr>
          <w:rFonts w:eastAsia="Calibri"/>
          <w:lang w:eastAsia="en-US"/>
        </w:rPr>
        <w:t xml:space="preserve"> 4.</w:t>
      </w:r>
      <w:r w:rsidR="00DC76A7" w:rsidRPr="00775188">
        <w:rPr>
          <w:rFonts w:eastAsia="Calibri"/>
          <w:lang w:eastAsia="en-US"/>
        </w:rPr>
        <w:t> </w:t>
      </w:r>
      <w:r w:rsidRPr="00775188">
        <w:rPr>
          <w:rFonts w:eastAsia="Calibri"/>
          <w:lang w:eastAsia="en-US"/>
        </w:rPr>
        <w:t xml:space="preserve">pants </w:t>
      </w:r>
      <w:r w:rsidR="00905A47" w:rsidRPr="00775188">
        <w:rPr>
          <w:rFonts w:eastAsia="Calibri"/>
          <w:lang w:eastAsia="en-US"/>
        </w:rPr>
        <w:t>no</w:t>
      </w:r>
      <w:r w:rsidR="00905A47">
        <w:rPr>
          <w:rFonts w:eastAsia="Calibri"/>
          <w:lang w:eastAsia="en-US"/>
        </w:rPr>
        <w:t>teic</w:t>
      </w:r>
      <w:r w:rsidRPr="00775188">
        <w:rPr>
          <w:rFonts w:eastAsia="Calibri"/>
          <w:lang w:eastAsia="en-US"/>
        </w:rPr>
        <w:t xml:space="preserve">, ka ES dalībvalstīm ir jāizstrādā OMA stratēģija un jāziņo par izstrādes progresu sākot </w:t>
      </w:r>
      <w:r w:rsidR="00A05AEA" w:rsidRPr="00775188">
        <w:rPr>
          <w:rFonts w:eastAsia="Calibri"/>
          <w:lang w:eastAsia="en-US"/>
        </w:rPr>
        <w:t>ar</w:t>
      </w:r>
      <w:r w:rsidRPr="00775188">
        <w:rPr>
          <w:rFonts w:eastAsia="Calibri"/>
          <w:lang w:eastAsia="en-US"/>
        </w:rPr>
        <w:t xml:space="preserve"> 2015. gad</w:t>
      </w:r>
      <w:r w:rsidR="00A05AEA" w:rsidRPr="00775188">
        <w:rPr>
          <w:rFonts w:eastAsia="Calibri"/>
          <w:lang w:eastAsia="en-US"/>
        </w:rPr>
        <w:t>u</w:t>
      </w:r>
      <w:r w:rsidRPr="00775188">
        <w:rPr>
          <w:rFonts w:eastAsia="Calibri"/>
          <w:lang w:eastAsia="en-US"/>
        </w:rPr>
        <w:t>.</w:t>
      </w:r>
    </w:p>
    <w:p w14:paraId="4C16D8FE" w14:textId="5022019F" w:rsidR="00657A6A" w:rsidRPr="00136DB0" w:rsidRDefault="00657A6A" w:rsidP="00674DC5">
      <w:pPr>
        <w:rPr>
          <w:rFonts w:eastAsia="Calibri"/>
        </w:rPr>
      </w:pPr>
      <w:r w:rsidRPr="00775188">
        <w:rPr>
          <w:rFonts w:eastAsia="Calibri"/>
          <w:lang w:eastAsia="en-US"/>
        </w:rPr>
        <w:t>OMA pamatvērtības ir izklāstītas Ceļvedī uz zemu oglekļa ekonomiku līdz 2050.</w:t>
      </w:r>
      <w:r w:rsidR="00A05AEA" w:rsidRPr="00775188">
        <w:rPr>
          <w:rFonts w:eastAsia="Calibri"/>
          <w:lang w:eastAsia="en-US"/>
        </w:rPr>
        <w:t xml:space="preserve"> </w:t>
      </w:r>
      <w:r w:rsidRPr="00775188">
        <w:rPr>
          <w:rFonts w:eastAsia="Calibri"/>
          <w:lang w:eastAsia="en-US"/>
        </w:rPr>
        <w:t>gadam (</w:t>
      </w:r>
      <w:r w:rsidRPr="00775188">
        <w:rPr>
          <w:rFonts w:eastAsia="Calibri"/>
          <w:i/>
          <w:lang w:eastAsia="en-US"/>
        </w:rPr>
        <w:t>Roadmap for moving to a low-carbon economy in 2050</w:t>
      </w:r>
      <w:r w:rsidRPr="00775188">
        <w:rPr>
          <w:rFonts w:eastAsia="Calibri"/>
          <w:lang w:eastAsia="en-US"/>
        </w:rPr>
        <w:t>), kura aprakstīto rezultātu un secinājumu pamatā ir vispusīga situācijas modelēšana pasaulē un ES un scenāriju analīze tam, kāda varētu bū</w:t>
      </w:r>
      <w:r w:rsidR="00A05AEA" w:rsidRPr="00775188">
        <w:rPr>
          <w:rFonts w:eastAsia="Calibri"/>
          <w:lang w:eastAsia="en-US"/>
        </w:rPr>
        <w:t>t</w:t>
      </w:r>
      <w:r w:rsidRPr="00775188">
        <w:rPr>
          <w:rFonts w:eastAsia="Calibri"/>
          <w:lang w:eastAsia="en-US"/>
        </w:rPr>
        <w:t xml:space="preserve"> ES virzība uz oglekļa ma</w:t>
      </w:r>
      <w:r w:rsidR="00970696">
        <w:rPr>
          <w:rFonts w:eastAsia="Calibri"/>
          <w:lang w:eastAsia="en-US"/>
        </w:rPr>
        <w:t>zietilpīgu ekonomiku līdz 2050. </w:t>
      </w:r>
      <w:r w:rsidR="007C2490" w:rsidRPr="00775188">
        <w:rPr>
          <w:rFonts w:eastAsia="Calibri"/>
          <w:lang w:eastAsia="en-US"/>
        </w:rPr>
        <w:t>g</w:t>
      </w:r>
      <w:r w:rsidRPr="00775188">
        <w:rPr>
          <w:rFonts w:eastAsia="Calibri"/>
          <w:lang w:eastAsia="en-US"/>
        </w:rPr>
        <w:t>adam ar mērķi samazināt SEG emisijas ES līmenī par 80</w:t>
      </w:r>
      <w:r w:rsidR="00970696">
        <w:rPr>
          <w:rFonts w:eastAsia="Calibri"/>
          <w:lang w:eastAsia="en-US"/>
        </w:rPr>
        <w:t> </w:t>
      </w:r>
      <w:r w:rsidR="00A05AEA" w:rsidRPr="00775188">
        <w:rPr>
          <w:rFonts w:eastAsia="Calibri"/>
          <w:lang w:eastAsia="en-US"/>
        </w:rPr>
        <w:t>–</w:t>
      </w:r>
      <w:r w:rsidR="00970696">
        <w:rPr>
          <w:rFonts w:eastAsia="Calibri"/>
          <w:lang w:eastAsia="en-US"/>
        </w:rPr>
        <w:t> </w:t>
      </w:r>
      <w:r w:rsidRPr="00775188">
        <w:rPr>
          <w:rFonts w:eastAsia="Calibri"/>
          <w:lang w:eastAsia="en-US"/>
        </w:rPr>
        <w:t>95% salīdzinot ar 1990.</w:t>
      </w:r>
      <w:r w:rsidR="00970696">
        <w:rPr>
          <w:rFonts w:eastAsia="Calibri"/>
          <w:lang w:eastAsia="en-US"/>
        </w:rPr>
        <w:t> </w:t>
      </w:r>
      <w:r w:rsidRPr="00775188">
        <w:rPr>
          <w:rFonts w:eastAsia="Calibri"/>
          <w:lang w:eastAsia="en-US"/>
        </w:rPr>
        <w:t xml:space="preserve">gadu. </w:t>
      </w:r>
      <w:r w:rsidR="00970696" w:rsidRPr="00136DB0">
        <w:rPr>
          <w:rFonts w:eastAsia="Calibri"/>
        </w:rPr>
        <w:t>2018. </w:t>
      </w:r>
      <w:r w:rsidR="00674DC5" w:rsidRPr="00136DB0">
        <w:rPr>
          <w:rFonts w:eastAsia="Calibri"/>
        </w:rPr>
        <w:t>gada 23.</w:t>
      </w:r>
      <w:r w:rsidR="00970696" w:rsidRPr="00136DB0">
        <w:rPr>
          <w:rFonts w:eastAsia="Calibri"/>
        </w:rPr>
        <w:t> </w:t>
      </w:r>
      <w:r w:rsidR="00674DC5" w:rsidRPr="00136DB0">
        <w:rPr>
          <w:rFonts w:eastAsia="Calibri"/>
        </w:rPr>
        <w:t xml:space="preserve">marta Eiropadomes secinājumos Eiropas Komisijai tiek dots uzdevums izstrādāt priekšlikumu ES ilgtermiņa zemu SEG emisiju </w:t>
      </w:r>
      <w:r w:rsidR="00674DC5" w:rsidRPr="00136DB0">
        <w:rPr>
          <w:rFonts w:eastAsia="Calibri"/>
        </w:rPr>
        <w:lastRenderedPageBreak/>
        <w:t>stratēģijai, kas ir saskaņā ar Parīzes nolīgumu un to prezentēt 2019.</w:t>
      </w:r>
      <w:r w:rsidR="00136DB0" w:rsidRPr="00136DB0">
        <w:rPr>
          <w:rFonts w:eastAsia="Calibri"/>
        </w:rPr>
        <w:t> </w:t>
      </w:r>
      <w:r w:rsidR="00674DC5" w:rsidRPr="00136DB0">
        <w:rPr>
          <w:rFonts w:eastAsia="Calibri"/>
        </w:rPr>
        <w:t>gada 1.</w:t>
      </w:r>
      <w:r w:rsidR="00136DB0" w:rsidRPr="00136DB0">
        <w:rPr>
          <w:rFonts w:eastAsia="Calibri"/>
        </w:rPr>
        <w:t> </w:t>
      </w:r>
      <w:r w:rsidR="00674DC5" w:rsidRPr="00136DB0">
        <w:rPr>
          <w:rFonts w:eastAsia="Calibri"/>
        </w:rPr>
        <w:t xml:space="preserve">ceturksnī. Eiropas Komisija ir apsolījusi stratēģiju </w:t>
      </w:r>
      <w:r w:rsidR="00997436" w:rsidRPr="00136DB0">
        <w:rPr>
          <w:rFonts w:eastAsia="Calibri"/>
        </w:rPr>
        <w:t>plāno publicēt</w:t>
      </w:r>
      <w:r w:rsidR="00674DC5" w:rsidRPr="00136DB0">
        <w:rPr>
          <w:rFonts w:eastAsia="Calibri"/>
        </w:rPr>
        <w:t xml:space="preserve"> 2018. gada novembrī.</w:t>
      </w:r>
    </w:p>
    <w:p w14:paraId="238F77C5" w14:textId="30158995" w:rsidR="00657A6A" w:rsidRPr="00775188" w:rsidRDefault="00657A6A" w:rsidP="00867ABA">
      <w:pPr>
        <w:rPr>
          <w:rFonts w:eastAsia="Calibri"/>
          <w:lang w:eastAsia="en-US"/>
        </w:rPr>
      </w:pPr>
      <w:r w:rsidRPr="00775188">
        <w:rPr>
          <w:rFonts w:eastAsia="Calibri"/>
          <w:lang w:eastAsia="en-US"/>
        </w:rPr>
        <w:t xml:space="preserve">Latvijai </w:t>
      </w:r>
      <w:r w:rsidR="00867ABA" w:rsidRPr="00775188">
        <w:rPr>
          <w:rFonts w:eastAsia="Calibri"/>
          <w:lang w:eastAsia="en-US"/>
        </w:rPr>
        <w:t xml:space="preserve">ieviešot OMA stratēģiju, vienlaikus </w:t>
      </w:r>
      <w:r w:rsidRPr="00775188">
        <w:rPr>
          <w:rFonts w:eastAsia="Calibri"/>
          <w:lang w:eastAsia="en-US"/>
        </w:rPr>
        <w:t xml:space="preserve">ir jāsasniedz SEG emisiju samazināšanas, </w:t>
      </w:r>
      <w:r w:rsidR="00A05AEA" w:rsidRPr="00775188">
        <w:rPr>
          <w:rFonts w:eastAsia="Calibri"/>
          <w:lang w:eastAsia="en-US"/>
        </w:rPr>
        <w:t>AER</w:t>
      </w:r>
      <w:r w:rsidRPr="00775188">
        <w:rPr>
          <w:rFonts w:eastAsia="Calibri"/>
          <w:lang w:eastAsia="en-US"/>
        </w:rPr>
        <w:t>, starpsavienojuma un energoefektivitātes mērķi Klimata un enerģētikas pakotnes (turpmāk</w:t>
      </w:r>
      <w:r w:rsidR="00136DB0">
        <w:rPr>
          <w:rFonts w:eastAsia="Calibri"/>
          <w:lang w:eastAsia="en-US"/>
        </w:rPr>
        <w:t> </w:t>
      </w:r>
      <w:r w:rsidR="00A05AEA" w:rsidRPr="00775188">
        <w:rPr>
          <w:rFonts w:eastAsia="Calibri"/>
          <w:lang w:eastAsia="en-US"/>
        </w:rPr>
        <w:t>–</w:t>
      </w:r>
      <w:r w:rsidR="00136DB0">
        <w:rPr>
          <w:rFonts w:eastAsia="Calibri"/>
          <w:lang w:eastAsia="en-US"/>
        </w:rPr>
        <w:t> </w:t>
      </w:r>
      <w:r w:rsidRPr="00775188">
        <w:rPr>
          <w:rFonts w:eastAsia="Calibri"/>
          <w:lang w:eastAsia="en-US"/>
        </w:rPr>
        <w:t>KEP 2020) līdz 2020.</w:t>
      </w:r>
      <w:r w:rsidR="00136DB0">
        <w:rPr>
          <w:rFonts w:eastAsia="Calibri"/>
          <w:lang w:eastAsia="en-US"/>
        </w:rPr>
        <w:t> </w:t>
      </w:r>
      <w:r w:rsidRPr="00775188">
        <w:rPr>
          <w:rFonts w:eastAsia="Calibri"/>
          <w:lang w:eastAsia="en-US"/>
        </w:rPr>
        <w:t xml:space="preserve">gadam ietvaros. </w:t>
      </w:r>
    </w:p>
    <w:p w14:paraId="51F27ED5" w14:textId="422B2CB1" w:rsidR="00657A6A" w:rsidRPr="00726AE5" w:rsidRDefault="00657A6A" w:rsidP="00726AE5">
      <w:pPr>
        <w:rPr>
          <w:rFonts w:eastAsia="Calibri"/>
        </w:rPr>
      </w:pPr>
      <w:r w:rsidRPr="00726AE5">
        <w:rPr>
          <w:rFonts w:eastAsia="Calibri"/>
        </w:rPr>
        <w:t xml:space="preserve">Nozīmīgs rīcībpolitiku </w:t>
      </w:r>
      <w:r w:rsidR="009A4A33" w:rsidRPr="00726AE5">
        <w:rPr>
          <w:rFonts w:eastAsia="Calibri"/>
        </w:rPr>
        <w:t xml:space="preserve">kopums </w:t>
      </w:r>
      <w:r w:rsidRPr="00726AE5">
        <w:rPr>
          <w:rFonts w:eastAsia="Calibri"/>
        </w:rPr>
        <w:t>ES līmenī ir Klimata un enerģētikas</w:t>
      </w:r>
      <w:r w:rsidR="009A4A33" w:rsidRPr="00726AE5">
        <w:rPr>
          <w:rFonts w:eastAsia="Calibri"/>
        </w:rPr>
        <w:t xml:space="preserve"> politikas</w:t>
      </w:r>
      <w:r w:rsidRPr="00726AE5">
        <w:rPr>
          <w:rFonts w:eastAsia="Calibri"/>
        </w:rPr>
        <w:t xml:space="preserve"> satvars laikposmam līdz 2030.</w:t>
      </w:r>
      <w:r w:rsidR="005D3F5D" w:rsidRPr="00726AE5">
        <w:rPr>
          <w:rFonts w:eastAsia="Calibri"/>
        </w:rPr>
        <w:t xml:space="preserve"> </w:t>
      </w:r>
      <w:r w:rsidRPr="00726AE5">
        <w:rPr>
          <w:rFonts w:eastAsia="Calibri"/>
        </w:rPr>
        <w:t>gadam (</w:t>
      </w:r>
      <w:r w:rsidRPr="00913873">
        <w:rPr>
          <w:rFonts w:eastAsia="Calibri"/>
          <w:i/>
        </w:rPr>
        <w:t>Policy framework for climate and energy from 2020 to 2030</w:t>
      </w:r>
      <w:r w:rsidRPr="00726AE5">
        <w:rPr>
          <w:rFonts w:eastAsia="Calibri"/>
        </w:rPr>
        <w:t xml:space="preserve">, turpmāk </w:t>
      </w:r>
      <w:r w:rsidR="005D3F5D" w:rsidRPr="00726AE5">
        <w:rPr>
          <w:rFonts w:eastAsia="Calibri"/>
        </w:rPr>
        <w:t xml:space="preserve">– </w:t>
      </w:r>
      <w:r w:rsidRPr="00726AE5">
        <w:rPr>
          <w:rFonts w:eastAsia="Calibri"/>
        </w:rPr>
        <w:t xml:space="preserve">KEPS 2030), kurā ir ietverti ES kopējie un dalībvalstu SEG emisiju samazināšanas mērķi </w:t>
      </w:r>
      <w:r w:rsidR="00C3044A" w:rsidRPr="00726AE5">
        <w:rPr>
          <w:rFonts w:eastAsia="Calibri"/>
        </w:rPr>
        <w:t>Eiropas Savienības Emisijas kvotu tirdzniecības sistēmas (ES ETS)</w:t>
      </w:r>
      <w:r w:rsidR="00C3044A">
        <w:rPr>
          <w:rFonts w:eastAsia="Calibri"/>
        </w:rPr>
        <w:t xml:space="preserve"> </w:t>
      </w:r>
      <w:r w:rsidR="00367B69" w:rsidRPr="00726AE5">
        <w:rPr>
          <w:rFonts w:eastAsia="Calibri"/>
        </w:rPr>
        <w:footnoteReference w:id="15"/>
      </w:r>
      <w:r w:rsidR="00F53E36" w:rsidRPr="00726AE5">
        <w:rPr>
          <w:rFonts w:eastAsia="Calibri"/>
        </w:rPr>
        <w:t xml:space="preserve"> (vismaz 43</w:t>
      </w:r>
      <w:r w:rsidR="00136DB0" w:rsidRPr="00726AE5">
        <w:rPr>
          <w:rFonts w:eastAsia="Calibri"/>
        </w:rPr>
        <w:t> </w:t>
      </w:r>
      <w:r w:rsidR="00F53E36" w:rsidRPr="00726AE5">
        <w:rPr>
          <w:rFonts w:eastAsia="Calibri"/>
        </w:rPr>
        <w:t>% samazinājums salīdzinājumā ar 2005.</w:t>
      </w:r>
      <w:r w:rsidR="00136DB0" w:rsidRPr="00726AE5">
        <w:rPr>
          <w:rFonts w:eastAsia="Calibri"/>
        </w:rPr>
        <w:t> </w:t>
      </w:r>
      <w:r w:rsidR="00F53E36" w:rsidRPr="00726AE5">
        <w:rPr>
          <w:rFonts w:eastAsia="Calibri"/>
        </w:rPr>
        <w:t xml:space="preserve">gadu) </w:t>
      </w:r>
      <w:r w:rsidRPr="00726AE5">
        <w:rPr>
          <w:rFonts w:eastAsia="Calibri"/>
        </w:rPr>
        <w:t>un ne-ETS</w:t>
      </w:r>
      <w:r w:rsidR="00367B69" w:rsidRPr="00726AE5">
        <w:rPr>
          <w:rFonts w:eastAsia="Calibri"/>
        </w:rPr>
        <w:footnoteReference w:id="16"/>
      </w:r>
      <w:r w:rsidR="00136DB0" w:rsidRPr="00726AE5">
        <w:rPr>
          <w:rFonts w:eastAsia="Calibri"/>
        </w:rPr>
        <w:t xml:space="preserve"> </w:t>
      </w:r>
      <w:r w:rsidR="00F53E36" w:rsidRPr="00726AE5">
        <w:rPr>
          <w:rFonts w:eastAsia="Calibri"/>
        </w:rPr>
        <w:t>(vismaz 30</w:t>
      </w:r>
      <w:r w:rsidR="00136DB0" w:rsidRPr="00726AE5">
        <w:rPr>
          <w:rFonts w:eastAsia="Calibri"/>
        </w:rPr>
        <w:t> </w:t>
      </w:r>
      <w:r w:rsidR="00F53E36" w:rsidRPr="00726AE5">
        <w:rPr>
          <w:rFonts w:eastAsia="Calibri"/>
        </w:rPr>
        <w:t>% samazinājums salīdzinājumā ar 2005.</w:t>
      </w:r>
      <w:r w:rsidR="00136DB0" w:rsidRPr="00726AE5">
        <w:rPr>
          <w:rFonts w:eastAsia="Calibri"/>
        </w:rPr>
        <w:t> </w:t>
      </w:r>
      <w:r w:rsidR="00F53E36" w:rsidRPr="00726AE5">
        <w:rPr>
          <w:rFonts w:eastAsia="Calibri"/>
        </w:rPr>
        <w:t xml:space="preserve">gadu) </w:t>
      </w:r>
      <w:r w:rsidRPr="00726AE5">
        <w:rPr>
          <w:rFonts w:eastAsia="Calibri"/>
        </w:rPr>
        <w:t xml:space="preserve">sektoriem, kā arī </w:t>
      </w:r>
      <w:r w:rsidR="005D3F5D" w:rsidRPr="00726AE5">
        <w:rPr>
          <w:rFonts w:eastAsia="Calibri"/>
        </w:rPr>
        <w:t>AER</w:t>
      </w:r>
      <w:r w:rsidRPr="00726AE5">
        <w:rPr>
          <w:rFonts w:eastAsia="Calibri"/>
        </w:rPr>
        <w:t xml:space="preserve"> un energoefektivitātes mērķi.</w:t>
      </w:r>
    </w:p>
    <w:p w14:paraId="18F4A78E" w14:textId="52473228" w:rsidR="00087F70" w:rsidRPr="00726AE5" w:rsidRDefault="00136DB0" w:rsidP="00726AE5">
      <w:pPr>
        <w:rPr>
          <w:rFonts w:eastAsia="Calibri"/>
        </w:rPr>
      </w:pPr>
      <w:r w:rsidRPr="00726AE5">
        <w:rPr>
          <w:rFonts w:eastAsia="Calibri"/>
        </w:rPr>
        <w:t>2018. </w:t>
      </w:r>
      <w:r w:rsidR="004422EE" w:rsidRPr="00726AE5">
        <w:rPr>
          <w:rFonts w:eastAsia="Calibri"/>
        </w:rPr>
        <w:t>gada 1</w:t>
      </w:r>
      <w:r w:rsidR="00517EF2" w:rsidRPr="00726AE5">
        <w:rPr>
          <w:rFonts w:eastAsia="Calibri"/>
        </w:rPr>
        <w:t>4</w:t>
      </w:r>
      <w:r w:rsidRPr="00726AE5">
        <w:rPr>
          <w:rFonts w:eastAsia="Calibri"/>
        </w:rPr>
        <w:t>. </w:t>
      </w:r>
      <w:r w:rsidR="004422EE" w:rsidRPr="00726AE5">
        <w:rPr>
          <w:rFonts w:eastAsia="Calibri"/>
        </w:rPr>
        <w:t xml:space="preserve">martā </w:t>
      </w:r>
      <w:r w:rsidR="00517EF2" w:rsidRPr="00726AE5">
        <w:rPr>
          <w:rFonts w:eastAsia="Calibri"/>
        </w:rPr>
        <w:t xml:space="preserve">tika pieņemta </w:t>
      </w:r>
      <w:r w:rsidR="004422EE" w:rsidRPr="00726AE5">
        <w:rPr>
          <w:rFonts w:eastAsia="Calibri"/>
        </w:rPr>
        <w:t>Eiropas Parlamenta un Padomes direktīva Nr.</w:t>
      </w:r>
      <w:r w:rsidRPr="00726AE5">
        <w:rPr>
          <w:rFonts w:eastAsia="Calibri"/>
        </w:rPr>
        <w:t> </w:t>
      </w:r>
      <w:r w:rsidR="004422EE" w:rsidRPr="00726AE5">
        <w:rPr>
          <w:rFonts w:eastAsia="Calibri"/>
        </w:rPr>
        <w:t>2018/410 (ar to groza Direktīvu 2003/87/EK, lai sekmētu emisiju izmaksu efektīvu samazināšanu un investīcijas mazoglekļa risinājumos) un Lēmumu (ES) 2015/1814, ar kuru tika noslēgta 2015.</w:t>
      </w:r>
      <w:r w:rsidRPr="00726AE5">
        <w:rPr>
          <w:rFonts w:eastAsia="Calibri"/>
        </w:rPr>
        <w:t> </w:t>
      </w:r>
      <w:r w:rsidR="004422EE" w:rsidRPr="00726AE5">
        <w:rPr>
          <w:rFonts w:eastAsia="Calibri"/>
        </w:rPr>
        <w:t>gada 15.</w:t>
      </w:r>
      <w:r w:rsidRPr="00726AE5">
        <w:rPr>
          <w:rFonts w:eastAsia="Calibri"/>
        </w:rPr>
        <w:t> </w:t>
      </w:r>
      <w:r w:rsidR="004422EE" w:rsidRPr="00726AE5">
        <w:rPr>
          <w:rFonts w:eastAsia="Calibri"/>
        </w:rPr>
        <w:t>jūlijā uzsāktā ES ETS reformēšana, lai palīdzētu Eiropas Savienībai par vismaz 40</w:t>
      </w:r>
      <w:r w:rsidRPr="00726AE5">
        <w:rPr>
          <w:rFonts w:eastAsia="Calibri"/>
        </w:rPr>
        <w:t> </w:t>
      </w:r>
      <w:r w:rsidR="004422EE" w:rsidRPr="00726AE5">
        <w:rPr>
          <w:rFonts w:eastAsia="Calibri"/>
        </w:rPr>
        <w:t>% samazināt Eiropas Savienības kopējo SEG emisiju apjomu 2030.</w:t>
      </w:r>
      <w:r w:rsidRPr="00726AE5">
        <w:rPr>
          <w:rFonts w:eastAsia="Calibri"/>
        </w:rPr>
        <w:t> </w:t>
      </w:r>
      <w:r w:rsidR="004422EE" w:rsidRPr="00726AE5">
        <w:rPr>
          <w:rFonts w:eastAsia="Calibri"/>
        </w:rPr>
        <w:t>gadā salīdzinot ar 1990.</w:t>
      </w:r>
      <w:r w:rsidRPr="00726AE5">
        <w:rPr>
          <w:rFonts w:eastAsia="Calibri"/>
        </w:rPr>
        <w:t> </w:t>
      </w:r>
      <w:r w:rsidR="004422EE" w:rsidRPr="00726AE5">
        <w:rPr>
          <w:rFonts w:eastAsia="Calibri"/>
        </w:rPr>
        <w:t>gadu. Reformas rezultātā tika stiprināta ES ETS darbība, lai tā spētu nodrošināt SEG samazināšanu izmaksu efektīvā veidā. Periodā līdz 2030.</w:t>
      </w:r>
      <w:r w:rsidRPr="00726AE5">
        <w:rPr>
          <w:rFonts w:eastAsia="Calibri"/>
        </w:rPr>
        <w:t> </w:t>
      </w:r>
      <w:r w:rsidR="004422EE" w:rsidRPr="00726AE5">
        <w:rPr>
          <w:rFonts w:eastAsia="Calibri"/>
        </w:rPr>
        <w:t>gadam ikgadējais emisijas kvotu kopapjoms katru gadu tiks samazināts par 2,2</w:t>
      </w:r>
      <w:r w:rsidRPr="00726AE5">
        <w:rPr>
          <w:rFonts w:eastAsia="Calibri"/>
        </w:rPr>
        <w:t> </w:t>
      </w:r>
      <w:r w:rsidR="004422EE" w:rsidRPr="00726AE5">
        <w:rPr>
          <w:rFonts w:eastAsia="Calibri"/>
        </w:rPr>
        <w:t>% (periodā līdz 2020.</w:t>
      </w:r>
      <w:r w:rsidRPr="00726AE5">
        <w:rPr>
          <w:rFonts w:eastAsia="Calibri"/>
        </w:rPr>
        <w:t> </w:t>
      </w:r>
      <w:r w:rsidR="004422EE" w:rsidRPr="00726AE5">
        <w:rPr>
          <w:rFonts w:eastAsia="Calibri"/>
        </w:rPr>
        <w:t>gadam kopapjoms tika samazināts par 1,74</w:t>
      </w:r>
      <w:r w:rsidRPr="00726AE5">
        <w:rPr>
          <w:rFonts w:eastAsia="Calibri"/>
        </w:rPr>
        <w:t> </w:t>
      </w:r>
      <w:r w:rsidR="004422EE" w:rsidRPr="00726AE5">
        <w:rPr>
          <w:rFonts w:eastAsia="Calibri"/>
        </w:rPr>
        <w:t>% gadā) un tiks dubultots emisijas kvotu skaits, ko iekļauj tirgus stabilitātes rezervē (izņem no apgrozības). Tāpat tiks turpināts būtiski atbalstīt nozares, kurās pastāv lielāks risks, ka ražošanu varētu pārcelt ārpus ES (oglekļa pārvirzes riskam pakļautās nozares)</w:t>
      </w:r>
      <w:r w:rsidRPr="00726AE5">
        <w:rPr>
          <w:rFonts w:eastAsia="Calibri"/>
        </w:rPr>
        <w:t> </w:t>
      </w:r>
      <w:r w:rsidR="004422EE" w:rsidRPr="00726AE5">
        <w:rPr>
          <w:rFonts w:eastAsia="Calibri"/>
        </w:rPr>
        <w:t>–</w:t>
      </w:r>
      <w:r w:rsidRPr="00726AE5">
        <w:rPr>
          <w:rFonts w:eastAsia="Calibri"/>
        </w:rPr>
        <w:t> </w:t>
      </w:r>
      <w:r w:rsidR="004422EE" w:rsidRPr="00726AE5">
        <w:rPr>
          <w:rFonts w:eastAsia="Calibri"/>
        </w:rPr>
        <w:t>tiks turpināts nodrošināt, ka šo aptuveni 50 nozaru uzņēmumiem bezmaksas emisijas kvotas tiek piešķirtas pilnā apjomā un ka dalībvalstis arī turpmāk var kompensēt netiešās oglekļa izmaksas saskaņā ar valsts atbalsta noteikumiem. Papildus, viens no pārskatītās ES ETS svarīgākajiem mērķiem ir palīdzēt pārvarēt inovāciju un investīciju izaicinājumus pārejai uz oglekļa mazietilpīgu ekonomiku. Šajā nolūkā tiks izveidoti vairāki finansēšanas mehānismi</w:t>
      </w:r>
      <w:r w:rsidRPr="00726AE5">
        <w:rPr>
          <w:rFonts w:eastAsia="Calibri"/>
        </w:rPr>
        <w:t> – </w:t>
      </w:r>
      <w:r w:rsidR="004422EE" w:rsidRPr="00726AE5">
        <w:rPr>
          <w:rFonts w:eastAsia="Calibri"/>
        </w:rPr>
        <w:t>Inovāciju fonds (pieejams visu ES dalībvalstu ETS operatoriem) un Modernizācijas fonds (pieejams konkrētām ES dalībvalstīm savu energosistēmu modernizēšanai), kā arī bezmaksas emisijas kvotu piešķiršanas iespēja elektroenerģijas ražotājiem (iespēja pieejama konkrētu ES dalībvalstu ETS operatoriem).</w:t>
      </w:r>
    </w:p>
    <w:p w14:paraId="4ABBB2DC" w14:textId="2D53ED25" w:rsidR="004422EE" w:rsidRPr="00726AE5" w:rsidRDefault="004422EE" w:rsidP="00726AE5">
      <w:pPr>
        <w:rPr>
          <w:rFonts w:eastAsia="Calibri"/>
        </w:rPr>
      </w:pPr>
      <w:r w:rsidRPr="00726AE5">
        <w:rPr>
          <w:rFonts w:eastAsia="Calibri"/>
        </w:rPr>
        <w:t>2018.</w:t>
      </w:r>
      <w:r w:rsidR="00136DB0" w:rsidRPr="00726AE5">
        <w:rPr>
          <w:rFonts w:eastAsia="Calibri"/>
        </w:rPr>
        <w:t> gada 30. </w:t>
      </w:r>
      <w:r w:rsidRPr="00726AE5">
        <w:rPr>
          <w:rFonts w:eastAsia="Calibri"/>
        </w:rPr>
        <w:t>maijā tika apstiprināta Eiropas Parlamenta un Padomes regula Nr.</w:t>
      </w:r>
      <w:r w:rsidR="00136DB0" w:rsidRPr="00726AE5">
        <w:rPr>
          <w:rFonts w:eastAsia="Calibri"/>
        </w:rPr>
        <w:t> </w:t>
      </w:r>
      <w:r w:rsidRPr="00726AE5">
        <w:rPr>
          <w:rFonts w:eastAsia="Calibri"/>
        </w:rPr>
        <w:t>2018/842 par saistošiem ikgadējiem siltumnīcefekta gāzu emisiju samazinājumiem, kas dalībvalstīm jāpanāk no 2021. līdz 2030.</w:t>
      </w:r>
      <w:r w:rsidR="00136DB0" w:rsidRPr="00726AE5">
        <w:rPr>
          <w:rFonts w:eastAsia="Calibri"/>
        </w:rPr>
        <w:t> </w:t>
      </w:r>
      <w:r w:rsidRPr="00726AE5">
        <w:rPr>
          <w:rFonts w:eastAsia="Calibri"/>
        </w:rPr>
        <w:t>gadam un kas dod ieguldījumu rīcībā klimata politikas jomā, lai izpildītu Parīzes nolīgumā paredzētās saist</w:t>
      </w:r>
      <w:r w:rsidR="00136DB0" w:rsidRPr="00726AE5">
        <w:rPr>
          <w:rFonts w:eastAsia="Calibri"/>
        </w:rPr>
        <w:t>ības, un ar ko groza Regulu Nr. </w:t>
      </w:r>
      <w:r w:rsidRPr="00726AE5">
        <w:rPr>
          <w:rFonts w:eastAsia="Calibri"/>
        </w:rPr>
        <w:t>525/2013 (turpmāk</w:t>
      </w:r>
      <w:r w:rsidR="00136DB0" w:rsidRPr="00726AE5">
        <w:rPr>
          <w:rFonts w:eastAsia="Calibri"/>
        </w:rPr>
        <w:t> </w:t>
      </w:r>
      <w:r w:rsidRPr="00726AE5">
        <w:rPr>
          <w:rFonts w:eastAsia="Calibri"/>
        </w:rPr>
        <w:t>–</w:t>
      </w:r>
      <w:r w:rsidR="00136DB0" w:rsidRPr="00726AE5">
        <w:rPr>
          <w:rFonts w:eastAsia="Calibri"/>
        </w:rPr>
        <w:t> </w:t>
      </w:r>
      <w:r w:rsidRPr="00726AE5">
        <w:rPr>
          <w:rFonts w:eastAsia="Calibri"/>
        </w:rPr>
        <w:t>Saistību pārdales regula). Saistību pārdales regula nosaka katras ES dalībvalsts pienākumus ES kopējā SEG apjoma samazināšanai ES Emisijas kvotu tirdzniecības sistēmā neiekļautajās darbībās (ne-ETS) līdz 2030.</w:t>
      </w:r>
      <w:r w:rsidR="00136DB0" w:rsidRPr="00726AE5">
        <w:rPr>
          <w:rFonts w:eastAsia="Calibri"/>
        </w:rPr>
        <w:t> </w:t>
      </w:r>
      <w:r w:rsidRPr="00726AE5">
        <w:rPr>
          <w:rFonts w:eastAsia="Calibri"/>
        </w:rPr>
        <w:t>gadam par 30</w:t>
      </w:r>
      <w:r w:rsidR="00136DB0" w:rsidRPr="00726AE5">
        <w:rPr>
          <w:rFonts w:eastAsia="Calibri"/>
        </w:rPr>
        <w:t> </w:t>
      </w:r>
      <w:r w:rsidRPr="00726AE5">
        <w:rPr>
          <w:rFonts w:eastAsia="Calibri"/>
        </w:rPr>
        <w:t>% salīdzinot ar 2005.</w:t>
      </w:r>
      <w:r w:rsidR="00136DB0" w:rsidRPr="00726AE5">
        <w:rPr>
          <w:rFonts w:eastAsia="Calibri"/>
        </w:rPr>
        <w:t> </w:t>
      </w:r>
      <w:r w:rsidRPr="00726AE5">
        <w:rPr>
          <w:rFonts w:eastAsia="Calibri"/>
        </w:rPr>
        <w:t>gadu. Ne-ETS darbību aptvērumā tiek iekļautas  ES ETS neiekļautās darbības</w:t>
      </w:r>
      <w:r w:rsidR="00136DB0" w:rsidRPr="00726AE5">
        <w:rPr>
          <w:rFonts w:eastAsia="Calibri"/>
        </w:rPr>
        <w:t> </w:t>
      </w:r>
      <w:r w:rsidRPr="00726AE5">
        <w:rPr>
          <w:rFonts w:eastAsia="Calibri"/>
        </w:rPr>
        <w:t>–</w:t>
      </w:r>
      <w:r w:rsidR="00136DB0" w:rsidRPr="00726AE5">
        <w:rPr>
          <w:rFonts w:eastAsia="Calibri"/>
        </w:rPr>
        <w:t> </w:t>
      </w:r>
      <w:r w:rsidRPr="00726AE5">
        <w:rPr>
          <w:rFonts w:eastAsia="Calibri"/>
        </w:rPr>
        <w:t>stacionārās sadedzināšanas iekārtas enerģijas un rūpnieciskās produkcijas ražošanai, ieguves, pārvades un piegādes darbības ar degvielu un kurināmo, transporta nozare (izņemot starptautisko aviāciju un kuģniecību), rūpnieciskie procesi un ķīmisko vielu izmantošana, lauksaimniecības un atkritumu apsaimniekošanas nozares. Atbi</w:t>
      </w:r>
      <w:r w:rsidR="00436909" w:rsidRPr="00726AE5">
        <w:rPr>
          <w:rFonts w:eastAsia="Calibri"/>
        </w:rPr>
        <w:t>lstoši Saistību pārdales regulai</w:t>
      </w:r>
      <w:r w:rsidRPr="00726AE5">
        <w:rPr>
          <w:rFonts w:eastAsia="Calibri"/>
        </w:rPr>
        <w:t xml:space="preserve">, Latvijai SEG emisiju </w:t>
      </w:r>
      <w:r w:rsidR="00136DB0" w:rsidRPr="00726AE5">
        <w:rPr>
          <w:rFonts w:eastAsia="Calibri"/>
        </w:rPr>
        <w:t>apjoms šajās nozarēs līdz 2030. </w:t>
      </w:r>
      <w:r w:rsidRPr="00726AE5">
        <w:rPr>
          <w:rFonts w:eastAsia="Calibri"/>
        </w:rPr>
        <w:t>gadam jāsamazina par 6</w:t>
      </w:r>
      <w:r w:rsidR="00136DB0" w:rsidRPr="00726AE5">
        <w:rPr>
          <w:rFonts w:eastAsia="Calibri"/>
        </w:rPr>
        <w:t> </w:t>
      </w:r>
      <w:r w:rsidRPr="00726AE5">
        <w:rPr>
          <w:rFonts w:eastAsia="Calibri"/>
        </w:rPr>
        <w:t>%, salīdzinot ar 2005.</w:t>
      </w:r>
      <w:r w:rsidR="00136DB0" w:rsidRPr="00726AE5">
        <w:rPr>
          <w:rFonts w:eastAsia="Calibri"/>
        </w:rPr>
        <w:t> </w:t>
      </w:r>
      <w:r w:rsidRPr="00726AE5">
        <w:rPr>
          <w:rFonts w:eastAsia="Calibri"/>
        </w:rPr>
        <w:t>gada līmeni.</w:t>
      </w:r>
    </w:p>
    <w:p w14:paraId="11180302" w14:textId="4F2E7510" w:rsidR="00517EF2" w:rsidRPr="00726AE5" w:rsidRDefault="00136DB0" w:rsidP="00726AE5">
      <w:pPr>
        <w:rPr>
          <w:rFonts w:eastAsia="Calibri"/>
        </w:rPr>
      </w:pPr>
      <w:r w:rsidRPr="00726AE5">
        <w:rPr>
          <w:rFonts w:eastAsia="Calibri"/>
        </w:rPr>
        <w:t>2018. gada 30. </w:t>
      </w:r>
      <w:r w:rsidR="004422EE" w:rsidRPr="00726AE5">
        <w:rPr>
          <w:rFonts w:eastAsia="Calibri"/>
        </w:rPr>
        <w:t>maijā tika apstiprināta Eiropas P</w:t>
      </w:r>
      <w:r w:rsidRPr="00726AE5">
        <w:rPr>
          <w:rFonts w:eastAsia="Calibri"/>
        </w:rPr>
        <w:t>arlamenta un Padomes regula Nr. </w:t>
      </w:r>
      <w:r w:rsidR="004422EE" w:rsidRPr="00726AE5">
        <w:rPr>
          <w:rFonts w:eastAsia="Calibri"/>
        </w:rPr>
        <w:t>2018/841 par zemes izmantošanā, zemes izmantošanas maiņā un mežsaimniecībā radušos siltumnīcefekta gāzu emisiju un piesaistes iekļaušanu klimata un enerģētikas politika</w:t>
      </w:r>
      <w:r w:rsidRPr="00726AE5">
        <w:rPr>
          <w:rFonts w:eastAsia="Calibri"/>
        </w:rPr>
        <w:t>s satvarā laikposmam līdz 2030. gadam un ar ko groza Regulu Nr. 525/2013 un Lēmumu Nr. </w:t>
      </w:r>
      <w:r w:rsidR="004422EE" w:rsidRPr="00726AE5">
        <w:rPr>
          <w:rFonts w:eastAsia="Calibri"/>
        </w:rPr>
        <w:t>529/2013/ES</w:t>
      </w:r>
      <w:r w:rsidR="00F53E36" w:rsidRPr="00726AE5">
        <w:rPr>
          <w:rFonts w:eastAsia="Calibri"/>
        </w:rPr>
        <w:t xml:space="preserve">, </w:t>
      </w:r>
      <w:r w:rsidR="00517EF2" w:rsidRPr="00726AE5">
        <w:rPr>
          <w:rFonts w:eastAsia="Calibri"/>
        </w:rPr>
        <w:t xml:space="preserve">saskaņā ar kuru </w:t>
      </w:r>
      <w:r w:rsidRPr="00726AE5">
        <w:rPr>
          <w:rFonts w:eastAsia="Calibri"/>
        </w:rPr>
        <w:t>zemes sektorā (ZIZIMM </w:t>
      </w:r>
      <w:r w:rsidR="00517EF2" w:rsidRPr="00726AE5">
        <w:rPr>
          <w:rFonts w:eastAsia="Calibri"/>
        </w:rPr>
        <w:t>–</w:t>
      </w:r>
      <w:r w:rsidRPr="00726AE5">
        <w:rPr>
          <w:rFonts w:eastAsia="Calibri"/>
        </w:rPr>
        <w:t> </w:t>
      </w:r>
      <w:r w:rsidR="00517EF2" w:rsidRPr="00726AE5">
        <w:rPr>
          <w:rFonts w:eastAsia="Calibri"/>
        </w:rPr>
        <w:t xml:space="preserve">zemes izmantošanas, zemes izmantošanas maiņas un mežsaimniecības </w:t>
      </w:r>
      <w:r w:rsidR="00517EF2" w:rsidRPr="00726AE5">
        <w:rPr>
          <w:rFonts w:eastAsia="Calibri"/>
        </w:rPr>
        <w:lastRenderedPageBreak/>
        <w:t>sektors) Latvijai būs jānodrošina, ka no mežu apsaimniekošanas, aramzemju apsaimniekošanas, zālāju apsaimniekošanas, apmežošanas un atmežošanas, piemērojot īpašus uzskaites noteikumus, kopumā nav emisiju. Lai sasniegtu šo mērķi, papildus jāievēro šādi nosacījumi:</w:t>
      </w:r>
    </w:p>
    <w:p w14:paraId="61381361" w14:textId="0E2667B1" w:rsidR="00517EF2" w:rsidRPr="008C77DA" w:rsidRDefault="00517EF2" w:rsidP="00297AAC">
      <w:pPr>
        <w:pStyle w:val="ListParagraph"/>
        <w:numPr>
          <w:ilvl w:val="0"/>
          <w:numId w:val="33"/>
        </w:numPr>
        <w:rPr>
          <w:rFonts w:eastAsia="Calibri"/>
        </w:rPr>
      </w:pPr>
      <w:r w:rsidRPr="008C77DA">
        <w:rPr>
          <w:rFonts w:eastAsia="Calibri"/>
        </w:rPr>
        <w:t>atmežošanas radīto SEG emisiju kompensēšana ar apmežošanas rezultātā radušos CO2 piesaisti;</w:t>
      </w:r>
    </w:p>
    <w:p w14:paraId="3F4C5E29" w14:textId="444DD867" w:rsidR="00517EF2" w:rsidRPr="008C77DA" w:rsidRDefault="00517EF2" w:rsidP="00297AAC">
      <w:pPr>
        <w:pStyle w:val="ListParagraph"/>
        <w:numPr>
          <w:ilvl w:val="0"/>
          <w:numId w:val="33"/>
        </w:numPr>
        <w:rPr>
          <w:rFonts w:eastAsia="Calibri"/>
        </w:rPr>
      </w:pPr>
      <w:r w:rsidRPr="008C77DA">
        <w:rPr>
          <w:rFonts w:eastAsia="Calibri"/>
        </w:rPr>
        <w:t>aramzemju un zālāju SEG emisiju apjoma nodrošināšana 2005.-2009.</w:t>
      </w:r>
      <w:r w:rsidR="00136DB0" w:rsidRPr="008C77DA">
        <w:rPr>
          <w:rFonts w:eastAsia="Calibri"/>
        </w:rPr>
        <w:t> </w:t>
      </w:r>
      <w:r w:rsidRPr="008C77DA">
        <w:rPr>
          <w:rFonts w:eastAsia="Calibri"/>
        </w:rPr>
        <w:t>gada līmenī;</w:t>
      </w:r>
    </w:p>
    <w:p w14:paraId="6FC51047" w14:textId="18C1E719" w:rsidR="00517EF2" w:rsidRPr="008C77DA" w:rsidRDefault="00517EF2" w:rsidP="00297AAC">
      <w:pPr>
        <w:pStyle w:val="ListParagraph"/>
        <w:numPr>
          <w:ilvl w:val="0"/>
          <w:numId w:val="33"/>
        </w:numPr>
        <w:rPr>
          <w:rFonts w:eastAsia="Calibri"/>
        </w:rPr>
      </w:pPr>
      <w:r w:rsidRPr="008C77DA">
        <w:rPr>
          <w:rFonts w:eastAsia="Calibri"/>
        </w:rPr>
        <w:t>meža references līmeņa nodrošināšana.</w:t>
      </w:r>
    </w:p>
    <w:p w14:paraId="52495BE3" w14:textId="0C4683F7" w:rsidR="004422EE" w:rsidRPr="00726AE5" w:rsidRDefault="00517EF2" w:rsidP="00726AE5">
      <w:pPr>
        <w:rPr>
          <w:rFonts w:eastAsia="Calibri"/>
        </w:rPr>
      </w:pPr>
      <w:r w:rsidRPr="00726AE5">
        <w:rPr>
          <w:rFonts w:eastAsia="Calibri"/>
        </w:rPr>
        <w:t>Dalībvalstīm tiek dota arī elastība</w:t>
      </w:r>
      <w:r w:rsidR="00726AE5" w:rsidRPr="00726AE5">
        <w:rPr>
          <w:rFonts w:eastAsia="Calibri"/>
        </w:rPr>
        <w:t> </w:t>
      </w:r>
      <w:r w:rsidRPr="00726AE5">
        <w:rPr>
          <w:rFonts w:eastAsia="Calibri"/>
        </w:rPr>
        <w:t>–</w:t>
      </w:r>
      <w:r w:rsidR="00726AE5" w:rsidRPr="00726AE5">
        <w:rPr>
          <w:rFonts w:eastAsia="Calibri"/>
        </w:rPr>
        <w:t> </w:t>
      </w:r>
      <w:r w:rsidRPr="00726AE5">
        <w:rPr>
          <w:rFonts w:eastAsia="Calibri"/>
        </w:rPr>
        <w:t>kāda nosacījuma neizpildi var kompensēt ar kāda cita nosacījuma pārpildi.</w:t>
      </w:r>
    </w:p>
    <w:p w14:paraId="15A5846A" w14:textId="019D0EB4" w:rsidR="00D15431" w:rsidRPr="00726AE5" w:rsidRDefault="00D15431" w:rsidP="00726AE5">
      <w:pPr>
        <w:rPr>
          <w:rFonts w:eastAsia="Calibri"/>
        </w:rPr>
      </w:pPr>
      <w:r w:rsidRPr="00726AE5">
        <w:rPr>
          <w:rFonts w:eastAsia="Calibri"/>
        </w:rPr>
        <w:t>2018.</w:t>
      </w:r>
      <w:r w:rsidR="00726AE5" w:rsidRPr="00726AE5">
        <w:rPr>
          <w:rFonts w:eastAsia="Calibri"/>
        </w:rPr>
        <w:t> </w:t>
      </w:r>
      <w:r w:rsidRPr="00726AE5">
        <w:rPr>
          <w:rFonts w:eastAsia="Calibri"/>
        </w:rPr>
        <w:t>gada 2.</w:t>
      </w:r>
      <w:r w:rsidR="00726AE5" w:rsidRPr="00726AE5">
        <w:rPr>
          <w:rFonts w:eastAsia="Calibri"/>
        </w:rPr>
        <w:t> </w:t>
      </w:r>
      <w:r w:rsidRPr="00726AE5">
        <w:rPr>
          <w:rFonts w:eastAsia="Calibri"/>
        </w:rPr>
        <w:t>maijā Eiropas Komisija nāca klajā ar priekšlikumu nākamajam Eiropas Savi</w:t>
      </w:r>
      <w:r w:rsidR="00726AE5" w:rsidRPr="00726AE5">
        <w:rPr>
          <w:rFonts w:eastAsia="Calibri"/>
        </w:rPr>
        <w:t>enības daudzgadu budžetam 2021. </w:t>
      </w:r>
      <w:r w:rsidRPr="00726AE5">
        <w:rPr>
          <w:rFonts w:eastAsia="Calibri"/>
        </w:rPr>
        <w:t>–</w:t>
      </w:r>
      <w:r w:rsidR="00726AE5" w:rsidRPr="00726AE5">
        <w:rPr>
          <w:rFonts w:eastAsia="Calibri"/>
        </w:rPr>
        <w:t> </w:t>
      </w:r>
      <w:r w:rsidRPr="00726AE5">
        <w:rPr>
          <w:rFonts w:eastAsia="Calibri"/>
        </w:rPr>
        <w:t>2027. gadam, kurā ir izvirzīts mērķis vismaz 25</w:t>
      </w:r>
      <w:r w:rsidR="00726AE5" w:rsidRPr="00726AE5">
        <w:rPr>
          <w:rFonts w:eastAsia="Calibri"/>
        </w:rPr>
        <w:t> </w:t>
      </w:r>
      <w:r w:rsidRPr="00726AE5">
        <w:rPr>
          <w:rFonts w:eastAsia="Calibri"/>
        </w:rPr>
        <w:t>% fondu finansējuma novirzīt klimata mērķu sasniegšanas veicināšanai (iepriekšējā periodā</w:t>
      </w:r>
      <w:r w:rsidR="00726AE5" w:rsidRPr="00726AE5">
        <w:rPr>
          <w:rFonts w:eastAsia="Calibri"/>
        </w:rPr>
        <w:t> </w:t>
      </w:r>
      <w:r w:rsidRPr="00726AE5">
        <w:rPr>
          <w:rFonts w:eastAsia="Calibri"/>
        </w:rPr>
        <w:t>–</w:t>
      </w:r>
      <w:r w:rsidR="00726AE5" w:rsidRPr="00726AE5">
        <w:rPr>
          <w:rFonts w:eastAsia="Calibri"/>
        </w:rPr>
        <w:t> </w:t>
      </w:r>
      <w:r w:rsidRPr="00726AE5">
        <w:rPr>
          <w:rFonts w:eastAsia="Calibri"/>
        </w:rPr>
        <w:t>20%). Klimata mērķu sasniegšanas veicināšanai paredzēts novirzīt konkrētu daļu pieejamā finansējuma dažādos fondos, piemēram, Eiropas Komisija ir integrējusi rīcību klimata jomā visās lielākajās ES budžeta izdevumu programmās</w:t>
      </w:r>
      <w:r w:rsidR="00726AE5" w:rsidRPr="00726AE5">
        <w:rPr>
          <w:rFonts w:eastAsia="Calibri"/>
        </w:rPr>
        <w:t> </w:t>
      </w:r>
      <w:r w:rsidRPr="00726AE5">
        <w:rPr>
          <w:rFonts w:eastAsia="Calibri"/>
        </w:rPr>
        <w:t>–</w:t>
      </w:r>
      <w:r w:rsidR="00726AE5" w:rsidRPr="00726AE5">
        <w:rPr>
          <w:rFonts w:eastAsia="Calibri"/>
        </w:rPr>
        <w:t> </w:t>
      </w:r>
      <w:r w:rsidRPr="00726AE5">
        <w:rPr>
          <w:rFonts w:eastAsia="Calibri"/>
        </w:rPr>
        <w:t>kohēzijas politikā, reģionālajā attīstībā, enerģētikā, transportā, zinātnē un inovācijā, kopējā lauksaimniecības politikā u.c.</w:t>
      </w:r>
    </w:p>
    <w:p w14:paraId="2D3ED9D8" w14:textId="5828A8B6" w:rsidR="00462096" w:rsidRPr="00726AE5" w:rsidRDefault="00775188" w:rsidP="00726AE5">
      <w:pPr>
        <w:rPr>
          <w:rFonts w:eastAsia="Calibri"/>
        </w:rPr>
      </w:pPr>
      <w:r w:rsidRPr="00726AE5">
        <w:rPr>
          <w:rFonts w:eastAsia="Calibri"/>
        </w:rPr>
        <w:t>2016.</w:t>
      </w:r>
      <w:r w:rsidR="00726AE5" w:rsidRPr="00726AE5">
        <w:rPr>
          <w:rFonts w:eastAsia="Calibri"/>
        </w:rPr>
        <w:t> </w:t>
      </w:r>
      <w:r w:rsidRPr="00726AE5">
        <w:rPr>
          <w:rFonts w:eastAsia="Calibri"/>
        </w:rPr>
        <w:t>gada 30.</w:t>
      </w:r>
      <w:r w:rsidR="00726AE5" w:rsidRPr="00726AE5">
        <w:rPr>
          <w:rFonts w:eastAsia="Calibri"/>
        </w:rPr>
        <w:t> </w:t>
      </w:r>
      <w:r w:rsidRPr="00726AE5">
        <w:rPr>
          <w:rFonts w:eastAsia="Calibri"/>
        </w:rPr>
        <w:t>novembrī Eiropas Komisija publiskoja priekšlikumu par Enerģētikas Savienības pār</w:t>
      </w:r>
      <w:r w:rsidR="00726AE5" w:rsidRPr="00726AE5">
        <w:rPr>
          <w:rFonts w:eastAsia="Calibri"/>
        </w:rPr>
        <w:t>valdības regulu, par kuru 2018. </w:t>
      </w:r>
      <w:r w:rsidRPr="00726AE5">
        <w:rPr>
          <w:rFonts w:eastAsia="Calibri"/>
        </w:rPr>
        <w:t>gada 29.</w:t>
      </w:r>
      <w:r w:rsidR="00726AE5" w:rsidRPr="00726AE5">
        <w:rPr>
          <w:rFonts w:eastAsia="Calibri"/>
        </w:rPr>
        <w:t> </w:t>
      </w:r>
      <w:r w:rsidRPr="00726AE5">
        <w:rPr>
          <w:rFonts w:eastAsia="Calibri"/>
        </w:rPr>
        <w:t>jūnijā tika panākta vienošanās, kas gan vēl formāli jāapstiprina ES Padomē un Eiropas Parlamentā. Enerģētikas Savienības pārvaldības regula</w:t>
      </w:r>
      <w:r w:rsidR="004A30B6" w:rsidRPr="00726AE5">
        <w:rPr>
          <w:rFonts w:eastAsia="Calibri"/>
        </w:rPr>
        <w:t>s</w:t>
      </w:r>
      <w:r w:rsidRPr="00726AE5">
        <w:rPr>
          <w:rFonts w:eastAsia="Calibri"/>
        </w:rPr>
        <w:t xml:space="preserve"> </w:t>
      </w:r>
      <w:r w:rsidR="004A30B6" w:rsidRPr="00726AE5">
        <w:rPr>
          <w:rFonts w:eastAsia="Calibri"/>
        </w:rPr>
        <w:t>nolūks ir sekmēt klimata un enerģētikas politikas saskaņotību un caurspīdību dalībvalstīs investīciju vides paredzamību, kā arī dalībvalstu aktivitāšu savstarpēju koordinēšanu un administratīvā sloga mazināšanu. Regulas projekta pamatā ir līdzšinējās ES plānošanas, ziņošanas un monitoringa prasības klimata un enerģētikas politikas jautājumos, vienlaikus paredzot integrētu nacionālo enerģētikas un klimata plānu izstrādi 2030.</w:t>
      </w:r>
      <w:r w:rsidR="00726AE5" w:rsidRPr="00726AE5">
        <w:rPr>
          <w:rFonts w:eastAsia="Calibri"/>
        </w:rPr>
        <w:t> </w:t>
      </w:r>
      <w:r w:rsidR="004A30B6" w:rsidRPr="00726AE5">
        <w:rPr>
          <w:rFonts w:eastAsia="Calibri"/>
        </w:rPr>
        <w:t xml:space="preserve">gadam. Enerģētikas Savienības pārvaldības regulas priekšlikumā ir iekļauta prasība dalībvalstīm sagatavot </w:t>
      </w:r>
      <w:r w:rsidR="00462096" w:rsidRPr="00726AE5">
        <w:rPr>
          <w:rFonts w:eastAsia="Calibri"/>
        </w:rPr>
        <w:t>un iesniegt Eiropas Komisijās līdz 2020.</w:t>
      </w:r>
      <w:r w:rsidR="00726AE5" w:rsidRPr="00726AE5">
        <w:rPr>
          <w:rFonts w:eastAsia="Calibri"/>
        </w:rPr>
        <w:t> gada 1. j</w:t>
      </w:r>
      <w:r w:rsidR="00462096" w:rsidRPr="00726AE5">
        <w:rPr>
          <w:rFonts w:eastAsia="Calibri"/>
        </w:rPr>
        <w:t xml:space="preserve">anvārim (un ik katrus 10 gadus), kā arī ik katrus </w:t>
      </w:r>
      <w:r w:rsidR="008C77DA">
        <w:rPr>
          <w:rFonts w:eastAsia="Calibri"/>
        </w:rPr>
        <w:t>piecus</w:t>
      </w:r>
      <w:r w:rsidR="008C77DA" w:rsidRPr="00726AE5">
        <w:rPr>
          <w:rFonts w:eastAsia="Calibri"/>
        </w:rPr>
        <w:t xml:space="preserve"> </w:t>
      </w:r>
      <w:r w:rsidR="00462096" w:rsidRPr="00726AE5">
        <w:rPr>
          <w:rFonts w:eastAsia="Calibri"/>
        </w:rPr>
        <w:t>gadus atjaunināt pēc nepieciešamības, ilgtermiņa stratēģijas ar 30 gadu perspektīvu. Stratēģijām jātiek gatavotām ar mērķi, lai izpildītu ES un dalībvalstu mērķus un saistības ANO Vispārējās konvencijas par klimata pārmaiņām un Parīzes nolīguma ietvaros, lai samazinātu SEG emisijas un ve</w:t>
      </w:r>
      <w:r w:rsidR="00726AE5" w:rsidRPr="00726AE5">
        <w:rPr>
          <w:rFonts w:eastAsia="Calibri"/>
        </w:rPr>
        <w:t xml:space="preserve">icinātu SEG emisiju piesaisti. </w:t>
      </w:r>
      <w:r w:rsidR="00055C98" w:rsidRPr="00726AE5">
        <w:rPr>
          <w:rFonts w:eastAsia="Calibri"/>
        </w:rPr>
        <w:t>OMA stratēģija ir gatavota kā Enerģētikas Savienības pārvaldības regul</w:t>
      </w:r>
      <w:r w:rsidR="00297AAC">
        <w:rPr>
          <w:rFonts w:eastAsia="Calibri"/>
        </w:rPr>
        <w:t>as projektā</w:t>
      </w:r>
      <w:r w:rsidR="00055C98" w:rsidRPr="00726AE5">
        <w:rPr>
          <w:rFonts w:eastAsia="Calibri"/>
        </w:rPr>
        <w:t xml:space="preserve"> noteiktā Ilgtermiņa stratēģija. </w:t>
      </w:r>
    </w:p>
    <w:p w14:paraId="45FEBADC" w14:textId="3A9C9364" w:rsidR="00462096" w:rsidRPr="00726AE5" w:rsidRDefault="00726AE5" w:rsidP="00726AE5">
      <w:pPr>
        <w:rPr>
          <w:rFonts w:eastAsia="Calibri"/>
        </w:rPr>
      </w:pPr>
      <w:r w:rsidRPr="00726AE5">
        <w:rPr>
          <w:rFonts w:eastAsia="Calibri"/>
        </w:rPr>
        <w:t>2016. gada 20. </w:t>
      </w:r>
      <w:r w:rsidR="00462096" w:rsidRPr="00726AE5">
        <w:rPr>
          <w:rFonts w:eastAsia="Calibri"/>
        </w:rPr>
        <w:t xml:space="preserve">jūlijā Eiropas Komisija publiskoja paziņojumu par Eiropas mazemisiju mobilitātes stratēģiju ar mērķi </w:t>
      </w:r>
      <w:r w:rsidR="006F76FE" w:rsidRPr="00726AE5">
        <w:rPr>
          <w:rFonts w:eastAsia="Calibri"/>
        </w:rPr>
        <w:t>līdz gadsimta vidum samazināt transporta radīto siltumnīcefekta gāzu emisiju līmeni vismaz par 60</w:t>
      </w:r>
      <w:r w:rsidRPr="00726AE5">
        <w:rPr>
          <w:rFonts w:eastAsia="Calibri"/>
        </w:rPr>
        <w:t> </w:t>
      </w:r>
      <w:r w:rsidR="006F76FE" w:rsidRPr="00726AE5">
        <w:rPr>
          <w:rFonts w:eastAsia="Calibri"/>
        </w:rPr>
        <w:t>% salīdzinājumā ar</w:t>
      </w:r>
      <w:r w:rsidRPr="00726AE5">
        <w:rPr>
          <w:rFonts w:eastAsia="Calibri"/>
        </w:rPr>
        <w:t xml:space="preserve"> 1990. </w:t>
      </w:r>
      <w:r w:rsidR="006F76FE" w:rsidRPr="00726AE5">
        <w:rPr>
          <w:rFonts w:eastAsia="Calibri"/>
        </w:rPr>
        <w:t xml:space="preserve">gadu. </w:t>
      </w:r>
      <w:r w:rsidR="00853D5F" w:rsidRPr="00726AE5">
        <w:rPr>
          <w:rFonts w:eastAsia="Calibri"/>
        </w:rPr>
        <w:t>Kontekstā ar šo paziņojumu Eiropas Komisija ir publiskojusi vairākus likumdošanas priekšlikumus transporta jom</w:t>
      </w:r>
      <w:r w:rsidR="00551470" w:rsidRPr="00726AE5">
        <w:rPr>
          <w:rFonts w:eastAsia="Calibri"/>
        </w:rPr>
        <w:t>ā, kā daži no būtiskākajiem jāpiemin 2017.</w:t>
      </w:r>
      <w:r w:rsidRPr="00726AE5">
        <w:rPr>
          <w:rFonts w:eastAsia="Calibri"/>
        </w:rPr>
        <w:t> </w:t>
      </w:r>
      <w:r w:rsidR="00551470" w:rsidRPr="00726AE5">
        <w:rPr>
          <w:rFonts w:eastAsia="Calibri"/>
        </w:rPr>
        <w:t>gada 8.</w:t>
      </w:r>
      <w:r w:rsidRPr="00726AE5">
        <w:rPr>
          <w:rFonts w:eastAsia="Calibri"/>
        </w:rPr>
        <w:t> </w:t>
      </w:r>
      <w:r w:rsidR="00551470" w:rsidRPr="00726AE5">
        <w:rPr>
          <w:rFonts w:eastAsia="Calibri"/>
        </w:rPr>
        <w:t>novembra priekšlikums Eiropas Parlamenta un Padomes regulai par emisiju standartu noteikšanu jauniem vieglajiem pasažieru automobiļiem un jauniem vieglajiem komerciālajiem transportlīdzekļiem saistībā ar Savienības integrēto pieeju mazas noslodzes CO</w:t>
      </w:r>
      <w:r w:rsidR="00551470" w:rsidRPr="00297AAC">
        <w:rPr>
          <w:rFonts w:eastAsia="Calibri"/>
          <w:vertAlign w:val="subscript"/>
        </w:rPr>
        <w:t>2</w:t>
      </w:r>
      <w:r w:rsidR="00551470" w:rsidRPr="00726AE5">
        <w:rPr>
          <w:rFonts w:eastAsia="Calibri"/>
        </w:rPr>
        <w:t xml:space="preserve"> emisiju samazināšanai un ar kuru groza Regulu Nr.</w:t>
      </w:r>
      <w:r w:rsidRPr="00726AE5">
        <w:rPr>
          <w:rFonts w:eastAsia="Calibri"/>
        </w:rPr>
        <w:t> </w:t>
      </w:r>
      <w:r w:rsidR="00551470" w:rsidRPr="00726AE5">
        <w:rPr>
          <w:rFonts w:eastAsia="Calibri"/>
        </w:rPr>
        <w:t>715/2007</w:t>
      </w:r>
      <w:r w:rsidR="006F76FE" w:rsidRPr="00726AE5">
        <w:rPr>
          <w:rFonts w:eastAsia="Calibri"/>
        </w:rPr>
        <w:t>,</w:t>
      </w:r>
      <w:r w:rsidRPr="00726AE5">
        <w:rPr>
          <w:rFonts w:eastAsia="Calibri"/>
        </w:rPr>
        <w:t xml:space="preserve"> 2017. </w:t>
      </w:r>
      <w:r w:rsidR="00551470" w:rsidRPr="00726AE5">
        <w:rPr>
          <w:rFonts w:eastAsia="Calibri"/>
        </w:rPr>
        <w:t>gada 8.</w:t>
      </w:r>
      <w:r w:rsidRPr="00726AE5">
        <w:rPr>
          <w:rFonts w:eastAsia="Calibri"/>
        </w:rPr>
        <w:t> </w:t>
      </w:r>
      <w:r w:rsidR="00551470" w:rsidRPr="00726AE5">
        <w:rPr>
          <w:rFonts w:eastAsia="Calibri"/>
        </w:rPr>
        <w:t>novembra priekšlikums Eiropas Parlamenta un Padomes direktīvai,</w:t>
      </w:r>
      <w:r w:rsidR="00551470" w:rsidRPr="00726AE5">
        <w:t xml:space="preserve"> </w:t>
      </w:r>
      <w:r w:rsidR="00551470" w:rsidRPr="00726AE5">
        <w:rPr>
          <w:rFonts w:eastAsia="Calibri"/>
        </w:rPr>
        <w:t>ar ko groza Direktīvu 2009/33/ES par “tīro” un energoefektīvo autotransporta līdzekļu izmantošanas veicināšanu</w:t>
      </w:r>
      <w:r w:rsidRPr="00726AE5">
        <w:rPr>
          <w:rFonts w:eastAsia="Calibri"/>
        </w:rPr>
        <w:t xml:space="preserve"> un</w:t>
      </w:r>
      <w:r w:rsidR="00551470" w:rsidRPr="00726AE5">
        <w:rPr>
          <w:rFonts w:eastAsia="Calibri"/>
        </w:rPr>
        <w:t xml:space="preserve"> 2018.</w:t>
      </w:r>
      <w:r w:rsidRPr="00726AE5">
        <w:rPr>
          <w:rFonts w:eastAsia="Calibri"/>
        </w:rPr>
        <w:t> </w:t>
      </w:r>
      <w:r w:rsidR="00551470" w:rsidRPr="00726AE5">
        <w:rPr>
          <w:rFonts w:eastAsia="Calibri"/>
        </w:rPr>
        <w:t>gada 3.</w:t>
      </w:r>
      <w:r w:rsidRPr="00726AE5">
        <w:rPr>
          <w:rFonts w:eastAsia="Calibri"/>
        </w:rPr>
        <w:t> </w:t>
      </w:r>
      <w:r w:rsidR="00551470" w:rsidRPr="00726AE5">
        <w:rPr>
          <w:rFonts w:eastAsia="Calibri"/>
        </w:rPr>
        <w:t>jūlija priekšlikums Eiropas Parlamenta un Padomes regulai, ar ko nosaka CO</w:t>
      </w:r>
      <w:r w:rsidR="00551470" w:rsidRPr="00297AAC">
        <w:rPr>
          <w:rFonts w:eastAsia="Calibri"/>
          <w:vertAlign w:val="subscript"/>
        </w:rPr>
        <w:t>2</w:t>
      </w:r>
      <w:r w:rsidR="00551470" w:rsidRPr="00726AE5">
        <w:rPr>
          <w:rFonts w:eastAsia="Calibri"/>
        </w:rPr>
        <w:t xml:space="preserve"> emisijas standartus jauniem lielas noslodzes transportlīdzekļiem</w:t>
      </w:r>
      <w:r w:rsidR="006F76FE" w:rsidRPr="00726AE5">
        <w:rPr>
          <w:rFonts w:eastAsia="Calibri"/>
        </w:rPr>
        <w:t>.</w:t>
      </w:r>
    </w:p>
    <w:p w14:paraId="5EF8890B" w14:textId="77777777" w:rsidR="00657A6A" w:rsidRPr="00A46CC4" w:rsidRDefault="00657A6A" w:rsidP="00BE0FD4">
      <w:pPr>
        <w:pStyle w:val="Subtitle"/>
        <w:numPr>
          <w:ilvl w:val="0"/>
          <w:numId w:val="13"/>
        </w:numPr>
        <w:rPr>
          <w:rFonts w:eastAsia="Calibri"/>
          <w:lang w:eastAsia="en-US"/>
        </w:rPr>
      </w:pPr>
      <w:r w:rsidRPr="00A46CC4">
        <w:rPr>
          <w:rFonts w:eastAsia="Calibri"/>
          <w:lang w:eastAsia="en-US"/>
        </w:rPr>
        <w:t xml:space="preserve">Nacionālie </w:t>
      </w:r>
      <w:r w:rsidR="00E02B6C" w:rsidRPr="00A46CC4">
        <w:rPr>
          <w:rFonts w:eastAsia="Calibri"/>
          <w:lang w:eastAsia="en-US"/>
        </w:rPr>
        <w:t>politikas plānošanas dokumenti</w:t>
      </w:r>
    </w:p>
    <w:p w14:paraId="7FAE58C3" w14:textId="77777777" w:rsidR="00657A6A" w:rsidRPr="00A46CC4" w:rsidRDefault="00657A6A" w:rsidP="003B4DCD">
      <w:pPr>
        <w:rPr>
          <w:rFonts w:eastAsia="Calibri"/>
          <w:lang w:eastAsia="en-US"/>
        </w:rPr>
      </w:pPr>
      <w:r w:rsidRPr="00A46CC4">
        <w:rPr>
          <w:rFonts w:eastAsia="Calibri"/>
          <w:lang w:eastAsia="en-US"/>
        </w:rPr>
        <w:t>Nacionālā līmenī vispārīga ilgtspējīga un uz zemām SEG emisijām balstīta attīstība ir aprakstīta Latvijas ilgtspējīgas attīstības stratēģijā līdz 2030. gadam</w:t>
      </w:r>
      <w:r w:rsidR="00A6580F" w:rsidRPr="00A46CC4">
        <w:rPr>
          <w:rFonts w:eastAsia="Calibri"/>
          <w:lang w:eastAsia="en-US"/>
        </w:rPr>
        <w:t xml:space="preserve"> (turpmāk – Latvija 2030)</w:t>
      </w:r>
      <w:r w:rsidRPr="00A46CC4">
        <w:rPr>
          <w:rFonts w:eastAsia="Calibri"/>
          <w:lang w:eastAsia="en-US"/>
        </w:rPr>
        <w:t>, kā arī Nacionālajā attīstības plānā</w:t>
      </w:r>
      <w:r w:rsidR="00571865" w:rsidRPr="00A46CC4">
        <w:rPr>
          <w:rFonts w:eastAsia="Calibri"/>
          <w:lang w:eastAsia="en-US"/>
        </w:rPr>
        <w:t xml:space="preserve"> </w:t>
      </w:r>
      <w:r w:rsidRPr="00A46CC4">
        <w:rPr>
          <w:rFonts w:eastAsia="Calibri"/>
          <w:lang w:eastAsia="en-US"/>
        </w:rPr>
        <w:t>līdz 2020.</w:t>
      </w:r>
      <w:r w:rsidR="005D3F5D" w:rsidRPr="00A46CC4">
        <w:rPr>
          <w:rFonts w:eastAsia="Calibri"/>
          <w:lang w:eastAsia="en-US"/>
        </w:rPr>
        <w:t xml:space="preserve"> </w:t>
      </w:r>
      <w:r w:rsidRPr="00A46CC4">
        <w:rPr>
          <w:rFonts w:eastAsia="Calibri"/>
          <w:lang w:eastAsia="en-US"/>
        </w:rPr>
        <w:t>gadam</w:t>
      </w:r>
      <w:r w:rsidR="00A6580F" w:rsidRPr="00A46CC4">
        <w:rPr>
          <w:rFonts w:eastAsia="Calibri"/>
          <w:lang w:eastAsia="en-US"/>
        </w:rPr>
        <w:t xml:space="preserve"> </w:t>
      </w:r>
      <w:r w:rsidR="005D3F5D" w:rsidRPr="00A46CC4">
        <w:rPr>
          <w:rFonts w:eastAsia="Calibri"/>
          <w:lang w:eastAsia="en-US"/>
        </w:rPr>
        <w:t>(turpmāk – NAP 2020)</w:t>
      </w:r>
      <w:r w:rsidR="009A4A33" w:rsidRPr="00A46CC4">
        <w:rPr>
          <w:rFonts w:eastAsia="Calibri"/>
          <w:lang w:eastAsia="en-US"/>
        </w:rPr>
        <w:t>, skatīt 4. attēlu.</w:t>
      </w:r>
    </w:p>
    <w:p w14:paraId="5E903503" w14:textId="77777777" w:rsidR="009A4A33" w:rsidRPr="00A46CC4" w:rsidRDefault="00DA5E83" w:rsidP="00977BCE">
      <w:pPr>
        <w:spacing w:before="240" w:after="120"/>
        <w:jc w:val="center"/>
        <w:rPr>
          <w:rFonts w:eastAsia="Calibri"/>
          <w:lang w:eastAsia="en-US"/>
        </w:rPr>
      </w:pPr>
      <w:r w:rsidRPr="00A46CC4">
        <w:rPr>
          <w:noProof/>
        </w:rPr>
        <w:lastRenderedPageBreak/>
        <w:drawing>
          <wp:inline distT="0" distB="0" distL="0" distR="0" wp14:anchorId="21262485" wp14:editId="4F53C29B">
            <wp:extent cx="4165600" cy="2520950"/>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850" t="12803" r="15745" b="13539"/>
                    <a:stretch/>
                  </pic:blipFill>
                  <pic:spPr bwMode="auto">
                    <a:xfrm>
                      <a:off x="0" y="0"/>
                      <a:ext cx="4167337" cy="2522001"/>
                    </a:xfrm>
                    <a:prstGeom prst="rect">
                      <a:avLst/>
                    </a:prstGeom>
                    <a:noFill/>
                    <a:ln>
                      <a:noFill/>
                    </a:ln>
                    <a:extLst>
                      <a:ext uri="{53640926-AAD7-44D8-BBD7-CCE9431645EC}">
                        <a14:shadowObscured xmlns:a14="http://schemas.microsoft.com/office/drawing/2010/main"/>
                      </a:ext>
                    </a:extLst>
                  </pic:spPr>
                </pic:pic>
              </a:graphicData>
            </a:graphic>
          </wp:inline>
        </w:drawing>
      </w:r>
    </w:p>
    <w:p w14:paraId="5D4E9DD0" w14:textId="331DE746" w:rsidR="009A4A33" w:rsidRPr="00A46CC4" w:rsidRDefault="00726AE5" w:rsidP="00977BCE">
      <w:pPr>
        <w:pStyle w:val="Title"/>
        <w:rPr>
          <w:rFonts w:eastAsia="Calibri"/>
          <w:lang w:eastAsia="en-US"/>
        </w:rPr>
      </w:pPr>
      <w:r>
        <w:rPr>
          <w:rFonts w:eastAsia="Calibri"/>
          <w:lang w:eastAsia="en-US"/>
        </w:rPr>
        <w:t>4. </w:t>
      </w:r>
      <w:r w:rsidR="009A4A33" w:rsidRPr="00A46CC4">
        <w:rPr>
          <w:rFonts w:eastAsia="Calibri"/>
          <w:lang w:eastAsia="en-US"/>
        </w:rPr>
        <w:t>attēls. OMA stratēģiju atbalstošie politikas plānošanas dokumenti</w:t>
      </w:r>
    </w:p>
    <w:p w14:paraId="2C0919B8" w14:textId="4985D5F0" w:rsidR="00657A6A" w:rsidRDefault="00657A6A" w:rsidP="003B4DCD">
      <w:pPr>
        <w:rPr>
          <w:rFonts w:eastAsia="Calibri"/>
          <w:lang w:eastAsia="en-US"/>
        </w:rPr>
      </w:pPr>
      <w:r w:rsidRPr="00A46CC4">
        <w:rPr>
          <w:rFonts w:eastAsia="Calibri"/>
          <w:lang w:eastAsia="en-US"/>
        </w:rPr>
        <w:t>OMA stratēģijas izstrāde ir iekļauta starp prioritārajiem klimata pārmaiņu dokumentiem Vides politikas pamatnostādnēs 2014.</w:t>
      </w:r>
      <w:r w:rsidR="007613AF" w:rsidRPr="00A46CC4">
        <w:rPr>
          <w:rFonts w:eastAsia="Calibri"/>
          <w:lang w:eastAsia="en-US"/>
        </w:rPr>
        <w:t> – </w:t>
      </w:r>
      <w:r w:rsidRPr="00A46CC4">
        <w:rPr>
          <w:rFonts w:eastAsia="Calibri"/>
          <w:lang w:eastAsia="en-US"/>
        </w:rPr>
        <w:t>2020.</w:t>
      </w:r>
      <w:r w:rsidR="007613AF" w:rsidRPr="00A46CC4">
        <w:rPr>
          <w:rFonts w:eastAsia="Calibri"/>
          <w:lang w:eastAsia="en-US"/>
        </w:rPr>
        <w:t xml:space="preserve"> </w:t>
      </w:r>
      <w:r w:rsidRPr="00A46CC4">
        <w:rPr>
          <w:rFonts w:eastAsia="Calibri"/>
          <w:lang w:eastAsia="en-US"/>
        </w:rPr>
        <w:t>gadam</w:t>
      </w:r>
      <w:r w:rsidR="00726AE5">
        <w:rPr>
          <w:rFonts w:eastAsia="Calibri"/>
          <w:lang w:eastAsia="en-US"/>
        </w:rPr>
        <w:t xml:space="preserve"> (turpmāk </w:t>
      </w:r>
      <w:r w:rsidR="007613AF" w:rsidRPr="00A46CC4">
        <w:rPr>
          <w:rFonts w:eastAsia="Calibri"/>
          <w:lang w:eastAsia="en-US"/>
        </w:rPr>
        <w:t>–</w:t>
      </w:r>
      <w:r w:rsidR="00726AE5">
        <w:rPr>
          <w:rFonts w:eastAsia="Calibri"/>
          <w:lang w:eastAsia="en-US"/>
        </w:rPr>
        <w:t> </w:t>
      </w:r>
      <w:r w:rsidR="007613AF" w:rsidRPr="00A46CC4">
        <w:rPr>
          <w:rFonts w:eastAsia="Calibri"/>
          <w:lang w:eastAsia="en-US"/>
        </w:rPr>
        <w:t>VPP 2020)</w:t>
      </w:r>
      <w:r w:rsidRPr="00A46CC4">
        <w:rPr>
          <w:rFonts w:eastAsia="Calibri"/>
          <w:lang w:eastAsia="en-US"/>
        </w:rPr>
        <w:t>. Tautsaimniecības sektoru līmenī nozīmīgākie OMA veicinošie dokumenti ir Transporta attīstības pamatnostādnes 2014.</w:t>
      </w:r>
      <w:r w:rsidR="009B7017" w:rsidRPr="00A46CC4">
        <w:rPr>
          <w:rFonts w:eastAsia="Calibri"/>
          <w:lang w:eastAsia="en-US"/>
        </w:rPr>
        <w:t> –</w:t>
      </w:r>
      <w:r w:rsidR="009B7017" w:rsidRPr="00A46CC4">
        <w:rPr>
          <w:rFonts w:eastAsia="Calibri"/>
        </w:rPr>
        <w:t> </w:t>
      </w:r>
      <w:r w:rsidRPr="00A46CC4">
        <w:rPr>
          <w:rFonts w:eastAsia="Calibri"/>
          <w:lang w:eastAsia="en-US"/>
        </w:rPr>
        <w:t>2020.</w:t>
      </w:r>
      <w:r w:rsidR="009B7017" w:rsidRPr="00A46CC4">
        <w:rPr>
          <w:rFonts w:eastAsia="Calibri"/>
          <w:lang w:eastAsia="en-US"/>
        </w:rPr>
        <w:t xml:space="preserve"> </w:t>
      </w:r>
      <w:r w:rsidRPr="00A46CC4">
        <w:rPr>
          <w:rFonts w:eastAsia="Calibri"/>
          <w:lang w:eastAsia="en-US"/>
        </w:rPr>
        <w:t>gadam, kas iekļauj informāciju par dažādu transporta jomu (sauszemes, gaisa, ūdens) attīstību tuvākā nākotnē, kā arī identificē pieejamo finansējumu un pasākumus.</w:t>
      </w:r>
      <w:r w:rsidR="00571865" w:rsidRPr="00A46CC4">
        <w:rPr>
          <w:rFonts w:eastAsia="Calibri"/>
          <w:lang w:eastAsia="en-US"/>
        </w:rPr>
        <w:t xml:space="preserve"> Enerģētikas attīstības pamatnostādnes 2016.</w:t>
      </w:r>
      <w:r w:rsidR="00DF7771" w:rsidRPr="00A46CC4">
        <w:rPr>
          <w:rFonts w:eastAsia="Calibri"/>
          <w:lang w:eastAsia="en-US"/>
        </w:rPr>
        <w:t> –</w:t>
      </w:r>
      <w:r w:rsidR="00571865" w:rsidRPr="00A46CC4">
        <w:rPr>
          <w:rFonts w:eastAsia="Calibri"/>
          <w:lang w:eastAsia="en-US"/>
        </w:rPr>
        <w:t>2020.</w:t>
      </w:r>
      <w:r w:rsidR="00DF7771" w:rsidRPr="00A46CC4">
        <w:rPr>
          <w:rFonts w:eastAsia="Calibri"/>
          <w:lang w:eastAsia="en-US"/>
        </w:rPr>
        <w:t xml:space="preserve"> </w:t>
      </w:r>
      <w:r w:rsidR="00571865" w:rsidRPr="00A46CC4">
        <w:rPr>
          <w:rFonts w:eastAsia="Calibri"/>
          <w:lang w:eastAsia="en-US"/>
        </w:rPr>
        <w:t xml:space="preserve">gadam, kas detalizēti apraksta enerģētikas sektora attīstību tuvākajā nākotnē, AER īpatsvara un energotīkla efektivitātes palielināšanos. </w:t>
      </w:r>
      <w:r w:rsidR="00993706" w:rsidRPr="00A46CC4">
        <w:rPr>
          <w:rFonts w:eastAsia="Calibri"/>
          <w:lang w:eastAsia="en-US"/>
        </w:rPr>
        <w:t>Meža</w:t>
      </w:r>
      <w:r w:rsidR="00571865" w:rsidRPr="00A46CC4">
        <w:rPr>
          <w:rFonts w:eastAsia="Calibri"/>
          <w:lang w:eastAsia="en-US"/>
        </w:rPr>
        <w:t xml:space="preserve"> un </w:t>
      </w:r>
      <w:r w:rsidR="00993706" w:rsidRPr="00A46CC4">
        <w:rPr>
          <w:rFonts w:eastAsia="Calibri"/>
          <w:lang w:eastAsia="en-US"/>
        </w:rPr>
        <w:t>saistīto</w:t>
      </w:r>
      <w:r w:rsidR="00571865" w:rsidRPr="00A46CC4">
        <w:rPr>
          <w:rFonts w:eastAsia="Calibri"/>
          <w:lang w:eastAsia="en-US"/>
        </w:rPr>
        <w:t xml:space="preserve"> nozaru </w:t>
      </w:r>
      <w:r w:rsidR="00993706" w:rsidRPr="00A46CC4">
        <w:rPr>
          <w:rFonts w:eastAsia="Calibri"/>
          <w:lang w:eastAsia="en-US"/>
        </w:rPr>
        <w:t>attīstības</w:t>
      </w:r>
      <w:r w:rsidR="00571865" w:rsidRPr="00A46CC4">
        <w:rPr>
          <w:rFonts w:eastAsia="Calibri"/>
          <w:lang w:eastAsia="en-US"/>
        </w:rPr>
        <w:t xml:space="preserve"> </w:t>
      </w:r>
      <w:r w:rsidR="00993706" w:rsidRPr="00A46CC4">
        <w:rPr>
          <w:rFonts w:eastAsia="Calibri"/>
          <w:lang w:eastAsia="en-US"/>
        </w:rPr>
        <w:t>pamatnostādnēs</w:t>
      </w:r>
      <w:r w:rsidR="00571865" w:rsidRPr="00A46CC4">
        <w:rPr>
          <w:rFonts w:eastAsia="Calibri"/>
          <w:lang w:eastAsia="en-US"/>
        </w:rPr>
        <w:t xml:space="preserve"> 2015.</w:t>
      </w:r>
      <w:r w:rsidR="00DF7771" w:rsidRPr="00A46CC4">
        <w:rPr>
          <w:rFonts w:eastAsia="Calibri"/>
          <w:lang w:eastAsia="en-US"/>
        </w:rPr>
        <w:t> – </w:t>
      </w:r>
      <w:r w:rsidR="00571865" w:rsidRPr="00A46CC4">
        <w:rPr>
          <w:rFonts w:eastAsia="Calibri"/>
          <w:lang w:eastAsia="en-US"/>
        </w:rPr>
        <w:t>2020.</w:t>
      </w:r>
      <w:r w:rsidR="00DF7771" w:rsidRPr="00A46CC4">
        <w:rPr>
          <w:rFonts w:eastAsia="Calibri"/>
          <w:lang w:eastAsia="en-US"/>
        </w:rPr>
        <w:t xml:space="preserve"> </w:t>
      </w:r>
      <w:r w:rsidR="00571865" w:rsidRPr="00A46CC4">
        <w:rPr>
          <w:rFonts w:eastAsia="Calibri"/>
          <w:lang w:eastAsia="en-US"/>
        </w:rPr>
        <w:t>gadam, kurās uzsvars ir likts uz pārdomātu un ilgtspējīgu mežu apsaimniekošanu, nodrošinot CO</w:t>
      </w:r>
      <w:r w:rsidR="00571865" w:rsidRPr="00A46CC4">
        <w:rPr>
          <w:rFonts w:eastAsia="Calibri"/>
          <w:vertAlign w:val="subscript"/>
          <w:lang w:eastAsia="en-US"/>
        </w:rPr>
        <w:t xml:space="preserve">2 </w:t>
      </w:r>
      <w:r w:rsidR="00571865" w:rsidRPr="00A46CC4">
        <w:rPr>
          <w:rFonts w:eastAsia="Calibri"/>
          <w:lang w:eastAsia="en-US"/>
        </w:rPr>
        <w:t>piesaisti ilgtermiņā.</w:t>
      </w:r>
    </w:p>
    <w:p w14:paraId="742C638F" w14:textId="73BCD208" w:rsidR="00E773F8" w:rsidRPr="00726AE5" w:rsidRDefault="00E40544" w:rsidP="00726AE5">
      <w:pPr>
        <w:rPr>
          <w:rFonts w:eastAsia="Calibri"/>
        </w:rPr>
      </w:pPr>
      <w:r w:rsidRPr="00726AE5">
        <w:rPr>
          <w:rFonts w:eastAsia="Calibri"/>
        </w:rPr>
        <w:t>OMA stratēģijā noteiktie mērķi</w:t>
      </w:r>
      <w:r w:rsidR="009C7AED" w:rsidRPr="00726AE5">
        <w:rPr>
          <w:rFonts w:eastAsia="Calibri"/>
        </w:rPr>
        <w:t xml:space="preserve"> ir </w:t>
      </w:r>
      <w:r w:rsidRPr="00726AE5">
        <w:rPr>
          <w:rFonts w:eastAsia="Calibri"/>
        </w:rPr>
        <w:t xml:space="preserve">saskanīgi </w:t>
      </w:r>
      <w:r w:rsidR="009C7AED" w:rsidRPr="00726AE5">
        <w:rPr>
          <w:rFonts w:eastAsia="Calibri"/>
        </w:rPr>
        <w:t>ar Latvijas ilgtspējīgas attīstības stratēģijā līdz 2030.</w:t>
      </w:r>
      <w:r w:rsidR="00726AE5" w:rsidRPr="00726AE5">
        <w:rPr>
          <w:rFonts w:eastAsia="Calibri"/>
        </w:rPr>
        <w:t> </w:t>
      </w:r>
      <w:r w:rsidR="009C7AED" w:rsidRPr="00726AE5">
        <w:rPr>
          <w:rFonts w:eastAsia="Calibri"/>
        </w:rPr>
        <w:t>gadam noteikto vīziju un mērķiem, īpaši attiecībā uz</w:t>
      </w:r>
      <w:r w:rsidRPr="00726AE5">
        <w:rPr>
          <w:rFonts w:eastAsia="Calibri"/>
        </w:rPr>
        <w:t xml:space="preserve"> </w:t>
      </w:r>
      <w:r w:rsidR="00C74C86" w:rsidRPr="00726AE5">
        <w:rPr>
          <w:rFonts w:eastAsia="Calibri"/>
        </w:rPr>
        <w:t xml:space="preserve">mērķiem, kas saistīti ar vietējo atjaunojamo enerģijas resursu īpatsvaru enerģētikā palielināšanu, energoefektivitātes paaugstināšanu, pārejas uz videi draudzīgāku transporta līdzekļu izmantošanu veicināšana, ilgtspējīga dzīvesveida veicināšanu. </w:t>
      </w:r>
    </w:p>
    <w:p w14:paraId="797438E4" w14:textId="77777777" w:rsidR="00AC24F1" w:rsidRPr="00726AE5" w:rsidRDefault="00061410" w:rsidP="00726AE5">
      <w:pPr>
        <w:rPr>
          <w:rFonts w:eastAsia="Calibri"/>
        </w:rPr>
      </w:pPr>
      <w:r w:rsidRPr="00726AE5">
        <w:rPr>
          <w:rFonts w:eastAsia="Calibri"/>
        </w:rPr>
        <w:t xml:space="preserve">OMA stratēģijā noteiktie mērķi ir saskanīgi ar </w:t>
      </w:r>
      <w:r w:rsidR="001A599E" w:rsidRPr="00726AE5">
        <w:rPr>
          <w:rFonts w:eastAsia="Calibri"/>
        </w:rPr>
        <w:t>informatīvajā ziņojumā Latvijas Bioekonomikas stratēģija 2030 izvirzīto mērķi, ka “</w:t>
      </w:r>
      <w:r w:rsidRPr="00726AE5">
        <w:rPr>
          <w:rFonts w:eastAsia="Calibri"/>
        </w:rPr>
        <w:t>Latvijā bioekonomikas nozarēs tiek izstrādātas un ieviestas inovatīvas pieejas dabas resursu efektīvai un ilgtspējīgai izmantošanai, lai attīstītu tautsaimniecību, nodrošinot augstu pievienoto vērtību, veicinot eksportu un nodarbinātību, kā arī vienlaikus sabalansējot ekonomiskās intereses ar vides kvalitātes nodrošināšanu, klimata pārmaiņu mazināšanu, klimata pārmaiņu risku izvērtēšanu, pielāgošanos klimata pārmaiņām un bioloģiskās daudzveidīb</w:t>
      </w:r>
      <w:r w:rsidR="001A599E" w:rsidRPr="00726AE5">
        <w:rPr>
          <w:rFonts w:eastAsia="Calibri"/>
        </w:rPr>
        <w:t>as saglabāšanu un palielināšanu”.</w:t>
      </w:r>
      <w:r w:rsidR="001E5664" w:rsidRPr="00726AE5">
        <w:rPr>
          <w:rFonts w:eastAsia="Calibri"/>
        </w:rPr>
        <w:t xml:space="preserve"> Tāpat Bioekonomikas stratēģijā ir noteikts, ka “viens no principiem bioekonomikas nozaru attīstībā ir ražošanas paplašināšanās un SEG emisiju atsaiste ilgtermiņā (samazinās SEG emisijas uz vienu produkcijas vienību)”. </w:t>
      </w:r>
    </w:p>
    <w:p w14:paraId="73B3DB0A" w14:textId="3F69D78E" w:rsidR="009C7AED" w:rsidRPr="00726AE5" w:rsidRDefault="00AC24F1" w:rsidP="00726AE5">
      <w:pPr>
        <w:rPr>
          <w:rFonts w:eastAsia="Calibri"/>
        </w:rPr>
      </w:pPr>
      <w:r w:rsidRPr="00726AE5">
        <w:rPr>
          <w:rFonts w:eastAsia="Calibri"/>
        </w:rPr>
        <w:t>Informatīvais ziņojums Latvijas Enerģētikas ilgtermiņa stratēģija 2030</w:t>
      </w:r>
      <w:r w:rsidR="00726AE5" w:rsidRPr="00726AE5">
        <w:rPr>
          <w:rFonts w:eastAsia="Calibri"/>
        </w:rPr>
        <w:t> </w:t>
      </w:r>
      <w:r w:rsidRPr="00726AE5">
        <w:rPr>
          <w:rFonts w:eastAsia="Calibri"/>
        </w:rPr>
        <w:t>–</w:t>
      </w:r>
      <w:r w:rsidR="00726AE5" w:rsidRPr="00726AE5">
        <w:rPr>
          <w:rFonts w:eastAsia="Calibri"/>
        </w:rPr>
        <w:t> </w:t>
      </w:r>
      <w:r w:rsidRPr="00726AE5">
        <w:rPr>
          <w:rFonts w:eastAsia="Calibri"/>
        </w:rPr>
        <w:t xml:space="preserve">konkurētspējīga enerģētika sabiedrībai </w:t>
      </w:r>
      <w:r w:rsidR="006416C6" w:rsidRPr="00726AE5">
        <w:rPr>
          <w:rFonts w:eastAsia="Calibri"/>
        </w:rPr>
        <w:t xml:space="preserve">ir noteikts apakšmērķis ir ilgtspējīga enerģētika, ko plānots panākt, uzlabojot energoefektivitāti, veicinot efektīvas atjaunojamo energoresursu (AER) izmantošanas tehnoloģijas, stratēģijā ir </w:t>
      </w:r>
      <w:r w:rsidRPr="00726AE5">
        <w:rPr>
          <w:rFonts w:eastAsia="Calibri"/>
        </w:rPr>
        <w:t>noteikts nesaistošs mērķis 2030.</w:t>
      </w:r>
      <w:r w:rsidR="00726AE5" w:rsidRPr="00726AE5">
        <w:rPr>
          <w:rFonts w:eastAsia="Calibri"/>
        </w:rPr>
        <w:t> </w:t>
      </w:r>
      <w:r w:rsidRPr="00726AE5">
        <w:rPr>
          <w:rFonts w:eastAsia="Calibri"/>
        </w:rPr>
        <w:t>gadā nodrošināt 50</w:t>
      </w:r>
      <w:r w:rsidR="00726AE5" w:rsidRPr="00726AE5">
        <w:rPr>
          <w:rFonts w:eastAsia="Calibri"/>
        </w:rPr>
        <w:t> </w:t>
      </w:r>
      <w:r w:rsidRPr="00726AE5">
        <w:rPr>
          <w:rFonts w:eastAsia="Calibri"/>
        </w:rPr>
        <w:t>% AER īpatsvaru</w:t>
      </w:r>
      <w:r w:rsidR="006416C6" w:rsidRPr="00726AE5">
        <w:rPr>
          <w:rFonts w:eastAsia="Calibri"/>
        </w:rPr>
        <w:t xml:space="preserve"> bruto enerģijas galapatēriņā, k</w:t>
      </w:r>
      <w:r w:rsidRPr="00726AE5">
        <w:rPr>
          <w:rFonts w:eastAsia="Calibri"/>
        </w:rPr>
        <w:t>as tiks sasniegts, palielinot AER īpatsvaru siltumenerģijas, elektroenerģijas un transporta sektoros.</w:t>
      </w:r>
      <w:r w:rsidR="006416C6" w:rsidRPr="00726AE5">
        <w:rPr>
          <w:rFonts w:eastAsia="Calibri"/>
        </w:rPr>
        <w:t xml:space="preserve"> Arī šajā stratēģijā noteikti mērķi ir saskanīgi ar mērķiem, kas tiek definēti OMA stratēģijā. </w:t>
      </w:r>
      <w:r w:rsidR="009C7AED" w:rsidRPr="00726AE5">
        <w:rPr>
          <w:rFonts w:eastAsia="Calibri"/>
        </w:rPr>
        <w:br w:type="page"/>
      </w:r>
    </w:p>
    <w:p w14:paraId="65F45C3C" w14:textId="77777777" w:rsidR="00335643" w:rsidRPr="00A46CC4" w:rsidRDefault="00D349BB" w:rsidP="00DF7771">
      <w:pPr>
        <w:pStyle w:val="Heading1"/>
      </w:pPr>
      <w:bookmarkStart w:id="6" w:name="_Toc462063067"/>
      <w:bookmarkStart w:id="7" w:name="_Toc462063178"/>
      <w:bookmarkStart w:id="8" w:name="_Toc462063068"/>
      <w:bookmarkStart w:id="9" w:name="_Toc462063179"/>
      <w:bookmarkStart w:id="10" w:name="_Toc462063069"/>
      <w:bookmarkStart w:id="11" w:name="_Toc462063180"/>
      <w:bookmarkStart w:id="12" w:name="_Toc462063070"/>
      <w:bookmarkStart w:id="13" w:name="_Toc462063181"/>
      <w:bookmarkStart w:id="14" w:name="_Toc462063071"/>
      <w:bookmarkStart w:id="15" w:name="_Toc462063182"/>
      <w:bookmarkStart w:id="16" w:name="_Toc523217369"/>
      <w:bookmarkEnd w:id="6"/>
      <w:bookmarkEnd w:id="7"/>
      <w:bookmarkEnd w:id="8"/>
      <w:bookmarkEnd w:id="9"/>
      <w:bookmarkEnd w:id="10"/>
      <w:bookmarkEnd w:id="11"/>
      <w:bookmarkEnd w:id="12"/>
      <w:bookmarkEnd w:id="13"/>
      <w:bookmarkEnd w:id="14"/>
      <w:bookmarkEnd w:id="15"/>
      <w:r w:rsidRPr="00A46CC4">
        <w:lastRenderedPageBreak/>
        <w:t xml:space="preserve">Latvijas </w:t>
      </w:r>
      <w:r w:rsidRPr="00A46CC4">
        <w:rPr>
          <w:lang w:val="lv-LV"/>
        </w:rPr>
        <w:t xml:space="preserve">progress </w:t>
      </w:r>
      <w:r w:rsidRPr="00A46CC4">
        <w:t>siltumnīcefekta gāzu emisij</w:t>
      </w:r>
      <w:r w:rsidRPr="00A46CC4">
        <w:rPr>
          <w:lang w:val="lv-LV"/>
        </w:rPr>
        <w:t>u ierobežošanā</w:t>
      </w:r>
      <w:bookmarkEnd w:id="16"/>
    </w:p>
    <w:p w14:paraId="6A834A3A" w14:textId="6F832163" w:rsidR="00F520A2" w:rsidRPr="00A46CC4" w:rsidRDefault="00FD633D" w:rsidP="00A64747">
      <w:pPr>
        <w:pStyle w:val="Heading2"/>
      </w:pPr>
      <w:bookmarkStart w:id="17" w:name="_Toc523217370"/>
      <w:r w:rsidRPr="00A46CC4">
        <w:rPr>
          <w:lang w:val="lv-LV"/>
        </w:rPr>
        <w:t>3</w:t>
      </w:r>
      <w:r w:rsidR="00F520A2" w:rsidRPr="00A46CC4">
        <w:rPr>
          <w:lang w:val="lv-LV"/>
        </w:rPr>
        <w:t>.1.</w:t>
      </w:r>
      <w:r w:rsidR="00B562F2">
        <w:rPr>
          <w:lang w:val="lv-LV"/>
        </w:rPr>
        <w:t> </w:t>
      </w:r>
      <w:r w:rsidR="00F520A2" w:rsidRPr="00A46CC4">
        <w:t>SEG emisiju</w:t>
      </w:r>
      <w:r w:rsidR="00F520A2" w:rsidRPr="00A46CC4">
        <w:rPr>
          <w:lang w:val="lv-LV"/>
        </w:rPr>
        <w:t xml:space="preserve"> struktūra un dinamika</w:t>
      </w:r>
      <w:bookmarkEnd w:id="17"/>
      <w:r w:rsidR="00F520A2" w:rsidRPr="00A46CC4">
        <w:rPr>
          <w:lang w:val="lv-LV"/>
        </w:rPr>
        <w:t xml:space="preserve"> </w:t>
      </w:r>
    </w:p>
    <w:p w14:paraId="49C38A81" w14:textId="1AAE6755" w:rsidR="003D3CB6" w:rsidRPr="00A46CC4" w:rsidRDefault="003D3CB6" w:rsidP="00DF7771">
      <w:r w:rsidRPr="00A46CC4">
        <w:t>SEG emisiju avoti Latvijā ir enerģētika, transports, rūpnieciskie procesi un produktu izmantošana, lauksaimniecība, un atkritumu apsaimniekošana (</w:t>
      </w:r>
      <w:r w:rsidR="00DF7771" w:rsidRPr="00A46CC4">
        <w:t>5. attēls</w:t>
      </w:r>
      <w:r w:rsidRPr="00A46CC4">
        <w:t>).</w:t>
      </w:r>
      <w:r w:rsidR="00B562F2">
        <w:t xml:space="preserve"> ZIZIMM</w:t>
      </w:r>
      <w:r w:rsidRPr="00A46CC4">
        <w:t xml:space="preserve"> sektors kā SEG emisiju un CO</w:t>
      </w:r>
      <w:r w:rsidRPr="00A46CC4">
        <w:rPr>
          <w:vertAlign w:val="subscript"/>
        </w:rPr>
        <w:t>2</w:t>
      </w:r>
      <w:r w:rsidR="00DF7771" w:rsidRPr="00A46CC4">
        <w:t xml:space="preserve"> piesaistes radītājs</w:t>
      </w:r>
      <w:r w:rsidR="00B562F2">
        <w:t xml:space="preserve"> ir aprakstīts 4.2. </w:t>
      </w:r>
      <w:r w:rsidRPr="00A46CC4">
        <w:t>nodaļā.</w:t>
      </w:r>
    </w:p>
    <w:p w14:paraId="34598153" w14:textId="77777777" w:rsidR="000A1595" w:rsidRPr="00A46CC4" w:rsidRDefault="000A1595" w:rsidP="00DF7771"/>
    <w:p w14:paraId="46A2D59B" w14:textId="480EE728" w:rsidR="000A1595" w:rsidRPr="00A46CC4" w:rsidRDefault="000A1595" w:rsidP="000A1595">
      <w:pPr>
        <w:ind w:firstLine="0"/>
      </w:pPr>
      <w:r w:rsidRPr="00A46CC4">
        <w:rPr>
          <w:noProof/>
        </w:rPr>
        <w:drawing>
          <wp:inline distT="0" distB="0" distL="0" distR="0" wp14:anchorId="7EC6C577" wp14:editId="7A30F085">
            <wp:extent cx="6296025" cy="37242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A08AB0" w14:textId="77777777" w:rsidR="006442A5" w:rsidRPr="00A46CC4" w:rsidRDefault="006442A5" w:rsidP="00DF7771"/>
    <w:p w14:paraId="7D2977A0" w14:textId="7434247C" w:rsidR="003D3CB6" w:rsidRPr="00A46CC4" w:rsidRDefault="00DF7771" w:rsidP="000A1595">
      <w:pPr>
        <w:spacing w:before="120" w:after="120"/>
        <w:ind w:firstLine="0"/>
        <w:jc w:val="center"/>
        <w:rPr>
          <w:szCs w:val="24"/>
        </w:rPr>
      </w:pPr>
      <w:r w:rsidRPr="00A46CC4">
        <w:rPr>
          <w:szCs w:val="24"/>
        </w:rPr>
        <w:t>5</w:t>
      </w:r>
      <w:r w:rsidR="00B562F2">
        <w:rPr>
          <w:szCs w:val="24"/>
        </w:rPr>
        <w:t>. </w:t>
      </w:r>
      <w:r w:rsidR="003D3CB6" w:rsidRPr="00A46CC4">
        <w:rPr>
          <w:szCs w:val="24"/>
        </w:rPr>
        <w:t>attēls. Galvenie SEG emisiju avoti</w:t>
      </w:r>
      <w:r w:rsidR="006442A5" w:rsidRPr="00A46CC4">
        <w:rPr>
          <w:szCs w:val="24"/>
        </w:rPr>
        <w:t xml:space="preserve"> 201</w:t>
      </w:r>
      <w:r w:rsidR="00E37008" w:rsidRPr="00A46CC4">
        <w:rPr>
          <w:szCs w:val="24"/>
        </w:rPr>
        <w:t>6</w:t>
      </w:r>
      <w:r w:rsidR="003D3CB6" w:rsidRPr="00A46CC4">
        <w:rPr>
          <w:szCs w:val="24"/>
        </w:rPr>
        <w:t>.</w:t>
      </w:r>
      <w:r w:rsidR="00B562F2">
        <w:rPr>
          <w:szCs w:val="24"/>
        </w:rPr>
        <w:t> </w:t>
      </w:r>
      <w:r w:rsidR="00B62227" w:rsidRPr="00A46CC4">
        <w:rPr>
          <w:szCs w:val="24"/>
        </w:rPr>
        <w:t>gadā</w:t>
      </w:r>
      <w:r w:rsidR="003D3CB6" w:rsidRPr="00A46CC4">
        <w:rPr>
          <w:szCs w:val="24"/>
        </w:rPr>
        <w:t xml:space="preserve"> (neskaitot ZIZIMM)</w:t>
      </w:r>
      <w:r w:rsidR="003D3CB6" w:rsidRPr="00A46CC4">
        <w:rPr>
          <w:szCs w:val="24"/>
          <w:vertAlign w:val="superscript"/>
        </w:rPr>
        <w:footnoteReference w:id="17"/>
      </w:r>
    </w:p>
    <w:p w14:paraId="3ADF243F" w14:textId="1382AFB0" w:rsidR="003D3CB6" w:rsidRDefault="003D3CB6" w:rsidP="00F44ACE">
      <w:r w:rsidRPr="00A46CC4">
        <w:t xml:space="preserve">Katrs no </w:t>
      </w:r>
      <w:r w:rsidR="00DF7771" w:rsidRPr="00A46CC4">
        <w:t>5.</w:t>
      </w:r>
      <w:r w:rsidR="00B562F2">
        <w:t> </w:t>
      </w:r>
      <w:r w:rsidRPr="00A46CC4">
        <w:t>attēlā norādītajiem emisiju avotiem ietv</w:t>
      </w:r>
      <w:r w:rsidR="00E2784F" w:rsidRPr="00A46CC4">
        <w:t xml:space="preserve">er </w:t>
      </w:r>
      <w:r w:rsidR="00A90CCE">
        <w:t>detalizēt</w:t>
      </w:r>
      <w:r w:rsidR="00960334" w:rsidRPr="00A46CC4">
        <w:t xml:space="preserve">ākas </w:t>
      </w:r>
      <w:r w:rsidRPr="00A46CC4">
        <w:t xml:space="preserve">apakškategorijas pēc kurām iespējams klasificēt </w:t>
      </w:r>
      <w:r w:rsidR="00960334" w:rsidRPr="00A46CC4">
        <w:t xml:space="preserve">arī </w:t>
      </w:r>
      <w:r w:rsidRPr="00A46CC4">
        <w:t>saimnieciskās darbības</w:t>
      </w:r>
      <w:r w:rsidRPr="00A46CC4">
        <w:rPr>
          <w:vertAlign w:val="superscript"/>
        </w:rPr>
        <w:footnoteReference w:id="18"/>
      </w:r>
      <w:r w:rsidR="00D44BBD" w:rsidRPr="00A46CC4">
        <w:t xml:space="preserve"> (1.</w:t>
      </w:r>
      <w:r w:rsidR="00B562F2">
        <w:t> </w:t>
      </w:r>
      <w:r w:rsidRPr="00A46CC4">
        <w:t>tabul</w:t>
      </w:r>
      <w:r w:rsidR="00D44BBD" w:rsidRPr="00A46CC4">
        <w:t>a</w:t>
      </w:r>
      <w:r w:rsidRPr="00A46CC4">
        <w:t>).</w:t>
      </w:r>
      <w:r w:rsidRPr="00A46CC4" w:rsidDel="002E46A1">
        <w:t xml:space="preserve"> </w:t>
      </w:r>
      <w:r w:rsidRPr="00A46CC4">
        <w:t xml:space="preserve">SEG emisijas </w:t>
      </w:r>
      <w:r w:rsidR="00D44BBD" w:rsidRPr="00A46CC4">
        <w:t>Konvencijas</w:t>
      </w:r>
      <w:r w:rsidRPr="00A46CC4">
        <w:t xml:space="preserve"> un Kioto protokola ietvaros ir jāaprēķina un jāziņo pa iepriekšminētajām kategorijām, tādēļ šāds iedalījums tiek izmantots arī klimata politikas veidošanā.</w:t>
      </w:r>
    </w:p>
    <w:p w14:paraId="5092381B" w14:textId="77777777" w:rsidR="00277308" w:rsidRDefault="00277308" w:rsidP="00F44ACE"/>
    <w:p w14:paraId="147F5208" w14:textId="77777777" w:rsidR="00277308" w:rsidRDefault="00277308" w:rsidP="00F44ACE"/>
    <w:p w14:paraId="737AB7CC" w14:textId="77777777" w:rsidR="00277308" w:rsidRDefault="00277308" w:rsidP="00F44ACE"/>
    <w:p w14:paraId="45EA0478" w14:textId="77777777" w:rsidR="00277308" w:rsidRDefault="00277308" w:rsidP="00F44ACE"/>
    <w:p w14:paraId="3DBA5712" w14:textId="77777777" w:rsidR="00277308" w:rsidRDefault="00277308" w:rsidP="00F44ACE"/>
    <w:p w14:paraId="30AB2176" w14:textId="77777777" w:rsidR="00277308" w:rsidRDefault="00277308" w:rsidP="00F44ACE"/>
    <w:p w14:paraId="58612883" w14:textId="77777777" w:rsidR="00355E27" w:rsidRDefault="00355E27" w:rsidP="00F44ACE"/>
    <w:p w14:paraId="225C18B6" w14:textId="77777777" w:rsidR="00355E27" w:rsidRPr="00A46CC4" w:rsidRDefault="00355E27" w:rsidP="00F44ACE"/>
    <w:p w14:paraId="1D7E46C0" w14:textId="77777777" w:rsidR="003D3CB6" w:rsidRPr="00A46CC4" w:rsidRDefault="003D3CB6" w:rsidP="00BE0FD4">
      <w:pPr>
        <w:numPr>
          <w:ilvl w:val="0"/>
          <w:numId w:val="4"/>
        </w:numPr>
        <w:spacing w:before="240"/>
        <w:ind w:left="714" w:hanging="357"/>
        <w:jc w:val="right"/>
        <w:rPr>
          <w:szCs w:val="24"/>
        </w:rPr>
      </w:pPr>
      <w:r w:rsidRPr="00A46CC4">
        <w:rPr>
          <w:szCs w:val="24"/>
        </w:rPr>
        <w:lastRenderedPageBreak/>
        <w:t xml:space="preserve">tabula </w:t>
      </w:r>
    </w:p>
    <w:p w14:paraId="106D00A1" w14:textId="77777777" w:rsidR="003D3CB6" w:rsidRPr="00A46CC4" w:rsidRDefault="003D3CB6" w:rsidP="00977BCE">
      <w:pPr>
        <w:spacing w:after="240"/>
        <w:ind w:firstLine="0"/>
        <w:jc w:val="center"/>
        <w:rPr>
          <w:szCs w:val="24"/>
        </w:rPr>
      </w:pPr>
      <w:r w:rsidRPr="00A46CC4">
        <w:rPr>
          <w:szCs w:val="24"/>
        </w:rPr>
        <w:t>Detalizēts emisiju avotu iedalījums</w:t>
      </w:r>
    </w:p>
    <w:tbl>
      <w:tblPr>
        <w:tblW w:w="9272" w:type="dxa"/>
        <w:tblInd w:w="113" w:type="dxa"/>
        <w:tblLook w:val="04A0" w:firstRow="1" w:lastRow="0" w:firstColumn="1" w:lastColumn="0" w:noHBand="0" w:noVBand="1"/>
      </w:tblPr>
      <w:tblGrid>
        <w:gridCol w:w="2166"/>
        <w:gridCol w:w="7106"/>
      </w:tblGrid>
      <w:tr w:rsidR="003D3CB6" w:rsidRPr="00A46CC4" w14:paraId="15829D24" w14:textId="77777777" w:rsidTr="00B460DC">
        <w:trPr>
          <w:trHeight w:val="1316"/>
        </w:trPr>
        <w:tc>
          <w:tcPr>
            <w:tcW w:w="21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BDE1E7" w14:textId="77777777" w:rsidR="003D3CB6" w:rsidRPr="00A46CC4" w:rsidRDefault="003D3CB6" w:rsidP="00D44BBD">
            <w:pPr>
              <w:ind w:firstLine="0"/>
              <w:rPr>
                <w:b/>
                <w:bCs/>
                <w:sz w:val="20"/>
                <w:szCs w:val="20"/>
              </w:rPr>
            </w:pPr>
            <w:r w:rsidRPr="00A46CC4">
              <w:rPr>
                <w:b/>
                <w:bCs/>
                <w:sz w:val="20"/>
                <w:szCs w:val="20"/>
              </w:rPr>
              <w:t>Enerģētika</w:t>
            </w:r>
          </w:p>
          <w:p w14:paraId="4F902459" w14:textId="77777777" w:rsidR="003D3CB6" w:rsidRPr="00A46CC4" w:rsidRDefault="003D3CB6" w:rsidP="00D44BBD">
            <w:pPr>
              <w:ind w:firstLine="0"/>
              <w:rPr>
                <w:b/>
                <w:bCs/>
                <w:sz w:val="20"/>
                <w:szCs w:val="20"/>
              </w:rPr>
            </w:pPr>
            <w:r w:rsidRPr="00A46CC4">
              <w:rPr>
                <w:rFonts w:cs="Arial"/>
                <w:sz w:val="18"/>
                <w:szCs w:val="18"/>
                <w:shd w:val="clear" w:color="auto" w:fill="FFFFFF"/>
              </w:rPr>
              <w:t>(NACE</w:t>
            </w:r>
            <w:r w:rsidRPr="00A46CC4">
              <w:t xml:space="preserve"> </w:t>
            </w:r>
            <w:r w:rsidRPr="00A46CC4">
              <w:rPr>
                <w:rFonts w:cs="Arial"/>
                <w:sz w:val="18"/>
                <w:szCs w:val="18"/>
                <w:shd w:val="clear" w:color="auto" w:fill="FFFFFF"/>
              </w:rPr>
              <w:t>05, 06, 07.21, 08.92, 09.1, 19.20, 35., 33., 36.–39., 45.–47., 52.–96., 99.)</w:t>
            </w:r>
          </w:p>
        </w:tc>
        <w:tc>
          <w:tcPr>
            <w:tcW w:w="7106" w:type="dxa"/>
            <w:tcBorders>
              <w:top w:val="single" w:sz="4" w:space="0" w:color="auto"/>
              <w:left w:val="nil"/>
              <w:bottom w:val="single" w:sz="4" w:space="0" w:color="auto"/>
              <w:right w:val="single" w:sz="4" w:space="0" w:color="auto"/>
            </w:tcBorders>
            <w:shd w:val="clear" w:color="auto" w:fill="auto"/>
            <w:vAlign w:val="bottom"/>
            <w:hideMark/>
          </w:tcPr>
          <w:p w14:paraId="67CF4478" w14:textId="77777777" w:rsidR="003D3CB6" w:rsidRPr="00A46CC4" w:rsidRDefault="00950B81" w:rsidP="00950B81">
            <w:pPr>
              <w:ind w:firstLine="0"/>
              <w:rPr>
                <w:color w:val="000000"/>
                <w:sz w:val="20"/>
                <w:szCs w:val="20"/>
              </w:rPr>
            </w:pPr>
            <w:r w:rsidRPr="00A46CC4">
              <w:rPr>
                <w:color w:val="000000"/>
                <w:sz w:val="20"/>
                <w:szCs w:val="20"/>
              </w:rPr>
              <w:t>Publiskā elektroenerģija un siltumenerģijas ražošana, cietā kurināmā ražošana un citas enerģētikas nozares, rūpniecības nozares un būvniecība, tai skaitā dzelzs un tērauda ražošana, krāsaino metālu ražošana, ķīmisko vielu ražošana, celulozes un papīra ražošana, poligrāfijā, pārtikas pārstrāde, dzērienu un tabakas ražošana, nemetālisko minerālu ražošana, koksnes, koka un korķa izstrādājumu (izņemot mēbeles) ražošana, salmu un pīto izstrādājumu ražošana, komerciālais un institucionālais sektors, mājsaimniecības, lauksaimniecība, mežsaimniecība, zivsaimniecība, militārais transports un difūzās emisijas no naftas un dabasgāzes</w:t>
            </w:r>
          </w:p>
        </w:tc>
      </w:tr>
      <w:tr w:rsidR="003D3CB6" w:rsidRPr="00A46CC4" w14:paraId="51CF6D5D" w14:textId="77777777" w:rsidTr="00977BCE">
        <w:trPr>
          <w:trHeight w:val="153"/>
        </w:trPr>
        <w:tc>
          <w:tcPr>
            <w:tcW w:w="2166" w:type="dxa"/>
            <w:tcBorders>
              <w:top w:val="nil"/>
              <w:left w:val="single" w:sz="4" w:space="0" w:color="auto"/>
              <w:bottom w:val="single" w:sz="4" w:space="0" w:color="auto"/>
              <w:right w:val="single" w:sz="4" w:space="0" w:color="auto"/>
            </w:tcBorders>
            <w:shd w:val="clear" w:color="000000" w:fill="FFFFFF"/>
            <w:noWrap/>
            <w:vAlign w:val="center"/>
            <w:hideMark/>
          </w:tcPr>
          <w:p w14:paraId="4ED336FC" w14:textId="77777777" w:rsidR="0018251B" w:rsidRPr="00A46CC4" w:rsidRDefault="003D3CB6" w:rsidP="00D44BBD">
            <w:pPr>
              <w:ind w:firstLine="0"/>
            </w:pPr>
            <w:r w:rsidRPr="00A46CC4">
              <w:rPr>
                <w:b/>
                <w:bCs/>
                <w:sz w:val="20"/>
                <w:szCs w:val="20"/>
              </w:rPr>
              <w:t>Transports</w:t>
            </w:r>
            <w:r w:rsidRPr="00A46CC4">
              <w:t xml:space="preserve"> </w:t>
            </w:r>
          </w:p>
          <w:p w14:paraId="17F13146" w14:textId="77777777" w:rsidR="003D3CB6" w:rsidRPr="00A46CC4" w:rsidRDefault="003D3CB6" w:rsidP="00D44BBD">
            <w:pPr>
              <w:ind w:firstLine="0"/>
              <w:rPr>
                <w:b/>
                <w:bCs/>
                <w:sz w:val="20"/>
                <w:szCs w:val="20"/>
              </w:rPr>
            </w:pPr>
            <w:r w:rsidRPr="00A46CC4">
              <w:t>(</w:t>
            </w:r>
            <w:r w:rsidRPr="00A46CC4">
              <w:rPr>
                <w:bCs/>
                <w:sz w:val="20"/>
                <w:szCs w:val="20"/>
              </w:rPr>
              <w:t>NACE 49., 50., 51., 52., 53.)</w:t>
            </w:r>
          </w:p>
        </w:tc>
        <w:tc>
          <w:tcPr>
            <w:tcW w:w="7106" w:type="dxa"/>
            <w:tcBorders>
              <w:top w:val="nil"/>
              <w:left w:val="nil"/>
              <w:bottom w:val="single" w:sz="4" w:space="0" w:color="auto"/>
              <w:right w:val="single" w:sz="4" w:space="0" w:color="auto"/>
            </w:tcBorders>
            <w:shd w:val="clear" w:color="auto" w:fill="auto"/>
            <w:noWrap/>
            <w:hideMark/>
          </w:tcPr>
          <w:p w14:paraId="1AFC0819" w14:textId="77777777" w:rsidR="003D3CB6" w:rsidRPr="00A46CC4" w:rsidRDefault="003D3CB6" w:rsidP="00D44BBD">
            <w:pPr>
              <w:ind w:firstLine="0"/>
              <w:jc w:val="left"/>
              <w:rPr>
                <w:color w:val="000000"/>
                <w:sz w:val="20"/>
                <w:szCs w:val="20"/>
              </w:rPr>
            </w:pPr>
            <w:r w:rsidRPr="00A46CC4">
              <w:rPr>
                <w:color w:val="000000"/>
                <w:sz w:val="20"/>
                <w:szCs w:val="20"/>
              </w:rPr>
              <w:t>Iekšzemes aviācija, autotransports, dzelzceļš, iekšzemes kuģniecība</w:t>
            </w:r>
          </w:p>
        </w:tc>
      </w:tr>
      <w:tr w:rsidR="003D3CB6" w:rsidRPr="00A46CC4" w14:paraId="01A95B4B" w14:textId="77777777" w:rsidTr="00B460DC">
        <w:trPr>
          <w:trHeight w:val="661"/>
        </w:trPr>
        <w:tc>
          <w:tcPr>
            <w:tcW w:w="2166" w:type="dxa"/>
            <w:tcBorders>
              <w:top w:val="nil"/>
              <w:left w:val="single" w:sz="4" w:space="0" w:color="auto"/>
              <w:bottom w:val="single" w:sz="4" w:space="0" w:color="auto"/>
              <w:right w:val="single" w:sz="4" w:space="0" w:color="auto"/>
            </w:tcBorders>
            <w:shd w:val="clear" w:color="000000" w:fill="FFFFFF"/>
            <w:vAlign w:val="center"/>
            <w:hideMark/>
          </w:tcPr>
          <w:p w14:paraId="49BFC801" w14:textId="77777777" w:rsidR="00960334" w:rsidRPr="00A46CC4" w:rsidRDefault="003D3CB6" w:rsidP="0018251B">
            <w:pPr>
              <w:ind w:firstLine="0"/>
              <w:jc w:val="left"/>
              <w:rPr>
                <w:b/>
                <w:bCs/>
                <w:sz w:val="20"/>
                <w:szCs w:val="20"/>
              </w:rPr>
            </w:pPr>
            <w:r w:rsidRPr="00A46CC4">
              <w:rPr>
                <w:b/>
                <w:bCs/>
                <w:sz w:val="20"/>
                <w:szCs w:val="20"/>
              </w:rPr>
              <w:t xml:space="preserve">Rūpnieciskie procesi un produktu izmantošana </w:t>
            </w:r>
          </w:p>
          <w:p w14:paraId="1DA3712A" w14:textId="5D68B84F" w:rsidR="003D3CB6" w:rsidRPr="00A46CC4" w:rsidRDefault="003D3CB6" w:rsidP="0018251B">
            <w:pPr>
              <w:ind w:firstLine="0"/>
              <w:jc w:val="left"/>
              <w:rPr>
                <w:b/>
                <w:bCs/>
                <w:sz w:val="20"/>
                <w:szCs w:val="20"/>
              </w:rPr>
            </w:pPr>
            <w:r w:rsidRPr="00A46CC4">
              <w:rPr>
                <w:bCs/>
                <w:sz w:val="20"/>
                <w:szCs w:val="20"/>
              </w:rPr>
              <w:t>(NACE 23,</w:t>
            </w:r>
            <w:r w:rsidRPr="00A46CC4">
              <w:t xml:space="preserve"> </w:t>
            </w:r>
            <w:r w:rsidRPr="00A46CC4">
              <w:rPr>
                <w:bCs/>
                <w:sz w:val="20"/>
                <w:szCs w:val="20"/>
              </w:rPr>
              <w:t>24,27, 28, 35, 43,45.)</w:t>
            </w:r>
          </w:p>
        </w:tc>
        <w:tc>
          <w:tcPr>
            <w:tcW w:w="7106" w:type="dxa"/>
            <w:tcBorders>
              <w:top w:val="nil"/>
              <w:left w:val="nil"/>
              <w:bottom w:val="single" w:sz="4" w:space="0" w:color="auto"/>
              <w:right w:val="single" w:sz="4" w:space="0" w:color="auto"/>
            </w:tcBorders>
            <w:shd w:val="clear" w:color="auto" w:fill="auto"/>
            <w:vAlign w:val="bottom"/>
            <w:hideMark/>
          </w:tcPr>
          <w:p w14:paraId="22390CB6" w14:textId="4FD44B9F" w:rsidR="003D3CB6" w:rsidRPr="00A46CC4" w:rsidRDefault="003D3CB6" w:rsidP="00A30098">
            <w:pPr>
              <w:ind w:firstLine="0"/>
              <w:rPr>
                <w:color w:val="000000"/>
                <w:sz w:val="20"/>
                <w:szCs w:val="20"/>
              </w:rPr>
            </w:pPr>
            <w:r w:rsidRPr="00A46CC4">
              <w:rPr>
                <w:color w:val="000000"/>
                <w:sz w:val="20"/>
                <w:szCs w:val="20"/>
              </w:rPr>
              <w:t>Minerālu rūpniecība (</w:t>
            </w:r>
            <w:r w:rsidR="00B6773E" w:rsidRPr="00A46CC4">
              <w:rPr>
                <w:color w:val="000000"/>
                <w:sz w:val="20"/>
                <w:szCs w:val="20"/>
              </w:rPr>
              <w:t>ietver cementa, kaļķa, stikla, ķieģeļu un keramikas flīžu ražošanu</w:t>
            </w:r>
            <w:r w:rsidRPr="00A46CC4">
              <w:rPr>
                <w:color w:val="000000"/>
                <w:sz w:val="20"/>
                <w:szCs w:val="20"/>
              </w:rPr>
              <w:t xml:space="preserve">), </w:t>
            </w:r>
            <w:r w:rsidR="00E33990" w:rsidRPr="00A46CC4">
              <w:rPr>
                <w:color w:val="000000"/>
                <w:sz w:val="20"/>
                <w:szCs w:val="20"/>
              </w:rPr>
              <w:t>ķ</w:t>
            </w:r>
            <w:r w:rsidRPr="00A46CC4">
              <w:rPr>
                <w:color w:val="000000"/>
                <w:sz w:val="20"/>
                <w:szCs w:val="20"/>
              </w:rPr>
              <w:t xml:space="preserve">īmiskā rūpniecība, </w:t>
            </w:r>
            <w:r w:rsidR="00E33990" w:rsidRPr="00A46CC4">
              <w:rPr>
                <w:color w:val="000000"/>
                <w:sz w:val="20"/>
                <w:szCs w:val="20"/>
              </w:rPr>
              <w:t>m</w:t>
            </w:r>
            <w:r w:rsidRPr="00A46CC4">
              <w:rPr>
                <w:color w:val="000000"/>
                <w:sz w:val="20"/>
                <w:szCs w:val="20"/>
              </w:rPr>
              <w:t>etālrūpniecība (</w:t>
            </w:r>
            <w:r w:rsidR="00B6773E" w:rsidRPr="00A46CC4">
              <w:rPr>
                <w:color w:val="000000"/>
                <w:sz w:val="20"/>
                <w:szCs w:val="20"/>
              </w:rPr>
              <w:t>ietver</w:t>
            </w:r>
            <w:r w:rsidRPr="00A46CC4">
              <w:rPr>
                <w:color w:val="000000"/>
                <w:sz w:val="20"/>
                <w:szCs w:val="20"/>
              </w:rPr>
              <w:t xml:space="preserve"> dzelzs un tērauda ražošan</w:t>
            </w:r>
            <w:r w:rsidR="00B6773E" w:rsidRPr="00A46CC4">
              <w:rPr>
                <w:color w:val="000000"/>
                <w:sz w:val="20"/>
                <w:szCs w:val="20"/>
              </w:rPr>
              <w:t>u</w:t>
            </w:r>
            <w:r w:rsidRPr="00A46CC4">
              <w:rPr>
                <w:color w:val="000000"/>
                <w:sz w:val="20"/>
                <w:szCs w:val="20"/>
              </w:rPr>
              <w:t xml:space="preserve">), </w:t>
            </w:r>
            <w:r w:rsidR="00E33990" w:rsidRPr="00A46CC4">
              <w:rPr>
                <w:color w:val="000000"/>
                <w:sz w:val="20"/>
                <w:szCs w:val="20"/>
              </w:rPr>
              <w:t>k</w:t>
            </w:r>
            <w:r w:rsidRPr="00A46CC4">
              <w:rPr>
                <w:color w:val="000000"/>
                <w:sz w:val="20"/>
                <w:szCs w:val="20"/>
              </w:rPr>
              <w:t>urinām</w:t>
            </w:r>
            <w:r w:rsidR="00B6773E" w:rsidRPr="00A46CC4">
              <w:rPr>
                <w:color w:val="000000"/>
                <w:sz w:val="20"/>
                <w:szCs w:val="20"/>
              </w:rPr>
              <w:t>ā izmantošana</w:t>
            </w:r>
            <w:r w:rsidRPr="00A46CC4">
              <w:rPr>
                <w:color w:val="000000"/>
                <w:sz w:val="20"/>
                <w:szCs w:val="20"/>
              </w:rPr>
              <w:t xml:space="preserve"> neenerģētiskām vajadzībām</w:t>
            </w:r>
            <w:r w:rsidR="00B6773E" w:rsidRPr="00A46CC4">
              <w:rPr>
                <w:color w:val="000000"/>
                <w:sz w:val="20"/>
                <w:szCs w:val="20"/>
              </w:rPr>
              <w:t xml:space="preserve"> (ietver smērvielu, parafīna vasku, karbamīda izmantošanu, ceļu asfaltēšanu un jumtu piķošanu)</w:t>
            </w:r>
            <w:r w:rsidR="00B27B9A" w:rsidRPr="00A46CC4">
              <w:rPr>
                <w:color w:val="000000"/>
                <w:sz w:val="20"/>
                <w:szCs w:val="20"/>
              </w:rPr>
              <w:t>,</w:t>
            </w:r>
            <w:r w:rsidRPr="00A46CC4">
              <w:rPr>
                <w:color w:val="000000"/>
                <w:sz w:val="20"/>
                <w:szCs w:val="20"/>
              </w:rPr>
              <w:t xml:space="preserve"> šķīdinātāju izmantošana, </w:t>
            </w:r>
            <w:r w:rsidR="00B27B9A" w:rsidRPr="00A46CC4">
              <w:rPr>
                <w:color w:val="000000"/>
                <w:sz w:val="20"/>
                <w:szCs w:val="20"/>
              </w:rPr>
              <w:t>e</w:t>
            </w:r>
            <w:r w:rsidRPr="00A46CC4">
              <w:rPr>
                <w:color w:val="000000"/>
                <w:sz w:val="20"/>
                <w:szCs w:val="20"/>
              </w:rPr>
              <w:t xml:space="preserve">lektronikas rūpniecība, </w:t>
            </w:r>
            <w:r w:rsidR="00B27B9A" w:rsidRPr="00A46CC4">
              <w:rPr>
                <w:color w:val="000000"/>
                <w:sz w:val="20"/>
                <w:szCs w:val="20"/>
              </w:rPr>
              <w:t>o</w:t>
            </w:r>
            <w:r w:rsidRPr="00A46CC4">
              <w:rPr>
                <w:color w:val="000000"/>
                <w:sz w:val="20"/>
                <w:szCs w:val="20"/>
              </w:rPr>
              <w:t>zona slāni noārdošo vielu aizvietošanai izmantotie produkti</w:t>
            </w:r>
            <w:r w:rsidR="00B6773E" w:rsidRPr="00A46CC4">
              <w:rPr>
                <w:color w:val="000000"/>
                <w:sz w:val="20"/>
                <w:szCs w:val="20"/>
              </w:rPr>
              <w:t xml:space="preserve"> (ietver</w:t>
            </w:r>
            <w:r w:rsidR="00A30098" w:rsidRPr="00A46CC4">
              <w:rPr>
                <w:color w:val="000000"/>
                <w:sz w:val="20"/>
                <w:szCs w:val="20"/>
              </w:rPr>
              <w:t xml:space="preserve"> fluorēto gāzu lietošanu</w:t>
            </w:r>
            <w:r w:rsidR="00B6773E" w:rsidRPr="00A46CC4">
              <w:rPr>
                <w:color w:val="000000"/>
                <w:sz w:val="20"/>
                <w:szCs w:val="20"/>
              </w:rPr>
              <w:t xml:space="preserve"> dzesēšanas un gaisa kondicionēšana</w:t>
            </w:r>
            <w:r w:rsidR="00A30098" w:rsidRPr="00A46CC4">
              <w:rPr>
                <w:color w:val="000000"/>
                <w:sz w:val="20"/>
                <w:szCs w:val="20"/>
              </w:rPr>
              <w:t>s iekārtā</w:t>
            </w:r>
            <w:r w:rsidR="00B6773E" w:rsidRPr="00A46CC4">
              <w:rPr>
                <w:color w:val="000000"/>
                <w:sz w:val="20"/>
                <w:szCs w:val="20"/>
              </w:rPr>
              <w:t>s,</w:t>
            </w:r>
            <w:r w:rsidR="00B6773E" w:rsidRPr="00A46CC4">
              <w:t xml:space="preserve"> </w:t>
            </w:r>
            <w:r w:rsidR="00B6773E" w:rsidRPr="00A46CC4">
              <w:rPr>
                <w:color w:val="000000"/>
                <w:sz w:val="20"/>
                <w:szCs w:val="20"/>
              </w:rPr>
              <w:t xml:space="preserve">putu radītājvielas, ugunsdrošības līdzekļus, aerosolus un šķīdinātājus, kuru sastāvā ir fluorētās </w:t>
            </w:r>
            <w:r w:rsidR="00A30098" w:rsidRPr="00A46CC4">
              <w:rPr>
                <w:color w:val="000000"/>
                <w:sz w:val="20"/>
                <w:szCs w:val="20"/>
              </w:rPr>
              <w:t>gāzes</w:t>
            </w:r>
            <w:r w:rsidR="00B6773E" w:rsidRPr="00A46CC4">
              <w:rPr>
                <w:color w:val="000000"/>
                <w:sz w:val="20"/>
                <w:szCs w:val="20"/>
              </w:rPr>
              <w:t>)</w:t>
            </w:r>
            <w:r w:rsidRPr="00A46CC4">
              <w:rPr>
                <w:color w:val="000000"/>
                <w:sz w:val="20"/>
                <w:szCs w:val="20"/>
              </w:rPr>
              <w:t xml:space="preserve">, </w:t>
            </w:r>
            <w:r w:rsidR="00B27B9A" w:rsidRPr="00A46CC4">
              <w:rPr>
                <w:color w:val="000000"/>
                <w:sz w:val="20"/>
                <w:szCs w:val="20"/>
              </w:rPr>
              <w:t>c</w:t>
            </w:r>
            <w:r w:rsidRPr="00A46CC4">
              <w:rPr>
                <w:color w:val="000000"/>
                <w:sz w:val="20"/>
                <w:szCs w:val="20"/>
              </w:rPr>
              <w:t>itu produktu ražošana un izmantošana</w:t>
            </w:r>
            <w:r w:rsidR="00A30098" w:rsidRPr="00A46CC4">
              <w:rPr>
                <w:color w:val="000000"/>
                <w:sz w:val="20"/>
                <w:szCs w:val="20"/>
              </w:rPr>
              <w:t xml:space="preserve"> (ietver sēra heksafluorīda izmantošanu elektriskajās iekārtās un slāpekļa oksīda izmantošanu medicīnā).</w:t>
            </w:r>
          </w:p>
        </w:tc>
      </w:tr>
      <w:tr w:rsidR="003D3CB6" w:rsidRPr="00A46CC4" w14:paraId="504A8271" w14:textId="77777777" w:rsidTr="00B460DC">
        <w:trPr>
          <w:trHeight w:val="400"/>
        </w:trPr>
        <w:tc>
          <w:tcPr>
            <w:tcW w:w="2166" w:type="dxa"/>
            <w:tcBorders>
              <w:top w:val="nil"/>
              <w:left w:val="single" w:sz="4" w:space="0" w:color="auto"/>
              <w:bottom w:val="single" w:sz="4" w:space="0" w:color="auto"/>
              <w:right w:val="single" w:sz="4" w:space="0" w:color="auto"/>
            </w:tcBorders>
            <w:shd w:val="clear" w:color="000000" w:fill="FFFFFF"/>
            <w:noWrap/>
            <w:vAlign w:val="center"/>
            <w:hideMark/>
          </w:tcPr>
          <w:p w14:paraId="591FF010" w14:textId="77777777" w:rsidR="003D3CB6" w:rsidRPr="00A46CC4" w:rsidRDefault="003D3CB6" w:rsidP="00D44BBD">
            <w:pPr>
              <w:ind w:firstLine="0"/>
              <w:rPr>
                <w:b/>
                <w:bCs/>
                <w:sz w:val="20"/>
                <w:szCs w:val="20"/>
              </w:rPr>
            </w:pPr>
            <w:r w:rsidRPr="00A46CC4">
              <w:rPr>
                <w:b/>
                <w:bCs/>
                <w:sz w:val="20"/>
                <w:szCs w:val="20"/>
              </w:rPr>
              <w:t xml:space="preserve">Lauksaimniecība </w:t>
            </w:r>
            <w:r w:rsidRPr="00A46CC4">
              <w:rPr>
                <w:bCs/>
                <w:sz w:val="20"/>
                <w:szCs w:val="20"/>
              </w:rPr>
              <w:t>(NACE 0.1)</w:t>
            </w:r>
          </w:p>
        </w:tc>
        <w:tc>
          <w:tcPr>
            <w:tcW w:w="7106" w:type="dxa"/>
            <w:tcBorders>
              <w:top w:val="nil"/>
              <w:left w:val="nil"/>
              <w:bottom w:val="single" w:sz="4" w:space="0" w:color="auto"/>
              <w:right w:val="single" w:sz="4" w:space="0" w:color="auto"/>
            </w:tcBorders>
            <w:shd w:val="clear" w:color="auto" w:fill="auto"/>
            <w:vAlign w:val="bottom"/>
            <w:hideMark/>
          </w:tcPr>
          <w:p w14:paraId="394968E9" w14:textId="77777777" w:rsidR="003D3CB6" w:rsidRPr="00A46CC4" w:rsidRDefault="003D3CB6" w:rsidP="00D44BBD">
            <w:pPr>
              <w:ind w:firstLine="0"/>
              <w:rPr>
                <w:color w:val="000000"/>
                <w:sz w:val="20"/>
                <w:szCs w:val="20"/>
              </w:rPr>
            </w:pPr>
            <w:r w:rsidRPr="00A46CC4">
              <w:rPr>
                <w:color w:val="000000"/>
                <w:sz w:val="20"/>
                <w:szCs w:val="20"/>
              </w:rPr>
              <w:t>Lauksaimniecības dzīvnieku radītās emisijas (tai skaitā, fermentācija gremošanas traktā, kūtsmēslu apsaimniekošana), lauksaimniecības augšņu apstrāde, kaļķošana un karbamīda izmantošana</w:t>
            </w:r>
          </w:p>
        </w:tc>
      </w:tr>
      <w:tr w:rsidR="003D3CB6" w:rsidRPr="00A46CC4" w14:paraId="210628A4" w14:textId="77777777" w:rsidTr="00B460DC">
        <w:trPr>
          <w:trHeight w:val="69"/>
        </w:trPr>
        <w:tc>
          <w:tcPr>
            <w:tcW w:w="2166" w:type="dxa"/>
            <w:tcBorders>
              <w:top w:val="nil"/>
              <w:left w:val="single" w:sz="4" w:space="0" w:color="auto"/>
              <w:bottom w:val="single" w:sz="4" w:space="0" w:color="auto"/>
              <w:right w:val="single" w:sz="4" w:space="0" w:color="auto"/>
            </w:tcBorders>
            <w:shd w:val="clear" w:color="000000" w:fill="FFFFFF"/>
            <w:vAlign w:val="center"/>
            <w:hideMark/>
          </w:tcPr>
          <w:p w14:paraId="557B140C" w14:textId="77777777" w:rsidR="0018251B" w:rsidRPr="00A46CC4" w:rsidRDefault="003D3CB6" w:rsidP="00D44BBD">
            <w:pPr>
              <w:ind w:firstLine="0"/>
              <w:rPr>
                <w:b/>
                <w:bCs/>
                <w:sz w:val="20"/>
                <w:szCs w:val="20"/>
              </w:rPr>
            </w:pPr>
            <w:r w:rsidRPr="00A46CC4">
              <w:rPr>
                <w:b/>
                <w:bCs/>
                <w:sz w:val="20"/>
                <w:szCs w:val="20"/>
              </w:rPr>
              <w:t xml:space="preserve">Atkritumi </w:t>
            </w:r>
          </w:p>
          <w:p w14:paraId="6DBCF8E2" w14:textId="77777777" w:rsidR="003D3CB6" w:rsidRPr="00A46CC4" w:rsidRDefault="003D3CB6" w:rsidP="00D44BBD">
            <w:pPr>
              <w:ind w:firstLine="0"/>
              <w:rPr>
                <w:b/>
                <w:bCs/>
                <w:sz w:val="20"/>
                <w:szCs w:val="20"/>
              </w:rPr>
            </w:pPr>
            <w:r w:rsidRPr="00A46CC4">
              <w:rPr>
                <w:bCs/>
                <w:sz w:val="20"/>
                <w:szCs w:val="20"/>
              </w:rPr>
              <w:t>(NACE 38)</w:t>
            </w:r>
          </w:p>
        </w:tc>
        <w:tc>
          <w:tcPr>
            <w:tcW w:w="7106" w:type="dxa"/>
            <w:tcBorders>
              <w:top w:val="nil"/>
              <w:left w:val="nil"/>
              <w:bottom w:val="single" w:sz="4" w:space="0" w:color="auto"/>
              <w:right w:val="single" w:sz="4" w:space="0" w:color="auto"/>
            </w:tcBorders>
            <w:shd w:val="clear" w:color="auto" w:fill="auto"/>
            <w:vAlign w:val="bottom"/>
            <w:hideMark/>
          </w:tcPr>
          <w:p w14:paraId="05A4DEDB" w14:textId="77777777" w:rsidR="003D3CB6" w:rsidRPr="00A46CC4" w:rsidRDefault="003D3CB6" w:rsidP="00D44BBD">
            <w:pPr>
              <w:ind w:firstLine="0"/>
              <w:rPr>
                <w:color w:val="000000"/>
                <w:sz w:val="20"/>
                <w:szCs w:val="20"/>
              </w:rPr>
            </w:pPr>
            <w:r w:rsidRPr="00A46CC4">
              <w:rPr>
                <w:color w:val="000000"/>
                <w:sz w:val="20"/>
                <w:szCs w:val="20"/>
              </w:rPr>
              <w:t>Cieto atkritumu apglabāšana, cieto atkritumu bioloģiska apstrāde, atkritumu dedzināšana, notekūdeņu attīrīšana un novadīšana</w:t>
            </w:r>
          </w:p>
        </w:tc>
      </w:tr>
    </w:tbl>
    <w:p w14:paraId="0451CE15" w14:textId="77777777" w:rsidR="00F44ACE" w:rsidRPr="00A46CC4" w:rsidRDefault="00F44ACE" w:rsidP="00F44ACE"/>
    <w:p w14:paraId="47CC144A" w14:textId="410BC58E" w:rsidR="003D3CB6" w:rsidRPr="00A46CC4" w:rsidRDefault="0068077E" w:rsidP="00E3365E">
      <w:r w:rsidRPr="00A46CC4">
        <w:t>Saskaņā ar 2018</w:t>
      </w:r>
      <w:r w:rsidR="00355E27">
        <w:t>. </w:t>
      </w:r>
      <w:r w:rsidR="003D3CB6" w:rsidRPr="00A46CC4">
        <w:t>gadā iesniegto Latvijas SEG inventarizāciju</w:t>
      </w:r>
      <w:r w:rsidR="003D3CB6" w:rsidRPr="00A46CC4">
        <w:rPr>
          <w:vertAlign w:val="superscript"/>
        </w:rPr>
        <w:footnoteReference w:id="19"/>
      </w:r>
      <w:r w:rsidRPr="00A46CC4">
        <w:t xml:space="preserve"> periodā no 1990. līdz 2016</w:t>
      </w:r>
      <w:r w:rsidR="00355E27">
        <w:t>. </w:t>
      </w:r>
      <w:r w:rsidR="003D3CB6" w:rsidRPr="00A46CC4">
        <w:t>gadam, valsts kopējās SEG emisijas, neskaitot ZIZIMM sektoru, ir samazinājušās par ~57</w:t>
      </w:r>
      <w:r w:rsidRPr="00A46CC4">
        <w:t>%, bet, ietverot ZIZIMM, par ~34</w:t>
      </w:r>
      <w:r w:rsidR="003D3CB6" w:rsidRPr="00A46CC4">
        <w:t>%.</w:t>
      </w:r>
      <w:r w:rsidR="00355E27">
        <w:t xml:space="preserve"> </w:t>
      </w:r>
      <w:r w:rsidRPr="00A46CC4">
        <w:t>2017</w:t>
      </w:r>
      <w:r w:rsidR="00E3365E" w:rsidRPr="00A46CC4">
        <w:t>.</w:t>
      </w:r>
      <w:r w:rsidR="00355E27">
        <w:t> </w:t>
      </w:r>
      <w:r w:rsidR="00E3365E" w:rsidRPr="00A46CC4">
        <w:t xml:space="preserve">gada SEG prognozes </w:t>
      </w:r>
      <w:r w:rsidR="00355E27">
        <w:t>(turpmāk </w:t>
      </w:r>
      <w:r w:rsidR="00B412F4" w:rsidRPr="00A46CC4">
        <w:t>–</w:t>
      </w:r>
      <w:r w:rsidR="00355E27">
        <w:t> </w:t>
      </w:r>
      <w:r w:rsidR="00B412F4" w:rsidRPr="00A46CC4">
        <w:t xml:space="preserve">SEG prognozes) </w:t>
      </w:r>
      <w:r w:rsidR="003D3CB6" w:rsidRPr="00A46CC4">
        <w:t>liecina, ka 2050.</w:t>
      </w:r>
      <w:r w:rsidR="00355E27">
        <w:t> </w:t>
      </w:r>
      <w:r w:rsidR="003D3CB6" w:rsidRPr="00A46CC4">
        <w:t>gadā, neskaitot ZIZIMM, iesp</w:t>
      </w:r>
      <w:r w:rsidR="00AD6532" w:rsidRPr="00A46CC4">
        <w:t>ējamais SEG samazinājums</w:t>
      </w:r>
      <w:r w:rsidR="00E3365E" w:rsidRPr="00A46CC4">
        <w:t xml:space="preserve"> </w:t>
      </w:r>
      <w:r w:rsidR="00CE7080" w:rsidRPr="00A46CC4">
        <w:t xml:space="preserve">varētu būt </w:t>
      </w:r>
      <w:r w:rsidR="00E3365E" w:rsidRPr="00A46CC4">
        <w:t>50</w:t>
      </w:r>
      <w:r w:rsidR="00355E27">
        <w:t> </w:t>
      </w:r>
      <w:r w:rsidR="003D3CB6" w:rsidRPr="00A46CC4">
        <w:t xml:space="preserve">%, bet, ieskaitot ZIZIMM, </w:t>
      </w:r>
      <w:r w:rsidR="00E3365E" w:rsidRPr="00A46CC4">
        <w:t>~0</w:t>
      </w:r>
      <w:r w:rsidR="00355E27">
        <w:t>,</w:t>
      </w:r>
      <w:r w:rsidR="00E3365E" w:rsidRPr="00A46CC4">
        <w:t>6</w:t>
      </w:r>
      <w:r w:rsidR="00355E27">
        <w:t> </w:t>
      </w:r>
      <w:r w:rsidR="003D3CB6" w:rsidRPr="00A46CC4">
        <w:t>%</w:t>
      </w:r>
      <w:r w:rsidR="003D3CB6" w:rsidRPr="00A46CC4">
        <w:rPr>
          <w:vertAlign w:val="superscript"/>
        </w:rPr>
        <w:footnoteReference w:id="20"/>
      </w:r>
      <w:r w:rsidR="00355E27">
        <w:t xml:space="preserve"> salīdzinot ar 1990. </w:t>
      </w:r>
      <w:r w:rsidR="003D3CB6" w:rsidRPr="00A46CC4">
        <w:t>gadu (</w:t>
      </w:r>
      <w:r w:rsidR="00F44ACE" w:rsidRPr="00A46CC4">
        <w:t>6</w:t>
      </w:r>
      <w:r w:rsidR="003D3CB6" w:rsidRPr="00A46CC4">
        <w:t>.</w:t>
      </w:r>
      <w:r w:rsidR="00F44ACE" w:rsidRPr="00A46CC4">
        <w:t> </w:t>
      </w:r>
      <w:r w:rsidR="003D3CB6" w:rsidRPr="00A46CC4">
        <w:t>attēl</w:t>
      </w:r>
      <w:r w:rsidR="00F44ACE" w:rsidRPr="00A46CC4">
        <w:t>s</w:t>
      </w:r>
      <w:r w:rsidR="003D3CB6" w:rsidRPr="00A46CC4">
        <w:t xml:space="preserve">). </w:t>
      </w:r>
      <w:r w:rsidR="00B412F4" w:rsidRPr="00A46CC4">
        <w:t>SEG e</w:t>
      </w:r>
      <w:r w:rsidR="00D6531B" w:rsidRPr="00A46CC4">
        <w:t>misiju prognozē uz 2050.</w:t>
      </w:r>
      <w:r w:rsidR="00355E27">
        <w:t> </w:t>
      </w:r>
      <w:r w:rsidR="00D6531B" w:rsidRPr="00A46CC4">
        <w:t>gadu ir ņemt</w:t>
      </w:r>
      <w:r w:rsidR="00A30098" w:rsidRPr="00A46CC4">
        <w:t>a</w:t>
      </w:r>
      <w:r w:rsidR="00D6531B" w:rsidRPr="00A46CC4">
        <w:t xml:space="preserve"> vērā tikai pašreizējā politika un pasākumi, un scenārijs paredz tikai pašreiz pieejamās komerciālās tehnoloģijas.</w:t>
      </w:r>
    </w:p>
    <w:p w14:paraId="7B33243C" w14:textId="13A4DAA3" w:rsidR="003D3CB6" w:rsidRPr="00A46CC4" w:rsidRDefault="00990960" w:rsidP="00950B81">
      <w:pPr>
        <w:spacing w:before="240" w:after="120"/>
        <w:ind w:firstLine="0"/>
        <w:jc w:val="center"/>
      </w:pPr>
      <w:r w:rsidRPr="00A46CC4">
        <w:rPr>
          <w:noProof/>
        </w:rPr>
        <w:lastRenderedPageBreak/>
        <w:drawing>
          <wp:inline distT="0" distB="0" distL="0" distR="0" wp14:anchorId="2FDE57FC" wp14:editId="7DD85701">
            <wp:extent cx="5939790" cy="2585085"/>
            <wp:effectExtent l="0" t="0" r="381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11E58" w:rsidRPr="00A46CC4">
        <w:rPr>
          <w:noProof/>
        </w:rPr>
        <w:t xml:space="preserve"> </w:t>
      </w:r>
    </w:p>
    <w:p w14:paraId="74020B54" w14:textId="7A47DCB8" w:rsidR="003D3CB6" w:rsidRPr="00A46CC4" w:rsidRDefault="00F44ACE" w:rsidP="00950B81">
      <w:pPr>
        <w:pStyle w:val="Title"/>
        <w:rPr>
          <w:bCs/>
          <w:szCs w:val="24"/>
        </w:rPr>
      </w:pPr>
      <w:r w:rsidRPr="00A46CC4">
        <w:t>6</w:t>
      </w:r>
      <w:r w:rsidR="00355E27">
        <w:t>. </w:t>
      </w:r>
      <w:r w:rsidR="003D3CB6" w:rsidRPr="00A46CC4">
        <w:t>attēls. Kopējās SEG emisijas un piesaiste no 1990. līdz 2050.</w:t>
      </w:r>
      <w:r w:rsidR="00355E27">
        <w:t> </w:t>
      </w:r>
      <w:r w:rsidR="003D3CB6" w:rsidRPr="00A46CC4">
        <w:t>gadam</w:t>
      </w:r>
    </w:p>
    <w:p w14:paraId="12D6A136" w14:textId="77777777" w:rsidR="00E3365E" w:rsidRPr="00A46CC4" w:rsidRDefault="003D3CB6" w:rsidP="00E3365E">
      <w:r w:rsidRPr="00A46CC4">
        <w:t>Vērtējot Latvijas progresu SEG emisiju mērķu sasniegšanā</w:t>
      </w:r>
      <w:r w:rsidR="00F44ACE" w:rsidRPr="00A46CC4">
        <w:t>,</w:t>
      </w:r>
      <w:r w:rsidRPr="00A46CC4">
        <w:t xml:space="preserve"> var secināt, ka būtiskākais emisiju apjoms tiks radīts enerģētikas, lauksaimniecības un transporta sektoros (</w:t>
      </w:r>
      <w:r w:rsidR="00F44ACE" w:rsidRPr="00A46CC4">
        <w:t>7. </w:t>
      </w:r>
      <w:r w:rsidRPr="00A46CC4">
        <w:t>attēl</w:t>
      </w:r>
      <w:r w:rsidR="00F44ACE" w:rsidRPr="00A46CC4">
        <w:t>s</w:t>
      </w:r>
      <w:r w:rsidRPr="00A46CC4">
        <w:t>).</w:t>
      </w:r>
      <w:r w:rsidR="00E3365E" w:rsidRPr="00A46CC4">
        <w:t xml:space="preserve"> </w:t>
      </w:r>
    </w:p>
    <w:p w14:paraId="1918FEC7" w14:textId="316CB47D" w:rsidR="00FA298F" w:rsidRDefault="00E3365E" w:rsidP="00FA298F">
      <w:r w:rsidRPr="00A46CC4">
        <w:t>Saskaņā ar 2017.</w:t>
      </w:r>
      <w:r w:rsidR="00355E27">
        <w:t> </w:t>
      </w:r>
      <w:r w:rsidRPr="00A46CC4">
        <w:t>gada EK iesniegto ziņojumu par politikām, pasākumiem un SEG prognozēm scenārijā ar esošiem pasākumiem</w:t>
      </w:r>
      <w:r w:rsidR="00FF11E4" w:rsidRPr="00A46CC4">
        <w:t>,</w:t>
      </w:r>
      <w:r w:rsidRPr="00A46CC4">
        <w:t xml:space="preserve"> 2030.</w:t>
      </w:r>
      <w:r w:rsidR="00355E27">
        <w:t> </w:t>
      </w:r>
      <w:r w:rsidRPr="00A46CC4">
        <w:t>gada noteiktos mērķus nebūs iespējams sasniegt (7. attēls</w:t>
      </w:r>
      <w:r w:rsidR="00FF11E4" w:rsidRPr="00A46CC4">
        <w:t>). L</w:t>
      </w:r>
      <w:r w:rsidRPr="00A46CC4">
        <w:t>aika posmā līdz</w:t>
      </w:r>
      <w:r w:rsidR="00817017" w:rsidRPr="00A46CC4">
        <w:t xml:space="preserve"> 2030.</w:t>
      </w:r>
      <w:r w:rsidR="00355E27">
        <w:t> </w:t>
      </w:r>
      <w:r w:rsidR="00817017" w:rsidRPr="00A46CC4">
        <w:t>gadam un pēc tam</w:t>
      </w:r>
      <w:r w:rsidRPr="00A46CC4">
        <w:t>, lai nodrošinātu OMA, emisiju samazinājums prasīs jaunu tehnoloģisku risinājumu ieviešanu un papildus SEG emisiju sam</w:t>
      </w:r>
      <w:r w:rsidR="005F2544" w:rsidRPr="00A46CC4">
        <w:t>azināšanas pasākumu īstenošanu.</w:t>
      </w:r>
    </w:p>
    <w:bookmarkStart w:id="18" w:name="_MON_1589724709"/>
    <w:bookmarkEnd w:id="18"/>
    <w:p w14:paraId="454F6735" w14:textId="4E81E7FF" w:rsidR="003D3CB6" w:rsidRPr="00A46CC4" w:rsidRDefault="005F2544" w:rsidP="00FA298F">
      <w:pPr>
        <w:ind w:firstLine="0"/>
        <w:jc w:val="center"/>
        <w:rPr>
          <w:bCs/>
          <w:szCs w:val="24"/>
        </w:rPr>
      </w:pPr>
      <w:r w:rsidRPr="00A46CC4">
        <w:rPr>
          <w:noProof/>
          <w:sz w:val="16"/>
          <w:szCs w:val="16"/>
        </w:rPr>
        <w:object w:dxaOrig="13142" w:dyaOrig="7548" w14:anchorId="07D6D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08.25pt" o:ole="">
            <v:imagedata r:id="rId18" o:title=""/>
          </v:shape>
          <o:OLEObject Type="Embed" ProgID="Excel.Sheet.12" ShapeID="_x0000_i1025" DrawAspect="Content" ObjectID="_1596959293" r:id="rId19"/>
        </w:object>
      </w:r>
      <w:r w:rsidR="00833B59" w:rsidRPr="00A46CC4">
        <w:t>7</w:t>
      </w:r>
      <w:r w:rsidR="003D3CB6" w:rsidRPr="00A46CC4">
        <w:t>.</w:t>
      </w:r>
      <w:r w:rsidR="00355E27">
        <w:t> </w:t>
      </w:r>
      <w:r w:rsidR="003D3CB6" w:rsidRPr="00A46CC4">
        <w:t>attēls. Latvijas kopējais SEG emisiju apjoms un prognoze scenārijā “</w:t>
      </w:r>
      <w:r w:rsidR="00355E27">
        <w:t>ar esošajiem pasākumiem” (1990. </w:t>
      </w:r>
      <w:r w:rsidR="00833B59" w:rsidRPr="00A46CC4">
        <w:t>-</w:t>
      </w:r>
      <w:r w:rsidR="00355E27">
        <w:t> </w:t>
      </w:r>
      <w:r w:rsidR="003D3CB6" w:rsidRPr="00A46CC4">
        <w:t>2050. gad</w:t>
      </w:r>
      <w:r w:rsidR="00833B59" w:rsidRPr="00A46CC4">
        <w:t>s</w:t>
      </w:r>
      <w:r w:rsidR="003D3CB6" w:rsidRPr="00A46CC4">
        <w:t>)</w:t>
      </w:r>
      <w:r w:rsidR="003D3CB6" w:rsidRPr="00A46CC4">
        <w:rPr>
          <w:vertAlign w:val="superscript"/>
        </w:rPr>
        <w:footnoteReference w:id="21"/>
      </w:r>
    </w:p>
    <w:p w14:paraId="3717BAE5" w14:textId="2C730A40" w:rsidR="00FA298F" w:rsidRPr="00355E27" w:rsidRDefault="00FA298F" w:rsidP="00355E27">
      <w:r w:rsidRPr="00355E27">
        <w:lastRenderedPageBreak/>
        <w:t xml:space="preserve">Būtiskākie SEG emisiju avoti </w:t>
      </w:r>
      <w:r w:rsidR="00610720" w:rsidRPr="00355E27">
        <w:t>kontekstā ar atsevišķām gāzēm ir</w:t>
      </w:r>
      <w:r w:rsidRPr="00355E27">
        <w:t xml:space="preserve"> apskatīti BENTE pētījumā, saskaņā ar BENTE pētījumā prognozēto </w:t>
      </w:r>
      <w:r w:rsidR="00A80C9F" w:rsidRPr="00355E27">
        <w:t xml:space="preserve">scenāriju bez papildus pasākumiem (4DS) </w:t>
      </w:r>
      <w:r w:rsidRPr="00355E27">
        <w:t>lielākais SEG emisiju īpatsvars 2050.</w:t>
      </w:r>
      <w:r w:rsidR="00355E27">
        <w:t> </w:t>
      </w:r>
      <w:r w:rsidRPr="00355E27">
        <w:t>gadā (31,6%) būs</w:t>
      </w:r>
      <w:r w:rsidR="00355E27">
        <w:t xml:space="preserve"> no slāpekļa oksīda emisijām (8</w:t>
      </w:r>
      <w:r w:rsidRPr="00355E27">
        <w:t>.</w:t>
      </w:r>
      <w:r w:rsidR="00355E27">
        <w:t> </w:t>
      </w:r>
      <w:r w:rsidRPr="00355E27">
        <w:t>attēls).</w:t>
      </w:r>
    </w:p>
    <w:p w14:paraId="2B494243" w14:textId="0A5A4B5E" w:rsidR="00FA298F" w:rsidRPr="00FA298F" w:rsidRDefault="00FA298F" w:rsidP="00950B81">
      <w:r>
        <w:rPr>
          <w:noProof/>
        </w:rPr>
        <w:drawing>
          <wp:inline distT="0" distB="0" distL="0" distR="0" wp14:anchorId="450A1B6E" wp14:editId="7189CD8C">
            <wp:extent cx="5230390" cy="358140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37447" cy="3586232"/>
                    </a:xfrm>
                    <a:prstGeom prst="rect">
                      <a:avLst/>
                    </a:prstGeom>
                  </pic:spPr>
                </pic:pic>
              </a:graphicData>
            </a:graphic>
          </wp:inline>
        </w:drawing>
      </w:r>
      <w:r>
        <w:t xml:space="preserve"> </w:t>
      </w:r>
    </w:p>
    <w:p w14:paraId="347FD2CA" w14:textId="77777777" w:rsidR="00FA298F" w:rsidRPr="001B79A2" w:rsidRDefault="00FA298F" w:rsidP="00950B81">
      <w:pPr>
        <w:rPr>
          <w:i/>
        </w:rPr>
      </w:pPr>
    </w:p>
    <w:p w14:paraId="4E9F587D" w14:textId="23BF8C6F" w:rsidR="00FA298F" w:rsidRPr="001B79A2" w:rsidRDefault="001B79A2" w:rsidP="00FA298F">
      <w:pPr>
        <w:jc w:val="center"/>
        <w:rPr>
          <w:lang w:val="x-none"/>
        </w:rPr>
      </w:pPr>
      <w:r w:rsidRPr="001B79A2">
        <w:t>8</w:t>
      </w:r>
      <w:r w:rsidR="00FA298F" w:rsidRPr="001B79A2">
        <w:t>.</w:t>
      </w:r>
      <w:r w:rsidR="00355E27">
        <w:t> </w:t>
      </w:r>
      <w:r w:rsidRPr="001B79A2">
        <w:t>a</w:t>
      </w:r>
      <w:r w:rsidR="00FA298F" w:rsidRPr="001B79A2">
        <w:t>ttēls. SEG emisiju īpatsvars (Mt CO</w:t>
      </w:r>
      <w:r w:rsidR="00FA298F" w:rsidRPr="001B79A2">
        <w:rPr>
          <w:vertAlign w:val="subscript"/>
        </w:rPr>
        <w:t>2</w:t>
      </w:r>
      <w:r w:rsidRPr="001B79A2">
        <w:t xml:space="preserve"> ekv.)</w:t>
      </w:r>
      <w:r w:rsidR="00FA298F" w:rsidRPr="001B79A2">
        <w:t xml:space="preserve"> </w:t>
      </w:r>
    </w:p>
    <w:p w14:paraId="26B6D19E" w14:textId="77777777" w:rsidR="00FA298F" w:rsidRPr="00FA298F" w:rsidRDefault="00FA298F" w:rsidP="00FA298F">
      <w:pPr>
        <w:jc w:val="center"/>
      </w:pPr>
    </w:p>
    <w:p w14:paraId="697F5B45" w14:textId="54CC6485" w:rsidR="003D3CB6" w:rsidRPr="00A46CC4" w:rsidRDefault="003D3CB6" w:rsidP="00950B81">
      <w:r w:rsidRPr="00A46CC4">
        <w:rPr>
          <w:i/>
        </w:rPr>
        <w:t>Enerģētika</w:t>
      </w:r>
      <w:r w:rsidRPr="00A46CC4">
        <w:rPr>
          <w:vertAlign w:val="superscript"/>
        </w:rPr>
        <w:footnoteReference w:id="22"/>
      </w:r>
      <w:r w:rsidRPr="00A46CC4">
        <w:rPr>
          <w:i/>
        </w:rPr>
        <w:t xml:space="preserve"> </w:t>
      </w:r>
      <w:r w:rsidRPr="00A46CC4">
        <w:t>ir li</w:t>
      </w:r>
      <w:r w:rsidR="00D6531B" w:rsidRPr="00A46CC4">
        <w:t xml:space="preserve">elākais SEG emisiju avots un </w:t>
      </w:r>
      <w:r w:rsidRPr="00A46CC4">
        <w:t>radīj</w:t>
      </w:r>
      <w:r w:rsidR="00D6531B" w:rsidRPr="00A46CC4">
        <w:t>a</w:t>
      </w:r>
      <w:r w:rsidR="00D73E1E" w:rsidRPr="00A46CC4">
        <w:t xml:space="preserve"> 36</w:t>
      </w:r>
      <w:r w:rsidR="00355E27">
        <w:t> </w:t>
      </w:r>
      <w:r w:rsidR="006E7CA4" w:rsidRPr="00A46CC4">
        <w:t xml:space="preserve">% no kopējām </w:t>
      </w:r>
      <w:r w:rsidR="00D6531B" w:rsidRPr="00A46CC4">
        <w:t>201</w:t>
      </w:r>
      <w:r w:rsidR="00817017" w:rsidRPr="00A46CC4">
        <w:t>6</w:t>
      </w:r>
      <w:r w:rsidR="00355E27">
        <w:t>. </w:t>
      </w:r>
      <w:r w:rsidR="00D6531B" w:rsidRPr="00A46CC4">
        <w:t xml:space="preserve">gada </w:t>
      </w:r>
      <w:r w:rsidR="006E7CA4" w:rsidRPr="00A46CC4">
        <w:t xml:space="preserve">emisijām </w:t>
      </w:r>
      <w:r w:rsidR="00355E27">
        <w:t>(5. </w:t>
      </w:r>
      <w:r w:rsidR="00364804" w:rsidRPr="00A46CC4">
        <w:t>attēls)</w:t>
      </w:r>
      <w:r w:rsidRPr="00A46CC4">
        <w:t>. Enerģētikas sektorā tiek uzskaitītas emisijas no sadedzināšanas procesiem visās tautsaimniecības nozarēs (</w:t>
      </w:r>
      <w:r w:rsidR="00364804" w:rsidRPr="00A46CC4">
        <w:t>1</w:t>
      </w:r>
      <w:r w:rsidRPr="00A46CC4">
        <w:t>.</w:t>
      </w:r>
      <w:r w:rsidR="00355E27">
        <w:t> </w:t>
      </w:r>
      <w:r w:rsidRPr="00A46CC4">
        <w:t>tabul</w:t>
      </w:r>
      <w:r w:rsidR="00364804" w:rsidRPr="00A46CC4">
        <w:t>a</w:t>
      </w:r>
      <w:r w:rsidRPr="00A46CC4">
        <w:t xml:space="preserve">). Lielāko daļu no emisijām rada </w:t>
      </w:r>
      <w:r w:rsidR="00D73E1E" w:rsidRPr="00A46CC4">
        <w:t>enerģētikas nozares (</w:t>
      </w:r>
      <w:r w:rsidRPr="00A46CC4">
        <w:rPr>
          <w:color w:val="000000"/>
        </w:rPr>
        <w:t>publiskā elektroenerģijas</w:t>
      </w:r>
      <w:r w:rsidR="00D73E1E" w:rsidRPr="00A46CC4">
        <w:rPr>
          <w:color w:val="000000"/>
        </w:rPr>
        <w:t xml:space="preserve"> un siltumenerģi</w:t>
      </w:r>
      <w:r w:rsidR="00355E27">
        <w:rPr>
          <w:color w:val="000000"/>
        </w:rPr>
        <w:t>jas ražošana – </w:t>
      </w:r>
      <w:r w:rsidR="006E7CA4" w:rsidRPr="00A46CC4">
        <w:rPr>
          <w:color w:val="000000"/>
        </w:rPr>
        <w:t>46</w:t>
      </w:r>
      <w:r w:rsidRPr="00A46CC4">
        <w:rPr>
          <w:color w:val="000000"/>
        </w:rPr>
        <w:t>%), tad seko komerciālais, institucionālais, mājsaimniecības, lauksaimniecības, mežsaimniecība</w:t>
      </w:r>
      <w:r w:rsidR="00D73E1E" w:rsidRPr="00A46CC4">
        <w:rPr>
          <w:color w:val="000000"/>
        </w:rPr>
        <w:t>s un zivsaimniecības sektori (36</w:t>
      </w:r>
      <w:r w:rsidR="00355E27">
        <w:rPr>
          <w:color w:val="000000"/>
        </w:rPr>
        <w:t> </w:t>
      </w:r>
      <w:r w:rsidRPr="00A46CC4">
        <w:rPr>
          <w:color w:val="000000"/>
        </w:rPr>
        <w:t>%), atlikušo daļu veido apstrād</w:t>
      </w:r>
      <w:r w:rsidR="00E74936" w:rsidRPr="00A46CC4">
        <w:rPr>
          <w:color w:val="000000"/>
        </w:rPr>
        <w:t>es</w:t>
      </w:r>
      <w:r w:rsidRPr="00A46CC4">
        <w:rPr>
          <w:color w:val="000000"/>
        </w:rPr>
        <w:t xml:space="preserve"> rūpniecība un būvniecība, militārais transports un difūzās emisijas no naftas un dabasgāzes.</w:t>
      </w:r>
      <w:r w:rsidRPr="00A46CC4">
        <w:t xml:space="preserve"> Salīdzinot ar 1990.</w:t>
      </w:r>
      <w:r w:rsidR="00355E27">
        <w:t> </w:t>
      </w:r>
      <w:r w:rsidRPr="00A46CC4">
        <w:t>gadu emisiju apjomi ir samazinājušies visos enerģētikas nozares apakšsektoros, bet vislielākais samazinājums ir vērojams apstrā</w:t>
      </w:r>
      <w:r w:rsidR="006E7CA4" w:rsidRPr="00A46CC4">
        <w:t xml:space="preserve">des rūpniecībā un </w:t>
      </w:r>
      <w:r w:rsidR="00D73E1E" w:rsidRPr="00A46CC4">
        <w:t>būvniecībā (84</w:t>
      </w:r>
      <w:r w:rsidR="00355E27">
        <w:t> </w:t>
      </w:r>
      <w:r w:rsidRPr="00A46CC4">
        <w:t>%), kā arī pakalpojumu, mājsaimniecības, lauksaimniecības, zivsaimniecības</w:t>
      </w:r>
      <w:r w:rsidR="006E7CA4" w:rsidRPr="00A46CC4">
        <w:t xml:space="preserve"> un mežsaimniecības sektoros (76</w:t>
      </w:r>
      <w:r w:rsidR="00355E27">
        <w:t> </w:t>
      </w:r>
      <w:r w:rsidRPr="00A46CC4">
        <w:t>%). Pēdējos gados enerģētikas sektora emisijas svārstās atkarībā no ekonomiskajām izmaiņām valstī</w:t>
      </w:r>
      <w:r w:rsidR="00364804" w:rsidRPr="00A46CC4">
        <w:t xml:space="preserve"> un</w:t>
      </w:r>
      <w:r w:rsidRPr="00A46CC4">
        <w:t xml:space="preserve"> būtiski atšķirīgām ziemas vidējām temperatūrām. Būtisks faktors enerģētikas SEG emisiju samazinājumam kopējā bilancē ir energoefektivitāte, kurināmā nomaiņa no šķidrajiem un cietajiem kurināmajiem uz dabasgāzi, kā arī fosilo kurināmo aizstāšana ar biomasu un citiem AER veidiem. Svarīgi faktori kurināmā nomaiņai ir tā cena un pieejamība, kā arī valsts politika un pasākumi, tai skaitā atbalsta pasākumi. </w:t>
      </w:r>
    </w:p>
    <w:p w14:paraId="55DD59AE" w14:textId="2D2A9A07" w:rsidR="003D3CB6" w:rsidRPr="00A46CC4" w:rsidRDefault="003D3CB6" w:rsidP="00364804">
      <w:r w:rsidRPr="00A46CC4">
        <w:t>Saskaņā ar pēdējām prognozēm</w:t>
      </w:r>
      <w:r w:rsidR="00567D66" w:rsidRPr="00A46CC4">
        <w:t xml:space="preserve"> </w:t>
      </w:r>
      <w:r w:rsidRPr="00A46CC4">
        <w:t>enerģētikas sektora emisijas</w:t>
      </w:r>
      <w:r w:rsidR="00567D66" w:rsidRPr="00A46CC4">
        <w:t xml:space="preserve"> esošajā situācijā</w:t>
      </w:r>
      <w:r w:rsidRPr="00A46CC4">
        <w:t xml:space="preserve"> 2050.</w:t>
      </w:r>
      <w:r w:rsidR="00355E27">
        <w:t> </w:t>
      </w:r>
      <w:r w:rsidRPr="00A46CC4">
        <w:t>gadā palielinās</w:t>
      </w:r>
      <w:r w:rsidR="00D73E1E" w:rsidRPr="00A46CC4">
        <w:t xml:space="preserve">ies, ja salīdzina </w:t>
      </w:r>
      <w:r w:rsidR="00E74936" w:rsidRPr="00A46CC4">
        <w:t xml:space="preserve">ar </w:t>
      </w:r>
      <w:r w:rsidR="00D73E1E" w:rsidRPr="00A46CC4">
        <w:t>2016</w:t>
      </w:r>
      <w:r w:rsidRPr="00A46CC4">
        <w:t>.</w:t>
      </w:r>
      <w:r w:rsidR="00355E27">
        <w:t> </w:t>
      </w:r>
      <w:r w:rsidRPr="00A46CC4">
        <w:t>gadu</w:t>
      </w:r>
      <w:r w:rsidR="00D5184C" w:rsidRPr="00A46CC4">
        <w:t>,</w:t>
      </w:r>
      <w:r w:rsidRPr="00A46CC4">
        <w:t xml:space="preserve"> apm</w:t>
      </w:r>
      <w:r w:rsidR="00D73E1E" w:rsidRPr="00A46CC4">
        <w:t>ēram par 20</w:t>
      </w:r>
      <w:r w:rsidR="00355E27">
        <w:t> </w:t>
      </w:r>
      <w:r w:rsidR="00636426" w:rsidRPr="00A46CC4">
        <w:t>%, bet salīdzinot ar</w:t>
      </w:r>
      <w:r w:rsidR="00FF11E4" w:rsidRPr="00A46CC4">
        <w:t xml:space="preserve"> 1990.</w:t>
      </w:r>
      <w:r w:rsidR="00355E27">
        <w:t> </w:t>
      </w:r>
      <w:r w:rsidR="00636426" w:rsidRPr="00A46CC4">
        <w:t>gadu</w:t>
      </w:r>
      <w:r w:rsidR="00FF11E4" w:rsidRPr="00A46CC4">
        <w:t xml:space="preserve"> samazinās</w:t>
      </w:r>
      <w:r w:rsidR="00636426" w:rsidRPr="00A46CC4">
        <w:t>ies</w:t>
      </w:r>
      <w:r w:rsidR="00FF11E4" w:rsidRPr="00A46CC4">
        <w:t xml:space="preserve"> par 70</w:t>
      </w:r>
      <w:r w:rsidR="00355E27">
        <w:t> </w:t>
      </w:r>
      <w:r w:rsidR="00FF11E4" w:rsidRPr="00A46CC4">
        <w:t>%.</w:t>
      </w:r>
    </w:p>
    <w:p w14:paraId="27C64C77" w14:textId="77777777" w:rsidR="00950B81" w:rsidRPr="00A46CC4" w:rsidRDefault="00950B81" w:rsidP="00977BCE">
      <w:pPr>
        <w:rPr>
          <w:rFonts w:eastAsiaTheme="majorEastAsia" w:cstheme="majorBidi"/>
          <w:b/>
          <w:iCs/>
          <w:szCs w:val="24"/>
        </w:rPr>
      </w:pPr>
    </w:p>
    <w:p w14:paraId="7D704C6A" w14:textId="66F278AC" w:rsidR="003D3CB6" w:rsidRPr="00A46CC4" w:rsidRDefault="003D3CB6" w:rsidP="00977BCE">
      <w:r w:rsidRPr="00A46CC4">
        <w:rPr>
          <w:i/>
        </w:rPr>
        <w:lastRenderedPageBreak/>
        <w:t>Transports</w:t>
      </w:r>
      <w:r w:rsidRPr="00A46CC4">
        <w:rPr>
          <w:i/>
          <w:vertAlign w:val="superscript"/>
        </w:rPr>
        <w:footnoteReference w:id="23"/>
      </w:r>
      <w:r w:rsidRPr="00A46CC4">
        <w:t xml:space="preserve"> ir otrais lielākais SE</w:t>
      </w:r>
      <w:r w:rsidR="006E7CA4" w:rsidRPr="00A46CC4">
        <w:t>G emisiju avots un ir radījis 28</w:t>
      </w:r>
      <w:r w:rsidR="00355E27">
        <w:t> </w:t>
      </w:r>
      <w:r w:rsidRPr="00A46CC4">
        <w:t xml:space="preserve">% no kopējām </w:t>
      </w:r>
      <w:r w:rsidR="00C745D3" w:rsidRPr="00A46CC4">
        <w:t>2016</w:t>
      </w:r>
      <w:r w:rsidRPr="00A46CC4">
        <w:t>.</w:t>
      </w:r>
      <w:r w:rsidR="00355E27">
        <w:t> </w:t>
      </w:r>
      <w:r w:rsidRPr="00A46CC4">
        <w:t>gad</w:t>
      </w:r>
      <w:r w:rsidR="00D5184C" w:rsidRPr="00A46CC4">
        <w:t>a</w:t>
      </w:r>
      <w:r w:rsidR="00355E27">
        <w:t xml:space="preserve"> emisijām. Salīdzinot ar 1990. </w:t>
      </w:r>
      <w:r w:rsidRPr="00A46CC4">
        <w:t>gadu emisiju apjomi trans</w:t>
      </w:r>
      <w:r w:rsidR="006E7CA4" w:rsidRPr="00A46CC4">
        <w:t xml:space="preserve">porta sektorā ir palielinājušies </w:t>
      </w:r>
      <w:r w:rsidR="00C745D3" w:rsidRPr="00A46CC4">
        <w:t>par 5</w:t>
      </w:r>
      <w:r w:rsidR="00355E27">
        <w:t> </w:t>
      </w:r>
      <w:r w:rsidRPr="00A46CC4">
        <w:t xml:space="preserve">%. Lielākā daļa no transporta sektora emisijām rodas no </w:t>
      </w:r>
      <w:r w:rsidR="00C74C2E" w:rsidRPr="00A46CC4">
        <w:t xml:space="preserve">fosilās </w:t>
      </w:r>
      <w:r w:rsidRPr="00A46CC4">
        <w:t>degvielas patēriņa ceļa transportā (</w:t>
      </w:r>
      <w:r w:rsidR="00C745D3" w:rsidRPr="00A46CC4">
        <w:t>apmēram 93</w:t>
      </w:r>
      <w:r w:rsidR="00355E27">
        <w:t> </w:t>
      </w:r>
      <w:r w:rsidRPr="00A46CC4">
        <w:t xml:space="preserve">%), </w:t>
      </w:r>
      <w:r w:rsidR="005D6ED3" w:rsidRPr="00A46CC4">
        <w:t>t</w:t>
      </w:r>
      <w:r w:rsidR="00C745D3" w:rsidRPr="00A46CC4">
        <w:t>ad seko dzelzceļa transports (6</w:t>
      </w:r>
      <w:r w:rsidR="00355E27">
        <w:t> </w:t>
      </w:r>
      <w:r w:rsidRPr="00A46CC4">
        <w:t>%), savukārt civilā aviācija un kuģniecība veido 1</w:t>
      </w:r>
      <w:r w:rsidR="00355E27">
        <w:t> </w:t>
      </w:r>
      <w:r w:rsidRPr="00A46CC4">
        <w:t xml:space="preserve">% no kopējām transporta sektora emisijām. Saskaņā ar pēdējām prognozēm </w:t>
      </w:r>
      <w:r w:rsidR="00C745D3" w:rsidRPr="00A46CC4">
        <w:t>s</w:t>
      </w:r>
      <w:r w:rsidRPr="00A46CC4">
        <w:t>agaidāms, ka no 2030. līdz 2050.</w:t>
      </w:r>
      <w:r w:rsidR="00355E27">
        <w:t> </w:t>
      </w:r>
      <w:r w:rsidRPr="00A46CC4">
        <w:t xml:space="preserve">gadam emisijas, </w:t>
      </w:r>
      <w:r w:rsidR="006E7CA4" w:rsidRPr="00A46CC4">
        <w:t>at</w:t>
      </w:r>
      <w:r w:rsidR="00C745D3" w:rsidRPr="00A46CC4">
        <w:t>tiecībā pret 2016</w:t>
      </w:r>
      <w:r w:rsidRPr="00A46CC4">
        <w:t xml:space="preserve">. </w:t>
      </w:r>
      <w:r w:rsidR="00355E27">
        <w:t>un 1990. </w:t>
      </w:r>
      <w:r w:rsidRPr="00A46CC4">
        <w:t>gadu, palielināsies</w:t>
      </w:r>
      <w:r w:rsidR="00C745D3" w:rsidRPr="00A46CC4">
        <w:t xml:space="preserve"> (attiecīgi 6</w:t>
      </w:r>
      <w:r w:rsidR="00355E27">
        <w:t> </w:t>
      </w:r>
      <w:r w:rsidR="00C745D3" w:rsidRPr="00A46CC4">
        <w:t>% un 11</w:t>
      </w:r>
      <w:r w:rsidR="00355E27">
        <w:t> </w:t>
      </w:r>
      <w:r w:rsidR="00636426" w:rsidRPr="00A46CC4">
        <w:t>%)</w:t>
      </w:r>
      <w:r w:rsidRPr="00A46CC4">
        <w:t>, galvenokārt tranzīta apjoma un transportlīdzekļu skaita pieauguma dēļ.</w:t>
      </w:r>
    </w:p>
    <w:p w14:paraId="523A046F" w14:textId="2969E05A" w:rsidR="00EF42BC" w:rsidRPr="00A46CC4" w:rsidRDefault="003D3CB6" w:rsidP="00EF42BC">
      <w:pPr>
        <w:spacing w:before="100" w:beforeAutospacing="1" w:after="100" w:afterAutospacing="1"/>
      </w:pPr>
      <w:r w:rsidRPr="00A46CC4">
        <w:rPr>
          <w:i/>
        </w:rPr>
        <w:t xml:space="preserve">Rūpniecisko procesu un produktu </w:t>
      </w:r>
      <w:r w:rsidR="00817017" w:rsidRPr="00A46CC4">
        <w:rPr>
          <w:i/>
        </w:rPr>
        <w:t>izmantošanas</w:t>
      </w:r>
      <w:r w:rsidR="00817017" w:rsidRPr="00A46CC4">
        <w:t xml:space="preserve"> </w:t>
      </w:r>
      <w:r w:rsidRPr="00A46CC4">
        <w:t>sektorā</w:t>
      </w:r>
      <w:r w:rsidRPr="00A46CC4">
        <w:rPr>
          <w:vertAlign w:val="superscript"/>
        </w:rPr>
        <w:footnoteReference w:id="24"/>
      </w:r>
      <w:r w:rsidRPr="00A46CC4">
        <w:t xml:space="preserve"> </w:t>
      </w:r>
      <w:r w:rsidR="00C15A36" w:rsidRPr="00A46CC4">
        <w:t>tiek uzskaitītas emisijas</w:t>
      </w:r>
      <w:r w:rsidR="00DE5C57" w:rsidRPr="00A46CC4">
        <w:t>, kas rodas no</w:t>
      </w:r>
      <w:r w:rsidR="00817017" w:rsidRPr="00A46CC4">
        <w:t xml:space="preserve"> rūpnieciskajiem procesiem</w:t>
      </w:r>
      <w:r w:rsidR="00DE5C57" w:rsidRPr="00A46CC4">
        <w:t>,</w:t>
      </w:r>
      <w:r w:rsidR="00C15A36" w:rsidRPr="00A46CC4">
        <w:t xml:space="preserve"> no izejvielu izmantošanas rūpnieciskajā ražošanā, </w:t>
      </w:r>
      <w:r w:rsidR="00DE5C57" w:rsidRPr="00A46CC4">
        <w:t xml:space="preserve">no </w:t>
      </w:r>
      <w:r w:rsidR="00C745D3" w:rsidRPr="00A46CC4">
        <w:t>ķīmisko vielu izmantošanas</w:t>
      </w:r>
      <w:r w:rsidR="00DE5C57" w:rsidRPr="00A46CC4">
        <w:t xml:space="preserve"> un kurināmā izmantošanas neenerģētiskām vajadzībām.</w:t>
      </w:r>
      <w:r w:rsidR="00C745D3" w:rsidRPr="00A46CC4">
        <w:t xml:space="preserve"> 2016</w:t>
      </w:r>
      <w:r w:rsidR="00C15A36" w:rsidRPr="00A46CC4">
        <w:t>.</w:t>
      </w:r>
      <w:r w:rsidR="00C745D3" w:rsidRPr="00A46CC4">
        <w:t xml:space="preserve"> gadā šajā sektorā tika radīti 6</w:t>
      </w:r>
      <w:r w:rsidR="00355E27">
        <w:t> </w:t>
      </w:r>
      <w:r w:rsidR="00C15A36" w:rsidRPr="00A46CC4">
        <w:t>% no kopējām Latvijas SEG emisijām. Lai gan emisiju apjoms ir salīdzinoši neliels, sākot ar 2009</w:t>
      </w:r>
      <w:r w:rsidR="00355E27">
        <w:t>. </w:t>
      </w:r>
      <w:r w:rsidR="00EF42BC" w:rsidRPr="00A46CC4">
        <w:t xml:space="preserve">gadu, tam ir tendence </w:t>
      </w:r>
      <w:r w:rsidR="00C15A36" w:rsidRPr="00A46CC4">
        <w:t>pieaugt. Kopumā lielāk</w:t>
      </w:r>
      <w:r w:rsidR="00E74936" w:rsidRPr="00A46CC4">
        <w:t>ais SEG emisiju apjoms</w:t>
      </w:r>
      <w:r w:rsidR="00C15A36" w:rsidRPr="00A46CC4">
        <w:t xml:space="preserve">  rodas n</w:t>
      </w:r>
      <w:r w:rsidR="00EF42BC" w:rsidRPr="00A46CC4">
        <w:t xml:space="preserve">o cementa, </w:t>
      </w:r>
      <w:r w:rsidR="00EF42BC" w:rsidRPr="00A46CC4">
        <w:rPr>
          <w:szCs w:val="24"/>
        </w:rPr>
        <w:t>stikla un ķieģeļu</w:t>
      </w:r>
      <w:r w:rsidR="00EF42BC" w:rsidRPr="00A46CC4">
        <w:t xml:space="preserve"> ražošanas, veidojot 54</w:t>
      </w:r>
      <w:r w:rsidR="00355E27">
        <w:t> </w:t>
      </w:r>
      <w:r w:rsidR="00C15A36" w:rsidRPr="00A46CC4">
        <w:t>% no kopējām rūpniecisko procesu</w:t>
      </w:r>
      <w:r w:rsidR="00EF42BC" w:rsidRPr="00A46CC4">
        <w:t xml:space="preserve"> kt</w:t>
      </w:r>
      <w:r w:rsidR="00C15A36" w:rsidRPr="00A46CC4">
        <w:t xml:space="preserve"> CO</w:t>
      </w:r>
      <w:r w:rsidR="00C15A36" w:rsidRPr="00A46CC4">
        <w:rPr>
          <w:vertAlign w:val="subscript"/>
        </w:rPr>
        <w:t>2</w:t>
      </w:r>
      <w:r w:rsidR="00EF42BC" w:rsidRPr="00A46CC4">
        <w:t xml:space="preserve"> ekv. emisijām 2016</w:t>
      </w:r>
      <w:r w:rsidR="00C15A36" w:rsidRPr="00A46CC4">
        <w:t>. gadā.</w:t>
      </w:r>
      <w:r w:rsidR="00A63811" w:rsidRPr="00A46CC4">
        <w:rPr>
          <w:sz w:val="22"/>
        </w:rPr>
        <w:t xml:space="preserve"> </w:t>
      </w:r>
      <w:r w:rsidR="00C15A36" w:rsidRPr="00A46CC4">
        <w:t xml:space="preserve">Lai gan fluorēto </w:t>
      </w:r>
      <w:r w:rsidR="00DE5C57" w:rsidRPr="00A46CC4">
        <w:t xml:space="preserve">siltumnīcefekta </w:t>
      </w:r>
      <w:r w:rsidR="00C15A36" w:rsidRPr="00A46CC4">
        <w:t>gāzu (fluorētās gāzes</w:t>
      </w:r>
      <w:r w:rsidR="00636426" w:rsidRPr="00A46CC4">
        <w:rPr>
          <w:rStyle w:val="FootnoteReference"/>
        </w:rPr>
        <w:footnoteReference w:id="25"/>
      </w:r>
      <w:r w:rsidR="00C15A36" w:rsidRPr="00A46CC4">
        <w:t>) daudzums valstī un emisi</w:t>
      </w:r>
      <w:r w:rsidR="00EF42BC" w:rsidRPr="00A46CC4">
        <w:t>ju</w:t>
      </w:r>
      <w:r w:rsidR="00355E27">
        <w:t xml:space="preserve"> apjomi no tām nav lieli (2016. </w:t>
      </w:r>
      <w:r w:rsidR="00EF42BC" w:rsidRPr="00A46CC4">
        <w:t>gadā</w:t>
      </w:r>
      <w:r w:rsidR="00355E27">
        <w:t> </w:t>
      </w:r>
      <w:r w:rsidR="00EF42BC" w:rsidRPr="00A46CC4">
        <w:t>–</w:t>
      </w:r>
      <w:r w:rsidR="00355E27">
        <w:t> </w:t>
      </w:r>
      <w:r w:rsidR="00EF42BC" w:rsidRPr="00A46CC4">
        <w:t>37</w:t>
      </w:r>
      <w:r w:rsidR="00C15A36" w:rsidRPr="00A46CC4">
        <w:t>% no kopējām SEG emisijām</w:t>
      </w:r>
      <w:r w:rsidR="00CC484D" w:rsidRPr="00A46CC4">
        <w:t xml:space="preserve"> rūpniecisko procesu un pro</w:t>
      </w:r>
      <w:r w:rsidR="00355E27">
        <w:t>duktu izmantošanas sektorā un 2,</w:t>
      </w:r>
      <w:r w:rsidR="00CC484D" w:rsidRPr="00A46CC4">
        <w:t>1</w:t>
      </w:r>
      <w:r w:rsidR="00355E27">
        <w:t> </w:t>
      </w:r>
      <w:r w:rsidR="00CC484D" w:rsidRPr="00A46CC4">
        <w:t>% no Latvijas kopējām SEG emisijām</w:t>
      </w:r>
      <w:r w:rsidR="00C15A36" w:rsidRPr="00A46CC4">
        <w:t>), taču to nozīme jāņem vērā saistībā ar fluorēto gāzu globālās sasilšanas potenciāla augstajām vērtībām, kas pat vairākus tūkstošus reižu pārsniedz CO</w:t>
      </w:r>
      <w:r w:rsidR="00C15A36" w:rsidRPr="00A46CC4">
        <w:rPr>
          <w:vertAlign w:val="subscript"/>
        </w:rPr>
        <w:t>2</w:t>
      </w:r>
      <w:r w:rsidR="00C15A36" w:rsidRPr="00A46CC4">
        <w:t xml:space="preserve"> globālās sasilšanas potenciālu. Kopš 1995.</w:t>
      </w:r>
      <w:r w:rsidR="00355E27">
        <w:t> </w:t>
      </w:r>
      <w:r w:rsidR="00C15A36" w:rsidRPr="00A46CC4">
        <w:t>gada fluorēto gāzu emisijas ir ievērojami pieaugušas, jo tās sāka lietot ozona slāni noārdošo vielu aizstāšanai. Fluorēto gāzu lietošana palielinās arī saistībā ar pieaugošo pieprasījumu pēc gaisa kondicion</w:t>
      </w:r>
      <w:r w:rsidR="00DE5C57" w:rsidRPr="00A46CC4">
        <w:t>ēšanas</w:t>
      </w:r>
      <w:r w:rsidR="00C15A36" w:rsidRPr="00A46CC4">
        <w:t xml:space="preserve"> iekārtām telpās un automašīnās, kā arī pieaugot iedzīvotāju </w:t>
      </w:r>
      <w:r w:rsidR="005D6ED3" w:rsidRPr="00A46CC4">
        <w:t xml:space="preserve">labklājības un dzīves līmenim.  </w:t>
      </w:r>
    </w:p>
    <w:p w14:paraId="24DF6110" w14:textId="07588A93" w:rsidR="00950B81" w:rsidRPr="00A46CC4" w:rsidRDefault="00C15A36" w:rsidP="00EF42BC">
      <w:pPr>
        <w:spacing w:before="100" w:beforeAutospacing="1" w:after="100" w:afterAutospacing="1"/>
        <w:ind w:firstLine="0"/>
      </w:pPr>
      <w:r w:rsidRPr="00A46CC4">
        <w:t xml:space="preserve">Ņemot vērā </w:t>
      </w:r>
      <w:r w:rsidR="009C5EA9" w:rsidRPr="00A46CC4">
        <w:t xml:space="preserve">paredzamo </w:t>
      </w:r>
      <w:r w:rsidRPr="00A46CC4">
        <w:t xml:space="preserve">rūpniecības attīstības tendenci, šobrīd tiek prognozēts, ka turpināsies SEG emisiju pieaugums, </w:t>
      </w:r>
      <w:r w:rsidR="00355E27">
        <w:t>2050. </w:t>
      </w:r>
      <w:r w:rsidR="00EF42BC" w:rsidRPr="00A46CC4">
        <w:t>gadā radot 27</w:t>
      </w:r>
      <w:r w:rsidR="00355E27">
        <w:t> </w:t>
      </w:r>
      <w:r w:rsidRPr="00A46CC4">
        <w:t>% emisiju palielinājumu</w:t>
      </w:r>
      <w:r w:rsidR="00EF42BC" w:rsidRPr="00A46CC4">
        <w:t xml:space="preserve"> </w:t>
      </w:r>
      <w:r w:rsidR="00DE5C57" w:rsidRPr="00A46CC4">
        <w:t xml:space="preserve">salīdzinot </w:t>
      </w:r>
      <w:r w:rsidR="00EF42BC" w:rsidRPr="00A46CC4">
        <w:t>2016.</w:t>
      </w:r>
      <w:r w:rsidR="00355E27">
        <w:t> </w:t>
      </w:r>
      <w:r w:rsidR="00EF42BC" w:rsidRPr="00A46CC4">
        <w:t>gadu un 17</w:t>
      </w:r>
      <w:r w:rsidR="00355E27">
        <w:t> </w:t>
      </w:r>
      <w:r w:rsidR="00AD6532" w:rsidRPr="00A46CC4">
        <w:t xml:space="preserve">% palielinājumu </w:t>
      </w:r>
      <w:r w:rsidR="00355E27">
        <w:t>salīdzinot ar 1990. </w:t>
      </w:r>
      <w:r w:rsidRPr="00A46CC4">
        <w:t>gadu. Tiek prognozēts, ka fluorēto gāzu emisijas nākotnē samazināsies, ņemot vērā aizliegumus un ierobežojumus, kas noteikti produktu laišanai ES tirgū pamatojoties uz pieņemtajiem Eiropas likumdošanas aktiem.</w:t>
      </w:r>
    </w:p>
    <w:p w14:paraId="289B5FA8" w14:textId="6462735A" w:rsidR="003D3CB6" w:rsidRPr="00A46CC4" w:rsidRDefault="003D3CB6" w:rsidP="00977BCE">
      <w:r w:rsidRPr="00A46CC4">
        <w:rPr>
          <w:i/>
        </w:rPr>
        <w:t>Lauksaimniecība</w:t>
      </w:r>
      <w:r w:rsidRPr="00A46CC4">
        <w:rPr>
          <w:i/>
          <w:vertAlign w:val="superscript"/>
        </w:rPr>
        <w:footnoteReference w:id="26"/>
      </w:r>
      <w:r w:rsidRPr="00A46CC4">
        <w:t xml:space="preserve"> ir trešais nozīmīgākais sektors</w:t>
      </w:r>
      <w:r w:rsidR="00D5184C" w:rsidRPr="00A46CC4">
        <w:t>,</w:t>
      </w:r>
      <w:r w:rsidRPr="00A46CC4">
        <w:t xml:space="preserve"> radot 24</w:t>
      </w:r>
      <w:r w:rsidR="00355E27">
        <w:t> </w:t>
      </w:r>
      <w:r w:rsidRPr="00A46CC4">
        <w:t>% no kopējām Latvijas SEG emisijām</w:t>
      </w:r>
      <w:r w:rsidRPr="00A46CC4" w:rsidDel="00307011">
        <w:t xml:space="preserve"> </w:t>
      </w:r>
      <w:r w:rsidR="00EF42BC" w:rsidRPr="00A46CC4">
        <w:t>2016</w:t>
      </w:r>
      <w:r w:rsidRPr="00A46CC4">
        <w:t>.</w:t>
      </w:r>
      <w:r w:rsidR="00355E27">
        <w:t> </w:t>
      </w:r>
      <w:r w:rsidRPr="00A46CC4">
        <w:t>gadā. Šajā sektorā būtiskākās SEG emisijas rada lauksaimniecības zemju apst</w:t>
      </w:r>
      <w:r w:rsidR="00FF3E54" w:rsidRPr="00A46CC4">
        <w:t>rāde (61</w:t>
      </w:r>
      <w:r w:rsidR="00355E27">
        <w:t> </w:t>
      </w:r>
      <w:r w:rsidRPr="00A46CC4">
        <w:t>%) u</w:t>
      </w:r>
      <w:r w:rsidR="00FF3E54" w:rsidRPr="00A46CC4">
        <w:t>n lauksaimniecības dzīvnieki (39</w:t>
      </w:r>
      <w:r w:rsidR="00355E27">
        <w:t> </w:t>
      </w:r>
      <w:r w:rsidRPr="00A46CC4">
        <w:t>%). Kopš 1990.</w:t>
      </w:r>
      <w:r w:rsidR="00355E27">
        <w:t> </w:t>
      </w:r>
      <w:r w:rsidRPr="00A46CC4">
        <w:t>gada SEG emisiju apjoms lauksaimniecība</w:t>
      </w:r>
      <w:r w:rsidR="00EF42BC" w:rsidRPr="00A46CC4">
        <w:t>s sektorā ir samazinājies par 53</w:t>
      </w:r>
      <w:r w:rsidR="00355E27">
        <w:t> </w:t>
      </w:r>
      <w:r w:rsidRPr="00A46CC4">
        <w:t xml:space="preserve">%, galvenokārt tautsaimniecības pārstrukturēšanās, ražošanas apjoma samazināšanās lauku saimniecībās, kā arī lielsaimniecību sadalīšanās mazākās saimniecībās rezultātā. Emisiju daudzumu būtiski ietekmē lauksaimniecības dzīvnieku skaita svārstības un pielietotais slāpekļa minerālmēslu daudzums. Pēdējos gados ir vērojama lauksaimniecības sektora emisiju palielināšanās, galvenokārt no lauksaimniecības zemju apstrādes, palielinoties slāpekļa saturošu minerālmēslu izmantošanai. </w:t>
      </w:r>
    </w:p>
    <w:p w14:paraId="6BB17663" w14:textId="2CEDEB0E" w:rsidR="003D3CB6" w:rsidRPr="00A46CC4" w:rsidRDefault="00896CAF" w:rsidP="000F6FBD">
      <w:r>
        <w:t>Paš</w:t>
      </w:r>
      <w:r w:rsidR="00FF11E4" w:rsidRPr="00A46CC4">
        <w:t xml:space="preserve">reizējās prognozes liecina, </w:t>
      </w:r>
      <w:r w:rsidR="003D3CB6" w:rsidRPr="00A46CC4">
        <w:t>ka arī turpmāk lauksaimniecības sektora emisijas palielināsies lauksaimnieciskās</w:t>
      </w:r>
      <w:r w:rsidR="00636426" w:rsidRPr="00A46CC4">
        <w:t xml:space="preserve"> ražošanas intensifikācijas dēļ</w:t>
      </w:r>
      <w:r w:rsidR="00355E27">
        <w:t>, 2050.</w:t>
      </w:r>
      <w:r w:rsidR="00F04BBF">
        <w:t> </w:t>
      </w:r>
      <w:r w:rsidR="00B3254D" w:rsidRPr="00A46CC4">
        <w:t>gadā</w:t>
      </w:r>
      <w:r w:rsidR="00F04BBF">
        <w:t> – </w:t>
      </w:r>
      <w:r w:rsidR="00B3254D" w:rsidRPr="00A46CC4">
        <w:t>par 30</w:t>
      </w:r>
      <w:r w:rsidR="00F04BBF">
        <w:t> </w:t>
      </w:r>
      <w:r>
        <w:t xml:space="preserve">% salīdzinājumā ar </w:t>
      </w:r>
      <w:r w:rsidRPr="00A46CC4">
        <w:t>2016.</w:t>
      </w:r>
      <w:r w:rsidR="00F04BBF">
        <w:t> </w:t>
      </w:r>
      <w:r w:rsidRPr="00A46CC4">
        <w:t>gadu</w:t>
      </w:r>
      <w:r>
        <w:t>.</w:t>
      </w:r>
      <w:r w:rsidRPr="00A46CC4">
        <w:t xml:space="preserve"> </w:t>
      </w:r>
      <w:r w:rsidR="00636426" w:rsidRPr="00A46CC4">
        <w:t>Savukārt</w:t>
      </w:r>
      <w:r>
        <w:t>,</w:t>
      </w:r>
      <w:r w:rsidR="00636426" w:rsidRPr="00A46CC4">
        <w:t xml:space="preserve"> ja salīdzina pret 1990.</w:t>
      </w:r>
      <w:r w:rsidR="00F04BBF">
        <w:t> </w:t>
      </w:r>
      <w:r w:rsidR="00636426" w:rsidRPr="00A46CC4">
        <w:t xml:space="preserve">gadu, tad </w:t>
      </w:r>
      <w:r w:rsidR="00B3254D" w:rsidRPr="00A46CC4">
        <w:t>emisijas samazinātos par 38</w:t>
      </w:r>
      <w:r w:rsidR="00F04BBF">
        <w:t> </w:t>
      </w:r>
      <w:r w:rsidR="00636426" w:rsidRPr="00A46CC4">
        <w:t>%.</w:t>
      </w:r>
    </w:p>
    <w:p w14:paraId="1217A350" w14:textId="77777777" w:rsidR="00950B81" w:rsidRPr="00A46CC4" w:rsidRDefault="00950B81" w:rsidP="00977BCE"/>
    <w:p w14:paraId="2FE0E48B" w14:textId="70365173" w:rsidR="003D3CB6" w:rsidRPr="00A46CC4" w:rsidRDefault="003D3CB6" w:rsidP="00DB0920">
      <w:r w:rsidRPr="00A46CC4">
        <w:rPr>
          <w:i/>
        </w:rPr>
        <w:t>Atkritumu apsaimniekošanas</w:t>
      </w:r>
      <w:r w:rsidRPr="00A46CC4">
        <w:t xml:space="preserve"> sektors</w:t>
      </w:r>
      <w:r w:rsidRPr="00A46CC4">
        <w:rPr>
          <w:vertAlign w:val="superscript"/>
        </w:rPr>
        <w:footnoteReference w:id="27"/>
      </w:r>
      <w:r w:rsidRPr="00A46CC4">
        <w:t xml:space="preserve"> ra</w:t>
      </w:r>
      <w:r w:rsidR="00D5184C" w:rsidRPr="00A46CC4">
        <w:t>d</w:t>
      </w:r>
      <w:r w:rsidR="009C201E" w:rsidRPr="00A46CC4">
        <w:t xml:space="preserve">a </w:t>
      </w:r>
      <w:r w:rsidR="00A041D0" w:rsidRPr="00A46CC4">
        <w:t>apmēram 6</w:t>
      </w:r>
      <w:r w:rsidR="00F04BBF">
        <w:t> </w:t>
      </w:r>
      <w:r w:rsidR="00B3254D" w:rsidRPr="00A46CC4">
        <w:t>% no kopējām 2016</w:t>
      </w:r>
      <w:r w:rsidRPr="00A46CC4">
        <w:t>.</w:t>
      </w:r>
      <w:r w:rsidR="00F04BBF">
        <w:t> </w:t>
      </w:r>
      <w:r w:rsidRPr="00A46CC4">
        <w:t>gada emisijām. Lielākā daļa emisij</w:t>
      </w:r>
      <w:r w:rsidR="000F6FBD" w:rsidRPr="00A46CC4">
        <w:t>as</w:t>
      </w:r>
      <w:r w:rsidRPr="00A46CC4">
        <w:t xml:space="preserve"> rodas no atkri</w:t>
      </w:r>
      <w:r w:rsidR="00B3254D" w:rsidRPr="00A46CC4">
        <w:t>tumu noglabāšanas izgāztuvēs (53</w:t>
      </w:r>
      <w:r w:rsidR="00F04BBF">
        <w:t> </w:t>
      </w:r>
      <w:r w:rsidRPr="00A46CC4">
        <w:t xml:space="preserve">%) un </w:t>
      </w:r>
      <w:r w:rsidR="000F6FBD" w:rsidRPr="00A46CC4">
        <w:t xml:space="preserve">no </w:t>
      </w:r>
      <w:r w:rsidR="00B3254D" w:rsidRPr="00A46CC4">
        <w:t>notekūdeņiem (39</w:t>
      </w:r>
      <w:r w:rsidR="00F04BBF">
        <w:t> </w:t>
      </w:r>
      <w:r w:rsidRPr="00A46CC4">
        <w:t>%), atliku</w:t>
      </w:r>
      <w:r w:rsidR="000F6FBD" w:rsidRPr="00A46CC4">
        <w:t>sī</w:t>
      </w:r>
      <w:r w:rsidRPr="00A46CC4">
        <w:t xml:space="preserve"> daļa rodas no atkritumu ko</w:t>
      </w:r>
      <w:r w:rsidR="00FF3E54" w:rsidRPr="00A46CC4">
        <w:t>mpostēšan</w:t>
      </w:r>
      <w:r w:rsidR="00B3254D" w:rsidRPr="00A46CC4">
        <w:t>as un sadedzināšanas (8</w:t>
      </w:r>
      <w:r w:rsidR="00F04BBF">
        <w:t> </w:t>
      </w:r>
      <w:r w:rsidRPr="00A46CC4">
        <w:t xml:space="preserve">%). Salīdzinājumā </w:t>
      </w:r>
      <w:r w:rsidR="00F04BBF">
        <w:lastRenderedPageBreak/>
        <w:t>ar 1990. </w:t>
      </w:r>
      <w:r w:rsidRPr="00A46CC4">
        <w:t xml:space="preserve">gadu SEG </w:t>
      </w:r>
      <w:r w:rsidR="00B3254D" w:rsidRPr="00A46CC4">
        <w:t>emisijas ir pieaugušas par 4</w:t>
      </w:r>
      <w:r w:rsidR="00F04BBF">
        <w:t> </w:t>
      </w:r>
      <w:r w:rsidRPr="00A46CC4">
        <w:t xml:space="preserve">%. Sektorā ir vērojamas emisiju svārstības, kas izskaidrojamas ar ekonomiskās situācijas izmaiņām valstī. </w:t>
      </w:r>
    </w:p>
    <w:p w14:paraId="61AC6FFA" w14:textId="6B45D2A4" w:rsidR="003D3CB6" w:rsidRPr="00A46CC4" w:rsidRDefault="003D3CB6" w:rsidP="00DB0920">
      <w:r w:rsidRPr="00A46CC4">
        <w:t>Prognozes liecina, ka līdz 2050.</w:t>
      </w:r>
      <w:r w:rsidR="00F04BBF">
        <w:t> </w:t>
      </w:r>
      <w:r w:rsidRPr="00A46CC4">
        <w:t xml:space="preserve">gadam SEG emisijas no atkritumu apsaimniekošanas sektora </w:t>
      </w:r>
      <w:r w:rsidR="00B3254D" w:rsidRPr="00A46CC4">
        <w:t>sasniegs apmēram 9</w:t>
      </w:r>
      <w:r w:rsidR="00F04BBF">
        <w:t> </w:t>
      </w:r>
      <w:r w:rsidRPr="00A46CC4">
        <w:t>% samazinājumu</w:t>
      </w:r>
      <w:r w:rsidR="00E96BC1" w:rsidRPr="00A46CC4">
        <w:t>,</w:t>
      </w:r>
      <w:r w:rsidR="00B3254D" w:rsidRPr="00A46CC4">
        <w:t xml:space="preserve"> salīdzinot ar 1990. gadu un 12</w:t>
      </w:r>
      <w:r w:rsidR="00F04BBF">
        <w:t> </w:t>
      </w:r>
      <w:r w:rsidR="00575F2E" w:rsidRPr="00A46CC4">
        <w:t>% sa</w:t>
      </w:r>
      <w:r w:rsidR="00B3254D" w:rsidRPr="00A46CC4">
        <w:t>mazinājumu, ja salīdzina ar 2016</w:t>
      </w:r>
      <w:r w:rsidR="00575F2E" w:rsidRPr="00A46CC4">
        <w:t>.</w:t>
      </w:r>
      <w:r w:rsidR="00F04BBF">
        <w:t> </w:t>
      </w:r>
      <w:r w:rsidR="00575F2E" w:rsidRPr="00A46CC4">
        <w:t>gadu,</w:t>
      </w:r>
      <w:r w:rsidRPr="00A46CC4">
        <w:t xml:space="preserve"> galvenokārt pateicoties normatīvā regulējuma sakārtošanai.</w:t>
      </w:r>
    </w:p>
    <w:p w14:paraId="2B136ED9" w14:textId="77777777" w:rsidR="00E32352" w:rsidRPr="00A46CC4" w:rsidRDefault="00E32352" w:rsidP="00DB0920"/>
    <w:p w14:paraId="632B9854" w14:textId="46E23609" w:rsidR="00E32352" w:rsidRPr="00A46CC4" w:rsidRDefault="00E32352" w:rsidP="00DB0920">
      <w:pPr>
        <w:rPr>
          <w:i/>
        </w:rPr>
      </w:pPr>
      <w:r w:rsidRPr="00A46CC4">
        <w:rPr>
          <w:i/>
        </w:rPr>
        <w:t>Kopējās SEG prognozes pētījuma “Baltijas enerģētikas tehnoloģiju scenāriji” (turpmāk tekstā – BENTE)</w:t>
      </w:r>
      <w:r w:rsidR="00315669" w:rsidRPr="00A46CC4">
        <w:rPr>
          <w:rStyle w:val="FootnoteReference"/>
          <w:i/>
        </w:rPr>
        <w:footnoteReference w:id="28"/>
      </w:r>
      <w:r w:rsidRPr="00A46CC4">
        <w:rPr>
          <w:i/>
        </w:rPr>
        <w:t xml:space="preserve"> ietvaros</w:t>
      </w:r>
    </w:p>
    <w:p w14:paraId="3FC349C0" w14:textId="7EB2FC82" w:rsidR="00E32352" w:rsidRPr="00A46CC4" w:rsidRDefault="00E32352" w:rsidP="00DB0920">
      <w:r w:rsidRPr="00A46CC4">
        <w:t>Kopējās vēsturiskās un prognozētās SEG emisijas Eiropas Komisijai un BENTE projekta ietvaros atspoguļot</w:t>
      </w:r>
      <w:r w:rsidR="0027492A" w:rsidRPr="00A46CC4">
        <w:t>a</w:t>
      </w:r>
      <w:r w:rsidR="001B79A2">
        <w:t>s 9</w:t>
      </w:r>
      <w:r w:rsidR="00F04BBF">
        <w:t>. </w:t>
      </w:r>
      <w:r w:rsidRPr="00A46CC4">
        <w:t>attēlā.</w:t>
      </w:r>
    </w:p>
    <w:p w14:paraId="4C2B645F" w14:textId="584F0276" w:rsidR="00E32352" w:rsidRPr="00A46CC4" w:rsidRDefault="00315669" w:rsidP="00E32352">
      <w:pPr>
        <w:ind w:firstLine="0"/>
      </w:pPr>
      <w:r w:rsidRPr="00A46CC4">
        <w:rPr>
          <w:noProof/>
        </w:rPr>
        <w:drawing>
          <wp:inline distT="0" distB="0" distL="0" distR="0" wp14:anchorId="6A1E4E78" wp14:editId="486ADE62">
            <wp:extent cx="5939790" cy="3535045"/>
            <wp:effectExtent l="0" t="0" r="381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6321D2" w14:textId="1DBD0173" w:rsidR="0027492A" w:rsidRPr="00A46CC4" w:rsidRDefault="001B79A2" w:rsidP="0027492A">
      <w:pPr>
        <w:ind w:firstLine="0"/>
        <w:jc w:val="center"/>
      </w:pPr>
      <w:r>
        <w:t>9</w:t>
      </w:r>
      <w:r w:rsidR="00F04BBF">
        <w:t>. </w:t>
      </w:r>
      <w:r w:rsidR="0027492A" w:rsidRPr="00A46CC4">
        <w:t>attēls. Kopējās vēsturiskās un prognozētās SEG emisijas (kt CO</w:t>
      </w:r>
      <w:r w:rsidR="0027492A" w:rsidRPr="00A46CC4">
        <w:rPr>
          <w:vertAlign w:val="subscript"/>
        </w:rPr>
        <w:t xml:space="preserve">2 </w:t>
      </w:r>
      <w:r w:rsidR="0027492A" w:rsidRPr="00A46CC4">
        <w:t>ekv.)</w:t>
      </w:r>
      <w:r w:rsidR="0027492A" w:rsidRPr="00A46CC4">
        <w:rPr>
          <w:rStyle w:val="FootnoteReference"/>
        </w:rPr>
        <w:footnoteReference w:id="29"/>
      </w:r>
    </w:p>
    <w:p w14:paraId="5B32453C" w14:textId="77777777" w:rsidR="00E32352" w:rsidRPr="00A46CC4" w:rsidRDefault="00E32352" w:rsidP="00DB0920"/>
    <w:p w14:paraId="0183C10F" w14:textId="46D42E00" w:rsidR="00E32352" w:rsidRPr="00745909" w:rsidRDefault="0027492A" w:rsidP="00DB0920">
      <w:r w:rsidRPr="00745909">
        <w:t xml:space="preserve">BENTE </w:t>
      </w:r>
      <w:r w:rsidR="00E74936" w:rsidRPr="00745909">
        <w:t xml:space="preserve">pētījuma </w:t>
      </w:r>
      <w:r w:rsidRPr="00745909">
        <w:t>rezultāti liecina, ka kopējās SEG emisijas</w:t>
      </w:r>
      <w:r w:rsidR="009C5EA9" w:rsidRPr="00745909">
        <w:t xml:space="preserve"> salīdzinot</w:t>
      </w:r>
      <w:r w:rsidRPr="00745909">
        <w:t xml:space="preserve"> </w:t>
      </w:r>
      <w:r w:rsidR="00745909" w:rsidRPr="00745909">
        <w:t>ar</w:t>
      </w:r>
      <w:r w:rsidRPr="00745909">
        <w:t xml:space="preserve"> 1990. un 2005.</w:t>
      </w:r>
      <w:r w:rsidR="00F04BBF">
        <w:t> </w:t>
      </w:r>
      <w:r w:rsidRPr="00745909">
        <w:t xml:space="preserve">gadu </w:t>
      </w:r>
      <w:r w:rsidR="00745909" w:rsidRPr="00745909">
        <w:t xml:space="preserve">attiecīgi </w:t>
      </w:r>
      <w:r w:rsidRPr="00745909">
        <w:t>samazinās 2030.</w:t>
      </w:r>
      <w:r w:rsidR="00F04BBF">
        <w:t> </w:t>
      </w:r>
      <w:r w:rsidRPr="00745909">
        <w:t>g</w:t>
      </w:r>
      <w:r w:rsidR="00F04BBF">
        <w:t>adā</w:t>
      </w:r>
      <w:r w:rsidRPr="00745909">
        <w:t xml:space="preserve"> (-61</w:t>
      </w:r>
      <w:r w:rsidR="00F04BBF">
        <w:t> </w:t>
      </w:r>
      <w:r w:rsidRPr="00745909">
        <w:t>%; -9</w:t>
      </w:r>
      <w:r w:rsidR="00F04BBF">
        <w:t> </w:t>
      </w:r>
      <w:r w:rsidRPr="00745909">
        <w:t>%) un 2050.</w:t>
      </w:r>
      <w:r w:rsidR="00F04BBF">
        <w:t> </w:t>
      </w:r>
      <w:r w:rsidRPr="00745909">
        <w:t>g</w:t>
      </w:r>
      <w:r w:rsidR="00F04BBF">
        <w:t>adā</w:t>
      </w:r>
      <w:r w:rsidRPr="00745909">
        <w:t xml:space="preserve"> (</w:t>
      </w:r>
      <w:r w:rsidR="00D73E1E" w:rsidRPr="00745909">
        <w:t>-71</w:t>
      </w:r>
      <w:r w:rsidR="00F04BBF">
        <w:t> </w:t>
      </w:r>
      <w:r w:rsidR="00D73E1E" w:rsidRPr="00745909">
        <w:t>%, -33</w:t>
      </w:r>
      <w:r w:rsidR="00F04BBF">
        <w:t> </w:t>
      </w:r>
      <w:r w:rsidR="00D73E1E" w:rsidRPr="00745909">
        <w:t>%)</w:t>
      </w:r>
      <w:r w:rsidR="00745909" w:rsidRPr="00745909">
        <w:t xml:space="preserve"> scenārijā bez papildus pasākumiem (4</w:t>
      </w:r>
      <w:r w:rsidR="00A7487A">
        <w:rPr>
          <w:vertAlign w:val="superscript"/>
        </w:rPr>
        <w:t>o</w:t>
      </w:r>
      <w:r w:rsidR="00745909" w:rsidRPr="00745909">
        <w:t>C scenārijs)</w:t>
      </w:r>
      <w:r w:rsidRPr="00745909">
        <w:t>.</w:t>
      </w:r>
      <w:r w:rsidR="00D73E1E" w:rsidRPr="00745909">
        <w:t xml:space="preserve"> </w:t>
      </w:r>
      <w:r w:rsidRPr="00745909">
        <w:t xml:space="preserve"> </w:t>
      </w:r>
      <w:r w:rsidR="00D73E1E" w:rsidRPr="00745909">
        <w:t>Saskaņā ar pētījuma secinājumiem Latvijai būs nepieciešami papildu p</w:t>
      </w:r>
      <w:r w:rsidR="00F04BBF">
        <w:t>asākumi, lai sasniegtu ES 2030. </w:t>
      </w:r>
      <w:r w:rsidR="00D73E1E" w:rsidRPr="00745909">
        <w:t xml:space="preserve">gada ne-ETS mērķi. </w:t>
      </w:r>
      <w:r w:rsidRPr="00745909">
        <w:t xml:space="preserve">BENTE </w:t>
      </w:r>
      <w:r w:rsidR="00E74936" w:rsidRPr="00745909">
        <w:t xml:space="preserve">pētījuma </w:t>
      </w:r>
      <w:r w:rsidRPr="00745909">
        <w:t>ietvaros tiek ieteikts</w:t>
      </w:r>
      <w:r w:rsidR="00E32352" w:rsidRPr="00745909">
        <w:t xml:space="preserve"> samazināt SEG emisijas transformācijas (elektroenerģijas un centralizētās siltumenerģijas ražošana) sektorā, pēc </w:t>
      </w:r>
      <w:r w:rsidRPr="00745909">
        <w:t xml:space="preserve">tam ēkās un transportā. </w:t>
      </w:r>
      <w:r w:rsidR="00E32352" w:rsidRPr="00745909">
        <w:t>Starp papildu</w:t>
      </w:r>
      <w:r w:rsidR="00896CAF" w:rsidRPr="00745909">
        <w:t>s</w:t>
      </w:r>
      <w:r w:rsidR="00E32352" w:rsidRPr="00745909">
        <w:t xml:space="preserve"> pasākumiem tiek minēti alternatīvās degvielas plašāka izmantošana transportā un emisiju samazināšanas pasākumi atkritumu apsaimniekošanas nozarē.</w:t>
      </w:r>
    </w:p>
    <w:p w14:paraId="40C25936" w14:textId="6AAA87A3" w:rsidR="00D73E1E" w:rsidRPr="00745909" w:rsidRDefault="00D73E1E" w:rsidP="00DB0920">
      <w:r w:rsidRPr="00745909">
        <w:t>2050.</w:t>
      </w:r>
      <w:r w:rsidR="00F04BBF">
        <w:t> </w:t>
      </w:r>
      <w:r w:rsidRPr="00745909">
        <w:t>gada kopējās SEG prognozes pēc pēdējiem noziņot</w:t>
      </w:r>
      <w:r w:rsidR="00E74936" w:rsidRPr="00745909">
        <w:t>aj</w:t>
      </w:r>
      <w:r w:rsidRPr="00745909">
        <w:t>iem datiem, ekspert</w:t>
      </w:r>
      <w:r w:rsidR="00C9659E" w:rsidRPr="00745909">
        <w:t>u</w:t>
      </w:r>
      <w:r w:rsidRPr="00745909">
        <w:t xml:space="preserve"> novērtējuma un BENTE pētījuma liecina, ka projekta ietvaros plānotie pasākumi tomēr sniedz lielāku ieguldījumu emisiju samazināšanā.</w:t>
      </w:r>
    </w:p>
    <w:p w14:paraId="2F50AE9A" w14:textId="6483B1C4" w:rsidR="003D3CB6" w:rsidRPr="00A46CC4" w:rsidRDefault="00FD633D" w:rsidP="00977BCE">
      <w:pPr>
        <w:pStyle w:val="Heading2"/>
        <w:ind w:left="357"/>
      </w:pPr>
      <w:bookmarkStart w:id="19" w:name="_Toc463358273"/>
      <w:bookmarkStart w:id="20" w:name="_Toc523217371"/>
      <w:r w:rsidRPr="00A46CC4">
        <w:rPr>
          <w:lang w:val="lv-LV"/>
        </w:rPr>
        <w:t>3</w:t>
      </w:r>
      <w:r w:rsidR="00F04BBF">
        <w:t>.2. </w:t>
      </w:r>
      <w:r w:rsidR="003D3CB6" w:rsidRPr="00A46CC4">
        <w:t>CO</w:t>
      </w:r>
      <w:r w:rsidR="003D3CB6" w:rsidRPr="00A46CC4">
        <w:rPr>
          <w:vertAlign w:val="subscript"/>
        </w:rPr>
        <w:t>2</w:t>
      </w:r>
      <w:r w:rsidR="003D3CB6" w:rsidRPr="00A46CC4">
        <w:t xml:space="preserve"> piesaistes struktūra un dinamika</w:t>
      </w:r>
      <w:bookmarkEnd w:id="19"/>
      <w:bookmarkEnd w:id="20"/>
    </w:p>
    <w:p w14:paraId="67B0C86F" w14:textId="77777777" w:rsidR="00124DF1" w:rsidRPr="00A46CC4" w:rsidRDefault="00124DF1" w:rsidP="00124DF1">
      <w:r w:rsidRPr="00A46CC4">
        <w:t xml:space="preserve">Atšķirībā no citiem sektoriem, ZIZIMM sektorā  rodas ne tikai SEG emisijas, bet fotosintēzes rezultātā veidojas CO2 arī piesaiste dzīvajā biomasā, kas laika gaitā transformējas oglekļa uzkrājumā augsnē, nedzīvajā koksnē un koksnes produktos. ZIZIMM sektors ietver sešas </w:t>
      </w:r>
      <w:r w:rsidRPr="00A46CC4">
        <w:lastRenderedPageBreak/>
        <w:t>zemes kategorijas: meža zeme, aramzeme, zālāji, apbūve, mitrāji un citas zemes. ZIZIMM sektorā uzskaita SEG emisijas un CO</w:t>
      </w:r>
      <w:r w:rsidRPr="00F04BBF">
        <w:rPr>
          <w:vertAlign w:val="subscript"/>
        </w:rPr>
        <w:t>2</w:t>
      </w:r>
      <w:r w:rsidRPr="00A46CC4">
        <w:t xml:space="preserve"> piesaisti, ko rada oglekļa uzkrājuma izmaiņas virszemes un pazemes biomasā, zemsegā un augsnē, nedzīvajā  koksnē un koksnes produktos, kā arī N</w:t>
      </w:r>
      <w:r w:rsidRPr="00F04BBF">
        <w:rPr>
          <w:vertAlign w:val="subscript"/>
        </w:rPr>
        <w:t>2</w:t>
      </w:r>
      <w:r w:rsidRPr="00A46CC4">
        <w:t>O un CH</w:t>
      </w:r>
      <w:r w:rsidRPr="00F04BBF">
        <w:rPr>
          <w:vertAlign w:val="subscript"/>
        </w:rPr>
        <w:t>4</w:t>
      </w:r>
      <w:r w:rsidRPr="00A46CC4">
        <w:t xml:space="preserve"> emisijas no augsnes un ugunsgrēkiem.</w:t>
      </w:r>
    </w:p>
    <w:p w14:paraId="04064968" w14:textId="77777777" w:rsidR="00124DF1" w:rsidRPr="00A46CC4" w:rsidRDefault="00124DF1" w:rsidP="00124DF1"/>
    <w:p w14:paraId="5138359A" w14:textId="278BA3E0" w:rsidR="00950B81" w:rsidRPr="00A46CC4" w:rsidRDefault="00124DF1" w:rsidP="00124DF1">
      <w:r w:rsidRPr="00A46CC4">
        <w:t>Kopējo SEG bilanci veido ZIZIMM sektora iepriekšminēto kategoriju summa. Laika periodā no 1990. līdz 2013.</w:t>
      </w:r>
      <w:r w:rsidR="00F04BBF">
        <w:t> </w:t>
      </w:r>
      <w:r w:rsidRPr="00A46CC4">
        <w:t>gadam kopējais SEG emisijas sektorā bija mazākas nekā CO</w:t>
      </w:r>
      <w:r w:rsidRPr="00C9659E">
        <w:rPr>
          <w:vertAlign w:val="subscript"/>
        </w:rPr>
        <w:t>2</w:t>
      </w:r>
      <w:r w:rsidRPr="00A46CC4">
        <w:t xml:space="preserve"> </w:t>
      </w:r>
      <w:r w:rsidR="00F04BBF">
        <w:t>piesaiste. Tomēr sākot no 2010. </w:t>
      </w:r>
      <w:r w:rsidRPr="00A46CC4">
        <w:t>gada, vērojams SEG emisiju pieaugums, kas saskaņā ar progn</w:t>
      </w:r>
      <w:r w:rsidR="00F04BBF">
        <w:t>ozēm turpināsies līdz pat 2050. </w:t>
      </w:r>
      <w:r w:rsidRPr="00A46CC4">
        <w:t>gadam. Lielākās SEG emisiju un CO</w:t>
      </w:r>
      <w:r w:rsidRPr="00C9659E">
        <w:rPr>
          <w:vertAlign w:val="subscript"/>
        </w:rPr>
        <w:t>2</w:t>
      </w:r>
      <w:r w:rsidRPr="00A46CC4">
        <w:t xml:space="preserve"> piesaistes izmaiņas ir kategorijā „Meža zemes”.</w:t>
      </w:r>
      <w:r w:rsidR="00950B81" w:rsidRPr="00A46CC4">
        <w:t xml:space="preserve"> </w:t>
      </w:r>
      <w:r w:rsidR="001B79A2">
        <w:t>10</w:t>
      </w:r>
      <w:r w:rsidR="00F04BBF">
        <w:t>. </w:t>
      </w:r>
      <w:r w:rsidR="00950B81" w:rsidRPr="00A46CC4">
        <w:t>attēlā.</w:t>
      </w:r>
    </w:p>
    <w:p w14:paraId="746D3380" w14:textId="08BD7F79" w:rsidR="003D3CB6" w:rsidRPr="00A46CC4" w:rsidRDefault="003D3CB6" w:rsidP="002C41F7">
      <w:pPr>
        <w:jc w:val="center"/>
      </w:pPr>
    </w:p>
    <w:p w14:paraId="26CBE682" w14:textId="0BDADF97" w:rsidR="00667792" w:rsidRPr="00A46CC4" w:rsidRDefault="001333D7" w:rsidP="001333D7">
      <w:pPr>
        <w:ind w:firstLine="0"/>
      </w:pPr>
      <w:r w:rsidRPr="00A46CC4">
        <w:rPr>
          <w:noProof/>
        </w:rPr>
        <w:drawing>
          <wp:inline distT="0" distB="0" distL="0" distR="0" wp14:anchorId="66C06C89" wp14:editId="647EBB9D">
            <wp:extent cx="5939790" cy="3159760"/>
            <wp:effectExtent l="0" t="0" r="381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60220D" w14:textId="77777777" w:rsidR="001333D7" w:rsidRPr="00A46CC4" w:rsidRDefault="001333D7" w:rsidP="001333D7">
      <w:pPr>
        <w:ind w:firstLine="0"/>
      </w:pPr>
    </w:p>
    <w:p w14:paraId="1C5DBE8C" w14:textId="0CE8B95E" w:rsidR="003D3CB6" w:rsidRPr="00A46CC4" w:rsidRDefault="001B79A2" w:rsidP="00950B81">
      <w:pPr>
        <w:pStyle w:val="Title"/>
      </w:pPr>
      <w:r>
        <w:t>10</w:t>
      </w:r>
      <w:r w:rsidR="003D3CB6" w:rsidRPr="00A46CC4">
        <w:t>.</w:t>
      </w:r>
      <w:r w:rsidR="00F04BBF">
        <w:t> </w:t>
      </w:r>
      <w:r w:rsidR="003D3CB6" w:rsidRPr="00A46CC4">
        <w:t>attēls. Latvijas ZIZIMM SEG emisijas un piesaiste (kt CO</w:t>
      </w:r>
      <w:r w:rsidR="003D3CB6" w:rsidRPr="00A46CC4">
        <w:rPr>
          <w:vertAlign w:val="subscript"/>
        </w:rPr>
        <w:t>2</w:t>
      </w:r>
      <w:r w:rsidR="003D3CB6" w:rsidRPr="00A46CC4">
        <w:t xml:space="preserve"> ekv.)</w:t>
      </w:r>
      <w:r w:rsidR="003D3CB6" w:rsidRPr="00A46CC4">
        <w:rPr>
          <w:vertAlign w:val="superscript"/>
        </w:rPr>
        <w:footnoteReference w:id="30"/>
      </w:r>
    </w:p>
    <w:p w14:paraId="48F49A05" w14:textId="70E27332" w:rsidR="00124DF1" w:rsidRPr="00A46CC4" w:rsidRDefault="00124DF1" w:rsidP="00124DF1">
      <w:r w:rsidRPr="00A46CC4">
        <w:t xml:space="preserve">Galvenais cēlonis SEG emisiju pieaugumam ZIZIMM sektorā ir mežizstrādes apjoma pieaugums. Tāpat nozīmīgi </w:t>
      </w:r>
      <w:r w:rsidR="00814852" w:rsidRPr="00A46CC4">
        <w:t>faktori</w:t>
      </w:r>
      <w:r w:rsidRPr="00A46CC4">
        <w:t xml:space="preserve"> ir  mežu novecošana, koksnes krājas pieauguma samazināšanās un atmirum</w:t>
      </w:r>
      <w:r w:rsidR="00F04BBF">
        <w:t>a pieaugums, kā arī atmežošana,</w:t>
      </w:r>
      <w:r w:rsidRPr="00A46CC4">
        <w:t xml:space="preserve"> būvējot jaunus infrastruktūras objektus. Mežaudžu vecumstruktūrā pēdējās desmitgadēs Latvijā visām galvenajām koku sugām, jo sevišķi lapkoku audzēs, ir palielinājies saimnieciskās izmantošanas vecumu sasniegušo un pāraugušo mežaudžu īpatsvars. Šādās mežaudzēs palēninās oglekļa uzkrāšanās dzīvajā biomasā un pieaug CO</w:t>
      </w:r>
      <w:r w:rsidRPr="00A46CC4">
        <w:rPr>
          <w:vertAlign w:val="subscript"/>
        </w:rPr>
        <w:t>2</w:t>
      </w:r>
      <w:r w:rsidRPr="00A46CC4">
        <w:t xml:space="preserve"> emisijas, mineralizējoties nedzīvajā koksnē uzkrātajam ogleklim, kā rezultātā SEG emisijas var pārsniegt oglekļa piesaisti kokaugu biomasā. Mežaudžu novecošana samazina arī Latvijas mežu pielāgošanās spēju klimata pārmaiņām.</w:t>
      </w:r>
    </w:p>
    <w:p w14:paraId="0316E820" w14:textId="43ABDAE5" w:rsidR="00124DF1" w:rsidRPr="00A46CC4" w:rsidRDefault="00124DF1" w:rsidP="00124DF1">
      <w:r w:rsidRPr="00A46CC4">
        <w:t xml:space="preserve">SEG emisijas no aramzemēm un zālājiem </w:t>
      </w:r>
      <w:r w:rsidR="00F04BBF">
        <w:t>kopš 1990. </w:t>
      </w:r>
      <w:r w:rsidRPr="00A46CC4">
        <w:t>gada samazinās. SEG emisiju samazinājums aramzemēs galvenokārt tiek saistīts ar organisko augšņu mineralizāciju un organisko augšņu transformāciju par zālājiem un apmežošanos.</w:t>
      </w:r>
    </w:p>
    <w:p w14:paraId="44859BF4" w14:textId="1605E62A" w:rsidR="00814852" w:rsidRPr="00A46CC4" w:rsidRDefault="00124DF1" w:rsidP="00F04BBF">
      <w:r w:rsidRPr="00A46CC4">
        <w:t>Lielākais SEG emisiju apjoms zālājos veidojas organiskajās augsnēs. Organiskajās augsnēs aramzemēs un zālājos būtiskas CO</w:t>
      </w:r>
      <w:r w:rsidRPr="00A46CC4">
        <w:rPr>
          <w:vertAlign w:val="subscript"/>
        </w:rPr>
        <w:t xml:space="preserve">2 </w:t>
      </w:r>
      <w:r w:rsidRPr="00A46CC4">
        <w:t>un N</w:t>
      </w:r>
      <w:r w:rsidRPr="00A46CC4">
        <w:rPr>
          <w:vertAlign w:val="subscript"/>
        </w:rPr>
        <w:t>2</w:t>
      </w:r>
      <w:r w:rsidRPr="00A46CC4">
        <w:t xml:space="preserve">O emisijas veidojas, neatkarīgi no apsaimniekošanas </w:t>
      </w:r>
      <w:r w:rsidRPr="00A46CC4">
        <w:lastRenderedPageBreak/>
        <w:t xml:space="preserve">paņēmiena, savukārt minerālaugsnēs, oglekļa uzkrājums pieaug vai samazinās zemes izmantošanas veida vai apsaimniekošanas </w:t>
      </w:r>
      <w:r w:rsidR="00814852" w:rsidRPr="00A46CC4">
        <w:t>paņēmiena</w:t>
      </w:r>
      <w:r w:rsidRPr="00A46CC4">
        <w:t> maiņas rezultātā.</w:t>
      </w:r>
    </w:p>
    <w:p w14:paraId="1D4CA6F6" w14:textId="2BD7D779" w:rsidR="00124DF1" w:rsidRPr="00A46CC4" w:rsidRDefault="00124DF1" w:rsidP="00F04BBF">
      <w:r w:rsidRPr="00A46CC4">
        <w:t>Mitrājos galvenais SEG emisiju avots ir kūdras ieguve lauksaimniecības vajadzībām. Neskatoties uz kopējā kūdras ieguves</w:t>
      </w:r>
      <w:r w:rsidR="00F04BBF">
        <w:t xml:space="preserve"> apjomu samazināšanos pēc 1990. </w:t>
      </w:r>
      <w:r w:rsidRPr="00A46CC4">
        <w:t xml:space="preserve">gada, kūdras ieguve lauksaimnieciskajai izmantošanai ir palielinājusies, kā rezultātā pieaugušas arī SEG emisijas no mitrājiem. </w:t>
      </w:r>
    </w:p>
    <w:p w14:paraId="0BA90AFA" w14:textId="3D8565EC" w:rsidR="00F520A2" w:rsidRPr="00A46CC4" w:rsidRDefault="00FD633D" w:rsidP="00977BCE">
      <w:pPr>
        <w:pStyle w:val="Heading2"/>
        <w:ind w:left="357"/>
        <w:rPr>
          <w:lang w:val="lv-LV"/>
        </w:rPr>
      </w:pPr>
      <w:bookmarkStart w:id="21" w:name="_Toc523217372"/>
      <w:r w:rsidRPr="00A46CC4">
        <w:rPr>
          <w:lang w:val="lv-LV"/>
        </w:rPr>
        <w:t>3</w:t>
      </w:r>
      <w:r w:rsidR="00F04BBF">
        <w:rPr>
          <w:lang w:val="lv-LV"/>
        </w:rPr>
        <w:t>.3. </w:t>
      </w:r>
      <w:r w:rsidR="00F520A2" w:rsidRPr="00A46CC4">
        <w:t>SEG emisiju atsaiste</w:t>
      </w:r>
      <w:r w:rsidR="00F520A2" w:rsidRPr="00A46CC4">
        <w:rPr>
          <w:lang w:val="lv-LV"/>
        </w:rPr>
        <w:t>s tendences</w:t>
      </w:r>
      <w:bookmarkEnd w:id="21"/>
    </w:p>
    <w:p w14:paraId="12894CD5" w14:textId="77777777" w:rsidR="00972016" w:rsidRPr="00A46CC4" w:rsidRDefault="00972016" w:rsidP="00972016">
      <w:r w:rsidRPr="00A46CC4">
        <w:t xml:space="preserve">SEG emisiju atsaiste no IKP nozīmē vienlaicīgu ekonomisko izaugsmi valstī un vienlaicīgu SEG emisiju samazināšanos. SEG emisiju atsaiste galvenokārt ir atkarīga no tā, cik lielā mērā enerģētikā, ražošanas procesos un transporta sektorā tiek izmantoti alternatīvie – atjaunojamie enerģijas avoti un tiek veikta fosilo kurināmo atkarības mazināšana, gan no tā, kā tiek īstenoti dažādi energoefektivitātes pasākumi, gan kā mainās arī sabiedrības domāšana u.c. </w:t>
      </w:r>
    </w:p>
    <w:p w14:paraId="3855480B" w14:textId="6059610F" w:rsidR="00972016" w:rsidRPr="00A46CC4" w:rsidRDefault="00972016" w:rsidP="00972016">
      <w:r w:rsidRPr="00A46CC4">
        <w:t>Lai arī ekonomiskā izaugsme Latvijā ir viena no straujākajām ES, pēdējos gados tā i</w:t>
      </w:r>
      <w:r w:rsidR="00F04BBF">
        <w:t>r piebremzējusies un svārstās 2 </w:t>
      </w:r>
      <w:r w:rsidRPr="00A46CC4">
        <w:t>–</w:t>
      </w:r>
      <w:r w:rsidR="00F04BBF">
        <w:t> </w:t>
      </w:r>
      <w:r w:rsidRPr="00A46CC4">
        <w:t>3</w:t>
      </w:r>
      <w:r w:rsidR="00F04BBF">
        <w:t> </w:t>
      </w:r>
      <w:r w:rsidRPr="00A46CC4">
        <w:t>% robežās, starp</w:t>
      </w:r>
      <w:r w:rsidR="00F04BBF">
        <w:t xml:space="preserve"> ES dalībvalstīm Latvijai 2016. </w:t>
      </w:r>
      <w:r w:rsidRPr="00A46CC4">
        <w:t>gadā ir vienas no mazākajām SEG emisijām uz vienu iedzīvotāju (5,7 t/CO</w:t>
      </w:r>
      <w:r w:rsidRPr="00A46CC4">
        <w:rPr>
          <w:vertAlign w:val="subscript"/>
        </w:rPr>
        <w:t>2 ekv</w:t>
      </w:r>
      <w:r w:rsidRPr="00A46CC4">
        <w:t xml:space="preserve">). </w:t>
      </w:r>
    </w:p>
    <w:p w14:paraId="3AB99E78" w14:textId="5FED70F6" w:rsidR="00972016" w:rsidRPr="00A46CC4" w:rsidRDefault="00972016" w:rsidP="00972016">
      <w:r w:rsidRPr="00A46CC4">
        <w:t>Latvijā ir salīdzinoši maz lielie piesārņojošie rūpnieciskās ražošanas uzņēmumi, savukārt enerģētikas sektorā do</w:t>
      </w:r>
      <w:r w:rsidR="00047366">
        <w:t>minē biomasas izmantošana (liela</w:t>
      </w:r>
      <w:r w:rsidRPr="00A46CC4">
        <w:t xml:space="preserve"> daļa tiek patērēta mājsaimniecībās), sastādot 49</w:t>
      </w:r>
      <w:r w:rsidR="00F04BBF">
        <w:t> </w:t>
      </w:r>
      <w:r w:rsidRPr="00A46CC4">
        <w:t>% no kopējā izmantotā kurināmā apjoma enerģētikas sektorā 2016. gadā. Pēdējos gados biomasas izmantošanas apjomi palielinās.</w:t>
      </w:r>
    </w:p>
    <w:p w14:paraId="7E013E94" w14:textId="233BB360" w:rsidR="00972016" w:rsidRPr="00A46CC4" w:rsidRDefault="00972016" w:rsidP="00972016">
      <w:pPr>
        <w:rPr>
          <w:rFonts w:eastAsia="Calibri"/>
          <w:szCs w:val="24"/>
          <w:lang w:eastAsia="en-US"/>
        </w:rPr>
      </w:pPr>
      <w:r w:rsidRPr="00A46CC4">
        <w:t>Pētot korelāciju</w:t>
      </w:r>
      <w:r w:rsidRPr="00A46CC4">
        <w:rPr>
          <w:vertAlign w:val="superscript"/>
        </w:rPr>
        <w:footnoteReference w:id="31"/>
      </w:r>
      <w:r w:rsidRPr="00A46CC4">
        <w:t xml:space="preserve"> starp Latvijas IKP (2010.</w:t>
      </w:r>
      <w:r w:rsidR="00F04BBF">
        <w:t> </w:t>
      </w:r>
      <w:r w:rsidRPr="00A46CC4">
        <w:t>gada salīdzināmajās cenās) un Latvijas SEG emisijām no 1995.</w:t>
      </w:r>
      <w:r w:rsidR="00F04BBF">
        <w:t> </w:t>
      </w:r>
      <w:r w:rsidRPr="00A46CC4">
        <w:t>gada līdz 2016.</w:t>
      </w:r>
      <w:r w:rsidR="00F04BBF">
        <w:t> </w:t>
      </w:r>
      <w:r w:rsidRPr="00A46CC4">
        <w:t xml:space="preserve">gadam, var teikt, ka sakarība starp šiem lielumiem </w:t>
      </w:r>
      <w:r w:rsidR="00047366">
        <w:t xml:space="preserve">ir </w:t>
      </w:r>
      <w:r w:rsidRPr="00A46CC4">
        <w:t>vāja (korelācija</w:t>
      </w:r>
      <w:r w:rsidR="00F04BBF">
        <w:t>s koeficients ir -</w:t>
      </w:r>
      <w:r w:rsidRPr="00A46CC4">
        <w:t xml:space="preserve">0,22). Šobrīd, kā redzams </w:t>
      </w:r>
      <w:r w:rsidR="00814852" w:rsidRPr="00A46CC4">
        <w:t>1</w:t>
      </w:r>
      <w:r w:rsidR="001B79A2">
        <w:t>1</w:t>
      </w:r>
      <w:r w:rsidRPr="00A46CC4">
        <w:t>.</w:t>
      </w:r>
      <w:r w:rsidR="00F04BBF">
        <w:t> </w:t>
      </w:r>
      <w:r w:rsidRPr="00A46CC4">
        <w:t>attēlā vērojama IKP un SEG emisiju rādītāju neatkarība, kur IKP izaugsme nenosaka SEG emisiju palielināšanos, t.i. jau šobrīd šie rādītāji nav cieši sasaistīti.</w:t>
      </w:r>
      <w:r w:rsidRPr="00A46CC4">
        <w:rPr>
          <w:rFonts w:eastAsia="Calibri"/>
          <w:szCs w:val="24"/>
          <w:lang w:eastAsia="en-US"/>
        </w:rPr>
        <w:t xml:space="preserve"> </w:t>
      </w:r>
    </w:p>
    <w:p w14:paraId="10CA9D91" w14:textId="77777777" w:rsidR="00972016" w:rsidRPr="00A46CC4" w:rsidRDefault="00972016" w:rsidP="00972016"/>
    <w:p w14:paraId="480B896F" w14:textId="77777777" w:rsidR="00972016" w:rsidRPr="00A46CC4" w:rsidRDefault="00972016" w:rsidP="00972016">
      <w:pPr>
        <w:ind w:firstLine="0"/>
        <w:jc w:val="center"/>
        <w:rPr>
          <w:szCs w:val="24"/>
        </w:rPr>
      </w:pPr>
      <w:r w:rsidRPr="00A46CC4">
        <w:rPr>
          <w:noProof/>
        </w:rPr>
        <w:drawing>
          <wp:inline distT="0" distB="0" distL="0" distR="0" wp14:anchorId="3FE51CFE" wp14:editId="53960747">
            <wp:extent cx="5553075" cy="30765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DA44548" w14:textId="77777777" w:rsidR="00972016" w:rsidRPr="00A46CC4" w:rsidRDefault="00972016" w:rsidP="00972016">
      <w:pPr>
        <w:spacing w:after="240"/>
        <w:ind w:left="1134" w:right="1132" w:firstLine="0"/>
        <w:contextualSpacing/>
        <w:jc w:val="center"/>
        <w:rPr>
          <w:color w:val="000000"/>
          <w:kern w:val="28"/>
          <w:szCs w:val="52"/>
        </w:rPr>
      </w:pPr>
    </w:p>
    <w:p w14:paraId="615E78E9" w14:textId="51A59251" w:rsidR="00972016" w:rsidRDefault="00814852" w:rsidP="00F04BBF">
      <w:pPr>
        <w:spacing w:after="240"/>
        <w:ind w:left="284" w:right="707" w:firstLine="0"/>
        <w:contextualSpacing/>
        <w:jc w:val="center"/>
        <w:rPr>
          <w:color w:val="000000"/>
          <w:kern w:val="28"/>
          <w:szCs w:val="52"/>
        </w:rPr>
      </w:pPr>
      <w:r w:rsidRPr="00A46CC4">
        <w:rPr>
          <w:color w:val="000000"/>
          <w:kern w:val="28"/>
          <w:szCs w:val="52"/>
        </w:rPr>
        <w:t>1</w:t>
      </w:r>
      <w:r w:rsidR="001B79A2">
        <w:rPr>
          <w:color w:val="000000"/>
          <w:kern w:val="28"/>
          <w:szCs w:val="52"/>
        </w:rPr>
        <w:t>1</w:t>
      </w:r>
      <w:r w:rsidR="00972016" w:rsidRPr="00A46CC4">
        <w:rPr>
          <w:color w:val="000000"/>
          <w:kern w:val="28"/>
          <w:szCs w:val="52"/>
        </w:rPr>
        <w:t>.</w:t>
      </w:r>
      <w:r w:rsidR="00F04BBF">
        <w:rPr>
          <w:color w:val="000000"/>
          <w:kern w:val="28"/>
          <w:szCs w:val="52"/>
        </w:rPr>
        <w:t> </w:t>
      </w:r>
      <w:r w:rsidR="00972016" w:rsidRPr="00A46CC4">
        <w:rPr>
          <w:color w:val="000000"/>
          <w:kern w:val="28"/>
          <w:szCs w:val="52"/>
        </w:rPr>
        <w:t xml:space="preserve">attēls. SEG un IKP attīstības tendences laika posmā </w:t>
      </w:r>
      <w:r w:rsidR="00F04BBF">
        <w:rPr>
          <w:color w:val="000000"/>
          <w:kern w:val="28"/>
          <w:szCs w:val="52"/>
        </w:rPr>
        <w:t>no 1995. līdz 2016. </w:t>
      </w:r>
      <w:r w:rsidR="00972016" w:rsidRPr="00A46CC4">
        <w:rPr>
          <w:color w:val="000000"/>
          <w:kern w:val="28"/>
          <w:szCs w:val="52"/>
        </w:rPr>
        <w:t>gadam</w:t>
      </w:r>
    </w:p>
    <w:p w14:paraId="5341C372" w14:textId="77777777" w:rsidR="00F04BBF" w:rsidRDefault="00F04BBF" w:rsidP="00972016">
      <w:pPr>
        <w:spacing w:after="240"/>
        <w:ind w:left="1134" w:right="1132" w:firstLine="0"/>
        <w:contextualSpacing/>
        <w:jc w:val="center"/>
        <w:rPr>
          <w:color w:val="000000"/>
          <w:kern w:val="28"/>
          <w:szCs w:val="52"/>
        </w:rPr>
      </w:pPr>
    </w:p>
    <w:p w14:paraId="61B21768" w14:textId="77777777" w:rsidR="00F04BBF" w:rsidRDefault="00F04BBF" w:rsidP="00972016">
      <w:pPr>
        <w:spacing w:after="240"/>
        <w:ind w:left="1134" w:right="1132" w:firstLine="0"/>
        <w:contextualSpacing/>
        <w:jc w:val="center"/>
        <w:rPr>
          <w:color w:val="000000"/>
          <w:kern w:val="28"/>
          <w:szCs w:val="52"/>
        </w:rPr>
      </w:pPr>
    </w:p>
    <w:p w14:paraId="0838CC33" w14:textId="77777777" w:rsidR="00F04BBF" w:rsidRPr="00A46CC4" w:rsidRDefault="00F04BBF" w:rsidP="00972016">
      <w:pPr>
        <w:spacing w:after="240"/>
        <w:ind w:left="1134" w:right="1132" w:firstLine="0"/>
        <w:contextualSpacing/>
        <w:jc w:val="center"/>
        <w:rPr>
          <w:color w:val="000000"/>
          <w:kern w:val="28"/>
          <w:szCs w:val="52"/>
        </w:rPr>
      </w:pPr>
    </w:p>
    <w:p w14:paraId="00516C73" w14:textId="0B6AB66C" w:rsidR="00972016" w:rsidRPr="00A46CC4" w:rsidRDefault="00F04BBF" w:rsidP="00972016">
      <w:pPr>
        <w:ind w:firstLine="0"/>
        <w:rPr>
          <w:rFonts w:eastAsia="Calibri"/>
          <w:szCs w:val="24"/>
          <w:lang w:eastAsia="en-US"/>
        </w:rPr>
      </w:pPr>
      <w:r>
        <w:rPr>
          <w:rFonts w:eastAsia="Calibri"/>
          <w:szCs w:val="24"/>
          <w:lang w:eastAsia="en-US"/>
        </w:rPr>
        <w:lastRenderedPageBreak/>
        <w:t>Ceļā uz 2050. </w:t>
      </w:r>
      <w:r w:rsidR="00972016" w:rsidRPr="00A46CC4">
        <w:rPr>
          <w:rFonts w:eastAsia="Calibri"/>
          <w:szCs w:val="24"/>
          <w:lang w:eastAsia="en-US"/>
        </w:rPr>
        <w:t>gadu p</w:t>
      </w:r>
      <w:r w:rsidR="001B79A2">
        <w:rPr>
          <w:rFonts w:eastAsia="Calibri"/>
          <w:szCs w:val="24"/>
          <w:lang w:eastAsia="en-US"/>
        </w:rPr>
        <w:t>astāv trīs scenāriju iespējas (</w:t>
      </w:r>
      <w:r w:rsidR="00814852" w:rsidRPr="00A46CC4">
        <w:rPr>
          <w:rFonts w:eastAsia="Calibri"/>
          <w:szCs w:val="24"/>
          <w:lang w:eastAsia="en-US"/>
        </w:rPr>
        <w:t>1</w:t>
      </w:r>
      <w:r w:rsidR="001B79A2">
        <w:rPr>
          <w:rFonts w:eastAsia="Calibri"/>
          <w:szCs w:val="24"/>
          <w:lang w:eastAsia="en-US"/>
        </w:rPr>
        <w:t>2</w:t>
      </w:r>
      <w:r>
        <w:rPr>
          <w:rFonts w:eastAsia="Calibri"/>
          <w:szCs w:val="24"/>
          <w:lang w:eastAsia="en-US"/>
        </w:rPr>
        <w:t>. </w:t>
      </w:r>
      <w:r w:rsidR="00972016" w:rsidRPr="00A46CC4">
        <w:rPr>
          <w:rFonts w:eastAsia="Calibri"/>
          <w:szCs w:val="24"/>
          <w:lang w:eastAsia="en-US"/>
        </w:rPr>
        <w:t>attēls):</w:t>
      </w:r>
    </w:p>
    <w:p w14:paraId="4EBA172C" w14:textId="77777777" w:rsidR="00972016" w:rsidRPr="00A46CC4" w:rsidRDefault="00972016" w:rsidP="00972016">
      <w:pPr>
        <w:numPr>
          <w:ilvl w:val="0"/>
          <w:numId w:val="7"/>
        </w:numPr>
        <w:ind w:left="567"/>
        <w:contextualSpacing/>
        <w:rPr>
          <w:rFonts w:eastAsia="Calibri"/>
          <w:szCs w:val="24"/>
          <w:lang w:eastAsia="en-US"/>
        </w:rPr>
      </w:pPr>
      <w:r w:rsidRPr="00A46CC4">
        <w:rPr>
          <w:rFonts w:eastAsia="Calibri"/>
          <w:szCs w:val="24"/>
          <w:lang w:eastAsia="en-US"/>
        </w:rPr>
        <w:t xml:space="preserve">Turpināt pēc vēsturiskā attīstības scenārija – nav ciešas sakarības starp ekonomisko attīstību un SEG emisiju apjomiem; </w:t>
      </w:r>
    </w:p>
    <w:p w14:paraId="5417D0F2" w14:textId="77777777" w:rsidR="00972016" w:rsidRPr="00A46CC4" w:rsidRDefault="00972016" w:rsidP="00972016">
      <w:pPr>
        <w:numPr>
          <w:ilvl w:val="0"/>
          <w:numId w:val="7"/>
        </w:numPr>
        <w:ind w:left="567"/>
        <w:contextualSpacing/>
        <w:rPr>
          <w:rFonts w:eastAsia="Calibri"/>
          <w:szCs w:val="24"/>
          <w:lang w:eastAsia="en-US"/>
        </w:rPr>
      </w:pPr>
      <w:r w:rsidRPr="00A46CC4">
        <w:rPr>
          <w:rFonts w:eastAsia="Calibri"/>
          <w:szCs w:val="24"/>
          <w:lang w:eastAsia="en-US"/>
        </w:rPr>
        <w:t xml:space="preserve">Veidot ciešu </w:t>
      </w:r>
      <w:r w:rsidRPr="00A46CC4">
        <w:rPr>
          <w:rFonts w:eastAsia="Calibri"/>
          <w:szCs w:val="24"/>
          <w:u w:val="single"/>
          <w:lang w:eastAsia="en-US"/>
        </w:rPr>
        <w:t>sasaisti</w:t>
      </w:r>
      <w:r w:rsidRPr="00A46CC4">
        <w:rPr>
          <w:rFonts w:eastAsia="Calibri"/>
          <w:szCs w:val="24"/>
          <w:lang w:eastAsia="en-US"/>
        </w:rPr>
        <w:t xml:space="preserve"> starp ekonomisko attīstību un emisiju apjomiem, kad pieaugot IKP, pieaug arī SEG emisijas; </w:t>
      </w:r>
    </w:p>
    <w:p w14:paraId="30B7B399" w14:textId="40A06BE3" w:rsidR="00972016" w:rsidRPr="00A46CC4" w:rsidRDefault="005F5B3D" w:rsidP="00972016">
      <w:pPr>
        <w:numPr>
          <w:ilvl w:val="0"/>
          <w:numId w:val="7"/>
        </w:numPr>
        <w:ind w:left="567"/>
        <w:contextualSpacing/>
        <w:rPr>
          <w:rFonts w:eastAsia="Calibri"/>
          <w:szCs w:val="24"/>
          <w:lang w:eastAsia="en-US"/>
        </w:rPr>
      </w:pPr>
      <w:r w:rsidRPr="00A46CC4">
        <w:rPr>
          <w:rFonts w:eastAsia="Calibri"/>
          <w:noProof/>
        </w:rPr>
        <w:drawing>
          <wp:anchor distT="0" distB="0" distL="114300" distR="114300" simplePos="0" relativeHeight="251670016" behindDoc="0" locked="0" layoutInCell="1" allowOverlap="1" wp14:anchorId="5CCF9B5B" wp14:editId="6070D5C7">
            <wp:simplePos x="0" y="0"/>
            <wp:positionH relativeFrom="margin">
              <wp:align>center</wp:align>
            </wp:positionH>
            <wp:positionV relativeFrom="paragraph">
              <wp:posOffset>476885</wp:posOffset>
            </wp:positionV>
            <wp:extent cx="5372100" cy="2914650"/>
            <wp:effectExtent l="114300" t="114300" r="152400" b="152400"/>
            <wp:wrapSquare wrapText="bothSides"/>
            <wp:docPr id="11" name="Picture 1" descr="C:\Users\gustsz\Documents\OMA\OMA4.3sasaist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sz\Documents\OMA\OMA4.3sasaistev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72100" cy="2914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72016" w:rsidRPr="00A46CC4">
        <w:rPr>
          <w:rFonts w:eastAsia="Calibri"/>
          <w:szCs w:val="24"/>
          <w:lang w:eastAsia="en-US"/>
        </w:rPr>
        <w:t xml:space="preserve">Veidot ekonomiskās attīstības atsaisti no SEG emisijām, kad pieaugot IKP, SEG emisijas samazinātos (šis scenārijs visvairāk atbilst OMA mērķim). </w:t>
      </w:r>
    </w:p>
    <w:p w14:paraId="32C6B9E2" w14:textId="46C95E41" w:rsidR="00972016" w:rsidRPr="00A46CC4" w:rsidRDefault="00814852" w:rsidP="00972016">
      <w:pPr>
        <w:spacing w:after="240"/>
        <w:ind w:firstLine="0"/>
        <w:contextualSpacing/>
        <w:jc w:val="center"/>
        <w:rPr>
          <w:rFonts w:eastAsia="Calibri"/>
          <w:color w:val="000000"/>
          <w:kern w:val="28"/>
          <w:szCs w:val="52"/>
          <w:lang w:eastAsia="en-US"/>
        </w:rPr>
      </w:pPr>
      <w:r w:rsidRPr="00A46CC4">
        <w:rPr>
          <w:rFonts w:eastAsia="Calibri"/>
          <w:color w:val="000000"/>
          <w:kern w:val="28"/>
          <w:szCs w:val="52"/>
          <w:lang w:eastAsia="en-US"/>
        </w:rPr>
        <w:t>1</w:t>
      </w:r>
      <w:r w:rsidR="001B79A2">
        <w:rPr>
          <w:rFonts w:eastAsia="Calibri"/>
          <w:color w:val="000000"/>
          <w:kern w:val="28"/>
          <w:szCs w:val="52"/>
          <w:lang w:eastAsia="en-US"/>
        </w:rPr>
        <w:t>2</w:t>
      </w:r>
      <w:r w:rsidR="00F04BBF">
        <w:rPr>
          <w:rFonts w:eastAsia="Calibri"/>
          <w:color w:val="000000"/>
          <w:kern w:val="28"/>
          <w:szCs w:val="52"/>
          <w:lang w:eastAsia="en-US"/>
        </w:rPr>
        <w:t>. </w:t>
      </w:r>
      <w:r w:rsidR="00972016" w:rsidRPr="00A46CC4">
        <w:rPr>
          <w:rFonts w:eastAsia="Calibri"/>
          <w:color w:val="000000"/>
          <w:kern w:val="28"/>
          <w:szCs w:val="52"/>
          <w:lang w:eastAsia="en-US"/>
        </w:rPr>
        <w:t xml:space="preserve">attēls. SEG emisiju un IKP attīstības scenāriji </w:t>
      </w:r>
    </w:p>
    <w:p w14:paraId="3631CB3D" w14:textId="77777777" w:rsidR="00F04BBF" w:rsidRDefault="00F04BBF" w:rsidP="00972016"/>
    <w:p w14:paraId="0CD5D830" w14:textId="04C24C1B" w:rsidR="00972016" w:rsidRPr="00A46CC4" w:rsidRDefault="00972016" w:rsidP="00972016">
      <w:r w:rsidRPr="00A46CC4">
        <w:t>Arī materiālo resursu izmantošana valsts tautsaimniecībā nav pietiekami efektīva. Par to liecina resursu produktivitātes rādītāji, kuri Latvijā ir vieni no sl</w:t>
      </w:r>
      <w:r w:rsidR="004A5C96">
        <w:t>iktākajem ES valstu vidū (2016. </w:t>
      </w:r>
      <w:r w:rsidRPr="00A46CC4">
        <w:t xml:space="preserve">gadā Latvijā ap 0,5 </w:t>
      </w:r>
      <w:r w:rsidR="00297AAC">
        <w:t>euro</w:t>
      </w:r>
      <w:r w:rsidRPr="00A46CC4">
        <w:t>/kg un ES vidējā</w:t>
      </w:r>
      <w:r w:rsidR="00047366">
        <w:t xml:space="preserve"> </w:t>
      </w:r>
      <w:r w:rsidRPr="00A46CC4">
        <w:t xml:space="preserve">-2,2 </w:t>
      </w:r>
      <w:r w:rsidR="00297AAC">
        <w:t>euro</w:t>
      </w:r>
      <w:r w:rsidRPr="00A46CC4">
        <w:t>/kg). Arī rādītājs, kas raksturo materiālu patēriņu uz vienu iedzīvotāju, ir 1,5 reizes virs ES vidējā. 2016.</w:t>
      </w:r>
      <w:r w:rsidR="004A5C96">
        <w:t> </w:t>
      </w:r>
      <w:r w:rsidRPr="00A46CC4">
        <w:t xml:space="preserve">gadā Latvijā tas bija ap 20,2 t/iedz., kamēr ES vidēji 13,3 t/iedz. </w:t>
      </w:r>
      <w:r w:rsidRPr="00A46CC4">
        <w:rPr>
          <w:bCs/>
        </w:rPr>
        <w:t>Latvijas tautsaimniecībā nav panākta atsaiste</w:t>
      </w:r>
      <w:r w:rsidRPr="00A46CC4">
        <w:rPr>
          <w:b/>
          <w:bCs/>
        </w:rPr>
        <w:t xml:space="preserve"> </w:t>
      </w:r>
      <w:r w:rsidRPr="00A46CC4">
        <w:t>starp iekšzemes kopproduktu (IKP) un resursu produktivitāti (1</w:t>
      </w:r>
      <w:r w:rsidR="001B79A2">
        <w:t>3</w:t>
      </w:r>
      <w:r w:rsidRPr="00A46CC4">
        <w:t>.</w:t>
      </w:r>
      <w:r w:rsidR="004A5C96">
        <w:t> </w:t>
      </w:r>
      <w:r w:rsidRPr="00A46CC4">
        <w:t>attēls).</w:t>
      </w:r>
    </w:p>
    <w:p w14:paraId="02D36F0D" w14:textId="77777777" w:rsidR="00972016" w:rsidRPr="00A46CC4" w:rsidRDefault="00972016" w:rsidP="00972016"/>
    <w:p w14:paraId="0457EF63" w14:textId="77777777" w:rsidR="00972016" w:rsidRPr="00A46CC4" w:rsidRDefault="00972016" w:rsidP="00972016">
      <w:r w:rsidRPr="00A46CC4">
        <w:rPr>
          <w:noProof/>
        </w:rPr>
        <w:drawing>
          <wp:inline distT="0" distB="0" distL="0" distR="0" wp14:anchorId="42434A05" wp14:editId="2A7B7450">
            <wp:extent cx="4981575" cy="2552700"/>
            <wp:effectExtent l="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883701" w14:textId="45EEE97E" w:rsidR="00972016" w:rsidRPr="00A46CC4" w:rsidRDefault="00972016" w:rsidP="00526856">
      <w:pPr>
        <w:ind w:firstLine="0"/>
        <w:jc w:val="center"/>
      </w:pPr>
      <w:r w:rsidRPr="00A46CC4">
        <w:t>1</w:t>
      </w:r>
      <w:r w:rsidR="001B79A2">
        <w:t>3</w:t>
      </w:r>
      <w:r w:rsidRPr="00A46CC4">
        <w:t>.</w:t>
      </w:r>
      <w:r w:rsidR="004A5C96">
        <w:t> </w:t>
      </w:r>
      <w:r w:rsidRPr="00A46CC4">
        <w:t>att</w:t>
      </w:r>
      <w:r w:rsidR="001B79A2">
        <w:t>ēls</w:t>
      </w:r>
      <w:r w:rsidRPr="00A46CC4">
        <w:t>. Iekšzemes resursu produktivitāte un IKP Latvijā 1995</w:t>
      </w:r>
      <w:r w:rsidR="004A5C96">
        <w:t>.</w:t>
      </w:r>
      <w:r w:rsidRPr="00A46CC4">
        <w:t>-2016</w:t>
      </w:r>
      <w:r w:rsidR="004A5C96">
        <w:t>. </w:t>
      </w:r>
      <w:r w:rsidRPr="00A46CC4">
        <w:t>gadā</w:t>
      </w:r>
      <w:r w:rsidRPr="00A46CC4">
        <w:rPr>
          <w:vertAlign w:val="superscript"/>
        </w:rPr>
        <w:footnoteReference w:id="32"/>
      </w:r>
    </w:p>
    <w:p w14:paraId="7F287829" w14:textId="335B4386" w:rsidR="00F25B32" w:rsidRPr="00A46CC4" w:rsidRDefault="00342131" w:rsidP="00D533C2">
      <w:pPr>
        <w:pStyle w:val="Heading1"/>
      </w:pPr>
      <w:bookmarkStart w:id="22" w:name="_Toc523217373"/>
      <w:r w:rsidRPr="00A46CC4">
        <w:rPr>
          <w:lang w:val="lv-LV"/>
        </w:rPr>
        <w:lastRenderedPageBreak/>
        <w:t xml:space="preserve">Latvijas </w:t>
      </w:r>
      <w:r w:rsidRPr="00A46CC4">
        <w:t>siltumnīcefekta</w:t>
      </w:r>
      <w:r w:rsidRPr="00A46CC4">
        <w:rPr>
          <w:lang w:val="lv-LV"/>
        </w:rPr>
        <w:t xml:space="preserve"> gāzu emisiju būtiskākie ietekmējošie faktori</w:t>
      </w:r>
      <w:bookmarkEnd w:id="22"/>
    </w:p>
    <w:p w14:paraId="4E96AC2A" w14:textId="233517B0" w:rsidR="00BA0A83" w:rsidRPr="00A46CC4" w:rsidRDefault="00BA0A83" w:rsidP="00A74C79">
      <w:bookmarkStart w:id="23" w:name="_Toc390958631"/>
      <w:r w:rsidRPr="00A46CC4">
        <w:t>Latvijas tautsaimniecībā svarīgākie izmantotie resursi ir energoresursi</w:t>
      </w:r>
      <w:r w:rsidR="00D533C2" w:rsidRPr="00A46CC4">
        <w:t>:</w:t>
      </w:r>
      <w:r w:rsidRPr="00A46CC4">
        <w:t xml:space="preserve"> primārie energoresurs</w:t>
      </w:r>
      <w:r w:rsidR="00D533C2" w:rsidRPr="00A46CC4">
        <w:t>i</w:t>
      </w:r>
      <w:r w:rsidR="004A5C96">
        <w:t> </w:t>
      </w:r>
      <w:r w:rsidR="00D533C2" w:rsidRPr="00A46CC4">
        <w:t>–</w:t>
      </w:r>
      <w:r w:rsidR="004A5C96">
        <w:t> </w:t>
      </w:r>
      <w:r w:rsidRPr="00A46CC4">
        <w:t xml:space="preserve">fosilie un </w:t>
      </w:r>
      <w:r w:rsidR="00D533C2" w:rsidRPr="00A46CC4">
        <w:t>AER</w:t>
      </w:r>
      <w:r w:rsidRPr="00A46CC4">
        <w:t xml:space="preserve"> (kurināmais un degviela)</w:t>
      </w:r>
      <w:r w:rsidR="004A5C96">
        <w:t xml:space="preserve"> un</w:t>
      </w:r>
      <w:r w:rsidRPr="00A46CC4">
        <w:t xml:space="preserve"> sekundārie energoresursi</w:t>
      </w:r>
      <w:r w:rsidR="004A5C96">
        <w:t> </w:t>
      </w:r>
      <w:r w:rsidRPr="00A46CC4">
        <w:t>–</w:t>
      </w:r>
      <w:r w:rsidR="004A5C96">
        <w:t> </w:t>
      </w:r>
      <w:r w:rsidRPr="00A46CC4">
        <w:t xml:space="preserve">siltumenerģija un elektroenerģija. </w:t>
      </w:r>
      <w:r w:rsidR="0026090D" w:rsidRPr="00A46CC4">
        <w:t>E</w:t>
      </w:r>
      <w:r w:rsidRPr="00A46CC4">
        <w:t>nergoresursu izmantošana un to ieguve ir ne tikai nozīmīgs SEG emisiju avots, bet arī ietekmē Latvijas CO</w:t>
      </w:r>
      <w:r w:rsidRPr="00A46CC4">
        <w:rPr>
          <w:vertAlign w:val="subscript"/>
        </w:rPr>
        <w:t>2</w:t>
      </w:r>
      <w:r w:rsidRPr="00A46CC4">
        <w:t xml:space="preserve"> piesaistes apjomus (koksnes resursu un kūdras resursu ieguve).</w:t>
      </w:r>
    </w:p>
    <w:p w14:paraId="0557970F" w14:textId="44B0CB58" w:rsidR="00BA0A83" w:rsidRPr="00A46CC4" w:rsidRDefault="00BA0A83" w:rsidP="00A74C79">
      <w:r w:rsidRPr="00A46CC4">
        <w:t>Latvijā rūpnieciskajā ražošanā īpaši svarīgi ir rūpniecisko izejvielu</w:t>
      </w:r>
      <w:r w:rsidR="00F079A7" w:rsidRPr="00A46CC4">
        <w:t xml:space="preserve"> (zemes dzīļu un dabas resursi, kā arī otrreizējās pārstrādes resursi) pieejamībai</w:t>
      </w:r>
      <w:r w:rsidRPr="00A46CC4">
        <w:t>. Kopš 2009.</w:t>
      </w:r>
      <w:r w:rsidR="004A5C96">
        <w:t> </w:t>
      </w:r>
      <w:r w:rsidRPr="00A46CC4">
        <w:t>gada otrās puses ražošanas apjomi apstrādes rūpniecībā ir auguši. Atjaunojoties ekonomikas izaugsmei, apstrādes rūpniecības pieauguma tempi ir straujāki nekā kopējā tautsaimniecības izaugsme</w:t>
      </w:r>
      <w:r w:rsidR="0026090D" w:rsidRPr="00A46CC4">
        <w:t xml:space="preserve"> un pašreiz tas ir </w:t>
      </w:r>
      <w:r w:rsidRPr="00A46CC4">
        <w:t xml:space="preserve">galvenais tautsaimniecības izaugsmes virzītājs. </w:t>
      </w:r>
    </w:p>
    <w:p w14:paraId="0C4ADF16" w14:textId="77777777" w:rsidR="00BA0A83" w:rsidRPr="00A46CC4" w:rsidRDefault="0026090D" w:rsidP="00A74C79">
      <w:r w:rsidRPr="00A46CC4">
        <w:t>M</w:t>
      </w:r>
      <w:r w:rsidR="00BA0A83" w:rsidRPr="00A46CC4">
        <w:t xml:space="preserve">ājsaimniecības patēriņa paradumi </w:t>
      </w:r>
      <w:r w:rsidRPr="00A46CC4">
        <w:t xml:space="preserve">lielā mērā </w:t>
      </w:r>
      <w:r w:rsidR="00BA0A83" w:rsidRPr="00A46CC4">
        <w:t xml:space="preserve">veicina SEG emisiju palielināšanos, jo labklājības uzlabošanās situācijā cilvēki vēlas dzīvot labākos apstākļos </w:t>
      </w:r>
      <w:r w:rsidRPr="00A46CC4">
        <w:t>ar augstāku komforta līmeni</w:t>
      </w:r>
      <w:r w:rsidR="00BA0A83" w:rsidRPr="00A46CC4">
        <w:t xml:space="preserve">. Tas palielina izmantoto sekundāro energoresursu apjomu, un īpaši izmantotās elektroenerģijas apjomu, kas savukārt palielina primāro energoresursu patēriņu. Iedzīvotāju labklājības līmeņa uzlabošanās palielina fluorēto gāzu apjomu, </w:t>
      </w:r>
      <w:r w:rsidR="00A74C79" w:rsidRPr="00A46CC4">
        <w:t>kas tiek izmantots,</w:t>
      </w:r>
      <w:r w:rsidR="00BA0A83" w:rsidRPr="00A46CC4">
        <w:t xml:space="preserve"> </w:t>
      </w:r>
      <w:r w:rsidR="00FD633D" w:rsidRPr="00A46CC4">
        <w:t xml:space="preserve">kā aukstumaģents </w:t>
      </w:r>
      <w:r w:rsidR="00BA0A83" w:rsidRPr="00A46CC4">
        <w:t>saldēšanas un gaisa kondicionē</w:t>
      </w:r>
      <w:r w:rsidR="000F57CB" w:rsidRPr="00A46CC4">
        <w:t>šanas iekārtās</w:t>
      </w:r>
      <w:r w:rsidR="00BA0A83" w:rsidRPr="00A46CC4">
        <w:t>, kā arī palielina radīto atkritumu apjomu.</w:t>
      </w:r>
    </w:p>
    <w:p w14:paraId="2F5D1128" w14:textId="77777777" w:rsidR="00BA0A83" w:rsidRPr="004A5C96" w:rsidRDefault="00FD633D">
      <w:pPr>
        <w:pStyle w:val="Heading2"/>
      </w:pPr>
      <w:bookmarkStart w:id="24" w:name="_Toc523217374"/>
      <w:r w:rsidRPr="004A5C96">
        <w:rPr>
          <w:lang w:val="lv-LV"/>
        </w:rPr>
        <w:t>4</w:t>
      </w:r>
      <w:r w:rsidR="00BA0A83" w:rsidRPr="004A5C96">
        <w:t>.1. Energoresursu patēriņš</w:t>
      </w:r>
      <w:bookmarkEnd w:id="24"/>
    </w:p>
    <w:p w14:paraId="7DEFF6EC" w14:textId="77777777" w:rsidR="00436909" w:rsidRPr="004A5C96" w:rsidRDefault="00436909" w:rsidP="004A5C96">
      <w:pPr>
        <w:pStyle w:val="ListParagraph"/>
        <w:numPr>
          <w:ilvl w:val="0"/>
          <w:numId w:val="32"/>
        </w:numPr>
        <w:ind w:left="851"/>
        <w:rPr>
          <w:b/>
        </w:rPr>
      </w:pPr>
      <w:r w:rsidRPr="004A5C96">
        <w:rPr>
          <w:b/>
        </w:rPr>
        <w:t>Primārie energoresursi</w:t>
      </w:r>
    </w:p>
    <w:p w14:paraId="79E0C73F" w14:textId="77777777" w:rsidR="00436909" w:rsidRPr="004A5C96" w:rsidRDefault="00436909" w:rsidP="004A5C96">
      <w:pPr>
        <w:spacing w:before="120" w:after="120"/>
      </w:pPr>
      <w:r w:rsidRPr="004A5C96">
        <w:t xml:space="preserve">Latvijas primāro energoresursu patēriņu nodrošina vietējie (kūdra), atjaunojamie (koksne, salmi, hidroresursi, vējš, saule, biomasa, biodegviela) un importētie energoresursi (naftas produkti, dabasgāze, akmeņogles, elektroenerģija, AER u.c.). </w:t>
      </w:r>
    </w:p>
    <w:p w14:paraId="3F48C47B" w14:textId="30334046" w:rsidR="00436909" w:rsidRPr="004A5C96" w:rsidRDefault="00436909" w:rsidP="004A5C96">
      <w:pPr>
        <w:ind w:left="567" w:firstLine="0"/>
      </w:pPr>
    </w:p>
    <w:p w14:paraId="65A6819E" w14:textId="77777777" w:rsidR="00436909" w:rsidRPr="004A5C96" w:rsidRDefault="00436909" w:rsidP="004A5C96">
      <w:pPr>
        <w:ind w:left="567" w:firstLine="0"/>
      </w:pPr>
      <w:r w:rsidRPr="004A5C96">
        <w:rPr>
          <w:noProof/>
        </w:rPr>
        <w:drawing>
          <wp:inline distT="0" distB="0" distL="0" distR="0" wp14:anchorId="6DDA330C" wp14:editId="66E540AD">
            <wp:extent cx="5318150" cy="3372307"/>
            <wp:effectExtent l="0" t="0" r="1587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C7698F" w14:textId="29408083" w:rsidR="00436909" w:rsidRPr="004A5C96" w:rsidRDefault="00436909" w:rsidP="004A5C96">
      <w:pPr>
        <w:ind w:left="142" w:firstLine="425"/>
      </w:pPr>
      <w:r w:rsidRPr="004A5C96">
        <w:t>1</w:t>
      </w:r>
      <w:r w:rsidR="001B79A2" w:rsidRPr="004A5C96">
        <w:t>4</w:t>
      </w:r>
      <w:r w:rsidRPr="004A5C96">
        <w:t>.</w:t>
      </w:r>
      <w:r w:rsidR="004A5C96" w:rsidRPr="004A5C96">
        <w:t> </w:t>
      </w:r>
      <w:r w:rsidRPr="004A5C96">
        <w:t>attēls Primāro energoresursu kopējā patēriņa struktūra Latvijā laika posmā no 1990. līdz 2016.</w:t>
      </w:r>
      <w:r w:rsidR="004A5C96" w:rsidRPr="004A5C96">
        <w:t> </w:t>
      </w:r>
      <w:r w:rsidRPr="004A5C96">
        <w:t>gadam</w:t>
      </w:r>
    </w:p>
    <w:p w14:paraId="15D890AF" w14:textId="77777777" w:rsidR="004A5C96" w:rsidRDefault="004A5C96" w:rsidP="004A5C96">
      <w:pPr>
        <w:ind w:left="142" w:firstLine="425"/>
      </w:pPr>
    </w:p>
    <w:p w14:paraId="602960A6" w14:textId="77777777" w:rsidR="00436909" w:rsidRPr="00AF4A60" w:rsidRDefault="00436909" w:rsidP="004A5C96">
      <w:pPr>
        <w:ind w:left="142" w:firstLine="425"/>
        <w:rPr>
          <w:u w:val="single"/>
        </w:rPr>
      </w:pPr>
      <w:r w:rsidRPr="00AF4A60">
        <w:rPr>
          <w:u w:val="single"/>
        </w:rPr>
        <w:t>Fosilie energoresursi</w:t>
      </w:r>
    </w:p>
    <w:p w14:paraId="2E6DA802" w14:textId="418C268D" w:rsidR="00436909" w:rsidRPr="004A5C96" w:rsidRDefault="00AF4A60" w:rsidP="004A5C96">
      <w:pPr>
        <w:ind w:left="142" w:firstLine="425"/>
      </w:pPr>
      <w:r>
        <w:lastRenderedPageBreak/>
        <w:t>1990. </w:t>
      </w:r>
      <w:r w:rsidR="00436909" w:rsidRPr="004A5C96">
        <w:t>gadā Latvijā primāro energoresursu kopējā patēriņā 86,3</w:t>
      </w:r>
      <w:r>
        <w:t> </w:t>
      </w:r>
      <w:r w:rsidR="00436909" w:rsidRPr="004A5C96">
        <w:t>% bija fosilas izcelsmes kurināmais un degviela, no tiem naftas produkti</w:t>
      </w:r>
      <w:r>
        <w:t> </w:t>
      </w:r>
      <w:r w:rsidR="00436909" w:rsidRPr="004A5C96">
        <w:t>/</w:t>
      </w:r>
      <w:r>
        <w:t> </w:t>
      </w:r>
      <w:r w:rsidR="00436909" w:rsidRPr="004A5C96">
        <w:t>degakmens eļļa bija 45,9</w:t>
      </w:r>
      <w:r>
        <w:t> </w:t>
      </w:r>
      <w:r w:rsidR="00436909" w:rsidRPr="004A5C96">
        <w:t>%, dabasgāze</w:t>
      </w:r>
      <w:r>
        <w:t> </w:t>
      </w:r>
      <w:r w:rsidR="00436909" w:rsidRPr="004A5C96">
        <w:t>–</w:t>
      </w:r>
      <w:r>
        <w:t> </w:t>
      </w:r>
      <w:r w:rsidR="00436909" w:rsidRPr="004A5C96">
        <w:t>31,1</w:t>
      </w:r>
      <w:r>
        <w:t> </w:t>
      </w:r>
      <w:r w:rsidR="00436909" w:rsidRPr="004A5C96">
        <w:t>%, bet ogles/kokss (t.sk. kūdra)</w:t>
      </w:r>
      <w:r>
        <w:t> </w:t>
      </w:r>
      <w:r w:rsidR="00436909" w:rsidRPr="004A5C96">
        <w:t>–</w:t>
      </w:r>
      <w:r>
        <w:t> </w:t>
      </w:r>
      <w:r w:rsidR="00436909" w:rsidRPr="004A5C96">
        <w:t>9,3%. 2016</w:t>
      </w:r>
      <w:r>
        <w:t>. </w:t>
      </w:r>
      <w:r w:rsidR="00436909" w:rsidRPr="004A5C96">
        <w:t>gadā naftas produkti</w:t>
      </w:r>
      <w:r>
        <w:t> </w:t>
      </w:r>
      <w:r w:rsidR="00436909" w:rsidRPr="004A5C96">
        <w:t>/</w:t>
      </w:r>
      <w:r>
        <w:t> </w:t>
      </w:r>
      <w:r w:rsidR="00436909" w:rsidRPr="004A5C96">
        <w:t>degakmens eļļa un dabasgāzes patēriņa īpatsvars bija samazinājies attiecīgi līdz 33,9</w:t>
      </w:r>
      <w:r>
        <w:t> </w:t>
      </w:r>
      <w:r w:rsidR="00436909" w:rsidRPr="004A5C96">
        <w:t>% un 25,4</w:t>
      </w:r>
      <w:r>
        <w:t> %</w:t>
      </w:r>
      <w:r w:rsidR="00436909" w:rsidRPr="004A5C96">
        <w:t xml:space="preserve"> (1</w:t>
      </w:r>
      <w:r w:rsidR="001B79A2" w:rsidRPr="004A5C96">
        <w:t>4</w:t>
      </w:r>
      <w:r w:rsidR="00436909" w:rsidRPr="004A5C96">
        <w:t>.</w:t>
      </w:r>
      <w:r>
        <w:t> </w:t>
      </w:r>
      <w:r w:rsidR="00436909" w:rsidRPr="004A5C96">
        <w:t>attēls).</w:t>
      </w:r>
    </w:p>
    <w:p w14:paraId="3FD31730" w14:textId="1FF023B5" w:rsidR="00436909" w:rsidRPr="004A5C96" w:rsidRDefault="00436909" w:rsidP="004A5C96">
      <w:pPr>
        <w:ind w:left="142" w:firstLine="425"/>
      </w:pPr>
      <w:r w:rsidRPr="004A5C96">
        <w:t>Naftas produktu</w:t>
      </w:r>
      <w:r w:rsidR="00AF4A60">
        <w:t> </w:t>
      </w:r>
      <w:r w:rsidRPr="004A5C96">
        <w:t>/</w:t>
      </w:r>
      <w:r w:rsidR="00AF4A60">
        <w:t> </w:t>
      </w:r>
      <w:r w:rsidRPr="004A5C96">
        <w:t>degakmens eļļa bilancē izteikti dominē dīzeļdegvielas patēriņš transporta nozarē – ceļu transportā (vieglajās automašīnās un kravas transportlīdzekļos) un dzelzceļā, kā arī bez-ceļu transportā. Benzīna un mazuta (degvieleļļas) patēriņš 2016.</w:t>
      </w:r>
      <w:r w:rsidR="00AF4A60">
        <w:t> </w:t>
      </w:r>
      <w:r w:rsidRPr="004A5C96">
        <w:t>gadā ir būtiski mazāks nekā dīzeļdegvielas patēriņš, kas izskaidrojams ar benzīna patēriņa samazināšanos ceļu transportā un mazuta (degvieleļļas) izmantošanas kritumu stacionārajās sadedzināšanas iekārtās.</w:t>
      </w:r>
    </w:p>
    <w:p w14:paraId="202D6AB3" w14:textId="77777777" w:rsidR="00436909" w:rsidRPr="004A5C96" w:rsidRDefault="00436909" w:rsidP="004A5C96">
      <w:pPr>
        <w:ind w:left="142" w:firstLine="425"/>
      </w:pPr>
      <w:r w:rsidRPr="004A5C96">
        <w:t xml:space="preserve">Dabasgāzes izmantošana vienmēr bija dominējošais kurināmā veids stacionārajās sadedzināšanas iekārtās (katlu mājas un koģenerācijas iekārtas), gan rūpnieciskās ražošanas iekārtās, gan pārējās mazās jaudas sadedzināšanas iekārtās. Dabasgāze joprojām ir primārais izmantojamais kurināmā veids lielas jaudas katlu mājās un koģenerācijas iekārtās. </w:t>
      </w:r>
    </w:p>
    <w:p w14:paraId="61B13958" w14:textId="77777777" w:rsidR="005D7FB4" w:rsidRDefault="005D7FB4" w:rsidP="004A5C96">
      <w:pPr>
        <w:ind w:left="142" w:firstLine="425"/>
      </w:pPr>
    </w:p>
    <w:p w14:paraId="09631BD7" w14:textId="77777777" w:rsidR="00436909" w:rsidRPr="00C3044A" w:rsidRDefault="00436909" w:rsidP="004A5C96">
      <w:pPr>
        <w:ind w:left="142" w:firstLine="425"/>
        <w:rPr>
          <w:u w:val="single"/>
        </w:rPr>
      </w:pPr>
      <w:r w:rsidRPr="00C3044A">
        <w:rPr>
          <w:u w:val="single"/>
        </w:rPr>
        <w:t>Atjaunojamie energoresursi</w:t>
      </w:r>
    </w:p>
    <w:p w14:paraId="3A2FAD2B" w14:textId="2E4DFB14" w:rsidR="00436909" w:rsidRPr="004A5C96" w:rsidRDefault="00436909" w:rsidP="004A5C96">
      <w:pPr>
        <w:ind w:left="142" w:firstLine="425"/>
      </w:pPr>
      <w:r w:rsidRPr="004A5C96">
        <w:t>Šobrīd viens no galvenajiem enerģētikas sektora OMA nodrošinātājiem ir biomasa un pārējie AER. Latvijā sadedzināšanas iekārtās izmantotais atjaunojamais primārais energoresurss ir tiešā vai pārstrādātā veidā izmantotais Latvijas dabas resurss</w:t>
      </w:r>
      <w:r w:rsidR="00C3044A">
        <w:t> </w:t>
      </w:r>
      <w:r w:rsidRPr="004A5C96">
        <w:t>–</w:t>
      </w:r>
      <w:r w:rsidR="00C3044A">
        <w:t> </w:t>
      </w:r>
      <w:r w:rsidRPr="004A5C96">
        <w:t>biomasa: malka, kurināmā šķelda, koksnes atlikumi, briketes un granulas, kā arī pārējie AER</w:t>
      </w:r>
      <w:r w:rsidR="00C3044A">
        <w:t> </w:t>
      </w:r>
      <w:r w:rsidRPr="004A5C96">
        <w:t>–</w:t>
      </w:r>
      <w:r w:rsidR="00C3044A">
        <w:t> </w:t>
      </w:r>
      <w:r w:rsidRPr="004A5C96">
        <w:t xml:space="preserve">bioetanols, biodīzeļdegviela un biometāns, ko iegūst no atkritumu izgāztuvēm, notekūdeņu attīrīšanas iekārtām un kūtsmēsliem. Biomasas patēriņā dominē kurināmās koksnes </w:t>
      </w:r>
      <w:r w:rsidR="00C3044A">
        <w:t>izmantošana </w:t>
      </w:r>
      <w:r w:rsidRPr="004A5C96">
        <w:t>–</w:t>
      </w:r>
      <w:r w:rsidR="00C3044A">
        <w:t> </w:t>
      </w:r>
      <w:r w:rsidRPr="004A5C96">
        <w:t xml:space="preserve">29,3%, biogāze un biodīzeļdegviela </w:t>
      </w:r>
      <w:r w:rsidR="00C3044A">
        <w:t>tiek izmantota nelielos apjomos </w:t>
      </w:r>
      <w:r w:rsidRPr="004A5C96">
        <w:t>–</w:t>
      </w:r>
      <w:r w:rsidR="00C3044A">
        <w:t> </w:t>
      </w:r>
      <w:r w:rsidRPr="004A5C96">
        <w:t>attiecīgi 2,3</w:t>
      </w:r>
      <w:r w:rsidR="00C3044A">
        <w:t> </w:t>
      </w:r>
      <w:r w:rsidRPr="004A5C96">
        <w:t>% no kopējā primāro energoresursu patēriņa 2016</w:t>
      </w:r>
      <w:r w:rsidR="00C3044A">
        <w:t>. </w:t>
      </w:r>
      <w:r w:rsidRPr="004A5C96">
        <w:t>gadā.</w:t>
      </w:r>
    </w:p>
    <w:p w14:paraId="52132EF3" w14:textId="411369CE" w:rsidR="00436909" w:rsidRPr="004A5C96" w:rsidRDefault="00436909" w:rsidP="004A5C96">
      <w:pPr>
        <w:ind w:left="142" w:firstLine="425"/>
      </w:pPr>
      <w:r w:rsidRPr="004A5C96">
        <w:t>Kopš Latvijas ies</w:t>
      </w:r>
      <w:r w:rsidR="00C3044A">
        <w:t>tāšanās ES 2004. </w:t>
      </w:r>
      <w:r w:rsidRPr="004A5C96">
        <w:t>gadā, nodrošinot atbalstu biomasas izmantošanai enerģijas ražošanā, īstenojot nosacījumus par enerģētisko drošību un neatkarību, kā arī pateicoties tādiem klimata pārmaiņu mazināšanas instrumentiem kā ES ETS vai Klimata pārmaiņu finanšu instruments (KPFI), ir būtiski palielinājies biomasas izmantošanas sadedzināšanas i</w:t>
      </w:r>
      <w:r w:rsidR="00E047CD">
        <w:t>ekārtās īpatsvars no 8,6% 1990. </w:t>
      </w:r>
      <w:r w:rsidRPr="004A5C96">
        <w:t>gadā līdz 29,3% 2016.</w:t>
      </w:r>
      <w:r w:rsidR="00E047CD">
        <w:t> </w:t>
      </w:r>
      <w:r w:rsidRPr="004A5C96">
        <w:t>gadā. Sākot ar 2012.</w:t>
      </w:r>
      <w:r w:rsidR="00E047CD">
        <w:t> </w:t>
      </w:r>
      <w:r w:rsidRPr="004A5C96">
        <w:t>gadu, biomasas izmantojuma īpatsvars kopējā patēriņā pārsniedz dabasgāzes izmantošanas īpatsvaru.</w:t>
      </w:r>
    </w:p>
    <w:p w14:paraId="44FD026F" w14:textId="7FB875F3" w:rsidR="00436909" w:rsidRPr="004A5C96" w:rsidRDefault="00436909" w:rsidP="004A5C96">
      <w:pPr>
        <w:ind w:left="142" w:firstLine="425"/>
        <w:rPr>
          <w:rFonts w:eastAsia="Calibri"/>
        </w:rPr>
      </w:pPr>
      <w:r w:rsidRPr="004A5C96">
        <w:t>Vēl viens Latvijā pieejamais energoresurss, kas tiek uzskatīts par daļēju biomasu</w:t>
      </w:r>
      <w:r w:rsidRPr="00297AAC">
        <w:rPr>
          <w:vertAlign w:val="superscript"/>
        </w:rPr>
        <w:footnoteReference w:id="33"/>
      </w:r>
      <w:r w:rsidRPr="004A5C96">
        <w:t>, ir atkritumi, kurus var dedzināt ar enerģijas ieguvi (atkritumu dedzināšana bez enerģijas ieguves Latvijā ir aizliegta) un lielākais atkritumu kā energoresursu izmantotājs Latvijā ir cementa ražošanas uzņēmums, kas atkritumus sāka dedzināt 2008.</w:t>
      </w:r>
      <w:r w:rsidR="00E047CD">
        <w:t> </w:t>
      </w:r>
      <w:r w:rsidRPr="004A5C96">
        <w:t>gadā, un līdz 2016</w:t>
      </w:r>
      <w:r w:rsidR="00E047CD">
        <w:t>. </w:t>
      </w:r>
      <w:r w:rsidRPr="004A5C96">
        <w:t>gadam vairāk nekā 10 reizes palielināja izmantojamo apjomu. No kopējā primāro energoresursu patēriņa 2016.</w:t>
      </w:r>
      <w:r w:rsidR="00E047CD">
        <w:t> </w:t>
      </w:r>
      <w:r w:rsidRPr="004A5C96">
        <w:t>gadā atkritumu izmantošana sastāda 0,8</w:t>
      </w:r>
      <w:r w:rsidR="00E047CD">
        <w:t> </w:t>
      </w:r>
      <w:r w:rsidRPr="004A5C96">
        <w:t xml:space="preserve">%. </w:t>
      </w:r>
    </w:p>
    <w:p w14:paraId="39533437" w14:textId="3F90C106" w:rsidR="00436909" w:rsidRPr="004A5C96" w:rsidRDefault="00436909" w:rsidP="004A5C96">
      <w:pPr>
        <w:ind w:left="142" w:firstLine="425"/>
      </w:pPr>
      <w:r w:rsidRPr="004A5C96">
        <w:t>Latvijas vidējo un mazo upju teorētiskie hidroenerģijas resursu ieguve ir 900 GWh elektroenerģijas gadā. Praktiski izmantojamie mazo upju hidroenerģijas resursi tiek lēsti robežās no 250–300 GWh elektroenerģijas gadā. Līdz šim apgūti tikai 70 GWh, kas ir 23</w:t>
      </w:r>
      <w:r w:rsidR="00E047CD">
        <w:t> % </w:t>
      </w:r>
      <w:r w:rsidRPr="004A5C96">
        <w:t>–</w:t>
      </w:r>
      <w:r w:rsidR="00E047CD">
        <w:t> </w:t>
      </w:r>
      <w:r w:rsidRPr="004A5C96">
        <w:t>28</w:t>
      </w:r>
      <w:r w:rsidR="00E047CD">
        <w:t> </w:t>
      </w:r>
      <w:r w:rsidRPr="004A5C96">
        <w:t>% no agrāko ūdensdzirnavu un bijušo mazo HES potenciālās jaudas. Elektroenerģijas izstrādes daudzums Latvijā ir atkarīgs no Daugavas caurteces. Daugavas kaskāde – Rīgas HES, Ķeguma HES un Pļaviņu HES nodrošina vidēji 40</w:t>
      </w:r>
      <w:r w:rsidR="00E047CD">
        <w:t> </w:t>
      </w:r>
      <w:r w:rsidRPr="004A5C96">
        <w:t>% no Latvijā patērētās elektroenerģijas. Vēja energoresursu sadalījums Latvijā ir izteikti nevienmērīgs. Latvijas teritorijas iekšienē labvēlīgi vēja enerģijai ir tikai tie rajoni, kur vējš veidojas paaugstinājuma rezultātā. Latvijā vislielākais vēja ātrums ir Baltijas jūras piekrastē un Rīgas jūras līča rietumu piekrastē, tās ziemeļu daļa. Latvijas teritorijas iekšienē vēja potenciāls ir līdz 1,5</w:t>
      </w:r>
      <w:r w:rsidR="00E047CD">
        <w:t> </w:t>
      </w:r>
      <w:r w:rsidRPr="004A5C96">
        <w:t>TWh (racionāli iegūstamā elektroenerģija gadā), savukārt vēja enerģijas potenciāls selgā varētu sasniegt 95</w:t>
      </w:r>
      <w:r w:rsidR="00E047CD">
        <w:t> </w:t>
      </w:r>
      <w:r w:rsidRPr="004A5C96">
        <w:t>MWh. 2015</w:t>
      </w:r>
      <w:r w:rsidR="00E047CD">
        <w:t>. </w:t>
      </w:r>
      <w:r w:rsidRPr="004A5C96">
        <w:t>gadā Latvijā kopējā uzstādītā elektriskā jauda vēja parkos bija 58,3</w:t>
      </w:r>
      <w:r w:rsidR="00E047CD">
        <w:t> </w:t>
      </w:r>
      <w:r w:rsidRPr="004A5C96">
        <w:t>MW. 2015</w:t>
      </w:r>
      <w:r w:rsidR="00E047CD">
        <w:t>. </w:t>
      </w:r>
      <w:r w:rsidRPr="004A5C96">
        <w:t xml:space="preserve">gadā no saules saražotā atjaunojamā enerģija ir mazāka par procentu Latvijas AER bilancē. </w:t>
      </w:r>
    </w:p>
    <w:p w14:paraId="1490C55B" w14:textId="73AB7B4F" w:rsidR="00D80DD6" w:rsidRPr="00E047CD" w:rsidRDefault="00EF4E2E" w:rsidP="00E047CD">
      <w:pPr>
        <w:ind w:left="142" w:firstLine="425"/>
      </w:pPr>
      <w:r w:rsidRPr="00E047CD">
        <w:lastRenderedPageBreak/>
        <w:t>BENTE pētījumā ir</w:t>
      </w:r>
      <w:r w:rsidR="00D80DD6" w:rsidRPr="00E047CD">
        <w:t xml:space="preserve"> modelētas un analizētas paredzamās pārmaiņas Baltijas valstu energosistēmās, lai Baltijas valstis sasniegtu savus klimata un enerģētikas mērķus 2030. gadā un kā nodrošināt globālās sasilšanas līmeni zem 2°C robežām. </w:t>
      </w:r>
      <w:r w:rsidRPr="00E047CD">
        <w:t xml:space="preserve">BENTE pētījumā </w:t>
      </w:r>
      <w:r w:rsidR="00D80DD6" w:rsidRPr="00E047CD">
        <w:t>aplūkoti un salīdzināti trīs scenāriji:</w:t>
      </w:r>
    </w:p>
    <w:p w14:paraId="10EFF566" w14:textId="384BF9D1" w:rsidR="00D80DD6" w:rsidRPr="00E047CD" w:rsidRDefault="00E047CD" w:rsidP="00E047CD">
      <w:pPr>
        <w:ind w:left="142" w:firstLine="425"/>
      </w:pPr>
      <w:r>
        <w:t>1) </w:t>
      </w:r>
      <w:r w:rsidR="0093351D">
        <w:t>2°C scenārijs </w:t>
      </w:r>
      <w:r w:rsidR="00D80DD6" w:rsidRPr="00E047CD">
        <w:t>–</w:t>
      </w:r>
      <w:r w:rsidR="0093351D">
        <w:t> </w:t>
      </w:r>
      <w:r w:rsidR="00D80DD6" w:rsidRPr="00E047CD">
        <w:t>globālā sasilšana ir ierobežota līdz 2°C robežai, SEG emisiju samazinājums ES</w:t>
      </w:r>
      <w:r w:rsidR="0093351D">
        <w:t> </w:t>
      </w:r>
      <w:r w:rsidR="00D80DD6" w:rsidRPr="00E047CD">
        <w:t>–</w:t>
      </w:r>
      <w:r w:rsidR="0093351D">
        <w:t> </w:t>
      </w:r>
      <w:r w:rsidR="00D80DD6" w:rsidRPr="00E047CD">
        <w:t>80% (2DS);</w:t>
      </w:r>
    </w:p>
    <w:p w14:paraId="60A60C84" w14:textId="1E1804CE" w:rsidR="00D80DD6" w:rsidRPr="00E047CD" w:rsidRDefault="00E047CD" w:rsidP="00E047CD">
      <w:pPr>
        <w:ind w:left="142" w:firstLine="425"/>
      </w:pPr>
      <w:r>
        <w:t>2) </w:t>
      </w:r>
      <w:r w:rsidR="00D80DD6" w:rsidRPr="00E047CD">
        <w:t>4°C scenārijs</w:t>
      </w:r>
      <w:r w:rsidR="0093351D">
        <w:t> </w:t>
      </w:r>
      <w:r w:rsidR="00D80DD6" w:rsidRPr="00E047CD">
        <w:t>–</w:t>
      </w:r>
      <w:r w:rsidR="0093351D">
        <w:t> </w:t>
      </w:r>
      <w:r w:rsidR="00D80DD6" w:rsidRPr="00E047CD">
        <w:t>globālā sasilšana ir ierobežota līdz 4°C robežai (</w:t>
      </w:r>
      <w:r w:rsidR="00267C47" w:rsidRPr="00E047CD">
        <w:t>4DS)</w:t>
      </w:r>
      <w:r w:rsidR="00D80DD6" w:rsidRPr="00E047CD">
        <w:t>;</w:t>
      </w:r>
    </w:p>
    <w:p w14:paraId="5D3B0236" w14:textId="2DEB4470" w:rsidR="00D80DD6" w:rsidRPr="00E047CD" w:rsidRDefault="00E047CD" w:rsidP="00E047CD">
      <w:pPr>
        <w:ind w:left="142" w:firstLine="425"/>
      </w:pPr>
      <w:r>
        <w:t>3) </w:t>
      </w:r>
      <w:r w:rsidR="0093351D">
        <w:t>Baltijas politiku scenārijs – </w:t>
      </w:r>
      <w:r w:rsidR="00D80DD6" w:rsidRPr="00E047CD">
        <w:t>4°C scenārijs ar papildu SEG un atjaunojamās enerģijas mērķiem</w:t>
      </w:r>
      <w:r w:rsidR="00267C47" w:rsidRPr="00E047CD">
        <w:t xml:space="preserve"> (BPO)</w:t>
      </w:r>
      <w:r w:rsidR="00D80DD6" w:rsidRPr="00E047CD">
        <w:t>.</w:t>
      </w:r>
    </w:p>
    <w:p w14:paraId="278BD133" w14:textId="41A45FCF" w:rsidR="00D80DD6" w:rsidRPr="00E047CD" w:rsidRDefault="00EF4E2E" w:rsidP="00E047CD">
      <w:pPr>
        <w:ind w:left="142" w:firstLine="425"/>
      </w:pPr>
      <w:r w:rsidRPr="00E047CD">
        <w:t xml:space="preserve">BENTE pētījumā </w:t>
      </w:r>
      <w:r w:rsidR="00D80DD6" w:rsidRPr="00E047CD">
        <w:t xml:space="preserve">secināts, ka Baltijas valstīm ir labs no atjaunojamiem energoresursiem saražotās enerģijas potenciāls, kā arī pietiekami vietējie resursi, lai sasniegtu valstīm noteiktos atjaunojamās enerģijas mērķus. Saskaņā ar BENTE ziņojumu Latvijai atkarībā no </w:t>
      </w:r>
      <w:r w:rsidR="00267C47" w:rsidRPr="00E047CD">
        <w:t xml:space="preserve">izvēlētā </w:t>
      </w:r>
      <w:r w:rsidR="00D80DD6" w:rsidRPr="00E047CD">
        <w:t>scenārija ir iespējas nodrošināt AER īpatsvaru gala enerģijas patēriņā 68</w:t>
      </w:r>
      <w:r w:rsidR="00B73678">
        <w:t> % </w:t>
      </w:r>
      <w:r w:rsidR="00D80DD6" w:rsidRPr="00E047CD">
        <w:t>-</w:t>
      </w:r>
      <w:r w:rsidR="00B73678">
        <w:t> </w:t>
      </w:r>
      <w:r w:rsidR="00D80DD6" w:rsidRPr="00E047CD">
        <w:t>82</w:t>
      </w:r>
      <w:r w:rsidR="00B73678">
        <w:t> </w:t>
      </w:r>
      <w:r w:rsidR="00D80DD6" w:rsidRPr="00E047CD">
        <w:t>% robežās 2050.</w:t>
      </w:r>
      <w:r w:rsidR="00B73678">
        <w:t> </w:t>
      </w:r>
      <w:r w:rsidR="00D80DD6" w:rsidRPr="00E047CD">
        <w:t xml:space="preserve">gadā (skatīt </w:t>
      </w:r>
      <w:r w:rsidR="001B79A2" w:rsidRPr="00E047CD">
        <w:t>15.</w:t>
      </w:r>
      <w:r w:rsidR="00B73678">
        <w:t> </w:t>
      </w:r>
      <w:r w:rsidR="00D80DD6" w:rsidRPr="00E047CD">
        <w:t>attēlu).</w:t>
      </w:r>
    </w:p>
    <w:p w14:paraId="39E5696B" w14:textId="2BB54F85" w:rsidR="00D80DD6" w:rsidRPr="00E047CD" w:rsidRDefault="00D80DD6" w:rsidP="00E047CD">
      <w:pPr>
        <w:ind w:left="142" w:firstLine="425"/>
      </w:pPr>
    </w:p>
    <w:p w14:paraId="713DE8D8" w14:textId="65B8601B" w:rsidR="00D80DD6" w:rsidRPr="00E047CD" w:rsidRDefault="00D80DD6" w:rsidP="00E047CD">
      <w:pPr>
        <w:ind w:left="142" w:firstLine="425"/>
      </w:pPr>
      <w:r w:rsidRPr="00E047CD">
        <w:rPr>
          <w:noProof/>
        </w:rPr>
        <w:drawing>
          <wp:anchor distT="0" distB="0" distL="114300" distR="114300" simplePos="0" relativeHeight="251666944" behindDoc="1" locked="0" layoutInCell="1" allowOverlap="1" wp14:anchorId="6A316068" wp14:editId="2CE9AD07">
            <wp:simplePos x="0" y="0"/>
            <wp:positionH relativeFrom="margin">
              <wp:align>center</wp:align>
            </wp:positionH>
            <wp:positionV relativeFrom="paragraph">
              <wp:posOffset>11430</wp:posOffset>
            </wp:positionV>
            <wp:extent cx="4932045" cy="3495675"/>
            <wp:effectExtent l="0" t="0" r="190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932045" cy="3495675"/>
                    </a:xfrm>
                    <a:prstGeom prst="rect">
                      <a:avLst/>
                    </a:prstGeom>
                  </pic:spPr>
                </pic:pic>
              </a:graphicData>
            </a:graphic>
            <wp14:sizeRelH relativeFrom="page">
              <wp14:pctWidth>0</wp14:pctWidth>
            </wp14:sizeRelH>
            <wp14:sizeRelV relativeFrom="page">
              <wp14:pctHeight>0</wp14:pctHeight>
            </wp14:sizeRelV>
          </wp:anchor>
        </w:drawing>
      </w:r>
    </w:p>
    <w:p w14:paraId="6F1A9775" w14:textId="4ED26E3A" w:rsidR="00D80DD6" w:rsidRPr="00B73678" w:rsidRDefault="001B79A2" w:rsidP="00B73678">
      <w:pPr>
        <w:ind w:left="567" w:firstLine="0"/>
      </w:pPr>
      <w:r w:rsidRPr="00B73678">
        <w:t>15.attēls.</w:t>
      </w:r>
      <w:r w:rsidR="00D80DD6" w:rsidRPr="00B73678">
        <w:t xml:space="preserve"> </w:t>
      </w:r>
      <w:r w:rsidR="00D96B6C" w:rsidRPr="00B73678">
        <w:t>AER īpatsvars</w:t>
      </w:r>
      <w:r w:rsidR="00D80DD6" w:rsidRPr="00B73678">
        <w:t xml:space="preserve"> gala enerģētikas patēriņā Latvijā saskaņā ar BENTE </w:t>
      </w:r>
      <w:r w:rsidR="00D96B6C" w:rsidRPr="00B73678">
        <w:t xml:space="preserve">pētījuma </w:t>
      </w:r>
      <w:r w:rsidR="00D80DD6" w:rsidRPr="00B73678">
        <w:t>scenārijiem</w:t>
      </w:r>
    </w:p>
    <w:p w14:paraId="4A0B5022" w14:textId="77777777" w:rsidR="0017745E" w:rsidRPr="00B73678" w:rsidRDefault="0017745E" w:rsidP="00B73678">
      <w:pPr>
        <w:ind w:left="567" w:firstLine="0"/>
      </w:pPr>
    </w:p>
    <w:p w14:paraId="12238983" w14:textId="77777777" w:rsidR="0017745E" w:rsidRPr="00B73678" w:rsidRDefault="0017745E" w:rsidP="00B73678">
      <w:pPr>
        <w:rPr>
          <w:i/>
        </w:rPr>
      </w:pPr>
      <w:r w:rsidRPr="00B73678">
        <w:rPr>
          <w:i/>
        </w:rPr>
        <w:t xml:space="preserve">Kūdra </w:t>
      </w:r>
    </w:p>
    <w:p w14:paraId="785F30D7" w14:textId="4D84A3C1" w:rsidR="0017745E" w:rsidRPr="00B73678" w:rsidRDefault="0017745E" w:rsidP="00B73678">
      <w:r w:rsidRPr="00B73678">
        <w:t>Kopumā Latvijas kūdras atradnēs atrodami 1,5 miljardi t kūdras. Purvos, kuros šobrī</w:t>
      </w:r>
      <w:r w:rsidR="00B73678">
        <w:t>d notiek kūdras ieguve uz 2013. </w:t>
      </w:r>
      <w:r w:rsidRPr="00B73678">
        <w:t>gada 1.</w:t>
      </w:r>
      <w:r w:rsidR="00B73678">
        <w:t> </w:t>
      </w:r>
      <w:r w:rsidRPr="00B73678">
        <w:t>janvāri bija 166 milj. t kūdras. Kūdras ieguve notiek tikai 3,9</w:t>
      </w:r>
      <w:r w:rsidR="00B73678">
        <w:t> </w:t>
      </w:r>
      <w:r w:rsidRPr="00B73678">
        <w:t>% (25</w:t>
      </w:r>
      <w:r w:rsidR="00B73678">
        <w:t> </w:t>
      </w:r>
      <w:r w:rsidRPr="00B73678">
        <w:t>000 ha) no visām atradnēm un vēl tikpat lielā teritorijā (ap 3%) purvu kūdra ir pilnībā izstrādāta. 2016.</w:t>
      </w:r>
      <w:r w:rsidR="00B73678">
        <w:t> </w:t>
      </w:r>
      <w:r w:rsidRPr="00B73678">
        <w:t>gadā kūdras ieguve notiek 85 no 9</w:t>
      </w:r>
      <w:r w:rsidR="00B73678">
        <w:t> </w:t>
      </w:r>
      <w:r w:rsidRPr="00B73678">
        <w:t xml:space="preserve">600 kūdras atradnēm. </w:t>
      </w:r>
    </w:p>
    <w:p w14:paraId="76E1A888" w14:textId="1D360BFC" w:rsidR="0017745E" w:rsidRPr="00B73678" w:rsidRDefault="0017745E" w:rsidP="00B73678">
      <w:r w:rsidRPr="00B73678">
        <w:t>Latvijā galvenokārt iegūst kūdru dārzkopības vajadzībām, nedaudz aktivētās ogles ražošanai un vēl mazāk enerģijas ražošanai. 95</w:t>
      </w:r>
      <w:r w:rsidR="00B73678">
        <w:t> </w:t>
      </w:r>
      <w:r w:rsidRPr="00B73678">
        <w:t>% no Latvijā iegūtās kūdras tiek eksportēta. Kopš 2003. gada e</w:t>
      </w:r>
      <w:r w:rsidR="00B73678">
        <w:t>ksporta tirgus ir palielinājies </w:t>
      </w:r>
      <w:r w:rsidRPr="00B73678">
        <w:t>–</w:t>
      </w:r>
      <w:r w:rsidR="00B73678">
        <w:t> </w:t>
      </w:r>
      <w:r w:rsidRPr="00B73678">
        <w:t>2003.</w:t>
      </w:r>
      <w:r w:rsidR="00B73678">
        <w:t> </w:t>
      </w:r>
      <w:r w:rsidRPr="00B73678">
        <w:t>gadā 53 valstis, savukārt 2013.</w:t>
      </w:r>
      <w:r w:rsidR="00B73678">
        <w:t> </w:t>
      </w:r>
      <w:r w:rsidRPr="00B73678">
        <w:t>gadā 63 valstis. No 2005.</w:t>
      </w:r>
      <w:r w:rsidR="00B73678">
        <w:t> </w:t>
      </w:r>
      <w:r w:rsidRPr="00B73678">
        <w:t>gada līdz 2016.</w:t>
      </w:r>
      <w:r w:rsidR="00B73678">
        <w:t> </w:t>
      </w:r>
      <w:r w:rsidRPr="00B73678">
        <w:t>gadam kūdras un kūdras brikešu realizācija ir palielinājusies par 83,8</w:t>
      </w:r>
      <w:r w:rsidR="00B73678">
        <w:t> </w:t>
      </w:r>
      <w:r w:rsidRPr="00B73678">
        <w:t xml:space="preserve">%. </w:t>
      </w:r>
    </w:p>
    <w:p w14:paraId="6FE2A45C" w14:textId="77777777" w:rsidR="0086064A" w:rsidRPr="00B73678" w:rsidRDefault="0086064A" w:rsidP="00B73678"/>
    <w:p w14:paraId="466D5292" w14:textId="57A51C08" w:rsidR="0086064A" w:rsidRPr="00B73678" w:rsidRDefault="0086064A" w:rsidP="00B73678">
      <w:pPr>
        <w:rPr>
          <w:i/>
        </w:rPr>
      </w:pPr>
      <w:r w:rsidRPr="00B73678">
        <w:rPr>
          <w:i/>
        </w:rPr>
        <w:t>Primāro energoresursu patēriņa prognozes</w:t>
      </w:r>
    </w:p>
    <w:p w14:paraId="74313DB0" w14:textId="187451A8" w:rsidR="0086064A" w:rsidRDefault="0086064A" w:rsidP="00B73678">
      <w:r w:rsidRPr="00B73678">
        <w:t xml:space="preserve">Saskaņā ar BENTE pētījumu </w:t>
      </w:r>
      <w:r w:rsidR="00D96B6C" w:rsidRPr="00B73678">
        <w:t xml:space="preserve">kopējais gala </w:t>
      </w:r>
      <w:r w:rsidR="00B73678">
        <w:t>enerģētikas patēriņš līdz 2050. </w:t>
      </w:r>
      <w:r w:rsidR="00D96B6C" w:rsidRPr="00B73678">
        <w:t>gadam samazināsies visos aplūkotajos sce</w:t>
      </w:r>
      <w:r w:rsidR="00B73678">
        <w:t>nārijos. Būtiski, ka līdz 2020. </w:t>
      </w:r>
      <w:r w:rsidR="00D96B6C" w:rsidRPr="00B73678">
        <w:t xml:space="preserve">gadam enerģijas patēriņš pieaugs </w:t>
      </w:r>
      <w:r w:rsidR="00D96B6C" w:rsidRPr="00B73678">
        <w:lastRenderedPageBreak/>
        <w:t>un tikai pēc tam sāks samazināties. Īpaši nozīmīgi šim samazinājumam būs plānotie pasākumi energoefektivitātes uzlabošanā</w:t>
      </w:r>
      <w:r w:rsidR="001B79A2" w:rsidRPr="00B73678">
        <w:t xml:space="preserve"> (skatīt 16.</w:t>
      </w:r>
      <w:r w:rsidR="00B73678">
        <w:t> </w:t>
      </w:r>
      <w:r w:rsidR="001B79A2" w:rsidRPr="00B73678">
        <w:t>attēlu)</w:t>
      </w:r>
      <w:r w:rsidR="00B73678">
        <w:t>.</w:t>
      </w:r>
    </w:p>
    <w:p w14:paraId="12CFF290" w14:textId="5213A217" w:rsidR="00B73678" w:rsidRDefault="00B73678" w:rsidP="00B73678">
      <w:pPr>
        <w:ind w:left="567" w:firstLine="0"/>
      </w:pPr>
      <w:r w:rsidRPr="00B73678">
        <w:rPr>
          <w:noProof/>
        </w:rPr>
        <w:drawing>
          <wp:anchor distT="0" distB="0" distL="114300" distR="114300" simplePos="0" relativeHeight="251667968" behindDoc="1" locked="0" layoutInCell="1" allowOverlap="1" wp14:anchorId="3E04449B" wp14:editId="58993B0B">
            <wp:simplePos x="0" y="0"/>
            <wp:positionH relativeFrom="margin">
              <wp:posOffset>169545</wp:posOffset>
            </wp:positionH>
            <wp:positionV relativeFrom="paragraph">
              <wp:posOffset>329786</wp:posOffset>
            </wp:positionV>
            <wp:extent cx="5600700" cy="3028950"/>
            <wp:effectExtent l="0" t="0" r="0" b="0"/>
            <wp:wrapTight wrapText="bothSides">
              <wp:wrapPolygon edited="0">
                <wp:start x="0" y="0"/>
                <wp:lineTo x="0" y="21464"/>
                <wp:lineTo x="21527" y="21464"/>
                <wp:lineTo x="2152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600700" cy="3028950"/>
                    </a:xfrm>
                    <a:prstGeom prst="rect">
                      <a:avLst/>
                    </a:prstGeom>
                  </pic:spPr>
                </pic:pic>
              </a:graphicData>
            </a:graphic>
            <wp14:sizeRelH relativeFrom="page">
              <wp14:pctWidth>0</wp14:pctWidth>
            </wp14:sizeRelH>
            <wp14:sizeRelV relativeFrom="page">
              <wp14:pctHeight>0</wp14:pctHeight>
            </wp14:sizeRelV>
          </wp:anchor>
        </w:drawing>
      </w:r>
    </w:p>
    <w:p w14:paraId="2A86DBD0" w14:textId="512D6693" w:rsidR="0086064A" w:rsidRPr="00B73678" w:rsidRDefault="001B79A2" w:rsidP="00B73678">
      <w:pPr>
        <w:ind w:left="567" w:firstLine="0"/>
      </w:pPr>
      <w:r w:rsidRPr="00B73678">
        <w:t>16.</w:t>
      </w:r>
      <w:r w:rsidR="00B73678">
        <w:t> </w:t>
      </w:r>
      <w:r w:rsidRPr="00B73678">
        <w:t>attēls.</w:t>
      </w:r>
      <w:r w:rsidR="0086064A" w:rsidRPr="00B73678">
        <w:t xml:space="preserve"> </w:t>
      </w:r>
      <w:r w:rsidR="00D96B6C" w:rsidRPr="00B73678">
        <w:t>Gala enerģētikas patēriņa prognozes saskaņā ar BENTE pētījuma scenārijiem (PJ)</w:t>
      </w:r>
    </w:p>
    <w:p w14:paraId="2C6D2B1A" w14:textId="77777777" w:rsidR="00AC18D4" w:rsidRPr="00B73678" w:rsidRDefault="00AC18D4" w:rsidP="00B73678">
      <w:pPr>
        <w:ind w:left="567" w:firstLine="0"/>
      </w:pPr>
    </w:p>
    <w:p w14:paraId="731B6134" w14:textId="66E74420" w:rsidR="00AC18D4" w:rsidRPr="00B73678" w:rsidRDefault="00AC18D4" w:rsidP="00B73678">
      <w:r w:rsidRPr="00B73678">
        <w:t>Saskaņā ar BENTE pētījumu industrijā izmantotās enerģētikas gala patēriņš līdz 2050. gadam samazināsies visos apskatītajos scenārijos</w:t>
      </w:r>
      <w:r w:rsidR="001B79A2" w:rsidRPr="00B73678">
        <w:t xml:space="preserve"> (17.</w:t>
      </w:r>
      <w:r w:rsidR="00B73678">
        <w:t> </w:t>
      </w:r>
      <w:r w:rsidR="001B79A2" w:rsidRPr="00B73678">
        <w:t>attēls)</w:t>
      </w:r>
      <w:r w:rsidRPr="00B73678">
        <w:t xml:space="preserve">. </w:t>
      </w:r>
    </w:p>
    <w:p w14:paraId="58579C6C" w14:textId="3D1CBE04" w:rsidR="00AC18D4" w:rsidRPr="00B73678" w:rsidRDefault="00AC18D4" w:rsidP="00B73678">
      <w:pPr>
        <w:ind w:left="567" w:firstLine="0"/>
      </w:pPr>
      <w:r w:rsidRPr="00B73678">
        <w:rPr>
          <w:noProof/>
        </w:rPr>
        <w:drawing>
          <wp:anchor distT="0" distB="0" distL="114300" distR="114300" simplePos="0" relativeHeight="251668992" behindDoc="0" locked="0" layoutInCell="1" allowOverlap="1" wp14:anchorId="6C8985E1" wp14:editId="6443AF7D">
            <wp:simplePos x="0" y="0"/>
            <wp:positionH relativeFrom="margin">
              <wp:align>center</wp:align>
            </wp:positionH>
            <wp:positionV relativeFrom="paragraph">
              <wp:posOffset>54610</wp:posOffset>
            </wp:positionV>
            <wp:extent cx="4924425" cy="28860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924425" cy="2886075"/>
                    </a:xfrm>
                    <a:prstGeom prst="rect">
                      <a:avLst/>
                    </a:prstGeom>
                  </pic:spPr>
                </pic:pic>
              </a:graphicData>
            </a:graphic>
            <wp14:sizeRelH relativeFrom="page">
              <wp14:pctWidth>0</wp14:pctWidth>
            </wp14:sizeRelH>
            <wp14:sizeRelV relativeFrom="page">
              <wp14:pctHeight>0</wp14:pctHeight>
            </wp14:sizeRelV>
          </wp:anchor>
        </w:drawing>
      </w:r>
    </w:p>
    <w:p w14:paraId="42F11006" w14:textId="77777777" w:rsidR="00AC18D4" w:rsidRPr="00B73678" w:rsidRDefault="00AC18D4" w:rsidP="00B73678">
      <w:pPr>
        <w:ind w:left="567" w:firstLine="0"/>
      </w:pPr>
    </w:p>
    <w:p w14:paraId="350086BB" w14:textId="199D2838" w:rsidR="00AC18D4" w:rsidRPr="00B73678" w:rsidRDefault="00AC18D4" w:rsidP="00B73678">
      <w:pPr>
        <w:ind w:left="567" w:firstLine="0"/>
      </w:pPr>
    </w:p>
    <w:p w14:paraId="703D7186" w14:textId="271F2A35" w:rsidR="00AC18D4" w:rsidRPr="00B73678" w:rsidRDefault="00AC18D4" w:rsidP="00B73678">
      <w:pPr>
        <w:ind w:left="567" w:firstLine="0"/>
      </w:pPr>
    </w:p>
    <w:p w14:paraId="3418B8BF" w14:textId="536DDA16" w:rsidR="00AC18D4" w:rsidRPr="00B73678" w:rsidRDefault="00AC18D4" w:rsidP="00B73678">
      <w:pPr>
        <w:ind w:left="567" w:firstLine="0"/>
      </w:pPr>
    </w:p>
    <w:p w14:paraId="745233E0" w14:textId="77777777" w:rsidR="00AC18D4" w:rsidRPr="00B73678" w:rsidRDefault="00AC18D4" w:rsidP="00B73678">
      <w:pPr>
        <w:ind w:left="567" w:firstLine="0"/>
      </w:pPr>
    </w:p>
    <w:p w14:paraId="1628FAC8" w14:textId="77777777" w:rsidR="00AC18D4" w:rsidRPr="00B73678" w:rsidRDefault="00AC18D4" w:rsidP="00B73678">
      <w:pPr>
        <w:ind w:left="567" w:firstLine="0"/>
      </w:pPr>
    </w:p>
    <w:p w14:paraId="3D299489" w14:textId="77777777" w:rsidR="00AC18D4" w:rsidRPr="00B73678" w:rsidRDefault="00AC18D4" w:rsidP="00B73678">
      <w:pPr>
        <w:ind w:left="567" w:firstLine="0"/>
      </w:pPr>
    </w:p>
    <w:p w14:paraId="7F34295A" w14:textId="77777777" w:rsidR="00AC18D4" w:rsidRPr="00B73678" w:rsidRDefault="00AC18D4" w:rsidP="00B73678">
      <w:pPr>
        <w:ind w:left="567" w:firstLine="0"/>
      </w:pPr>
    </w:p>
    <w:p w14:paraId="0F235CE1" w14:textId="77777777" w:rsidR="00AC18D4" w:rsidRPr="00B73678" w:rsidRDefault="00AC18D4" w:rsidP="00B73678">
      <w:pPr>
        <w:ind w:left="567" w:firstLine="0"/>
      </w:pPr>
    </w:p>
    <w:p w14:paraId="5AAEEEE4" w14:textId="77777777" w:rsidR="00AC18D4" w:rsidRPr="00B73678" w:rsidRDefault="00AC18D4" w:rsidP="00B73678">
      <w:pPr>
        <w:ind w:left="567" w:firstLine="0"/>
      </w:pPr>
    </w:p>
    <w:p w14:paraId="040F81CA" w14:textId="77777777" w:rsidR="00AC18D4" w:rsidRPr="00B73678" w:rsidRDefault="00AC18D4" w:rsidP="00B73678">
      <w:pPr>
        <w:ind w:left="567" w:firstLine="0"/>
      </w:pPr>
    </w:p>
    <w:p w14:paraId="61F2D781" w14:textId="77777777" w:rsidR="00AC18D4" w:rsidRPr="00B73678" w:rsidRDefault="00AC18D4" w:rsidP="00B73678">
      <w:pPr>
        <w:ind w:left="567" w:firstLine="0"/>
      </w:pPr>
    </w:p>
    <w:p w14:paraId="3C4267C0" w14:textId="77777777" w:rsidR="00AC18D4" w:rsidRPr="00B73678" w:rsidRDefault="00AC18D4" w:rsidP="00B73678">
      <w:pPr>
        <w:ind w:left="567" w:firstLine="0"/>
      </w:pPr>
    </w:p>
    <w:p w14:paraId="5A92FC34" w14:textId="77777777" w:rsidR="00AC18D4" w:rsidRPr="00B73678" w:rsidRDefault="00AC18D4" w:rsidP="00B73678">
      <w:pPr>
        <w:ind w:left="567" w:firstLine="0"/>
      </w:pPr>
    </w:p>
    <w:p w14:paraId="53E22D5B" w14:textId="77777777" w:rsidR="00AC18D4" w:rsidRPr="00B73678" w:rsidRDefault="00AC18D4" w:rsidP="00B73678">
      <w:pPr>
        <w:ind w:left="567" w:firstLine="0"/>
      </w:pPr>
    </w:p>
    <w:p w14:paraId="26F2ED6D" w14:textId="77777777" w:rsidR="00AC18D4" w:rsidRPr="00B73678" w:rsidRDefault="00AC18D4" w:rsidP="00B73678">
      <w:pPr>
        <w:ind w:left="567" w:firstLine="0"/>
      </w:pPr>
    </w:p>
    <w:p w14:paraId="508B419E" w14:textId="416D542D" w:rsidR="00AC18D4" w:rsidRPr="00B73678" w:rsidRDefault="001B79A2" w:rsidP="00B73678">
      <w:pPr>
        <w:ind w:left="567" w:firstLine="0"/>
        <w:jc w:val="center"/>
      </w:pPr>
      <w:r w:rsidRPr="00B73678">
        <w:t>17.</w:t>
      </w:r>
      <w:r w:rsidR="00B73678">
        <w:t> </w:t>
      </w:r>
      <w:r w:rsidRPr="00B73678">
        <w:t>attēls.</w:t>
      </w:r>
      <w:r w:rsidR="00AC18D4" w:rsidRPr="00B73678">
        <w:t xml:space="preserve"> Industrijā izmantotās enerģētikas gala patēriņa prognozes saskaņā ar BENTE pētījuma scenārijiem (PJ)</w:t>
      </w:r>
    </w:p>
    <w:p w14:paraId="09612E22" w14:textId="77777777" w:rsidR="00AC18D4" w:rsidRPr="00B73678" w:rsidRDefault="00AC18D4" w:rsidP="00B73678">
      <w:pPr>
        <w:ind w:left="567" w:firstLine="0"/>
      </w:pPr>
    </w:p>
    <w:p w14:paraId="7CABEE54" w14:textId="77777777" w:rsidR="00436909" w:rsidRPr="00B73678" w:rsidRDefault="00436909" w:rsidP="00B73678">
      <w:pPr>
        <w:pStyle w:val="ListParagraph"/>
        <w:numPr>
          <w:ilvl w:val="0"/>
          <w:numId w:val="32"/>
        </w:numPr>
        <w:ind w:left="993"/>
        <w:rPr>
          <w:b/>
        </w:rPr>
      </w:pPr>
      <w:r w:rsidRPr="00B73678">
        <w:rPr>
          <w:b/>
        </w:rPr>
        <w:t>Sekundārie energoresursi</w:t>
      </w:r>
    </w:p>
    <w:p w14:paraId="6AE304D9" w14:textId="7C8B8672" w:rsidR="00436909" w:rsidRPr="00B73678" w:rsidRDefault="00436909" w:rsidP="00B73678">
      <w:r w:rsidRPr="00B73678">
        <w:t>Siltumenerģijas un elektroenerģijas izmantošanā 2016.</w:t>
      </w:r>
      <w:r w:rsidR="00B73678">
        <w:t> </w:t>
      </w:r>
      <w:r w:rsidRPr="00B73678">
        <w:t>gadā dominē pakalpojumu sektors, mājsaimniecības un lauksaimniecības, mežsaimniecības un zivsaimniecības nozares. Siltumenerģijas patēriņš rūpniecības nozarēs ir tikai 4,2</w:t>
      </w:r>
      <w:r w:rsidR="00B73678">
        <w:t> </w:t>
      </w:r>
      <w:r w:rsidRPr="00B73678">
        <w:t xml:space="preserve">% no kopējā siltumenerģijas patēriņa valstī. </w:t>
      </w:r>
    </w:p>
    <w:p w14:paraId="223DEE3F" w14:textId="1BD225E2" w:rsidR="00436909" w:rsidRPr="00B73678" w:rsidRDefault="00436909" w:rsidP="00B73678">
      <w:r w:rsidRPr="00B73678">
        <w:lastRenderedPageBreak/>
        <w:t>Kopējais siltumenerģijas patēriņš Latvijā no 1990. gada līdz 2016.</w:t>
      </w:r>
      <w:r w:rsidR="00B73678">
        <w:t> </w:t>
      </w:r>
      <w:r w:rsidRPr="00B73678">
        <w:t>gadam ir samazinājies par gandrīz 71</w:t>
      </w:r>
      <w:r w:rsidR="00B73678">
        <w:t> </w:t>
      </w:r>
      <w:r w:rsidRPr="00B73678">
        <w:t>%, bet no 2005. gada līdz 2016.</w:t>
      </w:r>
      <w:r w:rsidR="00B73678">
        <w:t> </w:t>
      </w:r>
      <w:r w:rsidRPr="00B73678">
        <w:t>gadam</w:t>
      </w:r>
      <w:r w:rsidR="00B73678">
        <w:t> </w:t>
      </w:r>
      <w:r w:rsidRPr="00B73678">
        <w:t>–</w:t>
      </w:r>
      <w:r w:rsidR="00B73678">
        <w:t> </w:t>
      </w:r>
      <w:r w:rsidRPr="00B73678">
        <w:t>par 3,7</w:t>
      </w:r>
      <w:r w:rsidR="00B73678">
        <w:t> </w:t>
      </w:r>
      <w:r w:rsidRPr="00B73678">
        <w:t>%. Lielākais siltumenerģijas patēriņa samazinājums ir attiecināms uz rū</w:t>
      </w:r>
      <w:r w:rsidR="00B73678">
        <w:t>pnieciskās ražošanas uzņēmumiem </w:t>
      </w:r>
      <w:r w:rsidRPr="00B73678">
        <w:t>–</w:t>
      </w:r>
      <w:r w:rsidR="00B73678">
        <w:t> </w:t>
      </w:r>
      <w:r w:rsidRPr="00B73678">
        <w:t>97,3</w:t>
      </w:r>
      <w:r w:rsidR="00B73678">
        <w:t> </w:t>
      </w:r>
      <w:r w:rsidRPr="00B73678">
        <w:t>% samazinājums, savukārt pakalpojumu sektorā, mājsaimniecībās un lauksaimniecības, mežsaimniecības un zivsaimniecības nozarēs šajā periodā siltumenerģijas patēriņš ir samazinājies par 60,6</w:t>
      </w:r>
      <w:r w:rsidR="00B73678">
        <w:t> </w:t>
      </w:r>
      <w:r w:rsidRPr="00B73678">
        <w:t>%. Kopš 2005.</w:t>
      </w:r>
      <w:r w:rsidR="00B73678">
        <w:t> </w:t>
      </w:r>
      <w:r w:rsidRPr="00B73678">
        <w:t>gada siltumenerģijas patēriņš mājsaimniecībās ir samazinājies par 31</w:t>
      </w:r>
      <w:r w:rsidR="00B73678">
        <w:t> </w:t>
      </w:r>
      <w:r w:rsidRPr="00B73678">
        <w:t>%</w:t>
      </w:r>
      <w:r w:rsidR="00B73678">
        <w:t>, salīdzinot ar 2016. </w:t>
      </w:r>
      <w:r w:rsidRPr="00B73678">
        <w:t>gadu, kas daļēji ir mājsaimniecībās īstenoto energoef</w:t>
      </w:r>
      <w:r w:rsidR="00B73678">
        <w:t>ektivitātes pasākumu rezultāts.</w:t>
      </w:r>
    </w:p>
    <w:p w14:paraId="3CE9B2A4" w14:textId="75CB72A7" w:rsidR="00436909" w:rsidRPr="00B73678" w:rsidRDefault="00436909" w:rsidP="00B73678">
      <w:r w:rsidRPr="00B73678">
        <w:t>Elektroenerģijas patēriņa izmaiņās ir novērojama cita situācija. Lai gan kopējais Latvijas elektroenerģijas patēriņš 2016.</w:t>
      </w:r>
      <w:r w:rsidR="0016396E">
        <w:t> </w:t>
      </w:r>
      <w:r w:rsidRPr="00B73678">
        <w:t>gadā, salīdzinot ar 1990.</w:t>
      </w:r>
      <w:r w:rsidR="0016396E">
        <w:t> </w:t>
      </w:r>
      <w:r w:rsidRPr="00B73678">
        <w:t>gadu, ir samazinājies par 2</w:t>
      </w:r>
      <w:r w:rsidR="001B79A2" w:rsidRPr="00B73678">
        <w:t>2</w:t>
      </w:r>
      <w:r w:rsidR="0016396E">
        <w:t> </w:t>
      </w:r>
      <w:r w:rsidRPr="00B73678">
        <w:t>%, tomēr periodā no 2005. gada līdz 2016.</w:t>
      </w:r>
      <w:r w:rsidR="0016396E">
        <w:t> </w:t>
      </w:r>
      <w:r w:rsidRPr="00B73678">
        <w:t>gadam tas ir palielinājies par 14,9</w:t>
      </w:r>
      <w:r w:rsidR="0016396E">
        <w:t> </w:t>
      </w:r>
      <w:r w:rsidRPr="00B73678">
        <w:t>%. Lielāko ieguldījumu šajā palielinājumā ir devis pakalpojumu sektors, mājsaimniecības un lauksaimniecības, mežsaimniecības un zivsaimniecības nozares, kur elektroenerģijas patēriņš ir pieaudzis par 23,6</w:t>
      </w:r>
      <w:r w:rsidR="0016396E">
        <w:t> </w:t>
      </w:r>
      <w:r w:rsidRPr="00B73678">
        <w:t>% šajā laika periodā, bet periodā no 1990.</w:t>
      </w:r>
      <w:r w:rsidR="0016396E">
        <w:t> </w:t>
      </w:r>
      <w:r w:rsidRPr="00B73678">
        <w:t>gada ir samazinājies tikai par 1,6</w:t>
      </w:r>
      <w:r w:rsidR="0016396E">
        <w:t> </w:t>
      </w:r>
      <w:r w:rsidRPr="00B73678">
        <w:t>%. Izmaiņas ir izskaidrojamas ar iedzīvotāju labklājības un dzīves līmeņa uzlabošanos, kā arī ar tehnoloģiju attīstību, arvien vairāk pakalpojumu sektorā un mājsaimniecībās izmantojot elektr</w:t>
      </w:r>
      <w:r w:rsidR="007E7F7B">
        <w:t>iskās un elektroniskās ierīces.</w:t>
      </w:r>
    </w:p>
    <w:p w14:paraId="7AC2EE32" w14:textId="77777777" w:rsidR="008A1832" w:rsidRDefault="008A1832" w:rsidP="008A1832">
      <w:pPr>
        <w:ind w:left="567" w:firstLine="0"/>
      </w:pPr>
      <w:bookmarkStart w:id="25" w:name="_Toc518451191"/>
    </w:p>
    <w:p w14:paraId="6C77098E" w14:textId="7B6BFB7E" w:rsidR="00436909" w:rsidRPr="00466A5D" w:rsidRDefault="00436909" w:rsidP="008A1832">
      <w:pPr>
        <w:ind w:left="567" w:firstLine="0"/>
        <w:jc w:val="center"/>
        <w:rPr>
          <w:b/>
          <w:sz w:val="26"/>
          <w:szCs w:val="26"/>
        </w:rPr>
      </w:pPr>
      <w:r w:rsidRPr="00466A5D">
        <w:rPr>
          <w:b/>
          <w:sz w:val="26"/>
          <w:szCs w:val="26"/>
        </w:rPr>
        <w:t>4.2.</w:t>
      </w:r>
      <w:r w:rsidR="00466A5D" w:rsidRPr="00466A5D">
        <w:rPr>
          <w:b/>
          <w:sz w:val="26"/>
          <w:szCs w:val="26"/>
        </w:rPr>
        <w:t> </w:t>
      </w:r>
      <w:r w:rsidRPr="00466A5D">
        <w:rPr>
          <w:b/>
          <w:sz w:val="26"/>
          <w:szCs w:val="26"/>
        </w:rPr>
        <w:t>Energoresursu ieguve</w:t>
      </w:r>
      <w:bookmarkEnd w:id="25"/>
    </w:p>
    <w:p w14:paraId="1C0C033D" w14:textId="77777777" w:rsidR="008A1832" w:rsidRDefault="008A1832" w:rsidP="008A1832"/>
    <w:p w14:paraId="2DB66D78" w14:textId="7CA142D1" w:rsidR="00436909" w:rsidRPr="008A1832" w:rsidRDefault="00436909" w:rsidP="008A1832">
      <w:r w:rsidRPr="008A1832">
        <w:t>Saskaņā ar Nacionālā mežu monitoringa datiem mežs sedz 3260 tūkstošus ha (52</w:t>
      </w:r>
      <w:r w:rsidR="00466A5D">
        <w:t> </w:t>
      </w:r>
      <w:r w:rsidRPr="008A1832">
        <w:t>% no Latvijas teritorijas) un aizņem 92</w:t>
      </w:r>
      <w:r w:rsidR="00466A5D">
        <w:t> </w:t>
      </w:r>
      <w:r w:rsidRPr="008A1832">
        <w:t>% no kopējās meža zemes (3575 tūkstoši ha). Koksnes ieguvei bez saimnieciskās darbības ierobežojumiem pieejami 3052 tūkstoši ha meža. Salīdzinot ar 1923.</w:t>
      </w:r>
      <w:r w:rsidR="00466A5D">
        <w:t> </w:t>
      </w:r>
      <w:r w:rsidRPr="008A1832">
        <w:t>gadu, kad mežainums Latvijā bija 23</w:t>
      </w:r>
      <w:r w:rsidR="00466A5D">
        <w:t> </w:t>
      </w:r>
      <w:r w:rsidRPr="008A1832">
        <w:t>%, laika gaitā līdz mūsdienām tas ir dubultojies un sasniedzis gandrīz 52%. Meža platību pieaugums prognozējams arī turpmāk, jo turpinās lauksaimniecībā neizmantoto zemju dabiska aizaugšana, kā arī to mākslīga apmežošana. Kokiem augot, katru gadu veidojas koksnes pieaugums, kas pēc pašreizējiem aprēķiniem ir 16,5 milj. m</w:t>
      </w:r>
      <w:r w:rsidRPr="00466A5D">
        <w:rPr>
          <w:vertAlign w:val="superscript"/>
        </w:rPr>
        <w:t>3</w:t>
      </w:r>
      <w:r w:rsidRPr="008A1832">
        <w:t xml:space="preserve"> gadā. Saskaņā ar statistikas datiem 2016.</w:t>
      </w:r>
      <w:r w:rsidR="00466A5D">
        <w:t> </w:t>
      </w:r>
      <w:r w:rsidRPr="008A1832">
        <w:t>gadā Latvijā tika nocirsti 10,55 miljoni kubikmetru koksnes. Koku ciršanas apjomu dinamiku ietekmē daudzi faktori</w:t>
      </w:r>
      <w:r w:rsidR="00466A5D">
        <w:t> </w:t>
      </w:r>
      <w:r w:rsidRPr="008A1832">
        <w:t>–</w:t>
      </w:r>
      <w:r w:rsidR="00466A5D">
        <w:t> </w:t>
      </w:r>
      <w:r w:rsidRPr="008A1832">
        <w:t>valsts attīstība, vispārējā ekonomiskā situācija, kokmateriālu cenas tirgū, kas ietekmē koksnes eksporta īpatsvaru, likumdošana utt. Koksnes produktu (koksne un tās izstrādājumi, koka mēbeles, koka būvkonstrukcijas, papīra un kartona izstrādājumi, celuloze un pārstrādātā makulatūra) īpatsvars valsts kopējā eksporta bilancē 1999. un 2000.</w:t>
      </w:r>
      <w:r w:rsidR="00466A5D">
        <w:t> </w:t>
      </w:r>
      <w:r w:rsidRPr="008A1832">
        <w:t>gadā sasniedza 43</w:t>
      </w:r>
      <w:r w:rsidR="00466A5D">
        <w:t> </w:t>
      </w:r>
      <w:r w:rsidRPr="008A1832">
        <w:t>% līmeni, tomēr meža nozares produkcijas koksnes īpatsvars</w:t>
      </w:r>
      <w:r w:rsidR="00466A5D">
        <w:t xml:space="preserve"> kopējā Latvijas eksportā 2012. </w:t>
      </w:r>
      <w:r w:rsidRPr="008A1832">
        <w:t>gadā bija 17</w:t>
      </w:r>
      <w:r w:rsidR="00466A5D">
        <w:t> </w:t>
      </w:r>
      <w:r w:rsidRPr="008A1832">
        <w:t>%. 2016</w:t>
      </w:r>
      <w:r w:rsidR="00466A5D">
        <w:t>. </w:t>
      </w:r>
      <w:r w:rsidRPr="008A1832">
        <w:t>gadā koksnes izstrādājumu un mēbeļu eksporta īpatsvars ir apmēram 20</w:t>
      </w:r>
      <w:r w:rsidR="00466A5D">
        <w:t> </w:t>
      </w:r>
      <w:r w:rsidRPr="008A1832">
        <w:t xml:space="preserve">% no Latvijas kopējā eksporta. </w:t>
      </w:r>
    </w:p>
    <w:p w14:paraId="4A926930" w14:textId="4FDD496E" w:rsidR="00436909" w:rsidRPr="008A1832" w:rsidRDefault="00436909" w:rsidP="008A1832">
      <w:r w:rsidRPr="008A1832">
        <w:t>Otrreiz izmantojamo resursu</w:t>
      </w:r>
      <w:r w:rsidR="00466A5D">
        <w:t>, kuru veidošanās nav novēršama </w:t>
      </w:r>
      <w:r w:rsidRPr="008A1832">
        <w:t>–</w:t>
      </w:r>
      <w:r w:rsidR="00466A5D">
        <w:t> </w:t>
      </w:r>
      <w:r w:rsidRPr="008A1832">
        <w:t xml:space="preserve">atkritumi, notekūdeņi vai kūtsmēsli, izmantošana enerģijas ražošanā ir būtisks resurss enerģētikas sektora virzībai uz OMA. Lai gan notekūdeņu gāze Latvijā tiek iegūta jau no 1993. gada un enerģētikā izmantotās notekūdeņu gāzes apjoms no 2005. gada līdz 2016. gadam ir palielinājies apmēram </w:t>
      </w:r>
      <w:r w:rsidR="001932AF">
        <w:t>četras</w:t>
      </w:r>
      <w:r w:rsidR="001932AF" w:rsidRPr="008A1832">
        <w:t xml:space="preserve"> </w:t>
      </w:r>
      <w:r w:rsidRPr="008A1832">
        <w:t>reizes, tomēr tās īpatsvars kopējā primāro energoresursu izmantošanas apjomā 2016. gadā bija tikai 0,06%. Atkritumu poligonu gāzi Latvijā sāka iegūt 2003. gadā un tās apjoms periodā līdz 2016. gadam ir divkāršojies sasniedzot 0,18</w:t>
      </w:r>
      <w:r w:rsidR="00466A5D">
        <w:t> </w:t>
      </w:r>
      <w:r w:rsidRPr="008A1832">
        <w:t xml:space="preserve">% no kopējā primāro energoresursu apjoma. Cita veida biogāzes (biogāze no kūtsmēsliem vai citiem zemkopības produktiem (rapsis, kukurūza)) izmantošana Latvijā tika uzsākta 2010. gadā, un tās apjoms līdz 2016. gadam bija gandrīz </w:t>
      </w:r>
      <w:r w:rsidR="001932AF">
        <w:t>septiņas</w:t>
      </w:r>
      <w:r w:rsidR="001932AF" w:rsidRPr="008A1832">
        <w:t xml:space="preserve"> </w:t>
      </w:r>
      <w:r w:rsidRPr="008A1832">
        <w:t>reizes lielāks nekā 2010. gadā, sasniedzot jau 1,8</w:t>
      </w:r>
      <w:r w:rsidR="00466A5D">
        <w:t> </w:t>
      </w:r>
      <w:r w:rsidRPr="008A1832">
        <w:t>% no kopējā primāro energoresursu apjoma.</w:t>
      </w:r>
    </w:p>
    <w:p w14:paraId="2AED2CD0" w14:textId="2EA540A8" w:rsidR="00BA0A83" w:rsidRPr="00A46CC4" w:rsidRDefault="00FD633D">
      <w:pPr>
        <w:pStyle w:val="Heading2"/>
        <w:rPr>
          <w:sz w:val="24"/>
          <w:szCs w:val="24"/>
        </w:rPr>
      </w:pPr>
      <w:bookmarkStart w:id="26" w:name="_Toc523217375"/>
      <w:r w:rsidRPr="004A5C96">
        <w:rPr>
          <w:lang w:val="lv-LV"/>
        </w:rPr>
        <w:t>4</w:t>
      </w:r>
      <w:r w:rsidR="00466A5D">
        <w:t>.3. </w:t>
      </w:r>
      <w:r w:rsidR="00BA0A83" w:rsidRPr="004A5C96">
        <w:t>Rūpnieciskās ražošanas izejvielu izmantošana</w:t>
      </w:r>
      <w:bookmarkEnd w:id="26"/>
    </w:p>
    <w:p w14:paraId="67DCFD34" w14:textId="14C971A7" w:rsidR="0064616A" w:rsidRPr="00A46CC4" w:rsidRDefault="0064616A" w:rsidP="0064616A">
      <w:r w:rsidRPr="00A46CC4">
        <w:t xml:space="preserve">Latvijas SEG bilancē lielu ieguldījumu dod oglekļa bagātu izejvielu (karbonāti) apdedzināšana vai kausēšana cementa, kaļķa, ķieģeļu, dzelzs un stikla izstrādājumu ražošanā. Šo izstrādājumu ražošanā tiek izmantotas tādas vietējās izejvielas, kā dolomīts, kaļķakmens vai māls, </w:t>
      </w:r>
      <w:r w:rsidRPr="00A46CC4">
        <w:lastRenderedPageBreak/>
        <w:t>no kura apdedzināšanas iegūst nepieciešamo rūpniecisko produkciju. Dzelzs izstrādājumu ražošanā gala produkcijas bagātināšanai ar oglekli izmanto arī metāllūžņus un karburizatorus (karbonātu izcelsmes izejvielas metālizstrādājumu kvalitātes uzlabošanai).</w:t>
      </w:r>
    </w:p>
    <w:p w14:paraId="23EAA556" w14:textId="77777777" w:rsidR="00BA0A83" w:rsidRPr="00A46CC4" w:rsidRDefault="00BA0A83" w:rsidP="00977BCE">
      <w:r w:rsidRPr="00A46CC4">
        <w:t xml:space="preserve">Daļa no Latvijas uzņēmumiem, kuri savā ražošanā izmanto karbonātus, ir veikuši tehnoloģiju un izmantoto izejvielu nomaiņu uz enerģiju un emisiju efektīvākām tehnoloģijām, tādējādi sniedzot savu ieguldījumu virzībai uz </w:t>
      </w:r>
      <w:r w:rsidR="00B84AD2" w:rsidRPr="00A46CC4">
        <w:t>OMA</w:t>
      </w:r>
      <w:r w:rsidRPr="00A46CC4">
        <w:t xml:space="preserve">. </w:t>
      </w:r>
    </w:p>
    <w:p w14:paraId="7BD587DD" w14:textId="77777777" w:rsidR="00BA0A83" w:rsidRPr="00A46CC4" w:rsidRDefault="00BA0A83" w:rsidP="00977BCE">
      <w:r w:rsidRPr="00A46CC4">
        <w:t xml:space="preserve">Karbonātu izejvielu izmantošanas izmaiņas ir ietekmējusi ekonomiskā krīze un rūpnieciskās ražošanas uzņēmumu darbības izbeigšana vai to pārvietošana ārpus Latvijas teritorijas. Tādējādi šobrīd Latvijā vairs nenotiek keramisko flīžu ražošana, </w:t>
      </w:r>
      <w:r w:rsidR="0026090D" w:rsidRPr="00A46CC4">
        <w:t xml:space="preserve">turklāt </w:t>
      </w:r>
      <w:r w:rsidRPr="00A46CC4">
        <w:t>viens kaļķu ražotājs un divi stikla izstrādājumu ražotāji ir pārtraukuši savu darbību</w:t>
      </w:r>
      <w:r w:rsidR="0026090D" w:rsidRPr="00A46CC4">
        <w:t>. N</w:t>
      </w:r>
      <w:r w:rsidRPr="00A46CC4">
        <w:t>o pieciem 2005.</w:t>
      </w:r>
      <w:r w:rsidR="00B84AD2" w:rsidRPr="00A46CC4">
        <w:t> </w:t>
      </w:r>
      <w:r w:rsidRPr="00A46CC4">
        <w:t>gadā strādājošajiem ķieģeļu ražotājiem šobrīd darbojas tikai divi,</w:t>
      </w:r>
      <w:r w:rsidR="0026090D" w:rsidRPr="00A46CC4">
        <w:t xml:space="preserve"> un</w:t>
      </w:r>
      <w:r w:rsidRPr="00A46CC4">
        <w:t xml:space="preserve"> arī dzelzs izstrādājumu ražošana šobrīd ir apstājusies pilnībā. Tādējādi jāsecina, ka to resursu, kuru izmantošana rada SEG emisijas, izmantojuma samazinājums galvenokārt noticis tieši </w:t>
      </w:r>
      <w:r w:rsidR="0026090D" w:rsidRPr="00A46CC4">
        <w:t>rūpnieciskās ražošanas pārtraukšanas</w:t>
      </w:r>
      <w:r w:rsidRPr="00A46CC4">
        <w:t xml:space="preserve"> dēļ.</w:t>
      </w:r>
    </w:p>
    <w:p w14:paraId="74E759F3" w14:textId="77777777" w:rsidR="00A77706" w:rsidRDefault="00BA0A83" w:rsidP="0064616A">
      <w:r w:rsidRPr="00A46CC4">
        <w:t>Koksnes resursi Latvijā tiek aktīvi izmantoti arī rūpnieciskajā ražošanā, ražojot mēbeles, būvniecības materiālus, iepakojumu vai transportēšanas materiāl</w:t>
      </w:r>
      <w:r w:rsidR="00B84AD2" w:rsidRPr="00A46CC4">
        <w:t>us</w:t>
      </w:r>
      <w:r w:rsidRPr="00A46CC4">
        <w:t>, papīra izstrādājum</w:t>
      </w:r>
      <w:r w:rsidR="00B84AD2" w:rsidRPr="00A46CC4">
        <w:t>us</w:t>
      </w:r>
      <w:r w:rsidRPr="00A46CC4">
        <w:t xml:space="preserve"> u.c. </w:t>
      </w:r>
    </w:p>
    <w:p w14:paraId="49CA2F42" w14:textId="33F5D2EF" w:rsidR="00BA0A83" w:rsidRPr="00466A5D" w:rsidRDefault="00A77706" w:rsidP="00DD3E5F">
      <w:r w:rsidRPr="00466A5D">
        <w:t>Mežsaimniecības, kokapstrādes un mēbeļu ražošanas daļa iekšzemes kopproduktā 2016.</w:t>
      </w:r>
      <w:r w:rsidR="00466A5D">
        <w:t> </w:t>
      </w:r>
      <w:r w:rsidRPr="00466A5D">
        <w:t>gadā veidoja 5,2</w:t>
      </w:r>
      <w:r w:rsidR="00466A5D">
        <w:t> </w:t>
      </w:r>
      <w:r w:rsidRPr="00466A5D">
        <w:t>%, savukārt eksporta apjoms sasniedza divus miljardus e</w:t>
      </w:r>
      <w:r w:rsidR="00297AAC">
        <w:t>u</w:t>
      </w:r>
      <w:r w:rsidRPr="00466A5D">
        <w:t>ro</w:t>
      </w:r>
      <w:r w:rsidR="00466A5D">
        <w:t> </w:t>
      </w:r>
      <w:r w:rsidRPr="00466A5D">
        <w:t>–</w:t>
      </w:r>
      <w:r w:rsidR="00466A5D">
        <w:t> </w:t>
      </w:r>
      <w:r w:rsidR="00DD3E5F" w:rsidRPr="00466A5D">
        <w:t>20</w:t>
      </w:r>
      <w:r w:rsidR="00466A5D">
        <w:t> </w:t>
      </w:r>
      <w:r w:rsidR="00DD3E5F" w:rsidRPr="00466A5D">
        <w:t xml:space="preserve">% no valsts kopējā eksporta. </w:t>
      </w:r>
      <w:r w:rsidR="00BA0A83" w:rsidRPr="00466A5D">
        <w:t>Laika posmā no 2005.</w:t>
      </w:r>
      <w:r w:rsidR="00B84AD2" w:rsidRPr="00466A5D">
        <w:t> </w:t>
      </w:r>
      <w:r w:rsidR="00BA0A83" w:rsidRPr="00466A5D">
        <w:t>gada līdz 2014.</w:t>
      </w:r>
      <w:r w:rsidR="00B84AD2" w:rsidRPr="00466A5D">
        <w:t> </w:t>
      </w:r>
      <w:r w:rsidR="00BA0A83" w:rsidRPr="00466A5D">
        <w:t xml:space="preserve">gadam ir būtiski palielinājusies dažādu kokmateriālu realizācija (saplākšņi, skaidu plātnes, finierētas plāksnes, blīvētas koksnes izstrādājumi, logi, durvis, paliktņi), kur </w:t>
      </w:r>
      <w:r w:rsidR="00B84AD2" w:rsidRPr="00466A5D">
        <w:t xml:space="preserve">realizācijas </w:t>
      </w:r>
      <w:r w:rsidR="00BA0A83" w:rsidRPr="00466A5D">
        <w:t>pieaugums svārstās no 14,4</w:t>
      </w:r>
      <w:r w:rsidR="00466A5D">
        <w:t> </w:t>
      </w:r>
      <w:r w:rsidR="00BA0A83" w:rsidRPr="00466A5D">
        <w:t xml:space="preserve">% līdz </w:t>
      </w:r>
      <w:r w:rsidR="002C00AE" w:rsidRPr="00466A5D">
        <w:t>855</w:t>
      </w:r>
      <w:r w:rsidR="00466A5D">
        <w:t> </w:t>
      </w:r>
      <w:r w:rsidR="002C00AE" w:rsidRPr="00466A5D">
        <w:t>%.</w:t>
      </w:r>
      <w:r w:rsidR="00BA0A83" w:rsidRPr="00466A5D">
        <w:t xml:space="preserve"> Tomēr koka mēbeļu izstrādājumu realizācija ir laika periodā no 2005.</w:t>
      </w:r>
      <w:r w:rsidR="00B84AD2" w:rsidRPr="00466A5D">
        <w:t> </w:t>
      </w:r>
      <w:r w:rsidR="00BA0A83" w:rsidRPr="00466A5D">
        <w:t>gada līdz 2014.</w:t>
      </w:r>
      <w:r w:rsidR="00B84AD2" w:rsidRPr="00466A5D">
        <w:t> </w:t>
      </w:r>
      <w:r w:rsidR="00BA0A83" w:rsidRPr="00466A5D">
        <w:t>gadam ir samazinājusies par 24</w:t>
      </w:r>
      <w:r w:rsidR="00466A5D">
        <w:t> </w:t>
      </w:r>
      <w:r w:rsidR="00BA0A83" w:rsidRPr="00466A5D">
        <w:t>%</w:t>
      </w:r>
      <w:r w:rsidR="00466A5D">
        <w:t> </w:t>
      </w:r>
      <w:r w:rsidR="00B84AD2" w:rsidRPr="00466A5D">
        <w:t>–</w:t>
      </w:r>
      <w:r w:rsidR="00466A5D">
        <w:t> </w:t>
      </w:r>
      <w:r w:rsidR="00BA0A83" w:rsidRPr="00466A5D">
        <w:t>75</w:t>
      </w:r>
      <w:r w:rsidR="00466A5D">
        <w:t> </w:t>
      </w:r>
      <w:r w:rsidR="00BA0A83" w:rsidRPr="00466A5D">
        <w:t>% atkarībā no izstrādājuma veida.</w:t>
      </w:r>
    </w:p>
    <w:p w14:paraId="6C83C81F" w14:textId="77777777" w:rsidR="00BA0A83" w:rsidRPr="00A46CC4" w:rsidRDefault="00BA0A83" w:rsidP="0064616A">
      <w:r w:rsidRPr="00466A5D">
        <w:t>Latvijā līdz 2013.</w:t>
      </w:r>
      <w:r w:rsidR="00B84AD2" w:rsidRPr="00466A5D">
        <w:t> </w:t>
      </w:r>
      <w:r w:rsidRPr="00466A5D">
        <w:t>gadam otrreizējā rūpnieciskajā pārstrādē tika izmantoti papīrs un papīra izstrādājumi, kā arī metāllūžņi</w:t>
      </w:r>
      <w:r w:rsidR="0026090D" w:rsidRPr="00466A5D">
        <w:t>. T</w:t>
      </w:r>
      <w:r w:rsidRPr="00466A5D">
        <w:t>omēr 2014.</w:t>
      </w:r>
      <w:r w:rsidR="00B84AD2" w:rsidRPr="00466A5D">
        <w:t> </w:t>
      </w:r>
      <w:r w:rsidRPr="00466A5D">
        <w:t>gadā šie produkti vairs netika izmantoti, jo papīra izstrādājumu un dzelzs izstrādājumu ražošana Latvijā šobrīd nenotiek.</w:t>
      </w:r>
    </w:p>
    <w:p w14:paraId="16A1429A" w14:textId="55151919" w:rsidR="00BA0A83" w:rsidRPr="00A46CC4" w:rsidRDefault="00FD633D">
      <w:pPr>
        <w:pStyle w:val="Heading2"/>
      </w:pPr>
      <w:bookmarkStart w:id="27" w:name="_Toc523217376"/>
      <w:r w:rsidRPr="00A46CC4">
        <w:rPr>
          <w:lang w:val="lv-LV"/>
        </w:rPr>
        <w:t>4</w:t>
      </w:r>
      <w:r w:rsidR="00BA0A83" w:rsidRPr="00A46CC4">
        <w:t>.4.</w:t>
      </w:r>
      <w:r w:rsidR="00466A5D">
        <w:rPr>
          <w:lang w:val="lv-LV"/>
        </w:rPr>
        <w:t> </w:t>
      </w:r>
      <w:r w:rsidR="00BA0A83" w:rsidRPr="00A46CC4">
        <w:t>Ķīmisko vielu un saldēšanas aģentu patēriņš</w:t>
      </w:r>
      <w:bookmarkEnd w:id="27"/>
    </w:p>
    <w:p w14:paraId="4384D2CE" w14:textId="458C49FB" w:rsidR="00BA0A83" w:rsidRPr="00A46CC4" w:rsidRDefault="00BA0A83" w:rsidP="0064616A">
      <w:r w:rsidRPr="00A46CC4">
        <w:t>Lai gan saldēšanas aģentu (fluorēto gāzu) daudzums valstī un emisiju apjomi nav lieli (</w:t>
      </w:r>
      <w:r w:rsidR="00DB106C" w:rsidRPr="00A46CC4">
        <w:t>2016</w:t>
      </w:r>
      <w:r w:rsidRPr="00A46CC4">
        <w:t>.</w:t>
      </w:r>
      <w:r w:rsidR="0084731E" w:rsidRPr="00A46CC4">
        <w:t> </w:t>
      </w:r>
      <w:r w:rsidR="00466A5D">
        <w:t>gadā </w:t>
      </w:r>
      <w:r w:rsidRPr="00A46CC4">
        <w:t>–</w:t>
      </w:r>
      <w:r w:rsidR="00466A5D">
        <w:t> 2,</w:t>
      </w:r>
      <w:r w:rsidR="00DB106C" w:rsidRPr="00A46CC4">
        <w:t>1</w:t>
      </w:r>
      <w:r w:rsidRPr="00A46CC4">
        <w:t>% no kopējā Latvijas SEG emisiju apjoma), taču to nozīme jāņem vērā saistībā ar šo gāzu globālā sasilšanas potenciāla augstajām vērtībām. Pieaugot iedzīvotāju dzīves līmenim un labklājībai, kā arī palielinoties pakalpojumu sektora nozīmīgumam valsts ekonomikā (īpaši vairumtirdzniecībai un mazumtirdzniecībai), arī saldēšanas aģentu patēriņš pieaugs.</w:t>
      </w:r>
    </w:p>
    <w:p w14:paraId="5997FFE7" w14:textId="2C2D0325" w:rsidR="00BA0A83" w:rsidRPr="00A46CC4" w:rsidRDefault="00BA0A83" w:rsidP="0064616A">
      <w:r w:rsidRPr="00A46CC4">
        <w:t>201</w:t>
      </w:r>
      <w:r w:rsidR="00314E3D" w:rsidRPr="00A46CC4">
        <w:t>6</w:t>
      </w:r>
      <w:r w:rsidRPr="00A46CC4">
        <w:t>.</w:t>
      </w:r>
      <w:r w:rsidR="00466A5D">
        <w:t> </w:t>
      </w:r>
      <w:r w:rsidRPr="00A46CC4">
        <w:t>gadā uz 100 mājsaimniecīb</w:t>
      </w:r>
      <w:r w:rsidR="0026090D" w:rsidRPr="00A46CC4">
        <w:t>ām</w:t>
      </w:r>
      <w:r w:rsidRPr="00A46CC4">
        <w:t xml:space="preserve"> bija vidēji </w:t>
      </w:r>
      <w:r w:rsidR="00CE7080" w:rsidRPr="00A46CC4">
        <w:t xml:space="preserve">98 </w:t>
      </w:r>
      <w:r w:rsidRPr="00A46CC4">
        <w:t>ledusskapji. Šis īpatsvars ir pieaudzis no 9</w:t>
      </w:r>
      <w:r w:rsidR="00CE7080" w:rsidRPr="00A46CC4">
        <w:t>0</w:t>
      </w:r>
      <w:r w:rsidRPr="00A46CC4">
        <w:t>% 2002.</w:t>
      </w:r>
      <w:r w:rsidR="0084731E" w:rsidRPr="00A46CC4">
        <w:t> </w:t>
      </w:r>
      <w:r w:rsidRPr="00A46CC4">
        <w:t>gadā līdz 98% 201</w:t>
      </w:r>
      <w:r w:rsidR="00314E3D" w:rsidRPr="00A46CC4">
        <w:t>6</w:t>
      </w:r>
      <w:r w:rsidRPr="00A46CC4">
        <w:t>.</w:t>
      </w:r>
      <w:r w:rsidR="0084731E" w:rsidRPr="00A46CC4">
        <w:t> </w:t>
      </w:r>
      <w:r w:rsidRPr="00A46CC4">
        <w:t>gadā. Savukārt mobilie gaisa kondicionieri (automašīnu gaisa kondicionēšanas sistēmas) ir uzstādītas visām EURO5 un EURO6 klases automašīnām (arī kravas transportlīdzekļiem un autobusiem), kā arī vairāk nekā 75</w:t>
      </w:r>
      <w:r w:rsidR="00466A5D">
        <w:t> </w:t>
      </w:r>
      <w:r w:rsidRPr="00A46CC4">
        <w:t>% no tām automašīnām, kas ir ražotas pēc 2000.</w:t>
      </w:r>
      <w:r w:rsidR="0084731E" w:rsidRPr="00A46CC4">
        <w:t> </w:t>
      </w:r>
      <w:r w:rsidRPr="00A46CC4">
        <w:t xml:space="preserve">gada. Ņemot vērā lielo privāto automašīnu īpatsvaru </w:t>
      </w:r>
      <w:r w:rsidRPr="00466A5D">
        <w:t>mājsaimniecībās (201</w:t>
      </w:r>
      <w:r w:rsidR="006E2F40" w:rsidRPr="00466A5D">
        <w:t>5</w:t>
      </w:r>
      <w:r w:rsidRPr="00466A5D">
        <w:t>.</w:t>
      </w:r>
      <w:r w:rsidR="0084731E" w:rsidRPr="00466A5D">
        <w:t> </w:t>
      </w:r>
      <w:r w:rsidRPr="00466A5D">
        <w:t xml:space="preserve">gadā </w:t>
      </w:r>
      <w:r w:rsidR="006E2F40" w:rsidRPr="00466A5D">
        <w:t>46,5</w:t>
      </w:r>
      <w:r w:rsidR="00466A5D" w:rsidRPr="00466A5D">
        <w:t> </w:t>
      </w:r>
      <w:r w:rsidRPr="00466A5D">
        <w:t xml:space="preserve">% no visām mājsaimniecībām bija vismaz </w:t>
      </w:r>
      <w:r w:rsidR="002C4BFA">
        <w:t>viena</w:t>
      </w:r>
      <w:r w:rsidR="002C4BFA" w:rsidRPr="00466A5D">
        <w:t xml:space="preserve"> </w:t>
      </w:r>
      <w:r w:rsidRPr="00466A5D">
        <w:t>automašīna) un šī īpatsvara pieaugumu (2013.</w:t>
      </w:r>
      <w:r w:rsidR="0084731E" w:rsidRPr="00466A5D">
        <w:t> </w:t>
      </w:r>
      <w:r w:rsidRPr="00466A5D">
        <w:t>gadā 47</w:t>
      </w:r>
      <w:r w:rsidR="00466A5D" w:rsidRPr="00466A5D">
        <w:t> </w:t>
      </w:r>
      <w:r w:rsidRPr="00466A5D">
        <w:t xml:space="preserve">% no visām mājsaimniecībām bija vismaz </w:t>
      </w:r>
      <w:r w:rsidR="002C4BFA">
        <w:t>viena</w:t>
      </w:r>
      <w:r w:rsidR="002C4BFA" w:rsidRPr="00466A5D">
        <w:t xml:space="preserve"> </w:t>
      </w:r>
      <w:r w:rsidRPr="00466A5D">
        <w:t>automašīna), kā arī kravas transportlīdzekļu būtisku izmantošanu Latvijā, ir secināms, ka saldēšanas aģentu patēriņš transportā palielināsies.</w:t>
      </w:r>
    </w:p>
    <w:p w14:paraId="37411D4E" w14:textId="2E88A84D" w:rsidR="00BA0A83" w:rsidRPr="00A46CC4" w:rsidRDefault="0026090D" w:rsidP="0064616A">
      <w:r w:rsidRPr="00466A5D">
        <w:t>V</w:t>
      </w:r>
      <w:r w:rsidR="00BA0A83" w:rsidRPr="00466A5D">
        <w:t xml:space="preserve">irzībai uz </w:t>
      </w:r>
      <w:r w:rsidR="0084731E" w:rsidRPr="00466A5D">
        <w:t>OMA</w:t>
      </w:r>
      <w:r w:rsidR="00BA0A83" w:rsidRPr="00466A5D">
        <w:t xml:space="preserve"> </w:t>
      </w:r>
      <w:r w:rsidRPr="00466A5D">
        <w:t xml:space="preserve">sabiedrībai ir būtiski samazināt </w:t>
      </w:r>
      <w:r w:rsidR="00BA0A83" w:rsidRPr="00466A5D">
        <w:t>ikdienā izmantoto ķīmisko vielu apjom</w:t>
      </w:r>
      <w:r w:rsidRPr="00466A5D">
        <w:t>u</w:t>
      </w:r>
      <w:r w:rsidR="00BA0A83" w:rsidRPr="00466A5D">
        <w:t>, kā arī būvniecībā izmantoto ķīmisko vielu nomaiņa uz videi un klimatam draudzīgām ķīmiskām vielām. Piemēram, bitumena izmantošana asfaltēšanā vai būvniecības darbos periodā no 1990.</w:t>
      </w:r>
      <w:r w:rsidR="0084731E" w:rsidRPr="00466A5D">
        <w:t> </w:t>
      </w:r>
      <w:r w:rsidR="00BA0A83" w:rsidRPr="00466A5D">
        <w:t>gada līdz 2014.</w:t>
      </w:r>
      <w:r w:rsidR="0084731E" w:rsidRPr="00466A5D">
        <w:t> </w:t>
      </w:r>
      <w:r w:rsidR="00BA0A83" w:rsidRPr="00466A5D">
        <w:t>gadam ir palielinājusies vairāk nekā 3000 reižu (periodā no 2005.</w:t>
      </w:r>
      <w:r w:rsidR="0084731E" w:rsidRPr="00466A5D">
        <w:t> </w:t>
      </w:r>
      <w:r w:rsidR="00BA0A83" w:rsidRPr="00466A5D">
        <w:t>gada līdz 2014.</w:t>
      </w:r>
      <w:r w:rsidR="0084731E" w:rsidRPr="00466A5D">
        <w:t> </w:t>
      </w:r>
      <w:r w:rsidR="00466A5D">
        <w:t>gadam </w:t>
      </w:r>
      <w:r w:rsidR="00BA0A83" w:rsidRPr="00466A5D">
        <w:t>–</w:t>
      </w:r>
      <w:r w:rsidR="00466A5D">
        <w:t> </w:t>
      </w:r>
      <w:r w:rsidR="00BA0A83" w:rsidRPr="00466A5D">
        <w:t>10,7% palielinājums). Pēdējos gados ir novērojams bitumena izmantošanas samazinājums, tomēr ceļu stāvokļa uzturēšana un jaunu ceļu asfaltēšana ir būtisks nosacījums valsts ekonomiskajā attīstībā. Arī krāsu un šķīdinātāju izmantošana mājsaimniecībās un būvniecības darbos ir palielinājusies par 5,6</w:t>
      </w:r>
      <w:r w:rsidR="00466A5D">
        <w:t> </w:t>
      </w:r>
      <w:r w:rsidR="00BA0A83" w:rsidRPr="00466A5D">
        <w:t>% laika posmā no 2005.</w:t>
      </w:r>
      <w:r w:rsidR="0084731E" w:rsidRPr="00466A5D">
        <w:t> </w:t>
      </w:r>
      <w:r w:rsidR="00BA0A83" w:rsidRPr="00466A5D">
        <w:t>gada līdz 2014.</w:t>
      </w:r>
      <w:r w:rsidR="0084731E" w:rsidRPr="00466A5D">
        <w:t> </w:t>
      </w:r>
      <w:r w:rsidR="00BA0A83" w:rsidRPr="00466A5D">
        <w:t>gadam.</w:t>
      </w:r>
    </w:p>
    <w:p w14:paraId="580E11C0" w14:textId="77777777" w:rsidR="00BA0A83" w:rsidRPr="00A46CC4" w:rsidRDefault="00FD633D">
      <w:pPr>
        <w:pStyle w:val="Heading2"/>
      </w:pPr>
      <w:bookmarkStart w:id="28" w:name="_Toc523217377"/>
      <w:r w:rsidRPr="00A46CC4">
        <w:rPr>
          <w:lang w:val="lv-LV"/>
        </w:rPr>
        <w:lastRenderedPageBreak/>
        <w:t>4</w:t>
      </w:r>
      <w:r w:rsidR="00BA0A83" w:rsidRPr="00A46CC4">
        <w:t>.5. Atkritumu radīšana</w:t>
      </w:r>
      <w:bookmarkEnd w:id="28"/>
    </w:p>
    <w:p w14:paraId="1CB97060" w14:textId="4656B8AD" w:rsidR="00A73355" w:rsidRPr="00466A5D" w:rsidRDefault="00BA0A83" w:rsidP="00466A5D">
      <w:r w:rsidRPr="00466A5D">
        <w:t>Latvijā 201</w:t>
      </w:r>
      <w:r w:rsidR="003122DA" w:rsidRPr="00466A5D">
        <w:t>6</w:t>
      </w:r>
      <w:r w:rsidRPr="00466A5D">
        <w:t>.</w:t>
      </w:r>
      <w:r w:rsidR="004E6C92" w:rsidRPr="00466A5D">
        <w:t> </w:t>
      </w:r>
      <w:r w:rsidRPr="00466A5D">
        <w:t xml:space="preserve">gadā tika radīti </w:t>
      </w:r>
      <w:r w:rsidR="00A0185D" w:rsidRPr="00466A5D">
        <w:t>2,</w:t>
      </w:r>
      <w:r w:rsidR="00A73355" w:rsidRPr="00466A5D">
        <w:t xml:space="preserve">04 </w:t>
      </w:r>
      <w:r w:rsidRPr="00466A5D">
        <w:t>milj.</w:t>
      </w:r>
      <w:r w:rsidR="004E6C92" w:rsidRPr="00466A5D">
        <w:t xml:space="preserve"> </w:t>
      </w:r>
      <w:r w:rsidR="00977767" w:rsidRPr="00466A5D">
        <w:t>t atkritumu, no kuriem 63,66 tūkst. t (</w:t>
      </w:r>
      <w:r w:rsidR="00A73355" w:rsidRPr="00466A5D">
        <w:t>3</w:t>
      </w:r>
      <w:r w:rsidRPr="00466A5D">
        <w:t>%</w:t>
      </w:r>
      <w:r w:rsidR="00977767" w:rsidRPr="00466A5D">
        <w:t>)</w:t>
      </w:r>
      <w:r w:rsidRPr="00466A5D">
        <w:t xml:space="preserve"> bija bīstamie atkritumi, savukārt savākti tika 1,</w:t>
      </w:r>
      <w:r w:rsidR="00A73355" w:rsidRPr="00466A5D">
        <w:t>63</w:t>
      </w:r>
      <w:r w:rsidRPr="00466A5D">
        <w:t xml:space="preserve"> milj.</w:t>
      </w:r>
      <w:r w:rsidR="004E6C92" w:rsidRPr="00466A5D">
        <w:t xml:space="preserve"> </w:t>
      </w:r>
      <w:r w:rsidRPr="00466A5D">
        <w:t>t atkritumu. 201</w:t>
      </w:r>
      <w:r w:rsidR="00A73355" w:rsidRPr="00466A5D">
        <w:t>6</w:t>
      </w:r>
      <w:r w:rsidRPr="00466A5D">
        <w:t>.</w:t>
      </w:r>
      <w:r w:rsidR="004E6C92" w:rsidRPr="00466A5D">
        <w:t> </w:t>
      </w:r>
      <w:r w:rsidRPr="00466A5D">
        <w:t xml:space="preserve">gadā pārstrādātais atkritumu daudzums </w:t>
      </w:r>
      <w:r w:rsidR="00A73355" w:rsidRPr="00466A5D">
        <w:t xml:space="preserve">bija mazāks par </w:t>
      </w:r>
      <w:r w:rsidRPr="00466A5D">
        <w:t>savākto atkritumu daudzumu – 1,</w:t>
      </w:r>
      <w:r w:rsidR="00977767" w:rsidRPr="00466A5D">
        <w:t>157</w:t>
      </w:r>
      <w:r w:rsidRPr="00466A5D">
        <w:t xml:space="preserve"> milj.</w:t>
      </w:r>
      <w:r w:rsidR="004E6C92" w:rsidRPr="00466A5D">
        <w:t xml:space="preserve"> </w:t>
      </w:r>
      <w:r w:rsidRPr="00466A5D">
        <w:t xml:space="preserve">t, </w:t>
      </w:r>
      <w:r w:rsidR="00977767" w:rsidRPr="00466A5D">
        <w:t>apglabāts atkritumu poligonos tika 353 tūkst. t, ievietots bioenerģētiskajā šunā – 243 tūkst. t, eksportēts – 229 tūkst. t.</w:t>
      </w:r>
      <w:r w:rsidRPr="00466A5D">
        <w:t xml:space="preserve"> Kopumā atkritumu apjoms</w:t>
      </w:r>
      <w:r w:rsidR="00A73355" w:rsidRPr="00466A5D">
        <w:t xml:space="preserve"> salīdzinājumā ar 2015. gadu ir samazinājies par 3,4%. </w:t>
      </w:r>
    </w:p>
    <w:p w14:paraId="5D62F848" w14:textId="62C5DDA7" w:rsidR="00BA0A83" w:rsidRPr="00466A5D" w:rsidRDefault="00BA0A83" w:rsidP="00466A5D">
      <w:r w:rsidRPr="00466A5D">
        <w:t>Salīdzinot ar 20</w:t>
      </w:r>
      <w:r w:rsidR="00A73355" w:rsidRPr="00466A5D">
        <w:t>10</w:t>
      </w:r>
      <w:r w:rsidRPr="00466A5D">
        <w:t>. gadu radītais sadzīves atkritumu daudzums 201</w:t>
      </w:r>
      <w:r w:rsidR="00A73355" w:rsidRPr="00466A5D">
        <w:t>6</w:t>
      </w:r>
      <w:r w:rsidR="00466A5D">
        <w:t>. </w:t>
      </w:r>
      <w:r w:rsidRPr="00466A5D">
        <w:t>gadā ir pieaudzis par 4</w:t>
      </w:r>
      <w:r w:rsidR="00A0185D" w:rsidRPr="00466A5D">
        <w:t>3</w:t>
      </w:r>
      <w:r w:rsidR="00466A5D">
        <w:t> </w:t>
      </w:r>
      <w:r w:rsidRPr="00466A5D">
        <w:t xml:space="preserve">%, savāktais atkritumu daudzums par </w:t>
      </w:r>
      <w:r w:rsidR="00A0185D" w:rsidRPr="00466A5D">
        <w:t>12</w:t>
      </w:r>
      <w:r w:rsidRPr="00466A5D">
        <w:t xml:space="preserve">%, savukārt pārstrādāti </w:t>
      </w:r>
      <w:r w:rsidR="00A0185D" w:rsidRPr="00466A5D">
        <w:t>par 43% vairāk atkritumu</w:t>
      </w:r>
      <w:r w:rsidRPr="00466A5D">
        <w:t xml:space="preserve">. </w:t>
      </w:r>
    </w:p>
    <w:p w14:paraId="38DBCFA1" w14:textId="5156741F" w:rsidR="00BA0A83" w:rsidRPr="00466A5D" w:rsidRDefault="00BA0A83" w:rsidP="00466A5D">
      <w:r w:rsidRPr="00466A5D">
        <w:t>201</w:t>
      </w:r>
      <w:r w:rsidR="00A0185D" w:rsidRPr="00466A5D">
        <w:t>6</w:t>
      </w:r>
      <w:r w:rsidRPr="00466A5D">
        <w:t>.</w:t>
      </w:r>
      <w:r w:rsidR="00466A5D">
        <w:t> </w:t>
      </w:r>
      <w:r w:rsidRPr="00466A5D">
        <w:t xml:space="preserve">gadā radītais bīstamo atkritumu daudzums ir pieaudzis par </w:t>
      </w:r>
      <w:r w:rsidR="00A0185D" w:rsidRPr="00466A5D">
        <w:t>13,5</w:t>
      </w:r>
      <w:r w:rsidR="00466A5D">
        <w:t> </w:t>
      </w:r>
      <w:r w:rsidRPr="00466A5D">
        <w:t xml:space="preserve">% un savāktais daudzums </w:t>
      </w:r>
      <w:r w:rsidR="00A0185D" w:rsidRPr="00466A5D">
        <w:t xml:space="preserve">samazinājies </w:t>
      </w:r>
      <w:r w:rsidRPr="00466A5D">
        <w:t>par</w:t>
      </w:r>
      <w:r w:rsidR="00A0185D" w:rsidRPr="00466A5D">
        <w:t xml:space="preserve"> 15,8</w:t>
      </w:r>
      <w:r w:rsidR="00466A5D">
        <w:t> </w:t>
      </w:r>
      <w:r w:rsidRPr="00466A5D">
        <w:t>%</w:t>
      </w:r>
      <w:r w:rsidR="00C94F9E" w:rsidRPr="00466A5D">
        <w:t>, salīdzinot ar 20</w:t>
      </w:r>
      <w:r w:rsidR="00A0185D" w:rsidRPr="00466A5D">
        <w:t>10</w:t>
      </w:r>
      <w:r w:rsidR="00C94F9E" w:rsidRPr="00466A5D">
        <w:t>.</w:t>
      </w:r>
      <w:r w:rsidR="00466A5D">
        <w:t> </w:t>
      </w:r>
      <w:r w:rsidR="00C94F9E" w:rsidRPr="00466A5D">
        <w:t xml:space="preserve">gadu. </w:t>
      </w:r>
      <w:r w:rsidR="004E6C92" w:rsidRPr="00466A5D">
        <w:t>S</w:t>
      </w:r>
      <w:r w:rsidRPr="00466A5D">
        <w:t xml:space="preserve">alīdzinot ar iepriekšējo gadu </w:t>
      </w:r>
      <w:r w:rsidR="004E6C92" w:rsidRPr="00466A5D">
        <w:t>201</w:t>
      </w:r>
      <w:r w:rsidR="00A0185D" w:rsidRPr="00466A5D">
        <w:t>6</w:t>
      </w:r>
      <w:r w:rsidR="00466A5D">
        <w:t>. </w:t>
      </w:r>
      <w:r w:rsidR="004E6C92" w:rsidRPr="00466A5D">
        <w:t xml:space="preserve">gadā </w:t>
      </w:r>
      <w:r w:rsidRPr="00466A5D">
        <w:t xml:space="preserve">apglabātais </w:t>
      </w:r>
      <w:r w:rsidR="00A0185D" w:rsidRPr="00466A5D">
        <w:t xml:space="preserve">un pārstrādātais bīstamo atkritumu daudzums </w:t>
      </w:r>
      <w:r w:rsidRPr="00466A5D">
        <w:t>ir samazinājies</w:t>
      </w:r>
      <w:r w:rsidR="00A0185D" w:rsidRPr="00466A5D">
        <w:t xml:space="preserve"> par</w:t>
      </w:r>
      <w:r w:rsidRPr="00466A5D">
        <w:t xml:space="preserve"> </w:t>
      </w:r>
      <w:r w:rsidR="00A0185D" w:rsidRPr="00466A5D">
        <w:t>45</w:t>
      </w:r>
      <w:r w:rsidRPr="00466A5D">
        <w:t>%.</w:t>
      </w:r>
    </w:p>
    <w:p w14:paraId="4E77CA71" w14:textId="25399AC0" w:rsidR="00D533C2" w:rsidRPr="00466A5D" w:rsidRDefault="00A0185D" w:rsidP="00466A5D">
      <w:r w:rsidRPr="00466A5D">
        <w:t>Katrs Latvijas iedzīvotājs 2016.</w:t>
      </w:r>
      <w:r w:rsidR="00466A5D">
        <w:t> </w:t>
      </w:r>
      <w:r w:rsidRPr="00466A5D">
        <w:t xml:space="preserve">gadā radījis vidēji 410 </w:t>
      </w:r>
      <w:r w:rsidR="00297AAC" w:rsidRPr="00466A5D">
        <w:t>k</w:t>
      </w:r>
      <w:r w:rsidR="00297AAC">
        <w:t>g</w:t>
      </w:r>
      <w:r w:rsidR="00297AAC" w:rsidRPr="00466A5D">
        <w:t xml:space="preserve"> </w:t>
      </w:r>
      <w:r w:rsidRPr="00466A5D">
        <w:t>sadzīves atkritumu, kas ir par 70 kilogramiem mazāk, nekā vidēji saražo katrs Eiropas Savienības iedzīvotājs.</w:t>
      </w:r>
      <w:r w:rsidR="00977767" w:rsidRPr="00466A5D">
        <w:t xml:space="preserve"> Ņemot vērā bioenerģētiskās šūnas darbību SIA Getliņi Eko, ievērojami pieaudzis pārstrādāto atkritumu daudzums 2016.g</w:t>
      </w:r>
      <w:r w:rsidR="00466A5D">
        <w:t>adā</w:t>
      </w:r>
      <w:r w:rsidR="00977767" w:rsidRPr="00466A5D">
        <w:t>, salīdzinot ar iepriekšējiem gadiem (pieaugums par 60</w:t>
      </w:r>
      <w:r w:rsidR="00466A5D">
        <w:t> </w:t>
      </w:r>
      <w:r w:rsidR="00977767" w:rsidRPr="00466A5D">
        <w:t>%).</w:t>
      </w:r>
    </w:p>
    <w:p w14:paraId="649E34B4" w14:textId="77777777" w:rsidR="00BA0A83" w:rsidRPr="00A46CC4" w:rsidRDefault="00FD633D">
      <w:pPr>
        <w:pStyle w:val="Heading2"/>
      </w:pPr>
      <w:bookmarkStart w:id="29" w:name="_Toc523217378"/>
      <w:r w:rsidRPr="00A46CC4">
        <w:rPr>
          <w:lang w:val="lv-LV"/>
        </w:rPr>
        <w:t>4</w:t>
      </w:r>
      <w:r w:rsidR="00BA0A83" w:rsidRPr="00A46CC4">
        <w:t>.6. Pārtikas produktu ražošana</w:t>
      </w:r>
      <w:bookmarkEnd w:id="29"/>
    </w:p>
    <w:p w14:paraId="2458CD8F" w14:textId="3C74A2D1" w:rsidR="00D533C2" w:rsidRPr="00466A5D" w:rsidRDefault="00BA0A83" w:rsidP="00466A5D">
      <w:r w:rsidRPr="00466A5D">
        <w:t>Lauksaimniecības produkcijas ražošana lopkopības un zemkopības darbībās ir viens no lielākajiem Latvijas SEG emisiju avotiem. Lauksaimniecības dzīvnieku audzēšana un izmantošana dažādu pārtikas produktu ražošanai, kā arī lauksaimniecības zemju apstrāde un mēslojuma izmantošana ražīguma palielināšanai 201</w:t>
      </w:r>
      <w:r w:rsidR="00507E27" w:rsidRPr="00466A5D">
        <w:t>6</w:t>
      </w:r>
      <w:r w:rsidRPr="00466A5D">
        <w:t>.</w:t>
      </w:r>
      <w:r w:rsidR="003904AD" w:rsidRPr="00466A5D">
        <w:t> </w:t>
      </w:r>
      <w:r w:rsidRPr="00466A5D">
        <w:t>gadā bija Latvijas SEG emisiju pamatavoti.</w:t>
      </w:r>
    </w:p>
    <w:p w14:paraId="7DD2BD90" w14:textId="77777777" w:rsidR="00BA0A83" w:rsidRPr="00A46CC4" w:rsidRDefault="00BA0A83" w:rsidP="00BE0FD4">
      <w:pPr>
        <w:pStyle w:val="Subtitle"/>
        <w:numPr>
          <w:ilvl w:val="0"/>
          <w:numId w:val="10"/>
        </w:numPr>
      </w:pPr>
      <w:r w:rsidRPr="00A46CC4">
        <w:t>Lopkopība</w:t>
      </w:r>
    </w:p>
    <w:p w14:paraId="18BF3C9E" w14:textId="404491ED" w:rsidR="00BA0A83" w:rsidRPr="00466A5D" w:rsidRDefault="00BA0A83" w:rsidP="00466A5D">
      <w:r w:rsidRPr="00466A5D">
        <w:t>201</w:t>
      </w:r>
      <w:r w:rsidR="000F1DBB" w:rsidRPr="00466A5D">
        <w:t>7</w:t>
      </w:r>
      <w:r w:rsidRPr="00466A5D">
        <w:t>.</w:t>
      </w:r>
      <w:r w:rsidR="00466A5D">
        <w:t> </w:t>
      </w:r>
      <w:r w:rsidRPr="00466A5D">
        <w:t xml:space="preserve">gada beigās lauku saimniecībās audzēja </w:t>
      </w:r>
      <w:r w:rsidR="00F16274" w:rsidRPr="00466A5D">
        <w:t>405,8 tūkst. liellopu, kas ir par 6,5 tūkst. jeb 1,6</w:t>
      </w:r>
      <w:r w:rsidR="00466A5D">
        <w:t> </w:t>
      </w:r>
      <w:r w:rsidR="00F16274" w:rsidRPr="00466A5D">
        <w:t>% mazāk nekā pirms gada.</w:t>
      </w:r>
      <w:r w:rsidRPr="00466A5D">
        <w:t xml:space="preserve"> </w:t>
      </w:r>
      <w:r w:rsidR="00F16274" w:rsidRPr="00466A5D">
        <w:t>Āfrikas cūku mēris ietekmēja cūku skaita samazinājumu 2017.</w:t>
      </w:r>
      <w:r w:rsidR="00466A5D">
        <w:t> </w:t>
      </w:r>
      <w:r w:rsidR="00F16274" w:rsidRPr="00466A5D">
        <w:t>gada beigās par 15,8 tūkst. jeb 4,7</w:t>
      </w:r>
      <w:r w:rsidR="00466A5D">
        <w:t> </w:t>
      </w:r>
      <w:r w:rsidR="00F16274" w:rsidRPr="00466A5D">
        <w:t>%, līdz ar to reģistrā bija 320,6 tūkst. cūkas. Dzīvo cūku eksports pērn pieauga par 15,9 tūkst. jeb 9,</w:t>
      </w:r>
      <w:r w:rsidR="00466A5D">
        <w:t> </w:t>
      </w:r>
      <w:r w:rsidR="00F16274" w:rsidRPr="00466A5D">
        <w:t>% salīdzinājumā ar 2016.</w:t>
      </w:r>
      <w:r w:rsidR="00466A5D">
        <w:t> </w:t>
      </w:r>
      <w:r w:rsidR="00F16274" w:rsidRPr="00466A5D">
        <w:t>gadu. Salīdzinot ar 2016.gada beigām, aitu skaits Latvijas saimniecībās pieauga par 5,2%, sasniedzot 112,2 tūkst. dzīvnieku</w:t>
      </w:r>
      <w:r w:rsidR="00C94F9E" w:rsidRPr="00466A5D">
        <w:t xml:space="preserve">, savukārt </w:t>
      </w:r>
      <w:r w:rsidRPr="00466A5D">
        <w:t>joprojām turpina samazināties zirgu skaits</w:t>
      </w:r>
      <w:r w:rsidR="00F16274" w:rsidRPr="00466A5D">
        <w:t>,</w:t>
      </w:r>
      <w:r w:rsidRPr="00466A5D">
        <w:t xml:space="preserve"> </w:t>
      </w:r>
      <w:r w:rsidR="00F16274" w:rsidRPr="00466A5D">
        <w:t>2017.</w:t>
      </w:r>
      <w:r w:rsidR="00466A5D">
        <w:t> </w:t>
      </w:r>
      <w:r w:rsidR="00F16274" w:rsidRPr="00466A5D">
        <w:t>gada beigās reģistrā bija 8,9 tūkst. zirgu, kas ir par 4,4% mazāk nekā gadu iepriekš</w:t>
      </w:r>
      <w:r w:rsidR="006D7738" w:rsidRPr="00466A5D">
        <w:t>.</w:t>
      </w:r>
    </w:p>
    <w:p w14:paraId="7B854440" w14:textId="771012BE" w:rsidR="00BA0A83" w:rsidRDefault="00466A5D" w:rsidP="00466A5D">
      <w:r>
        <w:t>2017. </w:t>
      </w:r>
      <w:r w:rsidR="006D7738" w:rsidRPr="00466A5D">
        <w:t>gadā iegūts 1000,1 tūkst. tonnu piena (ieskaitot kazu pienu), kas ir par 13,9 tūkst. tonnu jeb 1,4</w:t>
      </w:r>
      <w:r>
        <w:t> </w:t>
      </w:r>
      <w:r w:rsidR="006D7738" w:rsidRPr="00466A5D">
        <w:t>% vairāk nekā 2016.</w:t>
      </w:r>
      <w:r>
        <w:t> </w:t>
      </w:r>
      <w:r w:rsidR="006D7738" w:rsidRPr="00466A5D">
        <w:t>gadā. Kopējo iegūtā piena apjoma pieaugumu ietekmēja vidējā izslaukuma pieaugums no vienas slaucamās govs par 343 kg jeb par 5,5</w:t>
      </w:r>
      <w:r>
        <w:t> </w:t>
      </w:r>
      <w:r w:rsidR="006D7738" w:rsidRPr="00466A5D">
        <w:t>%, sasniedzot 6,5 t gadā.</w:t>
      </w:r>
      <w:r w:rsidR="00492276" w:rsidRPr="00466A5D">
        <w:t xml:space="preserve"> </w:t>
      </w:r>
      <w:r w:rsidR="00BA0A83" w:rsidRPr="00466A5D">
        <w:t xml:space="preserve">Iepirktā piena īpatsvars kopējā saražotā piena apjomā </w:t>
      </w:r>
      <w:r w:rsidR="006D7738" w:rsidRPr="00466A5D">
        <w:t xml:space="preserve">samazinājās </w:t>
      </w:r>
      <w:r w:rsidR="00BA0A83" w:rsidRPr="00466A5D">
        <w:t xml:space="preserve">par </w:t>
      </w:r>
      <w:r w:rsidR="006D7738" w:rsidRPr="00466A5D">
        <w:t>0</w:t>
      </w:r>
      <w:r w:rsidR="00BA0A83" w:rsidRPr="00466A5D">
        <w:t>,</w:t>
      </w:r>
      <w:r w:rsidR="006D7738" w:rsidRPr="00466A5D">
        <w:t>1</w:t>
      </w:r>
      <w:r>
        <w:t> </w:t>
      </w:r>
      <w:r w:rsidR="00BA0A83" w:rsidRPr="00466A5D">
        <w:t>%</w:t>
      </w:r>
      <w:r w:rsidR="006D7738" w:rsidRPr="00466A5D">
        <w:t>, 2017.</w:t>
      </w:r>
      <w:r>
        <w:t> </w:t>
      </w:r>
      <w:r w:rsidR="006D7738" w:rsidRPr="00466A5D">
        <w:t>gadā tika iepirkti 813,5 tūkst. tonnu piena, kas ir par 0,1</w:t>
      </w:r>
      <w:r>
        <w:t> </w:t>
      </w:r>
      <w:r w:rsidR="006D7738" w:rsidRPr="00466A5D">
        <w:t>% mazāk nekā 2016.</w:t>
      </w:r>
      <w:r>
        <w:t> </w:t>
      </w:r>
      <w:r w:rsidR="006D7738" w:rsidRPr="00466A5D">
        <w:t>gadā.</w:t>
      </w:r>
    </w:p>
    <w:p w14:paraId="1537A266" w14:textId="77777777" w:rsidR="00466A5D" w:rsidRPr="00466A5D" w:rsidRDefault="00466A5D" w:rsidP="00466A5D"/>
    <w:p w14:paraId="429836B3" w14:textId="77777777" w:rsidR="00BA0A83" w:rsidRPr="00466A5D" w:rsidRDefault="00BA0A83" w:rsidP="00466A5D">
      <w:pPr>
        <w:pStyle w:val="ListParagraph"/>
        <w:numPr>
          <w:ilvl w:val="0"/>
          <w:numId w:val="10"/>
        </w:numPr>
        <w:rPr>
          <w:b/>
        </w:rPr>
      </w:pPr>
      <w:r w:rsidRPr="00466A5D">
        <w:rPr>
          <w:b/>
        </w:rPr>
        <w:t>Lauksaimniecības zemju apstrāde</w:t>
      </w:r>
    </w:p>
    <w:p w14:paraId="34C2F6B3" w14:textId="08929C56" w:rsidR="00492276" w:rsidRPr="00466A5D" w:rsidRDefault="00BA0A83" w:rsidP="00466A5D">
      <w:r w:rsidRPr="00466A5D">
        <w:t>Centrālās statistikas pārvaldes dati liecina, ka lauksaimniecībā izmantojamās zemes (</w:t>
      </w:r>
      <w:r w:rsidR="00466A5D">
        <w:t>turpmāk </w:t>
      </w:r>
      <w:r w:rsidR="003904AD" w:rsidRPr="00466A5D">
        <w:t>–</w:t>
      </w:r>
      <w:r w:rsidR="00466A5D">
        <w:t> </w:t>
      </w:r>
      <w:r w:rsidRPr="00466A5D">
        <w:t>LIZ) izmantošana 201</w:t>
      </w:r>
      <w:r w:rsidR="00507E27" w:rsidRPr="00466A5D">
        <w:t>7</w:t>
      </w:r>
      <w:r w:rsidR="00466A5D">
        <w:t>. </w:t>
      </w:r>
      <w:r w:rsidRPr="00466A5D">
        <w:t xml:space="preserve">gadā ir pieaugusi. </w:t>
      </w:r>
    </w:p>
    <w:p w14:paraId="647736C9" w14:textId="6608F401" w:rsidR="00BA0A83" w:rsidRPr="00466A5D" w:rsidRDefault="00BA0A83" w:rsidP="00466A5D">
      <w:r w:rsidRPr="00466A5D">
        <w:t>Lauku atbalsta dienesta LIZ apsekošanas rezultāti pa administratīvo teritoriju vienībām 201</w:t>
      </w:r>
      <w:r w:rsidR="001E415B" w:rsidRPr="00466A5D">
        <w:t>7</w:t>
      </w:r>
      <w:r w:rsidRPr="00466A5D">
        <w:t>.</w:t>
      </w:r>
      <w:r w:rsidR="00466A5D">
        <w:t> </w:t>
      </w:r>
      <w:r w:rsidRPr="00466A5D">
        <w:t xml:space="preserve">gadā liecina, ka apsekotā LIZ ir </w:t>
      </w:r>
      <w:r w:rsidR="00C94F9E" w:rsidRPr="00466A5D">
        <w:t>gandrīz 2,3 milj.</w:t>
      </w:r>
      <w:r w:rsidRPr="00466A5D">
        <w:t xml:space="preserve"> ha, no tās </w:t>
      </w:r>
      <w:r w:rsidR="001E415B" w:rsidRPr="00466A5D">
        <w:t xml:space="preserve">279 177 ha </w:t>
      </w:r>
      <w:r w:rsidRPr="00466A5D">
        <w:t xml:space="preserve">jeb </w:t>
      </w:r>
      <w:r w:rsidR="001E415B" w:rsidRPr="00466A5D">
        <w:t>12</w:t>
      </w:r>
      <w:r w:rsidRPr="00466A5D">
        <w:t>,</w:t>
      </w:r>
      <w:r w:rsidR="001E415B" w:rsidRPr="00466A5D">
        <w:t>4</w:t>
      </w:r>
      <w:r w:rsidR="00466A5D">
        <w:t xml:space="preserve"> % </w:t>
      </w:r>
      <w:r w:rsidRPr="00466A5D">
        <w:t>no apsekotās LIZ ir nekoptā LIZ platība.</w:t>
      </w:r>
    </w:p>
    <w:p w14:paraId="4C3168D6" w14:textId="13E2ED0C" w:rsidR="001E415B" w:rsidRPr="00466A5D" w:rsidRDefault="001E415B" w:rsidP="00466A5D">
      <w:r w:rsidRPr="00466A5D">
        <w:t>2017.</w:t>
      </w:r>
      <w:r w:rsidR="00466A5D">
        <w:t> </w:t>
      </w:r>
      <w:r w:rsidRPr="00466A5D">
        <w:t xml:space="preserve">gadā ar graudaugiem apsēti 703,5 tūkst. hektāru, kas ir </w:t>
      </w:r>
      <w:r w:rsidR="00466A5D">
        <w:t>par 12,5 tūkst. hektāru jeb 1,7 </w:t>
      </w:r>
      <w:r w:rsidRPr="00466A5D">
        <w:t>% mazāk nekā iepriekšējā gadā. Lai gan graudaugu sējumu platība sa</w:t>
      </w:r>
      <w:r w:rsidR="00466A5D">
        <w:t>mazinājās, graudu kopraža 2017. </w:t>
      </w:r>
      <w:r w:rsidRPr="00466A5D">
        <w:t>gadā sasniedza 2,7 milj. tonnu, kas ir tikai par 10,7 tūkst. tonnu jeb 0,4</w:t>
      </w:r>
      <w:r w:rsidR="00466A5D">
        <w:t> </w:t>
      </w:r>
      <w:r w:rsidRPr="00466A5D">
        <w:t>% mazāk nekā iepriekšējā gadā, ir sasniegta otra augstākā vidējā graudaugu</w:t>
      </w:r>
      <w:r w:rsidR="00C40624">
        <w:t xml:space="preserve"> ražība no viena hektāra </w:t>
      </w:r>
      <w:r w:rsidR="00466A5D">
        <w:t>–</w:t>
      </w:r>
      <w:r w:rsidR="00C40624">
        <w:t> </w:t>
      </w:r>
      <w:r w:rsidR="00466A5D">
        <w:t>38,3 </w:t>
      </w:r>
      <w:r w:rsidRPr="00466A5D">
        <w:t>centneri (augstākā bija 2015.</w:t>
      </w:r>
      <w:r w:rsidR="00466A5D">
        <w:t> gadā </w:t>
      </w:r>
      <w:r w:rsidRPr="00466A5D">
        <w:t>–</w:t>
      </w:r>
      <w:r w:rsidR="00466A5D">
        <w:t> </w:t>
      </w:r>
      <w:r w:rsidRPr="00466A5D">
        <w:t>44,9 centneri).</w:t>
      </w:r>
    </w:p>
    <w:p w14:paraId="542F0FE8" w14:textId="77777777" w:rsidR="001B79A2" w:rsidRPr="00466A5D" w:rsidRDefault="001B79A2" w:rsidP="00466A5D">
      <w:pPr>
        <w:ind w:left="567" w:firstLine="0"/>
      </w:pPr>
    </w:p>
    <w:p w14:paraId="09AF607C" w14:textId="77777777" w:rsidR="00BA0A83" w:rsidRPr="00C40624" w:rsidRDefault="00BA0A83" w:rsidP="00C40624">
      <w:pPr>
        <w:pStyle w:val="ListParagraph"/>
        <w:numPr>
          <w:ilvl w:val="0"/>
          <w:numId w:val="10"/>
        </w:numPr>
        <w:rPr>
          <w:b/>
        </w:rPr>
      </w:pPr>
      <w:r w:rsidRPr="00C40624">
        <w:rPr>
          <w:b/>
        </w:rPr>
        <w:t>Minerālmēslu izmantošana</w:t>
      </w:r>
    </w:p>
    <w:p w14:paraId="1AFAA925" w14:textId="03A0AB20" w:rsidR="00BA3B08" w:rsidRPr="00C40624" w:rsidRDefault="00BA3B08" w:rsidP="00C40624">
      <w:r w:rsidRPr="00C40624">
        <w:lastRenderedPageBreak/>
        <w:t xml:space="preserve">Centrālās statistikas pārvaldes dati liecina, ka </w:t>
      </w:r>
      <w:r w:rsidR="00BA0A83" w:rsidRPr="00C40624">
        <w:t>201</w:t>
      </w:r>
      <w:r w:rsidR="0032566B" w:rsidRPr="00C40624">
        <w:t>7</w:t>
      </w:r>
      <w:r w:rsidR="00567F3A">
        <w:t>. </w:t>
      </w:r>
      <w:r w:rsidR="00BA0A83" w:rsidRPr="00C40624">
        <w:t>gadā, pārrēķinot 100</w:t>
      </w:r>
      <w:r w:rsidR="00567F3A">
        <w:t> </w:t>
      </w:r>
      <w:r w:rsidR="00BA0A83" w:rsidRPr="00C40624">
        <w:t>% augu barības elementos, lauksaimniecības kultūru sējumiem izlietots 1</w:t>
      </w:r>
      <w:r w:rsidR="0032566B" w:rsidRPr="00C40624">
        <w:t>33,5</w:t>
      </w:r>
      <w:r w:rsidR="00BA0A83" w:rsidRPr="00C40624">
        <w:t xml:space="preserve"> tūkst. t minerālmēslu jeb par 0,</w:t>
      </w:r>
      <w:r w:rsidR="00C43458" w:rsidRPr="00C40624">
        <w:t>5</w:t>
      </w:r>
      <w:r w:rsidR="00BA0A83" w:rsidRPr="00C40624">
        <w:t xml:space="preserve">% </w:t>
      </w:r>
      <w:r w:rsidR="0032566B" w:rsidRPr="00C40624">
        <w:t>mazāk</w:t>
      </w:r>
      <w:r w:rsidR="00BA0A83" w:rsidRPr="00C40624">
        <w:t xml:space="preserve"> nekā 201</w:t>
      </w:r>
      <w:r w:rsidR="0032566B" w:rsidRPr="00C40624">
        <w:t>6</w:t>
      </w:r>
      <w:r w:rsidR="00BA0A83" w:rsidRPr="00C40624">
        <w:t>.</w:t>
      </w:r>
      <w:r w:rsidR="00567F3A">
        <w:t> </w:t>
      </w:r>
      <w:r w:rsidR="00BA0A83" w:rsidRPr="00C40624">
        <w:t xml:space="preserve">gadā. </w:t>
      </w:r>
      <w:r w:rsidR="00C43458" w:rsidRPr="00C40624">
        <w:t>2017. gadā v</w:t>
      </w:r>
      <w:r w:rsidR="00BA0A83" w:rsidRPr="00C40624">
        <w:t>ienam sējumu hektāram izlietoti 1</w:t>
      </w:r>
      <w:r w:rsidR="00C43458" w:rsidRPr="00C40624">
        <w:t>10</w:t>
      </w:r>
      <w:r w:rsidR="00BA0A83" w:rsidRPr="00C40624">
        <w:t xml:space="preserve"> kg minerālmēslu un salīdzinājumā ar iepriekšējo gadu izlietojums </w:t>
      </w:r>
      <w:r w:rsidR="00C43458" w:rsidRPr="00C40624">
        <w:t>ir pieaudzis par 1 kg</w:t>
      </w:r>
      <w:r w:rsidR="006762AA" w:rsidRPr="00C40624">
        <w:t xml:space="preserve"> vienam sējumu hektāram</w:t>
      </w:r>
      <w:r w:rsidR="00BA0A83" w:rsidRPr="00C40624">
        <w:t xml:space="preserve">. Nedaudz </w:t>
      </w:r>
      <w:r w:rsidR="006762AA" w:rsidRPr="00C40624">
        <w:t>samaz</w:t>
      </w:r>
      <w:r w:rsidR="00BA0A83" w:rsidRPr="00C40624">
        <w:t>inājies minerālmēslu izlietojums vienam graudaugu hekt</w:t>
      </w:r>
      <w:r w:rsidR="00567F3A">
        <w:t>āram </w:t>
      </w:r>
      <w:r w:rsidR="00BA0A83" w:rsidRPr="00C40624">
        <w:t>–</w:t>
      </w:r>
      <w:r w:rsidR="00567F3A">
        <w:t> </w:t>
      </w:r>
      <w:r w:rsidR="00BA0A83" w:rsidRPr="00C40624">
        <w:t>no 1</w:t>
      </w:r>
      <w:r w:rsidR="006762AA" w:rsidRPr="00C40624">
        <w:t>42</w:t>
      </w:r>
      <w:r w:rsidR="00BA0A83" w:rsidRPr="00C40624">
        <w:t xml:space="preserve"> kg 201</w:t>
      </w:r>
      <w:r w:rsidR="006762AA" w:rsidRPr="00C40624">
        <w:t>6</w:t>
      </w:r>
      <w:r w:rsidR="00BA0A83" w:rsidRPr="00C40624">
        <w:t>.</w:t>
      </w:r>
      <w:r w:rsidR="00567F3A">
        <w:t> </w:t>
      </w:r>
      <w:r w:rsidR="00BA0A83" w:rsidRPr="00C40624">
        <w:t>gadā līdz 14</w:t>
      </w:r>
      <w:r w:rsidR="006762AA" w:rsidRPr="00C40624">
        <w:t>0</w:t>
      </w:r>
      <w:r w:rsidR="00BA0A83" w:rsidRPr="00C40624">
        <w:t xml:space="preserve"> kg 201</w:t>
      </w:r>
      <w:r w:rsidR="006762AA" w:rsidRPr="00C40624">
        <w:t>7</w:t>
      </w:r>
      <w:r w:rsidR="00BA0A83" w:rsidRPr="00C40624">
        <w:t>.</w:t>
      </w:r>
      <w:r w:rsidR="00567F3A">
        <w:t> </w:t>
      </w:r>
      <w:r w:rsidR="00BA0A83" w:rsidRPr="00C40624">
        <w:t xml:space="preserve">gadā jeb par </w:t>
      </w:r>
      <w:r w:rsidR="006762AA" w:rsidRPr="00C40624">
        <w:t>1,4</w:t>
      </w:r>
      <w:r w:rsidR="00567F3A">
        <w:t> </w:t>
      </w:r>
      <w:r w:rsidR="00BA0A83" w:rsidRPr="00C40624">
        <w:t xml:space="preserve">%. Vienam kartupeļu stādījumu hektāram izlietoto minerālmēslu daudzums </w:t>
      </w:r>
      <w:r w:rsidR="006762AA" w:rsidRPr="00C40624">
        <w:t>samaz</w:t>
      </w:r>
      <w:r w:rsidR="00BA0A83" w:rsidRPr="00C40624">
        <w:t xml:space="preserve">inājies par </w:t>
      </w:r>
      <w:r w:rsidR="006762AA" w:rsidRPr="00C40624">
        <w:t>2</w:t>
      </w:r>
      <w:r w:rsidR="00567F3A">
        <w:t> </w:t>
      </w:r>
      <w:r w:rsidR="00BA0A83" w:rsidRPr="00C40624">
        <w:t xml:space="preserve">%, bet atklātā lauka dārzeņu hektāram izmantots par </w:t>
      </w:r>
      <w:r w:rsidR="006762AA" w:rsidRPr="00C40624">
        <w:t>3</w:t>
      </w:r>
      <w:r w:rsidR="00BA0A83" w:rsidRPr="00C40624">
        <w:t xml:space="preserve">,5% vairāk minerālmēslu nekā iepriekšējā gadā. Par </w:t>
      </w:r>
      <w:r w:rsidR="006762AA" w:rsidRPr="00C40624">
        <w:t>2,1</w:t>
      </w:r>
      <w:r w:rsidR="00567F3A">
        <w:t> </w:t>
      </w:r>
      <w:r w:rsidR="00BA0A83" w:rsidRPr="00C40624">
        <w:t xml:space="preserve">% </w:t>
      </w:r>
      <w:r w:rsidR="006762AA" w:rsidRPr="00C40624">
        <w:t>palieli</w:t>
      </w:r>
      <w:r w:rsidR="00BA0A83" w:rsidRPr="00C40624">
        <w:t xml:space="preserve">nājies vienam tehnisko kultūru sējumu hektāram izlietoto minerālmēslu apjoms. </w:t>
      </w:r>
    </w:p>
    <w:p w14:paraId="28152B99" w14:textId="191AAB2C" w:rsidR="00BA0A83" w:rsidRPr="00C40624" w:rsidRDefault="006762AA" w:rsidP="00C40624">
      <w:r w:rsidRPr="00C40624">
        <w:t xml:space="preserve">Saskaņā </w:t>
      </w:r>
      <w:r w:rsidR="00BA3B08" w:rsidRPr="00C40624">
        <w:t>Valsts augu aizsardzības dienestam iesniegtajiem</w:t>
      </w:r>
      <w:r w:rsidRPr="00C40624">
        <w:t xml:space="preserve"> ražotāju un ievedēju ikgadējiem pārskatiem Latvijā apritē esošais mēslošanas līdzekļu kopējais apjoms ar katru gadu palielinās, </w:t>
      </w:r>
      <w:r w:rsidR="00567F3A">
        <w:t>2017. </w:t>
      </w:r>
      <w:r w:rsidR="00E90167" w:rsidRPr="00C40624">
        <w:t xml:space="preserve">gadā sasniedzot 658 610 tonnu, </w:t>
      </w:r>
      <w:r w:rsidRPr="00C40624">
        <w:t xml:space="preserve">kas ir par </w:t>
      </w:r>
      <w:r w:rsidR="00567F3A">
        <w:t>9,</w:t>
      </w:r>
      <w:r w:rsidR="00E90167" w:rsidRPr="00C40624">
        <w:t>7</w:t>
      </w:r>
      <w:r w:rsidR="00567F3A">
        <w:t> </w:t>
      </w:r>
      <w:r w:rsidRPr="00C40624">
        <w:t xml:space="preserve">% </w:t>
      </w:r>
      <w:r w:rsidR="00E90167" w:rsidRPr="00C40624">
        <w:t>vairāk</w:t>
      </w:r>
      <w:r w:rsidRPr="00C40624">
        <w:t xml:space="preserve"> nekā 201</w:t>
      </w:r>
      <w:r w:rsidR="00567F3A">
        <w:t>6. </w:t>
      </w:r>
      <w:r w:rsidR="00E90167" w:rsidRPr="00C40624">
        <w:t>gadā un ir lielākais apjoms</w:t>
      </w:r>
      <w:r w:rsidRPr="00C40624">
        <w:t xml:space="preserve"> pēdējo </w:t>
      </w:r>
      <w:r w:rsidR="00E90167" w:rsidRPr="00C40624">
        <w:t>astoņu</w:t>
      </w:r>
      <w:r w:rsidR="00567F3A">
        <w:t xml:space="preserve"> gadu laikā (līdz 2015. </w:t>
      </w:r>
      <w:r w:rsidRPr="00C40624">
        <w:t>gadam apritē esošie mēslošanas līdzekļi gadā nepārsniedza 47</w:t>
      </w:r>
      <w:r w:rsidR="00E90167" w:rsidRPr="00C40624">
        <w:t>7</w:t>
      </w:r>
      <w:r w:rsidRPr="00C40624">
        <w:t xml:space="preserve"> 000 tonnu).</w:t>
      </w:r>
      <w:r w:rsidR="00E90167" w:rsidRPr="00C40624">
        <w:t xml:space="preserve"> Tāpat aplēses liecina, ka Latvijā populārākais mēslošanas līdzekļu veids ir vienkāršie slāpekļa minerālmēsli. </w:t>
      </w:r>
      <w:r w:rsidR="00BA3B08" w:rsidRPr="00C40624">
        <w:t>2017.</w:t>
      </w:r>
      <w:r w:rsidR="00E90167" w:rsidRPr="00C40624">
        <w:t xml:space="preserve"> un 2016.</w:t>
      </w:r>
      <w:r w:rsidR="00567F3A">
        <w:t> gadā to apjoms pārsniedza 200 000 tonnas, attiecīgi pa gadiem </w:t>
      </w:r>
      <w:r w:rsidR="00BA3B08" w:rsidRPr="00C40624">
        <w:t>–</w:t>
      </w:r>
      <w:r w:rsidR="00567F3A">
        <w:t> </w:t>
      </w:r>
      <w:r w:rsidR="00E90167" w:rsidRPr="00C40624">
        <w:t>2</w:t>
      </w:r>
      <w:r w:rsidR="00BA3B08" w:rsidRPr="00C40624">
        <w:t>55</w:t>
      </w:r>
      <w:r w:rsidR="00567F3A">
        <w:t> </w:t>
      </w:r>
      <w:r w:rsidR="00BA3B08" w:rsidRPr="00C40624">
        <w:t>599</w:t>
      </w:r>
      <w:r w:rsidR="00567F3A">
        <w:t xml:space="preserve"> tonnas un 207 </w:t>
      </w:r>
      <w:r w:rsidR="00E90167" w:rsidRPr="00C40624">
        <w:t>2</w:t>
      </w:r>
      <w:r w:rsidR="00BA3B08" w:rsidRPr="00C40624">
        <w:t>45</w:t>
      </w:r>
      <w:r w:rsidR="00E90167" w:rsidRPr="00C40624">
        <w:t xml:space="preserve"> tonnas jeb </w:t>
      </w:r>
      <w:r w:rsidR="00BA3B08" w:rsidRPr="00C40624">
        <w:t>39</w:t>
      </w:r>
      <w:r w:rsidR="00567F3A">
        <w:t> </w:t>
      </w:r>
      <w:r w:rsidR="00E90167" w:rsidRPr="00C40624">
        <w:t>% un 35</w:t>
      </w:r>
      <w:r w:rsidR="00567F3A">
        <w:t> </w:t>
      </w:r>
      <w:r w:rsidR="00E90167" w:rsidRPr="00C40624">
        <w:t>% no visiem mēslošanas līdzekļiem.</w:t>
      </w:r>
    </w:p>
    <w:p w14:paraId="2F257BFF" w14:textId="77777777" w:rsidR="00567F3A" w:rsidRDefault="00567F3A" w:rsidP="00C40624"/>
    <w:p w14:paraId="4F36490C" w14:textId="547A8F61" w:rsidR="00BA0A83" w:rsidRPr="00567F3A" w:rsidRDefault="00FD633D" w:rsidP="00567F3A">
      <w:pPr>
        <w:jc w:val="center"/>
        <w:rPr>
          <w:b/>
          <w:sz w:val="26"/>
          <w:szCs w:val="26"/>
        </w:rPr>
      </w:pPr>
      <w:r w:rsidRPr="00567F3A">
        <w:rPr>
          <w:b/>
          <w:sz w:val="26"/>
          <w:szCs w:val="26"/>
        </w:rPr>
        <w:t>4</w:t>
      </w:r>
      <w:r w:rsidR="00567F3A" w:rsidRPr="00567F3A">
        <w:rPr>
          <w:b/>
          <w:sz w:val="26"/>
          <w:szCs w:val="26"/>
        </w:rPr>
        <w:t>.7. </w:t>
      </w:r>
      <w:r w:rsidR="00912D3E" w:rsidRPr="00567F3A">
        <w:rPr>
          <w:b/>
          <w:sz w:val="26"/>
          <w:szCs w:val="26"/>
        </w:rPr>
        <w:t>Patēriņš</w:t>
      </w:r>
    </w:p>
    <w:p w14:paraId="4C12A447" w14:textId="77777777" w:rsidR="00567F3A" w:rsidRDefault="00567F3A" w:rsidP="000204C9"/>
    <w:p w14:paraId="709D4199" w14:textId="77777777" w:rsidR="000204C9" w:rsidRPr="00A46CC4" w:rsidRDefault="000204C9" w:rsidP="000204C9">
      <w:r w:rsidRPr="00A46CC4">
        <w:t xml:space="preserve">Pieaugošais materiālu patēriņš ietekmē klimata pārmaiņas, galvenokārt caur pieaugošu enerģijas patēriņu, kas nepieciešams šo materiālu ieguvei, izmantošanai, transportēšanai un noglabāšanai (atkritumos). Vienlaikus pieejamo materiālo resursu un izejvielu apjomi sarūk un kļūst arvien dārgāki. Savukārt ražošanā un sadzīvē tiek radīti arvien vairāk atkritumi, kuru  apsaimniekošana prasa arvien lielākus ieguldījumus. </w:t>
      </w:r>
    </w:p>
    <w:p w14:paraId="5BEA8E88" w14:textId="75442F5A" w:rsidR="000204C9" w:rsidRDefault="000204C9" w:rsidP="000204C9">
      <w:r w:rsidRPr="00A46CC4">
        <w:t xml:space="preserve">Materiālu patēriņa pieauguma tendences ir vērojamas arī Latvijā. Materiālu ieguves apjomi valstī pēdējo 20 </w:t>
      </w:r>
      <w:r w:rsidR="00567F3A">
        <w:t>gadu laikā ir būtiski pieauguši </w:t>
      </w:r>
      <w:r w:rsidR="00670AED" w:rsidRPr="00A46CC4">
        <w:t>–</w:t>
      </w:r>
      <w:r w:rsidR="00567F3A">
        <w:t> </w:t>
      </w:r>
      <w:r w:rsidRPr="00A46CC4">
        <w:t>par 66</w:t>
      </w:r>
      <w:r w:rsidR="00567F3A">
        <w:t> </w:t>
      </w:r>
      <w:r w:rsidRPr="00A46CC4">
        <w:t>%. Lielākais pieaugums vērojams biomasas ieguvē (tas ietver mežu, lauksaimniecības un zivju resursus). Palielinājusies ir kopējā tautsaimniecībā ieejošo resursu plūsm</w:t>
      </w:r>
      <w:r w:rsidR="001B79A2">
        <w:t>ā</w:t>
      </w:r>
      <w:r w:rsidRPr="00A46CC4">
        <w:t xml:space="preserve"> </w:t>
      </w:r>
      <w:r w:rsidR="00670AED" w:rsidRPr="00A46CC4">
        <w:t>–</w:t>
      </w:r>
      <w:r w:rsidRPr="00A46CC4">
        <w:t xml:space="preserve"> iekšzemes patēriņš, ko veido ne tikai iek</w:t>
      </w:r>
      <w:r w:rsidR="00BA1926" w:rsidRPr="00A46CC4">
        <w:t>šz</w:t>
      </w:r>
      <w:r w:rsidRPr="00A46CC4">
        <w:t xml:space="preserve">emē iegūtie resursi (atņemot eksportu), bet arī importētie resursi </w:t>
      </w:r>
      <w:r w:rsidR="00BA1926" w:rsidRPr="00A46CC4">
        <w:t>(to apjoms svārstās ap 10 % kopē</w:t>
      </w:r>
      <w:r w:rsidR="001B79A2">
        <w:t>jā plūsmā).</w:t>
      </w:r>
    </w:p>
    <w:p w14:paraId="53D98ACD" w14:textId="77777777" w:rsidR="00567F3A" w:rsidRPr="00A46CC4" w:rsidRDefault="00567F3A" w:rsidP="000204C9"/>
    <w:p w14:paraId="04FBBC9B" w14:textId="56209ED9" w:rsidR="00F26CEE" w:rsidRPr="00A46CC4" w:rsidRDefault="00F26CEE" w:rsidP="000204C9">
      <w:r w:rsidRPr="00A46CC4">
        <w:rPr>
          <w:noProof/>
        </w:rPr>
        <w:drawing>
          <wp:anchor distT="0" distB="0" distL="114300" distR="114300" simplePos="0" relativeHeight="251671040" behindDoc="0" locked="0" layoutInCell="1" allowOverlap="1" wp14:anchorId="0E4B3EF4" wp14:editId="1C4E9B11">
            <wp:simplePos x="0" y="0"/>
            <wp:positionH relativeFrom="margin">
              <wp:align>center</wp:align>
            </wp:positionH>
            <wp:positionV relativeFrom="paragraph">
              <wp:posOffset>10160</wp:posOffset>
            </wp:positionV>
            <wp:extent cx="4276725" cy="292181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al-material-extraction-and-global-GDP-1970-2015_LV.png"/>
                    <pic:cNvPicPr/>
                  </pic:nvPicPr>
                  <pic:blipFill rotWithShape="1">
                    <a:blip r:embed="rId30">
                      <a:extLst>
                        <a:ext uri="{28A0092B-C50C-407E-A947-70E740481C1C}">
                          <a14:useLocalDpi xmlns:a14="http://schemas.microsoft.com/office/drawing/2010/main" val="0"/>
                        </a:ext>
                      </a:extLst>
                    </a:blip>
                    <a:srcRect r="4513"/>
                    <a:stretch/>
                  </pic:blipFill>
                  <pic:spPr bwMode="auto">
                    <a:xfrm>
                      <a:off x="0" y="0"/>
                      <a:ext cx="4276725" cy="29218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2C7818" w14:textId="321CECBB" w:rsidR="000204C9" w:rsidRPr="00A46CC4" w:rsidRDefault="00E13D4F" w:rsidP="000204C9">
      <w:r w:rsidRPr="00A46CC4">
        <w:rPr>
          <w:snapToGrid w:val="0"/>
          <w:color w:val="000000"/>
          <w:w w:val="0"/>
          <w:sz w:val="0"/>
          <w:szCs w:val="0"/>
          <w:u w:color="000000"/>
          <w:bdr w:val="none" w:sz="0" w:space="0" w:color="000000"/>
          <w:shd w:val="clear" w:color="000000" w:fill="000000"/>
          <w:lang w:val="x-none" w:eastAsia="x-none" w:bidi="x-none"/>
        </w:rPr>
        <w:t xml:space="preserve"> </w:t>
      </w:r>
    </w:p>
    <w:p w14:paraId="41080D8E" w14:textId="5ACC15C4" w:rsidR="00D2147A" w:rsidRPr="00A46CC4" w:rsidRDefault="000204C9" w:rsidP="004E0A4D">
      <w:pPr>
        <w:jc w:val="center"/>
      </w:pPr>
      <w:r w:rsidRPr="00A46CC4">
        <w:t>1</w:t>
      </w:r>
      <w:r w:rsidR="001B79A2">
        <w:t>8</w:t>
      </w:r>
      <w:r w:rsidRPr="00A46CC4">
        <w:t>.</w:t>
      </w:r>
      <w:r w:rsidR="00567F3A">
        <w:t> </w:t>
      </w:r>
      <w:r w:rsidRPr="00A46CC4">
        <w:t>att</w:t>
      </w:r>
      <w:r w:rsidR="001B79A2">
        <w:t>ēls</w:t>
      </w:r>
      <w:r w:rsidRPr="00A46CC4">
        <w:t>. Globālais materiālu patēriņš</w:t>
      </w:r>
      <w:r w:rsidR="00F26CEE" w:rsidRPr="00A46CC4">
        <w:t>, miljards tonnas</w:t>
      </w:r>
      <w:r w:rsidR="00D2147A" w:rsidRPr="00A46CC4">
        <w:rPr>
          <w:rStyle w:val="FootnoteReference"/>
        </w:rPr>
        <w:footnoteReference w:id="34"/>
      </w:r>
    </w:p>
    <w:p w14:paraId="6CFCDC72" w14:textId="77777777" w:rsidR="00D2147A" w:rsidRPr="00A46CC4" w:rsidRDefault="00D2147A" w:rsidP="000204C9"/>
    <w:p w14:paraId="3BA1F5C7" w14:textId="5457CAB0" w:rsidR="000204C9" w:rsidRPr="00567F3A" w:rsidRDefault="000204C9" w:rsidP="00567F3A">
      <w:r w:rsidRPr="00567F3A">
        <w:t>Prakse rāda, ka iedzīvotāju labklājībai un ienākumiem augot, tiek patērēts arvien vairāk preču un pakalpojumu. Aplēses liecina, ka pasaulē fosilā kurināmā patēriņš 20. gadsimta gaitā palielinājies 12</w:t>
      </w:r>
      <w:r w:rsidR="00567F3A">
        <w:t xml:space="preserve"> </w:t>
      </w:r>
      <w:r w:rsidRPr="00567F3A">
        <w:t xml:space="preserve">reižu, bet materiālo resursu ieguve ir pieaugusi 34 reizes. Tā rezultātā minerālu, metālu un enerģijas avoti, kā arī zivju, kokmateriālu, ūdens krājumi, auglīga augsne, tīrs gaiss, biomasa, bioloģiskā daudzveidība  ir pārmērīgi noslogoti, radot riskus arī klimata sistēmas stabilitātei. </w:t>
      </w:r>
    </w:p>
    <w:p w14:paraId="4F5EB094" w14:textId="17B5E0B3" w:rsidR="002E0F93" w:rsidRPr="00567F3A" w:rsidRDefault="00567F3A" w:rsidP="00567F3A">
      <w:r>
        <w:t>No 1996. līdz 2008. </w:t>
      </w:r>
      <w:r w:rsidR="00BA0A83" w:rsidRPr="00567F3A">
        <w:t>gadam mājsaimniecību patēriņa līmenis visstraujāk pieauga pēc pievienošanās ES 2004. gadā, augstāko līmeni sasniedzot 2008.</w:t>
      </w:r>
      <w:r w:rsidR="00912D3E" w:rsidRPr="00567F3A">
        <w:t> </w:t>
      </w:r>
      <w:r w:rsidR="00BA0A83" w:rsidRPr="00567F3A">
        <w:t>gadā. Patēriņa izdevumu pieaugumu pārtrauca ekonomiskā krīze, kad 2009. un 2010.</w:t>
      </w:r>
      <w:r w:rsidR="00912D3E" w:rsidRPr="00567F3A">
        <w:t> </w:t>
      </w:r>
      <w:r w:rsidR="00BA0A83" w:rsidRPr="00567F3A">
        <w:t>gadā mājsaimniecību ekonomiskie resursi strauji samazinājās. Ar 2011.</w:t>
      </w:r>
      <w:r w:rsidR="00912D3E" w:rsidRPr="00567F3A">
        <w:t> </w:t>
      </w:r>
      <w:r w:rsidR="00BA0A83" w:rsidRPr="00567F3A">
        <w:t>gadu patēriņa izdevumi atkal pakāpeniski palielinā</w:t>
      </w:r>
      <w:r w:rsidR="00912D3E" w:rsidRPr="00567F3A">
        <w:t>jā</w:t>
      </w:r>
      <w:r w:rsidR="00BA0A83" w:rsidRPr="00567F3A">
        <w:t xml:space="preserve">s. </w:t>
      </w:r>
      <w:r>
        <w:t>2016. </w:t>
      </w:r>
      <w:r w:rsidR="00936F9A" w:rsidRPr="00567F3A">
        <w:t>gadā mājsaimniecību patēriņa izdevumi vidēji uz vienu mājsaimniecības locekli mēnesī bija 333 e</w:t>
      </w:r>
      <w:r>
        <w:t>iro, kas ir par 17 eiro jeb 5,4 % vairāk nekā 2015. </w:t>
      </w:r>
      <w:r w:rsidR="00936F9A" w:rsidRPr="00567F3A">
        <w:t>gadā. Salīdzināmajās cenās, ņemot vērā patēriņa cenu pieaugumu par 0,1 %, patēriņa izdevumi palielinājušies par 5,3</w:t>
      </w:r>
      <w:r>
        <w:t> </w:t>
      </w:r>
      <w:r w:rsidR="00936F9A" w:rsidRPr="00567F3A">
        <w:t>%. Patēriņa izdevumu sastāvs un struktūra lielā mērā raksturo iedzīvotāju materiālo labklājību. Salīdzinot</w:t>
      </w:r>
      <w:r>
        <w:t xml:space="preserve"> ar iepriekšējo gadu, arī 2016. </w:t>
      </w:r>
      <w:r w:rsidR="00936F9A" w:rsidRPr="00567F3A">
        <w:t>gadā galvenās patēriņa izdevumu prioritātes palika nemainīgas: pārtika (26,2</w:t>
      </w:r>
      <w:r>
        <w:t> </w:t>
      </w:r>
      <w:r w:rsidR="00936F9A" w:rsidRPr="00567F3A">
        <w:t>%), mājokļa komunālie pakalpojumi (15,3</w:t>
      </w:r>
      <w:r>
        <w:t> </w:t>
      </w:r>
      <w:r w:rsidR="00936F9A" w:rsidRPr="00567F3A">
        <w:t>%) un transports (13,9</w:t>
      </w:r>
      <w:r>
        <w:t> </w:t>
      </w:r>
      <w:r w:rsidR="00936F9A" w:rsidRPr="00567F3A">
        <w:t xml:space="preserve">%). </w:t>
      </w:r>
    </w:p>
    <w:p w14:paraId="7EA8FD12" w14:textId="77777777" w:rsidR="00FD6C88" w:rsidRPr="00A46CC4" w:rsidRDefault="00687BCE" w:rsidP="00567F3A">
      <w:r w:rsidRPr="00567F3A">
        <w:t>Lai palīdzētu ievirzīt patēriņa lēmumus, vajadzīga precīza informācija, kuras pamatā ir resursu izmantošanas ietekme visa aprites cikla laikā un izmaksas.</w:t>
      </w:r>
      <w:r w:rsidR="00FD6C88" w:rsidRPr="00A46CC4">
        <w:br w:type="page"/>
      </w:r>
    </w:p>
    <w:p w14:paraId="34019D8A" w14:textId="77777777" w:rsidR="00E773F8" w:rsidRPr="00A46CC4" w:rsidRDefault="00E773F8">
      <w:pPr>
        <w:rPr>
          <w:szCs w:val="24"/>
        </w:rPr>
      </w:pPr>
    </w:p>
    <w:p w14:paraId="3D0596AB" w14:textId="77777777" w:rsidR="006717E2" w:rsidRPr="00A46CC4" w:rsidRDefault="00342131" w:rsidP="00D533C2">
      <w:pPr>
        <w:pStyle w:val="Heading1"/>
      </w:pPr>
      <w:bookmarkStart w:id="30" w:name="_Toc460423734"/>
      <w:bookmarkStart w:id="31" w:name="_Toc460423735"/>
      <w:bookmarkStart w:id="32" w:name="_Toc460423736"/>
      <w:bookmarkStart w:id="33" w:name="_Toc460423737"/>
      <w:bookmarkStart w:id="34" w:name="_Toc460423739"/>
      <w:bookmarkStart w:id="35" w:name="_Toc523217379"/>
      <w:bookmarkEnd w:id="23"/>
      <w:bookmarkEnd w:id="30"/>
      <w:bookmarkEnd w:id="31"/>
      <w:bookmarkEnd w:id="32"/>
      <w:bookmarkEnd w:id="33"/>
      <w:bookmarkEnd w:id="34"/>
      <w:r w:rsidRPr="00A46CC4">
        <w:rPr>
          <w:lang w:val="lv-LV"/>
        </w:rPr>
        <w:t>R</w:t>
      </w:r>
      <w:r w:rsidR="00772F6C" w:rsidRPr="00A46CC4">
        <w:t xml:space="preserve">isinājumi </w:t>
      </w:r>
      <w:r w:rsidRPr="00A46CC4">
        <w:rPr>
          <w:lang w:val="lv-LV"/>
        </w:rPr>
        <w:t xml:space="preserve">oglekļa </w:t>
      </w:r>
      <w:r w:rsidRPr="00A46CC4">
        <w:t>mazietilpīgas</w:t>
      </w:r>
      <w:r w:rsidRPr="00A46CC4">
        <w:rPr>
          <w:lang w:val="lv-LV"/>
        </w:rPr>
        <w:t xml:space="preserve"> attīstības nodrošināšanai</w:t>
      </w:r>
      <w:bookmarkEnd w:id="35"/>
    </w:p>
    <w:p w14:paraId="1A71E84D" w14:textId="77777777" w:rsidR="00912D3E" w:rsidRPr="00A46CC4" w:rsidRDefault="00912D3E" w:rsidP="00912D3E">
      <w:r w:rsidRPr="00A46CC4">
        <w:t>OMA stratēģija paredz</w:t>
      </w:r>
      <w:r w:rsidR="00A47D06" w:rsidRPr="00A46CC4">
        <w:t xml:space="preserve"> vīziju</w:t>
      </w:r>
      <w:r w:rsidR="003F22D5" w:rsidRPr="00A46CC4">
        <w:t xml:space="preserve"> 2050. gadam</w:t>
      </w:r>
      <w:r w:rsidR="0023725C" w:rsidRPr="00A46CC4">
        <w:t>, kā Latvija ir attīstījusies katrā no nozarēm, kuras ietekmē SEG emisiju rašanos. OMA ir īstenojama dažādās sfērās</w:t>
      </w:r>
      <w:r w:rsidR="003F22D5" w:rsidRPr="00A46CC4">
        <w:t>, stratēģija paredz</w:t>
      </w:r>
      <w:r w:rsidR="0023725C" w:rsidRPr="00A46CC4">
        <w:t xml:space="preserve"> šād</w:t>
      </w:r>
      <w:r w:rsidR="003F22D5" w:rsidRPr="00A46CC4">
        <w:t>u</w:t>
      </w:r>
      <w:r w:rsidR="0023725C" w:rsidRPr="00A46CC4">
        <w:t xml:space="preserve"> iedalījum</w:t>
      </w:r>
      <w:r w:rsidR="003F22D5" w:rsidRPr="00A46CC4">
        <w:t>u</w:t>
      </w:r>
      <w:r w:rsidR="0023725C" w:rsidRPr="00A46CC4">
        <w:t>: enerģētika, transports, zemes apsaimniekošana, visaptveroša energoefektivitāte, patēriņš, tehnoloģiju pētniecība un inovācijas</w:t>
      </w:r>
      <w:r w:rsidR="003F22D5" w:rsidRPr="00A46CC4">
        <w:t>. Iedalījums aptver pēc iespējas visas jomas, sektorus un dažādus rakursus, kuros potenciāli var veikt izmaiņas un būtiskus uzlabojumus ar mērķi sasniegt oglekļa neitralitāti un ilgtspējīgu nozaru attīstību.</w:t>
      </w:r>
    </w:p>
    <w:p w14:paraId="046E67E1" w14:textId="77777777" w:rsidR="00AB2FDA" w:rsidRPr="00A46CC4" w:rsidRDefault="00FD633D" w:rsidP="00D533C2">
      <w:pPr>
        <w:pStyle w:val="Heading2"/>
      </w:pPr>
      <w:bookmarkStart w:id="36" w:name="_Toc456603830"/>
      <w:bookmarkStart w:id="37" w:name="_Toc523217380"/>
      <w:r w:rsidRPr="00A46CC4">
        <w:rPr>
          <w:lang w:val="lv-LV"/>
        </w:rPr>
        <w:t>5</w:t>
      </w:r>
      <w:r w:rsidR="00AB2FDA" w:rsidRPr="00A46CC4">
        <w:t>.1. Ilgtspējīga enerģētika</w:t>
      </w:r>
      <w:bookmarkEnd w:id="36"/>
      <w:bookmarkEnd w:id="37"/>
    </w:p>
    <w:p w14:paraId="1A93C907" w14:textId="7B5B6B77" w:rsidR="00B1776D" w:rsidRPr="00A46CC4" w:rsidRDefault="00912D3E" w:rsidP="00D533C2">
      <w:r w:rsidRPr="00A46CC4">
        <w:t xml:space="preserve">Latvijā </w:t>
      </w:r>
      <w:r w:rsidR="00F45129">
        <w:t xml:space="preserve">ir </w:t>
      </w:r>
      <w:r w:rsidRPr="00A46CC4">
        <w:t>b</w:t>
      </w:r>
      <w:r w:rsidR="00B1776D" w:rsidRPr="00A46CC4">
        <w:t>ūtiski samazinājies fosilo energoresursu patēriņš. Lai mazinātu emisijas no enerģētikas sektora</w:t>
      </w:r>
      <w:r w:rsidRPr="00A46CC4">
        <w:t>,</w:t>
      </w:r>
      <w:r w:rsidR="00B1776D" w:rsidRPr="00A46CC4">
        <w:t xml:space="preserve"> ir ieviesta politika, kas veicina ilgtspējīgu un oglekļa mazietilpīgu tehnoloģiju, t</w:t>
      </w:r>
      <w:r w:rsidRPr="00A46CC4">
        <w:t>.</w:t>
      </w:r>
      <w:r w:rsidR="00B1776D" w:rsidRPr="00A46CC4">
        <w:t xml:space="preserve"> sk</w:t>
      </w:r>
      <w:r w:rsidRPr="00A46CC4">
        <w:t>.</w:t>
      </w:r>
      <w:r w:rsidR="00B1776D" w:rsidRPr="00A46CC4">
        <w:t xml:space="preserve"> AER, izmantošanu un ievieš visefektīvākās tirgū pieejamās tehnoloģijas. O</w:t>
      </w:r>
      <w:r w:rsidRPr="00A46CC4">
        <w:t>MA</w:t>
      </w:r>
      <w:r w:rsidR="00B1776D" w:rsidRPr="00A46CC4">
        <w:t xml:space="preserve"> ir aktuāla ne tikai klimata pārmaiņu mazināšanā un vides saglabāšanā, bet arī enerģijas avotu dažādošanā un enerģijas drošības veicināšanā. Oglekļa mazietilpīgas tehnoloģijas mazina naftas un gāzes produktu cenu svārstību negatīvo ietekmi uz ekonomiku un ļauj attīstīt “zaļo” nodarbinātību.</w:t>
      </w:r>
    </w:p>
    <w:p w14:paraId="3293E46A" w14:textId="77777777" w:rsidR="00B1776D" w:rsidRPr="00A46CC4" w:rsidRDefault="00B1776D" w:rsidP="00912D3E">
      <w:r w:rsidRPr="00A46CC4">
        <w:t xml:space="preserve">Atbilstošas infrastruktūras izveide nodrošina konkurētspēju, ilgtspēju un energoapgādes drošību. </w:t>
      </w:r>
      <w:r w:rsidR="00DA1DCA" w:rsidRPr="00A46CC4">
        <w:t>AER</w:t>
      </w:r>
      <w:r w:rsidRPr="00A46CC4">
        <w:t xml:space="preserve"> integrācija un energoefektivitāte ir galvenās jomas izvirzīto mērķu sasniegšanai un netraucētai iekšējā tirgus darbībai.</w:t>
      </w:r>
    </w:p>
    <w:p w14:paraId="6EAE8C4C" w14:textId="77777777" w:rsidR="00B1776D" w:rsidRDefault="00B1776D" w:rsidP="00912D3E">
      <w:r w:rsidRPr="00A46CC4">
        <w:t>Periodā uz pilnīgu dekarbonizāciju enerģētikas sektorā</w:t>
      </w:r>
      <w:r w:rsidR="003F22D5" w:rsidRPr="00A46CC4">
        <w:t>,</w:t>
      </w:r>
      <w:r w:rsidRPr="00A46CC4">
        <w:t xml:space="preserve"> ir prognozējama arī </w:t>
      </w:r>
      <w:r w:rsidR="003F22D5" w:rsidRPr="00A46CC4">
        <w:t>CO</w:t>
      </w:r>
      <w:r w:rsidR="003F22D5" w:rsidRPr="00A46CC4">
        <w:rPr>
          <w:vertAlign w:val="subscript"/>
        </w:rPr>
        <w:t>2</w:t>
      </w:r>
      <w:r w:rsidRPr="00A46CC4">
        <w:t xml:space="preserve"> emisiju uzkrāšanas un izmantošanas tehnoloģiju ieviešana, kas varētu ļaut ilgāku laika termiņu izmantot  emisiju intensīvas tehnoloģijas.</w:t>
      </w:r>
    </w:p>
    <w:p w14:paraId="39493EFD" w14:textId="610AFEF0" w:rsidR="00B1776D" w:rsidRPr="00A46CC4" w:rsidRDefault="00A05FAB" w:rsidP="00D7375E">
      <w:pPr>
        <w:pStyle w:val="Subtitle"/>
        <w:numPr>
          <w:ilvl w:val="0"/>
          <w:numId w:val="10"/>
        </w:numPr>
        <w:ind w:left="709"/>
      </w:pPr>
      <w:r w:rsidRPr="00A46CC4">
        <w:t>Enerģijas ražošanā pilnībā tiek izmantoti a</w:t>
      </w:r>
      <w:r w:rsidR="00B1776D" w:rsidRPr="00A46CC4">
        <w:t>tjaunojamie, alternatīvie un inovatīvie energoresursi</w:t>
      </w:r>
    </w:p>
    <w:p w14:paraId="4A0241A8" w14:textId="377F532D" w:rsidR="00B1776D" w:rsidRPr="00567F3A" w:rsidRDefault="00B1776D" w:rsidP="00DC541B">
      <w:pPr>
        <w:pStyle w:val="Caption"/>
        <w:rPr>
          <w:sz w:val="24"/>
        </w:rPr>
      </w:pPr>
      <w:r w:rsidRPr="00567F3A">
        <w:rPr>
          <w:sz w:val="24"/>
        </w:rPr>
        <w:t xml:space="preserve">Enerģijas ražošana no </w:t>
      </w:r>
      <w:r w:rsidR="00DC541B" w:rsidRPr="00567F3A">
        <w:rPr>
          <w:sz w:val="24"/>
        </w:rPr>
        <w:t>AER</w:t>
      </w:r>
      <w:r w:rsidRPr="00567F3A">
        <w:rPr>
          <w:sz w:val="24"/>
        </w:rPr>
        <w:t xml:space="preserve"> ir palielinājusies un </w:t>
      </w:r>
      <w:r w:rsidR="00C67285" w:rsidRPr="00567F3A">
        <w:rPr>
          <w:sz w:val="24"/>
        </w:rPr>
        <w:t xml:space="preserve">nodrošina </w:t>
      </w:r>
      <w:r w:rsidRPr="00567F3A">
        <w:rPr>
          <w:sz w:val="24"/>
        </w:rPr>
        <w:t>dominējošo lomu Latvijas energobilancē 2050.</w:t>
      </w:r>
      <w:r w:rsidR="00567F3A" w:rsidRPr="00567F3A">
        <w:rPr>
          <w:sz w:val="24"/>
        </w:rPr>
        <w:t> </w:t>
      </w:r>
      <w:r w:rsidRPr="00567F3A">
        <w:rPr>
          <w:sz w:val="24"/>
        </w:rPr>
        <w:t>gadā.</w:t>
      </w:r>
    </w:p>
    <w:p w14:paraId="539DAA63" w14:textId="77777777" w:rsidR="00B1776D" w:rsidRPr="00A46CC4" w:rsidRDefault="00B1776D" w:rsidP="00AD7375">
      <w:r w:rsidRPr="00A46CC4">
        <w:t xml:space="preserve">Fosilo energoresursu īpatsvars ir samazinājies un arvien straujāk attīstījusies atjaunojamo, alternatīvo un inovatīvo energoresursu tehnoloģiju izmantošana. Fosilo energoresursu pieejamība </w:t>
      </w:r>
      <w:r w:rsidRPr="00A46CC4">
        <w:rPr>
          <w:shd w:val="clear" w:color="auto" w:fill="FFFFFF"/>
        </w:rPr>
        <w:t xml:space="preserve">ģeogrāfisko, ģeoloģisko un arī politisko apstākļu dēļ ir kļuvusi dārgāka un sarežģītāka. </w:t>
      </w:r>
      <w:r w:rsidRPr="00A46CC4">
        <w:t xml:space="preserve">Tas ietekmē enerģijas cenas palielināšanos, arī Latvijā. </w:t>
      </w:r>
    </w:p>
    <w:p w14:paraId="629E886E" w14:textId="2BC3D1DF" w:rsidR="00B1776D" w:rsidRPr="00A46CC4" w:rsidRDefault="00B1776D" w:rsidP="00AD7375">
      <w:r w:rsidRPr="00A46CC4">
        <w:t>Latvijā potenciāls AER izmantošanā ir ievērojams. Galvenie AER</w:t>
      </w:r>
      <w:r w:rsidR="00C67285" w:rsidRPr="00A46CC4">
        <w:t xml:space="preserve"> joprojām </w:t>
      </w:r>
      <w:r w:rsidRPr="00A46CC4">
        <w:t xml:space="preserve"> ir hidroenerģija un biomasa</w:t>
      </w:r>
      <w:r w:rsidR="000E6C5F" w:rsidRPr="00A46CC4">
        <w:t>, taču ievērojamu apjomu enerģijas iegūst arī no saules un vēja</w:t>
      </w:r>
      <w:r w:rsidR="00C67285" w:rsidRPr="00A46CC4">
        <w:t xml:space="preserve"> enerģijas</w:t>
      </w:r>
      <w:r w:rsidRPr="00A46CC4">
        <w:t>.</w:t>
      </w:r>
      <w:r w:rsidR="00DC541B" w:rsidRPr="00A46CC4">
        <w:t xml:space="preserve"> </w:t>
      </w:r>
      <w:r w:rsidRPr="00A46CC4">
        <w:t>Palielinoties investīcijām alternatīvajos un inovatīvajos energoresursos, kas samazina SEG emisijas un slodzi uz vidi kopumā, ir paredzams, ka enerģētikā AER izmantošana palielināsies un līdz 2050. gadam pilnībā aizvietos fosilos energoresursus.</w:t>
      </w:r>
    </w:p>
    <w:p w14:paraId="76E4D673" w14:textId="77777777" w:rsidR="00B1776D" w:rsidRPr="00567F3A" w:rsidRDefault="00B1776D" w:rsidP="00DC541B">
      <w:pPr>
        <w:pStyle w:val="Caption"/>
        <w:rPr>
          <w:sz w:val="24"/>
        </w:rPr>
      </w:pPr>
      <w:r w:rsidRPr="00567F3A">
        <w:rPr>
          <w:sz w:val="24"/>
        </w:rPr>
        <w:t>Būtiska loma ir bioloģisko šķidro kurināmo un bioeļļu izmantošanai.</w:t>
      </w:r>
    </w:p>
    <w:p w14:paraId="4403E899" w14:textId="77777777" w:rsidR="00B1776D" w:rsidRPr="00A46CC4" w:rsidRDefault="00B1776D" w:rsidP="00AD7375">
      <w:r w:rsidRPr="00A46CC4">
        <w:rPr>
          <w:shd w:val="clear" w:color="auto" w:fill="FFFFFF"/>
        </w:rPr>
        <w:t>Ir nodrošināta pietiekami plaša bioloģisko šķidro kurināmo izmantošana enerģijas ražošanā un bioeļļu izmantošana iekārtās lauksaimniecības un mežsaimniecības sektoros.</w:t>
      </w:r>
    </w:p>
    <w:p w14:paraId="64FF01EF" w14:textId="7D36B720" w:rsidR="00B1776D" w:rsidRPr="00A46CC4" w:rsidRDefault="00B1776D" w:rsidP="00AD7375">
      <w:r w:rsidRPr="00A46CC4">
        <w:t xml:space="preserve">Palielinoties pieprasījumam Eiropā, Latvijā saražotā </w:t>
      </w:r>
      <w:r w:rsidR="00C67285" w:rsidRPr="00A46CC4">
        <w:t>bioloģi</w:t>
      </w:r>
      <w:r w:rsidR="00F45129">
        <w:t>s</w:t>
      </w:r>
      <w:r w:rsidR="00C67285" w:rsidRPr="00A46CC4">
        <w:t xml:space="preserve">kais šķidrais kurināmais, bioeļļas un </w:t>
      </w:r>
      <w:r w:rsidRPr="00A46CC4">
        <w:t>biodegviela ir ļoti nozīmīgs eksporta produkts.</w:t>
      </w:r>
    </w:p>
    <w:p w14:paraId="25FA0B30" w14:textId="08F2D328" w:rsidR="00B1776D" w:rsidRPr="00567F3A" w:rsidRDefault="00BB72B9" w:rsidP="00297AAC">
      <w:pPr>
        <w:pStyle w:val="Caption"/>
        <w:jc w:val="both"/>
        <w:rPr>
          <w:sz w:val="24"/>
        </w:rPr>
      </w:pPr>
      <w:r w:rsidRPr="00567F3A">
        <w:rPr>
          <w:sz w:val="24"/>
        </w:rPr>
        <w:t>Biomasas un saules enerģijas izmantošana nodrošina</w:t>
      </w:r>
      <w:r w:rsidR="00B1776D" w:rsidRPr="00567F3A">
        <w:rPr>
          <w:sz w:val="24"/>
        </w:rPr>
        <w:t xml:space="preserve"> primār</w:t>
      </w:r>
      <w:r w:rsidRPr="00567F3A">
        <w:rPr>
          <w:sz w:val="24"/>
        </w:rPr>
        <w:t>ā energoresursu</w:t>
      </w:r>
      <w:r w:rsidR="00B1776D" w:rsidRPr="00567F3A">
        <w:rPr>
          <w:sz w:val="24"/>
        </w:rPr>
        <w:t xml:space="preserve"> lomu mājsaimniecību sektorā</w:t>
      </w:r>
      <w:r w:rsidR="0002758E" w:rsidRPr="00567F3A">
        <w:rPr>
          <w:sz w:val="24"/>
        </w:rPr>
        <w:t>.</w:t>
      </w:r>
    </w:p>
    <w:p w14:paraId="048BF05B" w14:textId="6E652DE8" w:rsidR="00B1776D" w:rsidRPr="00A46CC4" w:rsidRDefault="00B1776D" w:rsidP="00AD7375">
      <w:r w:rsidRPr="00A46CC4">
        <w:t xml:space="preserve">Mājsaimniecībās primārie AER siltumenerģijas ražošanai ir biomasa un biometāns. Palielinājusies ne tikai koksnes un to produktu, bet arī citu biomasas veidu izmantošana – salmi, drabiņas u.c. </w:t>
      </w:r>
      <w:r w:rsidR="000E6C5F" w:rsidRPr="00A46CC4">
        <w:t>S</w:t>
      </w:r>
      <w:r w:rsidRPr="00A46CC4">
        <w:t>aules enerģija</w:t>
      </w:r>
      <w:r w:rsidR="000E6C5F" w:rsidRPr="00A46CC4">
        <w:t xml:space="preserve"> tiek izmantota</w:t>
      </w:r>
      <w:r w:rsidRPr="00A46CC4">
        <w:t xml:space="preserve"> karstā ūdens</w:t>
      </w:r>
      <w:r w:rsidR="00AC1AD2" w:rsidRPr="00A46CC4">
        <w:t xml:space="preserve"> un elektroenerģijas</w:t>
      </w:r>
      <w:r w:rsidRPr="00A46CC4">
        <w:t xml:space="preserve"> nodrošināšanai</w:t>
      </w:r>
      <w:r w:rsidR="00AC1AD2" w:rsidRPr="00A46CC4">
        <w:t>.</w:t>
      </w:r>
      <w:r w:rsidRPr="00A46CC4">
        <w:t xml:space="preserve"> </w:t>
      </w:r>
      <w:r w:rsidR="00AC1AD2" w:rsidRPr="00A46CC4">
        <w:t xml:space="preserve">Būtiska loma ir </w:t>
      </w:r>
      <w:r w:rsidRPr="00A46CC4">
        <w:t>vairāku AER tehnoloģiju vienlaicīgas izmantošanas risinājumi</w:t>
      </w:r>
      <w:r w:rsidR="00AC1AD2" w:rsidRPr="00A46CC4">
        <w:t>em</w:t>
      </w:r>
      <w:r w:rsidRPr="00A46CC4">
        <w:t xml:space="preserve">, kur, piemēram, </w:t>
      </w:r>
      <w:r w:rsidRPr="00A46CC4">
        <w:lastRenderedPageBreak/>
        <w:t>no AER saražotā elektroenerģija tiek izmantota AER tehnoloģiju siltumenerģijas ražošanai</w:t>
      </w:r>
      <w:r w:rsidR="00AC1AD2" w:rsidRPr="00A46CC4">
        <w:t xml:space="preserve"> nodrošināšanai</w:t>
      </w:r>
      <w:r w:rsidRPr="00A46CC4">
        <w:t>.</w:t>
      </w:r>
    </w:p>
    <w:p w14:paraId="07908437" w14:textId="77777777" w:rsidR="00B1776D" w:rsidRPr="00567F3A" w:rsidRDefault="00B1776D" w:rsidP="00DC541B">
      <w:pPr>
        <w:pStyle w:val="Caption"/>
        <w:rPr>
          <w:sz w:val="24"/>
        </w:rPr>
      </w:pPr>
      <w:r w:rsidRPr="00567F3A">
        <w:rPr>
          <w:sz w:val="24"/>
        </w:rPr>
        <w:t>Ūdeņradis ir ieņēmis būtisku lomu enerģijas un enerģijas uzglabāšanas jomās</w:t>
      </w:r>
      <w:r w:rsidR="0002758E" w:rsidRPr="00567F3A">
        <w:rPr>
          <w:sz w:val="24"/>
        </w:rPr>
        <w:t>.</w:t>
      </w:r>
    </w:p>
    <w:p w14:paraId="4E2CEB73" w14:textId="77777777" w:rsidR="00B1776D" w:rsidRPr="00A46CC4" w:rsidRDefault="00B1776D" w:rsidP="00AD7375">
      <w:r w:rsidRPr="00A46CC4">
        <w:t xml:space="preserve">Ūdeņraža kā energonesēja izmantošana ir viena no videi draudzīgām alternatīvām enerģijas ražošanā, </w:t>
      </w:r>
      <w:r w:rsidR="000E6C5F" w:rsidRPr="00A46CC4">
        <w:t xml:space="preserve">ar nosacījumu, </w:t>
      </w:r>
      <w:r w:rsidRPr="00A46CC4">
        <w:t>ja ūdeņradis tiek saražots no AER.</w:t>
      </w:r>
      <w:r w:rsidR="000E6C5F" w:rsidRPr="00A46CC4">
        <w:t xml:space="preserve"> </w:t>
      </w:r>
      <w:r w:rsidRPr="00A46CC4">
        <w:t>Arvien būtiskāka vērība tiek pievērsta efektīvākai ūdeņraža iegūšanai no dažādiem AER un tā uzglabāšanai.</w:t>
      </w:r>
    </w:p>
    <w:p w14:paraId="2C5180D5" w14:textId="6ED882F6" w:rsidR="00B1776D" w:rsidRPr="00567F3A" w:rsidRDefault="00B1776D" w:rsidP="00DC541B">
      <w:pPr>
        <w:pStyle w:val="Caption"/>
        <w:rPr>
          <w:sz w:val="24"/>
        </w:rPr>
      </w:pPr>
      <w:r w:rsidRPr="00567F3A">
        <w:rPr>
          <w:sz w:val="24"/>
        </w:rPr>
        <w:t>Ir nodrošināta efektīva dažādu</w:t>
      </w:r>
      <w:r w:rsidR="00CB6E91" w:rsidRPr="00567F3A">
        <w:rPr>
          <w:sz w:val="24"/>
        </w:rPr>
        <w:t xml:space="preserve"> vietējo </w:t>
      </w:r>
      <w:r w:rsidRPr="00567F3A">
        <w:rPr>
          <w:sz w:val="24"/>
        </w:rPr>
        <w:t xml:space="preserve"> kurināmā maisījumu izmantošana</w:t>
      </w:r>
      <w:r w:rsidR="007A7113" w:rsidRPr="00567F3A">
        <w:rPr>
          <w:sz w:val="24"/>
        </w:rPr>
        <w:t>.</w:t>
      </w:r>
    </w:p>
    <w:p w14:paraId="4DC82DFD" w14:textId="77777777" w:rsidR="00B1776D" w:rsidRPr="00A46CC4" w:rsidRDefault="00B1776D" w:rsidP="00AD7375">
      <w:r w:rsidRPr="00A46CC4">
        <w:t>Kurināmā maisījumu izmantošana ir efektīvs risinājums enerģijas ražošanā, tādējādi veicinot dažādu vietējo energoresursu izmantošanu un novēršot citos vides sektoros veidojošās problēmas.</w:t>
      </w:r>
    </w:p>
    <w:p w14:paraId="13992F1C" w14:textId="269E1FB2" w:rsidR="00B1776D" w:rsidRPr="00567F3A" w:rsidRDefault="00B1776D" w:rsidP="00DC541B">
      <w:pPr>
        <w:pStyle w:val="Caption"/>
        <w:rPr>
          <w:sz w:val="24"/>
        </w:rPr>
      </w:pPr>
      <w:r w:rsidRPr="00567F3A">
        <w:rPr>
          <w:sz w:val="24"/>
        </w:rPr>
        <w:t>Ir attīstījusies</w:t>
      </w:r>
      <w:r w:rsidR="008D225B" w:rsidRPr="00567F3A">
        <w:rPr>
          <w:sz w:val="24"/>
        </w:rPr>
        <w:t xml:space="preserve"> viedo</w:t>
      </w:r>
      <w:r w:rsidRPr="00567F3A">
        <w:rPr>
          <w:sz w:val="24"/>
        </w:rPr>
        <w:t xml:space="preserve"> pilsētvides AER tehnoloģiju izmantošana</w:t>
      </w:r>
      <w:r w:rsidR="007A7113" w:rsidRPr="00567F3A">
        <w:rPr>
          <w:sz w:val="24"/>
        </w:rPr>
        <w:t>.</w:t>
      </w:r>
    </w:p>
    <w:p w14:paraId="76B103BC" w14:textId="3A9F1DDC" w:rsidR="00B1776D" w:rsidRPr="00A46CC4" w:rsidRDefault="00B1776D" w:rsidP="00977BCE">
      <w:r w:rsidRPr="00A46CC4">
        <w:t xml:space="preserve">Pilsētvidē enerģijas ražošanai arvien vairāk izmanto </w:t>
      </w:r>
      <w:r w:rsidR="008D225B" w:rsidRPr="00A46CC4">
        <w:t xml:space="preserve">viedās </w:t>
      </w:r>
      <w:r w:rsidRPr="00A46CC4">
        <w:t>pilsētvides AER tehnoloģijas, apvienojot kultūrvēsturiskos un arhitektūras elementus un inovatīvus būvniecības risinājumus un materiālus, tādējādi nodrošinot autonomu enerģijas ražošanu. Mazas jaudas, ekonomiski pamatotu un vizuāli pievilcīgu AER tehnoloģiju izmantošana ir ikvienas pilsētas neatņemama sastāvdaļa.</w:t>
      </w:r>
    </w:p>
    <w:p w14:paraId="7FE936D5" w14:textId="05C36BA9" w:rsidR="00B1776D" w:rsidRPr="00567F3A" w:rsidRDefault="00B1776D" w:rsidP="00DC541B">
      <w:pPr>
        <w:pStyle w:val="Caption"/>
        <w:rPr>
          <w:sz w:val="24"/>
        </w:rPr>
      </w:pPr>
      <w:r w:rsidRPr="00567F3A">
        <w:rPr>
          <w:sz w:val="24"/>
        </w:rPr>
        <w:t xml:space="preserve">Ir </w:t>
      </w:r>
      <w:r w:rsidR="005E2D7E" w:rsidRPr="00567F3A">
        <w:rPr>
          <w:sz w:val="24"/>
        </w:rPr>
        <w:t xml:space="preserve">pilnībā </w:t>
      </w:r>
      <w:r w:rsidRPr="00567F3A">
        <w:rPr>
          <w:sz w:val="24"/>
        </w:rPr>
        <w:t>modernizēta siltumapgādes sistēma</w:t>
      </w:r>
      <w:r w:rsidR="007A7113" w:rsidRPr="00567F3A">
        <w:rPr>
          <w:sz w:val="24"/>
        </w:rPr>
        <w:t>.</w:t>
      </w:r>
    </w:p>
    <w:p w14:paraId="30E98D2E" w14:textId="77777777" w:rsidR="00B1776D" w:rsidRPr="00A46CC4" w:rsidRDefault="00B1776D" w:rsidP="00AD7375">
      <w:r w:rsidRPr="00A46CC4">
        <w:t xml:space="preserve">Centralizētajā un lokālajā siltumapgādes sistēmā ir ieviestas jaunas siltumapgādes sistēmu </w:t>
      </w:r>
      <w:r w:rsidR="007A7113" w:rsidRPr="00A46CC4">
        <w:t>tehnoloģijas un metodes</w:t>
      </w:r>
      <w:r w:rsidRPr="00A46CC4">
        <w:t>, kas nodrošina inovatīvu tehnoloģiju un risinājumu izmantošanu efektīvai siltumapgādes sistēmas darbībai.</w:t>
      </w:r>
    </w:p>
    <w:p w14:paraId="2C9DC723" w14:textId="77777777" w:rsidR="00B1776D" w:rsidRPr="00A46CC4" w:rsidRDefault="00B1776D" w:rsidP="00B1776D">
      <w:pPr>
        <w:rPr>
          <w:szCs w:val="24"/>
        </w:rPr>
      </w:pPr>
    </w:p>
    <w:p w14:paraId="3BED4642" w14:textId="5242BFF8" w:rsidR="00B1776D" w:rsidRPr="00A46CC4" w:rsidRDefault="004E1FB6" w:rsidP="00D7375E">
      <w:pPr>
        <w:pStyle w:val="Subtitle"/>
        <w:numPr>
          <w:ilvl w:val="0"/>
          <w:numId w:val="10"/>
        </w:numPr>
        <w:ind w:left="709"/>
      </w:pPr>
      <w:r w:rsidRPr="00A46CC4">
        <w:t>P</w:t>
      </w:r>
      <w:r w:rsidR="00B1776D" w:rsidRPr="00A46CC4">
        <w:t xml:space="preserve">ilnībā savienots </w:t>
      </w:r>
      <w:r w:rsidRPr="00A46CC4">
        <w:t xml:space="preserve">un ikvienam brīvi pieejams </w:t>
      </w:r>
      <w:r w:rsidR="00B1776D" w:rsidRPr="00A46CC4">
        <w:t>energotirgus</w:t>
      </w:r>
    </w:p>
    <w:p w14:paraId="18AD22D4" w14:textId="77777777" w:rsidR="00B1776D" w:rsidRPr="00A46CC4" w:rsidRDefault="00B1776D" w:rsidP="00977BCE">
      <w:r w:rsidRPr="00A46CC4">
        <w:t>ES virzoties uz Enerģijas Savienību (</w:t>
      </w:r>
      <w:r w:rsidRPr="00A46CC4">
        <w:rPr>
          <w:i/>
        </w:rPr>
        <w:t>Energy Union</w:t>
      </w:r>
      <w:r w:rsidRPr="00A46CC4">
        <w:t>), ir ieņēmusi lielāku nozīmi valsts integrēšanai kopējā enerģijas tīklā, kas ļauj optimizēt enerģijas ražošanu, piegādi un izmantošanu, kā arī palielina enerģijas piegādes drošību un stabilitāti.</w:t>
      </w:r>
    </w:p>
    <w:p w14:paraId="451DD21E" w14:textId="584208A6" w:rsidR="00B1776D" w:rsidRPr="00567F3A" w:rsidRDefault="00B1776D" w:rsidP="00DC541B">
      <w:pPr>
        <w:pStyle w:val="Caption"/>
        <w:rPr>
          <w:sz w:val="24"/>
        </w:rPr>
      </w:pPr>
      <w:r w:rsidRPr="00567F3A">
        <w:rPr>
          <w:sz w:val="24"/>
        </w:rPr>
        <w:t>Ir</w:t>
      </w:r>
      <w:r w:rsidR="00260B13" w:rsidRPr="00567F3A">
        <w:rPr>
          <w:sz w:val="24"/>
        </w:rPr>
        <w:t xml:space="preserve"> pilnībā</w:t>
      </w:r>
      <w:r w:rsidRPr="00567F3A">
        <w:rPr>
          <w:sz w:val="24"/>
        </w:rPr>
        <w:t xml:space="preserve"> nodrošināta energodrošība</w:t>
      </w:r>
      <w:r w:rsidR="0065112F" w:rsidRPr="00567F3A">
        <w:rPr>
          <w:sz w:val="24"/>
        </w:rPr>
        <w:t>.</w:t>
      </w:r>
    </w:p>
    <w:p w14:paraId="24129E18" w14:textId="77777777" w:rsidR="00B1776D" w:rsidRPr="00A46CC4" w:rsidRDefault="00B1776D" w:rsidP="00AD7375">
      <w:r w:rsidRPr="00A46CC4">
        <w:t xml:space="preserve">Nodrošināta droša, elastīga, efektīva un integrēta pieeja enerģijas tīkliem, ļaujot </w:t>
      </w:r>
      <w:r w:rsidR="0065112F" w:rsidRPr="00A46CC4">
        <w:t xml:space="preserve">lietotājiem </w:t>
      </w:r>
      <w:r w:rsidRPr="00A46CC4">
        <w:t>brīvu piekļuvi no AER saražotai enerģijai.</w:t>
      </w:r>
    </w:p>
    <w:p w14:paraId="7947C659" w14:textId="2BEDD21E" w:rsidR="00B1776D" w:rsidRPr="00A46CC4" w:rsidRDefault="00B1776D" w:rsidP="00AD7375">
      <w:r w:rsidRPr="00A46CC4">
        <w:t xml:space="preserve">Biomasa un </w:t>
      </w:r>
      <w:r w:rsidR="00AD7375" w:rsidRPr="00A46CC4">
        <w:t xml:space="preserve">pārējie AER t.sk. </w:t>
      </w:r>
      <w:r w:rsidRPr="00A46CC4">
        <w:t>ģeotermālā enerģija nodrošina stabilitāti enerģijas tirgū un energodrošību, ņemot vērā, ka</w:t>
      </w:r>
      <w:r w:rsidR="00B37E47">
        <w:t xml:space="preserve"> bū</w:t>
      </w:r>
      <w:r w:rsidR="004E1FB6" w:rsidRPr="00A46CC4">
        <w:t>s</w:t>
      </w:r>
      <w:r w:rsidRPr="00A46CC4">
        <w:t xml:space="preserve"> būtiski palielinājies saražotās enerģijas apjoms no nepastāvīgajiem AER un</w:t>
      </w:r>
      <w:r w:rsidR="00366B19" w:rsidRPr="00A46CC4">
        <w:t xml:space="preserve"> ir potenciāla</w:t>
      </w:r>
      <w:r w:rsidRPr="00A46CC4">
        <w:t xml:space="preserve"> nepieciešamība pēc rezerves jaudas.</w:t>
      </w:r>
    </w:p>
    <w:p w14:paraId="5191370C" w14:textId="77777777" w:rsidR="00B1776D" w:rsidRPr="00567F3A" w:rsidRDefault="00B1776D" w:rsidP="00DC541B">
      <w:pPr>
        <w:pStyle w:val="Caption"/>
        <w:rPr>
          <w:sz w:val="24"/>
        </w:rPr>
      </w:pPr>
      <w:r w:rsidRPr="00567F3A">
        <w:rPr>
          <w:sz w:val="24"/>
        </w:rPr>
        <w:t>Ir ieviestas un komerciāli attīstītas elektroenerģijas uzglabāšanas iekārtas.</w:t>
      </w:r>
    </w:p>
    <w:p w14:paraId="4AF9A4CB" w14:textId="77777777" w:rsidR="00B1776D" w:rsidRPr="00A46CC4" w:rsidRDefault="00B1776D" w:rsidP="00AD7375">
      <w:r w:rsidRPr="00A46CC4">
        <w:t xml:space="preserve">Elektroenerģijas patēriņš ir palielinājies, kas galvenokārt </w:t>
      </w:r>
      <w:r w:rsidR="00366B19" w:rsidRPr="00A46CC4">
        <w:t xml:space="preserve">saistīts </w:t>
      </w:r>
      <w:r w:rsidRPr="00A46CC4">
        <w:t>ar transporta sistēmas elektrifikāciju, elektroenerģijas izmantošanu siltumapgādē un iedzīvotāju dzīves komforta paaugstināšanos</w:t>
      </w:r>
      <w:r w:rsidR="00366B19" w:rsidRPr="00A46CC4">
        <w:t>, t.i., palielināts elektroierīču skaits</w:t>
      </w:r>
      <w:r w:rsidRPr="00A46CC4">
        <w:t>. Ņemot vērā uzstādītās lielas jaudas nepastāvīgo AER (saules un vēja enerģija) tehnoloģijas, ir ieviestas elektroenerģijas uzkrāšanas tehnoloģijas.</w:t>
      </w:r>
    </w:p>
    <w:p w14:paraId="6633ECFD" w14:textId="66FA57F9" w:rsidR="00B1776D" w:rsidRPr="00A46CC4" w:rsidRDefault="00FD633D" w:rsidP="00977BCE">
      <w:pPr>
        <w:pStyle w:val="Heading2"/>
        <w:rPr>
          <w:b w:val="0"/>
          <w:bCs w:val="0"/>
        </w:rPr>
      </w:pPr>
      <w:bookmarkStart w:id="38" w:name="_Toc523217381"/>
      <w:r w:rsidRPr="00A46CC4">
        <w:rPr>
          <w:lang w:val="lv-LV"/>
        </w:rPr>
        <w:t>5</w:t>
      </w:r>
      <w:r w:rsidR="00567F3A">
        <w:t>.2. </w:t>
      </w:r>
      <w:r w:rsidR="00B1776D" w:rsidRPr="00A46CC4">
        <w:t>Visaptveroša energoefektivitāte</w:t>
      </w:r>
      <w:bookmarkEnd w:id="38"/>
    </w:p>
    <w:p w14:paraId="71179FAA" w14:textId="61AE205E" w:rsidR="00B1776D" w:rsidRPr="00A46CC4" w:rsidRDefault="00B1776D" w:rsidP="00366B19">
      <w:r w:rsidRPr="00A46CC4">
        <w:t>Energoefektivitātes pasākumu īstenošana dažādās tautsaimniecības nozarēs, sākot no ražošanas</w:t>
      </w:r>
      <w:r w:rsidR="00063F18" w:rsidRPr="00A46CC4">
        <w:t xml:space="preserve"> nozares</w:t>
      </w:r>
      <w:r w:rsidRPr="00A46CC4">
        <w:t xml:space="preserve"> un beidzot ar mājsaimniecībām, būtiski samazina SEG emisijas. Paralēli investīcijām AER izmantošanas veicināšanai</w:t>
      </w:r>
      <w:r w:rsidR="00366B19" w:rsidRPr="00A46CC4">
        <w:t>,</w:t>
      </w:r>
      <w:r w:rsidRPr="00A46CC4">
        <w:t xml:space="preserve"> ir būtiski paaugstinājusies esošu ēku energoefektivitāte un jaunu energoefektīvu ēku būvniecība.</w:t>
      </w:r>
    </w:p>
    <w:p w14:paraId="32554355" w14:textId="77777777" w:rsidR="00B1776D" w:rsidRPr="00A46CC4" w:rsidRDefault="00B1776D" w:rsidP="00366B19">
      <w:r w:rsidRPr="00A46CC4">
        <w:t>Lielākie enerģijas gala patērētāji Latvijā ir mājsaimniecības un transports. Latvijā lielākais enerģijas ietaupījuma potenciāls ir sasniegts ar mājsaimniecībām, kurās ir uzlabota esošo ēku energoefektivitāte, ieviestas jaunas, stingrākas tehniskās prasības jaunu ēku būvniecībai un tiek izmantotas energoefektīvas iekārtas.</w:t>
      </w:r>
    </w:p>
    <w:p w14:paraId="0C04D00D" w14:textId="77777777" w:rsidR="00B1776D" w:rsidRPr="00A46CC4" w:rsidRDefault="00B1776D" w:rsidP="00366B19">
      <w:r w:rsidRPr="00A46CC4">
        <w:lastRenderedPageBreak/>
        <w:t>Būtiska energoefektivitātes palielināšana ir viens no Latvijas ilgtspējīgas enerģijas galvenajiem faktoriem.</w:t>
      </w:r>
    </w:p>
    <w:p w14:paraId="2FAE30BB" w14:textId="77777777" w:rsidR="00B1776D" w:rsidRPr="00A46CC4" w:rsidRDefault="00AA4432" w:rsidP="00B1776D">
      <w:pPr>
        <w:ind w:firstLine="720"/>
      </w:pPr>
      <w:r w:rsidRPr="00A46CC4">
        <w:t>Viens no pielietotajiem risinājumiem ir energomarķējums (vizuāla metode sabiedrības informēšanai) un ekodizains (preču un pakalpojumu izstrāde, ņemot vērā to ilgtspēju un ietekmes uz vidi samazināšanu). Energomarķējuma un ekodizaina nosacījumi ierobežo energoneefektīvu produktu un iekārtu ražošanu un laišanu brīvā tirgū.</w:t>
      </w:r>
    </w:p>
    <w:p w14:paraId="48903DA4" w14:textId="65CB60B6" w:rsidR="00B1776D" w:rsidRPr="00A46CC4" w:rsidRDefault="00063F18" w:rsidP="00D7375E">
      <w:pPr>
        <w:pStyle w:val="Subtitle"/>
        <w:numPr>
          <w:ilvl w:val="0"/>
          <w:numId w:val="10"/>
        </w:numPr>
        <w:ind w:left="709"/>
      </w:pPr>
      <w:bookmarkStart w:id="39" w:name="_Toc456603834"/>
      <w:r w:rsidRPr="00A46CC4">
        <w:t>Visu j</w:t>
      </w:r>
      <w:r w:rsidR="00B1776D" w:rsidRPr="00A46CC4">
        <w:t xml:space="preserve">aunu ēku </w:t>
      </w:r>
      <w:bookmarkEnd w:id="39"/>
      <w:r w:rsidR="00B1776D" w:rsidRPr="00A46CC4">
        <w:t xml:space="preserve">būvniecība </w:t>
      </w:r>
      <w:r w:rsidRPr="00A46CC4">
        <w:t>atbilst nulles enerģijas patēriņa ēku prasībām</w:t>
      </w:r>
    </w:p>
    <w:p w14:paraId="60998FE6" w14:textId="2759A5BD" w:rsidR="00B1776D" w:rsidRPr="00A46CC4" w:rsidRDefault="00B1776D" w:rsidP="00AD7375">
      <w:r w:rsidRPr="00A46CC4">
        <w:t>Līdz 2050</w:t>
      </w:r>
      <w:r w:rsidR="00366B19" w:rsidRPr="00A46CC4">
        <w:t>. gadam</w:t>
      </w:r>
      <w:r w:rsidRPr="00A46CC4">
        <w:t xml:space="preserve"> ir nodrošināts, ka visas jaunās ēkas ir gandrīz nulles enerģijas patēriņa ēkas. Jaunu ēku būvniecībā tiek piemērotas stingras energoefektivitātes prasības.</w:t>
      </w:r>
    </w:p>
    <w:p w14:paraId="7E3243CA" w14:textId="3537FE08" w:rsidR="00B1776D" w:rsidRPr="00A46CC4" w:rsidRDefault="00B1776D" w:rsidP="00AD7375">
      <w:r w:rsidRPr="00A46CC4">
        <w:t>Gandrīz nulles enerģijas patēriņa ēku būvniecībā uzmanība ir pievērsta plānošanai, ēku konstrukcijām</w:t>
      </w:r>
      <w:r w:rsidR="00366B19" w:rsidRPr="00A46CC4">
        <w:t>, izmantotajiem materiāliem</w:t>
      </w:r>
      <w:r w:rsidRPr="00A46CC4">
        <w:t xml:space="preserve"> un ēkas iekšējiem inženiertīkliem.</w:t>
      </w:r>
    </w:p>
    <w:p w14:paraId="695FA965" w14:textId="40193F7D" w:rsidR="00B1776D" w:rsidRPr="00A46CC4" w:rsidRDefault="00B1776D" w:rsidP="00AD7375">
      <w:r w:rsidRPr="00A46CC4">
        <w:t>Ir radīta izpratne par gandrīz nulles enerģijas patēriņa ēku priekšrocībām gan enerģijas taupīšanas, gan labvēlīga iekštelpu mikroklimata nodrošināšanā.</w:t>
      </w:r>
    </w:p>
    <w:p w14:paraId="15F28234" w14:textId="23A57C4C" w:rsidR="00B1776D" w:rsidRPr="00A46CC4" w:rsidRDefault="003F5F0F" w:rsidP="00D7375E">
      <w:pPr>
        <w:pStyle w:val="Subtitle"/>
        <w:numPr>
          <w:ilvl w:val="0"/>
          <w:numId w:val="10"/>
        </w:numPr>
        <w:ind w:left="709"/>
      </w:pPr>
      <w:r w:rsidRPr="00A46CC4">
        <w:t>Visu ē</w:t>
      </w:r>
      <w:r w:rsidR="00B1776D" w:rsidRPr="00A46CC4">
        <w:t>ku atjaunošana un pārbūve</w:t>
      </w:r>
      <w:r w:rsidRPr="00A46CC4">
        <w:t xml:space="preserve"> atbilst nulles enerģijas patēriņa vai zema enerģijas patēriņa ēku prasībām</w:t>
      </w:r>
    </w:p>
    <w:p w14:paraId="1379B7B2" w14:textId="77777777" w:rsidR="00B1776D" w:rsidRPr="00A46CC4" w:rsidRDefault="00B1776D" w:rsidP="00AD7375">
      <w:r w:rsidRPr="00A46CC4">
        <w:t>Emisiju samazināšana nav iedomājama bez uzlabojumiem esošo ēku energoefektivitātes uzlabošanā</w:t>
      </w:r>
      <w:r w:rsidR="00110E2B" w:rsidRPr="00A46CC4">
        <w:t>, reizē arī saglabājot vēsturiskās vērtības</w:t>
      </w:r>
      <w:r w:rsidRPr="00A46CC4">
        <w:t xml:space="preserve">. </w:t>
      </w:r>
      <w:r w:rsidR="00110E2B" w:rsidRPr="00A46CC4">
        <w:t xml:space="preserve">Ēku atjaunošana un pārbūve tiek veikta kvalitatīvi, izmantojot ilgtspējīgus materiālus un efektīvas tehnoloģijas un metodes. </w:t>
      </w:r>
      <w:r w:rsidRPr="00A46CC4">
        <w:t>80 % esošo ēku ir atjaunotas vai pārbūvētas. Viens no galvenajiem izaicinājumiem visaptverošai ēku atjaunošanai ir būtisks finansējuma trūkums, līdz ar to ir rasti inovatīvi finanšu instrumenti.</w:t>
      </w:r>
    </w:p>
    <w:p w14:paraId="3F88E0FC" w14:textId="37218D38" w:rsidR="00B1776D" w:rsidRPr="00A46CC4" w:rsidRDefault="00910317" w:rsidP="00D7375E">
      <w:pPr>
        <w:pStyle w:val="Subtitle"/>
        <w:numPr>
          <w:ilvl w:val="0"/>
          <w:numId w:val="10"/>
        </w:numPr>
        <w:ind w:left="709"/>
      </w:pPr>
      <w:r w:rsidRPr="00A46CC4">
        <w:t xml:space="preserve">Ražošanas procesos </w:t>
      </w:r>
      <w:r w:rsidR="00E9191D" w:rsidRPr="00A46CC4">
        <w:t>ir</w:t>
      </w:r>
      <w:r w:rsidRPr="00A46CC4">
        <w:t xml:space="preserve"> </w:t>
      </w:r>
      <w:r w:rsidR="00E9191D" w:rsidRPr="00A46CC4">
        <w:t>īstenoti e</w:t>
      </w:r>
      <w:r w:rsidR="00B1776D" w:rsidRPr="00A46CC4">
        <w:t>nergoefektivitātes pasākumi</w:t>
      </w:r>
      <w:r w:rsidR="00E9191D" w:rsidRPr="00A46CC4">
        <w:t>, kas ir ar būtiski augstāki efektivitāti salīdzinot ar nozares līmeņatzīmes pasākumiem</w:t>
      </w:r>
      <w:r w:rsidR="00B1776D" w:rsidRPr="00A46CC4">
        <w:t xml:space="preserve"> </w:t>
      </w:r>
    </w:p>
    <w:p w14:paraId="012BFBAB" w14:textId="77777777" w:rsidR="00B1776D" w:rsidRPr="00A46CC4" w:rsidRDefault="00B1776D" w:rsidP="00AD7375">
      <w:pPr>
        <w:rPr>
          <w:color w:val="000000"/>
        </w:rPr>
      </w:pPr>
      <w:r w:rsidRPr="00A46CC4">
        <w:t>Energoefektīv</w:t>
      </w:r>
      <w:r w:rsidR="00110E2B" w:rsidRPr="00A46CC4">
        <w:t>i</w:t>
      </w:r>
      <w:r w:rsidRPr="00A46CC4">
        <w:t xml:space="preserve"> ražošana</w:t>
      </w:r>
      <w:r w:rsidR="00110E2B" w:rsidRPr="00A46CC4">
        <w:t>s procesi</w:t>
      </w:r>
      <w:r w:rsidRPr="00A46CC4">
        <w:t xml:space="preserve"> nodrošina Latvijas konkurētspēju pasaulē, piedāvājot preces un pakalpojumus par konkurētspējīgām cenām, vienlaicīgi radot papildu darbavietas un veicinot izaugsmi.</w:t>
      </w:r>
    </w:p>
    <w:p w14:paraId="0F62739D" w14:textId="1D337FCD" w:rsidR="00B1776D" w:rsidRPr="00A46CC4" w:rsidRDefault="00170BA3" w:rsidP="00D7375E">
      <w:pPr>
        <w:pStyle w:val="Subtitle"/>
        <w:numPr>
          <w:ilvl w:val="0"/>
          <w:numId w:val="10"/>
        </w:numPr>
        <w:ind w:left="709"/>
      </w:pPr>
      <w:bookmarkStart w:id="40" w:name="_Toc456603835"/>
      <w:r w:rsidRPr="00A46CC4">
        <w:t>Sabiedrībai pieejami tikai un vienīgi e</w:t>
      </w:r>
      <w:r w:rsidR="00B1776D" w:rsidRPr="00A46CC4">
        <w:t>nergoefektīvi produkti un iekārtas</w:t>
      </w:r>
      <w:bookmarkEnd w:id="40"/>
    </w:p>
    <w:p w14:paraId="4EFA131F" w14:textId="77777777" w:rsidR="00B1776D" w:rsidRPr="00A46CC4" w:rsidRDefault="00B1776D" w:rsidP="00AD7375">
      <w:r w:rsidRPr="00A46CC4">
        <w:t xml:space="preserve">Projektējot produktus un iekārtas tiek domāts, lai produktu un iekārtu ražošanā tiktu izmantots maksimāli maz enerģijas vai arī tiktu iegūta cita veida enerģija no ražošanas procesa. </w:t>
      </w:r>
      <w:r w:rsidR="00AA4432" w:rsidRPr="00A46CC4">
        <w:t>Ekodizains tiek stingri ievērots un attīstīts, ekodizains veicina inovatīvu un ilgtspējīgu risinājumu ieviešanu.</w:t>
      </w:r>
    </w:p>
    <w:p w14:paraId="6ABC5D5F" w14:textId="77777777" w:rsidR="00B1776D" w:rsidRPr="00A46CC4" w:rsidRDefault="00B1776D" w:rsidP="00AD7375">
      <w:r w:rsidRPr="00A46CC4">
        <w:t>Energoefektīva apgaismojuma jomā dominē jaunas paaudzes sistēmas un risinājumi, kuri ir attālināti vadāmi, ar ilgstošu kalpošanas laiku un augstu efektivitāti resursu patēriņā – gan produkta izstrādes, gan tā lietošanas laikā.</w:t>
      </w:r>
    </w:p>
    <w:p w14:paraId="5756E438" w14:textId="77777777" w:rsidR="00B1776D" w:rsidRPr="00A46CC4" w:rsidRDefault="00B1776D" w:rsidP="00AD7375">
      <w:r w:rsidRPr="00A46CC4">
        <w:t>Enerģijas patēriņa kontrole un pielāgošana konkrētām vajadzībām ir visiem pieejams pakalpojums un tas notiek attālināti, izmantojot informācijas komunikāciju tehnoloģijas.</w:t>
      </w:r>
    </w:p>
    <w:p w14:paraId="3B7E28F6" w14:textId="77777777" w:rsidR="00A411FC" w:rsidRPr="00A46CC4" w:rsidRDefault="00A411FC" w:rsidP="00AD7375">
      <w:r w:rsidRPr="00A46CC4">
        <w:t>Ekodizaina produkti paredz to ērtu un efektīvu utilizāciju, kas ir visiem pieejama. Sistēma ir ilgtspējīga un atbilst aprites ekonomikas principiem</w:t>
      </w:r>
      <w:r w:rsidR="009B037D" w:rsidRPr="00A46CC4">
        <w:t xml:space="preserve"> (skat. 5.5. nodaļu)</w:t>
      </w:r>
      <w:r w:rsidRPr="00A46CC4">
        <w:t>.</w:t>
      </w:r>
    </w:p>
    <w:p w14:paraId="71F63F6E" w14:textId="0A24E36C" w:rsidR="00F32799" w:rsidRPr="00A46CC4" w:rsidRDefault="00FD633D">
      <w:pPr>
        <w:pStyle w:val="Heading2"/>
      </w:pPr>
      <w:bookmarkStart w:id="41" w:name="_Toc523217382"/>
      <w:r w:rsidRPr="00A46CC4">
        <w:rPr>
          <w:lang w:val="lv-LV"/>
        </w:rPr>
        <w:t>5</w:t>
      </w:r>
      <w:r w:rsidR="00567F3A">
        <w:rPr>
          <w:lang w:val="lv-LV"/>
        </w:rPr>
        <w:t>.3. </w:t>
      </w:r>
      <w:r w:rsidR="00CA7704" w:rsidRPr="00A46CC4">
        <w:t>R</w:t>
      </w:r>
      <w:r w:rsidR="00341705" w:rsidRPr="00A46CC4">
        <w:t>esurse</w:t>
      </w:r>
      <w:r w:rsidR="00235B00" w:rsidRPr="00A46CC4">
        <w:t>fektīv</w:t>
      </w:r>
      <w:r w:rsidR="003427D8" w:rsidRPr="00A46CC4">
        <w:t>s un videi draudzīg</w:t>
      </w:r>
      <w:r w:rsidR="00231813" w:rsidRPr="00A46CC4">
        <w:t>s transports</w:t>
      </w:r>
      <w:bookmarkEnd w:id="41"/>
    </w:p>
    <w:p w14:paraId="0EEC458B" w14:textId="50576EEA" w:rsidR="00CA5EE0" w:rsidRPr="00A46CC4" w:rsidRDefault="00CA5EE0" w:rsidP="00CA5EE0">
      <w:r w:rsidRPr="00A46CC4">
        <w:t>2050.</w:t>
      </w:r>
      <w:r w:rsidR="00567F3A">
        <w:t> </w:t>
      </w:r>
      <w:r w:rsidRPr="00A46CC4">
        <w:t>gadā emisijas no transporta sektora ir būtiski samazinājušās, kas galvenokārt ir panākts, pateicoties dažādām iniciatīvām un inovācijām transporta infrastruktūrā un transportlīdzekļu tehnoloģijās, kā arī izmaiņām sabiedrības ikdienas paradumos.</w:t>
      </w:r>
    </w:p>
    <w:p w14:paraId="19348C3D" w14:textId="77777777" w:rsidR="00CA5EE0" w:rsidRPr="00A46CC4" w:rsidRDefault="00CA5EE0" w:rsidP="00BE0FD4">
      <w:pPr>
        <w:pStyle w:val="ListParagraph"/>
        <w:numPr>
          <w:ilvl w:val="0"/>
          <w:numId w:val="9"/>
        </w:numPr>
        <w:spacing w:before="120" w:after="60"/>
        <w:rPr>
          <w:b/>
          <w:iCs/>
          <w:szCs w:val="24"/>
        </w:rPr>
      </w:pPr>
      <w:r w:rsidRPr="00A46CC4">
        <w:rPr>
          <w:b/>
          <w:iCs/>
          <w:szCs w:val="24"/>
        </w:rPr>
        <w:t>Ceļa transports ir pārsvarā elektrificēts, un uzlādes infrastruktūra ir plaši pieejama.</w:t>
      </w:r>
    </w:p>
    <w:p w14:paraId="0FF4B01E" w14:textId="77777777" w:rsidR="00CA5EE0" w:rsidRPr="00A46CC4" w:rsidRDefault="00CA5EE0" w:rsidP="00CA5EE0">
      <w:r w:rsidRPr="00A46CC4">
        <w:t>Vairums iedzīvotāji un uzņēmumi kā vieglo pasažieru un kravas auto izmanto elektrotransportlīdzekļus. Elektrotransportlīdzekļi ir kļuvuši par dominējošo pārvietošanās veidu, jo, pateicoties tehnoloģiju attīstībai, ļauj nobraukt lielākas distances un nerada SEG emisijas. Ceļa transports ir pārsvarā elektrificēts, un uzlādes infrastruktūra ir plaši pieejama.</w:t>
      </w:r>
      <w:r w:rsidR="005926E8" w:rsidRPr="00A46CC4">
        <w:t xml:space="preserve"> </w:t>
      </w:r>
    </w:p>
    <w:p w14:paraId="39152BF7" w14:textId="4C2C8AFE" w:rsidR="00CA5EE0" w:rsidRPr="00A46CC4" w:rsidRDefault="00CA5EE0" w:rsidP="00CA5EE0">
      <w:r w:rsidRPr="00A46CC4">
        <w:lastRenderedPageBreak/>
        <w:t>Elektrotransportlīdzekļu uzlādes infrastruktūra ir pieejama uz TEN-T</w:t>
      </w:r>
      <w:r w:rsidRPr="00A46CC4">
        <w:rPr>
          <w:vertAlign w:val="superscript"/>
        </w:rPr>
        <w:footnoteReference w:id="35"/>
      </w:r>
      <w:r w:rsidRPr="00A46CC4">
        <w:t xml:space="preserve"> ceļiem un pilsētās, ļaujot ērti un ātri uzlādēt elektrotransportlīdzekļus. Vairums uzlādes staciju ir ātrās-uzlādes, kas nozīmē, ka ir nepieciešams mazs laiks transporta uzlādei, tādējādi neradot neērtības auto lietotājiem. Elektrotransportlīdzekļu uzlādei tiek izmantota elektroenerģija, kas iegūta </w:t>
      </w:r>
      <w:r w:rsidR="005926E8" w:rsidRPr="00A46CC4">
        <w:t xml:space="preserve">galvenokārt </w:t>
      </w:r>
      <w:r w:rsidR="00567F3A">
        <w:t>no AER (skat. 5.1. </w:t>
      </w:r>
      <w:r w:rsidRPr="00A46CC4">
        <w:t>nodaļu).</w:t>
      </w:r>
    </w:p>
    <w:p w14:paraId="7C447DFD" w14:textId="77777777" w:rsidR="00197CE1" w:rsidRPr="00A46CC4" w:rsidRDefault="00197CE1" w:rsidP="00197CE1">
      <w:r w:rsidRPr="00A46CC4">
        <w:t>Elektrotransportlīdzekļu izplatība ir veicinājusi arī apkalpojošās infrastruktūras attīstību, nodrošinot pieejamu un attīstītu servisu, izdevīgus finanšu risinājumus elektrotransportlīdzekļu iegādei un sasaisti ar inteliģentajām transporta sistēmām.</w:t>
      </w:r>
      <w:r w:rsidR="007E136D" w:rsidRPr="00A46CC4">
        <w:t xml:space="preserve"> Nodokļu sistēma pilnībā atbilst „piesārņotājs maksā” principam, kas reducējusi  līdz minimumam ar fosilo degvielu darbināmu transportlīdzekļu izmantošanu privātām vajadzībām.</w:t>
      </w:r>
    </w:p>
    <w:p w14:paraId="71BA0180" w14:textId="06F2251E" w:rsidR="00663EB4" w:rsidRPr="00A46CC4" w:rsidRDefault="00663EB4" w:rsidP="00B34829">
      <w:r w:rsidRPr="00A46CC4">
        <w:t xml:space="preserve">Valsts pārvaldes un pašvaldības institūcijas </w:t>
      </w:r>
      <w:r w:rsidR="007E136D" w:rsidRPr="00A46CC4">
        <w:t>ir atjaunojusi</w:t>
      </w:r>
      <w:r w:rsidRPr="00A46CC4">
        <w:t xml:space="preserve"> savu autoparku ar videi draudzīgiem alternatīvo degvielu transportlīdzekļiem, tādā veidā nodrošinot zaļā publiskā iepirkuma kritēriju izpildi</w:t>
      </w:r>
      <w:r w:rsidR="007E136D" w:rsidRPr="00A46CC4">
        <w:t xml:space="preserve"> u</w:t>
      </w:r>
      <w:r w:rsidR="00B34829">
        <w:t>n rādot priekšzīmi sabiedrībai.</w:t>
      </w:r>
    </w:p>
    <w:p w14:paraId="07D88E2E" w14:textId="77777777" w:rsidR="00CA5EE0" w:rsidRPr="00A46CC4" w:rsidRDefault="00CA5EE0" w:rsidP="00BE0FD4">
      <w:pPr>
        <w:pStyle w:val="ListParagraph"/>
        <w:numPr>
          <w:ilvl w:val="0"/>
          <w:numId w:val="9"/>
        </w:numPr>
        <w:spacing w:before="120" w:after="60"/>
        <w:rPr>
          <w:b/>
          <w:iCs/>
          <w:szCs w:val="24"/>
        </w:rPr>
      </w:pPr>
      <w:r w:rsidRPr="00A46CC4">
        <w:rPr>
          <w:b/>
          <w:iCs/>
          <w:szCs w:val="24"/>
        </w:rPr>
        <w:t>Gaisa transports efektīvi izmanto nākamo paaudžu biodegvielas un alternatīvās degvielas, un energoefektīvi risinājumi ir integrēti gaisa kuģos un lidostās.</w:t>
      </w:r>
    </w:p>
    <w:p w14:paraId="19D325CC" w14:textId="77777777" w:rsidR="00CA5EE0" w:rsidRPr="00A46CC4" w:rsidRDefault="00CA5EE0" w:rsidP="00CA5EE0">
      <w:r w:rsidRPr="00A46CC4">
        <w:t>Augstas veiktspējas degvielas un biodegvielas ir samazinājušas SEG emisijas no gaisa transporta. Pateicoties tehnoloģiskām inovācijām un efektivitātes uzlabojumiem, aviācijas sektors ir kļuvis efektīvāks un patērē galvenokārt degvielu no AER. Gaisa transports efektīvi izmanto nākamo paaudžu biodegvielas un alternatīvās degvielas. Efektivitātes uzlabojumi ir ieviesti gan gaisa kuģos, gan arī lidostās, ļaujot samazināt lidaparātu un lidostas apkalpojošās tehnikas radītās SEG emisijas. Efektivitātes un tehnoloģiskie jauninājumi ir samazinājuši arī gaisa transporta radīto troksni, padarot lidostu apkārtni draudzīgāku iedzīvotājiem un videi.</w:t>
      </w:r>
    </w:p>
    <w:p w14:paraId="545DC798" w14:textId="65665D16" w:rsidR="00CA5EE0" w:rsidRPr="00A46CC4" w:rsidRDefault="00CA5EE0" w:rsidP="00BE0FD4">
      <w:pPr>
        <w:pStyle w:val="ListParagraph"/>
        <w:numPr>
          <w:ilvl w:val="0"/>
          <w:numId w:val="9"/>
        </w:numPr>
        <w:spacing w:before="120" w:after="60"/>
        <w:rPr>
          <w:b/>
          <w:iCs/>
          <w:szCs w:val="24"/>
        </w:rPr>
      </w:pPr>
      <w:r w:rsidRPr="00A46CC4">
        <w:rPr>
          <w:b/>
          <w:iCs/>
          <w:szCs w:val="24"/>
        </w:rPr>
        <w:t xml:space="preserve">Dzelzceļa transports </w:t>
      </w:r>
      <w:r w:rsidR="007E136D" w:rsidRPr="00A46CC4">
        <w:rPr>
          <w:b/>
          <w:iCs/>
          <w:szCs w:val="24"/>
        </w:rPr>
        <w:t xml:space="preserve">ir </w:t>
      </w:r>
      <w:r w:rsidRPr="00A46CC4">
        <w:rPr>
          <w:b/>
          <w:iCs/>
          <w:szCs w:val="24"/>
        </w:rPr>
        <w:t xml:space="preserve">elektrificēts un/vai pārvadājumu veikšanai izmanto </w:t>
      </w:r>
      <w:r w:rsidR="007E136D" w:rsidRPr="00A46CC4">
        <w:rPr>
          <w:b/>
          <w:iCs/>
          <w:szCs w:val="24"/>
        </w:rPr>
        <w:t xml:space="preserve">cita </w:t>
      </w:r>
      <w:r w:rsidRPr="00A46CC4">
        <w:rPr>
          <w:b/>
          <w:iCs/>
          <w:szCs w:val="24"/>
        </w:rPr>
        <w:t>alternatīvās degvielas.</w:t>
      </w:r>
    </w:p>
    <w:p w14:paraId="2CBEECCF" w14:textId="75238778" w:rsidR="00CA5EE0" w:rsidRPr="00A46CC4" w:rsidRDefault="00CA5EE0" w:rsidP="00CA5EE0">
      <w:r w:rsidRPr="00A46CC4">
        <w:t>Vairums dzelzceļa līniju ir elektrificētas</w:t>
      </w:r>
      <w:r w:rsidR="009328FF" w:rsidRPr="00A46CC4">
        <w:t xml:space="preserve">. </w:t>
      </w:r>
      <w:r w:rsidR="007E136D" w:rsidRPr="00A46CC4">
        <w:t>E</w:t>
      </w:r>
      <w:r w:rsidRPr="00A46CC4">
        <w:t xml:space="preserve">lektrovilcienus </w:t>
      </w:r>
      <w:r w:rsidR="007E136D" w:rsidRPr="00A46CC4">
        <w:t xml:space="preserve">un ar ūdeņradi darbināmus vilcienus </w:t>
      </w:r>
      <w:r w:rsidRPr="00A46CC4">
        <w:t xml:space="preserve">izmanto gan pasažieru, gan kravu pārvadājumiem. Ne-elektrificētās līnijās galvenokārt izmanto </w:t>
      </w:r>
      <w:r w:rsidR="009328FF" w:rsidRPr="00A46CC4">
        <w:t xml:space="preserve">ūdeņradi vai </w:t>
      </w:r>
      <w:r w:rsidRPr="00A46CC4">
        <w:t xml:space="preserve">biodegvielu , taču arī dabasgāze tiek izmantota. Daļa dzelzceļa līniju ir ātrgaitas, nodrošinot ātrus, efektīvus un videi draudzīgus kravu un pasažieru pārvadājumus. </w:t>
      </w:r>
    </w:p>
    <w:p w14:paraId="338F8BD4" w14:textId="77777777" w:rsidR="00CA5EE0" w:rsidRPr="00A46CC4" w:rsidRDefault="00CA5EE0" w:rsidP="00BE0FD4">
      <w:pPr>
        <w:pStyle w:val="ListParagraph"/>
        <w:numPr>
          <w:ilvl w:val="0"/>
          <w:numId w:val="9"/>
        </w:numPr>
        <w:spacing w:before="120" w:after="60"/>
        <w:rPr>
          <w:b/>
          <w:iCs/>
          <w:szCs w:val="24"/>
        </w:rPr>
      </w:pPr>
      <w:r w:rsidRPr="00A46CC4">
        <w:rPr>
          <w:b/>
          <w:iCs/>
          <w:szCs w:val="24"/>
        </w:rPr>
        <w:t>Ūdens transports izmanto alternatīvās degvielas un energoefektīvus risinājumus degvielas patēriņa samazināšanai.</w:t>
      </w:r>
    </w:p>
    <w:p w14:paraId="24F41A8F" w14:textId="77777777" w:rsidR="00CA5EE0" w:rsidRPr="00A46CC4" w:rsidRDefault="00CA5EE0" w:rsidP="00CA5EE0">
      <w:r w:rsidRPr="00A46CC4">
        <w:t>Ūdens transportā izmanto alternatīvās degvielas un energoefektīvus risinājumus degvielas patēriņa samazināšanai. Kuģniecībā plaši izmanto dabasgāzi, un augstas kvalitātes dīzeļdegvielu, taču no AER izmanto  biodegvielu tīrā veidā vai sajaukumā ar fosilo degvielu, tā samazinot gan CO</w:t>
      </w:r>
      <w:r w:rsidRPr="00A46CC4">
        <w:rPr>
          <w:vertAlign w:val="subscript"/>
        </w:rPr>
        <w:t>2</w:t>
      </w:r>
      <w:r w:rsidRPr="00A46CC4">
        <w:t xml:space="preserve"> emisijas, gan slodzi uz vidi. Ostu elektrifikācija samazina ostās stāvošo kuģu emisijas, tādā veidā samazinot ostu negatīvo ietekmi uz apkārtējo vidi un cilvēku. </w:t>
      </w:r>
    </w:p>
    <w:p w14:paraId="43ABB1EC" w14:textId="77777777" w:rsidR="00CA5EE0" w:rsidRPr="00A46CC4" w:rsidRDefault="00CA5EE0" w:rsidP="00BE0FD4">
      <w:pPr>
        <w:pStyle w:val="ListParagraph"/>
        <w:numPr>
          <w:ilvl w:val="0"/>
          <w:numId w:val="9"/>
        </w:numPr>
        <w:spacing w:before="120" w:after="60"/>
        <w:rPr>
          <w:b/>
          <w:iCs/>
          <w:szCs w:val="24"/>
        </w:rPr>
      </w:pPr>
      <w:r w:rsidRPr="00A46CC4">
        <w:rPr>
          <w:b/>
          <w:iCs/>
          <w:szCs w:val="24"/>
        </w:rPr>
        <w:t xml:space="preserve">Pastāv sakārtota, moderna un sasaistīta sabiedriskā transporta sistēma un alternatīvo pārvietošanās līdzekļu infrastruktūra </w:t>
      </w:r>
    </w:p>
    <w:p w14:paraId="2CD579A3" w14:textId="77777777" w:rsidR="00CA5EE0" w:rsidRPr="00A46CC4" w:rsidRDefault="00CA5EE0" w:rsidP="00CA5EE0">
      <w:r w:rsidRPr="00A46CC4">
        <w:t>Sabiedriskais transports pilsētās ir efektīvs, videi draudzīgs, sakārtots, moderns, un ilgtspējīgs. Tas ir samazinājis sastrēgumus un autotransporta radītās SEG emisijas. Pārvietošanās līdzekļu infrastruktūra ir sasaistīta jeb ievērota komodalitāte</w:t>
      </w:r>
      <w:r w:rsidRPr="00A46CC4">
        <w:rPr>
          <w:vertAlign w:val="superscript"/>
        </w:rPr>
        <w:footnoteReference w:id="36"/>
      </w:r>
      <w:r w:rsidRPr="00A46CC4">
        <w:t>. Samazināta privātā transporta daudzums pilsētās ievērojami uzlabojis gaisa un vides kvalitāti un pilsētvides pievilcību. Velosipēdu infrastruktūras pārdomāta un mērķtiecīga attīstība ir ļāvusi uzlabot pilsētvides kvalitāti, samazinājusi piesārņojumu un SEG emisijas, kā arī uzlabojusi pārvietošanās ātrumu, samazinot sastrēgumus.</w:t>
      </w:r>
    </w:p>
    <w:p w14:paraId="14A81FF5" w14:textId="77777777" w:rsidR="00CA5EE0" w:rsidRPr="00A46CC4" w:rsidRDefault="00CA5EE0" w:rsidP="00CA5EE0">
      <w:r w:rsidRPr="00A46CC4">
        <w:lastRenderedPageBreak/>
        <w:t xml:space="preserve">Cilvēku ērtībām pilsētu sabiedriskais transports ir sasaistīts ar starptautisko transportu (savienojumi ar lidostām, ostām un dzelzceļu). Tālāki pasažieru pārvadājumi valsts iekšienē un starp valstīm tiek veikti, izmantojot dzelzceļu vai aviāciju. </w:t>
      </w:r>
    </w:p>
    <w:p w14:paraId="10DEC742" w14:textId="77777777" w:rsidR="003D744B" w:rsidRPr="00A46CC4" w:rsidRDefault="00534BF7" w:rsidP="004E0A4D">
      <w:pPr>
        <w:spacing w:after="120"/>
      </w:pPr>
      <w:r w:rsidRPr="00A46CC4">
        <w:t>Pilsētās s</w:t>
      </w:r>
      <w:r w:rsidR="009328FF" w:rsidRPr="00A46CC4">
        <w:t xml:space="preserve">abiedriskais </w:t>
      </w:r>
      <w:r w:rsidR="00771F88" w:rsidRPr="00A46CC4">
        <w:t xml:space="preserve">transports mainījis savu statusu no neprestiža pārvietošanās līdzekļa uz tādu, kas </w:t>
      </w:r>
      <w:r w:rsidRPr="00A46CC4">
        <w:t xml:space="preserve">tās lietotājiem ļauj apzināties, ka tie ir tikai ieguvēji un pārāki par privāto transportlīdzekļu lietotājiem. </w:t>
      </w:r>
    </w:p>
    <w:p w14:paraId="5AEDD40D" w14:textId="1E55FD95" w:rsidR="00CA5EE0" w:rsidRPr="00A46CC4" w:rsidRDefault="00CA5EE0" w:rsidP="00BE0FD4">
      <w:pPr>
        <w:pStyle w:val="ListParagraph"/>
        <w:numPr>
          <w:ilvl w:val="0"/>
          <w:numId w:val="9"/>
        </w:numPr>
        <w:spacing w:after="240"/>
        <w:rPr>
          <w:b/>
        </w:rPr>
      </w:pPr>
      <w:r w:rsidRPr="00A46CC4">
        <w:t xml:space="preserve">Plaši izplatīta ir dalīšanās kultūra, kas </w:t>
      </w:r>
      <w:r w:rsidR="006B21FF" w:rsidRPr="00A46CC4">
        <w:t xml:space="preserve">nepieciešamības gadījumos </w:t>
      </w:r>
      <w:r w:rsidRPr="00A46CC4">
        <w:t xml:space="preserve">ļauj ērti </w:t>
      </w:r>
      <w:r w:rsidR="00FD78DD" w:rsidRPr="00A46CC4">
        <w:t>individuāli vai kopīgi izmantot</w:t>
      </w:r>
      <w:r w:rsidRPr="00A46CC4">
        <w:t xml:space="preserve"> </w:t>
      </w:r>
      <w:r w:rsidR="006B21FF" w:rsidRPr="00A46CC4">
        <w:t xml:space="preserve">par noteiktu atlīdzību </w:t>
      </w:r>
      <w:r w:rsidRPr="00A46CC4">
        <w:t xml:space="preserve">transportlīdzekli uz noteiktu laiku, samazinot vajadzību pēc personīgā transportlīdzekļa. </w:t>
      </w:r>
      <w:r w:rsidR="006B21FF" w:rsidRPr="00A46CC4">
        <w:t xml:space="preserve">Šāda veida </w:t>
      </w:r>
      <w:r w:rsidRPr="00A46CC4">
        <w:t>transporta izmantošana samazina sastrēgumu veidošanos pilsētās, atvieglo automašīnu novietošanu stāvvietās un samazina kopējās SEG emisijas. Iedzīvotāji var tērēt mazāk savu ienākumu automašīnas uzturēšanai un vairāk veltīt līdzekļus personīgai izaugsmei.</w:t>
      </w:r>
      <w:r w:rsidR="0043123E">
        <w:t xml:space="preserve"> </w:t>
      </w:r>
      <w:r w:rsidR="00663EB4" w:rsidRPr="00A46CC4">
        <w:t>Lielākie darba</w:t>
      </w:r>
      <w:r w:rsidR="0043123E">
        <w:t xml:space="preserve"> </w:t>
      </w:r>
      <w:r w:rsidR="00663EB4" w:rsidRPr="00A46CC4">
        <w:t xml:space="preserve">devēji nodrošina kolektīvu darbinieku nogādāšanu savā darba vietā, uzņemot/izlaižot darbiniekus galvenajos sabiedriskā transporta mezglos, tādā veidā samazinot sabiedriskā transporta noslogojumu, uzlabo pārvietošanās komfortu un samazina SEG emisijas. </w:t>
      </w:r>
      <w:r w:rsidRPr="00A46CC4">
        <w:rPr>
          <w:b/>
        </w:rPr>
        <w:t>Kravu pārvadājumi tiek veikti izmantojot sasaistītu, efektīvu un gudru transporta sistēmu.</w:t>
      </w:r>
    </w:p>
    <w:p w14:paraId="70ECCBB0" w14:textId="77777777" w:rsidR="00977BCE" w:rsidRPr="00A46CC4" w:rsidRDefault="00CA5EE0" w:rsidP="00977BCE">
      <w:pPr>
        <w:spacing w:after="120"/>
      </w:pPr>
      <w:r w:rsidRPr="00A46CC4">
        <w:t>Ceļa transporta sasaiste ar dzelzceļa un ostu infrastruktūru ir samazinājusi degvielas patēriņu un SEG emisijas no ceļa transporta. Elektrovilcieni ļauj ātrāk un lētāk nogādāt kravas loģistikas centros, kas savienoti ar pašvaldības līmeņa pārvadātājiem. Attīstīta ostu infrastruktūra ļauj efektīvi apkalpot ienākošos kravas kuģus.</w:t>
      </w:r>
    </w:p>
    <w:p w14:paraId="474F1E64" w14:textId="77777777" w:rsidR="00CA5EE0" w:rsidRPr="00A46CC4" w:rsidRDefault="00CA5EE0" w:rsidP="00BE0FD4">
      <w:pPr>
        <w:pStyle w:val="ListParagraph"/>
        <w:numPr>
          <w:ilvl w:val="0"/>
          <w:numId w:val="9"/>
        </w:numPr>
        <w:spacing w:after="120"/>
        <w:rPr>
          <w:b/>
        </w:rPr>
      </w:pPr>
      <w:r w:rsidRPr="00A46CC4">
        <w:rPr>
          <w:b/>
        </w:rPr>
        <w:t>Inovācijas transporta nozarē ļauj uzlabot transporta efektivitāti un celt valsts ekonomisko konkurenci.</w:t>
      </w:r>
    </w:p>
    <w:p w14:paraId="414DBB1E" w14:textId="77777777" w:rsidR="00CA5EE0" w:rsidRPr="00A46CC4" w:rsidRDefault="00CA5EE0" w:rsidP="00CA5EE0">
      <w:r w:rsidRPr="00A46CC4">
        <w:t xml:space="preserve">Dažādi jauni, ilgtspējīgi un videi draudzīgi risinājumi ļauj uzlabot un paātrināt kravu un pasažieru pārvietošanos. Jaunie mobilitātes risinājumi ļauj samazināt SEG emisijas, palielināt transporta efektivitāti un drošību, tai pašā laikā nemazinot ekonomisko pievilcību. </w:t>
      </w:r>
    </w:p>
    <w:p w14:paraId="5E10511A" w14:textId="77777777" w:rsidR="00CA5EE0" w:rsidRPr="00A46CC4" w:rsidRDefault="00CA5EE0" w:rsidP="00CA5EE0">
      <w:r w:rsidRPr="00A46CC4">
        <w:t>Transporta sektora atvērtība jauninājumiem rada pateicīgu vidi uzņēmējiem ieviest jaunus produktus transporta sektorā un veicināt ekonomisko konkurenci</w:t>
      </w:r>
      <w:r w:rsidR="00C010FE" w:rsidRPr="00A46CC4">
        <w:t>, tādā veidā radot jaunas darba vietas</w:t>
      </w:r>
      <w:r w:rsidRPr="00A46CC4">
        <w:t>. Inovāciju attīstība ļauj eksportēt jaunus tehnoloģiskos risinājumus transporta jomā, piemēram, bezpilota lidaparātu attīstība u.tml.</w:t>
      </w:r>
    </w:p>
    <w:p w14:paraId="44F81D9A" w14:textId="77777777" w:rsidR="003D744B" w:rsidRPr="00A46CC4" w:rsidRDefault="00953B38" w:rsidP="00567F3A">
      <w:pPr>
        <w:pStyle w:val="ListParagraph"/>
        <w:numPr>
          <w:ilvl w:val="0"/>
          <w:numId w:val="9"/>
        </w:numPr>
        <w:spacing w:before="120" w:after="120"/>
        <w:ind w:left="714" w:hanging="357"/>
        <w:rPr>
          <w:b/>
        </w:rPr>
      </w:pPr>
      <w:r w:rsidRPr="00A46CC4">
        <w:rPr>
          <w:b/>
        </w:rPr>
        <w:t>Ceļu infrastruktūra ir atjaunota un pielāgota jaunākajām transporta tendencēm, integrējot inteliģentās transporta sistēmas.</w:t>
      </w:r>
    </w:p>
    <w:p w14:paraId="43251420" w14:textId="7A8CC0FB" w:rsidR="00197CE1" w:rsidRPr="00A46CC4" w:rsidRDefault="00197CE1" w:rsidP="008632B0">
      <w:r w:rsidRPr="00A46CC4">
        <w:t>Sadarbojoties dažāda līmeņa valsts pārvaldes institūcijām</w:t>
      </w:r>
      <w:r w:rsidR="00E32916">
        <w:t>,</w:t>
      </w:r>
      <w:r w:rsidRPr="00A46CC4">
        <w:t xml:space="preserve"> ir nodrošināts vienots un moderns ceļu tīkls, kas ļauj droši un ātri pārvietoties pa Latvijas teritoriju un ārpus tās, izmantojot alternatīvo degvielu risinājumus (nodrošināta uzlādes/uzpildes infrastruktūra).</w:t>
      </w:r>
    </w:p>
    <w:p w14:paraId="0081D649" w14:textId="77777777" w:rsidR="00197CE1" w:rsidRPr="00A46CC4" w:rsidRDefault="00197CE1" w:rsidP="00197CE1">
      <w:r w:rsidRPr="00A46CC4">
        <w:t>Ceļu tīkla attīstība tiek plānota ilgtspējīgi, ņemot vērā transporta attīstības tendences un mazinot transporta un ceļubūves ietekmi uz vidi un klimatu. Pilsētās ceļu tīkls tiek pielāgots sabiedriskajam</w:t>
      </w:r>
      <w:r w:rsidR="00306BF7" w:rsidRPr="00A46CC4">
        <w:t xml:space="preserve"> un alternatīvajam transportam kā velosipēdiem un gājējiem, kamēr ārpus pilsētām ceļu tīkls nodrošina drošu, ātru un videi draudzīgu pārvietošanos. Ceļu infrastruktūra ir pakārtota citiem pārvietošanās veidiem, lai nodrošinātu efektīvu pārvietošanos valsts un starpvalstu ietvaros.</w:t>
      </w:r>
    </w:p>
    <w:p w14:paraId="10066D03" w14:textId="386F4737" w:rsidR="00197CE1" w:rsidRPr="00A46CC4" w:rsidRDefault="00197CE1" w:rsidP="00197CE1">
      <w:r w:rsidRPr="00A46CC4">
        <w:t>Lai uzlabotu satiksmes drošību un optimizētu tās plūsmu</w:t>
      </w:r>
      <w:r w:rsidR="00ED0E9D" w:rsidRPr="00A46CC4">
        <w:t>, samazinot SEG emisijas,</w:t>
      </w:r>
      <w:r w:rsidRPr="00A46CC4">
        <w:t xml:space="preserve"> plaši ir </w:t>
      </w:r>
      <w:r w:rsidR="00ED0E9D" w:rsidRPr="00A46CC4">
        <w:t>izmantotas</w:t>
      </w:r>
      <w:r w:rsidRPr="00A46CC4">
        <w:t xml:space="preserve"> inteliģentās transporta sistēmas</w:t>
      </w:r>
      <w:r w:rsidR="00ED0E9D" w:rsidRPr="00A46CC4">
        <w:t>, gan infrastruktūrā, gan pašos transportlīdzekļos.</w:t>
      </w:r>
    </w:p>
    <w:p w14:paraId="6190D24C" w14:textId="77777777" w:rsidR="00CA5EE0" w:rsidRPr="00A46CC4" w:rsidRDefault="00CA5EE0" w:rsidP="00BE0FD4">
      <w:pPr>
        <w:pStyle w:val="ListParagraph"/>
        <w:numPr>
          <w:ilvl w:val="0"/>
          <w:numId w:val="3"/>
        </w:numPr>
        <w:spacing w:before="120" w:after="60"/>
        <w:rPr>
          <w:b/>
          <w:iCs/>
          <w:szCs w:val="24"/>
        </w:rPr>
      </w:pPr>
      <w:r w:rsidRPr="00A46CC4">
        <w:rPr>
          <w:b/>
          <w:iCs/>
          <w:szCs w:val="24"/>
        </w:rPr>
        <w:t>Pārvietošanās nepieciešamības samazināšana</w:t>
      </w:r>
    </w:p>
    <w:p w14:paraId="0BE09A85" w14:textId="4BD88C49" w:rsidR="00663EB4" w:rsidRPr="00A46CC4" w:rsidRDefault="00CA5EE0" w:rsidP="00663EB4">
      <w:r w:rsidRPr="00A46CC4">
        <w:t>Iedzīvotāju pārvietošanās ir optimizēta un, pateicoties attālināta darba, studiju, iepirkšanās u.tml. iespējām. Augstas veiktspējas un drošs interneta tīkls visā Latvijas teritorijā ļauj iedzīvotājiem pilnvērtīgi veikt savus darba pienākumus arī attālināti. Visaptveroša e</w:t>
      </w:r>
      <w:r w:rsidR="0043123E">
        <w:t>-</w:t>
      </w:r>
      <w:r w:rsidRPr="00A46CC4">
        <w:t>pakalpojumu ieviešana ir ļāvusi samazināt iedzīvotāju nepieciešamību apmeklēt institūcijas, lai saņemtu pakalpojumus.</w:t>
      </w:r>
    </w:p>
    <w:p w14:paraId="4294A780" w14:textId="77777777" w:rsidR="00663EB4" w:rsidRPr="00A46CC4" w:rsidRDefault="00663EB4" w:rsidP="00663EB4"/>
    <w:p w14:paraId="5BEAA267" w14:textId="2E16B45D" w:rsidR="00A26014" w:rsidRPr="00E32916" w:rsidRDefault="00A26014" w:rsidP="00A26014">
      <w:pPr>
        <w:keepNext/>
        <w:keepLines/>
        <w:spacing w:before="360" w:after="240"/>
        <w:ind w:firstLine="0"/>
        <w:jc w:val="center"/>
        <w:outlineLvl w:val="1"/>
        <w:rPr>
          <w:b/>
          <w:bCs/>
          <w:sz w:val="26"/>
          <w:szCs w:val="26"/>
        </w:rPr>
      </w:pPr>
      <w:bookmarkStart w:id="42" w:name="_Toc465261457"/>
      <w:bookmarkStart w:id="43" w:name="_Toc523217383"/>
      <w:r w:rsidRPr="00E32916">
        <w:rPr>
          <w:b/>
          <w:bCs/>
          <w:sz w:val="26"/>
          <w:szCs w:val="26"/>
        </w:rPr>
        <w:lastRenderedPageBreak/>
        <w:t>5.4.</w:t>
      </w:r>
      <w:r w:rsidR="00567F3A">
        <w:rPr>
          <w:b/>
          <w:bCs/>
          <w:sz w:val="26"/>
          <w:szCs w:val="26"/>
        </w:rPr>
        <w:t> </w:t>
      </w:r>
      <w:r w:rsidRPr="00E32916">
        <w:rPr>
          <w:b/>
          <w:bCs/>
          <w:sz w:val="26"/>
          <w:szCs w:val="26"/>
        </w:rPr>
        <w:t>Ilgtspējīga zemes apsaimniekošana</w:t>
      </w:r>
      <w:bookmarkEnd w:id="42"/>
      <w:bookmarkEnd w:id="43"/>
    </w:p>
    <w:p w14:paraId="53653F81" w14:textId="77777777" w:rsidR="00A26014" w:rsidRPr="00A46CC4" w:rsidRDefault="00A26014" w:rsidP="00A26014">
      <w:r w:rsidRPr="00A46CC4">
        <w:t>Latvijā ir izstrādāta un sekmīgi ieviesta ilgtspējīga zemes apsaimniekošanas politika, kas ietver gan ekonomiskos, gan sociālos, gan vides aspektus. Izstrādātā politika nav pretrunā ar citām politikām, bet papildina tās.</w:t>
      </w:r>
    </w:p>
    <w:p w14:paraId="6E421BE4" w14:textId="7419E6E9" w:rsidR="00A26014" w:rsidRPr="00A46CC4" w:rsidRDefault="00A26014" w:rsidP="00A26014">
      <w:r w:rsidRPr="00A46CC4">
        <w:t>Ir nodrošināts, ka zemes apsaimniekošana</w:t>
      </w:r>
      <w:r w:rsidR="00CE463F">
        <w:t>, t.sk.</w:t>
      </w:r>
      <w:r w:rsidRPr="00A46CC4">
        <w:t xml:space="preserve"> ZIZIMM un lauksaimniecības sektor</w:t>
      </w:r>
      <w:r w:rsidR="00551BD2">
        <w:t>i</w:t>
      </w:r>
      <w:r w:rsidRPr="00A46CC4">
        <w:t xml:space="preserve">, izmantojot jaunākās tehnoloģijas un </w:t>
      </w:r>
      <w:r w:rsidR="00551BD2">
        <w:t>efektīvu plānošanu</w:t>
      </w:r>
      <w:r w:rsidRPr="00A46CC4">
        <w:t xml:space="preserve">, sniedz ieguldījumu OMA mērķu sasniegšanā, neierobežojot tautsaimniecības attīstību. </w:t>
      </w:r>
    </w:p>
    <w:p w14:paraId="7934E679" w14:textId="77777777" w:rsidR="00A26014" w:rsidRPr="00A46CC4" w:rsidRDefault="00A26014" w:rsidP="00A26014">
      <w:pPr>
        <w:numPr>
          <w:ilvl w:val="0"/>
          <w:numId w:val="3"/>
        </w:numPr>
        <w:spacing w:before="120" w:after="60"/>
        <w:rPr>
          <w:b/>
          <w:iCs/>
          <w:szCs w:val="24"/>
        </w:rPr>
      </w:pPr>
      <w:r w:rsidRPr="00A46CC4">
        <w:rPr>
          <w:b/>
          <w:iCs/>
          <w:szCs w:val="24"/>
        </w:rPr>
        <w:t xml:space="preserve">Visi Latvijas meži ir ilgtspējīgi apsaimniekoti </w:t>
      </w:r>
    </w:p>
    <w:p w14:paraId="7D7A987B" w14:textId="52307AE6" w:rsidR="00A26014" w:rsidRPr="00A46CC4" w:rsidRDefault="00787B0A" w:rsidP="00A26014">
      <w:r>
        <w:t>Latvijas v</w:t>
      </w:r>
      <w:r w:rsidR="00A26014" w:rsidRPr="00A46CC4">
        <w:t>alsts, kā arī privātie meži tiek ilgtspējīgi apsaimniekoti. Mežs ar tā produktiem un pakalpojumiem ir nozīmīgs sabiedrības labklājības avots, kā arī nozīmīgs Latvijas stratēģiskais resurss ilgtspējīgai lauku un valsts kopējai attīstībai.</w:t>
      </w:r>
    </w:p>
    <w:p w14:paraId="63388F82" w14:textId="77777777" w:rsidR="00A26014" w:rsidRPr="00A46CC4" w:rsidRDefault="00A26014" w:rsidP="00A26014">
      <w:r w:rsidRPr="00A46CC4">
        <w:t xml:space="preserve">Ir palielināta meža ražība, tā noturība pret dažādiem dabiskajiem traucējumiem, kaitēkļu uzbrukumiem un ir izveidota ilgtspējīga meža vecumstruktūra. </w:t>
      </w:r>
    </w:p>
    <w:p w14:paraId="0BE64C91" w14:textId="77777777" w:rsidR="00A26014" w:rsidRPr="00A46CC4" w:rsidDel="009B037D" w:rsidRDefault="00A26014" w:rsidP="00A26014">
      <w:r w:rsidRPr="00A46CC4" w:rsidDel="009B037D">
        <w:t>Mežs nodrošina kokmateriālus būvniecībai un mēbelēm, koksnes biomasu enerģijas ieguvei, vietu dzīvošanai un pārtiku. Mežs aizsargā ūdens resursus un augsni no erozijas, dod mājvietu nozīmīgai daļai bioloģiskās daudzveidības. Mežs ir ienākumu avots cilvēkiem un ģimenēm, kā arī piedāvā rekreācijas iespējas.</w:t>
      </w:r>
    </w:p>
    <w:p w14:paraId="1D13FE17" w14:textId="77777777" w:rsidR="00A26014" w:rsidRPr="00A46CC4" w:rsidRDefault="00A26014" w:rsidP="00A26014">
      <w:pPr>
        <w:numPr>
          <w:ilvl w:val="1"/>
          <w:numId w:val="0"/>
        </w:numPr>
        <w:spacing w:before="120" w:after="60"/>
        <w:ind w:firstLine="567"/>
        <w:rPr>
          <w:iCs/>
          <w:szCs w:val="24"/>
        </w:rPr>
      </w:pPr>
      <w:r w:rsidRPr="00A46CC4">
        <w:rPr>
          <w:iCs/>
          <w:szCs w:val="24"/>
        </w:rPr>
        <w:t xml:space="preserve">Ilgtspējīgas mežu apsaimniekošanas nodrošināšanai ir veikta mežrūpniecības pārstrukturēšana, orientējoties uz koksnes daudzveidīgāku pārstrādi un starptautiski konkurētspējīgu gala produktu ar augstu pievienoto vērtību ražošanu. </w:t>
      </w:r>
    </w:p>
    <w:p w14:paraId="230780AA" w14:textId="77777777" w:rsidR="00A26014" w:rsidRPr="00A46CC4" w:rsidRDefault="00A26014" w:rsidP="00A26014">
      <w:pPr>
        <w:numPr>
          <w:ilvl w:val="0"/>
          <w:numId w:val="3"/>
        </w:numPr>
        <w:spacing w:before="120" w:after="60"/>
        <w:rPr>
          <w:b/>
          <w:iCs/>
          <w:szCs w:val="24"/>
        </w:rPr>
      </w:pPr>
      <w:r w:rsidRPr="00A46CC4">
        <w:rPr>
          <w:b/>
          <w:iCs/>
          <w:szCs w:val="24"/>
        </w:rPr>
        <w:t>Ir panākts ilgtspējīgs līdzsvars starp dažādiem zemes izmantošanas veidiem, ievērojot klimata, vides, ekonomiskos un sociālos aspektus</w:t>
      </w:r>
    </w:p>
    <w:p w14:paraId="71DFB818" w14:textId="77777777" w:rsidR="00A26014" w:rsidRPr="00A46CC4" w:rsidRDefault="00A26014" w:rsidP="00A26014">
      <w:r w:rsidRPr="00A46CC4">
        <w:t xml:space="preserve">Ilgtspējīga zemes apsaimniekošana tiek plānota gan valsts, gan reģionu līmenī, izvērtējot un ņemot vērā reģionālās īpatnības. Pašvaldības un citas iesaistītās puses iesaistās plānošanas un realizēšanas procesā. Pieņemto lēmumu pamatā ir informācija, kas iegūta no zemes lietojuma, tai skaitā augsnes monitoringa. </w:t>
      </w:r>
    </w:p>
    <w:p w14:paraId="2EA675B8" w14:textId="77777777" w:rsidR="00A26014" w:rsidRPr="00A46CC4" w:rsidRDefault="00A26014" w:rsidP="00A26014">
      <w:r w:rsidRPr="00A46CC4">
        <w:t xml:space="preserve">Zemes lietojuma veidi ir stabilizējušies. Tiek nopietni izvērtēta zemes transformācijas nepieciešamība no viena lietojuma veida uz citu. Piemēram, ir ierobežota neilgtspējīga, nepamatota plantāciju ierīkošana, lauksaimniecības zemju paplašināšana bioenerģijas kultūru audzēšanai, kas uzskatāmas par nopietnu draudu bioloģiskajai daudzveidībai un ekosistēmu spējai pretoties klimata pārmaiņām. Tāpat tiek ierobežota līdz šim neracionāli veikta zemes izmantošana. </w:t>
      </w:r>
    </w:p>
    <w:p w14:paraId="42FED734" w14:textId="77777777" w:rsidR="00A26014" w:rsidRPr="00A46CC4" w:rsidRDefault="00A26014" w:rsidP="00A26014">
      <w:r w:rsidRPr="00A46CC4">
        <w:t>Tiek sniegts atbalsts mazvērtīgu neizmantoto lauksaimniecības un degradēto zemju apmežošanai. Infrastruktūras un apbūves attīstība tiek rūpīgi plānota ilgtermiņā, pēc iespējas mazinot ietekmes uz vidi un OMA sasniegšanu. Tiek ņemts vērā arī pielāgošanās klimata pārmaiņām aspekts zemes resursu izmantošanā.</w:t>
      </w:r>
    </w:p>
    <w:p w14:paraId="4592CB0B" w14:textId="77777777" w:rsidR="00A26014" w:rsidRPr="00A46CC4" w:rsidRDefault="00A26014" w:rsidP="00A26014">
      <w:r w:rsidRPr="00A46CC4">
        <w:t>Ir izvērtēts un nodrošināts saprātīgs aizsargājamo teritoriju īpatsvars, panākot līdzsvaru starp vides aizsardzības, ekonomiskajām un sociālajām vajadzībām.</w:t>
      </w:r>
    </w:p>
    <w:p w14:paraId="2B844714" w14:textId="77777777" w:rsidR="00A26014" w:rsidRPr="00A46CC4" w:rsidRDefault="00A26014" w:rsidP="00A26014">
      <w:r w:rsidRPr="00A46CC4">
        <w:t xml:space="preserve">Lauksaimniecībā un mežsaimniecībā ir rūpīgi izvērtēts atbalsta apjoms un tā piešķiršanas kārtība, ņemot vērā visus ilgtspējības aspektus, tai skaitā ietekmi uz OMA mērķu sasniegšanu. </w:t>
      </w:r>
    </w:p>
    <w:p w14:paraId="0CA79B31" w14:textId="77777777" w:rsidR="00A26014" w:rsidRPr="00A46CC4" w:rsidRDefault="00A26014" w:rsidP="00A26014">
      <w:pPr>
        <w:numPr>
          <w:ilvl w:val="0"/>
          <w:numId w:val="3"/>
        </w:numPr>
        <w:spacing w:before="120" w:after="60"/>
        <w:rPr>
          <w:b/>
          <w:iCs/>
          <w:szCs w:val="24"/>
        </w:rPr>
      </w:pPr>
      <w:r w:rsidRPr="00A46CC4">
        <w:rPr>
          <w:b/>
          <w:iCs/>
          <w:szCs w:val="24"/>
        </w:rPr>
        <w:t>Lauksaimniecība un mežsaimniecība sniedz būtisku ieguldījumu bioenerģētikā, tajā pašā laikā neapdraudot pārtikas nodrošinājumu un CO</w:t>
      </w:r>
      <w:r w:rsidRPr="00A46CC4">
        <w:rPr>
          <w:b/>
          <w:iCs/>
          <w:szCs w:val="24"/>
          <w:vertAlign w:val="subscript"/>
        </w:rPr>
        <w:t>2</w:t>
      </w:r>
      <w:r w:rsidRPr="00A46CC4">
        <w:rPr>
          <w:b/>
          <w:iCs/>
          <w:szCs w:val="24"/>
        </w:rPr>
        <w:t xml:space="preserve"> piesaisti</w:t>
      </w:r>
    </w:p>
    <w:p w14:paraId="14F960E0" w14:textId="77777777" w:rsidR="00A26014" w:rsidRPr="00A46CC4" w:rsidRDefault="00A26014" w:rsidP="00A26014">
      <w:r w:rsidRPr="00A46CC4">
        <w:t xml:space="preserve">Biomasa no Latvijas mežiem tiek iegūta ilgtspējīgā veidā, rūpīgi plānojot vienmērīgu tās ieguvi. Izciršanas apjoms un apmežošanas apjoms ir līdzsvarots. Ir nodrošināts, ka Latvijas mežiem ir ilgtspējīga vecumstruktūra. Kopējās koksnes resursu apjoms valstī nesamazinās. Primāri biomasa tiek iegūta, lai to realizētu vietējā tirgū, tādejādi nodrošinot nacionālo atjaunojamās enerģijas īpatsvara mērķa sasniegšanu. </w:t>
      </w:r>
    </w:p>
    <w:p w14:paraId="3E061C16" w14:textId="77777777" w:rsidR="00A26014" w:rsidRPr="00A46CC4" w:rsidRDefault="00A26014" w:rsidP="00A26014">
      <w:r w:rsidRPr="00A46CC4">
        <w:lastRenderedPageBreak/>
        <w:t>Neapdraudot bioloģisko daudzveidību, tiek selekcionētas un izmantotas jaunas bioenerģētisko kultūru sugas, kas ir noturīgas pret klimata pārmaiņām un nodrošina optimālu CO</w:t>
      </w:r>
      <w:r w:rsidRPr="00A46CC4">
        <w:rPr>
          <w:vertAlign w:val="subscript"/>
        </w:rPr>
        <w:t>2</w:t>
      </w:r>
      <w:r w:rsidRPr="00A46CC4">
        <w:t xml:space="preserve"> piesaisti. </w:t>
      </w:r>
    </w:p>
    <w:p w14:paraId="0B704000" w14:textId="77777777" w:rsidR="00A26014" w:rsidRPr="00A46CC4" w:rsidRDefault="00A26014" w:rsidP="00A26014">
      <w:r w:rsidRPr="00A46CC4">
        <w:t>Ir saglabāta un, iespēju robežās, palielināta oglekļa krāja aramzemēs, ganībās, pļavās, kā arī mitrzemēs.</w:t>
      </w:r>
    </w:p>
    <w:p w14:paraId="6C5408D4" w14:textId="77777777" w:rsidR="00A26014" w:rsidRPr="00A46CC4" w:rsidRDefault="00A26014" w:rsidP="00A26014">
      <w:r w:rsidRPr="00A46CC4">
        <w:t xml:space="preserve">Ir attīstītas jaunākās paaudzes biodegvielas, kas mazina riskus, ka pārtikā izmantojamās kultūras un pārtikas audzēšanai piemērotajās augsnes tiek izmantotas bioenerģijas iegūšanai. </w:t>
      </w:r>
    </w:p>
    <w:p w14:paraId="6EE39C22" w14:textId="77777777" w:rsidR="00A26014" w:rsidRPr="00A46CC4" w:rsidRDefault="00A26014" w:rsidP="00A26014">
      <w:r w:rsidRPr="00A46CC4">
        <w:t>Lauksaimniecībā un mežsaimniecībā jebkurā apsaimniekošanas procesa posmā tiek izmantotas tīrākās tehnoloģijas un metodes, kā būtiskus kritērijus izvēloties ilgtspējību, ietekmi uz vidi, klimatu un veselību.</w:t>
      </w:r>
    </w:p>
    <w:p w14:paraId="2CE9AC94" w14:textId="77777777" w:rsidR="00A26014" w:rsidRPr="00A46CC4" w:rsidRDefault="00A26014" w:rsidP="00A26014">
      <w:pPr>
        <w:numPr>
          <w:ilvl w:val="0"/>
          <w:numId w:val="3"/>
        </w:numPr>
        <w:spacing w:before="120" w:after="60"/>
        <w:rPr>
          <w:b/>
          <w:iCs/>
          <w:szCs w:val="24"/>
        </w:rPr>
      </w:pPr>
      <w:r w:rsidRPr="00A46CC4">
        <w:rPr>
          <w:b/>
          <w:iCs/>
          <w:szCs w:val="24"/>
        </w:rPr>
        <w:t>Ir nodrošināts līdzsvars, kas balstīts uz zinātniskajiem faktiem, starp klimata pārmaiņu mazināšanu, bioloģiskās daudzveidības saglabāšanu un zemes apsaimniekošanu.</w:t>
      </w:r>
    </w:p>
    <w:p w14:paraId="1B8E76B8" w14:textId="77777777" w:rsidR="00A26014" w:rsidRPr="00A46CC4" w:rsidRDefault="00A26014" w:rsidP="00A26014">
      <w:r w:rsidRPr="00A46CC4">
        <w:t xml:space="preserve">Bioloģiskās daudzveidības un klimata pārmaiņu problēmas tiek risinātas, balstoties uz vienotu pieeju, balstoties uz jaunākajām zinātnes atziņām, lai pilnībā izmantotu šādas pieejas priekšrocības un nepieļautu ekosistēmu reakciju, kas paātrina globālo sasilšanu. </w:t>
      </w:r>
    </w:p>
    <w:p w14:paraId="436D3939" w14:textId="77777777" w:rsidR="00A26014" w:rsidRPr="00A46CC4" w:rsidRDefault="00A26014" w:rsidP="00A26014">
      <w:r w:rsidRPr="00A46CC4">
        <w:t xml:space="preserve">Bioloģiskās daudzveidības saglabāšanas aspektu ņemšana vērā, plānojot klimata pārmaiņu samazināšanas pasākumus un adaptāciju klimata pārmaiņām, nodrošina lielāku augsnes izturību pret sausumu, nodrošina labvēlīgu mikroklimatu, uzlabo gaisa kvalitāti, mazina plūdu riskus, mazina zemes degradāciju un eroziju, ierobežo dzīvotņu fragmentāciju un invazīvo sugu ienākšanu, palielina ekosistēmas noturību pret kaitēkļiem, kā arī samazina savvaļas (tai skaitā kūlas) ugunsgrēku iespējamību un izplatību. </w:t>
      </w:r>
    </w:p>
    <w:p w14:paraId="50392B61" w14:textId="7C9F3739" w:rsidR="00A26014" w:rsidRPr="00A46CC4" w:rsidRDefault="00A26014" w:rsidP="00A26014">
      <w:pPr>
        <w:numPr>
          <w:ilvl w:val="0"/>
          <w:numId w:val="3"/>
        </w:numPr>
        <w:spacing w:before="120" w:after="60"/>
        <w:rPr>
          <w:b/>
          <w:iCs/>
          <w:szCs w:val="24"/>
        </w:rPr>
      </w:pPr>
      <w:r w:rsidRPr="00A46CC4">
        <w:rPr>
          <w:b/>
          <w:iCs/>
          <w:szCs w:val="24"/>
        </w:rPr>
        <w:t>Latvijas lauksaimniecība un mežsaimniecība ir resursu efektīva</w:t>
      </w:r>
      <w:r w:rsidR="00567F3A">
        <w:rPr>
          <w:b/>
          <w:iCs/>
          <w:szCs w:val="24"/>
        </w:rPr>
        <w:t> </w:t>
      </w:r>
      <w:r w:rsidRPr="00A46CC4">
        <w:rPr>
          <w:b/>
          <w:iCs/>
          <w:szCs w:val="24"/>
        </w:rPr>
        <w:t>–</w:t>
      </w:r>
      <w:r w:rsidR="00567F3A">
        <w:rPr>
          <w:b/>
          <w:iCs/>
          <w:szCs w:val="24"/>
        </w:rPr>
        <w:t> </w:t>
      </w:r>
      <w:r w:rsidRPr="00A46CC4">
        <w:rPr>
          <w:b/>
          <w:iCs/>
          <w:szCs w:val="24"/>
        </w:rPr>
        <w:t>panākta augsta produktivitāte, tiek ražoti produkti ar augstu pievienoto vērtību,</w:t>
      </w:r>
      <w:r w:rsidR="00567F3A">
        <w:rPr>
          <w:b/>
          <w:iCs/>
          <w:szCs w:val="24"/>
        </w:rPr>
        <w:t> </w:t>
      </w:r>
      <w:r w:rsidRPr="00A46CC4">
        <w:rPr>
          <w:b/>
          <w:iCs/>
          <w:szCs w:val="24"/>
        </w:rPr>
        <w:t>-</w:t>
      </w:r>
      <w:r w:rsidR="00567F3A">
        <w:rPr>
          <w:b/>
          <w:iCs/>
          <w:szCs w:val="24"/>
        </w:rPr>
        <w:t> </w:t>
      </w:r>
      <w:r w:rsidRPr="00A46CC4">
        <w:rPr>
          <w:b/>
          <w:iCs/>
          <w:szCs w:val="24"/>
        </w:rPr>
        <w:t>tiek panākta atsaiste no SEG emisiju pieauguma.</w:t>
      </w:r>
    </w:p>
    <w:p w14:paraId="3C4202C1" w14:textId="77777777" w:rsidR="00A26014" w:rsidRPr="00A46CC4" w:rsidRDefault="00A26014" w:rsidP="00A26014">
      <w:r w:rsidRPr="00A46CC4">
        <w:t xml:space="preserve">Zeme tiek efektīvi izmantota. Lauksaimniecībā tiek ievērota laba agronomijas un lopkopības prakse, tādejādi nodrošinot zemes resursu saglabāšanu nākamajām paaudzēm. Ražības palielināšanai tiek izvēlētas uzlabotas šķirnes, nevis paaugstinātas mēslojuma devas, kā arī ievērojot pareizu kultūraugu rotāciju un augu seku, iesaistot tajā daudzgadīgās kultūras un pākšaugus, kā arī uzturot augsnes sedzi visu gadu vietās, kur iespējama erozija. Minerālmēslu lietošana tiek rūpīgi plānota – pākšaugu izmantošana augu sekā ir ļāvusi samazināt sintētiskā slāpekļa mēslojuma devas, bet uztvērējaugu audzēšana nodrošina, ka virsauga neizmantotais slāpeklis nenonāk vidē. Precīza mēslojuma novadīšanai līdz augiem tiek izmantotas inovatīvas tehnoloģijas, kas ļauj samazināt mēslojuma patēriņu un negatīvo ietekmi uz vidi. Būtiska ir augsnes auglības uzturēšana – oglekļa krājas augsnē palielināšana. Kūtsmēslu izmantošana, nodrošinot to iespējami ātru iestrādi augsnē, palīdz izvairīties no augsnes sablīvēšanas un dziļās aršanas. Lauksaimniecības efektivitātes paaugstināšanas rezultātā produktiem nav negatīva ietekme uz patērētāju veselību. </w:t>
      </w:r>
    </w:p>
    <w:p w14:paraId="4B7069C6" w14:textId="77777777" w:rsidR="00A26014" w:rsidRPr="00A46CC4" w:rsidRDefault="00A26014" w:rsidP="00A26014">
      <w:r w:rsidRPr="00A46CC4">
        <w:t xml:space="preserve">Iespēju robežās lopkopība tiek precīzi plānota. Ņemot vērā jaunākās zinātnes atziņas, tiek lietota tāda barība, kas nodrošina optimālus dzīvnieku gremošanas procesus, nekaitējot to veselībai. Ir izveidotas kūtsmēslu krātuves, tiek efektīvi kontrolēta to izmantošana. Saimniecībās, kur tas ir ekonomiski pamatoti, tiek iegūta biogāze no kūtsmēslu un citu organisko atkritumu pārstrādes. Tiek nodrošināta lauksaimniecības dzīvnieku veselība un labturība. </w:t>
      </w:r>
    </w:p>
    <w:p w14:paraId="3296AB98" w14:textId="77777777" w:rsidR="00A26014" w:rsidRPr="00A46CC4" w:rsidRDefault="00A26014" w:rsidP="00A26014">
      <w:r w:rsidRPr="00A46CC4">
        <w:t xml:space="preserve">Lauksaimniecībā un mežsaimniecībā, kā arī citās tautsaimniecības nozarēs ir veiksmīgi ieviestas inovācijas. Tiek izmantotas jaunākās zinātnes atziņas. Lēmumi par jaunu politiku un pasākumu ieviešanu tiek pieņemti ilgtspējīgi, analizējot ieguvumus un zaudējumus, kā arī ietekmi uz citām politikām. Tādejādi ir samazinātas emisijas no lauksaimnieciskās ražošanas vienības. </w:t>
      </w:r>
    </w:p>
    <w:p w14:paraId="5941B7D0" w14:textId="77777777" w:rsidR="00A26014" w:rsidRPr="00A46CC4" w:rsidRDefault="00A26014" w:rsidP="00A26014">
      <w:pPr>
        <w:numPr>
          <w:ilvl w:val="0"/>
          <w:numId w:val="3"/>
        </w:numPr>
        <w:spacing w:before="120" w:after="60"/>
        <w:rPr>
          <w:b/>
          <w:iCs/>
          <w:szCs w:val="24"/>
        </w:rPr>
      </w:pPr>
      <w:r w:rsidRPr="00A46CC4">
        <w:rPr>
          <w:b/>
          <w:iCs/>
          <w:szCs w:val="24"/>
        </w:rPr>
        <w:t>Ir veikta mitrzemju izpēte un  nodrošināts, ka mitrzemes dod pozitīvu ieguldījumu klimata pārmaiņu mazināšanā un piesaistes saglabāšanā</w:t>
      </w:r>
    </w:p>
    <w:p w14:paraId="49359F59" w14:textId="77777777" w:rsidR="00A26014" w:rsidRPr="00A46CC4" w:rsidRDefault="00A26014" w:rsidP="00A26014">
      <w:r w:rsidRPr="00A46CC4">
        <w:lastRenderedPageBreak/>
        <w:t>Ir attīstīta sapratne par mitrzemēs notiekošajiem procesiem, to ietekmi un saikni ar apkārtējo vidi. Ir apzināta esošā situācija.</w:t>
      </w:r>
    </w:p>
    <w:p w14:paraId="292EEBAE" w14:textId="77777777" w:rsidR="00A26014" w:rsidRPr="00A46CC4" w:rsidRDefault="00A26014" w:rsidP="00A26014">
      <w:r w:rsidRPr="00A46CC4">
        <w:t>Mitrāji sniedz plašu klāstu ekosistēmu pakalpojumu kā ūdens kvalitātes nodrošināšana, ūdens līmeņa regulēšana (tai skaitā plūdu riska mazināšana), dzīvotņu nodrošināšana, kā arī aktīvi nodrošina CO</w:t>
      </w:r>
      <w:r w:rsidRPr="00A46CC4">
        <w:rPr>
          <w:vertAlign w:val="subscript"/>
        </w:rPr>
        <w:t>2</w:t>
      </w:r>
      <w:r w:rsidRPr="00A46CC4">
        <w:t xml:space="preserve"> piesaistīšanu no atmosfēras un uzglabāšanu. Lai to panāktu, ir nodrošināta mitrāju saglabāšana, atjaunošana un ir uzlabota to apsaimniekošana – ir ierobežota to turpmāka degradācija. </w:t>
      </w:r>
    </w:p>
    <w:p w14:paraId="08143D98" w14:textId="03167E1F" w:rsidR="00E13C24" w:rsidRPr="00A46CC4" w:rsidRDefault="00FD633D">
      <w:pPr>
        <w:pStyle w:val="Heading2"/>
      </w:pPr>
      <w:bookmarkStart w:id="44" w:name="_Toc460423750"/>
      <w:bookmarkStart w:id="45" w:name="_Toc460423753"/>
      <w:bookmarkStart w:id="46" w:name="_Toc460423759"/>
      <w:bookmarkStart w:id="47" w:name="_Toc523217384"/>
      <w:bookmarkEnd w:id="44"/>
      <w:bookmarkEnd w:id="45"/>
      <w:bookmarkEnd w:id="46"/>
      <w:r w:rsidRPr="00A46CC4">
        <w:rPr>
          <w:lang w:val="lv-LV"/>
        </w:rPr>
        <w:t>5</w:t>
      </w:r>
      <w:r w:rsidR="00BE2C2F" w:rsidRPr="00A46CC4">
        <w:rPr>
          <w:lang w:val="lv-LV"/>
        </w:rPr>
        <w:t xml:space="preserve">.5. </w:t>
      </w:r>
      <w:r w:rsidR="00C8059F" w:rsidRPr="00A46CC4">
        <w:rPr>
          <w:lang w:val="lv-LV"/>
        </w:rPr>
        <w:t>Ilgtspējīgs patēriņš un ražošana</w:t>
      </w:r>
      <w:bookmarkEnd w:id="47"/>
    </w:p>
    <w:p w14:paraId="0B8B995C" w14:textId="149FAB0C" w:rsidR="00687BCE" w:rsidRPr="00A46CC4" w:rsidRDefault="00F37EEF" w:rsidP="00567F3A">
      <w:pPr>
        <w:spacing w:after="160"/>
        <w:ind w:firstLine="720"/>
        <w:rPr>
          <w:rFonts w:eastAsia="Calibri"/>
          <w:szCs w:val="24"/>
          <w:lang w:eastAsia="en-US"/>
        </w:rPr>
      </w:pPr>
      <w:r w:rsidRPr="00A46CC4">
        <w:rPr>
          <w:szCs w:val="24"/>
        </w:rPr>
        <w:t>Ilgtspējīga patēriņa un ražošanas (turpmāk – IPR) ideja ietver resursu un enerģijas efektīvu izmantošanu, ilgtspējīgu infrastruktūru, visiem pieejamus pakalpojumus un cilvē</w:t>
      </w:r>
      <w:r w:rsidR="00567F3A">
        <w:rPr>
          <w:szCs w:val="24"/>
        </w:rPr>
        <w:t>ka cienīgas, zaļās darbavietas </w:t>
      </w:r>
      <w:r w:rsidRPr="00A46CC4">
        <w:rPr>
          <w:szCs w:val="24"/>
        </w:rPr>
        <w:t>–</w:t>
      </w:r>
      <w:r w:rsidR="00567F3A">
        <w:rPr>
          <w:szCs w:val="24"/>
        </w:rPr>
        <w:t> </w:t>
      </w:r>
      <w:r w:rsidRPr="00A46CC4">
        <w:rPr>
          <w:szCs w:val="24"/>
        </w:rPr>
        <w:t>tas, sasaistē ar citiem mērķiem, nodrošinās labāku dzīves kvalitāti Latvijas iedzīvotajiem. IPR ideja ir paveikt vairāk un labāk ar mazāk resursiem un nodrošināt, ka ieguvumi no ekonomiskās darbības pieaug, taču ne uz resursu vai vides rēķina.</w:t>
      </w:r>
      <w:r w:rsidR="00687BCE" w:rsidRPr="00A46CC4">
        <w:rPr>
          <w:rFonts w:eastAsia="Calibri"/>
          <w:szCs w:val="24"/>
          <w:lang w:eastAsia="en-US"/>
        </w:rPr>
        <w:t xml:space="preserve"> </w:t>
      </w:r>
    </w:p>
    <w:p w14:paraId="05870730" w14:textId="071A9AC4" w:rsidR="00687BCE" w:rsidRPr="00A46CC4" w:rsidRDefault="00687BCE" w:rsidP="00567F3A">
      <w:pPr>
        <w:spacing w:after="160"/>
        <w:ind w:firstLine="720"/>
        <w:rPr>
          <w:rFonts w:eastAsia="Calibri"/>
          <w:noProof/>
          <w:szCs w:val="24"/>
          <w:lang w:eastAsia="en-US"/>
        </w:rPr>
      </w:pPr>
      <w:r w:rsidRPr="00A46CC4">
        <w:rPr>
          <w:rFonts w:eastAsia="Calibri"/>
          <w:szCs w:val="24"/>
          <w:lang w:eastAsia="en-US"/>
        </w:rPr>
        <w:t>ES mērķis ir panākt, ka</w:t>
      </w:r>
      <w:r w:rsidR="00787B0A">
        <w:rPr>
          <w:rFonts w:eastAsia="Calibri"/>
          <w:szCs w:val="24"/>
          <w:lang w:eastAsia="en-US"/>
        </w:rPr>
        <w:t xml:space="preserve"> līdz 2050.</w:t>
      </w:r>
      <w:r w:rsidR="00567F3A">
        <w:rPr>
          <w:rFonts w:eastAsia="Calibri"/>
          <w:szCs w:val="24"/>
          <w:lang w:eastAsia="en-US"/>
        </w:rPr>
        <w:t> </w:t>
      </w:r>
      <w:r w:rsidR="00787B0A">
        <w:rPr>
          <w:rFonts w:eastAsia="Calibri"/>
          <w:szCs w:val="24"/>
          <w:lang w:eastAsia="en-US"/>
        </w:rPr>
        <w:t xml:space="preserve">gadam Eiropā radīto SEG </w:t>
      </w:r>
      <w:r w:rsidRPr="00A46CC4">
        <w:rPr>
          <w:rFonts w:eastAsia="Calibri"/>
          <w:szCs w:val="24"/>
          <w:lang w:eastAsia="en-US"/>
        </w:rPr>
        <w:t>apjoms samazinās vismaz par 80</w:t>
      </w:r>
      <w:r w:rsidR="00567F3A">
        <w:rPr>
          <w:rFonts w:eastAsia="Calibri"/>
          <w:szCs w:val="24"/>
          <w:lang w:eastAsia="en-US"/>
        </w:rPr>
        <w:t> </w:t>
      </w:r>
      <w:r w:rsidRPr="00A46CC4">
        <w:rPr>
          <w:rFonts w:eastAsia="Calibri"/>
          <w:szCs w:val="24"/>
          <w:lang w:eastAsia="en-US"/>
        </w:rPr>
        <w:t>% pret 1990.</w:t>
      </w:r>
      <w:r w:rsidR="00567F3A">
        <w:rPr>
          <w:rFonts w:eastAsia="Calibri"/>
          <w:szCs w:val="24"/>
          <w:lang w:eastAsia="en-US"/>
        </w:rPr>
        <w:t> </w:t>
      </w:r>
      <w:r w:rsidRPr="00A46CC4">
        <w:rPr>
          <w:rFonts w:eastAsia="Calibri"/>
          <w:szCs w:val="24"/>
          <w:lang w:eastAsia="en-US"/>
        </w:rPr>
        <w:t xml:space="preserve">gada līmeni. vienlaikus nemainīgi paliek ES mērķi par ekonomisko izaugsmi, globālo konkurenci, drošu energoapgādi un sociālo vienlīdzību, kas ir aktuāli arī Latvijai. Ja turpmāko attīstību plānojam kā līdz šim balstīt uz intensīvu enerģijas un resursu patēriņu, tad planētas resursi tiks noplicināti un tās ilgtspēja apdraudēta. </w:t>
      </w:r>
      <w:r w:rsidRPr="00A46CC4">
        <w:rPr>
          <w:rFonts w:eastAsia="Calibri"/>
          <w:noProof/>
          <w:szCs w:val="24"/>
          <w:lang w:eastAsia="en-US"/>
        </w:rPr>
        <w:t>Lai sevi uzturētu 2050. gadā, kopumā mums būs vajadzīgs vairāk nekā divu planētu ekvivalents. Tas nozīmē, ka daudzu iedzīvotāju cerības uz labāku dzīves kvalitāti paliks nepiepildītas.</w:t>
      </w:r>
    </w:p>
    <w:p w14:paraId="282B68B9" w14:textId="77777777" w:rsidR="002A1774" w:rsidRPr="00A46CC4" w:rsidRDefault="002A1774" w:rsidP="00567F3A">
      <w:pPr>
        <w:spacing w:before="120" w:after="120"/>
        <w:rPr>
          <w:szCs w:val="24"/>
        </w:rPr>
      </w:pPr>
      <w:r w:rsidRPr="00A46CC4">
        <w:rPr>
          <w:szCs w:val="24"/>
        </w:rPr>
        <w:t>Valstī ir nodrošināta tāda rīcībpolitika un atbalsta mehānismi, tostarp produktu politika un nodokļu mehānismi, ka dabas resursu izmantošana ir saimnieciska un ilgtspējīga, kā rezultātā panākts, ka pastāvīgi pieaug ražošanas efektivitāte un resursu produktivitāte, ilgtermiņā sasniedzot Eiropas Savienības valstu vidējos rādītājus.</w:t>
      </w:r>
    </w:p>
    <w:p w14:paraId="245D4219" w14:textId="77777777" w:rsidR="002A1774" w:rsidRPr="00A46CC4" w:rsidRDefault="002A1774" w:rsidP="00567F3A">
      <w:pPr>
        <w:spacing w:before="120" w:after="120"/>
        <w:rPr>
          <w:szCs w:val="24"/>
        </w:rPr>
      </w:pPr>
      <w:r w:rsidRPr="00A46CC4">
        <w:rPr>
          <w:szCs w:val="24"/>
        </w:rPr>
        <w:t>Sabiedrība ir sasniegusi tādu brieduma un vides apziņas līmeni, ka izprot ilgtspējīgas attīstības ideju un iesaistās tās īstenošanā. Sabiedrības iepirkšanās un patēriņa paradumi ir ilgtspējīgi, vidi un dabas resursus saudzējoši un taupoši. Darbojas efektīvi dalīšanās ekonomikas modeļi, kurus papildina daudzveidīgas sociālas uzņēmējdarbības un kopienu ekonomikas formas.</w:t>
      </w:r>
    </w:p>
    <w:p w14:paraId="4AE2CFBC" w14:textId="3D8A732B" w:rsidR="00307DD6" w:rsidRPr="00567F3A" w:rsidRDefault="00F37EEF" w:rsidP="00567F3A">
      <w:pPr>
        <w:pStyle w:val="ListParagraph"/>
        <w:numPr>
          <w:ilvl w:val="0"/>
          <w:numId w:val="29"/>
        </w:numPr>
        <w:spacing w:before="120" w:after="120"/>
        <w:contextualSpacing w:val="0"/>
        <w:rPr>
          <w:b/>
        </w:rPr>
      </w:pPr>
      <w:r w:rsidRPr="00567F3A">
        <w:rPr>
          <w:b/>
        </w:rPr>
        <w:t>Materiālo resursu ieguve un izmantošana ir ilgtspējīgas, nodrošinot Latvijā augstu resursu produktivitāti</w:t>
      </w:r>
      <w:r w:rsidR="00C37507" w:rsidRPr="00567F3A">
        <w:rPr>
          <w:b/>
        </w:rPr>
        <w:t xml:space="preserve">. </w:t>
      </w:r>
    </w:p>
    <w:p w14:paraId="4BC10F50" w14:textId="77777777" w:rsidR="00F37EEF" w:rsidRPr="00A46CC4" w:rsidRDefault="00F37EEF" w:rsidP="00567F3A">
      <w:pPr>
        <w:spacing w:before="120" w:after="120"/>
        <w:ind w:firstLine="720"/>
        <w:rPr>
          <w:rFonts w:eastAsia="Calibri"/>
          <w:szCs w:val="24"/>
          <w:lang w:eastAsia="en-US"/>
        </w:rPr>
      </w:pPr>
      <w:r w:rsidRPr="00A46CC4">
        <w:rPr>
          <w:rFonts w:eastAsia="Calibri"/>
          <w:noProof/>
          <w:szCs w:val="24"/>
          <w:lang w:eastAsia="en-US"/>
        </w:rPr>
        <w:t xml:space="preserve">Ekonomiskā attīstība ir </w:t>
      </w:r>
      <w:r w:rsidR="00687BCE" w:rsidRPr="00A46CC4">
        <w:rPr>
          <w:rFonts w:eastAsia="Calibri"/>
          <w:noProof/>
          <w:szCs w:val="24"/>
          <w:lang w:eastAsia="en-US"/>
        </w:rPr>
        <w:t>izveidota</w:t>
      </w:r>
      <w:r w:rsidRPr="00A46CC4">
        <w:rPr>
          <w:rFonts w:eastAsia="Calibri"/>
          <w:noProof/>
          <w:szCs w:val="24"/>
          <w:lang w:eastAsia="en-US"/>
        </w:rPr>
        <w:t xml:space="preserve"> tā, lai maksimāli un pilnvērtīgi izmantot</w:t>
      </w:r>
      <w:r w:rsidR="00737FA6" w:rsidRPr="00A46CC4">
        <w:rPr>
          <w:rFonts w:eastAsia="Calibri"/>
          <w:noProof/>
          <w:szCs w:val="24"/>
          <w:lang w:eastAsia="en-US"/>
        </w:rPr>
        <w:t>u</w:t>
      </w:r>
      <w:r w:rsidRPr="00A46CC4">
        <w:rPr>
          <w:rFonts w:eastAsia="Calibri"/>
          <w:noProof/>
          <w:szCs w:val="24"/>
          <w:lang w:eastAsia="en-US"/>
        </w:rPr>
        <w:t xml:space="preserve"> visas izejvielas, ražojumus un atkritumus, lai ietaupītu enerģiju un samazinātu SEG emisijas. </w:t>
      </w:r>
      <w:r w:rsidR="00687BCE" w:rsidRPr="00A46CC4">
        <w:rPr>
          <w:rFonts w:eastAsia="Calibri"/>
          <w:szCs w:val="24"/>
          <w:lang w:eastAsia="en-US"/>
        </w:rPr>
        <w:t>Mērķis tiek sasniegts ne tikai ar tehnoloģijām, bet arī</w:t>
      </w:r>
      <w:r w:rsidRPr="00A46CC4">
        <w:rPr>
          <w:rFonts w:eastAsia="Calibri"/>
          <w:szCs w:val="24"/>
          <w:lang w:eastAsia="en-US"/>
        </w:rPr>
        <w:t xml:space="preserve"> </w:t>
      </w:r>
      <w:r w:rsidR="00687BCE" w:rsidRPr="00A46CC4">
        <w:rPr>
          <w:rFonts w:eastAsia="Calibri"/>
          <w:szCs w:val="24"/>
          <w:lang w:eastAsia="en-US"/>
        </w:rPr>
        <w:t>novērsta</w:t>
      </w:r>
      <w:r w:rsidRPr="00A46CC4">
        <w:rPr>
          <w:rFonts w:eastAsia="Calibri"/>
          <w:szCs w:val="24"/>
          <w:lang w:eastAsia="en-US"/>
        </w:rPr>
        <w:t xml:space="preserve"> nesaimnieciska ražošana un neilgtspējīgais sabiedrības dzīvesveids un patēriņš kā publiskajā, tā privātajā sektorā.</w:t>
      </w:r>
      <w:r w:rsidR="00C37507" w:rsidRPr="00A46CC4">
        <w:rPr>
          <w:rFonts w:eastAsia="Calibri"/>
          <w:szCs w:val="24"/>
          <w:lang w:eastAsia="en-US"/>
        </w:rPr>
        <w:t xml:space="preserve"> Pārdomātāki dizaini un efektīvāka pārstrādāšana var uzlabot resursu otrreizējo izmantošanu un samazināt kopējo resursu patēriņu.</w:t>
      </w:r>
    </w:p>
    <w:p w14:paraId="57C90745" w14:textId="77777777" w:rsidR="0072282A" w:rsidRPr="00567F3A" w:rsidRDefault="0072282A" w:rsidP="00567F3A">
      <w:pPr>
        <w:pStyle w:val="ListParagraph"/>
        <w:numPr>
          <w:ilvl w:val="0"/>
          <w:numId w:val="3"/>
        </w:numPr>
        <w:spacing w:before="120" w:after="120"/>
        <w:contextualSpacing w:val="0"/>
        <w:rPr>
          <w:b/>
          <w:szCs w:val="24"/>
        </w:rPr>
      </w:pPr>
      <w:r w:rsidRPr="00567F3A">
        <w:rPr>
          <w:b/>
          <w:szCs w:val="24"/>
        </w:rPr>
        <w:t xml:space="preserve">Valstī ir samazinājies kopējais saražoto atkritumu apjoms un panākts, ka resursi atgriežas ekonomiskajā apritē </w:t>
      </w:r>
    </w:p>
    <w:p w14:paraId="734D69FE" w14:textId="77777777" w:rsidR="0072282A" w:rsidRPr="00A46CC4" w:rsidRDefault="0072282A" w:rsidP="00567F3A">
      <w:pPr>
        <w:spacing w:before="120" w:after="120"/>
        <w:ind w:firstLine="720"/>
      </w:pPr>
      <w:r w:rsidRPr="00A46CC4">
        <w:t>Uzņēmumu īstenotie ražošanas modeļi balstās uz inovācijām, tie ir vērsti uz efektīvu resursu izmantošanu visā produkta dzīves ciklā, nodrošinot, ka pēc iespējas mazāk resursu nonāk atkritumos. Uzņēmumi sadarbojas resursu apsaimniekošanā (industriālā simbioze).</w:t>
      </w:r>
    </w:p>
    <w:p w14:paraId="09B4FF88" w14:textId="77777777" w:rsidR="002A1774" w:rsidRPr="00567F3A" w:rsidRDefault="002A1774" w:rsidP="00567F3A">
      <w:pPr>
        <w:pStyle w:val="ListParagraph"/>
        <w:numPr>
          <w:ilvl w:val="0"/>
          <w:numId w:val="3"/>
        </w:numPr>
        <w:spacing w:before="120" w:after="120"/>
        <w:contextualSpacing w:val="0"/>
        <w:rPr>
          <w:b/>
        </w:rPr>
      </w:pPr>
      <w:r w:rsidRPr="00567F3A">
        <w:rPr>
          <w:b/>
        </w:rPr>
        <w:t>Sabiedrības patēriņš ir ilgtspējīgāks, kas veicina videi draudzīgāku pakalpojumu un preču ražošanu un piedāvājumu</w:t>
      </w:r>
    </w:p>
    <w:p w14:paraId="62B7A62C" w14:textId="4D8AAC94" w:rsidR="002A1774" w:rsidRPr="00A46CC4" w:rsidRDefault="00687BCE" w:rsidP="00567F3A">
      <w:pPr>
        <w:spacing w:before="120" w:after="120"/>
        <w:ind w:firstLine="720"/>
      </w:pPr>
      <w:r w:rsidRPr="00A46CC4">
        <w:t>P</w:t>
      </w:r>
      <w:r w:rsidR="002A1774" w:rsidRPr="00A46CC4">
        <w:t xml:space="preserve">ar ilgtspējīgu attīstību </w:t>
      </w:r>
      <w:r w:rsidRPr="00A46CC4">
        <w:t>ir atbildīgi ne tikai ražotāji, bet arī visa sabiedrība kopumā. Katrs indivīds, kolektīvs (skola</w:t>
      </w:r>
      <w:r w:rsidR="002A1774" w:rsidRPr="00A46CC4">
        <w:t>, iestāde</w:t>
      </w:r>
      <w:r w:rsidRPr="00A46CC4">
        <w:t>, birojs u.tml.), ģimene un mājsaimniecība</w:t>
      </w:r>
      <w:r w:rsidR="002A1774" w:rsidRPr="00A46CC4">
        <w:t xml:space="preserve"> ir </w:t>
      </w:r>
      <w:r w:rsidRPr="00A46CC4">
        <w:t xml:space="preserve">izvērtējusi </w:t>
      </w:r>
      <w:r w:rsidR="002A1774" w:rsidRPr="00A46CC4">
        <w:t xml:space="preserve">un </w:t>
      </w:r>
      <w:r w:rsidRPr="00A46CC4">
        <w:t>mainījusi savu attieksmi</w:t>
      </w:r>
      <w:r w:rsidR="002A1774" w:rsidRPr="00A46CC4">
        <w:t xml:space="preserve"> pret to, kā tā dzīvo un patērē resursus </w:t>
      </w:r>
      <w:r w:rsidR="0043123E">
        <w:t>–</w:t>
      </w:r>
      <w:r w:rsidR="0043123E" w:rsidRPr="00A46CC4">
        <w:t xml:space="preserve"> </w:t>
      </w:r>
      <w:r w:rsidR="002A1774" w:rsidRPr="00A46CC4">
        <w:t xml:space="preserve">ko dara ar ūdeni un enerģiju, </w:t>
      </w:r>
      <w:r w:rsidR="002A1774" w:rsidRPr="00A46CC4">
        <w:lastRenderedPageBreak/>
        <w:t>kādus sadzīves atkritumus rada un kur tie nonāk, kā patērē pārtiku; kādi ir iepirkšanās un braukšanas paradumi, kādas preces pērk un kā tās li</w:t>
      </w:r>
      <w:r w:rsidRPr="00A46CC4">
        <w:t>eto, kādus pakalpojumus izmanto.</w:t>
      </w:r>
      <w:r w:rsidR="002A1774" w:rsidRPr="00A46CC4">
        <w:t xml:space="preserve"> </w:t>
      </w:r>
    </w:p>
    <w:p w14:paraId="3A6ED674" w14:textId="77777777" w:rsidR="002A1774" w:rsidRPr="00A46CC4" w:rsidRDefault="002A1774" w:rsidP="00567F3A">
      <w:pPr>
        <w:spacing w:before="120" w:after="120"/>
        <w:ind w:firstLine="720"/>
      </w:pPr>
      <w:r w:rsidRPr="00A46CC4">
        <w:t xml:space="preserve">Privāto un publisko pircēju patēriņa ieradumu </w:t>
      </w:r>
      <w:r w:rsidR="00687BCE" w:rsidRPr="00A46CC4">
        <w:t>maiņa (uzvedības maiņa) palīdz</w:t>
      </w:r>
      <w:r w:rsidRPr="00A46CC4">
        <w:t xml:space="preserve"> pa</w:t>
      </w:r>
      <w:r w:rsidR="00687BCE" w:rsidRPr="00A46CC4">
        <w:t>nākt resursu efektivitāti un dod</w:t>
      </w:r>
      <w:r w:rsidRPr="00A46CC4">
        <w:t xml:space="preserve"> arī fiskālos ieguvumus. Tas savukārt </w:t>
      </w:r>
      <w:r w:rsidR="00687BCE" w:rsidRPr="00A46CC4">
        <w:t>veicina</w:t>
      </w:r>
      <w:r w:rsidRPr="00A46CC4">
        <w:t xml:space="preserve"> pieprasījumu pēc resursu ziņā efektīvākiem pakalpojumiem un produktiem. Patērētāji var ietaupīt izmaksas, paši novēršot atkritumu rašanos un pērkot ražojumus, ko var lietot ilgstoši vai ko var viegli salabot vai pārstrādāt. </w:t>
      </w:r>
      <w:r w:rsidR="00687BCE" w:rsidRPr="00A46CC4">
        <w:t>Ir pieejami tādi pakalpojumi</w:t>
      </w:r>
      <w:r w:rsidRPr="00A46CC4">
        <w:t xml:space="preserve">, kas piedāvā labošanu, apkopi, nomu. </w:t>
      </w:r>
    </w:p>
    <w:p w14:paraId="4925EC44" w14:textId="77777777" w:rsidR="002A1774" w:rsidRPr="00A46CC4" w:rsidRDefault="008670FF" w:rsidP="00567F3A">
      <w:pPr>
        <w:spacing w:before="120" w:after="120"/>
        <w:ind w:firstLine="720"/>
      </w:pPr>
      <w:r w:rsidRPr="00A46CC4">
        <w:t>V</w:t>
      </w:r>
      <w:r w:rsidR="002A1774" w:rsidRPr="00A46CC4">
        <w:t xml:space="preserve">alstī ir daudz privātu iniciatīvu/ prasmju nodošanas mehānismu, kur cilvēki dalās personiskajā pieredzē par materiālu (tekstila u.c.) atkārtotas izmantošanas iespējām, pārstrādājot tos sadzīves produktos pašu rokās. </w:t>
      </w:r>
    </w:p>
    <w:p w14:paraId="63236FF4" w14:textId="77777777" w:rsidR="00F47352" w:rsidRPr="00567F3A" w:rsidRDefault="00F47352" w:rsidP="00567F3A">
      <w:pPr>
        <w:pStyle w:val="ListParagraph"/>
        <w:numPr>
          <w:ilvl w:val="0"/>
          <w:numId w:val="3"/>
        </w:numPr>
        <w:spacing w:before="120" w:after="120"/>
        <w:contextualSpacing w:val="0"/>
        <w:rPr>
          <w:b/>
        </w:rPr>
      </w:pPr>
      <w:r w:rsidRPr="00567F3A">
        <w:rPr>
          <w:b/>
        </w:rPr>
        <w:t xml:space="preserve">Uzlabojumi resursu efektivitātē sniedz iespēju izaugsmei caur </w:t>
      </w:r>
      <w:r w:rsidR="001F634C" w:rsidRPr="00567F3A">
        <w:rPr>
          <w:b/>
        </w:rPr>
        <w:t>eko-inovācijām un zaļajām darba</w:t>
      </w:r>
      <w:r w:rsidRPr="00567F3A">
        <w:rPr>
          <w:b/>
        </w:rPr>
        <w:t>vietām</w:t>
      </w:r>
    </w:p>
    <w:p w14:paraId="27CF6D17" w14:textId="77777777" w:rsidR="001F634C" w:rsidRPr="00A46CC4" w:rsidRDefault="00F47352" w:rsidP="00567F3A">
      <w:pPr>
        <w:spacing w:before="120" w:after="120"/>
        <w:ind w:firstLine="720"/>
      </w:pPr>
      <w:r w:rsidRPr="00A46CC4">
        <w:t xml:space="preserve">Efektīvāka resursu izlietošana un piesārņojuma ierobežošana </w:t>
      </w:r>
      <w:r w:rsidR="001F634C" w:rsidRPr="00A46CC4">
        <w:t>ir</w:t>
      </w:r>
      <w:r w:rsidRPr="00A46CC4">
        <w:t xml:space="preserve"> nozīmīgs ekonomiskās izaugsmes dzinējspēks, ko apliecina Eiropas eko- (vides) nozares panākumi. </w:t>
      </w:r>
    </w:p>
    <w:p w14:paraId="5B98E27F" w14:textId="77777777" w:rsidR="00C37507" w:rsidRPr="00A46CC4" w:rsidRDefault="00C37507" w:rsidP="00567F3A">
      <w:pPr>
        <w:spacing w:before="120" w:after="120"/>
        <w:ind w:firstLine="720"/>
      </w:pPr>
      <w:r w:rsidRPr="00A46CC4">
        <w:t>Zemas oglekļa emisijas attīstība paver iespēju arī jaunām ekonomikas attīstības perspektīvām, jo ļauj potenciāli radīt jaunus nodarbinātības sektorus, kas nodarbojas ar videi draudzīgo tehnoloģiju ieviešanu un apkalpošanu (</w:t>
      </w:r>
      <w:r w:rsidR="000204C9" w:rsidRPr="00A46CC4">
        <w:t>zaļās darbavietas</w:t>
      </w:r>
      <w:r w:rsidRPr="00A46CC4">
        <w:t>). Zema oglekļa emisiju attīstībai ir arī potenciāls attīstīt jaunus biznesa sektorus, kas var palielināt nacionālās ekonomikas atdevi. Latvija 2030 uzsver Latvijas inovāciju potenciālu, kas, lai arī šobrīd nav pieprasīts, var tuvākajā laikā kļūt par vienu no tautsaimniecības vadošajiem dzinējspēkiem. Inovācijām arvien lielāka nozīme ir pasaules ekonomikā un paredzams, ka tieši inovatīvās industrijas spēs izdzīvot globālajā tirgū. Latvija 2030 paredz arī lielāku atbalstu no likumdevēju puses, ļaujot piesaistīt kapitālu un attīstīt jaunas uzņēmējdarbības idejas.</w:t>
      </w:r>
    </w:p>
    <w:p w14:paraId="1336057F" w14:textId="4C572BFD" w:rsidR="00F47352" w:rsidRPr="00A46CC4" w:rsidRDefault="00F47352" w:rsidP="004E0A4D">
      <w:pPr>
        <w:ind w:firstLine="720"/>
      </w:pPr>
      <w:r w:rsidRPr="00A46CC4">
        <w:t>Liela daļa no pieauguma</w:t>
      </w:r>
      <w:r w:rsidR="001F634C" w:rsidRPr="00A46CC4">
        <w:t xml:space="preserve">, kas </w:t>
      </w:r>
      <w:r w:rsidRPr="00A46CC4">
        <w:t>saistāma ar resursu apsaimniekošanu, ietver jaunās tehnolo</w:t>
      </w:r>
      <w:r w:rsidR="001F634C" w:rsidRPr="00A46CC4">
        <w:t>ģijas. Vides aizsardzības tirgū Latvijas uzņēmumi sekmīgi izmanto</w:t>
      </w:r>
      <w:r w:rsidRPr="00A46CC4">
        <w:t xml:space="preserve"> pasaules līmeņa iespējas</w:t>
      </w:r>
      <w:r w:rsidR="00567F3A">
        <w:t> </w:t>
      </w:r>
      <w:r w:rsidRPr="00A46CC4">
        <w:t>—</w:t>
      </w:r>
      <w:r w:rsidR="00567F3A">
        <w:t> </w:t>
      </w:r>
      <w:r w:rsidRPr="00A46CC4">
        <w:t>gaidāms, ka ekonozaru globālā tirgus apjoms, kas pašlaik ir aptuveni 1000 miljardu eiro gadā, līdz 2030.</w:t>
      </w:r>
      <w:r w:rsidR="00567F3A">
        <w:t> </w:t>
      </w:r>
      <w:r w:rsidRPr="00A46CC4">
        <w:t xml:space="preserve">gadam trīskāršosies. </w:t>
      </w:r>
    </w:p>
    <w:p w14:paraId="1A7D8712" w14:textId="77777777" w:rsidR="00F47352" w:rsidRPr="00A46CC4" w:rsidRDefault="001F634C" w:rsidP="004E0A4D">
      <w:pPr>
        <w:ind w:firstLine="720"/>
      </w:pPr>
      <w:r w:rsidRPr="00A46CC4">
        <w:t xml:space="preserve">Latvijas uzņēmumi </w:t>
      </w:r>
      <w:r w:rsidR="00C37507" w:rsidRPr="00A46CC4">
        <w:t>ir pielāgojušies</w:t>
      </w:r>
      <w:r w:rsidRPr="00A46CC4">
        <w:t xml:space="preserve"> </w:t>
      </w:r>
      <w:r w:rsidR="00C37507" w:rsidRPr="00A46CC4">
        <w:t>pasaules tirgus tendencēm</w:t>
      </w:r>
      <w:r w:rsidRPr="00A46CC4">
        <w:t xml:space="preserve"> un sekmīgi </w:t>
      </w:r>
      <w:r w:rsidR="00C37507" w:rsidRPr="00A46CC4">
        <w:t>darbojās tehnoloģiju attīstības un ražošanas nišās, nodrošinot stabilu eksporta apjoma pieaugumu</w:t>
      </w:r>
      <w:r w:rsidR="00F47352" w:rsidRPr="00A46CC4">
        <w:t>. Nozīmīgi eksporta tirgi ir Ķīna un citas jaunattīstības valstis. Pasaules tirgus aug par aptuveni 5% gadā.</w:t>
      </w:r>
    </w:p>
    <w:p w14:paraId="5CB37E47" w14:textId="77777777" w:rsidR="00281DC4" w:rsidRPr="00A46CC4" w:rsidRDefault="00281DC4"/>
    <w:p w14:paraId="3CA19444" w14:textId="63F605DA" w:rsidR="00F32799" w:rsidRPr="00A46CC4" w:rsidRDefault="00FD633D" w:rsidP="001156EF">
      <w:pPr>
        <w:pStyle w:val="Heading2"/>
      </w:pPr>
      <w:bookmarkStart w:id="48" w:name="_Toc523217385"/>
      <w:r w:rsidRPr="00A46CC4">
        <w:rPr>
          <w:lang w:val="lv-LV"/>
        </w:rPr>
        <w:t>5</w:t>
      </w:r>
      <w:r w:rsidR="00567F3A">
        <w:rPr>
          <w:lang w:val="lv-LV"/>
        </w:rPr>
        <w:t>.6. </w:t>
      </w:r>
      <w:r w:rsidR="004359BC" w:rsidRPr="00A46CC4">
        <w:t>Pētniecība un inovācijas oglekļa mazietilpīgās tehnoloģijās</w:t>
      </w:r>
      <w:bookmarkEnd w:id="48"/>
    </w:p>
    <w:p w14:paraId="1DC1B8AA" w14:textId="704B7AE5" w:rsidR="009920AE" w:rsidRPr="00A46CC4" w:rsidRDefault="009920AE" w:rsidP="00B608D3">
      <w:bookmarkStart w:id="49" w:name="_Toc460423764"/>
      <w:bookmarkStart w:id="50" w:name="_Toc460423767"/>
      <w:bookmarkEnd w:id="49"/>
      <w:bookmarkEnd w:id="50"/>
      <w:r w:rsidRPr="00A46CC4">
        <w:t xml:space="preserve">Pētniecības un inovāciju attīstība ir sniegusi būtisku ieguldījumu Latvijas OMA. Ir veiksmīgi mobilizētas finanses, nodrošināta jauno zināšanu uzkrāšana un pārnešana uz visām tautsaimniecības nozarēm. Kur tas iespējams, OMA principi tiek integrēti visos pētījumos, īpaši kas ir saistīti ar dažāda veida tehnoloģijām. </w:t>
      </w:r>
    </w:p>
    <w:p w14:paraId="2BD621EF" w14:textId="62ABEE69" w:rsidR="009920AE" w:rsidRPr="00A46CC4" w:rsidRDefault="009920AE" w:rsidP="00BE0FD4">
      <w:pPr>
        <w:pStyle w:val="Subtitle"/>
        <w:numPr>
          <w:ilvl w:val="0"/>
          <w:numId w:val="3"/>
        </w:numPr>
      </w:pPr>
      <w:r w:rsidRPr="00A46CC4">
        <w:t xml:space="preserve">Oglekļa mazietilpīgas attīstības aspekti ir integrēti visos pētījumos, </w:t>
      </w:r>
      <w:r w:rsidR="00802E1A" w:rsidRPr="00A46CC4">
        <w:t xml:space="preserve">īpaši obligāts nosacījums </w:t>
      </w:r>
      <w:r w:rsidRPr="00A46CC4">
        <w:t xml:space="preserve">valsts budžeta </w:t>
      </w:r>
      <w:r w:rsidR="00802E1A" w:rsidRPr="00A46CC4">
        <w:t>finansētajiem</w:t>
      </w:r>
      <w:r w:rsidR="007A733E" w:rsidRPr="00A46CC4">
        <w:t xml:space="preserve"> </w:t>
      </w:r>
      <w:r w:rsidR="009C04E6">
        <w:t>pētījumiem</w:t>
      </w:r>
    </w:p>
    <w:p w14:paraId="50E08EF0" w14:textId="77777777" w:rsidR="009920AE" w:rsidRPr="00A46CC4" w:rsidRDefault="009920AE" w:rsidP="00977BCE">
      <w:r w:rsidRPr="00A46CC4">
        <w:t xml:space="preserve">Latvijā ir pieejams pietiekams finansējums pētījumiem, lai attīstītu oglekļa mazietilpīgas tehnoloģijas, radītu inovācijas un meklētu efektīvākos pasākumus OMA mērķu sasniegšanai. Pētījumu, inovāciju papildus pievienotā vērtība ir to potenciāls kļūt par eksporta preci vai pakalpojumu. </w:t>
      </w:r>
    </w:p>
    <w:p w14:paraId="51D8611B" w14:textId="77777777" w:rsidR="009920AE" w:rsidRPr="00A46CC4" w:rsidRDefault="009920AE" w:rsidP="00977BCE">
      <w:r w:rsidRPr="00A46CC4">
        <w:t>Visas tautsaimniecības nozares aktīvi iesaistās labāko risinājumu meklēšanā ar mērķi samazināt SEG emisijas līdz minimumam, novērst atkritumu rašanos, samazināt enerģijas patēriņu, palielināt efektivitāti.</w:t>
      </w:r>
      <w:r w:rsidR="00E11717" w:rsidRPr="00A46CC4">
        <w:t xml:space="preserve"> Pētījumu attīstība ir tā, kas rada turpmāko valsts politiku </w:t>
      </w:r>
      <w:r w:rsidR="00E11717" w:rsidRPr="00A46CC4">
        <w:lastRenderedPageBreak/>
        <w:t>ilgtspējīgas attīstības virzienā.</w:t>
      </w:r>
      <w:r w:rsidRPr="00A46CC4">
        <w:t xml:space="preserve"> </w:t>
      </w:r>
      <w:r w:rsidR="00CD36E6" w:rsidRPr="00A46CC4">
        <w:t>P</w:t>
      </w:r>
      <w:r w:rsidR="00E11717" w:rsidRPr="00A46CC4">
        <w:t xml:space="preserve">ētījumi </w:t>
      </w:r>
      <w:r w:rsidR="00CD36E6" w:rsidRPr="00A46CC4">
        <w:t>ir īstenoti, lai nodrošinātu politikas veidošanu un OMA pasākumu īstenošanu</w:t>
      </w:r>
      <w:r w:rsidR="00062F70" w:rsidRPr="00A46CC4">
        <w:t>.</w:t>
      </w:r>
      <w:r w:rsidR="00CD36E6" w:rsidRPr="00A46CC4">
        <w:t xml:space="preserve"> Šie pētījumi ir veikti pakāpeniski.</w:t>
      </w:r>
    </w:p>
    <w:p w14:paraId="7512336E" w14:textId="77777777" w:rsidR="00DF46C5" w:rsidRPr="00A46CC4" w:rsidRDefault="007A733E" w:rsidP="001156EF">
      <w:r w:rsidRPr="00A46CC4">
        <w:t xml:space="preserve">Pētījumu mērķis paredz definēt pētījuma attīstības virzību, prioritārās nozares, kurās ir potenciālais ieguvums attiecībā pret OMA mērķiem. Inovatīvas idejas paredz samazinātu resursu patēriņu, palielina iespējas jaunu alternatīvu materiālu izmantošanai, rada darba vietas un pievienoto produktu un pakalpojumu vērtību plašā nozīmē, kā arī dod vēlamo efektu pēc iespējas ātrāk. </w:t>
      </w:r>
      <w:r w:rsidR="00DF46C5" w:rsidRPr="00A46CC4">
        <w:t>Obligāta prasība iekļaut OMA principus ir noteikta šādās jomās:</w:t>
      </w:r>
    </w:p>
    <w:p w14:paraId="564BEF02" w14:textId="77777777" w:rsidR="00DF46C5" w:rsidRPr="00A46CC4" w:rsidRDefault="00DF46C5" w:rsidP="00BE0FD4">
      <w:pPr>
        <w:numPr>
          <w:ilvl w:val="0"/>
          <w:numId w:val="6"/>
        </w:numPr>
        <w:tabs>
          <w:tab w:val="left" w:pos="720"/>
        </w:tabs>
      </w:pPr>
      <w:r w:rsidRPr="00A46CC4">
        <w:t>Klimata politika;</w:t>
      </w:r>
    </w:p>
    <w:p w14:paraId="3A1CF6DE" w14:textId="77777777" w:rsidR="00DF46C5" w:rsidRPr="00A46CC4" w:rsidRDefault="00DF46C5" w:rsidP="00BE0FD4">
      <w:pPr>
        <w:numPr>
          <w:ilvl w:val="0"/>
          <w:numId w:val="6"/>
        </w:numPr>
        <w:tabs>
          <w:tab w:val="left" w:pos="720"/>
        </w:tabs>
      </w:pPr>
      <w:r w:rsidRPr="00A46CC4">
        <w:t>Pārtikas nodrošinājums, ilgtspējīga lauksaimniecība un mežsaimniecība;</w:t>
      </w:r>
    </w:p>
    <w:p w14:paraId="04378602" w14:textId="77777777" w:rsidR="00DF46C5" w:rsidRPr="00A46CC4" w:rsidRDefault="00DF46C5" w:rsidP="00BE0FD4">
      <w:pPr>
        <w:numPr>
          <w:ilvl w:val="0"/>
          <w:numId w:val="6"/>
        </w:numPr>
        <w:tabs>
          <w:tab w:val="left" w:pos="720"/>
        </w:tabs>
      </w:pPr>
      <w:r w:rsidRPr="00A46CC4">
        <w:t>Bioekonomika;</w:t>
      </w:r>
    </w:p>
    <w:p w14:paraId="611CA8A8" w14:textId="77777777" w:rsidR="00DF46C5" w:rsidRPr="00A46CC4" w:rsidRDefault="00DF46C5" w:rsidP="00BE0FD4">
      <w:pPr>
        <w:numPr>
          <w:ilvl w:val="0"/>
          <w:numId w:val="6"/>
        </w:numPr>
        <w:tabs>
          <w:tab w:val="left" w:pos="720"/>
        </w:tabs>
      </w:pPr>
      <w:r w:rsidRPr="00A46CC4">
        <w:t>Resursefektivitāte un izejvielas;</w:t>
      </w:r>
    </w:p>
    <w:p w14:paraId="237F1C22" w14:textId="77777777" w:rsidR="00DF46C5" w:rsidRPr="00A46CC4" w:rsidRDefault="00DF46C5" w:rsidP="00BE0FD4">
      <w:pPr>
        <w:numPr>
          <w:ilvl w:val="0"/>
          <w:numId w:val="6"/>
        </w:numPr>
        <w:tabs>
          <w:tab w:val="left" w:pos="720"/>
        </w:tabs>
      </w:pPr>
      <w:r w:rsidRPr="00A46CC4">
        <w:t>Droša, tīra un efektīva enerģija;</w:t>
      </w:r>
    </w:p>
    <w:p w14:paraId="5E671BCB" w14:textId="77777777" w:rsidR="00DF46C5" w:rsidRPr="00A46CC4" w:rsidRDefault="00DF46C5" w:rsidP="00BE0FD4">
      <w:pPr>
        <w:numPr>
          <w:ilvl w:val="0"/>
          <w:numId w:val="6"/>
        </w:numPr>
        <w:tabs>
          <w:tab w:val="left" w:pos="720"/>
        </w:tabs>
      </w:pPr>
      <w:r w:rsidRPr="00A46CC4">
        <w:t>Vieds un ilgtspējīgs transports;</w:t>
      </w:r>
    </w:p>
    <w:p w14:paraId="34A2139D" w14:textId="1CD1E430" w:rsidR="00DF46C5" w:rsidRPr="00A46CC4" w:rsidRDefault="00634EF0" w:rsidP="00634EF0">
      <w:pPr>
        <w:numPr>
          <w:ilvl w:val="0"/>
          <w:numId w:val="6"/>
        </w:numPr>
        <w:tabs>
          <w:tab w:val="left" w:pos="720"/>
        </w:tabs>
      </w:pPr>
      <w:r w:rsidRPr="00A46CC4">
        <w:t>Ilgtspējīgs patēriņš un ražošana</w:t>
      </w:r>
      <w:r w:rsidR="00DF46C5" w:rsidRPr="00A46CC4">
        <w:t>;</w:t>
      </w:r>
    </w:p>
    <w:p w14:paraId="48D731D8" w14:textId="77777777" w:rsidR="00DF46C5" w:rsidRPr="00A46CC4" w:rsidRDefault="00DF46C5" w:rsidP="00BE0FD4">
      <w:pPr>
        <w:numPr>
          <w:ilvl w:val="0"/>
          <w:numId w:val="6"/>
        </w:numPr>
        <w:tabs>
          <w:tab w:val="left" w:pos="720"/>
        </w:tabs>
      </w:pPr>
      <w:r w:rsidRPr="00A46CC4">
        <w:t xml:space="preserve">Vides aizsardzība. </w:t>
      </w:r>
    </w:p>
    <w:p w14:paraId="02A01413" w14:textId="77777777" w:rsidR="009920AE" w:rsidRPr="00A46CC4" w:rsidRDefault="009920AE" w:rsidP="00BE0FD4">
      <w:pPr>
        <w:pStyle w:val="Subtitle"/>
        <w:numPr>
          <w:ilvl w:val="0"/>
          <w:numId w:val="3"/>
        </w:numPr>
      </w:pPr>
      <w:r w:rsidRPr="00A46CC4">
        <w:t>Latvija veiksmīgi piesaista finanšu līdzekļus pētniecībai un inovāciju attīstībai</w:t>
      </w:r>
      <w:r w:rsidR="00062F70" w:rsidRPr="00A46CC4">
        <w:t>, jaunu un uzlabotu tehnoloģiju un procesu izstrādē</w:t>
      </w:r>
    </w:p>
    <w:p w14:paraId="522EBFE5" w14:textId="77777777" w:rsidR="009920AE" w:rsidRPr="00A46CC4" w:rsidRDefault="009920AE" w:rsidP="00977BCE">
      <w:r w:rsidRPr="00A46CC4">
        <w:t>Ir nodrošināts pietiekams finansējums</w:t>
      </w:r>
      <w:r w:rsidR="007A733E" w:rsidRPr="00A46CC4">
        <w:t xml:space="preserve"> ne tikai no valsts, bet piesaistīts arī ES un cits starptautiska mēroga ārējais finansējums</w:t>
      </w:r>
      <w:r w:rsidRPr="00A46CC4">
        <w:t xml:space="preserve"> pētījumiem un zinātnes attīstībai</w:t>
      </w:r>
      <w:r w:rsidR="00832CCA" w:rsidRPr="00A46CC4">
        <w:t>,</w:t>
      </w:r>
      <w:r w:rsidRPr="00A46CC4">
        <w:t xml:space="preserve"> un tas tiek izmantots lietderīgi. Netiek radītas pretrunas starp dažādu nozaru politiku interesēm – tās papildina viena otru. Latvijas iesaiste dažādās starptautiskās pētījumu programmās ir būtiski uzlabota.</w:t>
      </w:r>
    </w:p>
    <w:p w14:paraId="6684875D" w14:textId="77777777" w:rsidR="009920AE" w:rsidRPr="00A46CC4" w:rsidRDefault="009920AE" w:rsidP="00977BCE">
      <w:r w:rsidRPr="00A46CC4">
        <w:t>Latvijā ir attīstītas inovācijas un pētniecība, kas tiek sekmīgi komercializētas, dodot iespēju valstij ražot eksportējamus ilgtspējīgus produktus un sniegt starptautiski konkurētspējīgus pakalpojumus. Pētniecība un inovācija kalpo produktivitātes celšanai visās tautsaimniecības nozarēs, tajā pašā laikā nodrošinot arī SEG emisiju kopējā apjoma samazināšanu, iespējamu jaunu tehnoloģiju ražošanu un jaunu pakalpojumu ieviešanu, tā veicinot arī potenciālā eksporta palielināšanu. Īpaši tiek atbalstīti biznesa inkubatori, kas veicina OMA mērķu sasniegšanu.</w:t>
      </w:r>
    </w:p>
    <w:p w14:paraId="0549DD18" w14:textId="1EF229A0" w:rsidR="009920AE" w:rsidRPr="00A46CC4" w:rsidRDefault="009920AE" w:rsidP="00977BCE">
      <w:r w:rsidRPr="00A46CC4">
        <w:t>Zinātnē ir pietiekams nodarbināto skaits ar konkurētspējīgu atalgojumu, ir labi attīstīta zinātnes un pētniecības infrastruktūra, ir liels moderni aprīkotu laboratoriju tīkls tehnoloģiskas ievirzes projektu īstenošanai</w:t>
      </w:r>
      <w:r w:rsidR="006A7707" w:rsidRPr="00A46CC4">
        <w:t>.</w:t>
      </w:r>
      <w:r w:rsidRPr="00A46CC4">
        <w:t xml:space="preserve"> </w:t>
      </w:r>
      <w:r w:rsidR="006A7707" w:rsidRPr="00A46CC4">
        <w:t xml:space="preserve">Latvijā ir </w:t>
      </w:r>
      <w:r w:rsidRPr="00A46CC4">
        <w:t>augsts pētījumu rezultātu komercializācijas potenciāls</w:t>
      </w:r>
      <w:r w:rsidR="006A7707" w:rsidRPr="00A46CC4">
        <w:t>, inovatīvās tehnoloģijas un metodes ir attīstītas un praksē ieviestas, tās realizē un veicina OMA mērķu īstenošanu.</w:t>
      </w:r>
      <w:r w:rsidRPr="00A46CC4">
        <w:t xml:space="preserve">  </w:t>
      </w:r>
      <w:r w:rsidR="006A7707" w:rsidRPr="00A46CC4">
        <w:t>S</w:t>
      </w:r>
      <w:r w:rsidRPr="00A46CC4">
        <w:t>tarp zinātnes, valsts un uzņēmējdarbības sektoriem</w:t>
      </w:r>
      <w:r w:rsidR="006A7707" w:rsidRPr="00A46CC4">
        <w:t xml:space="preserve"> ir laba sadarbība</w:t>
      </w:r>
      <w:r w:rsidRPr="00A46CC4">
        <w:t xml:space="preserve">, t.sk. </w:t>
      </w:r>
      <w:r w:rsidR="006A7707" w:rsidRPr="00A46CC4">
        <w:t xml:space="preserve">nacionālā līmenī </w:t>
      </w:r>
      <w:r w:rsidRPr="00A46CC4">
        <w:t xml:space="preserve">starp Baltijas valstīm. </w:t>
      </w:r>
    </w:p>
    <w:p w14:paraId="7DB3A12E" w14:textId="4B3393F3" w:rsidR="009920AE" w:rsidRPr="00A46CC4" w:rsidRDefault="009920AE" w:rsidP="00977BCE">
      <w:r w:rsidRPr="00A46CC4">
        <w:t>Zinātnes, valsts un uzņēmējdarbības pētnieciskie mērķi ir saskaņoti un nav pretrunā viens ar otru, tie tiek virzīti īstenošanai iesaistoties un sadarbojoties</w:t>
      </w:r>
      <w:r w:rsidR="006A7707" w:rsidRPr="00A46CC4">
        <w:t xml:space="preserve"> visām pusēm</w:t>
      </w:r>
      <w:r w:rsidRPr="00A46CC4">
        <w:t>.</w:t>
      </w:r>
      <w:r w:rsidR="00CD36E6" w:rsidRPr="00A46CC4">
        <w:t xml:space="preserve"> Pētījumu un inovāciju sasaiste ar politiku, sabiedrību un kopējiem Latvijas mērķiem visās tautsaimniecības nozarēs ir sasaistīti, viens otru papildinoši un nav pretrunā viens ar otru.</w:t>
      </w:r>
      <w:r w:rsidRPr="00A46CC4">
        <w:t xml:space="preserve"> Pētniecībā un attīstībā ir kompetentas un spēcīgas apvienības, kas veicina komunikāciju, šādi arī stimulējot kopējos un privātā sektora ieguldījumus pētniecībā un attīstībā. Ir pieejams atbalsts ne tikai pētniecības iestādēm, bet arī uzņēmumiem jaunu risinājumu attīstībai un ieviešanai. Ir panākta būtiska publisko līdzekļu piesaiste.</w:t>
      </w:r>
    </w:p>
    <w:p w14:paraId="6F3B5C24" w14:textId="77777777" w:rsidR="009920AE" w:rsidRPr="00A46CC4" w:rsidRDefault="009920AE" w:rsidP="00977BCE">
      <w:r w:rsidRPr="00A46CC4">
        <w:t xml:space="preserve">Valsts sniedz būtisku ieguldījumu iedzīvotāju prasmju attīstībā darbam ar inovatīvām tehnoloģijām un spējai pielāgoties tirgus prasībām. Jaunu tehnoloģiju ieviešana un atbalsts tiek savienots ar mācību materiālu satura atjaunināšanu un pielāgošanu tā brīža aktualitātēm. </w:t>
      </w:r>
    </w:p>
    <w:p w14:paraId="534AC9C9" w14:textId="77777777" w:rsidR="009920AE" w:rsidRPr="00A46CC4" w:rsidRDefault="009920AE" w:rsidP="00BE0FD4">
      <w:pPr>
        <w:pStyle w:val="Subtitle"/>
        <w:numPr>
          <w:ilvl w:val="0"/>
          <w:numId w:val="3"/>
        </w:numPr>
      </w:pPr>
      <w:r w:rsidRPr="00A46CC4">
        <w:t>Iegūtās zināšanas tiek praktiski izmantotas - ir izveidota plaša zināšanu bāze, kas kalpo kā pamats klimata pārmaiņu mazināšanai un piesaistes nodrošināšanai.</w:t>
      </w:r>
    </w:p>
    <w:p w14:paraId="772C15D5" w14:textId="14BFAD4B" w:rsidR="009920AE" w:rsidRPr="00A46CC4" w:rsidRDefault="009920AE" w:rsidP="00977BCE">
      <w:r w:rsidRPr="00A46CC4">
        <w:t xml:space="preserve">Pieņemot politiskus lēmumus par valsts tālāko attīstību, ir pieejama aktuālākā informācija, kas kalpo kā pamats ilgtspējīgu lēmumu pieņemšanai. </w:t>
      </w:r>
      <w:r w:rsidR="00FA3015" w:rsidRPr="00A46CC4">
        <w:t xml:space="preserve">Informācija un nepieciešamie dati ir pieejami, pārskatāmi un izmantojami pētījumu un inovāciju attīstībai, veicināšanai un to novērtēšanai pēc ieviešanas. </w:t>
      </w:r>
      <w:r w:rsidRPr="00A46CC4">
        <w:t xml:space="preserve">Tiek uzturēta datu bāze, kur apkopota informācija par labo praksi par </w:t>
      </w:r>
      <w:r w:rsidRPr="00A46CC4">
        <w:lastRenderedPageBreak/>
        <w:t xml:space="preserve">tehnoloģiju ieviešanu, pētījumiem, metodēm un citu noderīgu pieredzi. Iegūtās zināšanas un prasmes tiek veiksmīgi pārnestas uz tautsaimniecības nozarēm. </w:t>
      </w:r>
      <w:r w:rsidR="0041728F" w:rsidRPr="00A46CC4">
        <w:t>Pētniecības un inovāciju jomas iegūtie rezultāti (produkti, pakalpojumi un metodes) sabiedrībā tiek ātri un efektīvi popularizēti, tiek veicināta šo zināšanu un izpratnes kapacitātes celšana.</w:t>
      </w:r>
    </w:p>
    <w:p w14:paraId="714E8935" w14:textId="77777777" w:rsidR="00E773F8" w:rsidRPr="00A46CC4" w:rsidRDefault="00E773F8">
      <w:r w:rsidRPr="00A46CC4">
        <w:br w:type="page"/>
      </w:r>
    </w:p>
    <w:p w14:paraId="6CF2A7C5" w14:textId="77777777" w:rsidR="00F32799" w:rsidRPr="00A46CC4" w:rsidRDefault="00897CC9" w:rsidP="001156EF">
      <w:pPr>
        <w:pStyle w:val="Heading1"/>
      </w:pPr>
      <w:bookmarkStart w:id="51" w:name="_Toc523217386"/>
      <w:r w:rsidRPr="00A46CC4">
        <w:lastRenderedPageBreak/>
        <w:t xml:space="preserve">Stratēģijas </w:t>
      </w:r>
      <w:r w:rsidR="00AE76C2" w:rsidRPr="00A46CC4">
        <w:t>īstenošana</w:t>
      </w:r>
      <w:r w:rsidR="004359BC" w:rsidRPr="00A46CC4">
        <w:t xml:space="preserve"> un pārskats</w:t>
      </w:r>
      <w:bookmarkEnd w:id="51"/>
    </w:p>
    <w:p w14:paraId="341B1199" w14:textId="2EBE89D8" w:rsidR="007C2490" w:rsidRPr="00A46CC4" w:rsidRDefault="00B30266" w:rsidP="00977BCE">
      <w:r w:rsidRPr="00A46CC4">
        <w:t xml:space="preserve">OMA stratēģijas īstenošana ir ilgtermiņa izaicinājums katram sociāli un ekonomiski aktīvajam </w:t>
      </w:r>
      <w:r w:rsidR="000574EC" w:rsidRPr="00A46CC4">
        <w:t>iedzīvotājam</w:t>
      </w:r>
      <w:r w:rsidR="005F1169">
        <w:t xml:space="preserve">. Stratēģijas īstenošana </w:t>
      </w:r>
      <w:r w:rsidRPr="00A46CC4">
        <w:t>prasīs neatlaidīb</w:t>
      </w:r>
      <w:r w:rsidR="00C82396" w:rsidRPr="00A46CC4">
        <w:t>u</w:t>
      </w:r>
      <w:r w:rsidRPr="00A46CC4">
        <w:t xml:space="preserve">, </w:t>
      </w:r>
      <w:r w:rsidR="00C82396" w:rsidRPr="00A46CC4">
        <w:t xml:space="preserve">pacietību </w:t>
      </w:r>
      <w:r w:rsidRPr="00A46CC4">
        <w:t xml:space="preserve">un </w:t>
      </w:r>
      <w:r w:rsidR="00C82396" w:rsidRPr="00A46CC4">
        <w:t xml:space="preserve">vēlmi </w:t>
      </w:r>
      <w:r w:rsidRPr="00A46CC4">
        <w:t>mainīties ne tikai no valsts, bet arī pašvaldībām, komersantiem, zinātniekiem, skolotājiem</w:t>
      </w:r>
      <w:r w:rsidR="00213DAA" w:rsidRPr="00A46CC4">
        <w:t>, vecākiem, bērniem</w:t>
      </w:r>
      <w:r w:rsidRPr="00A46CC4">
        <w:t xml:space="preserve"> un </w:t>
      </w:r>
      <w:r w:rsidR="00C82396" w:rsidRPr="00A46CC4">
        <w:t>iedzīvotājiem</w:t>
      </w:r>
      <w:r w:rsidR="00213DAA" w:rsidRPr="00A46CC4">
        <w:t xml:space="preserve"> kopumā</w:t>
      </w:r>
      <w:r w:rsidRPr="00A46CC4">
        <w:t xml:space="preserve">. </w:t>
      </w:r>
      <w:r w:rsidR="00C82396" w:rsidRPr="00A46CC4">
        <w:t>Lai novērtētu stratēģijas ieviešanu</w:t>
      </w:r>
      <w:r w:rsidR="00774D75" w:rsidRPr="00A46CC4">
        <w:t>,</w:t>
      </w:r>
      <w:r w:rsidR="00C82396" w:rsidRPr="00A46CC4">
        <w:t xml:space="preserve"> </w:t>
      </w:r>
      <w:r w:rsidRPr="00A46CC4">
        <w:t>ir jānodrošina periodisks stratēģijas progresa pārskats un ieviešanas efektivitāte</w:t>
      </w:r>
      <w:r w:rsidR="007C2490" w:rsidRPr="00A46CC4">
        <w:t>s novērtējums</w:t>
      </w:r>
      <w:r w:rsidR="00172141" w:rsidRPr="00A46CC4">
        <w:t xml:space="preserve">. </w:t>
      </w:r>
      <w:r w:rsidRPr="00A46CC4">
        <w:t xml:space="preserve"> </w:t>
      </w:r>
    </w:p>
    <w:p w14:paraId="0D7EFD1E" w14:textId="6C8A414B" w:rsidR="00C10DEF" w:rsidRPr="00A46CC4" w:rsidRDefault="00FD633D" w:rsidP="001156EF">
      <w:pPr>
        <w:pStyle w:val="Heading2"/>
      </w:pPr>
      <w:bookmarkStart w:id="52" w:name="_Toc523217387"/>
      <w:r w:rsidRPr="00A46CC4">
        <w:rPr>
          <w:lang w:val="lv-LV"/>
        </w:rPr>
        <w:t>6</w:t>
      </w:r>
      <w:r w:rsidR="00567F3A">
        <w:t>.1. </w:t>
      </w:r>
      <w:r w:rsidR="00960A69" w:rsidRPr="00A46CC4">
        <w:t>Stratēģijas īstenošan</w:t>
      </w:r>
      <w:r w:rsidR="00342131" w:rsidRPr="00A46CC4">
        <w:t>ā iesaistītās puses</w:t>
      </w:r>
      <w:bookmarkEnd w:id="52"/>
    </w:p>
    <w:p w14:paraId="5BC115E7" w14:textId="77777777" w:rsidR="00DE5577" w:rsidRPr="00A46CC4" w:rsidRDefault="00DE5577" w:rsidP="00BE0FD4">
      <w:pPr>
        <w:pStyle w:val="Subtitle"/>
        <w:numPr>
          <w:ilvl w:val="0"/>
          <w:numId w:val="3"/>
        </w:numPr>
      </w:pPr>
      <w:r w:rsidRPr="00A46CC4">
        <w:t xml:space="preserve">Valsts pārvalde ir pilnveidojusi un attīstījusi katras </w:t>
      </w:r>
      <w:r w:rsidR="000574EC" w:rsidRPr="00A46CC4">
        <w:t xml:space="preserve">tautsaimniecības </w:t>
      </w:r>
      <w:r w:rsidRPr="00A46CC4">
        <w:t xml:space="preserve">nozares politikas plānošanas </w:t>
      </w:r>
      <w:r w:rsidR="000574EC" w:rsidRPr="00A46CC4">
        <w:t xml:space="preserve">dokumentus </w:t>
      </w:r>
      <w:r w:rsidRPr="00A46CC4">
        <w:t xml:space="preserve">un normatīvos </w:t>
      </w:r>
      <w:r w:rsidR="000574EC" w:rsidRPr="00A46CC4">
        <w:t>aktus</w:t>
      </w:r>
      <w:r w:rsidRPr="00A46CC4">
        <w:t xml:space="preserve">, lai tie </w:t>
      </w:r>
      <w:r w:rsidR="000574EC" w:rsidRPr="00A46CC4">
        <w:t xml:space="preserve">būtu saskaņā ar </w:t>
      </w:r>
      <w:r w:rsidRPr="00A46CC4">
        <w:t>stratēģijā deklarētajiem mērķiem un uzdevumiem</w:t>
      </w:r>
    </w:p>
    <w:p w14:paraId="19722CFE" w14:textId="447C2F1D" w:rsidR="00062519" w:rsidRPr="00A46CC4" w:rsidRDefault="00062519" w:rsidP="00977BCE">
      <w:r w:rsidRPr="00A46CC4">
        <w:t>OMA stratēģiju īsteno, sagatavojot un ieviešot nacionālos klimata u</w:t>
      </w:r>
      <w:r w:rsidR="00567F3A">
        <w:t>n enerģētikas plānus līdz 2030. </w:t>
      </w:r>
      <w:r w:rsidRPr="00A46CC4">
        <w:t xml:space="preserve">gadam ar skatījumu uz 2050. gadu, kuru nepieciešamību nosaka </w:t>
      </w:r>
      <w:r w:rsidR="00B17758">
        <w:t xml:space="preserve">ES </w:t>
      </w:r>
      <w:r w:rsidRPr="00A46CC4">
        <w:t>Enerģētikas Savienība</w:t>
      </w:r>
      <w:r w:rsidR="00B17758">
        <w:t>s pārvaldības regula</w:t>
      </w:r>
      <w:r w:rsidR="00D2035A">
        <w:t>s projekts</w:t>
      </w:r>
      <w:bookmarkStart w:id="53" w:name="_GoBack"/>
      <w:bookmarkEnd w:id="53"/>
      <w:r w:rsidRPr="00A46CC4">
        <w:t xml:space="preserve">. Plāni aptvers </w:t>
      </w:r>
      <w:r w:rsidR="0043123E">
        <w:t>piecas</w:t>
      </w:r>
      <w:r w:rsidR="0043123E" w:rsidRPr="00A46CC4">
        <w:t xml:space="preserve"> </w:t>
      </w:r>
      <w:r w:rsidRPr="00A46CC4">
        <w:t>dimensijas</w:t>
      </w:r>
      <w:r w:rsidR="00567F3A">
        <w:t> </w:t>
      </w:r>
      <w:r w:rsidRPr="00A46CC4">
        <w:t>–</w:t>
      </w:r>
      <w:r w:rsidR="00567F3A">
        <w:t> </w:t>
      </w:r>
      <w:r w:rsidRPr="00A46CC4">
        <w:t xml:space="preserve">enerģētiskā drošība, solidaritāte un uzticēšanās; pilnībā integrēts Eiropas iekšējais enerģijas tirgus; energoefektivitāte (t.sk. transportā); ekonomikas dekarbonizācija; pētniecība, inovācija un konkurētspēja. </w:t>
      </w:r>
    </w:p>
    <w:p w14:paraId="4C34B93B" w14:textId="27DAA32E" w:rsidR="00977BCE" w:rsidRPr="00A46CC4" w:rsidRDefault="00DF5CD3" w:rsidP="00977BCE">
      <w:pPr>
        <w:pStyle w:val="Subtitle"/>
        <w:rPr>
          <w:b w:val="0"/>
        </w:rPr>
      </w:pPr>
      <w:r w:rsidRPr="00A46CC4">
        <w:rPr>
          <w:b w:val="0"/>
        </w:rPr>
        <w:t>Ievērojot jaunākās zinātnes atziņas, ir izstrādāta normatīvo aktu bāze, vadlīnijas un citi metodiskie materiāli Zaļā publiskā</w:t>
      </w:r>
      <w:r w:rsidR="00774D75" w:rsidRPr="00A46CC4">
        <w:rPr>
          <w:b w:val="0"/>
        </w:rPr>
        <w:t xml:space="preserve"> iepirkuma</w:t>
      </w:r>
      <w:r w:rsidRPr="00A46CC4">
        <w:rPr>
          <w:b w:val="0"/>
        </w:rPr>
        <w:t xml:space="preserve"> (</w:t>
      </w:r>
      <w:r w:rsidR="00774D75" w:rsidRPr="00A46CC4">
        <w:rPr>
          <w:b w:val="0"/>
        </w:rPr>
        <w:t>turpmāk</w:t>
      </w:r>
      <w:r w:rsidR="00567F3A">
        <w:rPr>
          <w:b w:val="0"/>
        </w:rPr>
        <w:t> </w:t>
      </w:r>
      <w:r w:rsidR="00774D75" w:rsidRPr="00A46CC4">
        <w:rPr>
          <w:b w:val="0"/>
        </w:rPr>
        <w:t>–</w:t>
      </w:r>
      <w:r w:rsidR="00567F3A">
        <w:rPr>
          <w:b w:val="0"/>
        </w:rPr>
        <w:t> </w:t>
      </w:r>
      <w:r w:rsidRPr="00A46CC4">
        <w:rPr>
          <w:b w:val="0"/>
        </w:rPr>
        <w:t>ZPI) un Zaļā iepirkuma (</w:t>
      </w:r>
      <w:r w:rsidR="00774D75" w:rsidRPr="00A46CC4">
        <w:rPr>
          <w:b w:val="0"/>
        </w:rPr>
        <w:t>turpmāk</w:t>
      </w:r>
      <w:r w:rsidR="00567F3A">
        <w:rPr>
          <w:b w:val="0"/>
        </w:rPr>
        <w:t> </w:t>
      </w:r>
      <w:r w:rsidR="00774D75" w:rsidRPr="00A46CC4">
        <w:rPr>
          <w:b w:val="0"/>
        </w:rPr>
        <w:t>–</w:t>
      </w:r>
      <w:r w:rsidR="00567F3A">
        <w:rPr>
          <w:b w:val="0"/>
        </w:rPr>
        <w:t> </w:t>
      </w:r>
      <w:r w:rsidRPr="00A46CC4">
        <w:rPr>
          <w:b w:val="0"/>
        </w:rPr>
        <w:t>ZI) piemērošanai. ZPI komponente tiek piemērota publiskajos iepirkumos maksimāli augstākajā iespējamajā līmenī. Sabiedrības attieksmes izmaiņas ir noteikušas, ka ievērojami pieaudzis arī ZI apjoms</w:t>
      </w:r>
      <w:r w:rsidR="00774D75" w:rsidRPr="00A46CC4">
        <w:rPr>
          <w:b w:val="0"/>
        </w:rPr>
        <w:t xml:space="preserve"> ikdienā</w:t>
      </w:r>
      <w:r w:rsidRPr="00A46CC4">
        <w:rPr>
          <w:b w:val="0"/>
        </w:rPr>
        <w:t>.</w:t>
      </w:r>
    </w:p>
    <w:p w14:paraId="1DB2E5AD" w14:textId="77777777" w:rsidR="00062519" w:rsidRPr="00A46CC4" w:rsidRDefault="00062519" w:rsidP="00BE0FD4">
      <w:pPr>
        <w:pStyle w:val="Subtitle"/>
        <w:numPr>
          <w:ilvl w:val="0"/>
          <w:numId w:val="3"/>
        </w:numPr>
      </w:pPr>
      <w:r w:rsidRPr="00A46CC4">
        <w:t>Pašvaldības attīstās ilgtspējīgi</w:t>
      </w:r>
      <w:r w:rsidR="000574EC" w:rsidRPr="00A46CC4">
        <w:t xml:space="preserve"> un ir nodrošinājušas</w:t>
      </w:r>
      <w:r w:rsidRPr="00A46CC4">
        <w:t xml:space="preserve"> SEG emisiju samazināšanu reģionos un oglekļa mazietilpīgu uzņēmumu attīstību (zaļā nodarbinātība)</w:t>
      </w:r>
    </w:p>
    <w:p w14:paraId="7321DE22" w14:textId="2CA08C27" w:rsidR="00062519" w:rsidRPr="00A46CC4" w:rsidRDefault="000574EC" w:rsidP="00977BCE">
      <w:r w:rsidRPr="00A46CC4">
        <w:t xml:space="preserve">Nozīmīga loma klimata pārmaiņu jomā ir arī plānošanas reģioniem, kas sadarbībā ar pašvaldībām un valsts pārvaldes iestādēm izstrādā ilgtermiņa un vidēja termiņa attīstības plānošanas dokumentus, tostarp reģionu ilgtspējīgas attīstības stratēģijas. </w:t>
      </w:r>
      <w:r w:rsidR="00062519" w:rsidRPr="00A46CC4">
        <w:t>Pašvaldības izstrādā savas ilgtspējīgas attīstības stratēģijas līdz 20</w:t>
      </w:r>
      <w:r w:rsidRPr="00A46CC4">
        <w:t>5</w:t>
      </w:r>
      <w:r w:rsidR="00062519" w:rsidRPr="00A46CC4">
        <w:t>0.</w:t>
      </w:r>
      <w:r w:rsidR="00567F3A">
        <w:t> </w:t>
      </w:r>
      <w:r w:rsidR="00062519" w:rsidRPr="00A46CC4">
        <w:t>gadam</w:t>
      </w:r>
      <w:r w:rsidR="00213DAA" w:rsidRPr="00A46CC4">
        <w:t xml:space="preserve"> un tās īsteno</w:t>
      </w:r>
      <w:r w:rsidRPr="00A46CC4">
        <w:t xml:space="preserve">, </w:t>
      </w:r>
      <w:r w:rsidR="00062519" w:rsidRPr="00A46CC4">
        <w:t>aptver</w:t>
      </w:r>
      <w:r w:rsidRPr="00A46CC4">
        <w:t>ot</w:t>
      </w:r>
      <w:r w:rsidR="00062519" w:rsidRPr="00A46CC4">
        <w:t xml:space="preserve"> visas </w:t>
      </w:r>
      <w:r w:rsidRPr="00A46CC4">
        <w:t xml:space="preserve">tautsaimniecības </w:t>
      </w:r>
      <w:r w:rsidR="00062519" w:rsidRPr="00A46CC4">
        <w:t xml:space="preserve">nozares un </w:t>
      </w:r>
      <w:r w:rsidRPr="00A46CC4">
        <w:t xml:space="preserve">iezīmējot </w:t>
      </w:r>
      <w:r w:rsidR="00062519" w:rsidRPr="00A46CC4">
        <w:t xml:space="preserve">pašvaldību attīstību ilgtermiņā. </w:t>
      </w:r>
    </w:p>
    <w:p w14:paraId="7553B8B5" w14:textId="1867CBD3" w:rsidR="00062519" w:rsidRPr="00A46CC4" w:rsidRDefault="00062519" w:rsidP="00977BCE">
      <w:r w:rsidRPr="00A46CC4">
        <w:t>Pašvaldības iesaistās starptautiskās klimata pārmaiņu iniciatīvās</w:t>
      </w:r>
      <w:r w:rsidR="00DF5CD3" w:rsidRPr="00A46CC4">
        <w:rPr>
          <w:rStyle w:val="FootnoteReference"/>
          <w:szCs w:val="24"/>
        </w:rPr>
        <w:footnoteReference w:id="37"/>
      </w:r>
      <w:r w:rsidR="00DF5CD3" w:rsidRPr="00A46CC4">
        <w:t xml:space="preserve"> un pārņem starptautisko pieredzi</w:t>
      </w:r>
      <w:r w:rsidR="00126B6F" w:rsidRPr="00A46CC4">
        <w:t>. Starptautiskā</w:t>
      </w:r>
      <w:r w:rsidR="00026C26" w:rsidRPr="00A46CC4">
        <w:t>s</w:t>
      </w:r>
      <w:r w:rsidR="00126B6F" w:rsidRPr="00A46CC4">
        <w:t xml:space="preserve"> </w:t>
      </w:r>
      <w:r w:rsidR="00026C26" w:rsidRPr="00A46CC4">
        <w:t>iniciatīvas</w:t>
      </w:r>
      <w:r w:rsidR="00126B6F" w:rsidRPr="00A46CC4">
        <w:t xml:space="preserve"> ļauj pašvaldībām sasniegt savus </w:t>
      </w:r>
      <w:r w:rsidR="00DF5CD3" w:rsidRPr="00A46CC4">
        <w:t>SEG emisiju samazināšan</w:t>
      </w:r>
      <w:r w:rsidR="00126B6F" w:rsidRPr="00A46CC4">
        <w:t>as mērķus</w:t>
      </w:r>
      <w:r w:rsidR="00DF5CD3" w:rsidRPr="00A46CC4">
        <w:t xml:space="preserve"> un</w:t>
      </w:r>
      <w:r w:rsidR="00026C26" w:rsidRPr="00A46CC4">
        <w:t xml:space="preserve"> demonstrēt</w:t>
      </w:r>
      <w:r w:rsidR="00DF5CD3" w:rsidRPr="00A46CC4">
        <w:t xml:space="preserve"> progresu šo mērķu sasniegšanā</w:t>
      </w:r>
      <w:r w:rsidRPr="00A46CC4">
        <w:t>.</w:t>
      </w:r>
      <w:r w:rsidR="00D32B08" w:rsidRPr="00A46CC4">
        <w:t xml:space="preserve"> Pašvaldības par aktivitātēm OMA īstenošanā informē iedzīvotājus.</w:t>
      </w:r>
      <w:r w:rsidRPr="00A46CC4">
        <w:t xml:space="preserve"> </w:t>
      </w:r>
    </w:p>
    <w:p w14:paraId="27E1E96C" w14:textId="77777777" w:rsidR="00D85B50" w:rsidRPr="00A46CC4" w:rsidRDefault="00D85B50" w:rsidP="00977BCE">
      <w:r w:rsidRPr="00A46CC4">
        <w:tab/>
      </w:r>
      <w:r w:rsidR="00DF5CD3" w:rsidRPr="00A46CC4">
        <w:t xml:space="preserve">Pašvaldību </w:t>
      </w:r>
      <w:r w:rsidR="00515901" w:rsidRPr="00A46CC4">
        <w:t>īstenotās aktivitātes un rīkotie publiskie pasākumi tiek īstenoti,</w:t>
      </w:r>
      <w:r w:rsidR="00DF5CD3" w:rsidRPr="00A46CC4">
        <w:t xml:space="preserve"> ievēro</w:t>
      </w:r>
      <w:r w:rsidR="00515901" w:rsidRPr="00A46CC4">
        <w:t>jot</w:t>
      </w:r>
      <w:r w:rsidR="00DF5CD3" w:rsidRPr="00A46CC4">
        <w:t xml:space="preserve"> ilgtspējīgas attīstības mērķus. Šie pasākumi ir izglītojoši un parāda labo piemēru kā rīkoties ar resursiem un patēriņu.</w:t>
      </w:r>
    </w:p>
    <w:p w14:paraId="20C49CD8" w14:textId="77777777" w:rsidR="00062519" w:rsidRPr="00A46CC4" w:rsidRDefault="00062519" w:rsidP="00BE0FD4">
      <w:pPr>
        <w:pStyle w:val="Subtitle"/>
        <w:numPr>
          <w:ilvl w:val="0"/>
          <w:numId w:val="3"/>
        </w:numPr>
      </w:pPr>
      <w:r w:rsidRPr="00A46CC4">
        <w:t xml:space="preserve">Komersanti </w:t>
      </w:r>
      <w:r w:rsidR="002B1476" w:rsidRPr="00A46CC4">
        <w:t xml:space="preserve">ir </w:t>
      </w:r>
      <w:r w:rsidRPr="00A46CC4">
        <w:t>aktīvi iesaist</w:t>
      </w:r>
      <w:r w:rsidR="002B1476" w:rsidRPr="00A46CC4">
        <w:t>ījušies</w:t>
      </w:r>
      <w:r w:rsidRPr="00A46CC4">
        <w:t xml:space="preserve"> jaunu, inovatīvu un ilgtspējīgu produktu </w:t>
      </w:r>
      <w:r w:rsidR="002B1476" w:rsidRPr="00A46CC4">
        <w:t xml:space="preserve">attīstīšanā </w:t>
      </w:r>
      <w:r w:rsidRPr="00A46CC4">
        <w:t xml:space="preserve">un veido videi draudzīgus uzņēmumus </w:t>
      </w:r>
    </w:p>
    <w:p w14:paraId="70AF1DF0" w14:textId="262D8325" w:rsidR="00931EDB" w:rsidRPr="00A46CC4" w:rsidRDefault="00062519" w:rsidP="00977BCE">
      <w:r w:rsidRPr="00A46CC4">
        <w:t>OMA stratēģijai ir jāveicina Latvijas SEG emisiju samazināšan</w:t>
      </w:r>
      <w:r w:rsidR="002B1476" w:rsidRPr="00A46CC4">
        <w:t>u</w:t>
      </w:r>
      <w:r w:rsidRPr="00A46CC4">
        <w:t xml:space="preserve">, nemazinot Latvijas ekonomisko konkurētspēju. </w:t>
      </w:r>
      <w:r w:rsidR="002B1476" w:rsidRPr="00A46CC4">
        <w:t>S</w:t>
      </w:r>
      <w:r w:rsidRPr="00A46CC4">
        <w:t>tratēģija rada vid</w:t>
      </w:r>
      <w:r w:rsidR="002B1476" w:rsidRPr="00A46CC4">
        <w:t>i</w:t>
      </w:r>
      <w:r w:rsidRPr="00A46CC4">
        <w:t xml:space="preserve"> esošo uzņēmumu stabilitātei un izaugsmei, kā arī veicina jaunu, inovatīvu, ilgtspējīgu un videi draudzīgu uzņēmumu veidošan</w:t>
      </w:r>
      <w:r w:rsidR="00026C26" w:rsidRPr="00A46CC4">
        <w:t>os</w:t>
      </w:r>
      <w:r w:rsidRPr="00A46CC4">
        <w:t>.</w:t>
      </w:r>
      <w:r w:rsidR="002945B4" w:rsidRPr="00A46CC4">
        <w:t xml:space="preserve"> Arvien vairāk iedzīvotāju ir nodarbināti “zaļajās” darbavietās, kas ražo </w:t>
      </w:r>
      <w:r w:rsidR="00931EDB" w:rsidRPr="00A46CC4">
        <w:t>videi draudzīgus produktus.</w:t>
      </w:r>
      <w:r w:rsidRPr="00A46CC4">
        <w:t xml:space="preserve"> </w:t>
      </w:r>
      <w:r w:rsidR="00931EDB" w:rsidRPr="00A46CC4">
        <w:t xml:space="preserve">Privātie uzņēmumi arvien vairāk savā darbībā pielieto </w:t>
      </w:r>
      <w:r w:rsidR="001A3E42" w:rsidRPr="00A46CC4">
        <w:t>ZI</w:t>
      </w:r>
      <w:r w:rsidR="00931EDB" w:rsidRPr="00A46CC4">
        <w:t xml:space="preserve"> praksi, lai samazinātu savu ietekmi uz vidi.</w:t>
      </w:r>
      <w:r w:rsidR="00D32B08" w:rsidRPr="00A46CC4">
        <w:t xml:space="preserve"> </w:t>
      </w:r>
      <w:r w:rsidRPr="00A46CC4">
        <w:t xml:space="preserve">Valsts un pašvaldības sniedz padziļinātu atbalstu jaunajiem uzņēmējiem, lai </w:t>
      </w:r>
      <w:r w:rsidR="002B1476" w:rsidRPr="00A46CC4">
        <w:t xml:space="preserve">veicinātu </w:t>
      </w:r>
      <w:r w:rsidRPr="00A46CC4">
        <w:t xml:space="preserve">ekonomisko </w:t>
      </w:r>
      <w:r w:rsidR="002B1476" w:rsidRPr="00A46CC4">
        <w:lastRenderedPageBreak/>
        <w:t xml:space="preserve">attīstību </w:t>
      </w:r>
      <w:r w:rsidRPr="00A46CC4">
        <w:t>un aktivitāti.</w:t>
      </w:r>
      <w:r w:rsidR="00931EDB" w:rsidRPr="00A46CC4">
        <w:t xml:space="preserve"> </w:t>
      </w:r>
      <w:r w:rsidRPr="00A46CC4">
        <w:t xml:space="preserve">Ilgtspējīgas uzņēmējdarbības atbalstam ir pieejams finansējums no </w:t>
      </w:r>
      <w:r w:rsidR="006A5B2D" w:rsidRPr="00A46CC4">
        <w:t>dažādām valsts</w:t>
      </w:r>
      <w:r w:rsidR="003D744B" w:rsidRPr="00A46CC4">
        <w:t>, Eiropas Savienības</w:t>
      </w:r>
      <w:r w:rsidRPr="00A46CC4">
        <w:t xml:space="preserve"> un privātām finanšu institūcijām</w:t>
      </w:r>
      <w:r w:rsidR="003D744B" w:rsidRPr="00A46CC4">
        <w:t xml:space="preserve"> un instrumentiem</w:t>
      </w:r>
      <w:r w:rsidRPr="00A46CC4">
        <w:t>.</w:t>
      </w:r>
    </w:p>
    <w:p w14:paraId="091C6B57" w14:textId="77777777" w:rsidR="00062519" w:rsidRPr="00A46CC4" w:rsidRDefault="00931EDB" w:rsidP="00977BCE">
      <w:r w:rsidRPr="00A46CC4">
        <w:t xml:space="preserve">Uzņēmējdarbības stabila un ilgtspējīga attīstība ir priekšnoteikums Latvijas iedzīvotāju labklājībai un sakārtotai videi. </w:t>
      </w:r>
    </w:p>
    <w:p w14:paraId="224E927E" w14:textId="77777777" w:rsidR="00062519" w:rsidRPr="00A46CC4" w:rsidRDefault="00062519" w:rsidP="00BE0FD4">
      <w:pPr>
        <w:pStyle w:val="Subtitle"/>
        <w:numPr>
          <w:ilvl w:val="0"/>
          <w:numId w:val="3"/>
        </w:numPr>
      </w:pPr>
      <w:r w:rsidRPr="00A46CC4">
        <w:t>Izglītības sistēm</w:t>
      </w:r>
      <w:r w:rsidR="00F06E56" w:rsidRPr="00A46CC4">
        <w:t>ā</w:t>
      </w:r>
      <w:r w:rsidRPr="00A46CC4">
        <w:t xml:space="preserve"> ir </w:t>
      </w:r>
      <w:r w:rsidR="00F06E56" w:rsidRPr="00A46CC4">
        <w:t>iekļauti principi</w:t>
      </w:r>
      <w:r w:rsidRPr="00A46CC4">
        <w:t xml:space="preserve"> par ilgtspējīgu un klimatam draudzīgu attīstību</w:t>
      </w:r>
    </w:p>
    <w:p w14:paraId="3B56B3DB" w14:textId="565AFA9B" w:rsidR="00061D79" w:rsidRPr="00A46CC4" w:rsidRDefault="00061D79" w:rsidP="00977BCE">
      <w:r w:rsidRPr="00A46CC4">
        <w:t xml:space="preserve">Izglītība un informētība par klimata jautājumiem ir </w:t>
      </w:r>
      <w:r w:rsidR="00F06E56" w:rsidRPr="00A46CC4">
        <w:t>svarīga</w:t>
      </w:r>
      <w:r w:rsidRPr="00A46CC4">
        <w:t xml:space="preserve"> ikviena</w:t>
      </w:r>
      <w:r w:rsidR="00F06E56" w:rsidRPr="00A46CC4">
        <w:t>i</w:t>
      </w:r>
      <w:r w:rsidRPr="00A46CC4">
        <w:t xml:space="preserve"> sabiedrības daļa</w:t>
      </w:r>
      <w:r w:rsidR="00F06E56" w:rsidRPr="00A46CC4">
        <w:t>i</w:t>
      </w:r>
      <w:r w:rsidRPr="00A46CC4">
        <w:t>. Sabiedrība kopumā ir izglītota un izprot klimata politikas jautājumus, galvenokārt cēloņus un sekas, līdz ar to</w:t>
      </w:r>
      <w:r w:rsidR="00D32B08" w:rsidRPr="00A46CC4">
        <w:t>,</w:t>
      </w:r>
      <w:r w:rsidRPr="00A46CC4">
        <w:t xml:space="preserve"> veicot izvēli par </w:t>
      </w:r>
      <w:r w:rsidR="00D32B08" w:rsidRPr="00A46CC4">
        <w:t xml:space="preserve">savu rīcību </w:t>
      </w:r>
      <w:r w:rsidRPr="00A46CC4">
        <w:t xml:space="preserve">un aktivitāti, izvēlas pēc principa, kas atbilst OMA stratēģijas mērķiem. Sabiedrība izprot, ka, piemēram, veicot pirkuma izvēli, tie </w:t>
      </w:r>
      <w:r w:rsidR="00795064" w:rsidRPr="00A46CC4">
        <w:t>“</w:t>
      </w:r>
      <w:r w:rsidRPr="00A46CC4">
        <w:t>balso</w:t>
      </w:r>
      <w:r w:rsidR="00795064" w:rsidRPr="00A46CC4">
        <w:t xml:space="preserve"> PAR” un atbalsta</w:t>
      </w:r>
      <w:r w:rsidRPr="00A46CC4">
        <w:t xml:space="preserve"> s</w:t>
      </w:r>
      <w:r w:rsidR="00795064" w:rsidRPr="00A46CC4">
        <w:t>avu</w:t>
      </w:r>
      <w:r w:rsidRPr="00A46CC4">
        <w:t xml:space="preserve"> </w:t>
      </w:r>
      <w:r w:rsidR="00795064" w:rsidRPr="00A46CC4">
        <w:t xml:space="preserve">izvēlēto </w:t>
      </w:r>
      <w:r w:rsidRPr="00A46CC4">
        <w:t xml:space="preserve">produktu un pakalpojumu, līdz ar to arī </w:t>
      </w:r>
      <w:r w:rsidR="00795064" w:rsidRPr="00A46CC4">
        <w:t xml:space="preserve">patērētājs </w:t>
      </w:r>
      <w:r w:rsidRPr="00A46CC4">
        <w:t>uzņ</w:t>
      </w:r>
      <w:r w:rsidR="00795064" w:rsidRPr="00A46CC4">
        <w:t>emas</w:t>
      </w:r>
      <w:r w:rsidRPr="00A46CC4">
        <w:t xml:space="preserve"> atbildību pret vidi</w:t>
      </w:r>
      <w:r w:rsidR="00795064" w:rsidRPr="00A46CC4">
        <w:t>, ne tikai ražotājs</w:t>
      </w:r>
      <w:r w:rsidRPr="00A46CC4">
        <w:t xml:space="preserve">. Sabiedrība </w:t>
      </w:r>
      <w:r w:rsidR="00795064" w:rsidRPr="00A46CC4">
        <w:t>ir izglītota un izprot</w:t>
      </w:r>
      <w:r w:rsidRPr="00A46CC4">
        <w:t xml:space="preserve">, ka pieprasījums veido piedāvājumu, tādēļ </w:t>
      </w:r>
      <w:r w:rsidR="00795064" w:rsidRPr="00A46CC4">
        <w:t>izvēlas</w:t>
      </w:r>
      <w:r w:rsidRPr="00A46CC4">
        <w:t xml:space="preserve"> kvalitāti un ilgtspējī</w:t>
      </w:r>
      <w:r w:rsidR="00795064" w:rsidRPr="00A46CC4">
        <w:t>gu piedāvājumu</w:t>
      </w:r>
      <w:r w:rsidRPr="00A46CC4">
        <w:t>,</w:t>
      </w:r>
      <w:r w:rsidR="00795064" w:rsidRPr="00A46CC4">
        <w:t xml:space="preserve"> Ikvienam ir pieejama informācija par cēloņiem un sekām, arī par alternatīviem risinājumiem kā dzīvot saskaņā ar OMA stratēģijas mērķiem.</w:t>
      </w:r>
    </w:p>
    <w:p w14:paraId="083EA85C" w14:textId="77777777" w:rsidR="00EF4E24" w:rsidRPr="00A46CC4" w:rsidRDefault="00EF4E24" w:rsidP="00EF4E24">
      <w:r w:rsidRPr="00A46CC4">
        <w:t>Visā izglītības sistēmā ir integrēta informācija par OMA un rīcību šo mērķu sasniegšanai, par cēloņiem un sekām, kas pamato OMA nepieciešamību. Visas izglītības iestādes arī ikdienas darbā praktiski demonstrē OMA principus, pievēršot uzmanību energoefektivitātei, mājās un darbavietās, enerģijas patēriņam, tehnoloģijām un iekārtām, kā arī resursu patēriņam un atkritumiem.</w:t>
      </w:r>
    </w:p>
    <w:p w14:paraId="66CD960E" w14:textId="1D3ED3BE" w:rsidR="00EF4E24" w:rsidRPr="00A46CC4" w:rsidRDefault="00EF4E24" w:rsidP="00EF4E24">
      <w:r w:rsidRPr="00A46CC4">
        <w:t xml:space="preserve">Sabiedrības izpratne par klimata jautājumiem un energoefektivitāti ir cieši saistīta ar informācijas kampaņām un izglītību. Izglītības sistēma Latvijā paredz, ka jau no mazotnes bērniem tiek mācīti ilgtspējīgas attīstības principi. Ikvienam ir informācija un pieejami pasākumi un aktivitātes, kas izglīto par OMA principiem. </w:t>
      </w:r>
    </w:p>
    <w:p w14:paraId="78027F9C" w14:textId="77777777" w:rsidR="00062519" w:rsidRPr="00A46CC4" w:rsidRDefault="00062519" w:rsidP="00BE0FD4">
      <w:pPr>
        <w:pStyle w:val="Subtitle"/>
        <w:numPr>
          <w:ilvl w:val="0"/>
          <w:numId w:val="3"/>
        </w:numPr>
      </w:pPr>
      <w:r w:rsidRPr="00A46CC4">
        <w:t>Mājsaimniecības aktīvi izmanto un ievieš ilgtspējīgas attīstības principus</w:t>
      </w:r>
      <w:r w:rsidR="00795064" w:rsidRPr="00A46CC4">
        <w:t xml:space="preserve"> OMA mērķu sasniegšanai</w:t>
      </w:r>
    </w:p>
    <w:p w14:paraId="12E66C6D" w14:textId="5344E119" w:rsidR="006D393D" w:rsidRPr="00A46CC4" w:rsidRDefault="006D393D" w:rsidP="00977BCE">
      <w:r w:rsidRPr="00A46CC4">
        <w:t>Mājsaimniecības ir sektors, kas skar ikvienu iedzīvotāju. Ikviena mājsaimniecība ir atbildīga par mājokļa</w:t>
      </w:r>
      <w:r w:rsidR="0096564E" w:rsidRPr="00A46CC4">
        <w:t>,</w:t>
      </w:r>
      <w:r w:rsidRPr="00A46CC4">
        <w:t xml:space="preserve"> izmantoto tehnoloģiju un ierīču energoefektivitāti,</w:t>
      </w:r>
      <w:r w:rsidR="0096564E" w:rsidRPr="00A46CC4">
        <w:t xml:space="preserve"> kā arī</w:t>
      </w:r>
      <w:r w:rsidRPr="00A46CC4">
        <w:t xml:space="preserve"> izvēlēto energoresursu </w:t>
      </w:r>
      <w:r w:rsidR="0096564E" w:rsidRPr="00A46CC4">
        <w:t xml:space="preserve">izmantošanas </w:t>
      </w:r>
      <w:r w:rsidRPr="00A46CC4">
        <w:t xml:space="preserve">paradumiem, </w:t>
      </w:r>
      <w:r w:rsidR="0096564E" w:rsidRPr="00A46CC4">
        <w:t>samazinot negatīvo ietekmi uz</w:t>
      </w:r>
      <w:r w:rsidRPr="00A46CC4">
        <w:t xml:space="preserve"> </w:t>
      </w:r>
      <w:r w:rsidR="0096564E" w:rsidRPr="00A46CC4">
        <w:t>vidi</w:t>
      </w:r>
      <w:r w:rsidRPr="00A46CC4">
        <w:t xml:space="preserve">. Mājsaimniecības viena otru izglīto un </w:t>
      </w:r>
      <w:r w:rsidR="003D15ED" w:rsidRPr="00A46CC4">
        <w:t xml:space="preserve">apmainās </w:t>
      </w:r>
      <w:r w:rsidRPr="00A46CC4">
        <w:t xml:space="preserve">ar zināšanām un pieredzi. </w:t>
      </w:r>
    </w:p>
    <w:p w14:paraId="2CDA42AD" w14:textId="4FCE0FE7" w:rsidR="00015B55" w:rsidRPr="00A46CC4" w:rsidRDefault="00015B55" w:rsidP="00977BCE">
      <w:r w:rsidRPr="00A46CC4">
        <w:t>Mājsaimniecības ir noteikušas savu „oglekļa pēdu”</w:t>
      </w:r>
      <w:r w:rsidR="00567F3A">
        <w:t> </w:t>
      </w:r>
      <w:r w:rsidR="00AD0F0F" w:rsidRPr="00A46CC4">
        <w:t>–</w:t>
      </w:r>
      <w:r w:rsidR="00567F3A">
        <w:t> </w:t>
      </w:r>
      <w:r w:rsidRPr="00A46CC4">
        <w:t>CO</w:t>
      </w:r>
      <w:r w:rsidRPr="00A46CC4">
        <w:rPr>
          <w:vertAlign w:val="subscript"/>
        </w:rPr>
        <w:t>2</w:t>
      </w:r>
      <w:r w:rsidRPr="00A46CC4">
        <w:t xml:space="preserve"> emisiju</w:t>
      </w:r>
      <w:r w:rsidR="001F2FB5" w:rsidRPr="00A46CC4">
        <w:t xml:space="preserve"> apjomu</w:t>
      </w:r>
      <w:r w:rsidRPr="00A46CC4">
        <w:t xml:space="preserve">, ko gada laikā rada viens indivīds vai produkts un rūpīgi seko, lai tā </w:t>
      </w:r>
      <w:r w:rsidR="00AD0F0F" w:rsidRPr="00A46CC4">
        <w:t>nepalielinātos</w:t>
      </w:r>
      <w:r w:rsidRPr="00A46CC4">
        <w:t>. Dabas līdzsvara, netraucētas resursu atjaunošanās un klimata pārmaiņu novēršanas nolūkos (pieņemot, ka jānodrošina pasaules vidējās temperatūras palielinājuma stabilizēšana 2°C robežās</w:t>
      </w:r>
      <w:r w:rsidR="0096564E" w:rsidRPr="00A46CC4">
        <w:t xml:space="preserve"> ar tālejošu mērķi 1,5°C robežās</w:t>
      </w:r>
      <w:r w:rsidRPr="00A46CC4">
        <w:t>) „oglekļa pēda” uz vienu iedzīvotāju nedrīkst pārsniegt 3 t</w:t>
      </w:r>
      <w:r w:rsidR="00D40568" w:rsidRPr="00A46CC4">
        <w:t xml:space="preserve"> CO</w:t>
      </w:r>
      <w:r w:rsidR="00D40568" w:rsidRPr="00A46CC4">
        <w:rPr>
          <w:vertAlign w:val="subscript"/>
        </w:rPr>
        <w:t>2 ekv</w:t>
      </w:r>
      <w:r w:rsidRPr="00A46CC4">
        <w:t>.</w:t>
      </w:r>
    </w:p>
    <w:p w14:paraId="4C3CBFB6" w14:textId="6932BAD9" w:rsidR="003444D5" w:rsidRPr="00A46CC4" w:rsidRDefault="00FD633D" w:rsidP="00977BCE">
      <w:pPr>
        <w:pStyle w:val="Heading2"/>
      </w:pPr>
      <w:bookmarkStart w:id="54" w:name="_Toc523217388"/>
      <w:r w:rsidRPr="00A46CC4">
        <w:rPr>
          <w:lang w:val="lv-LV"/>
        </w:rPr>
        <w:t>6</w:t>
      </w:r>
      <w:r w:rsidR="003A1E8B" w:rsidRPr="00A46CC4">
        <w:rPr>
          <w:lang w:val="lv-LV"/>
        </w:rPr>
        <w:t>.</w:t>
      </w:r>
      <w:r w:rsidR="001028B8" w:rsidRPr="00A46CC4">
        <w:rPr>
          <w:lang w:val="lv-LV"/>
        </w:rPr>
        <w:t>2</w:t>
      </w:r>
      <w:r w:rsidR="00CB5CAD">
        <w:rPr>
          <w:lang w:val="lv-LV"/>
        </w:rPr>
        <w:t>. </w:t>
      </w:r>
      <w:r w:rsidR="003A1E8B" w:rsidRPr="00A46CC4">
        <w:t>Strat</w:t>
      </w:r>
      <w:r w:rsidR="00342131" w:rsidRPr="00A46CC4">
        <w:t>ēģijas</w:t>
      </w:r>
      <w:r w:rsidR="00342131" w:rsidRPr="00A46CC4">
        <w:rPr>
          <w:lang w:val="lv-LV"/>
        </w:rPr>
        <w:t xml:space="preserve"> īstenošanā</w:t>
      </w:r>
      <w:r w:rsidR="003A1E8B" w:rsidRPr="00A46CC4">
        <w:t xml:space="preserve"> izmantojamie instrumenti</w:t>
      </w:r>
      <w:bookmarkEnd w:id="54"/>
    </w:p>
    <w:p w14:paraId="5193934A" w14:textId="648583BE" w:rsidR="00152A3C" w:rsidRPr="00A46CC4" w:rsidRDefault="00152A3C" w:rsidP="003A6A0B">
      <w:r w:rsidRPr="00A46CC4">
        <w:t>Stratēģijas īstenošanai izmantojamos instrumentus var iedalīt gan pēc būtības, gan pēc sasniedzamā mērķa. Balstoties uz esošo pieredzi</w:t>
      </w:r>
      <w:r w:rsidR="00B17758">
        <w:t>,</w:t>
      </w:r>
      <w:r w:rsidRPr="00A46CC4">
        <w:t xml:space="preserve"> ir lietderīgi izdalīt piecas instrumentu grupas: sabiedrības informēšana, tiesiskie akti un regulējošais ietvars, tirgus mehānismi, fiskālie instrumenti un finanšu instrumenti.</w:t>
      </w:r>
    </w:p>
    <w:p w14:paraId="2586667C" w14:textId="77777777" w:rsidR="00152A3C" w:rsidRPr="00A46CC4" w:rsidRDefault="00152A3C" w:rsidP="00BE0FD4">
      <w:pPr>
        <w:pStyle w:val="Subtitle"/>
        <w:numPr>
          <w:ilvl w:val="0"/>
          <w:numId w:val="3"/>
        </w:numPr>
      </w:pPr>
      <w:r w:rsidRPr="00A46CC4">
        <w:t>Sabiedrības informēšana</w:t>
      </w:r>
    </w:p>
    <w:p w14:paraId="30166C67" w14:textId="6A887AB3" w:rsidR="00152A3C" w:rsidRPr="00A46CC4" w:rsidRDefault="00152A3C">
      <w:r w:rsidRPr="00A46CC4">
        <w:t>Neskatoties uz pārliecinošiem pierādījumiem par klimata pārmaiņām un to negatīvo ietekmi uz vidi un cilvēku veselību, lielākā daļa iedzīvotāju joprojām nav pietiekami informēti par klimata pārmaiņām. Sabiedrības informēšana ir viens no galvenajiem veidiem, kā mainīt sabiedrības domāšanu un uzvedību, palielinot entuziasmu, veicinot mobilizāciju un rīcību, attiecībā uz klimata jautājumu problēmu risināšanu. Sabiedrības informēšana ir instruments, ar kuru tiek veicināta gan informētības līmeņa paaugstināšana par klimata pārmaiņām, gan skaidrota pasākumu nepieciešamība.</w:t>
      </w:r>
    </w:p>
    <w:p w14:paraId="67497E96" w14:textId="77777777" w:rsidR="00152A3C" w:rsidRPr="00A46CC4" w:rsidRDefault="00152A3C" w:rsidP="00BE0FD4">
      <w:pPr>
        <w:pStyle w:val="Subtitle"/>
        <w:numPr>
          <w:ilvl w:val="0"/>
          <w:numId w:val="3"/>
        </w:numPr>
      </w:pPr>
      <w:r w:rsidRPr="00A46CC4">
        <w:t>Tiesiskie akti un regulējošais ietvars</w:t>
      </w:r>
    </w:p>
    <w:p w14:paraId="098A3229" w14:textId="77777777" w:rsidR="00152A3C" w:rsidRPr="00A46CC4" w:rsidRDefault="00152A3C">
      <w:r w:rsidRPr="00A46CC4">
        <w:lastRenderedPageBreak/>
        <w:t>Tiesiskie akti un regulējošais ietvars ir jāaptver visi pārējie stratēģijas īstenošanā izmantojamie instrumenti. Normatīvie akti ir viens no veidiem kā reglamentēt visu pārējo instrumentu darbību un kuros var noteikt dažādu to elementu raksturlielumus. Papildus tie var noteikt nosacījumus, standartus, prasības un procesus, kas neietilpst citos šajā apakšnodaļā minētajos instrumentos. Tiesiskie akti un regulējošais ietvars var būt balstīts ne tikai uz normatīvajiem aktiem</w:t>
      </w:r>
      <w:r w:rsidR="00DA1DCA" w:rsidRPr="00A46CC4">
        <w:t>,</w:t>
      </w:r>
      <w:r w:rsidRPr="00A46CC4">
        <w:t xml:space="preserve"> ko izstrādā un apstiprina publiskais sektors, bet arī var tikt veidots uz brīvprātīgās vienošanos principa starp dažādām pusēm. </w:t>
      </w:r>
    </w:p>
    <w:p w14:paraId="15B3176E" w14:textId="77777777" w:rsidR="00152A3C" w:rsidRPr="00A46CC4" w:rsidRDefault="00152A3C" w:rsidP="00BE0FD4">
      <w:pPr>
        <w:pStyle w:val="Subtitle"/>
        <w:numPr>
          <w:ilvl w:val="0"/>
          <w:numId w:val="3"/>
        </w:numPr>
      </w:pPr>
      <w:r w:rsidRPr="00A46CC4">
        <w:t>Tirgus mehānismi</w:t>
      </w:r>
    </w:p>
    <w:p w14:paraId="129683D9" w14:textId="77777777" w:rsidR="00152A3C" w:rsidRPr="00A46CC4" w:rsidRDefault="00152A3C">
      <w:r w:rsidRPr="00A46CC4">
        <w:t xml:space="preserve">Ceļā uz OMA būtiska nozīme ir dažādu jaunu tirgus mehānismu ieviešanai un paralēli esošo tirgus mehānismu attīstīšanai un pilnveidošanai. Šobrīd Latvijai aktuāla ir dalība ES ETS. Esošā sistēma ir pilnveidota, bet darbs pie turpmākas pilnveidošanas ir jāturpina, lai pilnvērtīgi spētu palīdzēt sasniegt klimata mērķus. Tikai pie relatīvi augstas emisijas kvotas tirgojamo apjomu cenas ES ETS izpilda savu uzdevumu – veicināt operatorus veikt SEG emisiju samazinošus pasākumus. Ņemot vērā, ka būtiska loma ir tirgojamo atļauju apjomam un cenai tirgū, plānojot jaunus tirgus mehānismus, ir detalizēti jāplāno cirkulācijā esošo atļauju apjomi un to ietekme uz citiem tirgus mehānismiem. Papildus ES ETS, pasaulē darbojas vairākas emisiju tirdzniecības sistēmas, piemēram, Ķīnā, ASV, Korejā, Šveicē, Jaunzēlandē, Kanādā un Japānā. Līdz ar to uz 2050. gadu iespējams Latvijā varētu būt izveidota arī sava nacionālā emisiju tirdzniecības sistēma atbilstoši nacionālajām interesēm, piemēram, mežsaimniecības nozarē. Tāpat ir iespējams, ka nākotnē tiks izveidots vienots starptautisks tirgus mehānisms. </w:t>
      </w:r>
    </w:p>
    <w:p w14:paraId="334CC7BE" w14:textId="77777777" w:rsidR="00152A3C" w:rsidRPr="00A46CC4" w:rsidRDefault="00152A3C" w:rsidP="00BE0FD4">
      <w:pPr>
        <w:pStyle w:val="Subtitle"/>
        <w:numPr>
          <w:ilvl w:val="0"/>
          <w:numId w:val="3"/>
        </w:numPr>
      </w:pPr>
      <w:r w:rsidRPr="00A46CC4">
        <w:t>Fiskālie instrumenti</w:t>
      </w:r>
    </w:p>
    <w:p w14:paraId="2397886F" w14:textId="77777777" w:rsidR="00152A3C" w:rsidRPr="00A46CC4" w:rsidRDefault="00152A3C">
      <w:r w:rsidRPr="00A46CC4">
        <w:t>Galvenie fiskālie instrumenti OMA stratēģijas ieviešanai ir nodokļi un subsīdijas. Ir izdalāmas divu veidu nodokļu grupas: nodokļi, kuriem ir tieša ietekme uz SEG emisiju samazināšanu un nodokļi, kuri pastarpināti veicina SEG emisiju samazināšanu. SEG emisiju samazinoši nodokļi vai nodokļi, kuros, piemēram, CO</w:t>
      </w:r>
      <w:r w:rsidRPr="00A46CC4">
        <w:rPr>
          <w:vertAlign w:val="subscript"/>
        </w:rPr>
        <w:t>2</w:t>
      </w:r>
      <w:r w:rsidRPr="00A46CC4">
        <w:t xml:space="preserve"> ir nodokļa komponente ar tiešu ietekmi vislabāk nodrošina „piesārņotājs maksā” principa ieviešanu. Ceļā uz 2050. gadu nodokļu sistēma kopumā jāpārstrukturizē, tādā veidā, lai attiecīgo kategoriju nodokļu mērķu neatņemama sastāvdaļa būtu klimata pārmaiņu samazināšanas un pielāgošanās klimata pārmaiņām veicināšana. </w:t>
      </w:r>
      <w:r w:rsidR="00D05068" w:rsidRPr="00A46CC4">
        <w:t>Savukārt</w:t>
      </w:r>
      <w:r w:rsidRPr="00A46CC4">
        <w:t xml:space="preserve"> netiešās ietekmes nodokļi veicina SEG emisiju samazināšanu iedarbojoties uz resursiem, precēm un pakalpojumiem, kas tiek izmantoti procesos, kam ir būtiska nozīme SEG emisiju radīšanā. Šādā veidā tiek mazināts to </w:t>
      </w:r>
      <w:r w:rsidR="0046382C" w:rsidRPr="00A46CC4">
        <w:t>patēriņš</w:t>
      </w:r>
      <w:r w:rsidRPr="00A46CC4">
        <w:t xml:space="preserve">, vienlaicīgi stimulējot </w:t>
      </w:r>
      <w:r w:rsidR="00DA1DCA" w:rsidRPr="00A46CC4">
        <w:t>AER</w:t>
      </w:r>
      <w:r w:rsidRPr="00A46CC4">
        <w:t xml:space="preserve"> izmantošanu. </w:t>
      </w:r>
    </w:p>
    <w:p w14:paraId="0759DDF3" w14:textId="77777777" w:rsidR="00152A3C" w:rsidRPr="00A46CC4" w:rsidRDefault="00152A3C">
      <w:r w:rsidRPr="00A46CC4">
        <w:t xml:space="preserve">Mērķu sasniegšanai ir izmantojamas arī subsīdijas, atlaides, nodokļu atmaksas. Pilnībā jāatsakās no fosilo kurināmo subsīdijām, koncentrējoties un pārvirzoties uz </w:t>
      </w:r>
      <w:r w:rsidR="00DA1DCA" w:rsidRPr="00A46CC4">
        <w:t>AER</w:t>
      </w:r>
      <w:r w:rsidRPr="00A46CC4">
        <w:t xml:space="preserve"> atbalstu.</w:t>
      </w:r>
    </w:p>
    <w:p w14:paraId="1DA45BAB" w14:textId="77777777" w:rsidR="00152A3C" w:rsidRPr="00A46CC4" w:rsidRDefault="00152A3C" w:rsidP="00BE0FD4">
      <w:pPr>
        <w:pStyle w:val="Subtitle"/>
        <w:numPr>
          <w:ilvl w:val="0"/>
          <w:numId w:val="3"/>
        </w:numPr>
      </w:pPr>
      <w:r w:rsidRPr="00A46CC4">
        <w:t>Finanšu instrumenti</w:t>
      </w:r>
    </w:p>
    <w:p w14:paraId="086BEC12" w14:textId="77777777" w:rsidR="007A468D" w:rsidRDefault="00152A3C">
      <w:r w:rsidRPr="00A46CC4">
        <w:t>Finanšu instrumenti ir aizdevumi, granti, fondi, procentu likmes, riska kapitāls u.tml. Finanšu instrumenti ir jāuztver kā galvenais līdzeklis caur kuru ar publisko finansējumu maksimāli piesaistīt un aktivizēt pēc iespējas vairāk privāto kapitālu. No finansējuma saņēmēja viedokļa tradicionālie granti, kad publiskais finansējums tiek novirzīts, kādai programmai vai projektam ir pievilcīgas, taču tādā veidā daļa publiskā kapitāla tiek izņemti no apgrozības. Nākotnē jāorientējas vairāk uz dažādiem aizdevumiem un rotācijas fondiem, kas gūst aizvien lielāku popularitāti energoefektivitātes projektu finansēšanā. Aizdevumi un rotācijas fondi nodrošina publiskā kapitāla atgriešanos atpakaļ apritē, kā rezultātā ir iespēja finansēt jaunus projektus. Jāturpina attīstīt arī trešo pušu finansēšanu, piemēram, piesaistot energoservisa kompānijas (ESKO) vai pašvaldības energoservisa uzņēmumus (PEKO), kas investē enerģiju taupošos pasākumos un veiktās investīcijas atpelna no panāktā energoresursu ietaupījuma ilgtermiņā. Turklāt publiskajam sektoram strādājot pie finanšu instrumentu budžeta plānošanas, plānotās aktivitātes būtu cieši jāsasaista ar SEG emisiju uzskaiti.</w:t>
      </w:r>
      <w:r w:rsidR="007A468D">
        <w:t xml:space="preserve"> </w:t>
      </w:r>
    </w:p>
    <w:p w14:paraId="455D5EED" w14:textId="56A356E9" w:rsidR="00152A3C" w:rsidRPr="00567F3A" w:rsidRDefault="007A468D" w:rsidP="00567F3A">
      <w:r w:rsidRPr="00567F3A">
        <w:t>Latvijā būs nepieciešams aktīvi izmantot fondu pieejamo finansējumu, kura iestrādes redzamas priekšlikumā Eiropas Savienības daudzgadu budžetam 2021.</w:t>
      </w:r>
      <w:r w:rsidR="00567F3A">
        <w:t> </w:t>
      </w:r>
      <w:r w:rsidRPr="00567F3A">
        <w:t>–</w:t>
      </w:r>
      <w:r w:rsidR="00567F3A">
        <w:t> </w:t>
      </w:r>
      <w:r w:rsidRPr="00567F3A">
        <w:t>2027.</w:t>
      </w:r>
      <w:r w:rsidR="00567F3A">
        <w:t> </w:t>
      </w:r>
      <w:r w:rsidRPr="00567F3A">
        <w:t xml:space="preserve">gadam, kurā tiek izvirzīts mērķis vismaz 25% fondu finansējuma novirzīt klimata mērķu sasniegšanas veicināšanai </w:t>
      </w:r>
      <w:r w:rsidR="00567F3A">
        <w:lastRenderedPageBreak/>
        <w:t>(iepriekšējā periodā </w:t>
      </w:r>
      <w:r w:rsidRPr="00567F3A">
        <w:t>–</w:t>
      </w:r>
      <w:r w:rsidR="00567F3A">
        <w:t> </w:t>
      </w:r>
      <w:r w:rsidRPr="00567F3A">
        <w:t>20</w:t>
      </w:r>
      <w:r w:rsidR="00567F3A">
        <w:t> </w:t>
      </w:r>
      <w:r w:rsidRPr="00567F3A">
        <w:t>%). Klimata mērķu sasniegšanas veicināšanai paredzēts novirzīt konkrētu daļu pieejamā finansējuma dažādos fondos, piemēram, Eiropas Komisija ir integrējusi rīcību klimata jomā visās lielākajās ES budžeta izdevumu programmās</w:t>
      </w:r>
      <w:r w:rsidR="00567F3A">
        <w:t> </w:t>
      </w:r>
      <w:r w:rsidRPr="00567F3A">
        <w:t>–</w:t>
      </w:r>
      <w:r w:rsidR="00567F3A">
        <w:t> </w:t>
      </w:r>
      <w:r w:rsidRPr="00567F3A">
        <w:t xml:space="preserve">kohēzijas politikā, reģionālajā attīstībā, enerģētikā, transportā, zinātnē un inovācijā, kopējā lauksaimniecības politikā. </w:t>
      </w:r>
    </w:p>
    <w:p w14:paraId="18D86D13" w14:textId="18236ADD" w:rsidR="007A468D" w:rsidRPr="00567F3A" w:rsidRDefault="007A468D" w:rsidP="00567F3A">
      <w:r w:rsidRPr="00567F3A">
        <w:t xml:space="preserve">Papildus tam iesaistītajām nozaru ministrijām būs nepieciešams izvērtēt, cik lielā mērā tām ir iespējas esošo budžetu ietvaros novirzīt finansējumu OMA stratēģijā atbilstošo virzienu īstenošanas veicināšanai.  </w:t>
      </w:r>
    </w:p>
    <w:p w14:paraId="4DAD454A" w14:textId="557DC8F1" w:rsidR="007A468D" w:rsidRPr="00567F3A" w:rsidRDefault="007A468D" w:rsidP="00567F3A">
      <w:r w:rsidRPr="00567F3A">
        <w:t xml:space="preserve">Ļoti liela loma būs arī privātā finansējuma investīciju pārvirze saskaņā ar oglekļa mazietilpīgas attīstības principiem. Šobrīd nav veikti visaptveroši pētījumi, cik liels finansējums un investīcijas būs nepieciešamas OMA stratēģijā izvirzīto mērķu īstenošanai.  </w:t>
      </w:r>
    </w:p>
    <w:p w14:paraId="2A0F7F98" w14:textId="5A061871" w:rsidR="00960A69" w:rsidRPr="00A46CC4" w:rsidRDefault="00FD633D" w:rsidP="00977BCE">
      <w:pPr>
        <w:pStyle w:val="Heading2"/>
      </w:pPr>
      <w:bookmarkStart w:id="55" w:name="_Toc523217389"/>
      <w:r w:rsidRPr="00A46CC4">
        <w:rPr>
          <w:lang w:val="lv-LV"/>
        </w:rPr>
        <w:t>6</w:t>
      </w:r>
      <w:r w:rsidR="003A1E8B" w:rsidRPr="00A46CC4">
        <w:rPr>
          <w:lang w:val="lv-LV"/>
        </w:rPr>
        <w:t>.</w:t>
      </w:r>
      <w:r w:rsidR="001028B8" w:rsidRPr="00A46CC4">
        <w:rPr>
          <w:lang w:val="lv-LV"/>
        </w:rPr>
        <w:t>3</w:t>
      </w:r>
      <w:r w:rsidR="003A1E8B" w:rsidRPr="00A46CC4">
        <w:rPr>
          <w:lang w:val="lv-LV"/>
        </w:rPr>
        <w:t>.</w:t>
      </w:r>
      <w:r w:rsidR="00567F3A">
        <w:rPr>
          <w:lang w:val="lv-LV"/>
        </w:rPr>
        <w:t> </w:t>
      </w:r>
      <w:r w:rsidR="00960A69" w:rsidRPr="00A46CC4">
        <w:t>Stratēģijas pārskats</w:t>
      </w:r>
      <w:bookmarkEnd w:id="55"/>
    </w:p>
    <w:p w14:paraId="2F9EA75D" w14:textId="10D8248F" w:rsidR="007541D0" w:rsidRPr="00A46CC4" w:rsidRDefault="007C2490" w:rsidP="00977BCE">
      <w:r w:rsidRPr="00A46CC4">
        <w:t xml:space="preserve">OMA stratēģijas izvērtēšanai </w:t>
      </w:r>
      <w:r w:rsidR="00960A69" w:rsidRPr="00A46CC4">
        <w:t xml:space="preserve">VARAM ik pēc </w:t>
      </w:r>
      <w:r w:rsidR="00A514D3" w:rsidRPr="00A46CC4">
        <w:t xml:space="preserve">desmit </w:t>
      </w:r>
      <w:r w:rsidR="00960A69" w:rsidRPr="00A46CC4">
        <w:t>gadiem M</w:t>
      </w:r>
      <w:r w:rsidR="003157D8" w:rsidRPr="00A46CC4">
        <w:t>inistru Kabinetam</w:t>
      </w:r>
      <w:r w:rsidR="00960A69" w:rsidRPr="00A46CC4">
        <w:t xml:space="preserve"> iesniedz informatīvo ziņojumu par stratēģijas īstenošanas</w:t>
      </w:r>
      <w:r w:rsidR="00A514D3" w:rsidRPr="00A46CC4">
        <w:t xml:space="preserve"> </w:t>
      </w:r>
      <w:r w:rsidR="003157D8" w:rsidRPr="00A46CC4">
        <w:t xml:space="preserve">un indikatoru sasniegšanas </w:t>
      </w:r>
      <w:r w:rsidR="00960A69" w:rsidRPr="00A46CC4">
        <w:t>progresu</w:t>
      </w:r>
      <w:r w:rsidR="007541D0" w:rsidRPr="00A46CC4">
        <w:t>, kā arī par esošo pasākumu īstenošanas progresu un nepieciešamajiem papildus pasākumiem, ja</w:t>
      </w:r>
      <w:r w:rsidR="00C054A0" w:rsidRPr="00A46CC4">
        <w:t xml:space="preserve"> </w:t>
      </w:r>
      <w:r w:rsidR="007541D0" w:rsidRPr="00A46CC4">
        <w:t>stratēģijas īstenošana ir apdraudēta.</w:t>
      </w:r>
      <w:r w:rsidR="00960A69" w:rsidRPr="00A46CC4">
        <w:t xml:space="preserve"> </w:t>
      </w:r>
    </w:p>
    <w:p w14:paraId="748756A6" w14:textId="77D834FF" w:rsidR="00960A69" w:rsidRPr="00A46CC4" w:rsidRDefault="00960A69" w:rsidP="00977BCE">
      <w:r w:rsidRPr="00A46CC4">
        <w:t xml:space="preserve">Stratēģiju pārskata reizi </w:t>
      </w:r>
      <w:r w:rsidR="00CE5181" w:rsidRPr="00A46CC4">
        <w:t xml:space="preserve">piecos </w:t>
      </w:r>
      <w:r w:rsidR="00567F3A">
        <w:t>gados pēc nepieciešamības.</w:t>
      </w:r>
    </w:p>
    <w:p w14:paraId="07142388" w14:textId="77777777" w:rsidR="00E773F8" w:rsidRPr="00A46CC4" w:rsidRDefault="00E773F8">
      <w:pPr>
        <w:rPr>
          <w:szCs w:val="24"/>
        </w:rPr>
      </w:pPr>
      <w:r w:rsidRPr="00A46CC4">
        <w:rPr>
          <w:szCs w:val="24"/>
        </w:rPr>
        <w:br w:type="page"/>
      </w:r>
    </w:p>
    <w:p w14:paraId="2AA3CA63" w14:textId="77777777" w:rsidR="00F32799" w:rsidRPr="00A46CC4" w:rsidRDefault="004359BC" w:rsidP="001156EF">
      <w:pPr>
        <w:pStyle w:val="Heading1"/>
      </w:pPr>
      <w:bookmarkStart w:id="56" w:name="_Toc523217390"/>
      <w:r w:rsidRPr="00A46CC4">
        <w:lastRenderedPageBreak/>
        <w:t>Sabiedrības līdzdalība</w:t>
      </w:r>
      <w:bookmarkEnd w:id="56"/>
    </w:p>
    <w:p w14:paraId="6897F15C" w14:textId="77777777" w:rsidR="00F32799" w:rsidRPr="00A46CC4" w:rsidRDefault="004359BC" w:rsidP="00BE0FD4">
      <w:pPr>
        <w:pStyle w:val="Subtitle"/>
        <w:numPr>
          <w:ilvl w:val="0"/>
          <w:numId w:val="3"/>
        </w:numPr>
      </w:pPr>
      <w:r w:rsidRPr="00A46CC4">
        <w:t>Stratēģijas izstrādes sabiedriskā apspriešana</w:t>
      </w:r>
    </w:p>
    <w:p w14:paraId="28133582" w14:textId="77777777" w:rsidR="00295DBE" w:rsidRPr="00A46CC4" w:rsidRDefault="00295DBE" w:rsidP="00EF4E24">
      <w:r w:rsidRPr="00A46CC4">
        <w:t>Lai veicinātu sabiedrības informētību par OMA un nodrošinātu sabiedrības līdzdalību OMA stratēģijas veidošanā, veiktas aktivitātes Eiropas Ekonomikas zonas finanšu instrumenta 2009.</w:t>
      </w:r>
      <w:r w:rsidR="00DA1DCA" w:rsidRPr="00A46CC4">
        <w:t xml:space="preserve"> – </w:t>
      </w:r>
      <w:r w:rsidRPr="00A46CC4">
        <w:t>2014. gada programmas “Nacionālā klimata politika” iepriekš noteiktā projekta „Nacionālās sistēmas pilnveidošana siltumnīcefekta gāzu inventarizācijai un ziņošanai par politikām, pasākumiem un prognozēm” ietvaros.</w:t>
      </w:r>
    </w:p>
    <w:p w14:paraId="03F882F6" w14:textId="2DF27EA2" w:rsidR="00295DBE" w:rsidRPr="00A46CC4" w:rsidRDefault="00295DBE" w:rsidP="00EF4E24">
      <w:r w:rsidRPr="00A46CC4">
        <w:t>2016.</w:t>
      </w:r>
      <w:r w:rsidR="0075188B">
        <w:t> </w:t>
      </w:r>
      <w:r w:rsidRPr="00A46CC4">
        <w:t>gada 22.</w:t>
      </w:r>
      <w:r w:rsidR="0075188B">
        <w:t> </w:t>
      </w:r>
      <w:r w:rsidRPr="00A46CC4">
        <w:t>aprīlī, kontekstā ar Parīzes nolīguma parakstīšanu</w:t>
      </w:r>
      <w:r w:rsidR="002C0432" w:rsidRPr="00A46CC4">
        <w:t>, kas notika tajā pašā laikā</w:t>
      </w:r>
      <w:r w:rsidR="00AD0F0F" w:rsidRPr="00A46CC4">
        <w:t xml:space="preserve"> </w:t>
      </w:r>
      <w:r w:rsidRPr="00A46CC4">
        <w:t xml:space="preserve">Ņujorkā, notika VARAM organizēta publiskā diskusija par Latvijas nākotni jaunajā klimata realitātē, kuras ietvaros tika diskutēts arī par </w:t>
      </w:r>
      <w:r w:rsidR="00DA1DCA" w:rsidRPr="00A46CC4">
        <w:t>OMA</w:t>
      </w:r>
      <w:r w:rsidRPr="00A46CC4">
        <w:t xml:space="preserve"> stratēģiju 2050.</w:t>
      </w:r>
      <w:r w:rsidR="00DA1DCA" w:rsidRPr="00A46CC4">
        <w:t> </w:t>
      </w:r>
      <w:r w:rsidRPr="00A46CC4">
        <w:t>gadam. Pasākums tika organizēts minētā ietvaros, un to varēja vēr</w:t>
      </w:r>
      <w:r w:rsidR="009C2679" w:rsidRPr="00A46CC4">
        <w:t>ot tiešraidē VARAM, ziņu portālā</w:t>
      </w:r>
      <w:r w:rsidRPr="00A46CC4">
        <w:t xml:space="preserve"> Delfi.lv un Latvijas Darba devēju konfederācijas (LDDK) </w:t>
      </w:r>
      <w:r w:rsidR="00362F22">
        <w:t>tīmekļvietnēs</w:t>
      </w:r>
      <w:r w:rsidRPr="00A46CC4">
        <w:t>. Tajā piedalījās augsta līmeņa Ekonomiskās sadarbības un attīstības organizācijas (</w:t>
      </w:r>
      <w:r w:rsidRPr="0075188B">
        <w:rPr>
          <w:i/>
        </w:rPr>
        <w:t>Organisation for Economic Co-operation and Development</w:t>
      </w:r>
      <w:r w:rsidRPr="00A46CC4">
        <w:t xml:space="preserve"> </w:t>
      </w:r>
      <w:r w:rsidR="00AD0F0F" w:rsidRPr="00A46CC4">
        <w:t>–</w:t>
      </w:r>
      <w:r w:rsidRPr="00A46CC4">
        <w:t xml:space="preserve"> OECD) amatpersona – Vides direktorāta Klimata, bioloģiskās daudzveidības un ūdens nodaļas vadītājs, Igaunijas vides pētījumu centra pārstāvis, kā arī vairāki Latvijā atzīti vides eksperti un citi profesionālajās aprindās pazīstami cilvēki. </w:t>
      </w:r>
    </w:p>
    <w:p w14:paraId="6FC4DCD3" w14:textId="4AF0E03F" w:rsidR="00295DBE" w:rsidRPr="00A46CC4" w:rsidRDefault="00295DBE" w:rsidP="00EF4E24">
      <w:r w:rsidRPr="00A46CC4">
        <w:t xml:space="preserve">Diskusijas mērķis bija pievērst sabiedrības uzmanību Parīzes nolīguma nozīmībai un klimata pārmaiņu aktualitātei, kā arī pārrunāt, vai un kā Latvijai saistībā ar jauno klimata realitāti būtu jāmainās. Pasākumā tika sniegta informācija gan par klimata pārmaiņu liecībām un turpmāko attīstību pasaulē un Latvijā, gan arī par oglekļa mazietilpīgo attīstību un tās ieviešanu Latvijā. Ņemot vērā pasākuma pārraidi tiešsaistē vairākos kanālos, pasākums sasniedza ievērojamu sabiedrības uzmanību – pēc apkopotās statistikas datiem, to tiešsaistē noskatījās gandrīz </w:t>
      </w:r>
      <w:r w:rsidR="00362F22">
        <w:t>trīs</w:t>
      </w:r>
      <w:r w:rsidR="00362F22" w:rsidRPr="00A46CC4">
        <w:t xml:space="preserve"> </w:t>
      </w:r>
      <w:r w:rsidRPr="00A46CC4">
        <w:t xml:space="preserve">tūkstoši cilvēku.  </w:t>
      </w:r>
    </w:p>
    <w:p w14:paraId="6E58731A" w14:textId="15D7B119" w:rsidR="00295DBE" w:rsidRPr="00A46CC4" w:rsidRDefault="00295DBE" w:rsidP="00EF4E24">
      <w:r w:rsidRPr="00A46CC4">
        <w:t>2016.</w:t>
      </w:r>
      <w:r w:rsidR="0075188B">
        <w:t> </w:t>
      </w:r>
      <w:r w:rsidRPr="00A46CC4">
        <w:t>gada rudenī</w:t>
      </w:r>
      <w:r w:rsidR="00AD0F0F" w:rsidRPr="00A46CC4">
        <w:t xml:space="preserve"> </w:t>
      </w:r>
      <w:r w:rsidR="00A956C1" w:rsidRPr="00A46CC4">
        <w:t>un 2017.</w:t>
      </w:r>
      <w:r w:rsidR="0075188B">
        <w:t> </w:t>
      </w:r>
      <w:r w:rsidR="00A956C1" w:rsidRPr="00A46CC4">
        <w:t xml:space="preserve">gada sākumā </w:t>
      </w:r>
      <w:r w:rsidR="00AD0F0F" w:rsidRPr="00A46CC4">
        <w:t>tika</w:t>
      </w:r>
      <w:r w:rsidRPr="00A46CC4">
        <w:t xml:space="preserve"> īstenot</w:t>
      </w:r>
      <w:r w:rsidR="009C2679" w:rsidRPr="00A46CC4">
        <w:t>i</w:t>
      </w:r>
      <w:r w:rsidRPr="00A46CC4">
        <w:t xml:space="preserve"> </w:t>
      </w:r>
      <w:r w:rsidR="00362F22">
        <w:t>pieci</w:t>
      </w:r>
      <w:r w:rsidR="00362F22" w:rsidRPr="00A46CC4">
        <w:t xml:space="preserve"> </w:t>
      </w:r>
      <w:r w:rsidR="009C2679" w:rsidRPr="00A46CC4">
        <w:t xml:space="preserve">interaktīvi </w:t>
      </w:r>
      <w:r w:rsidRPr="00A46CC4">
        <w:t>seminār</w:t>
      </w:r>
      <w:r w:rsidR="009C2679" w:rsidRPr="00A46CC4">
        <w:t>i</w:t>
      </w:r>
      <w:r w:rsidRPr="00A46CC4">
        <w:t xml:space="preserve"> Latvijas reģionos </w:t>
      </w:r>
      <w:r w:rsidR="00AD0F0F" w:rsidRPr="00A46CC4">
        <w:t xml:space="preserve">Valmierā, Daugavpilī, </w:t>
      </w:r>
      <w:r w:rsidR="004833D0" w:rsidRPr="00A46CC4">
        <w:t>Jelgavā, Kuldīgā, , un Rīgā</w:t>
      </w:r>
      <w:r w:rsidRPr="00A46CC4">
        <w:t xml:space="preserve"> par klimata pārmaiņu samazināšanu un </w:t>
      </w:r>
      <w:r w:rsidR="00AD0F0F" w:rsidRPr="00A46CC4">
        <w:t>OMA</w:t>
      </w:r>
      <w:r w:rsidRPr="00A46CC4">
        <w:t xml:space="preserve"> līdz 2050.</w:t>
      </w:r>
      <w:r w:rsidR="00DA1DCA" w:rsidRPr="00A46CC4">
        <w:t> </w:t>
      </w:r>
      <w:r w:rsidRPr="00A46CC4">
        <w:t xml:space="preserve">gadam. Semināru mērķauditorija </w:t>
      </w:r>
      <w:r w:rsidR="00F521F5" w:rsidRPr="00A46CC4">
        <w:t xml:space="preserve">bija </w:t>
      </w:r>
      <w:r w:rsidRPr="00A46CC4">
        <w:t xml:space="preserve">galvenokārt pašvaldības, valsts iestāžu reģionālās filiāles, vietējo sabiedrības grupu līderi un komersanti, </w:t>
      </w:r>
      <w:r w:rsidR="00F521F5" w:rsidRPr="00A46CC4">
        <w:t xml:space="preserve">akadēmiskais personāls, </w:t>
      </w:r>
      <w:r w:rsidRPr="00A46CC4">
        <w:t xml:space="preserve">kā arī citi interesenti. </w:t>
      </w:r>
    </w:p>
    <w:p w14:paraId="52448E60" w14:textId="23D53A14" w:rsidR="00FB4DD8" w:rsidRDefault="00295DBE" w:rsidP="00EF4E24">
      <w:r w:rsidRPr="00A46CC4">
        <w:t xml:space="preserve">Projekta ietvaros sagatavots arī buklets par klimata pārmaiņu samazināšanas pasākumiem, tostarp </w:t>
      </w:r>
      <w:r w:rsidR="00F521F5" w:rsidRPr="00A46CC4">
        <w:t>OMA</w:t>
      </w:r>
      <w:r w:rsidRPr="00A46CC4">
        <w:t xml:space="preserve"> un tās aktualitāti Latvijā. Izdevum</w:t>
      </w:r>
      <w:r w:rsidR="00F521F5" w:rsidRPr="00A46CC4">
        <w:t>s</w:t>
      </w:r>
      <w:r w:rsidRPr="00A46CC4">
        <w:t xml:space="preserve"> </w:t>
      </w:r>
      <w:r w:rsidR="00F521F5" w:rsidRPr="00A46CC4">
        <w:t xml:space="preserve">brīvi pieejams elektroniski un papīra formātā to paredzēts </w:t>
      </w:r>
      <w:r w:rsidRPr="00A46CC4">
        <w:t>izplatīt VARAM pasākumos, vispārējās vidējās un augstākās izglītības iestādēs un ar klimata jautājumiem strādājošās nevalstiskajās organizācijās.</w:t>
      </w:r>
    </w:p>
    <w:p w14:paraId="6972BCD5" w14:textId="77777777" w:rsidR="00E46871" w:rsidRDefault="00E46871" w:rsidP="00EF4E24"/>
    <w:p w14:paraId="57FF3396" w14:textId="77777777" w:rsidR="00E46871" w:rsidRDefault="00E46871" w:rsidP="00EF4E24"/>
    <w:p w14:paraId="746AE179" w14:textId="77777777" w:rsidR="00E46871" w:rsidRDefault="00E46871" w:rsidP="00EF4E24"/>
    <w:p w14:paraId="665E01A6" w14:textId="77777777" w:rsidR="00E46871" w:rsidRPr="003761C0" w:rsidRDefault="00E46871" w:rsidP="00E46871">
      <w:pPr>
        <w:ind w:firstLine="0"/>
        <w:rPr>
          <w:color w:val="000000" w:themeColor="text1"/>
          <w:sz w:val="28"/>
          <w:szCs w:val="28"/>
        </w:rPr>
      </w:pPr>
      <w:r w:rsidRPr="003761C0">
        <w:rPr>
          <w:color w:val="000000" w:themeColor="text1"/>
          <w:sz w:val="28"/>
          <w:szCs w:val="28"/>
        </w:rPr>
        <w:t xml:space="preserve">Vides aizsardzības un </w:t>
      </w:r>
    </w:p>
    <w:p w14:paraId="3F7221A2" w14:textId="55CCBD77" w:rsidR="00E46871" w:rsidRPr="003761C0" w:rsidRDefault="00E46871" w:rsidP="00E46871">
      <w:pPr>
        <w:ind w:firstLine="0"/>
        <w:rPr>
          <w:color w:val="000000" w:themeColor="text1"/>
          <w:sz w:val="28"/>
          <w:szCs w:val="28"/>
        </w:rPr>
      </w:pPr>
      <w:r w:rsidRPr="003761C0">
        <w:rPr>
          <w:color w:val="000000" w:themeColor="text1"/>
          <w:sz w:val="28"/>
          <w:szCs w:val="28"/>
        </w:rPr>
        <w:t>reģionālās attīstības ministrs</w:t>
      </w:r>
      <w:r w:rsidRPr="003761C0">
        <w:rPr>
          <w:color w:val="000000" w:themeColor="text1"/>
          <w:sz w:val="28"/>
          <w:szCs w:val="28"/>
        </w:rPr>
        <w:tab/>
      </w:r>
      <w:r w:rsidRPr="003761C0">
        <w:rPr>
          <w:color w:val="000000" w:themeColor="text1"/>
          <w:sz w:val="28"/>
          <w:szCs w:val="28"/>
        </w:rPr>
        <w:tab/>
      </w:r>
      <w:r w:rsidRPr="003761C0">
        <w:rPr>
          <w:color w:val="000000" w:themeColor="text1"/>
          <w:sz w:val="28"/>
          <w:szCs w:val="28"/>
        </w:rPr>
        <w:tab/>
      </w:r>
      <w:r w:rsidRPr="003761C0">
        <w:rPr>
          <w:color w:val="000000" w:themeColor="text1"/>
          <w:sz w:val="28"/>
          <w:szCs w:val="28"/>
        </w:rPr>
        <w:tab/>
      </w:r>
      <w:r w:rsidRPr="003761C0">
        <w:rPr>
          <w:color w:val="000000" w:themeColor="text1"/>
          <w:sz w:val="28"/>
          <w:szCs w:val="28"/>
        </w:rPr>
        <w:tab/>
        <w:t xml:space="preserve">       K. Gerhards</w:t>
      </w:r>
    </w:p>
    <w:p w14:paraId="62DEDE90" w14:textId="77777777" w:rsidR="00E46871" w:rsidRDefault="00E46871" w:rsidP="00E46871">
      <w:pPr>
        <w:rPr>
          <w:color w:val="000000" w:themeColor="text1"/>
          <w:sz w:val="20"/>
          <w:szCs w:val="20"/>
        </w:rPr>
      </w:pPr>
    </w:p>
    <w:p w14:paraId="6257707B" w14:textId="77777777" w:rsidR="00E46871" w:rsidRDefault="00E46871" w:rsidP="00E46871">
      <w:pPr>
        <w:rPr>
          <w:color w:val="000000" w:themeColor="text1"/>
          <w:sz w:val="20"/>
          <w:szCs w:val="20"/>
        </w:rPr>
      </w:pPr>
    </w:p>
    <w:p w14:paraId="4F830FAD" w14:textId="77777777" w:rsidR="00E46871" w:rsidRDefault="00E46871" w:rsidP="00E46871">
      <w:pPr>
        <w:rPr>
          <w:color w:val="000000" w:themeColor="text1"/>
          <w:sz w:val="20"/>
          <w:szCs w:val="20"/>
        </w:rPr>
      </w:pPr>
    </w:p>
    <w:p w14:paraId="71FD3663" w14:textId="77777777" w:rsidR="00E46871" w:rsidRDefault="00E46871" w:rsidP="00E46871">
      <w:pPr>
        <w:rPr>
          <w:color w:val="000000" w:themeColor="text1"/>
          <w:sz w:val="20"/>
          <w:szCs w:val="20"/>
        </w:rPr>
      </w:pPr>
    </w:p>
    <w:p w14:paraId="1A1C6C4D" w14:textId="77777777" w:rsidR="00E46871" w:rsidRDefault="00E46871" w:rsidP="00E46871">
      <w:pPr>
        <w:rPr>
          <w:color w:val="000000" w:themeColor="text1"/>
          <w:sz w:val="20"/>
          <w:szCs w:val="20"/>
        </w:rPr>
      </w:pPr>
    </w:p>
    <w:p w14:paraId="4F739505" w14:textId="77777777" w:rsidR="00E46871" w:rsidRPr="003761C0" w:rsidRDefault="00E46871" w:rsidP="00E46871">
      <w:pPr>
        <w:rPr>
          <w:color w:val="000000" w:themeColor="text1"/>
          <w:sz w:val="20"/>
          <w:szCs w:val="20"/>
        </w:rPr>
      </w:pPr>
    </w:p>
    <w:p w14:paraId="2028D2DC" w14:textId="48698278" w:rsidR="00E46871" w:rsidRPr="002E3869" w:rsidRDefault="00E46871" w:rsidP="00E46871">
      <w:pPr>
        <w:ind w:firstLine="0"/>
        <w:rPr>
          <w:color w:val="000000" w:themeColor="text1"/>
          <w:sz w:val="22"/>
        </w:rPr>
      </w:pPr>
      <w:r>
        <w:rPr>
          <w:color w:val="000000" w:themeColor="text1"/>
          <w:sz w:val="22"/>
        </w:rPr>
        <w:t>Baltroka</w:t>
      </w:r>
      <w:r w:rsidRPr="002E3869">
        <w:rPr>
          <w:color w:val="000000" w:themeColor="text1"/>
          <w:sz w:val="22"/>
        </w:rPr>
        <w:t>, 670265</w:t>
      </w:r>
      <w:r>
        <w:rPr>
          <w:color w:val="000000" w:themeColor="text1"/>
          <w:sz w:val="22"/>
        </w:rPr>
        <w:t>94</w:t>
      </w:r>
      <w:r w:rsidRPr="002E3869">
        <w:rPr>
          <w:color w:val="000000" w:themeColor="text1"/>
          <w:sz w:val="22"/>
        </w:rPr>
        <w:t>,</w:t>
      </w:r>
    </w:p>
    <w:p w14:paraId="592E06EE" w14:textId="65992B98" w:rsidR="00E46871" w:rsidRPr="002E3869" w:rsidRDefault="00362F22" w:rsidP="00E46871">
      <w:pPr>
        <w:ind w:firstLine="0"/>
        <w:rPr>
          <w:sz w:val="22"/>
        </w:rPr>
      </w:pPr>
      <w:hyperlink r:id="rId31" w:history="1">
        <w:r w:rsidRPr="00D4506B">
          <w:rPr>
            <w:rStyle w:val="Hyperlink"/>
            <w:sz w:val="22"/>
          </w:rPr>
          <w:t>elina.baltroka@varam.gov.lv</w:t>
        </w:r>
      </w:hyperlink>
      <w:r>
        <w:rPr>
          <w:sz w:val="22"/>
        </w:rPr>
        <w:t xml:space="preserve"> </w:t>
      </w:r>
    </w:p>
    <w:sectPr w:rsidR="00E46871" w:rsidRPr="002E3869" w:rsidSect="005F2544">
      <w:headerReference w:type="default" r:id="rId32"/>
      <w:pgSz w:w="11906" w:h="16838"/>
      <w:pgMar w:top="1418"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CEC53" w14:textId="77777777" w:rsidR="00B30B4F" w:rsidRDefault="00B30B4F" w:rsidP="00FB4DD8">
      <w:r>
        <w:separator/>
      </w:r>
    </w:p>
  </w:endnote>
  <w:endnote w:type="continuationSeparator" w:id="0">
    <w:p w14:paraId="39C78B85" w14:textId="77777777" w:rsidR="00B30B4F" w:rsidRDefault="00B30B4F" w:rsidP="00FB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4355" w14:textId="77777777" w:rsidR="00B30B4F" w:rsidRDefault="00B30B4F" w:rsidP="00FB4DD8">
      <w:r>
        <w:separator/>
      </w:r>
    </w:p>
  </w:footnote>
  <w:footnote w:type="continuationSeparator" w:id="0">
    <w:p w14:paraId="3C04CA31" w14:textId="77777777" w:rsidR="00B30B4F" w:rsidRDefault="00B30B4F" w:rsidP="00FB4DD8">
      <w:r>
        <w:continuationSeparator/>
      </w:r>
    </w:p>
  </w:footnote>
  <w:footnote w:id="1">
    <w:p w14:paraId="0DAE5D46" w14:textId="5B638CF6" w:rsidR="006208D7" w:rsidRPr="002A15CB" w:rsidRDefault="006208D7" w:rsidP="00AE4337">
      <w:pPr>
        <w:pStyle w:val="FootnoteText"/>
        <w:ind w:firstLine="0"/>
        <w:rPr>
          <w:lang w:val="lv-LV"/>
        </w:rPr>
      </w:pPr>
      <w:r w:rsidRPr="002A15CB">
        <w:rPr>
          <w:rStyle w:val="FootnoteReference"/>
        </w:rPr>
        <w:footnoteRef/>
      </w:r>
      <w:r w:rsidRPr="002A15CB">
        <w:t xml:space="preserve"> </w:t>
      </w:r>
      <w:hyperlink r:id="rId1" w:history="1">
        <w:r w:rsidRPr="006D64AD">
          <w:rPr>
            <w:rStyle w:val="Hyperlink"/>
          </w:rPr>
          <w:t>https://likumi.lv/ta/id/281943-par-valdibas-ricibas-planu-deklaracijas-par-mara-kucinska-vadita-ministru-kabineta-iecereto-darbibu-istenosanai</w:t>
        </w:r>
      </w:hyperlink>
      <w:r>
        <w:t xml:space="preserve"> </w:t>
      </w:r>
    </w:p>
  </w:footnote>
  <w:footnote w:id="2">
    <w:p w14:paraId="0C3D2266" w14:textId="3B15B531" w:rsidR="006208D7" w:rsidRPr="002A15CB" w:rsidRDefault="006208D7" w:rsidP="00AE4337">
      <w:pPr>
        <w:pStyle w:val="FootnoteText"/>
        <w:ind w:firstLine="0"/>
        <w:rPr>
          <w:lang w:val="lv-LV"/>
        </w:rPr>
      </w:pPr>
      <w:r w:rsidRPr="002A15CB">
        <w:rPr>
          <w:rStyle w:val="FootnoteReference"/>
        </w:rPr>
        <w:footnoteRef/>
      </w:r>
      <w:r w:rsidRPr="00CE7080">
        <w:rPr>
          <w:lang w:val="lv-LV"/>
        </w:rPr>
        <w:t xml:space="preserve"> </w:t>
      </w:r>
      <w:r w:rsidRPr="002A15CB">
        <w:rPr>
          <w:lang w:val="lv-LV"/>
        </w:rPr>
        <w:t xml:space="preserve">Eiropas Parlamenta un Padomes 2013. </w:t>
      </w:r>
      <w:r>
        <w:rPr>
          <w:lang w:val="lv-LV"/>
        </w:rPr>
        <w:t>g</w:t>
      </w:r>
      <w:r w:rsidRPr="002A15CB">
        <w:rPr>
          <w:lang w:val="lv-LV"/>
        </w:rPr>
        <w:t xml:space="preserve">ada 21. </w:t>
      </w:r>
      <w:r>
        <w:rPr>
          <w:lang w:val="lv-LV"/>
        </w:rPr>
        <w:t>m</w:t>
      </w:r>
      <w:r w:rsidRPr="002A15CB">
        <w:rPr>
          <w:lang w:val="lv-LV"/>
        </w:rPr>
        <w:t xml:space="preserve">aija regula Nr.525/2013, </w:t>
      </w:r>
      <w:r w:rsidRPr="00A615DA">
        <w:rPr>
          <w:bCs/>
          <w:color w:val="444444"/>
          <w:shd w:val="clear" w:color="auto" w:fill="FFFFFF"/>
          <w:lang w:val="lv-LV"/>
        </w:rPr>
        <w:t>par mehānismu siltumnīcefekta gāzu emisiju pārraudzībai un ziņošanai un citas informācijas ziņošanai valstu un Savienības līmenī saistībā ar klimata pārmaiņām un par Lēmuma Nr. 280/2004/EK atcelšanu</w:t>
      </w:r>
    </w:p>
  </w:footnote>
  <w:footnote w:id="3">
    <w:p w14:paraId="2FD83EDE" w14:textId="77777777" w:rsidR="006208D7" w:rsidRPr="009919B6" w:rsidRDefault="006208D7" w:rsidP="00AE4337">
      <w:pPr>
        <w:pStyle w:val="FootnoteText"/>
        <w:ind w:firstLine="0"/>
        <w:rPr>
          <w:lang w:val="lv-LV"/>
        </w:rPr>
      </w:pPr>
      <w:r>
        <w:rPr>
          <w:rStyle w:val="FootnoteReference"/>
        </w:rPr>
        <w:footnoteRef/>
      </w:r>
      <w:r w:rsidRPr="004E0A4D">
        <w:rPr>
          <w:lang w:val="lv-LV"/>
        </w:rPr>
        <w:t xml:space="preserve"> </w:t>
      </w:r>
      <w:r w:rsidRPr="009919B6">
        <w:rPr>
          <w:lang w:val="lv-LV"/>
        </w:rPr>
        <w:t>Siltumnīcefekta gāzes (SEG) ir oglekļa dioksīds (CO</w:t>
      </w:r>
      <w:r w:rsidRPr="009919B6">
        <w:rPr>
          <w:vertAlign w:val="subscript"/>
          <w:lang w:val="lv-LV"/>
        </w:rPr>
        <w:t>2</w:t>
      </w:r>
      <w:r w:rsidRPr="009919B6">
        <w:rPr>
          <w:lang w:val="lv-LV"/>
        </w:rPr>
        <w:t>), metāns (CH</w:t>
      </w:r>
      <w:r w:rsidRPr="009919B6">
        <w:rPr>
          <w:vertAlign w:val="subscript"/>
          <w:lang w:val="lv-LV"/>
        </w:rPr>
        <w:t>4</w:t>
      </w:r>
      <w:r w:rsidRPr="009919B6">
        <w:rPr>
          <w:lang w:val="lv-LV"/>
        </w:rPr>
        <w:t>), slāpekļa oksīds (N</w:t>
      </w:r>
      <w:r w:rsidRPr="009919B6">
        <w:rPr>
          <w:vertAlign w:val="subscript"/>
          <w:lang w:val="lv-LV"/>
        </w:rPr>
        <w:t>2</w:t>
      </w:r>
      <w:r w:rsidRPr="009919B6">
        <w:rPr>
          <w:lang w:val="lv-LV"/>
        </w:rPr>
        <w:t>O), fluorogļūdeņraži (HFC), perfluorogļūdeņraži (PFC), slāpekļa trifluorīds (NF</w:t>
      </w:r>
      <w:r w:rsidRPr="009919B6">
        <w:rPr>
          <w:vertAlign w:val="subscript"/>
          <w:lang w:val="lv-LV"/>
        </w:rPr>
        <w:t>3</w:t>
      </w:r>
      <w:r w:rsidRPr="009919B6">
        <w:rPr>
          <w:lang w:val="lv-LV"/>
        </w:rPr>
        <w:t>) un sēra heksafluorīds (SF</w:t>
      </w:r>
      <w:r w:rsidRPr="009919B6">
        <w:rPr>
          <w:vertAlign w:val="subscript"/>
          <w:lang w:val="lv-LV"/>
        </w:rPr>
        <w:t>6</w:t>
      </w:r>
      <w:r w:rsidRPr="009919B6">
        <w:rPr>
          <w:lang w:val="lv-LV"/>
        </w:rPr>
        <w:t>). Nozīmīgākās SEG ir CO</w:t>
      </w:r>
      <w:r w:rsidRPr="009919B6">
        <w:rPr>
          <w:vertAlign w:val="subscript"/>
          <w:lang w:val="lv-LV"/>
        </w:rPr>
        <w:t>2</w:t>
      </w:r>
      <w:r w:rsidRPr="009919B6">
        <w:rPr>
          <w:lang w:val="lv-LV"/>
        </w:rPr>
        <w:t>, CH</w:t>
      </w:r>
      <w:r w:rsidRPr="009919B6">
        <w:rPr>
          <w:vertAlign w:val="subscript"/>
          <w:lang w:val="lv-LV"/>
        </w:rPr>
        <w:t>4</w:t>
      </w:r>
      <w:r w:rsidRPr="009919B6">
        <w:rPr>
          <w:lang w:val="lv-LV"/>
        </w:rPr>
        <w:t xml:space="preserve"> un N</w:t>
      </w:r>
      <w:r w:rsidRPr="009919B6">
        <w:rPr>
          <w:vertAlign w:val="subscript"/>
          <w:lang w:val="lv-LV"/>
        </w:rPr>
        <w:t>2</w:t>
      </w:r>
      <w:r w:rsidRPr="009919B6">
        <w:rPr>
          <w:lang w:val="lv-LV"/>
        </w:rPr>
        <w:t>O.</w:t>
      </w:r>
    </w:p>
  </w:footnote>
  <w:footnote w:id="4">
    <w:p w14:paraId="0C36231C" w14:textId="7D02D666" w:rsidR="006208D7" w:rsidRPr="00CE7080" w:rsidRDefault="006208D7" w:rsidP="00297AAC">
      <w:pPr>
        <w:pStyle w:val="FootnoteText"/>
        <w:ind w:firstLine="0"/>
        <w:jc w:val="left"/>
        <w:rPr>
          <w:lang w:val="lv-LV"/>
        </w:rPr>
      </w:pPr>
      <w:r>
        <w:rPr>
          <w:rStyle w:val="FootnoteReference"/>
        </w:rPr>
        <w:footnoteRef/>
      </w:r>
      <w:r w:rsidRPr="00CE7080">
        <w:rPr>
          <w:lang w:val="lv-LV"/>
        </w:rPr>
        <w:t xml:space="preserve"> http://unfccc.int/resource/docs/2015/cop21/eng/10a01.pdf</w:t>
      </w:r>
    </w:p>
  </w:footnote>
  <w:footnote w:id="5">
    <w:p w14:paraId="15A8BFE3" w14:textId="1E17C33B" w:rsidR="006208D7" w:rsidRPr="006208D7" w:rsidRDefault="006208D7" w:rsidP="00297AAC">
      <w:pPr>
        <w:pStyle w:val="Heading3"/>
        <w:spacing w:before="0"/>
        <w:ind w:firstLine="0"/>
        <w:jc w:val="left"/>
        <w:rPr>
          <w:lang w:val="lv-LV"/>
        </w:rPr>
      </w:pPr>
      <w:r w:rsidRPr="00297AAC">
        <w:rPr>
          <w:lang w:val="lv-LV"/>
        </w:rPr>
        <w:footnoteRef/>
      </w:r>
      <w:r w:rsidRPr="00297AAC">
        <w:rPr>
          <w:rFonts w:ascii="Times New Roman" w:hAnsi="Times New Roman"/>
          <w:b w:val="0"/>
          <w:bCs w:val="0"/>
          <w:color w:val="auto"/>
          <w:lang w:val="lv-LV"/>
        </w:rPr>
        <w:t xml:space="preserve"> </w:t>
      </w:r>
      <w:r w:rsidRPr="006208D7">
        <w:rPr>
          <w:rFonts w:ascii="Times New Roman" w:hAnsi="Times New Roman"/>
          <w:b w:val="0"/>
          <w:bCs w:val="0"/>
          <w:color w:val="auto"/>
          <w:lang w:val="lv-LV"/>
        </w:rPr>
        <w:t>apstiprinātas ar Ministru kabineta 2014. gada 26. marta rīkojumu Nr.130 “</w:t>
      </w:r>
      <w:r w:rsidRPr="00297AAC">
        <w:rPr>
          <w:rFonts w:ascii="Times New Roman" w:hAnsi="Times New Roman"/>
          <w:b w:val="0"/>
          <w:bCs w:val="0"/>
          <w:color w:val="auto"/>
          <w:lang w:val="lv-LV"/>
        </w:rPr>
        <w:t>Par Vides politikas pamatnostādnēm 2014.-2020.gadam</w:t>
      </w:r>
    </w:p>
  </w:footnote>
  <w:footnote w:id="6">
    <w:p w14:paraId="1F96A46C" w14:textId="77777777" w:rsidR="006208D7" w:rsidRPr="004E0A4D" w:rsidRDefault="006208D7" w:rsidP="00BB63CC">
      <w:pPr>
        <w:pStyle w:val="FootnoteText"/>
        <w:ind w:firstLine="0"/>
        <w:rPr>
          <w:lang w:val="lv-LV"/>
        </w:rPr>
      </w:pPr>
      <w:r>
        <w:rPr>
          <w:rStyle w:val="FootnoteReference"/>
        </w:rPr>
        <w:footnoteRef/>
      </w:r>
      <w:r w:rsidRPr="00CE7080">
        <w:rPr>
          <w:lang w:val="lv-LV"/>
        </w:rPr>
        <w:t xml:space="preserve"> Ilgtspējīgas attīstības jēdziens definēts ANO Pasaules Vides un attīstības komisijas ziņojumā “Mūsu kopējā nākotne” (saukts arī par Bruntlandes komisijas ziņojumu, 1987) un starptautiski plaši tiek lietots kopš 1992.gada ANO konferences Riodežaneiro “Vide un attīstība”.  Ilgtspējīga attīstība tiek skaidrota kā “attīstība, kas nodrošina šodienas vajadzību apmierināšanu, neradot draudus nākamo paaudžu vajadzību apmierināšanai”. Ilgtspējīgu attīstību raksturo trīs savstarpēji saistītas dimensijas: vides, ekonomiskā, sociālā. Tas nozīmē, ka stingras vides aizsardzības un klimata noturības prasības un augsti ekonomiskie rādītāji nav pretrunā, ka ekonomiskā augšupeja nedrīkst degradēt vidi un vienlaikus tiek nodrošināta augsta dzīves kvalitāte.</w:t>
      </w:r>
    </w:p>
  </w:footnote>
  <w:footnote w:id="7">
    <w:p w14:paraId="712E8039" w14:textId="77777777" w:rsidR="006208D7" w:rsidRPr="009919B6" w:rsidRDefault="006208D7" w:rsidP="00A64747">
      <w:pPr>
        <w:pStyle w:val="FootnoteText"/>
        <w:ind w:left="142" w:hanging="142"/>
        <w:rPr>
          <w:lang w:val="lv-LV"/>
        </w:rPr>
      </w:pPr>
      <w:r>
        <w:rPr>
          <w:rStyle w:val="FootnoteReference"/>
        </w:rPr>
        <w:footnoteRef/>
      </w:r>
      <w:r w:rsidRPr="004E0A4D">
        <w:rPr>
          <w:lang w:val="lv-LV"/>
        </w:rPr>
        <w:t xml:space="preserve"> </w:t>
      </w:r>
      <w:r w:rsidRPr="009919B6">
        <w:rPr>
          <w:lang w:val="lv-LV"/>
        </w:rPr>
        <w:t>Siltumnīcefekta gāzes (SEG) ir oglekļa dioksīds (CO</w:t>
      </w:r>
      <w:r w:rsidRPr="009919B6">
        <w:rPr>
          <w:vertAlign w:val="subscript"/>
          <w:lang w:val="lv-LV"/>
        </w:rPr>
        <w:t>2</w:t>
      </w:r>
      <w:r w:rsidRPr="009919B6">
        <w:rPr>
          <w:lang w:val="lv-LV"/>
        </w:rPr>
        <w:t>), metāns (CH</w:t>
      </w:r>
      <w:r w:rsidRPr="009919B6">
        <w:rPr>
          <w:vertAlign w:val="subscript"/>
          <w:lang w:val="lv-LV"/>
        </w:rPr>
        <w:t>4</w:t>
      </w:r>
      <w:r w:rsidRPr="009919B6">
        <w:rPr>
          <w:lang w:val="lv-LV"/>
        </w:rPr>
        <w:t>), slāpekļa oksīds (N</w:t>
      </w:r>
      <w:r w:rsidRPr="009919B6">
        <w:rPr>
          <w:vertAlign w:val="subscript"/>
          <w:lang w:val="lv-LV"/>
        </w:rPr>
        <w:t>2</w:t>
      </w:r>
      <w:r w:rsidRPr="009919B6">
        <w:rPr>
          <w:lang w:val="lv-LV"/>
        </w:rPr>
        <w:t>O), fluorogļūdeņraži (HFC), perfluorogļūdeņraži (PFC), slāpekļa trifluorīds (NF</w:t>
      </w:r>
      <w:r w:rsidRPr="009919B6">
        <w:rPr>
          <w:vertAlign w:val="subscript"/>
          <w:lang w:val="lv-LV"/>
        </w:rPr>
        <w:t>3</w:t>
      </w:r>
      <w:r w:rsidRPr="009919B6">
        <w:rPr>
          <w:lang w:val="lv-LV"/>
        </w:rPr>
        <w:t>) un sēra heksafluorīds (SF</w:t>
      </w:r>
      <w:r w:rsidRPr="009919B6">
        <w:rPr>
          <w:vertAlign w:val="subscript"/>
          <w:lang w:val="lv-LV"/>
        </w:rPr>
        <w:t>6</w:t>
      </w:r>
      <w:r w:rsidRPr="009919B6">
        <w:rPr>
          <w:lang w:val="lv-LV"/>
        </w:rPr>
        <w:t>). Nozīmīgākās SEG ir CO</w:t>
      </w:r>
      <w:r w:rsidRPr="009919B6">
        <w:rPr>
          <w:vertAlign w:val="subscript"/>
          <w:lang w:val="lv-LV"/>
        </w:rPr>
        <w:t>2</w:t>
      </w:r>
      <w:r w:rsidRPr="009919B6">
        <w:rPr>
          <w:lang w:val="lv-LV"/>
        </w:rPr>
        <w:t>, CH</w:t>
      </w:r>
      <w:r w:rsidRPr="009919B6">
        <w:rPr>
          <w:vertAlign w:val="subscript"/>
          <w:lang w:val="lv-LV"/>
        </w:rPr>
        <w:t>4</w:t>
      </w:r>
      <w:r w:rsidRPr="009919B6">
        <w:rPr>
          <w:lang w:val="lv-LV"/>
        </w:rPr>
        <w:t xml:space="preserve"> un N</w:t>
      </w:r>
      <w:r w:rsidRPr="009919B6">
        <w:rPr>
          <w:vertAlign w:val="subscript"/>
          <w:lang w:val="lv-LV"/>
        </w:rPr>
        <w:t>2</w:t>
      </w:r>
      <w:r w:rsidRPr="009919B6">
        <w:rPr>
          <w:lang w:val="lv-LV"/>
        </w:rPr>
        <w:t>O.</w:t>
      </w:r>
    </w:p>
  </w:footnote>
  <w:footnote w:id="8">
    <w:p w14:paraId="1FFA055E" w14:textId="55ACF36F" w:rsidR="006208D7" w:rsidRPr="009919B6" w:rsidRDefault="006208D7" w:rsidP="00A64747">
      <w:pPr>
        <w:pStyle w:val="FootnoteText"/>
        <w:ind w:left="142" w:hanging="142"/>
        <w:rPr>
          <w:lang w:val="lv-LV"/>
        </w:rPr>
      </w:pPr>
      <w:r w:rsidRPr="009919B6">
        <w:rPr>
          <w:rStyle w:val="FootnoteReference"/>
          <w:lang w:val="lv-LV"/>
        </w:rPr>
        <w:footnoteRef/>
      </w:r>
      <w:r w:rsidRPr="009919B6">
        <w:rPr>
          <w:lang w:val="lv-LV"/>
        </w:rPr>
        <w:t xml:space="preserve"> Oglekļa dioksīda (CO</w:t>
      </w:r>
      <w:r w:rsidRPr="009919B6">
        <w:rPr>
          <w:vertAlign w:val="subscript"/>
          <w:lang w:val="lv-LV"/>
        </w:rPr>
        <w:t xml:space="preserve">2 </w:t>
      </w:r>
      <w:r w:rsidRPr="009919B6">
        <w:rPr>
          <w:lang w:val="lv-LV"/>
        </w:rPr>
        <w:t>)piesaiste nozīmē procesu, kad fotosin</w:t>
      </w:r>
      <w:r>
        <w:rPr>
          <w:lang w:val="lv-LV"/>
        </w:rPr>
        <w:t xml:space="preserve">tēzes rezultātā </w:t>
      </w:r>
      <w:r w:rsidRPr="009919B6">
        <w:rPr>
          <w:lang w:val="lv-LV"/>
        </w:rPr>
        <w:t xml:space="preserve">no neorganiskajiem savienojumiem oglekļa dioksīda un ūdens, izmantojot gaismas enerģiju, tiek sintezētas organiskās vielas, kā arī skābeklis. </w:t>
      </w:r>
    </w:p>
  </w:footnote>
  <w:footnote w:id="9">
    <w:p w14:paraId="55ACA7F6" w14:textId="2D962F98" w:rsidR="006208D7" w:rsidRPr="009951A0" w:rsidRDefault="006208D7" w:rsidP="00A64747">
      <w:pPr>
        <w:pStyle w:val="FootnoteText"/>
        <w:ind w:left="142" w:hanging="142"/>
        <w:rPr>
          <w:lang w:val="lv-LV"/>
        </w:rPr>
      </w:pPr>
      <w:r w:rsidRPr="009919B6">
        <w:rPr>
          <w:rStyle w:val="FootnoteReference"/>
        </w:rPr>
        <w:footnoteRef/>
      </w:r>
      <w:r w:rsidRPr="00CE7080">
        <w:rPr>
          <w:lang w:val="lv-LV"/>
        </w:rPr>
        <w:t xml:space="preserve"> </w:t>
      </w:r>
      <w:hyperlink r:id="rId2" w:history="1">
        <w:r w:rsidRPr="009919B6">
          <w:rPr>
            <w:rStyle w:val="Hyperlink"/>
            <w:lang w:val="lv-LV"/>
          </w:rPr>
          <w:t>http://climate.nasa.gov/vital-signs/carbon-dioxide/</w:t>
        </w:r>
      </w:hyperlink>
      <w:r w:rsidRPr="009951A0">
        <w:rPr>
          <w:lang w:val="lv-LV"/>
        </w:rPr>
        <w:t xml:space="preserve"> </w:t>
      </w:r>
    </w:p>
  </w:footnote>
  <w:footnote w:id="10">
    <w:p w14:paraId="5BB466C7" w14:textId="257FED09" w:rsidR="006208D7" w:rsidRPr="00CE7080" w:rsidRDefault="006208D7" w:rsidP="00A64747">
      <w:pPr>
        <w:pStyle w:val="FootnoteText"/>
        <w:ind w:left="142" w:hanging="142"/>
        <w:rPr>
          <w:lang w:val="lv-LV"/>
        </w:rPr>
      </w:pPr>
      <w:r w:rsidRPr="009951A0">
        <w:rPr>
          <w:rStyle w:val="FootnoteReference"/>
        </w:rPr>
        <w:footnoteRef/>
      </w:r>
      <w:r w:rsidRPr="00CE7080">
        <w:rPr>
          <w:lang w:val="lv-LV"/>
        </w:rPr>
        <w:t xml:space="preserve"> </w:t>
      </w:r>
      <w:hyperlink r:id="rId3" w:history="1">
        <w:r w:rsidRPr="00CE7080">
          <w:rPr>
            <w:rStyle w:val="Hyperlink"/>
            <w:lang w:val="lv-LV"/>
          </w:rPr>
          <w:t>https://esa.un.org/unpd/wpp/publications/files/key_findings_wpp_2015.pdf</w:t>
        </w:r>
      </w:hyperlink>
      <w:r w:rsidRPr="00CE7080">
        <w:rPr>
          <w:lang w:val="lv-LV"/>
        </w:rPr>
        <w:t xml:space="preserve"> </w:t>
      </w:r>
    </w:p>
  </w:footnote>
  <w:footnote w:id="11">
    <w:p w14:paraId="32D7B50A" w14:textId="051D20DF" w:rsidR="006208D7" w:rsidRPr="00A05E10" w:rsidRDefault="006208D7" w:rsidP="00A64747">
      <w:pPr>
        <w:pStyle w:val="FootnoteText"/>
        <w:ind w:left="142" w:hanging="142"/>
        <w:rPr>
          <w:lang w:val="lv-LV"/>
        </w:rPr>
      </w:pPr>
      <w:r>
        <w:rPr>
          <w:rStyle w:val="FootnoteReference"/>
        </w:rPr>
        <w:footnoteRef/>
      </w:r>
      <w:r w:rsidRPr="00CE7080">
        <w:rPr>
          <w:lang w:val="lv-LV"/>
        </w:rPr>
        <w:t xml:space="preserve"> </w:t>
      </w:r>
      <w:r>
        <w:rPr>
          <w:lang w:val="lv-LV"/>
        </w:rPr>
        <w:t xml:space="preserve">ANO Ilgtspējīgas attīstības mērķi, Pārresoru koordinācijas centrs, pieejams tiešsaistē: </w:t>
      </w:r>
      <w:r w:rsidRPr="00D67E58">
        <w:rPr>
          <w:lang w:val="lv-LV"/>
        </w:rPr>
        <w:t xml:space="preserve">https://www.pkc.gov.lv/lv/valsts-attistibas-planosana/ano-ilgtspejigas-attistibas-merki </w:t>
      </w:r>
      <w:r>
        <w:rPr>
          <w:lang w:val="lv-LV"/>
        </w:rPr>
        <w:t xml:space="preserve"> </w:t>
      </w:r>
    </w:p>
  </w:footnote>
  <w:footnote w:id="12">
    <w:p w14:paraId="184904D2" w14:textId="35987BA2" w:rsidR="006208D7" w:rsidRPr="00977BCE" w:rsidRDefault="006208D7" w:rsidP="00977BCE">
      <w:pPr>
        <w:pStyle w:val="FootnoteText"/>
        <w:ind w:left="142" w:hanging="142"/>
        <w:rPr>
          <w:lang w:val="lv-LV"/>
        </w:rPr>
      </w:pPr>
      <w:r w:rsidRPr="00BB00A2">
        <w:rPr>
          <w:rStyle w:val="FootnoteReference"/>
        </w:rPr>
        <w:footnoteRef/>
      </w:r>
      <w:r w:rsidRPr="00977BCE">
        <w:rPr>
          <w:lang w:val="lv-LV"/>
        </w:rPr>
        <w:t xml:space="preserve"> CO</w:t>
      </w:r>
      <w:r w:rsidRPr="00BB00A2">
        <w:rPr>
          <w:vertAlign w:val="subscript"/>
          <w:lang w:val="lv-LV"/>
        </w:rPr>
        <w:t xml:space="preserve">2 </w:t>
      </w:r>
      <w:r w:rsidRPr="00977BCE">
        <w:rPr>
          <w:vertAlign w:val="subscript"/>
          <w:lang w:val="lv-LV"/>
        </w:rPr>
        <w:t>ekv</w:t>
      </w:r>
      <w:r w:rsidRPr="00BB00A2">
        <w:rPr>
          <w:lang w:val="lv-LV"/>
        </w:rPr>
        <w:t xml:space="preserve"> –</w:t>
      </w:r>
      <w:r>
        <w:rPr>
          <w:lang w:val="lv-LV"/>
        </w:rPr>
        <w:t xml:space="preserve"> o</w:t>
      </w:r>
      <w:r w:rsidRPr="00BB00A2">
        <w:rPr>
          <w:lang w:val="lv-LV"/>
        </w:rPr>
        <w:t>glekļa</w:t>
      </w:r>
      <w:r w:rsidRPr="001B0D92">
        <w:rPr>
          <w:lang w:val="lv-LV"/>
        </w:rPr>
        <w:t xml:space="preserve">  dioksīda  ekvivalents  ir  mērvienība</w:t>
      </w:r>
      <w:r>
        <w:rPr>
          <w:lang w:val="lv-LV"/>
        </w:rPr>
        <w:t xml:space="preserve"> izteikta CO</w:t>
      </w:r>
      <w:r w:rsidRPr="00CE7080">
        <w:rPr>
          <w:vertAlign w:val="subscript"/>
          <w:lang w:val="lv-LV"/>
        </w:rPr>
        <w:t>2</w:t>
      </w:r>
      <w:r>
        <w:rPr>
          <w:lang w:val="lv-LV"/>
        </w:rPr>
        <w:t xml:space="preserve"> emisijās</w:t>
      </w:r>
      <w:r w:rsidRPr="001B0D92">
        <w:rPr>
          <w:lang w:val="lv-LV"/>
        </w:rPr>
        <w:t xml:space="preserve">,  ar  ko  salīdzina  dažādu  </w:t>
      </w:r>
      <w:r>
        <w:rPr>
          <w:lang w:val="lv-LV"/>
        </w:rPr>
        <w:t>s</w:t>
      </w:r>
      <w:r w:rsidRPr="001B0D92">
        <w:rPr>
          <w:lang w:val="lv-LV"/>
        </w:rPr>
        <w:t xml:space="preserve">iltumnīcefekta  gāzu  emisijas,  pamatojoties uz to radīto globālās sasilšanas potenciālu.  </w:t>
      </w:r>
    </w:p>
  </w:footnote>
  <w:footnote w:id="13">
    <w:p w14:paraId="444AAB01" w14:textId="77777777" w:rsidR="006208D7" w:rsidRPr="0018251B" w:rsidRDefault="006208D7" w:rsidP="00A64747">
      <w:pPr>
        <w:pStyle w:val="FootnoteText"/>
        <w:ind w:left="142" w:hanging="142"/>
        <w:rPr>
          <w:lang w:val="lv-LV"/>
        </w:rPr>
      </w:pPr>
      <w:r w:rsidRPr="009951A0">
        <w:rPr>
          <w:rStyle w:val="FootnoteReference"/>
        </w:rPr>
        <w:footnoteRef/>
      </w:r>
      <w:r w:rsidRPr="009951A0">
        <w:rPr>
          <w:lang w:val="lv-LV"/>
        </w:rPr>
        <w:t xml:space="preserve"> Parīzes Nolīguma 4.</w:t>
      </w:r>
      <w:r>
        <w:rPr>
          <w:lang w:val="lv-LV"/>
        </w:rPr>
        <w:t xml:space="preserve"> </w:t>
      </w:r>
      <w:r w:rsidRPr="009951A0">
        <w:rPr>
          <w:lang w:val="lv-LV"/>
        </w:rPr>
        <w:t>pants, 19.</w:t>
      </w:r>
      <w:r>
        <w:rPr>
          <w:lang w:val="lv-LV"/>
        </w:rPr>
        <w:t xml:space="preserve"> </w:t>
      </w:r>
      <w:r w:rsidRPr="009951A0">
        <w:rPr>
          <w:lang w:val="lv-LV"/>
        </w:rPr>
        <w:t>apakšpunkts.</w:t>
      </w:r>
    </w:p>
  </w:footnote>
  <w:footnote w:id="14">
    <w:p w14:paraId="7F8F2079" w14:textId="77777777" w:rsidR="006208D7" w:rsidRPr="0018251B" w:rsidRDefault="006208D7" w:rsidP="00A64747">
      <w:pPr>
        <w:pStyle w:val="FootnoteText"/>
        <w:ind w:left="142" w:hanging="142"/>
        <w:rPr>
          <w:lang w:val="lv-LV"/>
        </w:rPr>
      </w:pPr>
      <w:r w:rsidRPr="0018251B">
        <w:rPr>
          <w:rStyle w:val="FootnoteReference"/>
        </w:rPr>
        <w:footnoteRef/>
      </w:r>
      <w:r w:rsidRPr="0018251B">
        <w:rPr>
          <w:lang w:val="lv-LV"/>
        </w:rPr>
        <w:t xml:space="preserve"> 2013. gada 21. maija </w:t>
      </w:r>
      <w:r>
        <w:rPr>
          <w:lang w:val="lv-LV"/>
        </w:rPr>
        <w:t>E</w:t>
      </w:r>
      <w:r w:rsidRPr="0018251B">
        <w:rPr>
          <w:lang w:val="lv-LV"/>
        </w:rPr>
        <w:t xml:space="preserve">iropas </w:t>
      </w:r>
      <w:r>
        <w:rPr>
          <w:lang w:val="lv-LV"/>
        </w:rPr>
        <w:t>P</w:t>
      </w:r>
      <w:r w:rsidRPr="009951A0">
        <w:rPr>
          <w:lang w:val="lv-LV"/>
        </w:rPr>
        <w:t xml:space="preserve">arlamenta un </w:t>
      </w:r>
      <w:r>
        <w:rPr>
          <w:lang w:val="lv-LV"/>
        </w:rPr>
        <w:t>P</w:t>
      </w:r>
      <w:r w:rsidRPr="0018251B">
        <w:rPr>
          <w:lang w:val="lv-LV"/>
        </w:rPr>
        <w:t>adomes regula (ES) Nr. 525/2013 “Par mehānismu siltumnīcefekta gāzu emisiju pārraudzībai un ziņošanai un citas informācijas ziņošanai valstu un Savienības līmenī saistībā ar klimata pārmaiņām un par Lēmuma Nr. 280/2004/EK atcelšanu”</w:t>
      </w:r>
    </w:p>
  </w:footnote>
  <w:footnote w:id="15">
    <w:p w14:paraId="74E3154C" w14:textId="365A10D8" w:rsidR="006208D7" w:rsidRPr="00606D55" w:rsidRDefault="006208D7" w:rsidP="00606D55">
      <w:pPr>
        <w:pStyle w:val="FootnoteText"/>
        <w:rPr>
          <w:lang w:val="lv-LV"/>
        </w:rPr>
      </w:pPr>
      <w:r>
        <w:rPr>
          <w:rStyle w:val="FootnoteReference"/>
        </w:rPr>
        <w:footnoteRef/>
      </w:r>
      <w:r w:rsidRPr="00367B69">
        <w:rPr>
          <w:lang w:val="lv-LV"/>
        </w:rPr>
        <w:t xml:space="preserve"> </w:t>
      </w:r>
      <w:r w:rsidRPr="00606D55">
        <w:rPr>
          <w:lang w:val="lv-LV"/>
        </w:rPr>
        <w:t xml:space="preserve">ES ETS – Eiropas Savienības Emisijas kvotu tirdzniecības sistēma </w:t>
      </w:r>
    </w:p>
  </w:footnote>
  <w:footnote w:id="16">
    <w:p w14:paraId="3FEEEF93" w14:textId="69F333DC" w:rsidR="006208D7" w:rsidRPr="00606D55" w:rsidRDefault="006208D7">
      <w:pPr>
        <w:pStyle w:val="FootnoteText"/>
        <w:rPr>
          <w:lang w:val="lv-LV"/>
        </w:rPr>
      </w:pPr>
      <w:r w:rsidRPr="00606D55">
        <w:rPr>
          <w:rStyle w:val="FootnoteReference"/>
          <w:lang w:val="lv-LV"/>
        </w:rPr>
        <w:footnoteRef/>
      </w:r>
      <w:r w:rsidRPr="00606D55">
        <w:rPr>
          <w:lang w:val="lv-LV"/>
        </w:rPr>
        <w:t xml:space="preserve"> ne-ETS </w:t>
      </w:r>
      <w:r>
        <w:rPr>
          <w:lang w:val="lv-LV"/>
        </w:rPr>
        <w:t>–</w:t>
      </w:r>
      <w:r w:rsidRPr="00606D55">
        <w:rPr>
          <w:lang w:val="lv-LV"/>
        </w:rPr>
        <w:t xml:space="preserve"> </w:t>
      </w:r>
      <w:r>
        <w:rPr>
          <w:lang w:val="lv-LV"/>
        </w:rPr>
        <w:t xml:space="preserve">Mazā enerģētika, </w:t>
      </w:r>
      <w:r w:rsidRPr="00315669">
        <w:rPr>
          <w:lang w:val="lv-LV"/>
        </w:rPr>
        <w:t>– ES ETS neiekļautie rūpnieciskie procesi (izejvielu izmantošana) un šķīdinātāju un ozona slāni noārdošo vielu izmantošana</w:t>
      </w:r>
      <w:r>
        <w:rPr>
          <w:lang w:val="lv-LV"/>
        </w:rPr>
        <w:t xml:space="preserve"> (fluorētās gāzes), transports, lauksaimniecība, atkritumu apsaimniekošana</w:t>
      </w:r>
    </w:p>
  </w:footnote>
  <w:footnote w:id="17">
    <w:p w14:paraId="30DDBD5D" w14:textId="4DE23B14" w:rsidR="006208D7" w:rsidRPr="0018251B" w:rsidRDefault="006208D7" w:rsidP="00E32352">
      <w:pPr>
        <w:pStyle w:val="FootnoteText"/>
        <w:ind w:left="142" w:hanging="142"/>
        <w:rPr>
          <w:lang w:val="lv-LV"/>
        </w:rPr>
      </w:pPr>
      <w:r w:rsidRPr="0018251B">
        <w:rPr>
          <w:rStyle w:val="FootnoteReference"/>
        </w:rPr>
        <w:footnoteRef/>
      </w:r>
      <w:r>
        <w:rPr>
          <w:lang w:val="lv-LV"/>
        </w:rPr>
        <w:t xml:space="preserve"> 2018</w:t>
      </w:r>
      <w:r w:rsidRPr="0018251B">
        <w:rPr>
          <w:lang w:val="lv-LV"/>
        </w:rPr>
        <w:t>.</w:t>
      </w:r>
      <w:r>
        <w:rPr>
          <w:lang w:val="lv-LV"/>
        </w:rPr>
        <w:t xml:space="preserve"> </w:t>
      </w:r>
      <w:r w:rsidRPr="0018251B">
        <w:rPr>
          <w:lang w:val="lv-LV"/>
        </w:rPr>
        <w:t>gada SEG inventarizācija</w:t>
      </w:r>
      <w:r>
        <w:rPr>
          <w:lang w:val="lv-LV"/>
        </w:rPr>
        <w:t xml:space="preserve">, iesniegta </w:t>
      </w:r>
      <w:r w:rsidRPr="0018251B">
        <w:rPr>
          <w:lang w:val="lv-LV"/>
        </w:rPr>
        <w:t>ANO Vispārējās Konvencijas par klimata pārmaiņām un Kioto protokola ietvaros (</w:t>
      </w:r>
      <w:r w:rsidRPr="0068077E">
        <w:rPr>
          <w:lang w:val="lv-LV"/>
        </w:rPr>
        <w:t>https://unfccc.int/process-and-meetings/transparency-and-reporting/reporting-and-review-under-the-convention/greenhouse-gas-inventories-annex-i-parties/national-inventory-submissions-2018</w:t>
      </w:r>
      <w:r w:rsidRPr="0018251B">
        <w:rPr>
          <w:lang w:val="lv-LV"/>
        </w:rPr>
        <w:t>).</w:t>
      </w:r>
    </w:p>
  </w:footnote>
  <w:footnote w:id="18">
    <w:p w14:paraId="45B678EB" w14:textId="77777777" w:rsidR="006208D7" w:rsidRPr="003D3CB6" w:rsidRDefault="006208D7" w:rsidP="00977BCE">
      <w:pPr>
        <w:pStyle w:val="FootnoteText"/>
        <w:ind w:left="142" w:hanging="142"/>
        <w:rPr>
          <w:rFonts w:ascii="Calibri" w:hAnsi="Calibri"/>
          <w:lang w:val="lv-LV"/>
        </w:rPr>
      </w:pPr>
      <w:r w:rsidRPr="0018251B">
        <w:rPr>
          <w:rStyle w:val="FootnoteReference"/>
        </w:rPr>
        <w:footnoteRef/>
      </w:r>
      <w:r w:rsidRPr="00977BCE">
        <w:rPr>
          <w:lang w:val="lv-LV"/>
        </w:rPr>
        <w:t xml:space="preserve"> </w:t>
      </w:r>
      <w:r w:rsidRPr="0018251B">
        <w:rPr>
          <w:shd w:val="clear" w:color="auto" w:fill="FFFFFF"/>
          <w:lang w:val="lv-LV"/>
        </w:rPr>
        <w:t>Lai dažādu valstu statistika būtu salīdzināma</w:t>
      </w:r>
      <w:r>
        <w:rPr>
          <w:shd w:val="clear" w:color="auto" w:fill="FFFFFF"/>
          <w:lang w:val="lv-LV"/>
        </w:rPr>
        <w:t>,</w:t>
      </w:r>
      <w:r w:rsidRPr="0018251B">
        <w:rPr>
          <w:shd w:val="clear" w:color="auto" w:fill="FFFFFF"/>
          <w:lang w:val="lv-LV"/>
        </w:rPr>
        <w:t xml:space="preserve"> Eiropas Savienībā (ES) ir spēkā divas klasifikācijas sistēmas – Eiropas Kontu sistēma 1995 (EKS 95) un ES Saimniecisko darbību statistiskā klasifikācija (NACE), – saskaņā ar kurām iespējams klasificēt institucionālās vienības un tautsaimniecības sektorus.</w:t>
      </w:r>
    </w:p>
  </w:footnote>
  <w:footnote w:id="19">
    <w:p w14:paraId="192F6B51" w14:textId="4306E911" w:rsidR="006208D7" w:rsidRPr="00F44ACE" w:rsidRDefault="006208D7" w:rsidP="00E32352">
      <w:pPr>
        <w:pStyle w:val="FootnoteText"/>
        <w:ind w:left="142" w:hanging="142"/>
        <w:rPr>
          <w:lang w:val="lv-LV"/>
        </w:rPr>
      </w:pPr>
      <w:r w:rsidRPr="00A310F0">
        <w:rPr>
          <w:rStyle w:val="FootnoteReference"/>
        </w:rPr>
        <w:footnoteRef/>
      </w:r>
      <w:r w:rsidRPr="00A310F0">
        <w:rPr>
          <w:lang w:val="lv-LV"/>
        </w:rPr>
        <w:t xml:space="preserve"> </w:t>
      </w:r>
      <w:r>
        <w:rPr>
          <w:lang w:val="lv-LV"/>
        </w:rPr>
        <w:t>2018</w:t>
      </w:r>
      <w:r w:rsidRPr="0018251B">
        <w:rPr>
          <w:lang w:val="lv-LV"/>
        </w:rPr>
        <w:t>.</w:t>
      </w:r>
      <w:r>
        <w:rPr>
          <w:lang w:val="lv-LV"/>
        </w:rPr>
        <w:t> </w:t>
      </w:r>
      <w:r w:rsidRPr="0018251B">
        <w:rPr>
          <w:lang w:val="lv-LV"/>
        </w:rPr>
        <w:t>gada SEG inventarizācija</w:t>
      </w:r>
      <w:r>
        <w:rPr>
          <w:lang w:val="lv-LV"/>
        </w:rPr>
        <w:t xml:space="preserve">, iesniegta </w:t>
      </w:r>
      <w:r w:rsidRPr="0018251B">
        <w:rPr>
          <w:lang w:val="lv-LV"/>
        </w:rPr>
        <w:t>ANO Vispārējās Konvencijas par klimata pārmaiņām un Kioto protokola ietvaros (</w:t>
      </w:r>
      <w:r w:rsidRPr="0068077E">
        <w:rPr>
          <w:lang w:val="lv-LV"/>
        </w:rPr>
        <w:t>https://unfccc.int/process-and-meetings/transparency-and-reporting/reporting-and-review-under-the-convention/greenhouse-gas-inventories-annex-i-parties/national-inventory-submissions-2018</w:t>
      </w:r>
      <w:r>
        <w:rPr>
          <w:lang w:val="lv-LV"/>
        </w:rPr>
        <w:t>).</w:t>
      </w:r>
    </w:p>
  </w:footnote>
  <w:footnote w:id="20">
    <w:p w14:paraId="4B34C9C2" w14:textId="70CEC1CC" w:rsidR="006208D7" w:rsidRPr="00A310F0" w:rsidRDefault="006208D7" w:rsidP="00977BCE">
      <w:pPr>
        <w:pStyle w:val="FootnoteText"/>
        <w:ind w:left="142" w:hanging="142"/>
        <w:rPr>
          <w:sz w:val="16"/>
          <w:szCs w:val="16"/>
          <w:lang w:val="lv-LV"/>
        </w:rPr>
      </w:pPr>
      <w:r w:rsidRPr="00977BCE">
        <w:rPr>
          <w:rStyle w:val="FootnoteReference"/>
        </w:rPr>
        <w:footnoteRef/>
      </w:r>
      <w:r w:rsidRPr="00977BCE">
        <w:rPr>
          <w:lang w:val="lv-LV"/>
        </w:rPr>
        <w:t xml:space="preserve"> </w:t>
      </w:r>
      <w:r>
        <w:rPr>
          <w:lang w:val="lv-LV"/>
        </w:rPr>
        <w:t>2017</w:t>
      </w:r>
      <w:r w:rsidRPr="00364804">
        <w:rPr>
          <w:lang w:val="lv-LV"/>
        </w:rPr>
        <w:t>.</w:t>
      </w:r>
      <w:r>
        <w:rPr>
          <w:lang w:val="lv-LV"/>
        </w:rPr>
        <w:t xml:space="preserve"> </w:t>
      </w:r>
      <w:r w:rsidRPr="00364804">
        <w:rPr>
          <w:lang w:val="lv-LV"/>
        </w:rPr>
        <w:t>gada EK iesniegtais ziņojums par politikām, pasākumiem un SEG prognozēm (</w:t>
      </w:r>
      <w:hyperlink r:id="rId4" w:history="1">
        <w:r w:rsidRPr="000A2E05">
          <w:rPr>
            <w:rStyle w:val="Hyperlink"/>
            <w:lang w:val="lv-LV"/>
          </w:rPr>
          <w:t>https://cdr.eionet.europa.eu/lv/eu/mmr/art04-13-14_lcds_pams_projections/projections/envws0bea/</w:t>
        </w:r>
      </w:hyperlink>
      <w:r>
        <w:rPr>
          <w:lang w:val="lv-LV"/>
        </w:rPr>
        <w:t>) un ekspertu novērtējums.</w:t>
      </w:r>
    </w:p>
    <w:p w14:paraId="432CEE52" w14:textId="77777777" w:rsidR="006208D7" w:rsidRPr="00485E50" w:rsidRDefault="006208D7" w:rsidP="003D3CB6">
      <w:pPr>
        <w:pStyle w:val="FootnoteText"/>
        <w:rPr>
          <w:lang w:val="lv-LV"/>
        </w:rPr>
      </w:pPr>
    </w:p>
  </w:footnote>
  <w:footnote w:id="21">
    <w:p w14:paraId="2DBF8746" w14:textId="02B98F6A" w:rsidR="006208D7" w:rsidRPr="0068077E" w:rsidRDefault="006208D7" w:rsidP="0068077E">
      <w:pPr>
        <w:pStyle w:val="FootnoteText"/>
        <w:ind w:left="142" w:hanging="142"/>
        <w:rPr>
          <w:sz w:val="16"/>
          <w:szCs w:val="16"/>
          <w:lang w:val="lv-LV"/>
        </w:rPr>
      </w:pPr>
      <w:r w:rsidRPr="00A310F0">
        <w:rPr>
          <w:rStyle w:val="FootnoteReference"/>
        </w:rPr>
        <w:footnoteRef/>
      </w:r>
      <w:r w:rsidRPr="00364804">
        <w:rPr>
          <w:lang w:val="lv-LV"/>
        </w:rPr>
        <w:t xml:space="preserve"> </w:t>
      </w:r>
      <w:r>
        <w:rPr>
          <w:lang w:val="lv-LV"/>
        </w:rPr>
        <w:t>2018</w:t>
      </w:r>
      <w:r w:rsidRPr="005B4E1E">
        <w:rPr>
          <w:lang w:val="lv-LV"/>
        </w:rPr>
        <w:t>. gada SEG inventarizācija, iesniegta ANO Vispārējās Konvencijas par klimata pārmaiņām un Kioto protokola ietvaros (</w:t>
      </w:r>
      <w:r w:rsidRPr="0068077E">
        <w:rPr>
          <w:lang w:val="lv-LV"/>
        </w:rPr>
        <w:t>https://unfccc.int/process-and-meetings/transparency-and-reporting/reporting-and-review-under-the-convention/greenhouse-gas-inventories-annex-i-parties/national-inventory-submissions-2018</w:t>
      </w:r>
      <w:r>
        <w:rPr>
          <w:lang w:val="lv-LV"/>
        </w:rPr>
        <w:t>); 2017</w:t>
      </w:r>
      <w:r w:rsidRPr="00364804">
        <w:rPr>
          <w:lang w:val="lv-LV"/>
        </w:rPr>
        <w:t>.</w:t>
      </w:r>
      <w:r>
        <w:rPr>
          <w:lang w:val="lv-LV"/>
        </w:rPr>
        <w:t> </w:t>
      </w:r>
      <w:r w:rsidRPr="00364804">
        <w:rPr>
          <w:lang w:val="lv-LV"/>
        </w:rPr>
        <w:t>gada E</w:t>
      </w:r>
      <w:r>
        <w:rPr>
          <w:lang w:val="lv-LV"/>
        </w:rPr>
        <w:t xml:space="preserve">iropas </w:t>
      </w:r>
      <w:r w:rsidRPr="00364804">
        <w:rPr>
          <w:lang w:val="lv-LV"/>
        </w:rPr>
        <w:t>K</w:t>
      </w:r>
      <w:r>
        <w:rPr>
          <w:lang w:val="lv-LV"/>
        </w:rPr>
        <w:t>omsiijā</w:t>
      </w:r>
      <w:r w:rsidRPr="00364804">
        <w:rPr>
          <w:lang w:val="lv-LV"/>
        </w:rPr>
        <w:t xml:space="preserve"> iesniegtais ziņojums par politikām, pasākumiem un SEG prognozēm (</w:t>
      </w:r>
      <w:hyperlink r:id="rId5" w:history="1">
        <w:r w:rsidRPr="000A2E05">
          <w:rPr>
            <w:rStyle w:val="Hyperlink"/>
            <w:lang w:val="lv-LV"/>
          </w:rPr>
          <w:t>https://cdr.eionet.europa.eu/lv/eu/mmr/art04-13-14_lcds_pams_projections/projections/envws0bea/</w:t>
        </w:r>
      </w:hyperlink>
      <w:r>
        <w:rPr>
          <w:lang w:val="lv-LV"/>
        </w:rPr>
        <w:t xml:space="preserve">) un ekspertu novērtējums. </w:t>
      </w:r>
      <w:r w:rsidRPr="00D86858">
        <w:rPr>
          <w:lang w:val="lv-LV"/>
        </w:rPr>
        <w:t>Atspoguļotie SEG mērķi ietver gan ETS, gan ne- ETS emisijas.</w:t>
      </w:r>
    </w:p>
  </w:footnote>
  <w:footnote w:id="22">
    <w:p w14:paraId="27B546D9" w14:textId="77777777" w:rsidR="006208D7" w:rsidRPr="00A310F0" w:rsidRDefault="006208D7" w:rsidP="00A64747">
      <w:pPr>
        <w:pStyle w:val="FootnoteText"/>
        <w:ind w:left="142" w:hanging="142"/>
        <w:rPr>
          <w:lang w:val="lv-LV"/>
        </w:rPr>
      </w:pPr>
      <w:r w:rsidRPr="00364804">
        <w:rPr>
          <w:rStyle w:val="FootnoteReference"/>
        </w:rPr>
        <w:footnoteRef/>
      </w:r>
      <w:r w:rsidRPr="00977BCE">
        <w:rPr>
          <w:lang w:val="lv-LV"/>
        </w:rPr>
        <w:t xml:space="preserve"> </w:t>
      </w:r>
      <w:r w:rsidRPr="00977BCE">
        <w:rPr>
          <w:shd w:val="clear" w:color="auto" w:fill="FFFFFF"/>
          <w:lang w:val="lv-LV"/>
        </w:rPr>
        <w:t>NACE</w:t>
      </w:r>
      <w:r w:rsidRPr="00977BCE">
        <w:rPr>
          <w:lang w:val="lv-LV"/>
        </w:rPr>
        <w:t xml:space="preserve"> </w:t>
      </w:r>
      <w:r w:rsidRPr="00977BCE">
        <w:rPr>
          <w:shd w:val="clear" w:color="auto" w:fill="FFFFFF"/>
          <w:lang w:val="lv-LV"/>
        </w:rPr>
        <w:t>05, 06, 07.21, 08.92, 09.1, 19.20, 35., 33., 36.–39., 45.–47., 52.–96., 99.</w:t>
      </w:r>
    </w:p>
  </w:footnote>
  <w:footnote w:id="23">
    <w:p w14:paraId="706BB212" w14:textId="77777777" w:rsidR="006208D7" w:rsidRPr="003D3CB6" w:rsidRDefault="006208D7" w:rsidP="00A64747">
      <w:pPr>
        <w:pStyle w:val="FootnoteText"/>
        <w:ind w:left="142" w:hanging="142"/>
        <w:rPr>
          <w:rFonts w:ascii="Calibri" w:hAnsi="Calibri"/>
          <w:lang w:val="lv-LV"/>
        </w:rPr>
      </w:pPr>
      <w:r w:rsidRPr="00A310F0">
        <w:rPr>
          <w:rStyle w:val="FootnoteReference"/>
        </w:rPr>
        <w:footnoteRef/>
      </w:r>
      <w:r w:rsidRPr="00977BCE">
        <w:rPr>
          <w:lang w:val="lv-LV"/>
        </w:rPr>
        <w:t xml:space="preserve"> </w:t>
      </w:r>
      <w:r w:rsidRPr="00977BCE">
        <w:rPr>
          <w:bCs/>
          <w:lang w:val="lv-LV"/>
        </w:rPr>
        <w:t>NACE 49., 50., 51., 52., 53</w:t>
      </w:r>
    </w:p>
  </w:footnote>
  <w:footnote w:id="24">
    <w:p w14:paraId="6E9B4210" w14:textId="77777777" w:rsidR="006208D7" w:rsidRPr="00A310F0" w:rsidRDefault="006208D7" w:rsidP="00474143">
      <w:pPr>
        <w:pStyle w:val="FootnoteText"/>
        <w:ind w:left="142" w:hanging="142"/>
        <w:rPr>
          <w:lang w:val="lv-LV"/>
        </w:rPr>
      </w:pPr>
      <w:r w:rsidRPr="00A310F0">
        <w:rPr>
          <w:rStyle w:val="FootnoteReference"/>
        </w:rPr>
        <w:footnoteRef/>
      </w:r>
      <w:r w:rsidRPr="00977BCE">
        <w:rPr>
          <w:lang w:val="lv-LV"/>
        </w:rPr>
        <w:t xml:space="preserve"> </w:t>
      </w:r>
      <w:r w:rsidRPr="00977BCE">
        <w:rPr>
          <w:bCs/>
          <w:lang w:val="lv-LV"/>
        </w:rPr>
        <w:t>NACE 23,</w:t>
      </w:r>
      <w:r w:rsidRPr="00977BCE">
        <w:rPr>
          <w:lang w:val="lv-LV"/>
        </w:rPr>
        <w:t xml:space="preserve"> </w:t>
      </w:r>
      <w:r w:rsidRPr="00977BCE">
        <w:rPr>
          <w:bCs/>
          <w:lang w:val="lv-LV"/>
        </w:rPr>
        <w:t>24,27, 28, 35, 43,45.</w:t>
      </w:r>
    </w:p>
  </w:footnote>
  <w:footnote w:id="25">
    <w:p w14:paraId="3DB455FF" w14:textId="25B395AC" w:rsidR="006208D7" w:rsidRPr="00636426" w:rsidRDefault="006208D7" w:rsidP="00636426">
      <w:pPr>
        <w:pStyle w:val="FootnoteText"/>
        <w:ind w:firstLine="0"/>
        <w:rPr>
          <w:lang w:val="lv-LV"/>
        </w:rPr>
      </w:pPr>
      <w:r>
        <w:rPr>
          <w:rStyle w:val="FootnoteReference"/>
        </w:rPr>
        <w:footnoteRef/>
      </w:r>
      <w:r w:rsidRPr="00DF770C">
        <w:rPr>
          <w:lang w:val="lv-LV"/>
        </w:rPr>
        <w:t xml:space="preserve"> Fluorētās siltumnīcefekta gāzes – fluorogļūdeņraži, perfluorogļūdeņraži, sēra heksafluorīds un citas siltumnīcefekta gāzes, kas satur fluoru, vai maisījumi, kas satur jebkuru no minētajām vielām, Eiropas Parlamenta un Pa</w:t>
      </w:r>
      <w:r>
        <w:rPr>
          <w:lang w:val="lv-LV"/>
        </w:rPr>
        <w:t xml:space="preserve">domes regula (ES) Nr. 517/2014 </w:t>
      </w:r>
    </w:p>
  </w:footnote>
  <w:footnote w:id="26">
    <w:p w14:paraId="6F2242EC" w14:textId="77777777" w:rsidR="006208D7" w:rsidRPr="00DF770C" w:rsidRDefault="006208D7" w:rsidP="00474143">
      <w:pPr>
        <w:pStyle w:val="FootnoteText"/>
        <w:ind w:left="142" w:hanging="142"/>
        <w:rPr>
          <w:bCs/>
          <w:lang w:val="lv-LV"/>
        </w:rPr>
      </w:pPr>
      <w:r w:rsidRPr="00A310F0">
        <w:rPr>
          <w:rStyle w:val="FootnoteReference"/>
        </w:rPr>
        <w:footnoteRef/>
      </w:r>
      <w:r w:rsidRPr="00DF770C">
        <w:rPr>
          <w:lang w:val="lv-LV"/>
        </w:rPr>
        <w:t xml:space="preserve"> </w:t>
      </w:r>
      <w:r w:rsidRPr="00DF770C">
        <w:rPr>
          <w:bCs/>
          <w:lang w:val="lv-LV"/>
        </w:rPr>
        <w:t>NACE 0.1</w:t>
      </w:r>
    </w:p>
  </w:footnote>
  <w:footnote w:id="27">
    <w:p w14:paraId="106E3CE4" w14:textId="77777777" w:rsidR="006208D7" w:rsidRPr="003D3CB6" w:rsidRDefault="006208D7" w:rsidP="00474143">
      <w:pPr>
        <w:pStyle w:val="FootnoteText"/>
        <w:ind w:left="142" w:hanging="142"/>
        <w:rPr>
          <w:rFonts w:ascii="Calibri" w:hAnsi="Calibri"/>
          <w:lang w:val="lv-LV"/>
        </w:rPr>
      </w:pPr>
      <w:r w:rsidRPr="000F6FBD">
        <w:rPr>
          <w:rStyle w:val="FootnoteReference"/>
        </w:rPr>
        <w:footnoteRef/>
      </w:r>
      <w:r w:rsidRPr="00DF770C">
        <w:rPr>
          <w:lang w:val="lv-LV"/>
        </w:rPr>
        <w:t xml:space="preserve"> </w:t>
      </w:r>
      <w:r w:rsidRPr="00DF770C">
        <w:rPr>
          <w:bCs/>
          <w:lang w:val="lv-LV"/>
        </w:rPr>
        <w:t>NACE 38</w:t>
      </w:r>
    </w:p>
  </w:footnote>
  <w:footnote w:id="28">
    <w:p w14:paraId="6F3FC857" w14:textId="3D462C33" w:rsidR="006208D7" w:rsidRPr="00315669" w:rsidRDefault="006208D7">
      <w:pPr>
        <w:pStyle w:val="FootnoteText"/>
        <w:rPr>
          <w:lang w:val="lv-LV"/>
        </w:rPr>
      </w:pPr>
      <w:r>
        <w:rPr>
          <w:rStyle w:val="FootnoteReference"/>
        </w:rPr>
        <w:footnoteRef/>
      </w:r>
      <w:r w:rsidRPr="00315669">
        <w:rPr>
          <w:lang w:val="lv-LV"/>
        </w:rPr>
        <w:t xml:space="preserve"> </w:t>
      </w:r>
      <w:r w:rsidRPr="00315669">
        <w:rPr>
          <w:color w:val="212121"/>
          <w:spacing w:val="-7"/>
        </w:rPr>
        <w:t>Baltic Energy Technology Scenarios 2018</w:t>
      </w:r>
      <w:r>
        <w:rPr>
          <w:color w:val="212121"/>
          <w:spacing w:val="-7"/>
        </w:rPr>
        <w:t xml:space="preserve"> (</w:t>
      </w:r>
      <w:r w:rsidRPr="00315669">
        <w:rPr>
          <w:color w:val="212121"/>
          <w:spacing w:val="-7"/>
        </w:rPr>
        <w:t>http://www.nordicenergy.org/project/digintobente/</w:t>
      </w:r>
      <w:r>
        <w:rPr>
          <w:color w:val="212121"/>
          <w:spacing w:val="-7"/>
        </w:rPr>
        <w:t>)</w:t>
      </w:r>
    </w:p>
  </w:footnote>
  <w:footnote w:id="29">
    <w:p w14:paraId="01F3C85B" w14:textId="0B9506B3" w:rsidR="006208D7" w:rsidRPr="0027492A" w:rsidRDefault="006208D7">
      <w:pPr>
        <w:pStyle w:val="FootnoteText"/>
        <w:rPr>
          <w:lang w:val="lv-LV"/>
        </w:rPr>
      </w:pPr>
      <w:r>
        <w:rPr>
          <w:rStyle w:val="FootnoteReference"/>
        </w:rPr>
        <w:footnoteRef/>
      </w:r>
      <w:r>
        <w:rPr>
          <w:lang w:val="lv-LV"/>
        </w:rPr>
        <w:t xml:space="preserve"> </w:t>
      </w:r>
      <w:r w:rsidRPr="0027492A">
        <w:rPr>
          <w:lang w:val="lv-LV"/>
        </w:rPr>
        <w:t xml:space="preserve"> Kopējās vēsturiskās un prognozētās SEG emisijas  Eiropas Komisijai un BENTE projekta ietvaros</w:t>
      </w:r>
    </w:p>
  </w:footnote>
  <w:footnote w:id="30">
    <w:p w14:paraId="47514E06" w14:textId="2B43A825" w:rsidR="006208D7" w:rsidRPr="00F44ACE" w:rsidRDefault="006208D7" w:rsidP="00972016">
      <w:pPr>
        <w:pStyle w:val="FootnoteText"/>
        <w:ind w:left="142" w:hanging="142"/>
        <w:rPr>
          <w:lang w:val="lv-LV"/>
        </w:rPr>
      </w:pPr>
      <w:r w:rsidRPr="00A310F0">
        <w:rPr>
          <w:rStyle w:val="FootnoteReference"/>
          <w:sz w:val="18"/>
          <w:szCs w:val="18"/>
        </w:rPr>
        <w:footnoteRef/>
      </w:r>
      <w:r>
        <w:rPr>
          <w:lang w:val="lv-LV"/>
        </w:rPr>
        <w:t>2018</w:t>
      </w:r>
      <w:r w:rsidRPr="0018251B">
        <w:rPr>
          <w:lang w:val="lv-LV"/>
        </w:rPr>
        <w:t>.</w:t>
      </w:r>
      <w:r>
        <w:rPr>
          <w:lang w:val="lv-LV"/>
        </w:rPr>
        <w:t xml:space="preserve"> </w:t>
      </w:r>
      <w:r w:rsidRPr="0018251B">
        <w:rPr>
          <w:lang w:val="lv-LV"/>
        </w:rPr>
        <w:t>gada SEG inventarizācija</w:t>
      </w:r>
      <w:r>
        <w:rPr>
          <w:lang w:val="lv-LV"/>
        </w:rPr>
        <w:t xml:space="preserve">, iesniegta </w:t>
      </w:r>
      <w:r w:rsidRPr="0018251B">
        <w:rPr>
          <w:lang w:val="lv-LV"/>
        </w:rPr>
        <w:t>ANO Vispārējās Konvencijas par klimata pārmaiņām un Kioto protokola ietvaros (</w:t>
      </w:r>
      <w:r w:rsidRPr="0068077E">
        <w:rPr>
          <w:lang w:val="lv-LV"/>
        </w:rPr>
        <w:t>https://unfccc.int/process-and-meetings/transparency-and-reporting/reporting-and-review-under-the-convention/greenhouse-gas-inventories-annex-i-parties/national-inventory-submissions-2018</w:t>
      </w:r>
      <w:r>
        <w:rPr>
          <w:lang w:val="lv-LV"/>
        </w:rPr>
        <w:t>);</w:t>
      </w:r>
    </w:p>
    <w:p w14:paraId="7022B2B1" w14:textId="2F16A997" w:rsidR="006208D7" w:rsidRPr="00F836C5" w:rsidRDefault="006208D7" w:rsidP="00977BCE">
      <w:pPr>
        <w:pStyle w:val="FootnoteText"/>
        <w:tabs>
          <w:tab w:val="left" w:pos="4820"/>
        </w:tabs>
        <w:ind w:left="142" w:hanging="142"/>
        <w:rPr>
          <w:lang w:val="lv-LV"/>
        </w:rPr>
      </w:pPr>
      <w:r>
        <w:rPr>
          <w:lang w:val="lv-LV"/>
        </w:rPr>
        <w:t xml:space="preserve"> 2017</w:t>
      </w:r>
      <w:r w:rsidRPr="00F836C5">
        <w:rPr>
          <w:lang w:val="lv-LV"/>
        </w:rPr>
        <w:t>.gada EK iesniegtais ziņojums par SEG politikām, pasākumiem un prognozēm (</w:t>
      </w:r>
      <w:r w:rsidRPr="00DF770C">
        <w:rPr>
          <w:lang w:val="lv-LV"/>
        </w:rPr>
        <w:t>https://cdr.eionet.europa.eu/lv/eu/mmr/art04-13-14_lcds_pams_projections/projections/envws0bea/</w:t>
      </w:r>
      <w:r w:rsidRPr="00A310F0">
        <w:rPr>
          <w:lang w:val="lv-LV"/>
        </w:rPr>
        <w:t xml:space="preserve">) </w:t>
      </w:r>
    </w:p>
  </w:footnote>
  <w:footnote w:id="31">
    <w:p w14:paraId="5D29FA60" w14:textId="77777777" w:rsidR="006208D7" w:rsidRPr="003C77D5" w:rsidRDefault="006208D7" w:rsidP="00972016">
      <w:pPr>
        <w:pStyle w:val="FootnoteText"/>
        <w:ind w:left="142" w:hanging="142"/>
        <w:rPr>
          <w:lang w:val="lv-LV"/>
        </w:rPr>
      </w:pPr>
      <w:r w:rsidRPr="00F836C5">
        <w:rPr>
          <w:rStyle w:val="FootnoteReference"/>
        </w:rPr>
        <w:footnoteRef/>
      </w:r>
      <w:r w:rsidRPr="00F836C5">
        <w:rPr>
          <w:lang w:val="lv-LV"/>
        </w:rPr>
        <w:t xml:space="preserve"> P</w:t>
      </w:r>
      <w:r w:rsidRPr="00F836C5">
        <w:rPr>
          <w:color w:val="000000"/>
          <w:shd w:val="clear" w:color="auto" w:fill="FFFFFF"/>
          <w:lang w:val="lv-LV"/>
        </w:rPr>
        <w:t>arāda divu vai vairāku mainīgo saistību t.i., kā, mainoties vienam mainīgajam, izmainās arī otrs.</w:t>
      </w:r>
    </w:p>
  </w:footnote>
  <w:footnote w:id="32">
    <w:p w14:paraId="2E77227F" w14:textId="77777777" w:rsidR="006208D7" w:rsidRPr="004E0A4D" w:rsidRDefault="006208D7" w:rsidP="00972016">
      <w:pPr>
        <w:pStyle w:val="FootnoteText"/>
        <w:rPr>
          <w:lang w:val="lv-LV"/>
        </w:rPr>
      </w:pPr>
      <w:r>
        <w:rPr>
          <w:rStyle w:val="FootnoteReference"/>
        </w:rPr>
        <w:footnoteRef/>
      </w:r>
      <w:r w:rsidRPr="004E0A4D">
        <w:rPr>
          <w:lang w:val="lv-LV"/>
        </w:rPr>
        <w:t xml:space="preserve"> </w:t>
      </w:r>
      <w:r w:rsidRPr="00DF770C">
        <w:rPr>
          <w:lang w:val="lv-LV"/>
        </w:rPr>
        <w:t>Avots: CSP</w:t>
      </w:r>
    </w:p>
  </w:footnote>
  <w:footnote w:id="33">
    <w:p w14:paraId="03EF2DA7" w14:textId="77777777" w:rsidR="006208D7" w:rsidRPr="00977BCE" w:rsidRDefault="006208D7" w:rsidP="00436909">
      <w:pPr>
        <w:pStyle w:val="FootnoteText"/>
        <w:ind w:left="142" w:hanging="142"/>
        <w:rPr>
          <w:lang w:val="lv-LV"/>
        </w:rPr>
      </w:pPr>
      <w:r w:rsidRPr="00977BCE">
        <w:rPr>
          <w:rStyle w:val="FootnoteReference"/>
        </w:rPr>
        <w:footnoteRef/>
      </w:r>
      <w:r w:rsidRPr="00544D36">
        <w:rPr>
          <w:lang w:val="lv-LV"/>
        </w:rPr>
        <w:t xml:space="preserve"> Daļa no sadzīves atkritumu īpatsvara ir bio</w:t>
      </w:r>
      <w:r>
        <w:rPr>
          <w:lang w:val="lv-LV"/>
        </w:rPr>
        <w:t>noārdāmie</w:t>
      </w:r>
      <w:r w:rsidRPr="00977BCE">
        <w:rPr>
          <w:lang w:val="lv-LV"/>
        </w:rPr>
        <w:t xml:space="preserve"> un biomasas atkritumi</w:t>
      </w:r>
    </w:p>
  </w:footnote>
  <w:footnote w:id="34">
    <w:p w14:paraId="41DBFC0D" w14:textId="42116382" w:rsidR="006208D7" w:rsidRPr="00DF770C" w:rsidRDefault="006208D7" w:rsidP="001B79A2">
      <w:pPr>
        <w:pStyle w:val="CommentText"/>
        <w:rPr>
          <w:lang w:val="lv-LV"/>
        </w:rPr>
      </w:pPr>
      <w:r w:rsidRPr="004E0A4D">
        <w:rPr>
          <w:rStyle w:val="FootnoteReference"/>
        </w:rPr>
        <w:footnoteRef/>
      </w:r>
      <w:r w:rsidRPr="00DF770C">
        <w:t xml:space="preserve"> </w:t>
      </w:r>
      <w:r w:rsidRPr="004E0A4D">
        <w:t>Avots: ANO Vides programma (UNEP)</w:t>
      </w:r>
      <w:r>
        <w:t xml:space="preserve">, </w:t>
      </w:r>
      <w:hyperlink r:id="rId6" w:history="1">
        <w:r w:rsidRPr="00722AA4">
          <w:rPr>
            <w:rStyle w:val="Hyperlink"/>
            <w:lang w:val="lv-LV"/>
          </w:rPr>
          <w:t>https://www.researchgate.net/figure/Global-material-extraction-in-billion-tons-and-global-GDP-in-trillion-US-2005_fig3_306290805</w:t>
        </w:r>
      </w:hyperlink>
    </w:p>
  </w:footnote>
  <w:footnote w:id="35">
    <w:p w14:paraId="2F615C02" w14:textId="77777777" w:rsidR="006208D7" w:rsidRDefault="006208D7" w:rsidP="00CA5EE0">
      <w:pPr>
        <w:pStyle w:val="FootnoteText"/>
        <w:ind w:left="142" w:hanging="142"/>
        <w:rPr>
          <w:lang w:val="lv-LV"/>
        </w:rPr>
      </w:pPr>
      <w:r>
        <w:rPr>
          <w:rStyle w:val="FootnoteReference"/>
        </w:rPr>
        <w:footnoteRef/>
      </w:r>
      <w:r w:rsidRPr="00DD039B">
        <w:rPr>
          <w:lang w:val="lv-LV"/>
        </w:rPr>
        <w:t xml:space="preserve"> </w:t>
      </w:r>
      <w:r>
        <w:rPr>
          <w:lang w:val="lv-LV"/>
        </w:rPr>
        <w:t>TEN-T – Eiropas transporta tīkls</w:t>
      </w:r>
    </w:p>
  </w:footnote>
  <w:footnote w:id="36">
    <w:p w14:paraId="45139809" w14:textId="77777777" w:rsidR="006208D7" w:rsidRPr="00F82FD1" w:rsidRDefault="006208D7" w:rsidP="00CA5EE0">
      <w:pPr>
        <w:ind w:left="142" w:hanging="142"/>
        <w:rPr>
          <w:rFonts w:ascii="Times" w:hAnsi="Times" w:cs="Times"/>
          <w:sz w:val="20"/>
          <w:szCs w:val="20"/>
        </w:rPr>
      </w:pPr>
      <w:r>
        <w:rPr>
          <w:rStyle w:val="FootnoteReference"/>
        </w:rPr>
        <w:footnoteRef/>
      </w:r>
      <w:r>
        <w:t xml:space="preserve"> </w:t>
      </w:r>
      <w:r w:rsidRPr="00F82FD1">
        <w:rPr>
          <w:rFonts w:ascii="Times" w:hAnsi="Times" w:cs="Times"/>
          <w:sz w:val="20"/>
          <w:szCs w:val="20"/>
        </w:rPr>
        <w:t>„Komodalitāte” nozīmē efektīvu to transporta veidu izmantošanu, kas darbojas individuāli vai</w:t>
      </w:r>
      <w:r>
        <w:rPr>
          <w:rFonts w:ascii="Times" w:hAnsi="Times" w:cs="Times"/>
          <w:sz w:val="20"/>
          <w:szCs w:val="20"/>
        </w:rPr>
        <w:t xml:space="preserve"> </w:t>
      </w:r>
      <w:r w:rsidRPr="00F82FD1">
        <w:rPr>
          <w:rFonts w:ascii="Times" w:hAnsi="Times" w:cs="Times"/>
          <w:sz w:val="20"/>
          <w:szCs w:val="20"/>
        </w:rPr>
        <w:t>iekļaujoties vairākveidu Eiropas kravu pārvadājumu sistēmā, lai optimāli izmantotu resursus ilgtspējīgā</w:t>
      </w:r>
      <w:r>
        <w:rPr>
          <w:rFonts w:ascii="Times" w:hAnsi="Times" w:cs="Times"/>
          <w:sz w:val="20"/>
          <w:szCs w:val="20"/>
        </w:rPr>
        <w:t xml:space="preserve"> </w:t>
      </w:r>
      <w:r w:rsidRPr="00F82FD1">
        <w:rPr>
          <w:rFonts w:ascii="Times" w:hAnsi="Times" w:cs="Times"/>
          <w:sz w:val="20"/>
          <w:szCs w:val="20"/>
        </w:rPr>
        <w:t xml:space="preserve">perspektīvā. </w:t>
      </w:r>
    </w:p>
  </w:footnote>
  <w:footnote w:id="37">
    <w:p w14:paraId="1BBC6CE9" w14:textId="77777777" w:rsidR="006208D7" w:rsidRPr="00F52009" w:rsidRDefault="006208D7" w:rsidP="00977BCE">
      <w:pPr>
        <w:pStyle w:val="FootnoteText"/>
        <w:ind w:left="142" w:hanging="142"/>
        <w:rPr>
          <w:lang w:val="lv-LV"/>
        </w:rPr>
      </w:pPr>
      <w:r>
        <w:rPr>
          <w:rStyle w:val="FootnoteReference"/>
        </w:rPr>
        <w:footnoteRef/>
      </w:r>
      <w:r>
        <w:t xml:space="preserve"> </w:t>
      </w:r>
      <w:r w:rsidRPr="00197EE2">
        <w:rPr>
          <w:sz w:val="24"/>
          <w:szCs w:val="24"/>
        </w:rPr>
        <w:t>Mēru Pakts (Compact of Mayors), Mēru Nolīgums (Covenant of Mayors), NAZCA (Non-state Actor Zone for Climate Action) un Mayors Adapt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5F759" w14:textId="77777777" w:rsidR="006208D7" w:rsidRPr="00CD1126" w:rsidRDefault="006208D7">
    <w:pPr>
      <w:pStyle w:val="Header"/>
      <w:jc w:val="center"/>
      <w:rPr>
        <w:szCs w:val="24"/>
      </w:rPr>
    </w:pPr>
    <w:r w:rsidRPr="00CD1126">
      <w:rPr>
        <w:szCs w:val="24"/>
      </w:rPr>
      <w:fldChar w:fldCharType="begin"/>
    </w:r>
    <w:r w:rsidRPr="00CD1126">
      <w:rPr>
        <w:szCs w:val="24"/>
      </w:rPr>
      <w:instrText xml:space="preserve"> PAGE   \* MERGEFORMAT </w:instrText>
    </w:r>
    <w:r w:rsidRPr="00CD1126">
      <w:rPr>
        <w:szCs w:val="24"/>
      </w:rPr>
      <w:fldChar w:fldCharType="separate"/>
    </w:r>
    <w:r w:rsidR="00D2035A">
      <w:rPr>
        <w:noProof/>
        <w:szCs w:val="24"/>
      </w:rPr>
      <w:t>43</w:t>
    </w:r>
    <w:r w:rsidRPr="00CD1126">
      <w:rPr>
        <w:noProof/>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5DA"/>
    <w:multiLevelType w:val="hybridMultilevel"/>
    <w:tmpl w:val="A07A150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E931F8"/>
    <w:multiLevelType w:val="hybridMultilevel"/>
    <w:tmpl w:val="E27069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0267B"/>
    <w:multiLevelType w:val="hybridMultilevel"/>
    <w:tmpl w:val="C394A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CF13CC"/>
    <w:multiLevelType w:val="hybridMultilevel"/>
    <w:tmpl w:val="8A5A34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7C3099"/>
    <w:multiLevelType w:val="hybridMultilevel"/>
    <w:tmpl w:val="4AC02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1A1A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3C4C41"/>
    <w:multiLevelType w:val="hybridMultilevel"/>
    <w:tmpl w:val="444A51A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6B01109"/>
    <w:multiLevelType w:val="hybridMultilevel"/>
    <w:tmpl w:val="8788D90A"/>
    <w:lvl w:ilvl="0" w:tplc="434881C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C05750"/>
    <w:multiLevelType w:val="hybridMultilevel"/>
    <w:tmpl w:val="B928B4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E83FDE"/>
    <w:multiLevelType w:val="hybridMultilevel"/>
    <w:tmpl w:val="E774F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821540"/>
    <w:multiLevelType w:val="hybridMultilevel"/>
    <w:tmpl w:val="01568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266B19"/>
    <w:multiLevelType w:val="hybridMultilevel"/>
    <w:tmpl w:val="D724257E"/>
    <w:lvl w:ilvl="0" w:tplc="C3563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5335EC6"/>
    <w:multiLevelType w:val="multilevel"/>
    <w:tmpl w:val="1988D7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73731E"/>
    <w:multiLevelType w:val="hybridMultilevel"/>
    <w:tmpl w:val="241EE4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F56AE1"/>
    <w:multiLevelType w:val="hybridMultilevel"/>
    <w:tmpl w:val="F522D104"/>
    <w:lvl w:ilvl="0" w:tplc="072A34E6">
      <w:start w:val="1"/>
      <w:numFmt w:val="bullet"/>
      <w:lvlText w:val="•"/>
      <w:lvlJc w:val="left"/>
      <w:pPr>
        <w:tabs>
          <w:tab w:val="num" w:pos="720"/>
        </w:tabs>
        <w:ind w:left="720" w:hanging="360"/>
      </w:pPr>
      <w:rPr>
        <w:rFonts w:ascii="Arial" w:hAnsi="Arial" w:hint="default"/>
      </w:rPr>
    </w:lvl>
    <w:lvl w:ilvl="1" w:tplc="B3D6B0FA" w:tentative="1">
      <w:start w:val="1"/>
      <w:numFmt w:val="bullet"/>
      <w:lvlText w:val="•"/>
      <w:lvlJc w:val="left"/>
      <w:pPr>
        <w:tabs>
          <w:tab w:val="num" w:pos="1440"/>
        </w:tabs>
        <w:ind w:left="1440" w:hanging="360"/>
      </w:pPr>
      <w:rPr>
        <w:rFonts w:ascii="Arial" w:hAnsi="Arial" w:hint="default"/>
      </w:rPr>
    </w:lvl>
    <w:lvl w:ilvl="2" w:tplc="E3F0FD82" w:tentative="1">
      <w:start w:val="1"/>
      <w:numFmt w:val="bullet"/>
      <w:lvlText w:val="•"/>
      <w:lvlJc w:val="left"/>
      <w:pPr>
        <w:tabs>
          <w:tab w:val="num" w:pos="2160"/>
        </w:tabs>
        <w:ind w:left="2160" w:hanging="360"/>
      </w:pPr>
      <w:rPr>
        <w:rFonts w:ascii="Arial" w:hAnsi="Arial" w:hint="default"/>
      </w:rPr>
    </w:lvl>
    <w:lvl w:ilvl="3" w:tplc="250EF9C4" w:tentative="1">
      <w:start w:val="1"/>
      <w:numFmt w:val="bullet"/>
      <w:lvlText w:val="•"/>
      <w:lvlJc w:val="left"/>
      <w:pPr>
        <w:tabs>
          <w:tab w:val="num" w:pos="2880"/>
        </w:tabs>
        <w:ind w:left="2880" w:hanging="360"/>
      </w:pPr>
      <w:rPr>
        <w:rFonts w:ascii="Arial" w:hAnsi="Arial" w:hint="default"/>
      </w:rPr>
    </w:lvl>
    <w:lvl w:ilvl="4" w:tplc="5C50E6B2" w:tentative="1">
      <w:start w:val="1"/>
      <w:numFmt w:val="bullet"/>
      <w:lvlText w:val="•"/>
      <w:lvlJc w:val="left"/>
      <w:pPr>
        <w:tabs>
          <w:tab w:val="num" w:pos="3600"/>
        </w:tabs>
        <w:ind w:left="3600" w:hanging="360"/>
      </w:pPr>
      <w:rPr>
        <w:rFonts w:ascii="Arial" w:hAnsi="Arial" w:hint="default"/>
      </w:rPr>
    </w:lvl>
    <w:lvl w:ilvl="5" w:tplc="EBF47C50" w:tentative="1">
      <w:start w:val="1"/>
      <w:numFmt w:val="bullet"/>
      <w:lvlText w:val="•"/>
      <w:lvlJc w:val="left"/>
      <w:pPr>
        <w:tabs>
          <w:tab w:val="num" w:pos="4320"/>
        </w:tabs>
        <w:ind w:left="4320" w:hanging="360"/>
      </w:pPr>
      <w:rPr>
        <w:rFonts w:ascii="Arial" w:hAnsi="Arial" w:hint="default"/>
      </w:rPr>
    </w:lvl>
    <w:lvl w:ilvl="6" w:tplc="A29A66F2" w:tentative="1">
      <w:start w:val="1"/>
      <w:numFmt w:val="bullet"/>
      <w:lvlText w:val="•"/>
      <w:lvlJc w:val="left"/>
      <w:pPr>
        <w:tabs>
          <w:tab w:val="num" w:pos="5040"/>
        </w:tabs>
        <w:ind w:left="5040" w:hanging="360"/>
      </w:pPr>
      <w:rPr>
        <w:rFonts w:ascii="Arial" w:hAnsi="Arial" w:hint="default"/>
      </w:rPr>
    </w:lvl>
    <w:lvl w:ilvl="7" w:tplc="F29AC534" w:tentative="1">
      <w:start w:val="1"/>
      <w:numFmt w:val="bullet"/>
      <w:lvlText w:val="•"/>
      <w:lvlJc w:val="left"/>
      <w:pPr>
        <w:tabs>
          <w:tab w:val="num" w:pos="5760"/>
        </w:tabs>
        <w:ind w:left="5760" w:hanging="360"/>
      </w:pPr>
      <w:rPr>
        <w:rFonts w:ascii="Arial" w:hAnsi="Arial" w:hint="default"/>
      </w:rPr>
    </w:lvl>
    <w:lvl w:ilvl="8" w:tplc="E5DCED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F87BAD"/>
    <w:multiLevelType w:val="hybridMultilevel"/>
    <w:tmpl w:val="E35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E1AC4"/>
    <w:multiLevelType w:val="hybridMultilevel"/>
    <w:tmpl w:val="FD1EE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7140D9"/>
    <w:multiLevelType w:val="hybridMultilevel"/>
    <w:tmpl w:val="AB8804D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AA01323"/>
    <w:multiLevelType w:val="hybridMultilevel"/>
    <w:tmpl w:val="5C34B9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7C558D"/>
    <w:multiLevelType w:val="hybridMultilevel"/>
    <w:tmpl w:val="764A86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B11A4B"/>
    <w:multiLevelType w:val="hybridMultilevel"/>
    <w:tmpl w:val="E9F869D4"/>
    <w:lvl w:ilvl="0" w:tplc="FDE4AE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EC52F03"/>
    <w:multiLevelType w:val="hybridMultilevel"/>
    <w:tmpl w:val="C4E2B94C"/>
    <w:lvl w:ilvl="0" w:tplc="0426000D">
      <w:start w:val="1"/>
      <w:numFmt w:val="bullet"/>
      <w:lvlText w:val=""/>
      <w:lvlJc w:val="left"/>
      <w:pPr>
        <w:ind w:left="720" w:hanging="360"/>
      </w:pPr>
      <w:rPr>
        <w:rFonts w:ascii="Wingdings" w:hAnsi="Wingdings" w:hint="default"/>
      </w:rPr>
    </w:lvl>
    <w:lvl w:ilvl="1" w:tplc="269CB06C">
      <w:numFmt w:val="bullet"/>
      <w:lvlText w:val="•"/>
      <w:lvlJc w:val="left"/>
      <w:pPr>
        <w:ind w:left="1530" w:hanging="45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1A7459"/>
    <w:multiLevelType w:val="hybridMultilevel"/>
    <w:tmpl w:val="B8BA4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0F723E"/>
    <w:multiLevelType w:val="multilevel"/>
    <w:tmpl w:val="A75026C2"/>
    <w:lvl w:ilvl="0">
      <w:start w:val="1"/>
      <w:numFmt w:val="decimal"/>
      <w:pStyle w:val="Heading1"/>
      <w:lvlText w:val="%1."/>
      <w:lvlJc w:val="left"/>
      <w:pPr>
        <w:ind w:left="502" w:hanging="360"/>
      </w:pPr>
      <w:rPr>
        <w:rFonts w:hint="default"/>
      </w:rPr>
    </w:lvl>
    <w:lvl w:ilvl="1">
      <w:start w:val="1"/>
      <w:numFmt w:val="decimal"/>
      <w:isLgl/>
      <w:lvlText w:val="2.%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4" w15:restartNumberingAfterBreak="0">
    <w:nsid w:val="66260633"/>
    <w:multiLevelType w:val="hybridMultilevel"/>
    <w:tmpl w:val="8284AB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6BF60FF2"/>
    <w:multiLevelType w:val="hybridMultilevel"/>
    <w:tmpl w:val="D06EAA4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6" w15:restartNumberingAfterBreak="0">
    <w:nsid w:val="6C5716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7309BC"/>
    <w:multiLevelType w:val="hybridMultilevel"/>
    <w:tmpl w:val="3A1E1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5C547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156112"/>
    <w:multiLevelType w:val="hybridMultilevel"/>
    <w:tmpl w:val="9A869A82"/>
    <w:lvl w:ilvl="0" w:tplc="ED742880">
      <w:start w:val="1"/>
      <w:numFmt w:val="bullet"/>
      <w:lvlText w:val="•"/>
      <w:lvlJc w:val="left"/>
      <w:pPr>
        <w:tabs>
          <w:tab w:val="num" w:pos="720"/>
        </w:tabs>
        <w:ind w:left="720" w:hanging="360"/>
      </w:pPr>
      <w:rPr>
        <w:rFonts w:ascii="Arial" w:hAnsi="Arial" w:hint="default"/>
      </w:rPr>
    </w:lvl>
    <w:lvl w:ilvl="1" w:tplc="FAE82094" w:tentative="1">
      <w:start w:val="1"/>
      <w:numFmt w:val="bullet"/>
      <w:lvlText w:val="•"/>
      <w:lvlJc w:val="left"/>
      <w:pPr>
        <w:tabs>
          <w:tab w:val="num" w:pos="1440"/>
        </w:tabs>
        <w:ind w:left="1440" w:hanging="360"/>
      </w:pPr>
      <w:rPr>
        <w:rFonts w:ascii="Arial" w:hAnsi="Arial" w:hint="default"/>
      </w:rPr>
    </w:lvl>
    <w:lvl w:ilvl="2" w:tplc="3760A944" w:tentative="1">
      <w:start w:val="1"/>
      <w:numFmt w:val="bullet"/>
      <w:lvlText w:val="•"/>
      <w:lvlJc w:val="left"/>
      <w:pPr>
        <w:tabs>
          <w:tab w:val="num" w:pos="2160"/>
        </w:tabs>
        <w:ind w:left="2160" w:hanging="360"/>
      </w:pPr>
      <w:rPr>
        <w:rFonts w:ascii="Arial" w:hAnsi="Arial" w:hint="default"/>
      </w:rPr>
    </w:lvl>
    <w:lvl w:ilvl="3" w:tplc="4A2281AC" w:tentative="1">
      <w:start w:val="1"/>
      <w:numFmt w:val="bullet"/>
      <w:lvlText w:val="•"/>
      <w:lvlJc w:val="left"/>
      <w:pPr>
        <w:tabs>
          <w:tab w:val="num" w:pos="2880"/>
        </w:tabs>
        <w:ind w:left="2880" w:hanging="360"/>
      </w:pPr>
      <w:rPr>
        <w:rFonts w:ascii="Arial" w:hAnsi="Arial" w:hint="default"/>
      </w:rPr>
    </w:lvl>
    <w:lvl w:ilvl="4" w:tplc="34FE4F86" w:tentative="1">
      <w:start w:val="1"/>
      <w:numFmt w:val="bullet"/>
      <w:lvlText w:val="•"/>
      <w:lvlJc w:val="left"/>
      <w:pPr>
        <w:tabs>
          <w:tab w:val="num" w:pos="3600"/>
        </w:tabs>
        <w:ind w:left="3600" w:hanging="360"/>
      </w:pPr>
      <w:rPr>
        <w:rFonts w:ascii="Arial" w:hAnsi="Arial" w:hint="default"/>
      </w:rPr>
    </w:lvl>
    <w:lvl w:ilvl="5" w:tplc="549E9B68" w:tentative="1">
      <w:start w:val="1"/>
      <w:numFmt w:val="bullet"/>
      <w:lvlText w:val="•"/>
      <w:lvlJc w:val="left"/>
      <w:pPr>
        <w:tabs>
          <w:tab w:val="num" w:pos="4320"/>
        </w:tabs>
        <w:ind w:left="4320" w:hanging="360"/>
      </w:pPr>
      <w:rPr>
        <w:rFonts w:ascii="Arial" w:hAnsi="Arial" w:hint="default"/>
      </w:rPr>
    </w:lvl>
    <w:lvl w:ilvl="6" w:tplc="7B54B966" w:tentative="1">
      <w:start w:val="1"/>
      <w:numFmt w:val="bullet"/>
      <w:lvlText w:val="•"/>
      <w:lvlJc w:val="left"/>
      <w:pPr>
        <w:tabs>
          <w:tab w:val="num" w:pos="5040"/>
        </w:tabs>
        <w:ind w:left="5040" w:hanging="360"/>
      </w:pPr>
      <w:rPr>
        <w:rFonts w:ascii="Arial" w:hAnsi="Arial" w:hint="default"/>
      </w:rPr>
    </w:lvl>
    <w:lvl w:ilvl="7" w:tplc="F25A1CBC" w:tentative="1">
      <w:start w:val="1"/>
      <w:numFmt w:val="bullet"/>
      <w:lvlText w:val="•"/>
      <w:lvlJc w:val="left"/>
      <w:pPr>
        <w:tabs>
          <w:tab w:val="num" w:pos="5760"/>
        </w:tabs>
        <w:ind w:left="5760" w:hanging="360"/>
      </w:pPr>
      <w:rPr>
        <w:rFonts w:ascii="Arial" w:hAnsi="Arial" w:hint="default"/>
      </w:rPr>
    </w:lvl>
    <w:lvl w:ilvl="8" w:tplc="CE88EB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D837AA"/>
    <w:multiLevelType w:val="hybridMultilevel"/>
    <w:tmpl w:val="0374DF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5328A1"/>
    <w:multiLevelType w:val="hybridMultilevel"/>
    <w:tmpl w:val="C1A67714"/>
    <w:lvl w:ilvl="0" w:tplc="3828C91A">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7EB1327C"/>
    <w:multiLevelType w:val="hybridMultilevel"/>
    <w:tmpl w:val="1BBC3A3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23"/>
  </w:num>
  <w:num w:numId="2">
    <w:abstractNumId w:val="3"/>
  </w:num>
  <w:num w:numId="3">
    <w:abstractNumId w:val="30"/>
  </w:num>
  <w:num w:numId="4">
    <w:abstractNumId w:val="18"/>
  </w:num>
  <w:num w:numId="5">
    <w:abstractNumId w:val="22"/>
  </w:num>
  <w:num w:numId="6">
    <w:abstractNumId w:val="21"/>
  </w:num>
  <w:num w:numId="7">
    <w:abstractNumId w:val="6"/>
  </w:num>
  <w:num w:numId="8">
    <w:abstractNumId w:val="11"/>
  </w:num>
  <w:num w:numId="9">
    <w:abstractNumId w:val="10"/>
  </w:num>
  <w:num w:numId="10">
    <w:abstractNumId w:val="24"/>
  </w:num>
  <w:num w:numId="11">
    <w:abstractNumId w:val="20"/>
  </w:num>
  <w:num w:numId="12">
    <w:abstractNumId w:val="27"/>
  </w:num>
  <w:num w:numId="13">
    <w:abstractNumId w:val="19"/>
  </w:num>
  <w:num w:numId="14">
    <w:abstractNumId w:val="2"/>
  </w:num>
  <w:num w:numId="15">
    <w:abstractNumId w:val="16"/>
  </w:num>
  <w:num w:numId="16">
    <w:abstractNumId w:val="0"/>
  </w:num>
  <w:num w:numId="17">
    <w:abstractNumId w:val="8"/>
  </w:num>
  <w:num w:numId="18">
    <w:abstractNumId w:val="14"/>
  </w:num>
  <w:num w:numId="19">
    <w:abstractNumId w:val="29"/>
  </w:num>
  <w:num w:numId="20">
    <w:abstractNumId w:val="1"/>
  </w:num>
  <w:num w:numId="21">
    <w:abstractNumId w:val="13"/>
  </w:num>
  <w:num w:numId="22">
    <w:abstractNumId w:val="9"/>
  </w:num>
  <w:num w:numId="23">
    <w:abstractNumId w:val="25"/>
  </w:num>
  <w:num w:numId="24">
    <w:abstractNumId w:val="28"/>
  </w:num>
  <w:num w:numId="25">
    <w:abstractNumId w:val="5"/>
  </w:num>
  <w:num w:numId="26">
    <w:abstractNumId w:val="12"/>
  </w:num>
  <w:num w:numId="27">
    <w:abstractNumId w:val="26"/>
  </w:num>
  <w:num w:numId="28">
    <w:abstractNumId w:val="32"/>
  </w:num>
  <w:num w:numId="29">
    <w:abstractNumId w:val="15"/>
  </w:num>
  <w:num w:numId="30">
    <w:abstractNumId w:val="7"/>
  </w:num>
  <w:num w:numId="31">
    <w:abstractNumId w:val="4"/>
  </w:num>
  <w:num w:numId="32">
    <w:abstractNumId w:val="17"/>
  </w:num>
  <w:num w:numId="3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09"/>
    <w:rsid w:val="00000487"/>
    <w:rsid w:val="00003CD2"/>
    <w:rsid w:val="0000645F"/>
    <w:rsid w:val="00006881"/>
    <w:rsid w:val="00011453"/>
    <w:rsid w:val="00011E58"/>
    <w:rsid w:val="00012E11"/>
    <w:rsid w:val="00013107"/>
    <w:rsid w:val="0001440F"/>
    <w:rsid w:val="00014745"/>
    <w:rsid w:val="00015B55"/>
    <w:rsid w:val="00016142"/>
    <w:rsid w:val="000162DD"/>
    <w:rsid w:val="000204C9"/>
    <w:rsid w:val="00020BA8"/>
    <w:rsid w:val="000226B5"/>
    <w:rsid w:val="00024365"/>
    <w:rsid w:val="000246AA"/>
    <w:rsid w:val="00026C26"/>
    <w:rsid w:val="0002758E"/>
    <w:rsid w:val="000327DE"/>
    <w:rsid w:val="000352B5"/>
    <w:rsid w:val="00036623"/>
    <w:rsid w:val="0003686E"/>
    <w:rsid w:val="00037F67"/>
    <w:rsid w:val="00040045"/>
    <w:rsid w:val="00041120"/>
    <w:rsid w:val="000439DE"/>
    <w:rsid w:val="00043E30"/>
    <w:rsid w:val="0004675C"/>
    <w:rsid w:val="000467B4"/>
    <w:rsid w:val="00047346"/>
    <w:rsid w:val="00047366"/>
    <w:rsid w:val="00050180"/>
    <w:rsid w:val="000518DB"/>
    <w:rsid w:val="00052C52"/>
    <w:rsid w:val="00055C98"/>
    <w:rsid w:val="0005736E"/>
    <w:rsid w:val="000574EC"/>
    <w:rsid w:val="00057E8A"/>
    <w:rsid w:val="00061410"/>
    <w:rsid w:val="00061D79"/>
    <w:rsid w:val="00062519"/>
    <w:rsid w:val="00062C89"/>
    <w:rsid w:val="00062F70"/>
    <w:rsid w:val="00063F18"/>
    <w:rsid w:val="0007150E"/>
    <w:rsid w:val="00084C47"/>
    <w:rsid w:val="000861D4"/>
    <w:rsid w:val="000864EB"/>
    <w:rsid w:val="00086EA6"/>
    <w:rsid w:val="00087F70"/>
    <w:rsid w:val="000905CC"/>
    <w:rsid w:val="0009136A"/>
    <w:rsid w:val="000923CD"/>
    <w:rsid w:val="00093940"/>
    <w:rsid w:val="000952D9"/>
    <w:rsid w:val="00096E84"/>
    <w:rsid w:val="000A1595"/>
    <w:rsid w:val="000A423E"/>
    <w:rsid w:val="000A4914"/>
    <w:rsid w:val="000A5049"/>
    <w:rsid w:val="000A6099"/>
    <w:rsid w:val="000A6E8F"/>
    <w:rsid w:val="000B0039"/>
    <w:rsid w:val="000B0CFC"/>
    <w:rsid w:val="000B233C"/>
    <w:rsid w:val="000B4B45"/>
    <w:rsid w:val="000B669E"/>
    <w:rsid w:val="000C1686"/>
    <w:rsid w:val="000C1890"/>
    <w:rsid w:val="000C2794"/>
    <w:rsid w:val="000D04CC"/>
    <w:rsid w:val="000D0E35"/>
    <w:rsid w:val="000D1B80"/>
    <w:rsid w:val="000D3DFB"/>
    <w:rsid w:val="000D5AB1"/>
    <w:rsid w:val="000D6FEA"/>
    <w:rsid w:val="000D7CB5"/>
    <w:rsid w:val="000E0987"/>
    <w:rsid w:val="000E245E"/>
    <w:rsid w:val="000E2D59"/>
    <w:rsid w:val="000E301F"/>
    <w:rsid w:val="000E6C5F"/>
    <w:rsid w:val="000F11F5"/>
    <w:rsid w:val="000F1DBB"/>
    <w:rsid w:val="000F2DBC"/>
    <w:rsid w:val="000F41CC"/>
    <w:rsid w:val="000F57CB"/>
    <w:rsid w:val="000F6FBD"/>
    <w:rsid w:val="000F7927"/>
    <w:rsid w:val="00100AB5"/>
    <w:rsid w:val="001016CD"/>
    <w:rsid w:val="001026F8"/>
    <w:rsid w:val="001028B8"/>
    <w:rsid w:val="00110E2B"/>
    <w:rsid w:val="001156EF"/>
    <w:rsid w:val="00120653"/>
    <w:rsid w:val="00120CE7"/>
    <w:rsid w:val="00122BD3"/>
    <w:rsid w:val="00124DF1"/>
    <w:rsid w:val="00126B6F"/>
    <w:rsid w:val="00126E9F"/>
    <w:rsid w:val="00127B79"/>
    <w:rsid w:val="00131050"/>
    <w:rsid w:val="00131577"/>
    <w:rsid w:val="001333D7"/>
    <w:rsid w:val="00133ED6"/>
    <w:rsid w:val="00134FC5"/>
    <w:rsid w:val="00135C2F"/>
    <w:rsid w:val="00136DB0"/>
    <w:rsid w:val="00137087"/>
    <w:rsid w:val="001471E3"/>
    <w:rsid w:val="001507B3"/>
    <w:rsid w:val="0015098B"/>
    <w:rsid w:val="001529AA"/>
    <w:rsid w:val="00152A3C"/>
    <w:rsid w:val="001533F0"/>
    <w:rsid w:val="00154294"/>
    <w:rsid w:val="0015466E"/>
    <w:rsid w:val="00160FD3"/>
    <w:rsid w:val="00162612"/>
    <w:rsid w:val="00162951"/>
    <w:rsid w:val="0016396E"/>
    <w:rsid w:val="00167A46"/>
    <w:rsid w:val="00170A91"/>
    <w:rsid w:val="00170BA3"/>
    <w:rsid w:val="00170E63"/>
    <w:rsid w:val="00171CA3"/>
    <w:rsid w:val="00172141"/>
    <w:rsid w:val="00172ED4"/>
    <w:rsid w:val="0017679F"/>
    <w:rsid w:val="0017745E"/>
    <w:rsid w:val="00177D21"/>
    <w:rsid w:val="00181CBB"/>
    <w:rsid w:val="0018251B"/>
    <w:rsid w:val="00191768"/>
    <w:rsid w:val="0019227C"/>
    <w:rsid w:val="001932AF"/>
    <w:rsid w:val="00194D0D"/>
    <w:rsid w:val="00195006"/>
    <w:rsid w:val="00197CE1"/>
    <w:rsid w:val="001A15E0"/>
    <w:rsid w:val="001A3E42"/>
    <w:rsid w:val="001A599E"/>
    <w:rsid w:val="001A5BFF"/>
    <w:rsid w:val="001A72FA"/>
    <w:rsid w:val="001B0BE5"/>
    <w:rsid w:val="001B0D92"/>
    <w:rsid w:val="001B165D"/>
    <w:rsid w:val="001B367E"/>
    <w:rsid w:val="001B7792"/>
    <w:rsid w:val="001B79A2"/>
    <w:rsid w:val="001C1F7F"/>
    <w:rsid w:val="001C520A"/>
    <w:rsid w:val="001C74F6"/>
    <w:rsid w:val="001D00E9"/>
    <w:rsid w:val="001E1112"/>
    <w:rsid w:val="001E11CC"/>
    <w:rsid w:val="001E1271"/>
    <w:rsid w:val="001E24A9"/>
    <w:rsid w:val="001E415B"/>
    <w:rsid w:val="001E5664"/>
    <w:rsid w:val="001F0B1B"/>
    <w:rsid w:val="001F2414"/>
    <w:rsid w:val="001F2FB5"/>
    <w:rsid w:val="001F38FB"/>
    <w:rsid w:val="001F3DA5"/>
    <w:rsid w:val="001F634C"/>
    <w:rsid w:val="00204B4A"/>
    <w:rsid w:val="00205044"/>
    <w:rsid w:val="002123AF"/>
    <w:rsid w:val="00213DAA"/>
    <w:rsid w:val="00216352"/>
    <w:rsid w:val="00216BFE"/>
    <w:rsid w:val="002172DB"/>
    <w:rsid w:val="00220D06"/>
    <w:rsid w:val="00225838"/>
    <w:rsid w:val="00231813"/>
    <w:rsid w:val="002328B6"/>
    <w:rsid w:val="00235B00"/>
    <w:rsid w:val="0023725C"/>
    <w:rsid w:val="0023746E"/>
    <w:rsid w:val="00240D8B"/>
    <w:rsid w:val="00241519"/>
    <w:rsid w:val="002452A4"/>
    <w:rsid w:val="00246950"/>
    <w:rsid w:val="00253268"/>
    <w:rsid w:val="00254C4F"/>
    <w:rsid w:val="00256C10"/>
    <w:rsid w:val="002571FA"/>
    <w:rsid w:val="0026018C"/>
    <w:rsid w:val="0026090D"/>
    <w:rsid w:val="00260B13"/>
    <w:rsid w:val="00262A17"/>
    <w:rsid w:val="00265C23"/>
    <w:rsid w:val="0026687E"/>
    <w:rsid w:val="00266BBD"/>
    <w:rsid w:val="00267C47"/>
    <w:rsid w:val="00271557"/>
    <w:rsid w:val="002737A4"/>
    <w:rsid w:val="0027492A"/>
    <w:rsid w:val="0027514A"/>
    <w:rsid w:val="00277308"/>
    <w:rsid w:val="002804E4"/>
    <w:rsid w:val="00280981"/>
    <w:rsid w:val="00281DC4"/>
    <w:rsid w:val="00282904"/>
    <w:rsid w:val="00283D50"/>
    <w:rsid w:val="00284098"/>
    <w:rsid w:val="00284B0B"/>
    <w:rsid w:val="00286E61"/>
    <w:rsid w:val="002870E6"/>
    <w:rsid w:val="00287D8E"/>
    <w:rsid w:val="0029054A"/>
    <w:rsid w:val="00293BA7"/>
    <w:rsid w:val="002945B4"/>
    <w:rsid w:val="00294690"/>
    <w:rsid w:val="00294A36"/>
    <w:rsid w:val="00295DBE"/>
    <w:rsid w:val="00296FCD"/>
    <w:rsid w:val="00297AAC"/>
    <w:rsid w:val="002A1774"/>
    <w:rsid w:val="002A20E1"/>
    <w:rsid w:val="002A3FFA"/>
    <w:rsid w:val="002B1476"/>
    <w:rsid w:val="002B3A2F"/>
    <w:rsid w:val="002B3AB1"/>
    <w:rsid w:val="002B418A"/>
    <w:rsid w:val="002B455D"/>
    <w:rsid w:val="002B48C7"/>
    <w:rsid w:val="002C00AE"/>
    <w:rsid w:val="002C0432"/>
    <w:rsid w:val="002C08D6"/>
    <w:rsid w:val="002C2898"/>
    <w:rsid w:val="002C2A8D"/>
    <w:rsid w:val="002C41F7"/>
    <w:rsid w:val="002C4527"/>
    <w:rsid w:val="002C4BFA"/>
    <w:rsid w:val="002C5940"/>
    <w:rsid w:val="002C62F8"/>
    <w:rsid w:val="002C78F7"/>
    <w:rsid w:val="002C7AE9"/>
    <w:rsid w:val="002C7EC5"/>
    <w:rsid w:val="002D03AF"/>
    <w:rsid w:val="002D3B5E"/>
    <w:rsid w:val="002D3FD1"/>
    <w:rsid w:val="002D4527"/>
    <w:rsid w:val="002D7CFB"/>
    <w:rsid w:val="002E0F93"/>
    <w:rsid w:val="002E2B76"/>
    <w:rsid w:val="002E3909"/>
    <w:rsid w:val="002E7C65"/>
    <w:rsid w:val="002F05F0"/>
    <w:rsid w:val="002F07FE"/>
    <w:rsid w:val="002F1579"/>
    <w:rsid w:val="002F4D4E"/>
    <w:rsid w:val="0030019F"/>
    <w:rsid w:val="003004E1"/>
    <w:rsid w:val="00302A96"/>
    <w:rsid w:val="00304495"/>
    <w:rsid w:val="00305EB8"/>
    <w:rsid w:val="003066AB"/>
    <w:rsid w:val="00306BF7"/>
    <w:rsid w:val="00307DD6"/>
    <w:rsid w:val="00311697"/>
    <w:rsid w:val="003122DA"/>
    <w:rsid w:val="00314E3D"/>
    <w:rsid w:val="00315669"/>
    <w:rsid w:val="003157D8"/>
    <w:rsid w:val="00316CB1"/>
    <w:rsid w:val="0031729C"/>
    <w:rsid w:val="00317F5A"/>
    <w:rsid w:val="00320120"/>
    <w:rsid w:val="00321F66"/>
    <w:rsid w:val="0032566B"/>
    <w:rsid w:val="00326525"/>
    <w:rsid w:val="003274C1"/>
    <w:rsid w:val="00327624"/>
    <w:rsid w:val="00330357"/>
    <w:rsid w:val="00330AC6"/>
    <w:rsid w:val="00330B29"/>
    <w:rsid w:val="00332376"/>
    <w:rsid w:val="00332710"/>
    <w:rsid w:val="00335643"/>
    <w:rsid w:val="00336805"/>
    <w:rsid w:val="0034022C"/>
    <w:rsid w:val="00341705"/>
    <w:rsid w:val="00342131"/>
    <w:rsid w:val="003427D8"/>
    <w:rsid w:val="0034301A"/>
    <w:rsid w:val="003444D5"/>
    <w:rsid w:val="00346D98"/>
    <w:rsid w:val="00355E27"/>
    <w:rsid w:val="00356A53"/>
    <w:rsid w:val="00362F22"/>
    <w:rsid w:val="003638F4"/>
    <w:rsid w:val="00363D98"/>
    <w:rsid w:val="003642F9"/>
    <w:rsid w:val="00364804"/>
    <w:rsid w:val="00366B19"/>
    <w:rsid w:val="0036752D"/>
    <w:rsid w:val="00367B69"/>
    <w:rsid w:val="0037006F"/>
    <w:rsid w:val="003770D7"/>
    <w:rsid w:val="00380524"/>
    <w:rsid w:val="00381561"/>
    <w:rsid w:val="00382CCE"/>
    <w:rsid w:val="003831D1"/>
    <w:rsid w:val="00385F81"/>
    <w:rsid w:val="003904AD"/>
    <w:rsid w:val="00391D8F"/>
    <w:rsid w:val="00395FC1"/>
    <w:rsid w:val="003A1E8B"/>
    <w:rsid w:val="003A4124"/>
    <w:rsid w:val="003A5286"/>
    <w:rsid w:val="003A6299"/>
    <w:rsid w:val="003A6A0B"/>
    <w:rsid w:val="003A7AE1"/>
    <w:rsid w:val="003A7FD5"/>
    <w:rsid w:val="003B27E8"/>
    <w:rsid w:val="003B4DCD"/>
    <w:rsid w:val="003B5A03"/>
    <w:rsid w:val="003B5F2A"/>
    <w:rsid w:val="003B6292"/>
    <w:rsid w:val="003B70CD"/>
    <w:rsid w:val="003D0A99"/>
    <w:rsid w:val="003D15ED"/>
    <w:rsid w:val="003D2670"/>
    <w:rsid w:val="003D3CB6"/>
    <w:rsid w:val="003D42F7"/>
    <w:rsid w:val="003D4E17"/>
    <w:rsid w:val="003D7101"/>
    <w:rsid w:val="003D744B"/>
    <w:rsid w:val="003E1E2B"/>
    <w:rsid w:val="003E5575"/>
    <w:rsid w:val="003E79AD"/>
    <w:rsid w:val="003F1271"/>
    <w:rsid w:val="003F22D5"/>
    <w:rsid w:val="003F5F0F"/>
    <w:rsid w:val="004011F2"/>
    <w:rsid w:val="004023C1"/>
    <w:rsid w:val="00411EBF"/>
    <w:rsid w:val="004147AB"/>
    <w:rsid w:val="00414C08"/>
    <w:rsid w:val="00415685"/>
    <w:rsid w:val="0041650B"/>
    <w:rsid w:val="0041728F"/>
    <w:rsid w:val="00424A2A"/>
    <w:rsid w:val="00426C1F"/>
    <w:rsid w:val="0043123E"/>
    <w:rsid w:val="0043351E"/>
    <w:rsid w:val="004359BC"/>
    <w:rsid w:val="00436909"/>
    <w:rsid w:val="00437D0D"/>
    <w:rsid w:val="004412D4"/>
    <w:rsid w:val="004422EE"/>
    <w:rsid w:val="00452D37"/>
    <w:rsid w:val="004561AE"/>
    <w:rsid w:val="00457A1B"/>
    <w:rsid w:val="00462096"/>
    <w:rsid w:val="00462362"/>
    <w:rsid w:val="0046382C"/>
    <w:rsid w:val="004653EF"/>
    <w:rsid w:val="00465B3F"/>
    <w:rsid w:val="00466A5D"/>
    <w:rsid w:val="00467B04"/>
    <w:rsid w:val="0047057E"/>
    <w:rsid w:val="00474143"/>
    <w:rsid w:val="0048304E"/>
    <w:rsid w:val="004833D0"/>
    <w:rsid w:val="004909D7"/>
    <w:rsid w:val="0049137E"/>
    <w:rsid w:val="004917D3"/>
    <w:rsid w:val="00492276"/>
    <w:rsid w:val="00493317"/>
    <w:rsid w:val="004934F5"/>
    <w:rsid w:val="00493D0C"/>
    <w:rsid w:val="00497E6C"/>
    <w:rsid w:val="004A30B6"/>
    <w:rsid w:val="004A5C96"/>
    <w:rsid w:val="004A7F5E"/>
    <w:rsid w:val="004B4125"/>
    <w:rsid w:val="004C121D"/>
    <w:rsid w:val="004C4D7B"/>
    <w:rsid w:val="004C5F1B"/>
    <w:rsid w:val="004C6E34"/>
    <w:rsid w:val="004C7A52"/>
    <w:rsid w:val="004D0EFA"/>
    <w:rsid w:val="004D5EE5"/>
    <w:rsid w:val="004E0A4D"/>
    <w:rsid w:val="004E0C02"/>
    <w:rsid w:val="004E153F"/>
    <w:rsid w:val="004E1FB6"/>
    <w:rsid w:val="004E430B"/>
    <w:rsid w:val="004E546B"/>
    <w:rsid w:val="004E6398"/>
    <w:rsid w:val="004E6A9A"/>
    <w:rsid w:val="004E6C92"/>
    <w:rsid w:val="004F0CC1"/>
    <w:rsid w:val="004F0DBC"/>
    <w:rsid w:val="004F1127"/>
    <w:rsid w:val="004F4183"/>
    <w:rsid w:val="004F7609"/>
    <w:rsid w:val="00502856"/>
    <w:rsid w:val="005028DB"/>
    <w:rsid w:val="0050619A"/>
    <w:rsid w:val="00507BD6"/>
    <w:rsid w:val="00507E27"/>
    <w:rsid w:val="005120C4"/>
    <w:rsid w:val="00513074"/>
    <w:rsid w:val="00513E8D"/>
    <w:rsid w:val="0051471C"/>
    <w:rsid w:val="00515901"/>
    <w:rsid w:val="00515D20"/>
    <w:rsid w:val="005162A8"/>
    <w:rsid w:val="005167B4"/>
    <w:rsid w:val="00517EF2"/>
    <w:rsid w:val="00520FEE"/>
    <w:rsid w:val="005219B6"/>
    <w:rsid w:val="00522086"/>
    <w:rsid w:val="00526856"/>
    <w:rsid w:val="005325CF"/>
    <w:rsid w:val="00532925"/>
    <w:rsid w:val="00532A51"/>
    <w:rsid w:val="00532D3B"/>
    <w:rsid w:val="00533350"/>
    <w:rsid w:val="00534BF7"/>
    <w:rsid w:val="00537162"/>
    <w:rsid w:val="005375F4"/>
    <w:rsid w:val="00544A51"/>
    <w:rsid w:val="00544C0E"/>
    <w:rsid w:val="00544D36"/>
    <w:rsid w:val="0054736E"/>
    <w:rsid w:val="00551470"/>
    <w:rsid w:val="00551BD2"/>
    <w:rsid w:val="0055562C"/>
    <w:rsid w:val="005571B7"/>
    <w:rsid w:val="00560D37"/>
    <w:rsid w:val="00561E92"/>
    <w:rsid w:val="00565C90"/>
    <w:rsid w:val="00567D66"/>
    <w:rsid w:val="00567F3A"/>
    <w:rsid w:val="00571865"/>
    <w:rsid w:val="005722F3"/>
    <w:rsid w:val="00574363"/>
    <w:rsid w:val="00575F2E"/>
    <w:rsid w:val="00580158"/>
    <w:rsid w:val="005838F3"/>
    <w:rsid w:val="00584913"/>
    <w:rsid w:val="00584B73"/>
    <w:rsid w:val="00584E35"/>
    <w:rsid w:val="00585193"/>
    <w:rsid w:val="00590862"/>
    <w:rsid w:val="0059167E"/>
    <w:rsid w:val="005926E8"/>
    <w:rsid w:val="00592BB8"/>
    <w:rsid w:val="005931F8"/>
    <w:rsid w:val="0059468D"/>
    <w:rsid w:val="005968F7"/>
    <w:rsid w:val="005970D7"/>
    <w:rsid w:val="005A0978"/>
    <w:rsid w:val="005A3B7D"/>
    <w:rsid w:val="005A51FF"/>
    <w:rsid w:val="005A5FEC"/>
    <w:rsid w:val="005B1F0E"/>
    <w:rsid w:val="005B2327"/>
    <w:rsid w:val="005B3331"/>
    <w:rsid w:val="005B4E1E"/>
    <w:rsid w:val="005B5865"/>
    <w:rsid w:val="005C1AED"/>
    <w:rsid w:val="005C4056"/>
    <w:rsid w:val="005C6BBD"/>
    <w:rsid w:val="005C793B"/>
    <w:rsid w:val="005D034B"/>
    <w:rsid w:val="005D3CA9"/>
    <w:rsid w:val="005D3F5D"/>
    <w:rsid w:val="005D49AD"/>
    <w:rsid w:val="005D6ED3"/>
    <w:rsid w:val="005D7FB4"/>
    <w:rsid w:val="005E0260"/>
    <w:rsid w:val="005E2D7E"/>
    <w:rsid w:val="005E5830"/>
    <w:rsid w:val="005F1169"/>
    <w:rsid w:val="005F167F"/>
    <w:rsid w:val="005F1971"/>
    <w:rsid w:val="005F2544"/>
    <w:rsid w:val="005F403B"/>
    <w:rsid w:val="005F41BF"/>
    <w:rsid w:val="005F5B3D"/>
    <w:rsid w:val="005F7A52"/>
    <w:rsid w:val="00601798"/>
    <w:rsid w:val="006038AF"/>
    <w:rsid w:val="006043BE"/>
    <w:rsid w:val="00604838"/>
    <w:rsid w:val="00605DC3"/>
    <w:rsid w:val="00606D55"/>
    <w:rsid w:val="006071E4"/>
    <w:rsid w:val="00610720"/>
    <w:rsid w:val="006122D9"/>
    <w:rsid w:val="00613C39"/>
    <w:rsid w:val="0061452D"/>
    <w:rsid w:val="006208D7"/>
    <w:rsid w:val="00624BF8"/>
    <w:rsid w:val="00625208"/>
    <w:rsid w:val="00630066"/>
    <w:rsid w:val="006330ED"/>
    <w:rsid w:val="00634A87"/>
    <w:rsid w:val="00634EF0"/>
    <w:rsid w:val="00636426"/>
    <w:rsid w:val="00641061"/>
    <w:rsid w:val="006416C6"/>
    <w:rsid w:val="00641E81"/>
    <w:rsid w:val="006442A5"/>
    <w:rsid w:val="00645C37"/>
    <w:rsid w:val="0064616A"/>
    <w:rsid w:val="006474CC"/>
    <w:rsid w:val="0065112F"/>
    <w:rsid w:val="006511F9"/>
    <w:rsid w:val="0065406B"/>
    <w:rsid w:val="00654286"/>
    <w:rsid w:val="00654DCB"/>
    <w:rsid w:val="006553EC"/>
    <w:rsid w:val="00655E5B"/>
    <w:rsid w:val="006579C2"/>
    <w:rsid w:val="00657A6A"/>
    <w:rsid w:val="00657F9B"/>
    <w:rsid w:val="00660168"/>
    <w:rsid w:val="00662BE8"/>
    <w:rsid w:val="00663AE3"/>
    <w:rsid w:val="00663EB4"/>
    <w:rsid w:val="00664812"/>
    <w:rsid w:val="006669C6"/>
    <w:rsid w:val="00667792"/>
    <w:rsid w:val="0066796D"/>
    <w:rsid w:val="006706C0"/>
    <w:rsid w:val="00670AED"/>
    <w:rsid w:val="00671409"/>
    <w:rsid w:val="006717E2"/>
    <w:rsid w:val="006722D7"/>
    <w:rsid w:val="006743D6"/>
    <w:rsid w:val="00674DC5"/>
    <w:rsid w:val="00675CB7"/>
    <w:rsid w:val="006762AA"/>
    <w:rsid w:val="00676CBB"/>
    <w:rsid w:val="006806AD"/>
    <w:rsid w:val="0068077E"/>
    <w:rsid w:val="00680CC2"/>
    <w:rsid w:val="0068273C"/>
    <w:rsid w:val="006827F1"/>
    <w:rsid w:val="006853EA"/>
    <w:rsid w:val="0068540B"/>
    <w:rsid w:val="00687BCE"/>
    <w:rsid w:val="006904D0"/>
    <w:rsid w:val="00692A95"/>
    <w:rsid w:val="00694CB1"/>
    <w:rsid w:val="00695C55"/>
    <w:rsid w:val="00697F79"/>
    <w:rsid w:val="006A1DF7"/>
    <w:rsid w:val="006A40F2"/>
    <w:rsid w:val="006A5B2D"/>
    <w:rsid w:val="006A6848"/>
    <w:rsid w:val="006A7707"/>
    <w:rsid w:val="006A7849"/>
    <w:rsid w:val="006B08BF"/>
    <w:rsid w:val="006B21FF"/>
    <w:rsid w:val="006B3CC7"/>
    <w:rsid w:val="006B675A"/>
    <w:rsid w:val="006C2879"/>
    <w:rsid w:val="006C2B9A"/>
    <w:rsid w:val="006C3301"/>
    <w:rsid w:val="006C5C8B"/>
    <w:rsid w:val="006C7B47"/>
    <w:rsid w:val="006D27E0"/>
    <w:rsid w:val="006D2AF6"/>
    <w:rsid w:val="006D390D"/>
    <w:rsid w:val="006D393D"/>
    <w:rsid w:val="006D7738"/>
    <w:rsid w:val="006D7B72"/>
    <w:rsid w:val="006E2F40"/>
    <w:rsid w:val="006E3B3E"/>
    <w:rsid w:val="006E45B1"/>
    <w:rsid w:val="006E54B4"/>
    <w:rsid w:val="006E7041"/>
    <w:rsid w:val="006E7581"/>
    <w:rsid w:val="006E7CA4"/>
    <w:rsid w:val="006F2466"/>
    <w:rsid w:val="006F2479"/>
    <w:rsid w:val="006F3472"/>
    <w:rsid w:val="006F519A"/>
    <w:rsid w:val="006F66C1"/>
    <w:rsid w:val="006F76FE"/>
    <w:rsid w:val="00700278"/>
    <w:rsid w:val="00707E95"/>
    <w:rsid w:val="00714161"/>
    <w:rsid w:val="007159FA"/>
    <w:rsid w:val="00716D83"/>
    <w:rsid w:val="00717249"/>
    <w:rsid w:val="00720F2D"/>
    <w:rsid w:val="0072282A"/>
    <w:rsid w:val="00726AE5"/>
    <w:rsid w:val="0072727D"/>
    <w:rsid w:val="00727594"/>
    <w:rsid w:val="00731C62"/>
    <w:rsid w:val="00736A69"/>
    <w:rsid w:val="00737FA6"/>
    <w:rsid w:val="007419B3"/>
    <w:rsid w:val="00742543"/>
    <w:rsid w:val="00742BCE"/>
    <w:rsid w:val="007448EC"/>
    <w:rsid w:val="00745909"/>
    <w:rsid w:val="007465AA"/>
    <w:rsid w:val="00747FF6"/>
    <w:rsid w:val="00751737"/>
    <w:rsid w:val="0075188B"/>
    <w:rsid w:val="00751FD9"/>
    <w:rsid w:val="00752A92"/>
    <w:rsid w:val="007541D0"/>
    <w:rsid w:val="007570B4"/>
    <w:rsid w:val="007613AF"/>
    <w:rsid w:val="007618D0"/>
    <w:rsid w:val="00767072"/>
    <w:rsid w:val="00767574"/>
    <w:rsid w:val="00770683"/>
    <w:rsid w:val="00771F88"/>
    <w:rsid w:val="00772F6C"/>
    <w:rsid w:val="00774695"/>
    <w:rsid w:val="00774D75"/>
    <w:rsid w:val="00775007"/>
    <w:rsid w:val="00775188"/>
    <w:rsid w:val="00775B9D"/>
    <w:rsid w:val="0077728A"/>
    <w:rsid w:val="00777DD2"/>
    <w:rsid w:val="00780628"/>
    <w:rsid w:val="00780B63"/>
    <w:rsid w:val="007818D6"/>
    <w:rsid w:val="00782899"/>
    <w:rsid w:val="00787B0A"/>
    <w:rsid w:val="00793E59"/>
    <w:rsid w:val="00795064"/>
    <w:rsid w:val="00795073"/>
    <w:rsid w:val="00795369"/>
    <w:rsid w:val="007A02D1"/>
    <w:rsid w:val="007A468D"/>
    <w:rsid w:val="007A4C69"/>
    <w:rsid w:val="007A54FB"/>
    <w:rsid w:val="007A67C6"/>
    <w:rsid w:val="007A6CF0"/>
    <w:rsid w:val="007A7113"/>
    <w:rsid w:val="007A733E"/>
    <w:rsid w:val="007B0BBD"/>
    <w:rsid w:val="007B0C1A"/>
    <w:rsid w:val="007B25B7"/>
    <w:rsid w:val="007B4253"/>
    <w:rsid w:val="007C10CB"/>
    <w:rsid w:val="007C2490"/>
    <w:rsid w:val="007C3DB9"/>
    <w:rsid w:val="007C5266"/>
    <w:rsid w:val="007C5D41"/>
    <w:rsid w:val="007C61D6"/>
    <w:rsid w:val="007D0AA8"/>
    <w:rsid w:val="007D0D54"/>
    <w:rsid w:val="007D3734"/>
    <w:rsid w:val="007D3914"/>
    <w:rsid w:val="007D3E49"/>
    <w:rsid w:val="007D62DD"/>
    <w:rsid w:val="007D7210"/>
    <w:rsid w:val="007D790B"/>
    <w:rsid w:val="007E136D"/>
    <w:rsid w:val="007E2CAF"/>
    <w:rsid w:val="007E74A1"/>
    <w:rsid w:val="007E76B9"/>
    <w:rsid w:val="007E7F05"/>
    <w:rsid w:val="007E7F7B"/>
    <w:rsid w:val="007F25DA"/>
    <w:rsid w:val="007F5AE0"/>
    <w:rsid w:val="007F78AA"/>
    <w:rsid w:val="00800A16"/>
    <w:rsid w:val="008024E0"/>
    <w:rsid w:val="00802E1A"/>
    <w:rsid w:val="008077BE"/>
    <w:rsid w:val="00807A4A"/>
    <w:rsid w:val="00814602"/>
    <w:rsid w:val="00814852"/>
    <w:rsid w:val="00817017"/>
    <w:rsid w:val="00820F80"/>
    <w:rsid w:val="00821FB2"/>
    <w:rsid w:val="008223BC"/>
    <w:rsid w:val="008226AA"/>
    <w:rsid w:val="00823FA6"/>
    <w:rsid w:val="0082430C"/>
    <w:rsid w:val="00826BED"/>
    <w:rsid w:val="00831194"/>
    <w:rsid w:val="0083273D"/>
    <w:rsid w:val="00832B86"/>
    <w:rsid w:val="00832CCA"/>
    <w:rsid w:val="00833B59"/>
    <w:rsid w:val="0083452B"/>
    <w:rsid w:val="00834DC0"/>
    <w:rsid w:val="00835F85"/>
    <w:rsid w:val="008360A9"/>
    <w:rsid w:val="008375B5"/>
    <w:rsid w:val="0083791A"/>
    <w:rsid w:val="00837F7F"/>
    <w:rsid w:val="00840D00"/>
    <w:rsid w:val="008464C0"/>
    <w:rsid w:val="008467AC"/>
    <w:rsid w:val="0084731E"/>
    <w:rsid w:val="00851E7E"/>
    <w:rsid w:val="00853D5F"/>
    <w:rsid w:val="00857DF9"/>
    <w:rsid w:val="0086064A"/>
    <w:rsid w:val="00861584"/>
    <w:rsid w:val="00862C1D"/>
    <w:rsid w:val="008631C1"/>
    <w:rsid w:val="008632B0"/>
    <w:rsid w:val="008633EE"/>
    <w:rsid w:val="008642D6"/>
    <w:rsid w:val="0086466C"/>
    <w:rsid w:val="00864B07"/>
    <w:rsid w:val="00864F8C"/>
    <w:rsid w:val="00865B73"/>
    <w:rsid w:val="008670FF"/>
    <w:rsid w:val="00867ABA"/>
    <w:rsid w:val="00870085"/>
    <w:rsid w:val="0087338B"/>
    <w:rsid w:val="0087600F"/>
    <w:rsid w:val="00883501"/>
    <w:rsid w:val="0089047A"/>
    <w:rsid w:val="00896C62"/>
    <w:rsid w:val="00896CAF"/>
    <w:rsid w:val="00897344"/>
    <w:rsid w:val="00897CC9"/>
    <w:rsid w:val="008A1832"/>
    <w:rsid w:val="008A49F2"/>
    <w:rsid w:val="008A7BB6"/>
    <w:rsid w:val="008B0156"/>
    <w:rsid w:val="008B4721"/>
    <w:rsid w:val="008B5E09"/>
    <w:rsid w:val="008B7D58"/>
    <w:rsid w:val="008C2258"/>
    <w:rsid w:val="008C5447"/>
    <w:rsid w:val="008C55C6"/>
    <w:rsid w:val="008C77DA"/>
    <w:rsid w:val="008C7C61"/>
    <w:rsid w:val="008C7D0F"/>
    <w:rsid w:val="008D0491"/>
    <w:rsid w:val="008D225B"/>
    <w:rsid w:val="008D317F"/>
    <w:rsid w:val="008D4344"/>
    <w:rsid w:val="008D6FEE"/>
    <w:rsid w:val="008E000F"/>
    <w:rsid w:val="008E3219"/>
    <w:rsid w:val="008E5933"/>
    <w:rsid w:val="008F5796"/>
    <w:rsid w:val="008F72EF"/>
    <w:rsid w:val="00902B1F"/>
    <w:rsid w:val="00905A47"/>
    <w:rsid w:val="00907253"/>
    <w:rsid w:val="00907DE8"/>
    <w:rsid w:val="00910317"/>
    <w:rsid w:val="00911B16"/>
    <w:rsid w:val="009124F4"/>
    <w:rsid w:val="00912D3E"/>
    <w:rsid w:val="00913873"/>
    <w:rsid w:val="009141ED"/>
    <w:rsid w:val="00914E08"/>
    <w:rsid w:val="00917892"/>
    <w:rsid w:val="00921199"/>
    <w:rsid w:val="00922256"/>
    <w:rsid w:val="009267EF"/>
    <w:rsid w:val="009317C7"/>
    <w:rsid w:val="00931EDB"/>
    <w:rsid w:val="009324E5"/>
    <w:rsid w:val="009328FF"/>
    <w:rsid w:val="0093351D"/>
    <w:rsid w:val="00936F9A"/>
    <w:rsid w:val="00936FEE"/>
    <w:rsid w:val="00940840"/>
    <w:rsid w:val="00941EC3"/>
    <w:rsid w:val="00950B81"/>
    <w:rsid w:val="00952583"/>
    <w:rsid w:val="00952D04"/>
    <w:rsid w:val="009532F4"/>
    <w:rsid w:val="00953B38"/>
    <w:rsid w:val="00953F95"/>
    <w:rsid w:val="00955AF0"/>
    <w:rsid w:val="009563AA"/>
    <w:rsid w:val="00956ADC"/>
    <w:rsid w:val="0095776E"/>
    <w:rsid w:val="00960334"/>
    <w:rsid w:val="009606C4"/>
    <w:rsid w:val="00960A69"/>
    <w:rsid w:val="009629A8"/>
    <w:rsid w:val="0096564E"/>
    <w:rsid w:val="00965F51"/>
    <w:rsid w:val="00970696"/>
    <w:rsid w:val="00972016"/>
    <w:rsid w:val="00977767"/>
    <w:rsid w:val="00977BCE"/>
    <w:rsid w:val="00980C62"/>
    <w:rsid w:val="00980E3D"/>
    <w:rsid w:val="00990960"/>
    <w:rsid w:val="009919B6"/>
    <w:rsid w:val="00991A86"/>
    <w:rsid w:val="00991EE5"/>
    <w:rsid w:val="009920AE"/>
    <w:rsid w:val="00992B1D"/>
    <w:rsid w:val="00993706"/>
    <w:rsid w:val="009951A0"/>
    <w:rsid w:val="00997436"/>
    <w:rsid w:val="009A0774"/>
    <w:rsid w:val="009A188B"/>
    <w:rsid w:val="009A4A33"/>
    <w:rsid w:val="009B037D"/>
    <w:rsid w:val="009B1C39"/>
    <w:rsid w:val="009B41BF"/>
    <w:rsid w:val="009B7017"/>
    <w:rsid w:val="009B7584"/>
    <w:rsid w:val="009C04E6"/>
    <w:rsid w:val="009C201E"/>
    <w:rsid w:val="009C2679"/>
    <w:rsid w:val="009C3ED2"/>
    <w:rsid w:val="009C42B2"/>
    <w:rsid w:val="009C5EA9"/>
    <w:rsid w:val="009C6A6C"/>
    <w:rsid w:val="009C786D"/>
    <w:rsid w:val="009C7AED"/>
    <w:rsid w:val="009D26D6"/>
    <w:rsid w:val="009D4499"/>
    <w:rsid w:val="009D69A7"/>
    <w:rsid w:val="009E1180"/>
    <w:rsid w:val="009E1FD4"/>
    <w:rsid w:val="009E26AF"/>
    <w:rsid w:val="009E2E3C"/>
    <w:rsid w:val="009E7CE9"/>
    <w:rsid w:val="009F59A8"/>
    <w:rsid w:val="009F6F4D"/>
    <w:rsid w:val="00A011CB"/>
    <w:rsid w:val="00A014E2"/>
    <w:rsid w:val="00A0185D"/>
    <w:rsid w:val="00A041D0"/>
    <w:rsid w:val="00A05791"/>
    <w:rsid w:val="00A05AEA"/>
    <w:rsid w:val="00A05FAB"/>
    <w:rsid w:val="00A06B4F"/>
    <w:rsid w:val="00A06DBB"/>
    <w:rsid w:val="00A07107"/>
    <w:rsid w:val="00A110FF"/>
    <w:rsid w:val="00A14DF8"/>
    <w:rsid w:val="00A16FA4"/>
    <w:rsid w:val="00A17133"/>
    <w:rsid w:val="00A17727"/>
    <w:rsid w:val="00A2083E"/>
    <w:rsid w:val="00A2111E"/>
    <w:rsid w:val="00A21814"/>
    <w:rsid w:val="00A222FE"/>
    <w:rsid w:val="00A22471"/>
    <w:rsid w:val="00A24AC1"/>
    <w:rsid w:val="00A26014"/>
    <w:rsid w:val="00A27C6D"/>
    <w:rsid w:val="00A30098"/>
    <w:rsid w:val="00A309E3"/>
    <w:rsid w:val="00A310F0"/>
    <w:rsid w:val="00A33C13"/>
    <w:rsid w:val="00A357CB"/>
    <w:rsid w:val="00A376D0"/>
    <w:rsid w:val="00A402E3"/>
    <w:rsid w:val="00A411FC"/>
    <w:rsid w:val="00A416AB"/>
    <w:rsid w:val="00A41E0B"/>
    <w:rsid w:val="00A461C9"/>
    <w:rsid w:val="00A46CC4"/>
    <w:rsid w:val="00A47121"/>
    <w:rsid w:val="00A47D06"/>
    <w:rsid w:val="00A514D3"/>
    <w:rsid w:val="00A57825"/>
    <w:rsid w:val="00A615DA"/>
    <w:rsid w:val="00A63811"/>
    <w:rsid w:val="00A64747"/>
    <w:rsid w:val="00A65511"/>
    <w:rsid w:val="00A6580F"/>
    <w:rsid w:val="00A7046C"/>
    <w:rsid w:val="00A7191C"/>
    <w:rsid w:val="00A727E5"/>
    <w:rsid w:val="00A72E83"/>
    <w:rsid w:val="00A73355"/>
    <w:rsid w:val="00A74595"/>
    <w:rsid w:val="00A7487A"/>
    <w:rsid w:val="00A74C79"/>
    <w:rsid w:val="00A77706"/>
    <w:rsid w:val="00A8094A"/>
    <w:rsid w:val="00A80C9F"/>
    <w:rsid w:val="00A815DA"/>
    <w:rsid w:val="00A823AA"/>
    <w:rsid w:val="00A84564"/>
    <w:rsid w:val="00A86A8C"/>
    <w:rsid w:val="00A8700D"/>
    <w:rsid w:val="00A90CCE"/>
    <w:rsid w:val="00A91AB7"/>
    <w:rsid w:val="00A91D81"/>
    <w:rsid w:val="00A9565E"/>
    <w:rsid w:val="00A956C1"/>
    <w:rsid w:val="00AA2CB3"/>
    <w:rsid w:val="00AA2CEF"/>
    <w:rsid w:val="00AA4432"/>
    <w:rsid w:val="00AA4BB5"/>
    <w:rsid w:val="00AA6258"/>
    <w:rsid w:val="00AA715A"/>
    <w:rsid w:val="00AB0B34"/>
    <w:rsid w:val="00AB10F8"/>
    <w:rsid w:val="00AB110D"/>
    <w:rsid w:val="00AB18D1"/>
    <w:rsid w:val="00AB2F37"/>
    <w:rsid w:val="00AB2FDA"/>
    <w:rsid w:val="00AB4237"/>
    <w:rsid w:val="00AB465E"/>
    <w:rsid w:val="00AB4C48"/>
    <w:rsid w:val="00AB5F5D"/>
    <w:rsid w:val="00AC0254"/>
    <w:rsid w:val="00AC18CB"/>
    <w:rsid w:val="00AC18D4"/>
    <w:rsid w:val="00AC1A3D"/>
    <w:rsid w:val="00AC1AD2"/>
    <w:rsid w:val="00AC24F1"/>
    <w:rsid w:val="00AC73A8"/>
    <w:rsid w:val="00AD0F0F"/>
    <w:rsid w:val="00AD4C29"/>
    <w:rsid w:val="00AD6532"/>
    <w:rsid w:val="00AD7375"/>
    <w:rsid w:val="00AE1B72"/>
    <w:rsid w:val="00AE4337"/>
    <w:rsid w:val="00AE5B36"/>
    <w:rsid w:val="00AE7060"/>
    <w:rsid w:val="00AE76C2"/>
    <w:rsid w:val="00AF2FD4"/>
    <w:rsid w:val="00AF3239"/>
    <w:rsid w:val="00AF4A60"/>
    <w:rsid w:val="00AF6141"/>
    <w:rsid w:val="00AF680B"/>
    <w:rsid w:val="00B0010E"/>
    <w:rsid w:val="00B02FB6"/>
    <w:rsid w:val="00B107B9"/>
    <w:rsid w:val="00B12174"/>
    <w:rsid w:val="00B12313"/>
    <w:rsid w:val="00B13E0E"/>
    <w:rsid w:val="00B14A86"/>
    <w:rsid w:val="00B16EA9"/>
    <w:rsid w:val="00B17758"/>
    <w:rsid w:val="00B1776D"/>
    <w:rsid w:val="00B2025D"/>
    <w:rsid w:val="00B23B1A"/>
    <w:rsid w:val="00B243BB"/>
    <w:rsid w:val="00B2503D"/>
    <w:rsid w:val="00B27B9A"/>
    <w:rsid w:val="00B3014A"/>
    <w:rsid w:val="00B30266"/>
    <w:rsid w:val="00B30B4F"/>
    <w:rsid w:val="00B3254D"/>
    <w:rsid w:val="00B32605"/>
    <w:rsid w:val="00B32E22"/>
    <w:rsid w:val="00B34829"/>
    <w:rsid w:val="00B36609"/>
    <w:rsid w:val="00B36B9A"/>
    <w:rsid w:val="00B37BF2"/>
    <w:rsid w:val="00B37E47"/>
    <w:rsid w:val="00B401FE"/>
    <w:rsid w:val="00B412F4"/>
    <w:rsid w:val="00B41C97"/>
    <w:rsid w:val="00B4390E"/>
    <w:rsid w:val="00B4495F"/>
    <w:rsid w:val="00B460DC"/>
    <w:rsid w:val="00B46BEA"/>
    <w:rsid w:val="00B55A50"/>
    <w:rsid w:val="00B562F2"/>
    <w:rsid w:val="00B608D3"/>
    <w:rsid w:val="00B614CB"/>
    <w:rsid w:val="00B62227"/>
    <w:rsid w:val="00B62A88"/>
    <w:rsid w:val="00B62EF2"/>
    <w:rsid w:val="00B63CF2"/>
    <w:rsid w:val="00B63E5A"/>
    <w:rsid w:val="00B65705"/>
    <w:rsid w:val="00B6599B"/>
    <w:rsid w:val="00B6773E"/>
    <w:rsid w:val="00B677C4"/>
    <w:rsid w:val="00B71133"/>
    <w:rsid w:val="00B72B4F"/>
    <w:rsid w:val="00B73678"/>
    <w:rsid w:val="00B737FF"/>
    <w:rsid w:val="00B8071E"/>
    <w:rsid w:val="00B818FE"/>
    <w:rsid w:val="00B831C5"/>
    <w:rsid w:val="00B833FC"/>
    <w:rsid w:val="00B83478"/>
    <w:rsid w:val="00B84AD2"/>
    <w:rsid w:val="00B86E64"/>
    <w:rsid w:val="00B87444"/>
    <w:rsid w:val="00B94BA7"/>
    <w:rsid w:val="00B95EBA"/>
    <w:rsid w:val="00B96162"/>
    <w:rsid w:val="00B97E8D"/>
    <w:rsid w:val="00BA0A83"/>
    <w:rsid w:val="00BA0AE8"/>
    <w:rsid w:val="00BA1926"/>
    <w:rsid w:val="00BA3B08"/>
    <w:rsid w:val="00BB00A2"/>
    <w:rsid w:val="00BB33AC"/>
    <w:rsid w:val="00BB3456"/>
    <w:rsid w:val="00BB36F3"/>
    <w:rsid w:val="00BB4930"/>
    <w:rsid w:val="00BB555E"/>
    <w:rsid w:val="00BB63CC"/>
    <w:rsid w:val="00BB72B9"/>
    <w:rsid w:val="00BB75F6"/>
    <w:rsid w:val="00BC0634"/>
    <w:rsid w:val="00BC07BC"/>
    <w:rsid w:val="00BC3EE8"/>
    <w:rsid w:val="00BC63E1"/>
    <w:rsid w:val="00BC768B"/>
    <w:rsid w:val="00BC7786"/>
    <w:rsid w:val="00BC7D24"/>
    <w:rsid w:val="00BD1D03"/>
    <w:rsid w:val="00BD1D42"/>
    <w:rsid w:val="00BD64C0"/>
    <w:rsid w:val="00BE0FD4"/>
    <w:rsid w:val="00BE2C2F"/>
    <w:rsid w:val="00BE35D9"/>
    <w:rsid w:val="00BE463D"/>
    <w:rsid w:val="00BE56C8"/>
    <w:rsid w:val="00BE6D8E"/>
    <w:rsid w:val="00BF1092"/>
    <w:rsid w:val="00BF20B2"/>
    <w:rsid w:val="00BF4F78"/>
    <w:rsid w:val="00BF5567"/>
    <w:rsid w:val="00BF63B0"/>
    <w:rsid w:val="00C0054A"/>
    <w:rsid w:val="00C010FE"/>
    <w:rsid w:val="00C02A7D"/>
    <w:rsid w:val="00C03EB8"/>
    <w:rsid w:val="00C054A0"/>
    <w:rsid w:val="00C07134"/>
    <w:rsid w:val="00C10DEF"/>
    <w:rsid w:val="00C13002"/>
    <w:rsid w:val="00C15A36"/>
    <w:rsid w:val="00C209DA"/>
    <w:rsid w:val="00C22479"/>
    <w:rsid w:val="00C240A3"/>
    <w:rsid w:val="00C2514E"/>
    <w:rsid w:val="00C256C0"/>
    <w:rsid w:val="00C3041A"/>
    <w:rsid w:val="00C3044A"/>
    <w:rsid w:val="00C309B5"/>
    <w:rsid w:val="00C30E15"/>
    <w:rsid w:val="00C318B2"/>
    <w:rsid w:val="00C322C0"/>
    <w:rsid w:val="00C327CB"/>
    <w:rsid w:val="00C3308A"/>
    <w:rsid w:val="00C33E4A"/>
    <w:rsid w:val="00C34EFB"/>
    <w:rsid w:val="00C3577B"/>
    <w:rsid w:val="00C37507"/>
    <w:rsid w:val="00C37EC2"/>
    <w:rsid w:val="00C405C5"/>
    <w:rsid w:val="00C40624"/>
    <w:rsid w:val="00C42080"/>
    <w:rsid w:val="00C420D5"/>
    <w:rsid w:val="00C43458"/>
    <w:rsid w:val="00C43D62"/>
    <w:rsid w:val="00C44E84"/>
    <w:rsid w:val="00C46E9B"/>
    <w:rsid w:val="00C479A1"/>
    <w:rsid w:val="00C47E5C"/>
    <w:rsid w:val="00C50745"/>
    <w:rsid w:val="00C56225"/>
    <w:rsid w:val="00C60CC1"/>
    <w:rsid w:val="00C6186B"/>
    <w:rsid w:val="00C62F6E"/>
    <w:rsid w:val="00C67285"/>
    <w:rsid w:val="00C7053A"/>
    <w:rsid w:val="00C70F06"/>
    <w:rsid w:val="00C7169E"/>
    <w:rsid w:val="00C71C2B"/>
    <w:rsid w:val="00C745D3"/>
    <w:rsid w:val="00C74C2E"/>
    <w:rsid w:val="00C74C86"/>
    <w:rsid w:val="00C75394"/>
    <w:rsid w:val="00C755AB"/>
    <w:rsid w:val="00C76E37"/>
    <w:rsid w:val="00C77F9A"/>
    <w:rsid w:val="00C8059F"/>
    <w:rsid w:val="00C81076"/>
    <w:rsid w:val="00C82396"/>
    <w:rsid w:val="00C82B05"/>
    <w:rsid w:val="00C83B93"/>
    <w:rsid w:val="00C85742"/>
    <w:rsid w:val="00C87136"/>
    <w:rsid w:val="00C942C7"/>
    <w:rsid w:val="00C946CF"/>
    <w:rsid w:val="00C94F9E"/>
    <w:rsid w:val="00C95177"/>
    <w:rsid w:val="00C9529F"/>
    <w:rsid w:val="00C9659E"/>
    <w:rsid w:val="00C968AB"/>
    <w:rsid w:val="00CA23E5"/>
    <w:rsid w:val="00CA57AD"/>
    <w:rsid w:val="00CA5EE0"/>
    <w:rsid w:val="00CA6BBC"/>
    <w:rsid w:val="00CA7704"/>
    <w:rsid w:val="00CB0EEE"/>
    <w:rsid w:val="00CB24E5"/>
    <w:rsid w:val="00CB5CAD"/>
    <w:rsid w:val="00CB6D8E"/>
    <w:rsid w:val="00CB6E91"/>
    <w:rsid w:val="00CC125D"/>
    <w:rsid w:val="00CC29CA"/>
    <w:rsid w:val="00CC2FB4"/>
    <w:rsid w:val="00CC3C12"/>
    <w:rsid w:val="00CC484D"/>
    <w:rsid w:val="00CC5DAB"/>
    <w:rsid w:val="00CC7DBC"/>
    <w:rsid w:val="00CD02FA"/>
    <w:rsid w:val="00CD0457"/>
    <w:rsid w:val="00CD1126"/>
    <w:rsid w:val="00CD1E46"/>
    <w:rsid w:val="00CD36E6"/>
    <w:rsid w:val="00CD5BA1"/>
    <w:rsid w:val="00CD6AA5"/>
    <w:rsid w:val="00CE2052"/>
    <w:rsid w:val="00CE2165"/>
    <w:rsid w:val="00CE24AA"/>
    <w:rsid w:val="00CE463F"/>
    <w:rsid w:val="00CE5181"/>
    <w:rsid w:val="00CE5502"/>
    <w:rsid w:val="00CE7080"/>
    <w:rsid w:val="00CF1984"/>
    <w:rsid w:val="00CF1FCB"/>
    <w:rsid w:val="00CF2A66"/>
    <w:rsid w:val="00CF3967"/>
    <w:rsid w:val="00CF5B6C"/>
    <w:rsid w:val="00CF5DA6"/>
    <w:rsid w:val="00D004BF"/>
    <w:rsid w:val="00D0269E"/>
    <w:rsid w:val="00D05068"/>
    <w:rsid w:val="00D05538"/>
    <w:rsid w:val="00D05BAE"/>
    <w:rsid w:val="00D070A2"/>
    <w:rsid w:val="00D07DFD"/>
    <w:rsid w:val="00D13AB1"/>
    <w:rsid w:val="00D13F8B"/>
    <w:rsid w:val="00D15431"/>
    <w:rsid w:val="00D155F7"/>
    <w:rsid w:val="00D202C8"/>
    <w:rsid w:val="00D2035A"/>
    <w:rsid w:val="00D20908"/>
    <w:rsid w:val="00D2147A"/>
    <w:rsid w:val="00D25C8A"/>
    <w:rsid w:val="00D2796A"/>
    <w:rsid w:val="00D304D3"/>
    <w:rsid w:val="00D30B33"/>
    <w:rsid w:val="00D31F37"/>
    <w:rsid w:val="00D32999"/>
    <w:rsid w:val="00D32B08"/>
    <w:rsid w:val="00D33770"/>
    <w:rsid w:val="00D34568"/>
    <w:rsid w:val="00D349BB"/>
    <w:rsid w:val="00D36457"/>
    <w:rsid w:val="00D36BFF"/>
    <w:rsid w:val="00D37F33"/>
    <w:rsid w:val="00D40568"/>
    <w:rsid w:val="00D44BBD"/>
    <w:rsid w:val="00D45E66"/>
    <w:rsid w:val="00D47588"/>
    <w:rsid w:val="00D4771A"/>
    <w:rsid w:val="00D50877"/>
    <w:rsid w:val="00D5184C"/>
    <w:rsid w:val="00D533C2"/>
    <w:rsid w:val="00D54270"/>
    <w:rsid w:val="00D542D0"/>
    <w:rsid w:val="00D60E04"/>
    <w:rsid w:val="00D63861"/>
    <w:rsid w:val="00D644CF"/>
    <w:rsid w:val="00D64A46"/>
    <w:rsid w:val="00D64CDC"/>
    <w:rsid w:val="00D65015"/>
    <w:rsid w:val="00D6531B"/>
    <w:rsid w:val="00D67E58"/>
    <w:rsid w:val="00D731B6"/>
    <w:rsid w:val="00D7375E"/>
    <w:rsid w:val="00D73C57"/>
    <w:rsid w:val="00D73E1E"/>
    <w:rsid w:val="00D742D1"/>
    <w:rsid w:val="00D7578C"/>
    <w:rsid w:val="00D80DD6"/>
    <w:rsid w:val="00D834B3"/>
    <w:rsid w:val="00D85B50"/>
    <w:rsid w:val="00D86858"/>
    <w:rsid w:val="00D93BDE"/>
    <w:rsid w:val="00D93FAD"/>
    <w:rsid w:val="00D943C6"/>
    <w:rsid w:val="00D96B6C"/>
    <w:rsid w:val="00DA1DCA"/>
    <w:rsid w:val="00DA2695"/>
    <w:rsid w:val="00DA5BB6"/>
    <w:rsid w:val="00DA5E83"/>
    <w:rsid w:val="00DA6B62"/>
    <w:rsid w:val="00DA74F6"/>
    <w:rsid w:val="00DB0920"/>
    <w:rsid w:val="00DB106C"/>
    <w:rsid w:val="00DB3712"/>
    <w:rsid w:val="00DB3AAC"/>
    <w:rsid w:val="00DC0386"/>
    <w:rsid w:val="00DC0855"/>
    <w:rsid w:val="00DC14B6"/>
    <w:rsid w:val="00DC1F0B"/>
    <w:rsid w:val="00DC22A3"/>
    <w:rsid w:val="00DC2AD5"/>
    <w:rsid w:val="00DC541B"/>
    <w:rsid w:val="00DC5B65"/>
    <w:rsid w:val="00DC76A7"/>
    <w:rsid w:val="00DD06F6"/>
    <w:rsid w:val="00DD3E5F"/>
    <w:rsid w:val="00DD4609"/>
    <w:rsid w:val="00DD6755"/>
    <w:rsid w:val="00DE45D2"/>
    <w:rsid w:val="00DE5383"/>
    <w:rsid w:val="00DE5577"/>
    <w:rsid w:val="00DE5C57"/>
    <w:rsid w:val="00DF06F0"/>
    <w:rsid w:val="00DF33EC"/>
    <w:rsid w:val="00DF4067"/>
    <w:rsid w:val="00DF46C5"/>
    <w:rsid w:val="00DF54BF"/>
    <w:rsid w:val="00DF5880"/>
    <w:rsid w:val="00DF5CD3"/>
    <w:rsid w:val="00DF770C"/>
    <w:rsid w:val="00DF7771"/>
    <w:rsid w:val="00E00AD5"/>
    <w:rsid w:val="00E00D22"/>
    <w:rsid w:val="00E028FA"/>
    <w:rsid w:val="00E02B6C"/>
    <w:rsid w:val="00E047CD"/>
    <w:rsid w:val="00E10F5F"/>
    <w:rsid w:val="00E114EF"/>
    <w:rsid w:val="00E11717"/>
    <w:rsid w:val="00E11AFD"/>
    <w:rsid w:val="00E1262A"/>
    <w:rsid w:val="00E12EF7"/>
    <w:rsid w:val="00E12F63"/>
    <w:rsid w:val="00E1388E"/>
    <w:rsid w:val="00E13C24"/>
    <w:rsid w:val="00E13D4F"/>
    <w:rsid w:val="00E1550B"/>
    <w:rsid w:val="00E214D1"/>
    <w:rsid w:val="00E2246C"/>
    <w:rsid w:val="00E236B3"/>
    <w:rsid w:val="00E250BF"/>
    <w:rsid w:val="00E25B30"/>
    <w:rsid w:val="00E25DBE"/>
    <w:rsid w:val="00E2784F"/>
    <w:rsid w:val="00E27A26"/>
    <w:rsid w:val="00E30F8F"/>
    <w:rsid w:val="00E32352"/>
    <w:rsid w:val="00E32831"/>
    <w:rsid w:val="00E32916"/>
    <w:rsid w:val="00E333AA"/>
    <w:rsid w:val="00E3365E"/>
    <w:rsid w:val="00E33990"/>
    <w:rsid w:val="00E36897"/>
    <w:rsid w:val="00E36ACB"/>
    <w:rsid w:val="00E37008"/>
    <w:rsid w:val="00E40544"/>
    <w:rsid w:val="00E409FF"/>
    <w:rsid w:val="00E40B78"/>
    <w:rsid w:val="00E41AE4"/>
    <w:rsid w:val="00E42CD6"/>
    <w:rsid w:val="00E45F5B"/>
    <w:rsid w:val="00E46871"/>
    <w:rsid w:val="00E47C12"/>
    <w:rsid w:val="00E500C4"/>
    <w:rsid w:val="00E500D0"/>
    <w:rsid w:val="00E52A88"/>
    <w:rsid w:val="00E5522C"/>
    <w:rsid w:val="00E553A1"/>
    <w:rsid w:val="00E554CF"/>
    <w:rsid w:val="00E55BC1"/>
    <w:rsid w:val="00E565DB"/>
    <w:rsid w:val="00E63E12"/>
    <w:rsid w:val="00E647E4"/>
    <w:rsid w:val="00E66AFF"/>
    <w:rsid w:val="00E67A3F"/>
    <w:rsid w:val="00E74936"/>
    <w:rsid w:val="00E75CA3"/>
    <w:rsid w:val="00E766A2"/>
    <w:rsid w:val="00E76F78"/>
    <w:rsid w:val="00E773F8"/>
    <w:rsid w:val="00E826C6"/>
    <w:rsid w:val="00E82D60"/>
    <w:rsid w:val="00E87698"/>
    <w:rsid w:val="00E87CAE"/>
    <w:rsid w:val="00E90167"/>
    <w:rsid w:val="00E9191D"/>
    <w:rsid w:val="00E9427A"/>
    <w:rsid w:val="00E96BC1"/>
    <w:rsid w:val="00EA1719"/>
    <w:rsid w:val="00EA2B7B"/>
    <w:rsid w:val="00EA5BCA"/>
    <w:rsid w:val="00EA665A"/>
    <w:rsid w:val="00EA7367"/>
    <w:rsid w:val="00EB08B6"/>
    <w:rsid w:val="00EB38BC"/>
    <w:rsid w:val="00EB3C64"/>
    <w:rsid w:val="00EB4791"/>
    <w:rsid w:val="00EC04AA"/>
    <w:rsid w:val="00EC2238"/>
    <w:rsid w:val="00EC3B90"/>
    <w:rsid w:val="00EC3D83"/>
    <w:rsid w:val="00EC4C08"/>
    <w:rsid w:val="00EC52A5"/>
    <w:rsid w:val="00ED0E9D"/>
    <w:rsid w:val="00ED1B2B"/>
    <w:rsid w:val="00ED47B8"/>
    <w:rsid w:val="00ED7E85"/>
    <w:rsid w:val="00ED7F2C"/>
    <w:rsid w:val="00EE124D"/>
    <w:rsid w:val="00EE5FF0"/>
    <w:rsid w:val="00EE6097"/>
    <w:rsid w:val="00EE6C3F"/>
    <w:rsid w:val="00EE7561"/>
    <w:rsid w:val="00EE7DB1"/>
    <w:rsid w:val="00EE7EDF"/>
    <w:rsid w:val="00EF414C"/>
    <w:rsid w:val="00EF42BC"/>
    <w:rsid w:val="00EF4D88"/>
    <w:rsid w:val="00EF4E24"/>
    <w:rsid w:val="00EF4E2E"/>
    <w:rsid w:val="00EF5895"/>
    <w:rsid w:val="00F00915"/>
    <w:rsid w:val="00F016A4"/>
    <w:rsid w:val="00F02A17"/>
    <w:rsid w:val="00F04BBF"/>
    <w:rsid w:val="00F06E56"/>
    <w:rsid w:val="00F079A7"/>
    <w:rsid w:val="00F116CE"/>
    <w:rsid w:val="00F12B66"/>
    <w:rsid w:val="00F12C1F"/>
    <w:rsid w:val="00F13348"/>
    <w:rsid w:val="00F142BE"/>
    <w:rsid w:val="00F14986"/>
    <w:rsid w:val="00F14CC8"/>
    <w:rsid w:val="00F15370"/>
    <w:rsid w:val="00F16274"/>
    <w:rsid w:val="00F21129"/>
    <w:rsid w:val="00F247CF"/>
    <w:rsid w:val="00F257DF"/>
    <w:rsid w:val="00F258FD"/>
    <w:rsid w:val="00F25B32"/>
    <w:rsid w:val="00F26CEE"/>
    <w:rsid w:val="00F26DD8"/>
    <w:rsid w:val="00F32271"/>
    <w:rsid w:val="00F32799"/>
    <w:rsid w:val="00F3294F"/>
    <w:rsid w:val="00F34458"/>
    <w:rsid w:val="00F35965"/>
    <w:rsid w:val="00F36296"/>
    <w:rsid w:val="00F37EEF"/>
    <w:rsid w:val="00F4083F"/>
    <w:rsid w:val="00F43D45"/>
    <w:rsid w:val="00F4499D"/>
    <w:rsid w:val="00F44ACE"/>
    <w:rsid w:val="00F44B4E"/>
    <w:rsid w:val="00F45129"/>
    <w:rsid w:val="00F4535C"/>
    <w:rsid w:val="00F4721D"/>
    <w:rsid w:val="00F47352"/>
    <w:rsid w:val="00F47DD2"/>
    <w:rsid w:val="00F519A5"/>
    <w:rsid w:val="00F52009"/>
    <w:rsid w:val="00F520A2"/>
    <w:rsid w:val="00F521F5"/>
    <w:rsid w:val="00F5312B"/>
    <w:rsid w:val="00F53E36"/>
    <w:rsid w:val="00F54C5E"/>
    <w:rsid w:val="00F5680B"/>
    <w:rsid w:val="00F571B5"/>
    <w:rsid w:val="00F576F4"/>
    <w:rsid w:val="00F66F45"/>
    <w:rsid w:val="00F67D1B"/>
    <w:rsid w:val="00F74059"/>
    <w:rsid w:val="00F7614D"/>
    <w:rsid w:val="00F777F8"/>
    <w:rsid w:val="00F81BF7"/>
    <w:rsid w:val="00F81DFC"/>
    <w:rsid w:val="00F82EA3"/>
    <w:rsid w:val="00F82FD1"/>
    <w:rsid w:val="00F836C5"/>
    <w:rsid w:val="00F83ABD"/>
    <w:rsid w:val="00F84917"/>
    <w:rsid w:val="00F87EAE"/>
    <w:rsid w:val="00F9006C"/>
    <w:rsid w:val="00F90107"/>
    <w:rsid w:val="00F9024A"/>
    <w:rsid w:val="00F904E6"/>
    <w:rsid w:val="00F91AB7"/>
    <w:rsid w:val="00FA21FA"/>
    <w:rsid w:val="00FA298F"/>
    <w:rsid w:val="00FA3015"/>
    <w:rsid w:val="00FA33C4"/>
    <w:rsid w:val="00FA4444"/>
    <w:rsid w:val="00FA528A"/>
    <w:rsid w:val="00FB3AC7"/>
    <w:rsid w:val="00FB4ADE"/>
    <w:rsid w:val="00FB4DD8"/>
    <w:rsid w:val="00FB608C"/>
    <w:rsid w:val="00FB748F"/>
    <w:rsid w:val="00FB7ADB"/>
    <w:rsid w:val="00FB7F86"/>
    <w:rsid w:val="00FC01F5"/>
    <w:rsid w:val="00FC1530"/>
    <w:rsid w:val="00FC4A02"/>
    <w:rsid w:val="00FD0071"/>
    <w:rsid w:val="00FD633D"/>
    <w:rsid w:val="00FD6C88"/>
    <w:rsid w:val="00FD7054"/>
    <w:rsid w:val="00FD78DD"/>
    <w:rsid w:val="00FE0749"/>
    <w:rsid w:val="00FE2D50"/>
    <w:rsid w:val="00FE4E50"/>
    <w:rsid w:val="00FE5200"/>
    <w:rsid w:val="00FF0977"/>
    <w:rsid w:val="00FF11E4"/>
    <w:rsid w:val="00FF19A3"/>
    <w:rsid w:val="00FF276E"/>
    <w:rsid w:val="00FF3E54"/>
    <w:rsid w:val="00FF3F81"/>
    <w:rsid w:val="00FF5F13"/>
    <w:rsid w:val="00FF6D36"/>
    <w:rsid w:val="00FF73C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1419"/>
  <w15:docId w15:val="{01376157-C0E4-4EF1-8033-0EB863F8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E8"/>
    <w:pPr>
      <w:ind w:firstLine="567"/>
      <w:jc w:val="both"/>
    </w:pPr>
    <w:rPr>
      <w:rFonts w:ascii="Times New Roman" w:hAnsi="Times New Roman"/>
      <w:sz w:val="24"/>
      <w:szCs w:val="22"/>
      <w:lang w:val="lv-LV" w:eastAsia="lv-LV"/>
    </w:rPr>
  </w:style>
  <w:style w:type="paragraph" w:styleId="Heading1">
    <w:name w:val="heading 1"/>
    <w:basedOn w:val="Normal"/>
    <w:next w:val="Normal"/>
    <w:link w:val="Heading1Char"/>
    <w:uiPriority w:val="9"/>
    <w:qFormat/>
    <w:rsid w:val="00CD1126"/>
    <w:pPr>
      <w:keepNext/>
      <w:keepLines/>
      <w:numPr>
        <w:numId w:val="1"/>
      </w:numPr>
      <w:spacing w:after="360"/>
      <w:ind w:left="499" w:hanging="357"/>
      <w:jc w:val="center"/>
      <w:outlineLvl w:val="0"/>
    </w:pPr>
    <w:rPr>
      <w:b/>
      <w:bCs/>
      <w:sz w:val="28"/>
      <w:szCs w:val="28"/>
      <w:lang w:val="x-none" w:eastAsia="x-none"/>
    </w:rPr>
  </w:style>
  <w:style w:type="paragraph" w:styleId="Heading2">
    <w:name w:val="heading 2"/>
    <w:basedOn w:val="Normal"/>
    <w:next w:val="Normal"/>
    <w:link w:val="Heading2Char"/>
    <w:uiPriority w:val="9"/>
    <w:qFormat/>
    <w:rsid w:val="00A64747"/>
    <w:pPr>
      <w:keepNext/>
      <w:keepLines/>
      <w:spacing w:before="360" w:after="240"/>
      <w:ind w:firstLine="0"/>
      <w:jc w:val="center"/>
      <w:outlineLvl w:val="1"/>
    </w:pPr>
    <w:rPr>
      <w:b/>
      <w:bCs/>
      <w:sz w:val="26"/>
      <w:szCs w:val="26"/>
      <w:lang w:val="x-none" w:eastAsia="x-none"/>
    </w:rPr>
  </w:style>
  <w:style w:type="paragraph" w:styleId="Heading3">
    <w:name w:val="heading 3"/>
    <w:basedOn w:val="Normal"/>
    <w:next w:val="Normal"/>
    <w:link w:val="Heading3Char"/>
    <w:uiPriority w:val="9"/>
    <w:qFormat/>
    <w:rsid w:val="006717E2"/>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E3909"/>
    <w:pPr>
      <w:ind w:left="720"/>
      <w:contextualSpacing/>
    </w:p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link w:val="FootnoteRefernece"/>
    <w:uiPriority w:val="99"/>
    <w:qFormat/>
    <w:rsid w:val="00FB4DD8"/>
    <w:rPr>
      <w:vertAlign w:val="superscript"/>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f"/>
    <w:basedOn w:val="Normal"/>
    <w:link w:val="FootnoteTextChar"/>
    <w:qFormat/>
    <w:rsid w:val="00FB4DD8"/>
    <w:rPr>
      <w:sz w:val="20"/>
      <w:szCs w:val="20"/>
      <w:lang w:val="en-GB" w:eastAsia="x-none"/>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rsid w:val="00FB4DD8"/>
    <w:rPr>
      <w:rFonts w:ascii="Times New Roman" w:eastAsia="Times New Roman" w:hAnsi="Times New Roman" w:cs="Times New Roman"/>
      <w:sz w:val="20"/>
      <w:szCs w:val="20"/>
      <w:lang w:val="en-GB"/>
    </w:rPr>
  </w:style>
  <w:style w:type="character" w:customStyle="1" w:styleId="italic1">
    <w:name w:val="italic1"/>
    <w:rsid w:val="00FB4DD8"/>
    <w:rPr>
      <w:rFonts w:cs="Times New Roman"/>
      <w:i/>
      <w:iCs/>
    </w:rPr>
  </w:style>
  <w:style w:type="character" w:styleId="Strong">
    <w:name w:val="Strong"/>
    <w:uiPriority w:val="22"/>
    <w:qFormat/>
    <w:rsid w:val="00FB4DD8"/>
    <w:rPr>
      <w:b/>
      <w:bCs/>
    </w:rPr>
  </w:style>
  <w:style w:type="paragraph" w:customStyle="1" w:styleId="Default">
    <w:name w:val="Default"/>
    <w:rsid w:val="00FB4DD8"/>
    <w:pPr>
      <w:autoSpaceDE w:val="0"/>
      <w:autoSpaceDN w:val="0"/>
      <w:adjustRightInd w:val="0"/>
    </w:pPr>
    <w:rPr>
      <w:rFonts w:ascii="Times New Roman" w:hAnsi="Times New Roman"/>
      <w:color w:val="000000"/>
      <w:sz w:val="24"/>
      <w:szCs w:val="24"/>
      <w:lang w:val="lv-LV" w:eastAsia="lv-LV"/>
    </w:rPr>
  </w:style>
  <w:style w:type="character" w:styleId="Hyperlink">
    <w:name w:val="Hyperlink"/>
    <w:uiPriority w:val="99"/>
    <w:unhideWhenUsed/>
    <w:rsid w:val="00FB4DD8"/>
    <w:rPr>
      <w:color w:val="0000FF"/>
      <w:u w:val="single"/>
    </w:rPr>
  </w:style>
  <w:style w:type="character" w:customStyle="1" w:styleId="Hyperlink0">
    <w:name w:val="Hyperlink.0"/>
    <w:rsid w:val="00FB4DD8"/>
    <w:rPr>
      <w:color w:val="0000FF"/>
      <w:u w:val="single"/>
    </w:rPr>
  </w:style>
  <w:style w:type="paragraph" w:styleId="BalloonText">
    <w:name w:val="Balloon Text"/>
    <w:basedOn w:val="Normal"/>
    <w:link w:val="BalloonTextChar"/>
    <w:uiPriority w:val="99"/>
    <w:semiHidden/>
    <w:unhideWhenUsed/>
    <w:rsid w:val="00D13F8B"/>
    <w:rPr>
      <w:sz w:val="20"/>
      <w:szCs w:val="16"/>
      <w:lang w:val="x-none" w:eastAsia="x-none"/>
    </w:rPr>
  </w:style>
  <w:style w:type="character" w:customStyle="1" w:styleId="BalloonTextChar">
    <w:name w:val="Balloon Text Char"/>
    <w:link w:val="BalloonText"/>
    <w:uiPriority w:val="99"/>
    <w:semiHidden/>
    <w:rsid w:val="00D13F8B"/>
    <w:rPr>
      <w:rFonts w:cs="Tahoma"/>
      <w:szCs w:val="16"/>
    </w:rPr>
  </w:style>
  <w:style w:type="character" w:styleId="CommentReference">
    <w:name w:val="annotation reference"/>
    <w:uiPriority w:val="99"/>
    <w:semiHidden/>
    <w:unhideWhenUsed/>
    <w:rsid w:val="001A72FA"/>
    <w:rPr>
      <w:sz w:val="16"/>
      <w:szCs w:val="16"/>
    </w:rPr>
  </w:style>
  <w:style w:type="paragraph" w:styleId="CommentText">
    <w:name w:val="annotation text"/>
    <w:basedOn w:val="Normal"/>
    <w:link w:val="CommentTextChar"/>
    <w:uiPriority w:val="99"/>
    <w:unhideWhenUsed/>
    <w:rsid w:val="001A72FA"/>
    <w:rPr>
      <w:sz w:val="20"/>
      <w:szCs w:val="20"/>
      <w:lang w:val="x-none" w:eastAsia="x-none"/>
    </w:rPr>
  </w:style>
  <w:style w:type="character" w:customStyle="1" w:styleId="CommentTextChar">
    <w:name w:val="Comment Text Char"/>
    <w:link w:val="CommentText"/>
    <w:uiPriority w:val="99"/>
    <w:rsid w:val="001A72FA"/>
    <w:rPr>
      <w:sz w:val="20"/>
      <w:szCs w:val="20"/>
    </w:rPr>
  </w:style>
  <w:style w:type="paragraph" w:styleId="CommentSubject">
    <w:name w:val="annotation subject"/>
    <w:basedOn w:val="CommentText"/>
    <w:next w:val="CommentText"/>
    <w:link w:val="CommentSubjectChar"/>
    <w:uiPriority w:val="99"/>
    <w:semiHidden/>
    <w:unhideWhenUsed/>
    <w:rsid w:val="001A72FA"/>
    <w:rPr>
      <w:b/>
      <w:bCs/>
    </w:rPr>
  </w:style>
  <w:style w:type="character" w:customStyle="1" w:styleId="CommentSubjectChar">
    <w:name w:val="Comment Subject Char"/>
    <w:link w:val="CommentSubject"/>
    <w:uiPriority w:val="99"/>
    <w:semiHidden/>
    <w:rsid w:val="001A72FA"/>
    <w:rPr>
      <w:b/>
      <w:bCs/>
      <w:sz w:val="20"/>
      <w:szCs w:val="20"/>
    </w:rPr>
  </w:style>
  <w:style w:type="table" w:styleId="TableGrid">
    <w:name w:val="Table Grid"/>
    <w:basedOn w:val="TableNormal"/>
    <w:uiPriority w:val="59"/>
    <w:rsid w:val="00BD1D03"/>
    <w:pPr>
      <w:spacing w:after="120"/>
      <w:ind w:firstLine="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2 Virsrakstiņš"/>
    <w:basedOn w:val="Normal"/>
    <w:next w:val="Normal"/>
    <w:qFormat/>
    <w:rsid w:val="00DC541B"/>
    <w:pPr>
      <w:keepNext/>
      <w:spacing w:before="120" w:after="60"/>
      <w:jc w:val="left"/>
    </w:pPr>
    <w:rPr>
      <w:bCs/>
      <w:i/>
      <w:sz w:val="26"/>
      <w:szCs w:val="24"/>
    </w:rPr>
  </w:style>
  <w:style w:type="character" w:customStyle="1" w:styleId="NormalIPChar">
    <w:name w:val="Normal _IP Char"/>
    <w:link w:val="NormalIP"/>
    <w:uiPriority w:val="99"/>
    <w:locked/>
    <w:rsid w:val="001E24A9"/>
    <w:rPr>
      <w:rFonts w:ascii="Times New Roman" w:eastAsia="Times New Roman" w:hAnsi="Times New Roman" w:cs="Times New Roman"/>
      <w:sz w:val="24"/>
      <w:szCs w:val="24"/>
      <w:lang w:eastAsia="en-US"/>
    </w:rPr>
  </w:style>
  <w:style w:type="paragraph" w:customStyle="1" w:styleId="NormalIP">
    <w:name w:val="Normal _IP"/>
    <w:basedOn w:val="Normal"/>
    <w:link w:val="NormalIPChar"/>
    <w:uiPriority w:val="99"/>
    <w:rsid w:val="001E24A9"/>
    <w:pPr>
      <w:spacing w:before="80" w:after="80"/>
    </w:pPr>
    <w:rPr>
      <w:szCs w:val="24"/>
      <w:lang w:val="x-none" w:eastAsia="en-US"/>
    </w:rPr>
  </w:style>
  <w:style w:type="paragraph" w:styleId="NormalWeb">
    <w:name w:val="Normal (Web)"/>
    <w:basedOn w:val="Normal"/>
    <w:uiPriority w:val="99"/>
    <w:semiHidden/>
    <w:unhideWhenUsed/>
    <w:rsid w:val="00BD64C0"/>
    <w:pPr>
      <w:spacing w:before="100" w:beforeAutospacing="1" w:after="100" w:afterAutospacing="1"/>
    </w:pPr>
    <w:rPr>
      <w:szCs w:val="24"/>
    </w:rPr>
  </w:style>
  <w:style w:type="paragraph" w:styleId="Header">
    <w:name w:val="header"/>
    <w:basedOn w:val="Normal"/>
    <w:link w:val="HeaderChar"/>
    <w:uiPriority w:val="99"/>
    <w:unhideWhenUsed/>
    <w:rsid w:val="00BD64C0"/>
    <w:pPr>
      <w:tabs>
        <w:tab w:val="center" w:pos="4153"/>
        <w:tab w:val="right" w:pos="8306"/>
      </w:tabs>
    </w:pPr>
  </w:style>
  <w:style w:type="character" w:customStyle="1" w:styleId="HeaderChar">
    <w:name w:val="Header Char"/>
    <w:basedOn w:val="DefaultParagraphFont"/>
    <w:link w:val="Header"/>
    <w:uiPriority w:val="99"/>
    <w:rsid w:val="00BD64C0"/>
  </w:style>
  <w:style w:type="paragraph" w:styleId="Footer">
    <w:name w:val="footer"/>
    <w:basedOn w:val="Normal"/>
    <w:link w:val="FooterChar"/>
    <w:uiPriority w:val="99"/>
    <w:unhideWhenUsed/>
    <w:rsid w:val="00BD64C0"/>
    <w:pPr>
      <w:tabs>
        <w:tab w:val="center" w:pos="4153"/>
        <w:tab w:val="right" w:pos="8306"/>
      </w:tabs>
    </w:pPr>
  </w:style>
  <w:style w:type="character" w:customStyle="1" w:styleId="FooterChar">
    <w:name w:val="Footer Char"/>
    <w:basedOn w:val="DefaultParagraphFont"/>
    <w:link w:val="Footer"/>
    <w:uiPriority w:val="99"/>
    <w:rsid w:val="00BD64C0"/>
  </w:style>
  <w:style w:type="paragraph" w:styleId="DocumentMap">
    <w:name w:val="Document Map"/>
    <w:basedOn w:val="Normal"/>
    <w:link w:val="DocumentMapChar"/>
    <w:uiPriority w:val="99"/>
    <w:semiHidden/>
    <w:unhideWhenUsed/>
    <w:rsid w:val="00B4390E"/>
    <w:rPr>
      <w:szCs w:val="24"/>
      <w:lang w:val="x-none" w:eastAsia="x-none"/>
    </w:rPr>
  </w:style>
  <w:style w:type="character" w:customStyle="1" w:styleId="DocumentMapChar">
    <w:name w:val="Document Map Char"/>
    <w:link w:val="DocumentMap"/>
    <w:uiPriority w:val="99"/>
    <w:semiHidden/>
    <w:rsid w:val="00B4390E"/>
    <w:rPr>
      <w:rFonts w:ascii="Times New Roman" w:hAnsi="Times New Roman" w:cs="Times New Roman"/>
      <w:sz w:val="24"/>
      <w:szCs w:val="24"/>
    </w:rPr>
  </w:style>
  <w:style w:type="character" w:customStyle="1" w:styleId="Heading2Char">
    <w:name w:val="Heading 2 Char"/>
    <w:link w:val="Heading2"/>
    <w:uiPriority w:val="9"/>
    <w:rsid w:val="00A64747"/>
    <w:rPr>
      <w:rFonts w:ascii="Times New Roman" w:hAnsi="Times New Roman"/>
      <w:b/>
      <w:bCs/>
      <w:sz w:val="26"/>
      <w:szCs w:val="26"/>
      <w:lang w:val="x-none" w:eastAsia="x-none"/>
    </w:rPr>
  </w:style>
  <w:style w:type="character" w:customStyle="1" w:styleId="Heading1Char">
    <w:name w:val="Heading 1 Char"/>
    <w:link w:val="Heading1"/>
    <w:uiPriority w:val="9"/>
    <w:rsid w:val="00CD1126"/>
    <w:rPr>
      <w:rFonts w:ascii="Times New Roman" w:hAnsi="Times New Roman"/>
      <w:b/>
      <w:bCs/>
      <w:sz w:val="28"/>
      <w:szCs w:val="28"/>
      <w:lang w:val="x-none" w:eastAsia="x-none"/>
    </w:rPr>
  </w:style>
  <w:style w:type="character" w:customStyle="1" w:styleId="Heading3Char">
    <w:name w:val="Heading 3 Char"/>
    <w:link w:val="Heading3"/>
    <w:uiPriority w:val="9"/>
    <w:rsid w:val="006717E2"/>
    <w:rPr>
      <w:rFonts w:ascii="Cambria" w:eastAsia="Times New Roman" w:hAnsi="Cambria" w:cs="Times New Roman"/>
      <w:b/>
      <w:bCs/>
      <w:color w:val="4F81BD"/>
    </w:rPr>
  </w:style>
  <w:style w:type="paragraph" w:styleId="TOCHeading">
    <w:name w:val="TOC Heading"/>
    <w:basedOn w:val="Heading1"/>
    <w:next w:val="Normal"/>
    <w:uiPriority w:val="39"/>
    <w:semiHidden/>
    <w:unhideWhenUsed/>
    <w:qFormat/>
    <w:rsid w:val="006717E2"/>
    <w:pPr>
      <w:numPr>
        <w:numId w:val="0"/>
      </w:numPr>
      <w:outlineLvl w:val="9"/>
    </w:pPr>
    <w:rPr>
      <w:rFonts w:ascii="Cambria" w:hAnsi="Cambria"/>
      <w:color w:val="365F91"/>
      <w:lang w:val="en-US" w:eastAsia="en-US"/>
    </w:rPr>
  </w:style>
  <w:style w:type="paragraph" w:styleId="TOC1">
    <w:name w:val="toc 1"/>
    <w:basedOn w:val="Normal"/>
    <w:next w:val="Normal"/>
    <w:autoRedefine/>
    <w:uiPriority w:val="39"/>
    <w:unhideWhenUsed/>
    <w:rsid w:val="00775188"/>
    <w:pPr>
      <w:tabs>
        <w:tab w:val="left" w:pos="284"/>
        <w:tab w:val="right" w:leader="dot" w:pos="9344"/>
      </w:tabs>
      <w:spacing w:after="100"/>
      <w:ind w:firstLine="0"/>
      <w:jc w:val="left"/>
    </w:pPr>
  </w:style>
  <w:style w:type="paragraph" w:styleId="TOC2">
    <w:name w:val="toc 2"/>
    <w:basedOn w:val="Normal"/>
    <w:next w:val="Normal"/>
    <w:autoRedefine/>
    <w:uiPriority w:val="39"/>
    <w:unhideWhenUsed/>
    <w:rsid w:val="00CD1126"/>
    <w:pPr>
      <w:tabs>
        <w:tab w:val="right" w:leader="dot" w:pos="9344"/>
      </w:tabs>
      <w:spacing w:after="100"/>
      <w:ind w:left="220" w:firstLine="206"/>
    </w:pPr>
  </w:style>
  <w:style w:type="paragraph" w:styleId="TOC3">
    <w:name w:val="toc 3"/>
    <w:basedOn w:val="Normal"/>
    <w:next w:val="Normal"/>
    <w:autoRedefine/>
    <w:uiPriority w:val="39"/>
    <w:unhideWhenUsed/>
    <w:rsid w:val="00D34568"/>
    <w:pPr>
      <w:tabs>
        <w:tab w:val="right" w:leader="dot" w:pos="9344"/>
      </w:tabs>
      <w:spacing w:after="100"/>
      <w:ind w:left="284"/>
    </w:pPr>
  </w:style>
  <w:style w:type="paragraph" w:customStyle="1" w:styleId="ColorfulShading-Accent11">
    <w:name w:val="Colorful Shading - Accent 11"/>
    <w:hidden/>
    <w:uiPriority w:val="99"/>
    <w:semiHidden/>
    <w:rsid w:val="002A20E1"/>
    <w:rPr>
      <w:sz w:val="22"/>
      <w:szCs w:val="22"/>
      <w:lang w:val="lv-LV" w:eastAsia="lv-LV"/>
    </w:rPr>
  </w:style>
  <w:style w:type="character" w:styleId="FollowedHyperlink">
    <w:name w:val="FollowedHyperlink"/>
    <w:uiPriority w:val="99"/>
    <w:semiHidden/>
    <w:unhideWhenUsed/>
    <w:rsid w:val="00F4083F"/>
    <w:rPr>
      <w:color w:val="800080"/>
      <w:u w:val="single"/>
    </w:rPr>
  </w:style>
  <w:style w:type="character" w:customStyle="1" w:styleId="Corpsdutexte">
    <w:name w:val="Corps du texte_"/>
    <w:link w:val="Corpsdutexte0"/>
    <w:rsid w:val="00A72E83"/>
    <w:rPr>
      <w:sz w:val="18"/>
      <w:szCs w:val="18"/>
      <w:shd w:val="clear" w:color="auto" w:fill="FFFFFF"/>
    </w:rPr>
  </w:style>
  <w:style w:type="paragraph" w:customStyle="1" w:styleId="Corpsdutexte0">
    <w:name w:val="Corps du texte"/>
    <w:basedOn w:val="Normal"/>
    <w:link w:val="Corpsdutexte"/>
    <w:rsid w:val="00A72E83"/>
    <w:pPr>
      <w:widowControl w:val="0"/>
      <w:shd w:val="clear" w:color="auto" w:fill="FFFFFF"/>
      <w:spacing w:before="180" w:after="60" w:line="230" w:lineRule="exact"/>
    </w:pPr>
    <w:rPr>
      <w:sz w:val="18"/>
      <w:szCs w:val="18"/>
      <w:lang w:val="x-none" w:eastAsia="x-none"/>
    </w:rPr>
  </w:style>
  <w:style w:type="paragraph" w:customStyle="1" w:styleId="FootnoteRefernece">
    <w:name w:val="Footnote Refernece"/>
    <w:aliases w:val="ftref,Odwołanie przypisu,Footnotes refss,Ref,de nota al pie,E,E FNZ"/>
    <w:basedOn w:val="Normal"/>
    <w:next w:val="Normal"/>
    <w:link w:val="FootnoteReference"/>
    <w:uiPriority w:val="99"/>
    <w:rsid w:val="00B94BA7"/>
    <w:pPr>
      <w:spacing w:after="160" w:line="240" w:lineRule="exact"/>
      <w:textAlignment w:val="baseline"/>
    </w:pPr>
    <w:rPr>
      <w:sz w:val="20"/>
      <w:szCs w:val="20"/>
      <w:vertAlign w:val="superscript"/>
      <w:lang w:val="x-none" w:eastAsia="x-none"/>
    </w:rPr>
  </w:style>
  <w:style w:type="character" w:customStyle="1" w:styleId="sub">
    <w:name w:val="sub"/>
    <w:rsid w:val="00B94BA7"/>
  </w:style>
  <w:style w:type="character" w:customStyle="1" w:styleId="st">
    <w:name w:val="st"/>
    <w:basedOn w:val="DefaultParagraphFont"/>
    <w:rsid w:val="00662BE8"/>
  </w:style>
  <w:style w:type="character" w:styleId="Emphasis">
    <w:name w:val="Emphasis"/>
    <w:basedOn w:val="DefaultParagraphFont"/>
    <w:uiPriority w:val="20"/>
    <w:qFormat/>
    <w:rsid w:val="00662BE8"/>
    <w:rPr>
      <w:i/>
      <w:iCs/>
    </w:rPr>
  </w:style>
  <w:style w:type="paragraph" w:styleId="Title">
    <w:name w:val="Title"/>
    <w:aliases w:val="Attēls"/>
    <w:basedOn w:val="Normal"/>
    <w:next w:val="Normal"/>
    <w:link w:val="TitleChar"/>
    <w:uiPriority w:val="10"/>
    <w:qFormat/>
    <w:rsid w:val="00662BE8"/>
    <w:pPr>
      <w:spacing w:after="240"/>
      <w:ind w:firstLine="0"/>
      <w:contextualSpacing/>
      <w:jc w:val="center"/>
    </w:pPr>
    <w:rPr>
      <w:rFonts w:eastAsiaTheme="majorEastAsia" w:cstheme="majorBidi"/>
      <w:color w:val="000000" w:themeColor="text1"/>
      <w:kern w:val="28"/>
      <w:szCs w:val="52"/>
    </w:rPr>
  </w:style>
  <w:style w:type="character" w:customStyle="1" w:styleId="TitleChar">
    <w:name w:val="Title Char"/>
    <w:aliases w:val="Attēls Char"/>
    <w:basedOn w:val="DefaultParagraphFont"/>
    <w:link w:val="Title"/>
    <w:uiPriority w:val="10"/>
    <w:rsid w:val="00662BE8"/>
    <w:rPr>
      <w:rFonts w:ascii="Times New Roman" w:eastAsiaTheme="majorEastAsia" w:hAnsi="Times New Roman" w:cstheme="majorBidi"/>
      <w:color w:val="000000" w:themeColor="text1"/>
      <w:kern w:val="28"/>
      <w:sz w:val="24"/>
      <w:szCs w:val="52"/>
      <w:lang w:val="lv-LV" w:eastAsia="lv-LV"/>
    </w:rPr>
  </w:style>
  <w:style w:type="paragraph" w:styleId="Subtitle">
    <w:name w:val="Subtitle"/>
    <w:aliases w:val="1 Virsrakstiņš"/>
    <w:basedOn w:val="Normal"/>
    <w:next w:val="Normal"/>
    <w:link w:val="SubtitleChar"/>
    <w:uiPriority w:val="11"/>
    <w:qFormat/>
    <w:rsid w:val="009B037D"/>
    <w:pPr>
      <w:numPr>
        <w:ilvl w:val="1"/>
      </w:numPr>
      <w:spacing w:before="120" w:after="60"/>
      <w:ind w:firstLine="567"/>
    </w:pPr>
    <w:rPr>
      <w:rFonts w:eastAsiaTheme="majorEastAsia" w:cstheme="majorBidi"/>
      <w:b/>
      <w:iCs/>
      <w:szCs w:val="24"/>
    </w:rPr>
  </w:style>
  <w:style w:type="character" w:customStyle="1" w:styleId="SubtitleChar">
    <w:name w:val="Subtitle Char"/>
    <w:aliases w:val="1 Virsrakstiņš Char"/>
    <w:basedOn w:val="DefaultParagraphFont"/>
    <w:link w:val="Subtitle"/>
    <w:uiPriority w:val="11"/>
    <w:rsid w:val="009B037D"/>
    <w:rPr>
      <w:rFonts w:ascii="Times New Roman" w:eastAsiaTheme="majorEastAsia" w:hAnsi="Times New Roman" w:cstheme="majorBidi"/>
      <w:b/>
      <w:iCs/>
      <w:sz w:val="24"/>
      <w:szCs w:val="24"/>
      <w:lang w:val="lv-LV" w:eastAsia="lv-LV"/>
    </w:rPr>
  </w:style>
  <w:style w:type="paragraph" w:styleId="ListParagraph">
    <w:name w:val="List Paragraph"/>
    <w:basedOn w:val="Normal"/>
    <w:uiPriority w:val="34"/>
    <w:qFormat/>
    <w:rsid w:val="00793E59"/>
    <w:pPr>
      <w:ind w:left="720"/>
      <w:contextualSpacing/>
    </w:pPr>
  </w:style>
  <w:style w:type="paragraph" w:customStyle="1" w:styleId="CharCharCharChar">
    <w:name w:val="Char Char Char Char"/>
    <w:aliases w:val="Char2"/>
    <w:basedOn w:val="Normal"/>
    <w:next w:val="Normal"/>
    <w:uiPriority w:val="99"/>
    <w:rsid w:val="00016142"/>
    <w:pPr>
      <w:widowControl w:val="0"/>
      <w:autoSpaceDE w:val="0"/>
      <w:autoSpaceDN w:val="0"/>
      <w:adjustRightInd w:val="0"/>
      <w:spacing w:after="160" w:line="240" w:lineRule="exact"/>
      <w:ind w:firstLine="0"/>
    </w:pPr>
    <w:rPr>
      <w:rFonts w:ascii="Calibri" w:hAnsi="Calibri"/>
      <w:sz w:val="20"/>
      <w:szCs w:val="20"/>
      <w:vertAlign w:val="superscript"/>
      <w:lang w:val="x-none" w:eastAsia="x-none"/>
    </w:rPr>
  </w:style>
  <w:style w:type="paragraph" w:customStyle="1" w:styleId="Body">
    <w:name w:val="Body"/>
    <w:rsid w:val="00DF06F0"/>
    <w:rPr>
      <w:rFonts w:ascii="Helvetica" w:eastAsia="ヒラギノ角ゴ Pro W3" w:hAnsi="Helvetica"/>
      <w:color w:val="000000"/>
      <w:sz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623">
      <w:bodyDiv w:val="1"/>
      <w:marLeft w:val="0"/>
      <w:marRight w:val="0"/>
      <w:marTop w:val="0"/>
      <w:marBottom w:val="0"/>
      <w:divBdr>
        <w:top w:val="none" w:sz="0" w:space="0" w:color="auto"/>
        <w:left w:val="none" w:sz="0" w:space="0" w:color="auto"/>
        <w:bottom w:val="none" w:sz="0" w:space="0" w:color="auto"/>
        <w:right w:val="none" w:sz="0" w:space="0" w:color="auto"/>
      </w:divBdr>
    </w:div>
    <w:div w:id="308942947">
      <w:bodyDiv w:val="1"/>
      <w:marLeft w:val="0"/>
      <w:marRight w:val="0"/>
      <w:marTop w:val="0"/>
      <w:marBottom w:val="0"/>
      <w:divBdr>
        <w:top w:val="none" w:sz="0" w:space="0" w:color="auto"/>
        <w:left w:val="none" w:sz="0" w:space="0" w:color="auto"/>
        <w:bottom w:val="none" w:sz="0" w:space="0" w:color="auto"/>
        <w:right w:val="none" w:sz="0" w:space="0" w:color="auto"/>
      </w:divBdr>
      <w:divsChild>
        <w:div w:id="1540163928">
          <w:marLeft w:val="547"/>
          <w:marRight w:val="0"/>
          <w:marTop w:val="106"/>
          <w:marBottom w:val="0"/>
          <w:divBdr>
            <w:top w:val="none" w:sz="0" w:space="0" w:color="auto"/>
            <w:left w:val="none" w:sz="0" w:space="0" w:color="auto"/>
            <w:bottom w:val="none" w:sz="0" w:space="0" w:color="auto"/>
            <w:right w:val="none" w:sz="0" w:space="0" w:color="auto"/>
          </w:divBdr>
        </w:div>
      </w:divsChild>
    </w:div>
    <w:div w:id="337586680">
      <w:bodyDiv w:val="1"/>
      <w:marLeft w:val="0"/>
      <w:marRight w:val="0"/>
      <w:marTop w:val="0"/>
      <w:marBottom w:val="0"/>
      <w:divBdr>
        <w:top w:val="none" w:sz="0" w:space="0" w:color="auto"/>
        <w:left w:val="none" w:sz="0" w:space="0" w:color="auto"/>
        <w:bottom w:val="none" w:sz="0" w:space="0" w:color="auto"/>
        <w:right w:val="none" w:sz="0" w:space="0" w:color="auto"/>
      </w:divBdr>
    </w:div>
    <w:div w:id="385757599">
      <w:bodyDiv w:val="1"/>
      <w:marLeft w:val="0"/>
      <w:marRight w:val="0"/>
      <w:marTop w:val="0"/>
      <w:marBottom w:val="0"/>
      <w:divBdr>
        <w:top w:val="none" w:sz="0" w:space="0" w:color="auto"/>
        <w:left w:val="none" w:sz="0" w:space="0" w:color="auto"/>
        <w:bottom w:val="none" w:sz="0" w:space="0" w:color="auto"/>
        <w:right w:val="none" w:sz="0" w:space="0" w:color="auto"/>
      </w:divBdr>
    </w:div>
    <w:div w:id="703142886">
      <w:bodyDiv w:val="1"/>
      <w:marLeft w:val="0"/>
      <w:marRight w:val="0"/>
      <w:marTop w:val="0"/>
      <w:marBottom w:val="0"/>
      <w:divBdr>
        <w:top w:val="none" w:sz="0" w:space="0" w:color="auto"/>
        <w:left w:val="none" w:sz="0" w:space="0" w:color="auto"/>
        <w:bottom w:val="none" w:sz="0" w:space="0" w:color="auto"/>
        <w:right w:val="none" w:sz="0" w:space="0" w:color="auto"/>
      </w:divBdr>
    </w:div>
    <w:div w:id="741949161">
      <w:bodyDiv w:val="1"/>
      <w:marLeft w:val="0"/>
      <w:marRight w:val="0"/>
      <w:marTop w:val="0"/>
      <w:marBottom w:val="0"/>
      <w:divBdr>
        <w:top w:val="none" w:sz="0" w:space="0" w:color="auto"/>
        <w:left w:val="none" w:sz="0" w:space="0" w:color="auto"/>
        <w:bottom w:val="none" w:sz="0" w:space="0" w:color="auto"/>
        <w:right w:val="none" w:sz="0" w:space="0" w:color="auto"/>
      </w:divBdr>
    </w:div>
    <w:div w:id="863979818">
      <w:bodyDiv w:val="1"/>
      <w:marLeft w:val="0"/>
      <w:marRight w:val="0"/>
      <w:marTop w:val="0"/>
      <w:marBottom w:val="0"/>
      <w:divBdr>
        <w:top w:val="none" w:sz="0" w:space="0" w:color="auto"/>
        <w:left w:val="none" w:sz="0" w:space="0" w:color="auto"/>
        <w:bottom w:val="none" w:sz="0" w:space="0" w:color="auto"/>
        <w:right w:val="none" w:sz="0" w:space="0" w:color="auto"/>
      </w:divBdr>
    </w:div>
    <w:div w:id="999120278">
      <w:bodyDiv w:val="1"/>
      <w:marLeft w:val="0"/>
      <w:marRight w:val="0"/>
      <w:marTop w:val="0"/>
      <w:marBottom w:val="0"/>
      <w:divBdr>
        <w:top w:val="none" w:sz="0" w:space="0" w:color="auto"/>
        <w:left w:val="none" w:sz="0" w:space="0" w:color="auto"/>
        <w:bottom w:val="none" w:sz="0" w:space="0" w:color="auto"/>
        <w:right w:val="none" w:sz="0" w:space="0" w:color="auto"/>
      </w:divBdr>
    </w:div>
    <w:div w:id="1015421241">
      <w:bodyDiv w:val="1"/>
      <w:marLeft w:val="0"/>
      <w:marRight w:val="0"/>
      <w:marTop w:val="0"/>
      <w:marBottom w:val="0"/>
      <w:divBdr>
        <w:top w:val="none" w:sz="0" w:space="0" w:color="auto"/>
        <w:left w:val="none" w:sz="0" w:space="0" w:color="auto"/>
        <w:bottom w:val="none" w:sz="0" w:space="0" w:color="auto"/>
        <w:right w:val="none" w:sz="0" w:space="0" w:color="auto"/>
      </w:divBdr>
      <w:divsChild>
        <w:div w:id="248543218">
          <w:marLeft w:val="547"/>
          <w:marRight w:val="0"/>
          <w:marTop w:val="0"/>
          <w:marBottom w:val="0"/>
          <w:divBdr>
            <w:top w:val="none" w:sz="0" w:space="0" w:color="auto"/>
            <w:left w:val="none" w:sz="0" w:space="0" w:color="auto"/>
            <w:bottom w:val="none" w:sz="0" w:space="0" w:color="auto"/>
            <w:right w:val="none" w:sz="0" w:space="0" w:color="auto"/>
          </w:divBdr>
        </w:div>
        <w:div w:id="322512856">
          <w:marLeft w:val="547"/>
          <w:marRight w:val="0"/>
          <w:marTop w:val="0"/>
          <w:marBottom w:val="0"/>
          <w:divBdr>
            <w:top w:val="none" w:sz="0" w:space="0" w:color="auto"/>
            <w:left w:val="none" w:sz="0" w:space="0" w:color="auto"/>
            <w:bottom w:val="none" w:sz="0" w:space="0" w:color="auto"/>
            <w:right w:val="none" w:sz="0" w:space="0" w:color="auto"/>
          </w:divBdr>
        </w:div>
        <w:div w:id="1629897619">
          <w:marLeft w:val="547"/>
          <w:marRight w:val="0"/>
          <w:marTop w:val="0"/>
          <w:marBottom w:val="0"/>
          <w:divBdr>
            <w:top w:val="none" w:sz="0" w:space="0" w:color="auto"/>
            <w:left w:val="none" w:sz="0" w:space="0" w:color="auto"/>
            <w:bottom w:val="none" w:sz="0" w:space="0" w:color="auto"/>
            <w:right w:val="none" w:sz="0" w:space="0" w:color="auto"/>
          </w:divBdr>
        </w:div>
      </w:divsChild>
    </w:div>
    <w:div w:id="1052578909">
      <w:bodyDiv w:val="1"/>
      <w:marLeft w:val="0"/>
      <w:marRight w:val="0"/>
      <w:marTop w:val="0"/>
      <w:marBottom w:val="0"/>
      <w:divBdr>
        <w:top w:val="none" w:sz="0" w:space="0" w:color="auto"/>
        <w:left w:val="none" w:sz="0" w:space="0" w:color="auto"/>
        <w:bottom w:val="none" w:sz="0" w:space="0" w:color="auto"/>
        <w:right w:val="none" w:sz="0" w:space="0" w:color="auto"/>
      </w:divBdr>
      <w:divsChild>
        <w:div w:id="221912671">
          <w:marLeft w:val="547"/>
          <w:marRight w:val="0"/>
          <w:marTop w:val="106"/>
          <w:marBottom w:val="0"/>
          <w:divBdr>
            <w:top w:val="none" w:sz="0" w:space="0" w:color="auto"/>
            <w:left w:val="none" w:sz="0" w:space="0" w:color="auto"/>
            <w:bottom w:val="none" w:sz="0" w:space="0" w:color="auto"/>
            <w:right w:val="none" w:sz="0" w:space="0" w:color="auto"/>
          </w:divBdr>
        </w:div>
      </w:divsChild>
    </w:div>
    <w:div w:id="1114983141">
      <w:bodyDiv w:val="1"/>
      <w:marLeft w:val="0"/>
      <w:marRight w:val="0"/>
      <w:marTop w:val="0"/>
      <w:marBottom w:val="0"/>
      <w:divBdr>
        <w:top w:val="none" w:sz="0" w:space="0" w:color="auto"/>
        <w:left w:val="none" w:sz="0" w:space="0" w:color="auto"/>
        <w:bottom w:val="none" w:sz="0" w:space="0" w:color="auto"/>
        <w:right w:val="none" w:sz="0" w:space="0" w:color="auto"/>
      </w:divBdr>
    </w:div>
    <w:div w:id="1150748632">
      <w:bodyDiv w:val="1"/>
      <w:marLeft w:val="0"/>
      <w:marRight w:val="0"/>
      <w:marTop w:val="0"/>
      <w:marBottom w:val="0"/>
      <w:divBdr>
        <w:top w:val="none" w:sz="0" w:space="0" w:color="auto"/>
        <w:left w:val="none" w:sz="0" w:space="0" w:color="auto"/>
        <w:bottom w:val="none" w:sz="0" w:space="0" w:color="auto"/>
        <w:right w:val="none" w:sz="0" w:space="0" w:color="auto"/>
      </w:divBdr>
    </w:div>
    <w:div w:id="1175879042">
      <w:bodyDiv w:val="1"/>
      <w:marLeft w:val="0"/>
      <w:marRight w:val="0"/>
      <w:marTop w:val="0"/>
      <w:marBottom w:val="0"/>
      <w:divBdr>
        <w:top w:val="none" w:sz="0" w:space="0" w:color="auto"/>
        <w:left w:val="none" w:sz="0" w:space="0" w:color="auto"/>
        <w:bottom w:val="none" w:sz="0" w:space="0" w:color="auto"/>
        <w:right w:val="none" w:sz="0" w:space="0" w:color="auto"/>
      </w:divBdr>
      <w:divsChild>
        <w:div w:id="1767186080">
          <w:marLeft w:val="0"/>
          <w:marRight w:val="0"/>
          <w:marTop w:val="0"/>
          <w:marBottom w:val="0"/>
          <w:divBdr>
            <w:top w:val="none" w:sz="0" w:space="0" w:color="auto"/>
            <w:left w:val="none" w:sz="0" w:space="0" w:color="auto"/>
            <w:bottom w:val="none" w:sz="0" w:space="0" w:color="auto"/>
            <w:right w:val="none" w:sz="0" w:space="0" w:color="auto"/>
          </w:divBdr>
        </w:div>
        <w:div w:id="2133551390">
          <w:marLeft w:val="0"/>
          <w:marRight w:val="0"/>
          <w:marTop w:val="0"/>
          <w:marBottom w:val="0"/>
          <w:divBdr>
            <w:top w:val="none" w:sz="0" w:space="0" w:color="auto"/>
            <w:left w:val="none" w:sz="0" w:space="0" w:color="auto"/>
            <w:bottom w:val="none" w:sz="0" w:space="0" w:color="auto"/>
            <w:right w:val="none" w:sz="0" w:space="0" w:color="auto"/>
          </w:divBdr>
        </w:div>
      </w:divsChild>
    </w:div>
    <w:div w:id="1197498424">
      <w:bodyDiv w:val="1"/>
      <w:marLeft w:val="0"/>
      <w:marRight w:val="0"/>
      <w:marTop w:val="0"/>
      <w:marBottom w:val="0"/>
      <w:divBdr>
        <w:top w:val="none" w:sz="0" w:space="0" w:color="auto"/>
        <w:left w:val="none" w:sz="0" w:space="0" w:color="auto"/>
        <w:bottom w:val="none" w:sz="0" w:space="0" w:color="auto"/>
        <w:right w:val="none" w:sz="0" w:space="0" w:color="auto"/>
      </w:divBdr>
    </w:div>
    <w:div w:id="1441757671">
      <w:bodyDiv w:val="1"/>
      <w:marLeft w:val="0"/>
      <w:marRight w:val="0"/>
      <w:marTop w:val="0"/>
      <w:marBottom w:val="0"/>
      <w:divBdr>
        <w:top w:val="none" w:sz="0" w:space="0" w:color="auto"/>
        <w:left w:val="none" w:sz="0" w:space="0" w:color="auto"/>
        <w:bottom w:val="none" w:sz="0" w:space="0" w:color="auto"/>
        <w:right w:val="none" w:sz="0" w:space="0" w:color="auto"/>
      </w:divBdr>
      <w:divsChild>
        <w:div w:id="152455529">
          <w:marLeft w:val="0"/>
          <w:marRight w:val="0"/>
          <w:marTop w:val="0"/>
          <w:marBottom w:val="0"/>
          <w:divBdr>
            <w:top w:val="none" w:sz="0" w:space="0" w:color="auto"/>
            <w:left w:val="none" w:sz="0" w:space="0" w:color="auto"/>
            <w:bottom w:val="none" w:sz="0" w:space="0" w:color="auto"/>
            <w:right w:val="none" w:sz="0" w:space="0" w:color="auto"/>
          </w:divBdr>
        </w:div>
        <w:div w:id="1753042801">
          <w:marLeft w:val="0"/>
          <w:marRight w:val="0"/>
          <w:marTop w:val="0"/>
          <w:marBottom w:val="0"/>
          <w:divBdr>
            <w:top w:val="none" w:sz="0" w:space="0" w:color="auto"/>
            <w:left w:val="none" w:sz="0" w:space="0" w:color="auto"/>
            <w:bottom w:val="none" w:sz="0" w:space="0" w:color="auto"/>
            <w:right w:val="none" w:sz="0" w:space="0" w:color="auto"/>
          </w:divBdr>
        </w:div>
        <w:div w:id="1396320095">
          <w:marLeft w:val="0"/>
          <w:marRight w:val="0"/>
          <w:marTop w:val="0"/>
          <w:marBottom w:val="0"/>
          <w:divBdr>
            <w:top w:val="none" w:sz="0" w:space="0" w:color="auto"/>
            <w:left w:val="none" w:sz="0" w:space="0" w:color="auto"/>
            <w:bottom w:val="none" w:sz="0" w:space="0" w:color="auto"/>
            <w:right w:val="none" w:sz="0" w:space="0" w:color="auto"/>
          </w:divBdr>
        </w:div>
        <w:div w:id="2093624831">
          <w:marLeft w:val="0"/>
          <w:marRight w:val="0"/>
          <w:marTop w:val="0"/>
          <w:marBottom w:val="0"/>
          <w:divBdr>
            <w:top w:val="none" w:sz="0" w:space="0" w:color="auto"/>
            <w:left w:val="none" w:sz="0" w:space="0" w:color="auto"/>
            <w:bottom w:val="none" w:sz="0" w:space="0" w:color="auto"/>
            <w:right w:val="none" w:sz="0" w:space="0" w:color="auto"/>
          </w:divBdr>
        </w:div>
        <w:div w:id="754282699">
          <w:marLeft w:val="0"/>
          <w:marRight w:val="0"/>
          <w:marTop w:val="0"/>
          <w:marBottom w:val="0"/>
          <w:divBdr>
            <w:top w:val="none" w:sz="0" w:space="0" w:color="auto"/>
            <w:left w:val="none" w:sz="0" w:space="0" w:color="auto"/>
            <w:bottom w:val="none" w:sz="0" w:space="0" w:color="auto"/>
            <w:right w:val="none" w:sz="0" w:space="0" w:color="auto"/>
          </w:divBdr>
        </w:div>
        <w:div w:id="1078088597">
          <w:marLeft w:val="0"/>
          <w:marRight w:val="0"/>
          <w:marTop w:val="0"/>
          <w:marBottom w:val="0"/>
          <w:divBdr>
            <w:top w:val="none" w:sz="0" w:space="0" w:color="auto"/>
            <w:left w:val="none" w:sz="0" w:space="0" w:color="auto"/>
            <w:bottom w:val="none" w:sz="0" w:space="0" w:color="auto"/>
            <w:right w:val="none" w:sz="0" w:space="0" w:color="auto"/>
          </w:divBdr>
        </w:div>
        <w:div w:id="422144438">
          <w:marLeft w:val="0"/>
          <w:marRight w:val="0"/>
          <w:marTop w:val="0"/>
          <w:marBottom w:val="0"/>
          <w:divBdr>
            <w:top w:val="none" w:sz="0" w:space="0" w:color="auto"/>
            <w:left w:val="none" w:sz="0" w:space="0" w:color="auto"/>
            <w:bottom w:val="none" w:sz="0" w:space="0" w:color="auto"/>
            <w:right w:val="none" w:sz="0" w:space="0" w:color="auto"/>
          </w:divBdr>
        </w:div>
        <w:div w:id="501899597">
          <w:marLeft w:val="0"/>
          <w:marRight w:val="0"/>
          <w:marTop w:val="0"/>
          <w:marBottom w:val="0"/>
          <w:divBdr>
            <w:top w:val="none" w:sz="0" w:space="0" w:color="auto"/>
            <w:left w:val="none" w:sz="0" w:space="0" w:color="auto"/>
            <w:bottom w:val="none" w:sz="0" w:space="0" w:color="auto"/>
            <w:right w:val="none" w:sz="0" w:space="0" w:color="auto"/>
          </w:divBdr>
        </w:div>
        <w:div w:id="1594238410">
          <w:marLeft w:val="0"/>
          <w:marRight w:val="0"/>
          <w:marTop w:val="0"/>
          <w:marBottom w:val="0"/>
          <w:divBdr>
            <w:top w:val="none" w:sz="0" w:space="0" w:color="auto"/>
            <w:left w:val="none" w:sz="0" w:space="0" w:color="auto"/>
            <w:bottom w:val="none" w:sz="0" w:space="0" w:color="auto"/>
            <w:right w:val="none" w:sz="0" w:space="0" w:color="auto"/>
          </w:divBdr>
        </w:div>
        <w:div w:id="1393502309">
          <w:marLeft w:val="0"/>
          <w:marRight w:val="0"/>
          <w:marTop w:val="0"/>
          <w:marBottom w:val="0"/>
          <w:divBdr>
            <w:top w:val="none" w:sz="0" w:space="0" w:color="auto"/>
            <w:left w:val="none" w:sz="0" w:space="0" w:color="auto"/>
            <w:bottom w:val="none" w:sz="0" w:space="0" w:color="auto"/>
            <w:right w:val="none" w:sz="0" w:space="0" w:color="auto"/>
          </w:divBdr>
        </w:div>
        <w:div w:id="1153257137">
          <w:marLeft w:val="0"/>
          <w:marRight w:val="0"/>
          <w:marTop w:val="0"/>
          <w:marBottom w:val="0"/>
          <w:divBdr>
            <w:top w:val="none" w:sz="0" w:space="0" w:color="auto"/>
            <w:left w:val="none" w:sz="0" w:space="0" w:color="auto"/>
            <w:bottom w:val="none" w:sz="0" w:space="0" w:color="auto"/>
            <w:right w:val="none" w:sz="0" w:space="0" w:color="auto"/>
          </w:divBdr>
        </w:div>
        <w:div w:id="2031223751">
          <w:marLeft w:val="0"/>
          <w:marRight w:val="0"/>
          <w:marTop w:val="0"/>
          <w:marBottom w:val="0"/>
          <w:divBdr>
            <w:top w:val="none" w:sz="0" w:space="0" w:color="auto"/>
            <w:left w:val="none" w:sz="0" w:space="0" w:color="auto"/>
            <w:bottom w:val="none" w:sz="0" w:space="0" w:color="auto"/>
            <w:right w:val="none" w:sz="0" w:space="0" w:color="auto"/>
          </w:divBdr>
        </w:div>
        <w:div w:id="2134783474">
          <w:marLeft w:val="0"/>
          <w:marRight w:val="0"/>
          <w:marTop w:val="0"/>
          <w:marBottom w:val="0"/>
          <w:divBdr>
            <w:top w:val="none" w:sz="0" w:space="0" w:color="auto"/>
            <w:left w:val="none" w:sz="0" w:space="0" w:color="auto"/>
            <w:bottom w:val="none" w:sz="0" w:space="0" w:color="auto"/>
            <w:right w:val="none" w:sz="0" w:space="0" w:color="auto"/>
          </w:divBdr>
        </w:div>
        <w:div w:id="517894132">
          <w:marLeft w:val="0"/>
          <w:marRight w:val="0"/>
          <w:marTop w:val="0"/>
          <w:marBottom w:val="0"/>
          <w:divBdr>
            <w:top w:val="none" w:sz="0" w:space="0" w:color="auto"/>
            <w:left w:val="none" w:sz="0" w:space="0" w:color="auto"/>
            <w:bottom w:val="none" w:sz="0" w:space="0" w:color="auto"/>
            <w:right w:val="none" w:sz="0" w:space="0" w:color="auto"/>
          </w:divBdr>
        </w:div>
        <w:div w:id="439109618">
          <w:marLeft w:val="0"/>
          <w:marRight w:val="0"/>
          <w:marTop w:val="0"/>
          <w:marBottom w:val="0"/>
          <w:divBdr>
            <w:top w:val="none" w:sz="0" w:space="0" w:color="auto"/>
            <w:left w:val="none" w:sz="0" w:space="0" w:color="auto"/>
            <w:bottom w:val="none" w:sz="0" w:space="0" w:color="auto"/>
            <w:right w:val="none" w:sz="0" w:space="0" w:color="auto"/>
          </w:divBdr>
        </w:div>
        <w:div w:id="971402014">
          <w:marLeft w:val="0"/>
          <w:marRight w:val="0"/>
          <w:marTop w:val="0"/>
          <w:marBottom w:val="0"/>
          <w:divBdr>
            <w:top w:val="none" w:sz="0" w:space="0" w:color="auto"/>
            <w:left w:val="none" w:sz="0" w:space="0" w:color="auto"/>
            <w:bottom w:val="none" w:sz="0" w:space="0" w:color="auto"/>
            <w:right w:val="none" w:sz="0" w:space="0" w:color="auto"/>
          </w:divBdr>
        </w:div>
        <w:div w:id="239024679">
          <w:marLeft w:val="0"/>
          <w:marRight w:val="0"/>
          <w:marTop w:val="0"/>
          <w:marBottom w:val="0"/>
          <w:divBdr>
            <w:top w:val="none" w:sz="0" w:space="0" w:color="auto"/>
            <w:left w:val="none" w:sz="0" w:space="0" w:color="auto"/>
            <w:bottom w:val="none" w:sz="0" w:space="0" w:color="auto"/>
            <w:right w:val="none" w:sz="0" w:space="0" w:color="auto"/>
          </w:divBdr>
        </w:div>
        <w:div w:id="101657155">
          <w:marLeft w:val="0"/>
          <w:marRight w:val="0"/>
          <w:marTop w:val="0"/>
          <w:marBottom w:val="0"/>
          <w:divBdr>
            <w:top w:val="none" w:sz="0" w:space="0" w:color="auto"/>
            <w:left w:val="none" w:sz="0" w:space="0" w:color="auto"/>
            <w:bottom w:val="none" w:sz="0" w:space="0" w:color="auto"/>
            <w:right w:val="none" w:sz="0" w:space="0" w:color="auto"/>
          </w:divBdr>
        </w:div>
        <w:div w:id="1335498730">
          <w:marLeft w:val="0"/>
          <w:marRight w:val="0"/>
          <w:marTop w:val="0"/>
          <w:marBottom w:val="0"/>
          <w:divBdr>
            <w:top w:val="none" w:sz="0" w:space="0" w:color="auto"/>
            <w:left w:val="none" w:sz="0" w:space="0" w:color="auto"/>
            <w:bottom w:val="none" w:sz="0" w:space="0" w:color="auto"/>
            <w:right w:val="none" w:sz="0" w:space="0" w:color="auto"/>
          </w:divBdr>
        </w:div>
        <w:div w:id="2023585647">
          <w:marLeft w:val="0"/>
          <w:marRight w:val="0"/>
          <w:marTop w:val="0"/>
          <w:marBottom w:val="0"/>
          <w:divBdr>
            <w:top w:val="none" w:sz="0" w:space="0" w:color="auto"/>
            <w:left w:val="none" w:sz="0" w:space="0" w:color="auto"/>
            <w:bottom w:val="none" w:sz="0" w:space="0" w:color="auto"/>
            <w:right w:val="none" w:sz="0" w:space="0" w:color="auto"/>
          </w:divBdr>
        </w:div>
        <w:div w:id="167067631">
          <w:marLeft w:val="0"/>
          <w:marRight w:val="0"/>
          <w:marTop w:val="0"/>
          <w:marBottom w:val="0"/>
          <w:divBdr>
            <w:top w:val="none" w:sz="0" w:space="0" w:color="auto"/>
            <w:left w:val="none" w:sz="0" w:space="0" w:color="auto"/>
            <w:bottom w:val="none" w:sz="0" w:space="0" w:color="auto"/>
            <w:right w:val="none" w:sz="0" w:space="0" w:color="auto"/>
          </w:divBdr>
        </w:div>
        <w:div w:id="1045983310">
          <w:marLeft w:val="0"/>
          <w:marRight w:val="0"/>
          <w:marTop w:val="0"/>
          <w:marBottom w:val="0"/>
          <w:divBdr>
            <w:top w:val="none" w:sz="0" w:space="0" w:color="auto"/>
            <w:left w:val="none" w:sz="0" w:space="0" w:color="auto"/>
            <w:bottom w:val="none" w:sz="0" w:space="0" w:color="auto"/>
            <w:right w:val="none" w:sz="0" w:space="0" w:color="auto"/>
          </w:divBdr>
        </w:div>
        <w:div w:id="78643244">
          <w:marLeft w:val="0"/>
          <w:marRight w:val="0"/>
          <w:marTop w:val="0"/>
          <w:marBottom w:val="0"/>
          <w:divBdr>
            <w:top w:val="none" w:sz="0" w:space="0" w:color="auto"/>
            <w:left w:val="none" w:sz="0" w:space="0" w:color="auto"/>
            <w:bottom w:val="none" w:sz="0" w:space="0" w:color="auto"/>
            <w:right w:val="none" w:sz="0" w:space="0" w:color="auto"/>
          </w:divBdr>
        </w:div>
        <w:div w:id="611597307">
          <w:marLeft w:val="0"/>
          <w:marRight w:val="0"/>
          <w:marTop w:val="0"/>
          <w:marBottom w:val="0"/>
          <w:divBdr>
            <w:top w:val="none" w:sz="0" w:space="0" w:color="auto"/>
            <w:left w:val="none" w:sz="0" w:space="0" w:color="auto"/>
            <w:bottom w:val="none" w:sz="0" w:space="0" w:color="auto"/>
            <w:right w:val="none" w:sz="0" w:space="0" w:color="auto"/>
          </w:divBdr>
        </w:div>
        <w:div w:id="628165696">
          <w:marLeft w:val="0"/>
          <w:marRight w:val="0"/>
          <w:marTop w:val="0"/>
          <w:marBottom w:val="0"/>
          <w:divBdr>
            <w:top w:val="none" w:sz="0" w:space="0" w:color="auto"/>
            <w:left w:val="none" w:sz="0" w:space="0" w:color="auto"/>
            <w:bottom w:val="none" w:sz="0" w:space="0" w:color="auto"/>
            <w:right w:val="none" w:sz="0" w:space="0" w:color="auto"/>
          </w:divBdr>
        </w:div>
        <w:div w:id="206572153">
          <w:marLeft w:val="0"/>
          <w:marRight w:val="0"/>
          <w:marTop w:val="0"/>
          <w:marBottom w:val="0"/>
          <w:divBdr>
            <w:top w:val="none" w:sz="0" w:space="0" w:color="auto"/>
            <w:left w:val="none" w:sz="0" w:space="0" w:color="auto"/>
            <w:bottom w:val="none" w:sz="0" w:space="0" w:color="auto"/>
            <w:right w:val="none" w:sz="0" w:space="0" w:color="auto"/>
          </w:divBdr>
        </w:div>
      </w:divsChild>
    </w:div>
    <w:div w:id="1649625725">
      <w:bodyDiv w:val="1"/>
      <w:marLeft w:val="0"/>
      <w:marRight w:val="0"/>
      <w:marTop w:val="0"/>
      <w:marBottom w:val="0"/>
      <w:divBdr>
        <w:top w:val="none" w:sz="0" w:space="0" w:color="auto"/>
        <w:left w:val="none" w:sz="0" w:space="0" w:color="auto"/>
        <w:bottom w:val="none" w:sz="0" w:space="0" w:color="auto"/>
        <w:right w:val="none" w:sz="0" w:space="0" w:color="auto"/>
      </w:divBdr>
    </w:div>
    <w:div w:id="1711151250">
      <w:bodyDiv w:val="1"/>
      <w:marLeft w:val="0"/>
      <w:marRight w:val="0"/>
      <w:marTop w:val="0"/>
      <w:marBottom w:val="0"/>
      <w:divBdr>
        <w:top w:val="none" w:sz="0" w:space="0" w:color="auto"/>
        <w:left w:val="none" w:sz="0" w:space="0" w:color="auto"/>
        <w:bottom w:val="none" w:sz="0" w:space="0" w:color="auto"/>
        <w:right w:val="none" w:sz="0" w:space="0" w:color="auto"/>
      </w:divBdr>
    </w:div>
    <w:div w:id="1723362979">
      <w:bodyDiv w:val="1"/>
      <w:marLeft w:val="0"/>
      <w:marRight w:val="0"/>
      <w:marTop w:val="0"/>
      <w:marBottom w:val="0"/>
      <w:divBdr>
        <w:top w:val="none" w:sz="0" w:space="0" w:color="auto"/>
        <w:left w:val="none" w:sz="0" w:space="0" w:color="auto"/>
        <w:bottom w:val="none" w:sz="0" w:space="0" w:color="auto"/>
        <w:right w:val="none" w:sz="0" w:space="0" w:color="auto"/>
      </w:divBdr>
    </w:div>
    <w:div w:id="1849057124">
      <w:bodyDiv w:val="1"/>
      <w:marLeft w:val="0"/>
      <w:marRight w:val="0"/>
      <w:marTop w:val="0"/>
      <w:marBottom w:val="0"/>
      <w:divBdr>
        <w:top w:val="none" w:sz="0" w:space="0" w:color="auto"/>
        <w:left w:val="none" w:sz="0" w:space="0" w:color="auto"/>
        <w:bottom w:val="none" w:sz="0" w:space="0" w:color="auto"/>
        <w:right w:val="none" w:sz="0" w:space="0" w:color="auto"/>
      </w:divBdr>
    </w:div>
    <w:div w:id="1854033677">
      <w:bodyDiv w:val="1"/>
      <w:marLeft w:val="0"/>
      <w:marRight w:val="0"/>
      <w:marTop w:val="0"/>
      <w:marBottom w:val="0"/>
      <w:divBdr>
        <w:top w:val="none" w:sz="0" w:space="0" w:color="auto"/>
        <w:left w:val="none" w:sz="0" w:space="0" w:color="auto"/>
        <w:bottom w:val="none" w:sz="0" w:space="0" w:color="auto"/>
        <w:right w:val="none" w:sz="0" w:space="0" w:color="auto"/>
      </w:divBdr>
      <w:divsChild>
        <w:div w:id="1416395918">
          <w:marLeft w:val="0"/>
          <w:marRight w:val="0"/>
          <w:marTop w:val="0"/>
          <w:marBottom w:val="0"/>
          <w:divBdr>
            <w:top w:val="none" w:sz="0" w:space="0" w:color="auto"/>
            <w:left w:val="none" w:sz="0" w:space="0" w:color="auto"/>
            <w:bottom w:val="none" w:sz="0" w:space="0" w:color="auto"/>
            <w:right w:val="none" w:sz="0" w:space="0" w:color="auto"/>
          </w:divBdr>
        </w:div>
        <w:div w:id="2133863435">
          <w:marLeft w:val="0"/>
          <w:marRight w:val="0"/>
          <w:marTop w:val="0"/>
          <w:marBottom w:val="0"/>
          <w:divBdr>
            <w:top w:val="none" w:sz="0" w:space="0" w:color="auto"/>
            <w:left w:val="none" w:sz="0" w:space="0" w:color="auto"/>
            <w:bottom w:val="none" w:sz="0" w:space="0" w:color="auto"/>
            <w:right w:val="none" w:sz="0" w:space="0" w:color="auto"/>
          </w:divBdr>
        </w:div>
        <w:div w:id="1086341157">
          <w:marLeft w:val="0"/>
          <w:marRight w:val="0"/>
          <w:marTop w:val="0"/>
          <w:marBottom w:val="0"/>
          <w:divBdr>
            <w:top w:val="none" w:sz="0" w:space="0" w:color="auto"/>
            <w:left w:val="none" w:sz="0" w:space="0" w:color="auto"/>
            <w:bottom w:val="none" w:sz="0" w:space="0" w:color="auto"/>
            <w:right w:val="none" w:sz="0" w:space="0" w:color="auto"/>
          </w:divBdr>
        </w:div>
      </w:divsChild>
    </w:div>
    <w:div w:id="1855849120">
      <w:bodyDiv w:val="1"/>
      <w:marLeft w:val="0"/>
      <w:marRight w:val="0"/>
      <w:marTop w:val="0"/>
      <w:marBottom w:val="0"/>
      <w:divBdr>
        <w:top w:val="none" w:sz="0" w:space="0" w:color="auto"/>
        <w:left w:val="none" w:sz="0" w:space="0" w:color="auto"/>
        <w:bottom w:val="none" w:sz="0" w:space="0" w:color="auto"/>
        <w:right w:val="none" w:sz="0" w:space="0" w:color="auto"/>
      </w:divBdr>
    </w:div>
    <w:div w:id="190048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4.emf"/><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2.xml"/><Relationship Id="rId25" Type="http://schemas.openxmlformats.org/officeDocument/2006/relationships/chart" Target="charts/chart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hart" Target="charts/chart5.xml"/><Relationship Id="rId28" Type="http://schemas.openxmlformats.org/officeDocument/2006/relationships/image" Target="media/image8.png"/><Relationship Id="rId10" Type="http://schemas.openxmlformats.org/officeDocument/2006/relationships/diagramData" Target="diagrams/data1.xml"/><Relationship Id="rId19" Type="http://schemas.openxmlformats.org/officeDocument/2006/relationships/package" Target="embeddings/Microsoft_Excel_Worksheet2.xlsx"/><Relationship Id="rId31" Type="http://schemas.openxmlformats.org/officeDocument/2006/relationships/hyperlink" Target="mailto:elina.baltroka@varam.gov.lv"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chart" Target="charts/chart4.xml"/><Relationship Id="rId27" Type="http://schemas.openxmlformats.org/officeDocument/2006/relationships/image" Target="media/image7.png"/><Relationship Id="rId30"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s://esa.un.org/unpd/wpp/publications/files/key_findings_wpp_2015.pdf" TargetMode="External"/><Relationship Id="rId2" Type="http://schemas.openxmlformats.org/officeDocument/2006/relationships/hyperlink" Target="http://climate.nasa.gov/vital-signs/carbon-dioxide/" TargetMode="External"/><Relationship Id="rId1" Type="http://schemas.openxmlformats.org/officeDocument/2006/relationships/hyperlink" Target="https://likumi.lv/ta/id/281943-par-valdibas-ricibas-planu-deklaracijas-par-mara-kucinska-vadita-ministru-kabineta-iecereto-darbibu-istenosanai" TargetMode="External"/><Relationship Id="rId6" Type="http://schemas.openxmlformats.org/officeDocument/2006/relationships/hyperlink" Target="https://www.researchgate.net/figure/Global-material-extraction-in-billion-tons-and-global-GDP-in-trillion-US-2005_fig3_306290805" TargetMode="External"/><Relationship Id="rId5" Type="http://schemas.openxmlformats.org/officeDocument/2006/relationships/hyperlink" Target="https://cdr.eionet.europa.eu/lv/eu/mmr/art04-13-14_lcds_pams_projections/projections/envws0bea/" TargetMode="External"/><Relationship Id="rId4" Type="http://schemas.openxmlformats.org/officeDocument/2006/relationships/hyperlink" Target="https://cdr.eionet.europa.eu/lv/eu/mmr/art04-13-14_lcds_pams_projections/projections/envws0bea/"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gita\Desktop\!%20APR&#274;&#310;INI\Vita\summas_pirags_LV_Agitai_2018.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gustsz\Desktop\OMA3.3\IKP%20atsaiste_2018.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gustsz\Desktop\OMA3.3\IKP%20atsaiste_2018.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zanes\Desktop\Kop&#275;jie%20energoresursi%201990-2015_T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38991268300226E-2"/>
          <c:y val="0.10945459183330986"/>
          <c:w val="0.83392710952006366"/>
          <c:h val="0.73560711464465001"/>
        </c:manualLayout>
      </c:layout>
      <c:ofPieChart>
        <c:ofPieType val="bar"/>
        <c:varyColors val="1"/>
        <c:ser>
          <c:idx val="0"/>
          <c:order val="0"/>
          <c:dPt>
            <c:idx val="0"/>
            <c:bubble3D val="0"/>
            <c:spPr>
              <a:solidFill>
                <a:schemeClr val="tx2"/>
              </a:solidFill>
            </c:spPr>
          </c:dPt>
          <c:dPt>
            <c:idx val="1"/>
            <c:bubble3D val="0"/>
            <c:spPr>
              <a:solidFill>
                <a:srgbClr val="00B0F0"/>
              </a:solidFill>
            </c:spPr>
          </c:dPt>
          <c:dPt>
            <c:idx val="2"/>
            <c:bubble3D val="0"/>
            <c:spPr>
              <a:solidFill>
                <a:srgbClr val="0070C0"/>
              </a:solidFill>
            </c:spPr>
          </c:dPt>
          <c:dPt>
            <c:idx val="3"/>
            <c:bubble3D val="0"/>
            <c:spPr>
              <a:solidFill>
                <a:srgbClr val="3810E2"/>
              </a:solidFill>
            </c:spPr>
          </c:dPt>
          <c:dPt>
            <c:idx val="4"/>
            <c:bubble3D val="0"/>
            <c:spPr>
              <a:solidFill>
                <a:srgbClr val="BB5415"/>
              </a:solidFill>
            </c:spPr>
          </c:dPt>
          <c:dPt>
            <c:idx val="5"/>
            <c:bubble3D val="0"/>
            <c:spPr>
              <a:solidFill>
                <a:srgbClr val="7BE9F5"/>
              </a:solidFill>
            </c:spPr>
          </c:dPt>
          <c:dPt>
            <c:idx val="6"/>
            <c:bubble3D val="0"/>
            <c:spPr>
              <a:solidFill>
                <a:srgbClr val="FFC000"/>
              </a:solidFill>
              <a:ln>
                <a:noFill/>
              </a:ln>
            </c:spPr>
          </c:dPt>
          <c:dPt>
            <c:idx val="7"/>
            <c:bubble3D val="0"/>
            <c:spPr>
              <a:solidFill>
                <a:schemeClr val="bg1">
                  <a:lumMod val="65000"/>
                </a:schemeClr>
              </a:solidFill>
              <a:ln>
                <a:noFill/>
              </a:ln>
            </c:spPr>
          </c:dPt>
          <c:dPt>
            <c:idx val="8"/>
            <c:bubble3D val="0"/>
            <c:spPr>
              <a:solidFill>
                <a:srgbClr val="92D050"/>
              </a:solidFill>
              <a:ln>
                <a:noFill/>
              </a:ln>
            </c:spPr>
          </c:dPt>
          <c:dPt>
            <c:idx val="9"/>
            <c:bubble3D val="0"/>
            <c:spPr>
              <a:solidFill>
                <a:srgbClr val="0070C0"/>
              </a:solidFill>
              <a:ln>
                <a:noFill/>
              </a:ln>
            </c:spPr>
          </c:dPt>
          <c:dPt>
            <c:idx val="10"/>
            <c:bubble3D val="0"/>
            <c:spPr>
              <a:solidFill>
                <a:srgbClr val="79B1E3"/>
              </a:solidFill>
            </c:spPr>
          </c:dPt>
          <c:dLbls>
            <c:dLbl>
              <c:idx val="0"/>
              <c:layout>
                <c:manualLayout>
                  <c:x val="1.2361983099519074E-2"/>
                  <c:y val="-5.138053483679652E-2"/>
                </c:manualLayout>
              </c:layout>
              <c:tx>
                <c:rich>
                  <a:bodyPr/>
                  <a:lstStyle/>
                  <a:p>
                    <a:pPr algn="l">
                      <a:defRPr sz="800"/>
                    </a:pPr>
                    <a:r>
                      <a:rPr lang="lv-LV" sz="800"/>
                      <a:t>Enerģētikas nozares 45.9%</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1.3674725874147066E-2"/>
                  <c:y val="-9.8181035837175107E-2"/>
                </c:manualLayout>
              </c:layout>
              <c:tx>
                <c:rich>
                  <a:bodyPr/>
                  <a:lstStyle/>
                  <a:p>
                    <a:pPr algn="l">
                      <a:defRPr sz="800"/>
                    </a:pPr>
                    <a:r>
                      <a:rPr lang="en-US" sz="800"/>
                      <a:t>Rūpniecības nozares un būvniecība 15.2%</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8.7874651069524023E-2"/>
                  <c:y val="-0.16997482731538352"/>
                </c:manualLayout>
              </c:layout>
              <c:tx>
                <c:rich>
                  <a:bodyPr/>
                  <a:lstStyle/>
                  <a:p>
                    <a:pPr algn="l">
                      <a:defRPr sz="1000"/>
                    </a:pPr>
                    <a:r>
                      <a:rPr lang="en-US" sz="1000"/>
                      <a:t>Transports 28.3%</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1.2948592523642626E-2"/>
                  <c:y val="-4.8537158007378893E-2"/>
                </c:manualLayout>
              </c:layout>
              <c:tx>
                <c:rich>
                  <a:bodyPr/>
                  <a:lstStyle/>
                  <a:p>
                    <a:pPr algn="l">
                      <a:defRPr sz="800"/>
                    </a:pPr>
                    <a:r>
                      <a:rPr lang="en-US" sz="800"/>
                      <a:t>Citas nozares (Komerciālais/sabiedriskais sektors; mājsaimniecības; lauksaimniecība/mežsaimniecība, zivsaimniecība) 35.7%</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0.11147747983846951"/>
                  <c:y val="0.15092038047673711"/>
                </c:manualLayout>
              </c:layout>
              <c:tx>
                <c:rich>
                  <a:bodyPr/>
                  <a:lstStyle/>
                  <a:p>
                    <a:pPr>
                      <a:defRPr sz="1000"/>
                    </a:pPr>
                    <a:r>
                      <a:rPr lang="en-US" sz="1000"/>
                      <a:t>Lauksaimniecība </a:t>
                    </a:r>
                  </a:p>
                  <a:p>
                    <a:pPr>
                      <a:defRPr sz="1000"/>
                    </a:pPr>
                    <a:r>
                      <a:rPr lang="en-US" sz="1000"/>
                      <a:t>23.6%</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8"/>
              <c:layout>
                <c:manualLayout>
                  <c:x val="3.9455689269239418E-2"/>
                  <c:y val="2.367273056385193E-2"/>
                </c:manualLayout>
              </c:layout>
              <c:tx>
                <c:rich>
                  <a:bodyPr/>
                  <a:lstStyle/>
                  <a:p>
                    <a:pPr>
                      <a:defRPr sz="1000"/>
                    </a:pPr>
                    <a:r>
                      <a:rPr lang="en-US" sz="1000"/>
                      <a:t>Atkritumu </a:t>
                    </a:r>
                  </a:p>
                  <a:p>
                    <a:pPr>
                      <a:defRPr sz="1000"/>
                    </a:pPr>
                    <a:r>
                      <a:rPr lang="en-US" sz="1000"/>
                      <a:t>apsaimniekošana </a:t>
                    </a:r>
                  </a:p>
                  <a:p>
                    <a:pPr>
                      <a:defRPr sz="1000"/>
                    </a:pPr>
                    <a:r>
                      <a:rPr lang="en-US" sz="1000"/>
                      <a:t>6.4%</a:t>
                    </a:r>
                  </a:p>
                </c:rich>
              </c:tx>
              <c:numFmt formatCode="0.0%" sourceLinked="0"/>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1000"/>
                </a:pPr>
                <a:endParaRPr lang="lv-LV"/>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'Figure ES3'!$S$6:$S$15</c:f>
              <c:strCache>
                <c:ptCount val="9"/>
                <c:pt idx="0">
                  <c:v>Enerģētikas nozares</c:v>
                </c:pt>
                <c:pt idx="1">
                  <c:v>Rūpniecības nozares un būvniecība</c:v>
                </c:pt>
                <c:pt idx="2">
                  <c:v>Transports</c:v>
                </c:pt>
                <c:pt idx="3">
                  <c:v>Citas nozares (Komerciālais/sabiedriskais sektors; mājsaimniecības; lauksaimniecība/mežsaimniecība, zivsaimniecība)</c:v>
                </c:pt>
                <c:pt idx="4">
                  <c:v>Citas</c:v>
                </c:pt>
                <c:pt idx="5">
                  <c:v>Kurināmā difūzās emisijas</c:v>
                </c:pt>
                <c:pt idx="6">
                  <c:v>Rūpnieciskie procesi</c:v>
                </c:pt>
                <c:pt idx="7">
                  <c:v>Lauksaimniecība</c:v>
                </c:pt>
                <c:pt idx="8">
                  <c:v>Atkritumu apsaimniekošana</c:v>
                </c:pt>
              </c:strCache>
            </c:strRef>
          </c:cat>
          <c:val>
            <c:numRef>
              <c:f>'Figure ES3'!$T$6:$T$15</c:f>
              <c:numCache>
                <c:formatCode>#,##0.00</c:formatCode>
                <c:ptCount val="10"/>
                <c:pt idx="0">
                  <c:v>1855.9926830051161</c:v>
                </c:pt>
                <c:pt idx="1">
                  <c:v>613.56319428383642</c:v>
                </c:pt>
                <c:pt idx="2">
                  <c:v>3197.9427163370874</c:v>
                </c:pt>
                <c:pt idx="3">
                  <c:v>1443.56079580143</c:v>
                </c:pt>
                <c:pt idx="4">
                  <c:v>11.508519993257771</c:v>
                </c:pt>
                <c:pt idx="5">
                  <c:v>116.590631</c:v>
                </c:pt>
                <c:pt idx="6">
                  <c:v>660.22418200319782</c:v>
                </c:pt>
                <c:pt idx="7">
                  <c:v>2663.4292035492754</c:v>
                </c:pt>
                <c:pt idx="8">
                  <c:v>725.87221361239995</c:v>
                </c:pt>
              </c:numCache>
            </c:numRef>
          </c:val>
        </c:ser>
        <c:dLbls>
          <c:showLegendKey val="0"/>
          <c:showVal val="0"/>
          <c:showCatName val="0"/>
          <c:showSerName val="0"/>
          <c:showPercent val="0"/>
          <c:showBubbleSize val="0"/>
          <c:showLeaderLines val="1"/>
        </c:dLbls>
        <c:gapWidth val="80"/>
        <c:splitType val="cust"/>
        <c:custSplit>
          <c:secondPiePt val="0"/>
          <c:secondPiePt val="1"/>
          <c:secondPiePt val="3"/>
          <c:secondPiePt val="4"/>
          <c:secondPiePt val="5"/>
        </c:custSplit>
        <c:secondPieSize val="60"/>
        <c:serLines/>
      </c:ofPieChart>
      <c:spPr>
        <a:noFill/>
        <a:ln w="25400">
          <a:noFill/>
        </a:ln>
      </c:spPr>
    </c:plotArea>
    <c:plotVisOnly val="1"/>
    <c:dispBlanksAs val="gap"/>
    <c:showDLblsOverMax val="0"/>
  </c:chart>
  <c:spPr>
    <a:ln>
      <a:solidFill>
        <a:schemeClr val="dk1"/>
      </a:solidFill>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v-LV"/>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574492628643506E-2"/>
          <c:y val="4.5586124327751505E-2"/>
          <c:w val="0.82308548421643546"/>
          <c:h val="0.78498066097596075"/>
        </c:manualLayout>
      </c:layout>
      <c:lineChart>
        <c:grouping val="standard"/>
        <c:varyColors val="0"/>
        <c:ser>
          <c:idx val="0"/>
          <c:order val="0"/>
          <c:tx>
            <c:strRef>
              <c:f>kopsavilkums!$A$37</c:f>
              <c:strCache>
                <c:ptCount val="1"/>
                <c:pt idx="0">
                  <c:v>Kopējās SEG (bez ZIZIMM)</c:v>
                </c:pt>
              </c:strCache>
            </c:strRef>
          </c:tx>
          <c:spPr>
            <a:ln w="28575" cap="rnd">
              <a:solidFill>
                <a:schemeClr val="accent1"/>
              </a:solidFill>
              <a:round/>
            </a:ln>
            <a:effectLst/>
          </c:spPr>
          <c:marker>
            <c:symbol val="none"/>
          </c:marker>
          <c:cat>
            <c:strRef>
              <c:f>kopsavilkums!$B$36:$O$36</c:f>
              <c:strCache>
                <c:ptCount val="14"/>
                <c:pt idx="0">
                  <c:v>1990</c:v>
                </c:pt>
                <c:pt idx="1">
                  <c:v>1995</c:v>
                </c:pt>
                <c:pt idx="2">
                  <c:v>2000</c:v>
                </c:pt>
                <c:pt idx="3">
                  <c:v>2005</c:v>
                </c:pt>
                <c:pt idx="4">
                  <c:v>2010</c:v>
                </c:pt>
                <c:pt idx="5">
                  <c:v>2015</c:v>
                </c:pt>
                <c:pt idx="6">
                  <c:v>2016</c:v>
                </c:pt>
                <c:pt idx="7">
                  <c:v>2020</c:v>
                </c:pt>
                <c:pt idx="8">
                  <c:v>2025</c:v>
                </c:pt>
                <c:pt idx="9">
                  <c:v>2030</c:v>
                </c:pt>
                <c:pt idx="10">
                  <c:v>2035</c:v>
                </c:pt>
                <c:pt idx="11">
                  <c:v>2040</c:v>
                </c:pt>
                <c:pt idx="12">
                  <c:v>2045</c:v>
                </c:pt>
                <c:pt idx="13">
                  <c:v>2050</c:v>
                </c:pt>
              </c:strCache>
            </c:strRef>
          </c:cat>
          <c:val>
            <c:numRef>
              <c:f>kopsavilkums!$B$37:$O$37</c:f>
              <c:numCache>
                <c:formatCode>0.00</c:formatCode>
                <c:ptCount val="14"/>
                <c:pt idx="0">
                  <c:v>26469.958813019261</c:v>
                </c:pt>
                <c:pt idx="1">
                  <c:v>12960.221141373479</c:v>
                </c:pt>
                <c:pt idx="2">
                  <c:v>10537.379357088083</c:v>
                </c:pt>
                <c:pt idx="3">
                  <c:v>11457.230594850251</c:v>
                </c:pt>
                <c:pt idx="4">
                  <c:v>12389.678709868222</c:v>
                </c:pt>
                <c:pt idx="5">
                  <c:v>11334.662443643112</c:v>
                </c:pt>
                <c:pt idx="6">
                  <c:v>11306.385827634798</c:v>
                </c:pt>
                <c:pt idx="7" formatCode="General">
                  <c:v>11565.07495705695</c:v>
                </c:pt>
                <c:pt idx="8" formatCode="General">
                  <c:v>11846.399866967238</c:v>
                </c:pt>
                <c:pt idx="9" formatCode="General">
                  <c:v>12195.427305744961</c:v>
                </c:pt>
                <c:pt idx="10" formatCode="General">
                  <c:v>12565.712594632696</c:v>
                </c:pt>
                <c:pt idx="11" formatCode="General">
                  <c:v>13168.910787951363</c:v>
                </c:pt>
                <c:pt idx="12">
                  <c:v>13168.910787951363</c:v>
                </c:pt>
                <c:pt idx="13">
                  <c:v>13214.561685545967</c:v>
                </c:pt>
              </c:numCache>
            </c:numRef>
          </c:val>
          <c:smooth val="0"/>
        </c:ser>
        <c:ser>
          <c:idx val="1"/>
          <c:order val="1"/>
          <c:tx>
            <c:strRef>
              <c:f>kopsavilkums!$A$38</c:f>
              <c:strCache>
                <c:ptCount val="1"/>
                <c:pt idx="0">
                  <c:v>Kopējās SEG (ieskaitot ZIZIMM)</c:v>
                </c:pt>
              </c:strCache>
            </c:strRef>
          </c:tx>
          <c:spPr>
            <a:ln w="28575" cap="rnd">
              <a:solidFill>
                <a:schemeClr val="accent2"/>
              </a:solidFill>
              <a:round/>
            </a:ln>
            <a:effectLst/>
          </c:spPr>
          <c:marker>
            <c:symbol val="none"/>
          </c:marker>
          <c:cat>
            <c:strRef>
              <c:f>kopsavilkums!$B$36:$O$36</c:f>
              <c:strCache>
                <c:ptCount val="14"/>
                <c:pt idx="0">
                  <c:v>1990</c:v>
                </c:pt>
                <c:pt idx="1">
                  <c:v>1995</c:v>
                </c:pt>
                <c:pt idx="2">
                  <c:v>2000</c:v>
                </c:pt>
                <c:pt idx="3">
                  <c:v>2005</c:v>
                </c:pt>
                <c:pt idx="4">
                  <c:v>2010</c:v>
                </c:pt>
                <c:pt idx="5">
                  <c:v>2015</c:v>
                </c:pt>
                <c:pt idx="6">
                  <c:v>2016</c:v>
                </c:pt>
                <c:pt idx="7">
                  <c:v>2020</c:v>
                </c:pt>
                <c:pt idx="8">
                  <c:v>2025</c:v>
                </c:pt>
                <c:pt idx="9">
                  <c:v>2030</c:v>
                </c:pt>
                <c:pt idx="10">
                  <c:v>2035</c:v>
                </c:pt>
                <c:pt idx="11">
                  <c:v>2040</c:v>
                </c:pt>
                <c:pt idx="12">
                  <c:v>2045</c:v>
                </c:pt>
                <c:pt idx="13">
                  <c:v>2050</c:v>
                </c:pt>
              </c:strCache>
            </c:strRef>
          </c:cat>
          <c:val>
            <c:numRef>
              <c:f>kopsavilkums!$B$38:$O$38</c:f>
              <c:numCache>
                <c:formatCode>0.00</c:formatCode>
                <c:ptCount val="14"/>
                <c:pt idx="0">
                  <c:v>15773.276270352586</c:v>
                </c:pt>
                <c:pt idx="1">
                  <c:v>-390.75973062653696</c:v>
                </c:pt>
                <c:pt idx="2">
                  <c:v>896.78603908807531</c:v>
                </c:pt>
                <c:pt idx="3">
                  <c:v>7227.6670145169164</c:v>
                </c:pt>
                <c:pt idx="4">
                  <c:v>11032.779149868218</c:v>
                </c:pt>
                <c:pt idx="5">
                  <c:v>12037.170377309778</c:v>
                </c:pt>
                <c:pt idx="6">
                  <c:v>10381.122372301465</c:v>
                </c:pt>
                <c:pt idx="7" formatCode="General">
                  <c:v>14231.740727486704</c:v>
                </c:pt>
                <c:pt idx="8" formatCode="General">
                  <c:v>14749.309932408411</c:v>
                </c:pt>
                <c:pt idx="9" formatCode="General">
                  <c:v>15568.754520724955</c:v>
                </c:pt>
                <c:pt idx="10" formatCode="General">
                  <c:v>15980.622137407285</c:v>
                </c:pt>
                <c:pt idx="11" formatCode="General">
                  <c:v>16904.519907552534</c:v>
                </c:pt>
                <c:pt idx="12">
                  <c:v>17425.970787951363</c:v>
                </c:pt>
                <c:pt idx="13">
                  <c:v>17296.70507</c:v>
                </c:pt>
              </c:numCache>
            </c:numRef>
          </c:val>
          <c:smooth val="0"/>
        </c:ser>
        <c:dLbls>
          <c:showLegendKey val="0"/>
          <c:showVal val="0"/>
          <c:showCatName val="0"/>
          <c:showSerName val="0"/>
          <c:showPercent val="0"/>
          <c:showBubbleSize val="0"/>
        </c:dLbls>
        <c:smooth val="0"/>
        <c:axId val="571648880"/>
        <c:axId val="572907504"/>
      </c:lineChart>
      <c:catAx>
        <c:axId val="57164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72907504"/>
        <c:crosses val="autoZero"/>
        <c:auto val="1"/>
        <c:lblAlgn val="ctr"/>
        <c:lblOffset val="100"/>
        <c:noMultiLvlLbl val="0"/>
      </c:catAx>
      <c:valAx>
        <c:axId val="572907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kt CO2 ekv. </a:t>
                </a:r>
              </a:p>
            </c:rich>
          </c:tx>
          <c:layout>
            <c:manualLayout>
              <c:xMode val="edge"/>
              <c:yMode val="edge"/>
              <c:x val="1.0718458943387686E-2"/>
              <c:y val="0.3096328995418219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7164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kopsavilkums!$A$130</c:f>
              <c:strCache>
                <c:ptCount val="1"/>
                <c:pt idx="0">
                  <c:v>Kopējās SEG (bez ZIZIMM) saskaņā ar pēdējo SEG inventarizāciju, prognozēm un nacionālo ekspertu novērtējums</c:v>
                </c:pt>
              </c:strCache>
            </c:strRef>
          </c:tx>
          <c:spPr>
            <a:ln w="28575" cap="rnd">
              <a:solidFill>
                <a:schemeClr val="accent1"/>
              </a:solidFill>
              <a:round/>
            </a:ln>
            <a:effectLst/>
          </c:spPr>
          <c:marker>
            <c:symbol val="none"/>
          </c:marker>
          <c:cat>
            <c:strRef>
              <c:f>kopsavilkums!$B$129:$L$129</c:f>
              <c:strCache>
                <c:ptCount val="11"/>
                <c:pt idx="0">
                  <c:v>1990</c:v>
                </c:pt>
                <c:pt idx="1">
                  <c:v>1995</c:v>
                </c:pt>
                <c:pt idx="2">
                  <c:v>2000</c:v>
                </c:pt>
                <c:pt idx="3">
                  <c:v>2005</c:v>
                </c:pt>
                <c:pt idx="4">
                  <c:v>2010</c:v>
                </c:pt>
                <c:pt idx="5">
                  <c:v>2015</c:v>
                </c:pt>
                <c:pt idx="6">
                  <c:v>2016</c:v>
                </c:pt>
                <c:pt idx="7">
                  <c:v>2020</c:v>
                </c:pt>
                <c:pt idx="8">
                  <c:v>2030</c:v>
                </c:pt>
                <c:pt idx="9">
                  <c:v>2040</c:v>
                </c:pt>
                <c:pt idx="10">
                  <c:v>2050</c:v>
                </c:pt>
              </c:strCache>
            </c:strRef>
          </c:cat>
          <c:val>
            <c:numRef>
              <c:f>kopsavilkums!$B$130:$L$130</c:f>
              <c:numCache>
                <c:formatCode>0.00</c:formatCode>
                <c:ptCount val="11"/>
                <c:pt idx="0">
                  <c:v>26469.958813019261</c:v>
                </c:pt>
                <c:pt idx="1">
                  <c:v>12960.221141373479</c:v>
                </c:pt>
                <c:pt idx="2">
                  <c:v>10537.379357088083</c:v>
                </c:pt>
                <c:pt idx="3">
                  <c:v>11457.230594850251</c:v>
                </c:pt>
                <c:pt idx="4">
                  <c:v>12389.678709868222</c:v>
                </c:pt>
                <c:pt idx="5">
                  <c:v>11334.662443643112</c:v>
                </c:pt>
                <c:pt idx="6">
                  <c:v>11306.385827634798</c:v>
                </c:pt>
                <c:pt idx="7" formatCode="General">
                  <c:v>11565.07495705695</c:v>
                </c:pt>
                <c:pt idx="8" formatCode="General">
                  <c:v>12195.427305744961</c:v>
                </c:pt>
                <c:pt idx="9" formatCode="General">
                  <c:v>13168.910787951363</c:v>
                </c:pt>
                <c:pt idx="10">
                  <c:v>13214.561685545967</c:v>
                </c:pt>
              </c:numCache>
            </c:numRef>
          </c:val>
          <c:smooth val="0"/>
        </c:ser>
        <c:ser>
          <c:idx val="1"/>
          <c:order val="1"/>
          <c:tx>
            <c:strRef>
              <c:f>kopsavilkums!$A$131</c:f>
              <c:strCache>
                <c:ptCount val="1"/>
                <c:pt idx="0">
                  <c:v>Kopējās SEG (bez ZIZIMM) saskaņā ar pēdējo SEG inventarizāciju un BENTE projektu  </c:v>
                </c:pt>
              </c:strCache>
            </c:strRef>
          </c:tx>
          <c:spPr>
            <a:ln w="28575" cap="rnd">
              <a:solidFill>
                <a:schemeClr val="accent2"/>
              </a:solidFill>
              <a:round/>
            </a:ln>
            <a:effectLst/>
          </c:spPr>
          <c:marker>
            <c:symbol val="none"/>
          </c:marker>
          <c:cat>
            <c:strRef>
              <c:f>kopsavilkums!$B$129:$L$129</c:f>
              <c:strCache>
                <c:ptCount val="11"/>
                <c:pt idx="0">
                  <c:v>1990</c:v>
                </c:pt>
                <c:pt idx="1">
                  <c:v>1995</c:v>
                </c:pt>
                <c:pt idx="2">
                  <c:v>2000</c:v>
                </c:pt>
                <c:pt idx="3">
                  <c:v>2005</c:v>
                </c:pt>
                <c:pt idx="4">
                  <c:v>2010</c:v>
                </c:pt>
                <c:pt idx="5">
                  <c:v>2015</c:v>
                </c:pt>
                <c:pt idx="6">
                  <c:v>2016</c:v>
                </c:pt>
                <c:pt idx="7">
                  <c:v>2020</c:v>
                </c:pt>
                <c:pt idx="8">
                  <c:v>2030</c:v>
                </c:pt>
                <c:pt idx="9">
                  <c:v>2040</c:v>
                </c:pt>
                <c:pt idx="10">
                  <c:v>2050</c:v>
                </c:pt>
              </c:strCache>
            </c:strRef>
          </c:cat>
          <c:val>
            <c:numRef>
              <c:f>kopsavilkums!$B$131:$L$131</c:f>
              <c:numCache>
                <c:formatCode>0.00</c:formatCode>
                <c:ptCount val="11"/>
                <c:pt idx="0">
                  <c:v>26469.958813019261</c:v>
                </c:pt>
                <c:pt idx="1">
                  <c:v>12960.221141373479</c:v>
                </c:pt>
                <c:pt idx="2">
                  <c:v>10537.379357088083</c:v>
                </c:pt>
                <c:pt idx="3">
                  <c:v>11457.230594850251</c:v>
                </c:pt>
                <c:pt idx="4">
                  <c:v>12389.678709868222</c:v>
                </c:pt>
                <c:pt idx="5">
                  <c:v>11334.662443643112</c:v>
                </c:pt>
                <c:pt idx="6">
                  <c:v>11306.385827634798</c:v>
                </c:pt>
                <c:pt idx="7" formatCode="General">
                  <c:v>11400</c:v>
                </c:pt>
                <c:pt idx="8" formatCode="General">
                  <c:v>10300</c:v>
                </c:pt>
                <c:pt idx="9" formatCode="General">
                  <c:v>8600</c:v>
                </c:pt>
                <c:pt idx="10">
                  <c:v>7600</c:v>
                </c:pt>
              </c:numCache>
            </c:numRef>
          </c:val>
          <c:smooth val="0"/>
        </c:ser>
        <c:dLbls>
          <c:showLegendKey val="0"/>
          <c:showVal val="0"/>
          <c:showCatName val="0"/>
          <c:showSerName val="0"/>
          <c:showPercent val="0"/>
          <c:showBubbleSize val="0"/>
        </c:dLbls>
        <c:smooth val="0"/>
        <c:axId val="572908288"/>
        <c:axId val="572908680"/>
      </c:lineChart>
      <c:catAx>
        <c:axId val="57290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72908680"/>
        <c:crosses val="autoZero"/>
        <c:auto val="1"/>
        <c:lblAlgn val="ctr"/>
        <c:lblOffset val="100"/>
        <c:noMultiLvlLbl val="0"/>
      </c:catAx>
      <c:valAx>
        <c:axId val="572908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kt</a:t>
                </a:r>
                <a:r>
                  <a:rPr lang="lv-LV"/>
                  <a:t> </a:t>
                </a:r>
                <a:r>
                  <a:rPr lang="en-US"/>
                  <a:t> CO2</a:t>
                </a:r>
                <a:r>
                  <a:rPr lang="lv-LV"/>
                  <a:t> </a:t>
                </a:r>
                <a:r>
                  <a:rPr lang="en-US"/>
                  <a:t>ekv</a:t>
                </a:r>
                <a:r>
                  <a:rPr lang="lv-LV"/>
                  <a:t>.</a:t>
                </a:r>
                <a:endParaRPr lang="en-US"/>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7290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ZIZIMM_8.att!$A$6</c:f>
              <c:strCache>
                <c:ptCount val="1"/>
                <c:pt idx="0">
                  <c:v>Meža zeme</c:v>
                </c:pt>
              </c:strCache>
            </c:strRef>
          </c:tx>
          <c:spPr>
            <a:solidFill>
              <a:srgbClr val="00B050"/>
            </a:solidFill>
            <a:ln>
              <a:noFill/>
            </a:ln>
            <a:effectLst/>
          </c:spPr>
          <c:invertIfNegative val="0"/>
          <c:cat>
            <c:numRef>
              <c:f>ZIZIMM_8.att!$B$4:$T$4</c:f>
              <c:numCache>
                <c:formatCode>General</c:formatCode>
                <c:ptCount val="18"/>
                <c:pt idx="0">
                  <c:v>1990</c:v>
                </c:pt>
                <c:pt idx="1">
                  <c:v>1995</c:v>
                </c:pt>
                <c:pt idx="2">
                  <c:v>2000</c:v>
                </c:pt>
                <c:pt idx="3">
                  <c:v>2005</c:v>
                </c:pt>
                <c:pt idx="4">
                  <c:v>2010</c:v>
                </c:pt>
                <c:pt idx="5">
                  <c:v>2011</c:v>
                </c:pt>
                <c:pt idx="6">
                  <c:v>2012</c:v>
                </c:pt>
                <c:pt idx="7">
                  <c:v>2013</c:v>
                </c:pt>
                <c:pt idx="8">
                  <c:v>2014</c:v>
                </c:pt>
                <c:pt idx="9">
                  <c:v>2015</c:v>
                </c:pt>
                <c:pt idx="10">
                  <c:v>2016</c:v>
                </c:pt>
                <c:pt idx="11">
                  <c:v>2020</c:v>
                </c:pt>
                <c:pt idx="12">
                  <c:v>2025</c:v>
                </c:pt>
                <c:pt idx="13">
                  <c:v>2030</c:v>
                </c:pt>
                <c:pt idx="14">
                  <c:v>2035</c:v>
                </c:pt>
                <c:pt idx="15">
                  <c:v>2040</c:v>
                </c:pt>
                <c:pt idx="16">
                  <c:v>2045</c:v>
                </c:pt>
                <c:pt idx="17">
                  <c:v>2050</c:v>
                </c:pt>
              </c:numCache>
            </c:numRef>
          </c:cat>
          <c:val>
            <c:numRef>
              <c:f>ZIZIMM_8.att!$B$6:$T$6</c:f>
              <c:numCache>
                <c:formatCode>0.00</c:formatCode>
                <c:ptCount val="18"/>
                <c:pt idx="0">
                  <c:v>-17330.488521333347</c:v>
                </c:pt>
                <c:pt idx="1">
                  <c:v>-18594.305337666687</c:v>
                </c:pt>
                <c:pt idx="2">
                  <c:v>-13393.386179333345</c:v>
                </c:pt>
                <c:pt idx="3">
                  <c:v>-8468.750414333339</c:v>
                </c:pt>
                <c:pt idx="4">
                  <c:v>-4568.8105940000059</c:v>
                </c:pt>
                <c:pt idx="5">
                  <c:v>-4621.9560483333435</c:v>
                </c:pt>
                <c:pt idx="6">
                  <c:v>-5873.1230350000023</c:v>
                </c:pt>
                <c:pt idx="7">
                  <c:v>-5573.0349470000037</c:v>
                </c:pt>
                <c:pt idx="8">
                  <c:v>-905.31077133333929</c:v>
                </c:pt>
                <c:pt idx="9">
                  <c:v>-1696.7851320000034</c:v>
                </c:pt>
                <c:pt idx="10">
                  <c:v>-2968.7518160000036</c:v>
                </c:pt>
                <c:pt idx="11">
                  <c:v>-2052.7481243125058</c:v>
                </c:pt>
                <c:pt idx="12">
                  <c:v>-2171.2414159401974</c:v>
                </c:pt>
                <c:pt idx="13">
                  <c:v>-1957.8659864149713</c:v>
                </c:pt>
                <c:pt idx="14">
                  <c:v>-1954.5595277250914</c:v>
                </c:pt>
                <c:pt idx="15">
                  <c:v>-1790.4971629637998</c:v>
                </c:pt>
                <c:pt idx="16">
                  <c:v>-1554.54</c:v>
                </c:pt>
                <c:pt idx="17" formatCode="General">
                  <c:v>-1487.43</c:v>
                </c:pt>
              </c:numCache>
            </c:numRef>
          </c:val>
        </c:ser>
        <c:ser>
          <c:idx val="2"/>
          <c:order val="2"/>
          <c:tx>
            <c:strRef>
              <c:f>ZIZIMM_8.att!$A$7</c:f>
              <c:strCache>
                <c:ptCount val="1"/>
                <c:pt idx="0">
                  <c:v>Aramzeme</c:v>
                </c:pt>
              </c:strCache>
            </c:strRef>
          </c:tx>
          <c:spPr>
            <a:solidFill>
              <a:srgbClr val="FFC000"/>
            </a:solidFill>
            <a:ln>
              <a:noFill/>
            </a:ln>
            <a:effectLst/>
          </c:spPr>
          <c:invertIfNegative val="0"/>
          <c:cat>
            <c:numRef>
              <c:f>ZIZIMM_8.att!$B$4:$T$4</c:f>
              <c:numCache>
                <c:formatCode>General</c:formatCode>
                <c:ptCount val="18"/>
                <c:pt idx="0">
                  <c:v>1990</c:v>
                </c:pt>
                <c:pt idx="1">
                  <c:v>1995</c:v>
                </c:pt>
                <c:pt idx="2">
                  <c:v>2000</c:v>
                </c:pt>
                <c:pt idx="3">
                  <c:v>2005</c:v>
                </c:pt>
                <c:pt idx="4">
                  <c:v>2010</c:v>
                </c:pt>
                <c:pt idx="5">
                  <c:v>2011</c:v>
                </c:pt>
                <c:pt idx="6">
                  <c:v>2012</c:v>
                </c:pt>
                <c:pt idx="7">
                  <c:v>2013</c:v>
                </c:pt>
                <c:pt idx="8">
                  <c:v>2014</c:v>
                </c:pt>
                <c:pt idx="9">
                  <c:v>2015</c:v>
                </c:pt>
                <c:pt idx="10">
                  <c:v>2016</c:v>
                </c:pt>
                <c:pt idx="11">
                  <c:v>2020</c:v>
                </c:pt>
                <c:pt idx="12">
                  <c:v>2025</c:v>
                </c:pt>
                <c:pt idx="13">
                  <c:v>2030</c:v>
                </c:pt>
                <c:pt idx="14">
                  <c:v>2035</c:v>
                </c:pt>
                <c:pt idx="15">
                  <c:v>2040</c:v>
                </c:pt>
                <c:pt idx="16">
                  <c:v>2045</c:v>
                </c:pt>
                <c:pt idx="17">
                  <c:v>2050</c:v>
                </c:pt>
              </c:numCache>
            </c:numRef>
          </c:cat>
          <c:val>
            <c:numRef>
              <c:f>ZIZIMM_8.att!$B$7:$T$7</c:f>
              <c:numCache>
                <c:formatCode>0.00</c:formatCode>
                <c:ptCount val="18"/>
                <c:pt idx="0">
                  <c:v>3640.5018596666696</c:v>
                </c:pt>
                <c:pt idx="1">
                  <c:v>3395.6760946666695</c:v>
                </c:pt>
                <c:pt idx="2">
                  <c:v>3244.5648796666692</c:v>
                </c:pt>
                <c:pt idx="3">
                  <c:v>3056.0319806666694</c:v>
                </c:pt>
                <c:pt idx="4">
                  <c:v>2712.2983050000025</c:v>
                </c:pt>
                <c:pt idx="5">
                  <c:v>2633.3583453333358</c:v>
                </c:pt>
                <c:pt idx="6">
                  <c:v>2475.575255000002</c:v>
                </c:pt>
                <c:pt idx="7">
                  <c:v>2395.0151633333353</c:v>
                </c:pt>
                <c:pt idx="8">
                  <c:v>2314.7381516666687</c:v>
                </c:pt>
                <c:pt idx="9">
                  <c:v>2234.5419010000019</c:v>
                </c:pt>
                <c:pt idx="10">
                  <c:v>2154.5740676666687</c:v>
                </c:pt>
                <c:pt idx="11">
                  <c:v>2957.6009228304351</c:v>
                </c:pt>
                <c:pt idx="12">
                  <c:v>2963.93654862107</c:v>
                </c:pt>
                <c:pt idx="13">
                  <c:v>2970.4869584376556</c:v>
                </c:pt>
                <c:pt idx="14">
                  <c:v>2989.7674376682326</c:v>
                </c:pt>
                <c:pt idx="15">
                  <c:v>3065.4847756830127</c:v>
                </c:pt>
                <c:pt idx="16">
                  <c:v>3097.49</c:v>
                </c:pt>
                <c:pt idx="17" formatCode="General">
                  <c:v>3113.07</c:v>
                </c:pt>
              </c:numCache>
            </c:numRef>
          </c:val>
        </c:ser>
        <c:ser>
          <c:idx val="3"/>
          <c:order val="3"/>
          <c:tx>
            <c:strRef>
              <c:f>ZIZIMM_8.att!$A$8</c:f>
              <c:strCache>
                <c:ptCount val="1"/>
                <c:pt idx="0">
                  <c:v>Zālāji</c:v>
                </c:pt>
              </c:strCache>
            </c:strRef>
          </c:tx>
          <c:spPr>
            <a:solidFill>
              <a:schemeClr val="bg2">
                <a:lumMod val="50000"/>
              </a:schemeClr>
            </a:solidFill>
            <a:ln>
              <a:noFill/>
            </a:ln>
            <a:effectLst/>
          </c:spPr>
          <c:invertIfNegative val="0"/>
          <c:cat>
            <c:numRef>
              <c:f>ZIZIMM_8.att!$B$4:$T$4</c:f>
              <c:numCache>
                <c:formatCode>General</c:formatCode>
                <c:ptCount val="18"/>
                <c:pt idx="0">
                  <c:v>1990</c:v>
                </c:pt>
                <c:pt idx="1">
                  <c:v>1995</c:v>
                </c:pt>
                <c:pt idx="2">
                  <c:v>2000</c:v>
                </c:pt>
                <c:pt idx="3">
                  <c:v>2005</c:v>
                </c:pt>
                <c:pt idx="4">
                  <c:v>2010</c:v>
                </c:pt>
                <c:pt idx="5">
                  <c:v>2011</c:v>
                </c:pt>
                <c:pt idx="6">
                  <c:v>2012</c:v>
                </c:pt>
                <c:pt idx="7">
                  <c:v>2013</c:v>
                </c:pt>
                <c:pt idx="8">
                  <c:v>2014</c:v>
                </c:pt>
                <c:pt idx="9">
                  <c:v>2015</c:v>
                </c:pt>
                <c:pt idx="10">
                  <c:v>2016</c:v>
                </c:pt>
                <c:pt idx="11">
                  <c:v>2020</c:v>
                </c:pt>
                <c:pt idx="12">
                  <c:v>2025</c:v>
                </c:pt>
                <c:pt idx="13">
                  <c:v>2030</c:v>
                </c:pt>
                <c:pt idx="14">
                  <c:v>2035</c:v>
                </c:pt>
                <c:pt idx="15">
                  <c:v>2040</c:v>
                </c:pt>
                <c:pt idx="16">
                  <c:v>2045</c:v>
                </c:pt>
                <c:pt idx="17">
                  <c:v>2050</c:v>
                </c:pt>
              </c:numCache>
            </c:numRef>
          </c:cat>
          <c:val>
            <c:numRef>
              <c:f>ZIZIMM_8.att!$B$8:$T$8</c:f>
              <c:numCache>
                <c:formatCode>0.00</c:formatCode>
                <c:ptCount val="18"/>
                <c:pt idx="0">
                  <c:v>2116.1459216666685</c:v>
                </c:pt>
                <c:pt idx="1">
                  <c:v>1982.0908036666683</c:v>
                </c:pt>
                <c:pt idx="2">
                  <c:v>2312.9101753333352</c:v>
                </c:pt>
                <c:pt idx="3">
                  <c:v>2282.1050700000019</c:v>
                </c:pt>
                <c:pt idx="4">
                  <c:v>1479.8849043333346</c:v>
                </c:pt>
                <c:pt idx="5">
                  <c:v>1430.6526740000013</c:v>
                </c:pt>
                <c:pt idx="6">
                  <c:v>1353.2167223333345</c:v>
                </c:pt>
                <c:pt idx="7">
                  <c:v>1305.0853493333343</c:v>
                </c:pt>
                <c:pt idx="8">
                  <c:v>1259.1179793333345</c:v>
                </c:pt>
                <c:pt idx="9">
                  <c:v>1213.7931686666677</c:v>
                </c:pt>
                <c:pt idx="10">
                  <c:v>1170.2937286666677</c:v>
                </c:pt>
                <c:pt idx="11">
                  <c:v>528.53920456069693</c:v>
                </c:pt>
                <c:pt idx="12">
                  <c:v>696.87631479063339</c:v>
                </c:pt>
                <c:pt idx="13">
                  <c:v>808.63188111530565</c:v>
                </c:pt>
                <c:pt idx="14">
                  <c:v>800.88113162739546</c:v>
                </c:pt>
                <c:pt idx="15">
                  <c:v>793.63694404524745</c:v>
                </c:pt>
                <c:pt idx="16">
                  <c:v>786.4</c:v>
                </c:pt>
                <c:pt idx="17" formatCode="General">
                  <c:v>779.19</c:v>
                </c:pt>
              </c:numCache>
            </c:numRef>
          </c:val>
        </c:ser>
        <c:ser>
          <c:idx val="4"/>
          <c:order val="4"/>
          <c:tx>
            <c:strRef>
              <c:f>ZIZIMM_8.att!$A$9</c:f>
              <c:strCache>
                <c:ptCount val="1"/>
                <c:pt idx="0">
                  <c:v>Mitrzemes</c:v>
                </c:pt>
              </c:strCache>
            </c:strRef>
          </c:tx>
          <c:spPr>
            <a:solidFill>
              <a:schemeClr val="accent5"/>
            </a:solidFill>
            <a:ln>
              <a:noFill/>
            </a:ln>
            <a:effectLst/>
          </c:spPr>
          <c:invertIfNegative val="0"/>
          <c:cat>
            <c:numRef>
              <c:f>ZIZIMM_8.att!$B$4:$T$4</c:f>
              <c:numCache>
                <c:formatCode>General</c:formatCode>
                <c:ptCount val="18"/>
                <c:pt idx="0">
                  <c:v>1990</c:v>
                </c:pt>
                <c:pt idx="1">
                  <c:v>1995</c:v>
                </c:pt>
                <c:pt idx="2">
                  <c:v>2000</c:v>
                </c:pt>
                <c:pt idx="3">
                  <c:v>2005</c:v>
                </c:pt>
                <c:pt idx="4">
                  <c:v>2010</c:v>
                </c:pt>
                <c:pt idx="5">
                  <c:v>2011</c:v>
                </c:pt>
                <c:pt idx="6">
                  <c:v>2012</c:v>
                </c:pt>
                <c:pt idx="7">
                  <c:v>2013</c:v>
                </c:pt>
                <c:pt idx="8">
                  <c:v>2014</c:v>
                </c:pt>
                <c:pt idx="9">
                  <c:v>2015</c:v>
                </c:pt>
                <c:pt idx="10">
                  <c:v>2016</c:v>
                </c:pt>
                <c:pt idx="11">
                  <c:v>2020</c:v>
                </c:pt>
                <c:pt idx="12">
                  <c:v>2025</c:v>
                </c:pt>
                <c:pt idx="13">
                  <c:v>2030</c:v>
                </c:pt>
                <c:pt idx="14">
                  <c:v>2035</c:v>
                </c:pt>
                <c:pt idx="15">
                  <c:v>2040</c:v>
                </c:pt>
                <c:pt idx="16">
                  <c:v>2045</c:v>
                </c:pt>
                <c:pt idx="17">
                  <c:v>2050</c:v>
                </c:pt>
              </c:numCache>
            </c:numRef>
          </c:cat>
          <c:val>
            <c:numRef>
              <c:f>ZIZIMM_8.att!$B$9:$T$9</c:f>
              <c:numCache>
                <c:formatCode>0.00</c:formatCode>
                <c:ptCount val="18"/>
                <c:pt idx="0">
                  <c:v>1077.2944783333335</c:v>
                </c:pt>
                <c:pt idx="1">
                  <c:v>382.31359833333346</c:v>
                </c:pt>
                <c:pt idx="2">
                  <c:v>513.55338466666672</c:v>
                </c:pt>
                <c:pt idx="3">
                  <c:v>964.18013633333339</c:v>
                </c:pt>
                <c:pt idx="4">
                  <c:v>783.51461466666672</c:v>
                </c:pt>
                <c:pt idx="5">
                  <c:v>1035.6603583333333</c:v>
                </c:pt>
                <c:pt idx="6">
                  <c:v>884.99499000000014</c:v>
                </c:pt>
                <c:pt idx="7">
                  <c:v>1382.712947</c:v>
                </c:pt>
                <c:pt idx="8">
                  <c:v>1065.3337310000002</c:v>
                </c:pt>
                <c:pt idx="9">
                  <c:v>1386.6884313333335</c:v>
                </c:pt>
                <c:pt idx="10">
                  <c:v>1446.8141966666669</c:v>
                </c:pt>
                <c:pt idx="11">
                  <c:v>1849.0270452526142</c:v>
                </c:pt>
                <c:pt idx="12">
                  <c:v>1826.0774052057343</c:v>
                </c:pt>
                <c:pt idx="13">
                  <c:v>1799.8959202079143</c:v>
                </c:pt>
                <c:pt idx="14">
                  <c:v>1707.6380066446343</c:v>
                </c:pt>
                <c:pt idx="15">
                  <c:v>1680.3240417267941</c:v>
                </c:pt>
                <c:pt idx="16">
                  <c:v>1653.5</c:v>
                </c:pt>
                <c:pt idx="17" formatCode="General">
                  <c:v>1630.73</c:v>
                </c:pt>
              </c:numCache>
            </c:numRef>
          </c:val>
        </c:ser>
        <c:ser>
          <c:idx val="5"/>
          <c:order val="5"/>
          <c:tx>
            <c:strRef>
              <c:f>ZIZIMM_8.att!$A$10</c:f>
              <c:strCache>
                <c:ptCount val="1"/>
                <c:pt idx="0">
                  <c:v>Apdzīvotās vietas</c:v>
                </c:pt>
              </c:strCache>
            </c:strRef>
          </c:tx>
          <c:spPr>
            <a:solidFill>
              <a:schemeClr val="accent6">
                <a:lumMod val="50000"/>
              </a:schemeClr>
            </a:solidFill>
            <a:ln>
              <a:noFill/>
            </a:ln>
            <a:effectLst/>
          </c:spPr>
          <c:invertIfNegative val="0"/>
          <c:cat>
            <c:numRef>
              <c:f>ZIZIMM_8.att!$B$4:$T$4</c:f>
              <c:numCache>
                <c:formatCode>General</c:formatCode>
                <c:ptCount val="18"/>
                <c:pt idx="0">
                  <c:v>1990</c:v>
                </c:pt>
                <c:pt idx="1">
                  <c:v>1995</c:v>
                </c:pt>
                <c:pt idx="2">
                  <c:v>2000</c:v>
                </c:pt>
                <c:pt idx="3">
                  <c:v>2005</c:v>
                </c:pt>
                <c:pt idx="4">
                  <c:v>2010</c:v>
                </c:pt>
                <c:pt idx="5">
                  <c:v>2011</c:v>
                </c:pt>
                <c:pt idx="6">
                  <c:v>2012</c:v>
                </c:pt>
                <c:pt idx="7">
                  <c:v>2013</c:v>
                </c:pt>
                <c:pt idx="8">
                  <c:v>2014</c:v>
                </c:pt>
                <c:pt idx="9">
                  <c:v>2015</c:v>
                </c:pt>
                <c:pt idx="10">
                  <c:v>2016</c:v>
                </c:pt>
                <c:pt idx="11">
                  <c:v>2020</c:v>
                </c:pt>
                <c:pt idx="12">
                  <c:v>2025</c:v>
                </c:pt>
                <c:pt idx="13">
                  <c:v>2030</c:v>
                </c:pt>
                <c:pt idx="14">
                  <c:v>2035</c:v>
                </c:pt>
                <c:pt idx="15">
                  <c:v>2040</c:v>
                </c:pt>
                <c:pt idx="16">
                  <c:v>2045</c:v>
                </c:pt>
                <c:pt idx="17">
                  <c:v>2050</c:v>
                </c:pt>
              </c:numCache>
            </c:numRef>
          </c:cat>
          <c:val>
            <c:numRef>
              <c:f>ZIZIMM_8.att!$B$10:$T$10</c:f>
              <c:numCache>
                <c:formatCode>0.00</c:formatCode>
                <c:ptCount val="18"/>
                <c:pt idx="0">
                  <c:v>-34.013119000000032</c:v>
                </c:pt>
                <c:pt idx="1">
                  <c:v>-42.760401000000037</c:v>
                </c:pt>
                <c:pt idx="2">
                  <c:v>37.946586666666697</c:v>
                </c:pt>
                <c:pt idx="3">
                  <c:v>116.26680100000009</c:v>
                </c:pt>
                <c:pt idx="4">
                  <c:v>68.134617000000034</c:v>
                </c:pt>
                <c:pt idx="5">
                  <c:v>74.966133333333374</c:v>
                </c:pt>
                <c:pt idx="6">
                  <c:v>-618.3732586666672</c:v>
                </c:pt>
                <c:pt idx="7">
                  <c:v>-611.29404666666721</c:v>
                </c:pt>
                <c:pt idx="8">
                  <c:v>-600.80420866666725</c:v>
                </c:pt>
                <c:pt idx="9">
                  <c:v>-593.97086433333391</c:v>
                </c:pt>
                <c:pt idx="10">
                  <c:v>-584.51936633333389</c:v>
                </c:pt>
                <c:pt idx="11">
                  <c:v>995.36232946995335</c:v>
                </c:pt>
                <c:pt idx="12">
                  <c:v>1041.4008739099224</c:v>
                </c:pt>
                <c:pt idx="13">
                  <c:v>1066.9907046603105</c:v>
                </c:pt>
                <c:pt idx="14">
                  <c:v>1060.4788053292384</c:v>
                </c:pt>
                <c:pt idx="15">
                  <c:v>1062.544156367356</c:v>
                </c:pt>
                <c:pt idx="16">
                  <c:v>1100.0899999999999</c:v>
                </c:pt>
                <c:pt idx="17" formatCode="General">
                  <c:v>1102.1099999999999</c:v>
                </c:pt>
              </c:numCache>
            </c:numRef>
          </c:val>
        </c:ser>
        <c:ser>
          <c:idx val="6"/>
          <c:order val="6"/>
          <c:tx>
            <c:strRef>
              <c:f>ZIZIMM_8.att!$A$11</c:f>
              <c:strCache>
                <c:ptCount val="1"/>
                <c:pt idx="0">
                  <c:v>Koksnes produkcija</c:v>
                </c:pt>
              </c:strCache>
            </c:strRef>
          </c:tx>
          <c:spPr>
            <a:solidFill>
              <a:schemeClr val="accent1">
                <a:lumMod val="60000"/>
              </a:schemeClr>
            </a:solidFill>
            <a:ln>
              <a:noFill/>
            </a:ln>
            <a:effectLst/>
          </c:spPr>
          <c:invertIfNegative val="0"/>
          <c:cat>
            <c:numRef>
              <c:f>ZIZIMM_8.att!$B$4:$T$4</c:f>
              <c:numCache>
                <c:formatCode>General</c:formatCode>
                <c:ptCount val="18"/>
                <c:pt idx="0">
                  <c:v>1990</c:v>
                </c:pt>
                <c:pt idx="1">
                  <c:v>1995</c:v>
                </c:pt>
                <c:pt idx="2">
                  <c:v>2000</c:v>
                </c:pt>
                <c:pt idx="3">
                  <c:v>2005</c:v>
                </c:pt>
                <c:pt idx="4">
                  <c:v>2010</c:v>
                </c:pt>
                <c:pt idx="5">
                  <c:v>2011</c:v>
                </c:pt>
                <c:pt idx="6">
                  <c:v>2012</c:v>
                </c:pt>
                <c:pt idx="7">
                  <c:v>2013</c:v>
                </c:pt>
                <c:pt idx="8">
                  <c:v>2014</c:v>
                </c:pt>
                <c:pt idx="9">
                  <c:v>2015</c:v>
                </c:pt>
                <c:pt idx="10">
                  <c:v>2016</c:v>
                </c:pt>
                <c:pt idx="11">
                  <c:v>2020</c:v>
                </c:pt>
                <c:pt idx="12">
                  <c:v>2025</c:v>
                </c:pt>
                <c:pt idx="13">
                  <c:v>2030</c:v>
                </c:pt>
                <c:pt idx="14">
                  <c:v>2035</c:v>
                </c:pt>
                <c:pt idx="15">
                  <c:v>2040</c:v>
                </c:pt>
                <c:pt idx="16">
                  <c:v>2045</c:v>
                </c:pt>
                <c:pt idx="17">
                  <c:v>2050</c:v>
                </c:pt>
              </c:numCache>
            </c:numRef>
          </c:cat>
          <c:val>
            <c:numRef>
              <c:f>ZIZIMM_8.att!$B$11:$T$11</c:f>
              <c:numCache>
                <c:formatCode>0.00</c:formatCode>
                <c:ptCount val="18"/>
                <c:pt idx="0">
                  <c:v>-166.13061200000001</c:v>
                </c:pt>
                <c:pt idx="1">
                  <c:v>-474.03705200000002</c:v>
                </c:pt>
                <c:pt idx="2">
                  <c:v>-2356.2778229999999</c:v>
                </c:pt>
                <c:pt idx="3">
                  <c:v>-2179.6862139999998</c:v>
                </c:pt>
                <c:pt idx="4">
                  <c:v>-1832.3752610000001</c:v>
                </c:pt>
                <c:pt idx="5">
                  <c:v>-2044.0737769999998</c:v>
                </c:pt>
                <c:pt idx="6">
                  <c:v>-1896.339984</c:v>
                </c:pt>
                <c:pt idx="7">
                  <c:v>-1916.628755</c:v>
                </c:pt>
                <c:pt idx="8">
                  <c:v>-1850.780616</c:v>
                </c:pt>
                <c:pt idx="9">
                  <c:v>-1842.3168310000001</c:v>
                </c:pt>
                <c:pt idx="10">
                  <c:v>-2144.2535780000003</c:v>
                </c:pt>
                <c:pt idx="11">
                  <c:v>-1611.1156073714401</c:v>
                </c:pt>
                <c:pt idx="12">
                  <c:v>-1454.13966114599</c:v>
                </c:pt>
                <c:pt idx="13">
                  <c:v>-1314.8122630262201</c:v>
                </c:pt>
                <c:pt idx="14">
                  <c:v>-1189.2963107698199</c:v>
                </c:pt>
                <c:pt idx="15">
                  <c:v>-1075.8836352574399</c:v>
                </c:pt>
                <c:pt idx="16">
                  <c:v>-973.34</c:v>
                </c:pt>
                <c:pt idx="17" formatCode="General">
                  <c:v>-880.61</c:v>
                </c:pt>
              </c:numCache>
            </c:numRef>
          </c:val>
        </c:ser>
        <c:dLbls>
          <c:showLegendKey val="0"/>
          <c:showVal val="0"/>
          <c:showCatName val="0"/>
          <c:showSerName val="0"/>
          <c:showPercent val="0"/>
          <c:showBubbleSize val="0"/>
        </c:dLbls>
        <c:gapWidth val="150"/>
        <c:overlap val="100"/>
        <c:axId val="483913640"/>
        <c:axId val="483914032"/>
      </c:barChart>
      <c:lineChart>
        <c:grouping val="standard"/>
        <c:varyColors val="0"/>
        <c:ser>
          <c:idx val="0"/>
          <c:order val="0"/>
          <c:tx>
            <c:strRef>
              <c:f>ZIZIMM_8.att!$A$5</c:f>
              <c:strCache>
                <c:ptCount val="1"/>
                <c:pt idx="0">
                  <c:v>Kopā ZIZIMM</c:v>
                </c:pt>
              </c:strCache>
            </c:strRef>
          </c:tx>
          <c:spPr>
            <a:ln w="22225" cap="rnd">
              <a:solidFill>
                <a:schemeClr val="accent1"/>
              </a:solidFill>
              <a:round/>
            </a:ln>
            <a:effectLst/>
          </c:spPr>
          <c:marker>
            <c:symbol val="none"/>
          </c:marker>
          <c:cat>
            <c:numRef>
              <c:f>ZIZIMM_8.att!$B$4:$T$4</c:f>
              <c:numCache>
                <c:formatCode>General</c:formatCode>
                <c:ptCount val="18"/>
                <c:pt idx="0">
                  <c:v>1990</c:v>
                </c:pt>
                <c:pt idx="1">
                  <c:v>1995</c:v>
                </c:pt>
                <c:pt idx="2">
                  <c:v>2000</c:v>
                </c:pt>
                <c:pt idx="3">
                  <c:v>2005</c:v>
                </c:pt>
                <c:pt idx="4">
                  <c:v>2010</c:v>
                </c:pt>
                <c:pt idx="5">
                  <c:v>2011</c:v>
                </c:pt>
                <c:pt idx="6">
                  <c:v>2012</c:v>
                </c:pt>
                <c:pt idx="7">
                  <c:v>2013</c:v>
                </c:pt>
                <c:pt idx="8">
                  <c:v>2014</c:v>
                </c:pt>
                <c:pt idx="9">
                  <c:v>2015</c:v>
                </c:pt>
                <c:pt idx="10">
                  <c:v>2016</c:v>
                </c:pt>
                <c:pt idx="11">
                  <c:v>2020</c:v>
                </c:pt>
                <c:pt idx="12">
                  <c:v>2025</c:v>
                </c:pt>
                <c:pt idx="13">
                  <c:v>2030</c:v>
                </c:pt>
                <c:pt idx="14">
                  <c:v>2035</c:v>
                </c:pt>
                <c:pt idx="15">
                  <c:v>2040</c:v>
                </c:pt>
                <c:pt idx="16">
                  <c:v>2045</c:v>
                </c:pt>
                <c:pt idx="17">
                  <c:v>2050</c:v>
                </c:pt>
              </c:numCache>
            </c:numRef>
          </c:cat>
          <c:val>
            <c:numRef>
              <c:f>ZIZIMM_8.att!$B$5:$T$5</c:f>
              <c:numCache>
                <c:formatCode>0.00</c:formatCode>
                <c:ptCount val="18"/>
                <c:pt idx="0">
                  <c:v>-10696.682542666676</c:v>
                </c:pt>
                <c:pt idx="1">
                  <c:v>-13350.980872000016</c:v>
                </c:pt>
                <c:pt idx="2">
                  <c:v>-9640.5933180000084</c:v>
                </c:pt>
                <c:pt idx="3">
                  <c:v>-4229.5635803333344</c:v>
                </c:pt>
                <c:pt idx="4">
                  <c:v>-1356.8995600000028</c:v>
                </c:pt>
                <c:pt idx="5">
                  <c:v>-1490.9125343333394</c:v>
                </c:pt>
                <c:pt idx="6">
                  <c:v>-3673.5510543333326</c:v>
                </c:pt>
                <c:pt idx="7">
                  <c:v>-3017.6275570000007</c:v>
                </c:pt>
                <c:pt idx="8">
                  <c:v>1282.8294739999967</c:v>
                </c:pt>
                <c:pt idx="9">
                  <c:v>702.50793366666585</c:v>
                </c:pt>
                <c:pt idx="10">
                  <c:v>-925.2634553333346</c:v>
                </c:pt>
                <c:pt idx="11">
                  <c:v>2666.665770429754</c:v>
                </c:pt>
                <c:pt idx="12">
                  <c:v>2902.9100654411727</c:v>
                </c:pt>
                <c:pt idx="13">
                  <c:v>3373.3272149799946</c:v>
                </c:pt>
                <c:pt idx="14">
                  <c:v>3414.9095427745897</c:v>
                </c:pt>
                <c:pt idx="15">
                  <c:v>3735.6091196011703</c:v>
                </c:pt>
                <c:pt idx="16">
                  <c:v>4109.6099999999997</c:v>
                </c:pt>
                <c:pt idx="17" formatCode="General">
                  <c:v>4257.0600000000004</c:v>
                </c:pt>
              </c:numCache>
            </c:numRef>
          </c:val>
          <c:smooth val="0"/>
        </c:ser>
        <c:dLbls>
          <c:showLegendKey val="0"/>
          <c:showVal val="0"/>
          <c:showCatName val="0"/>
          <c:showSerName val="0"/>
          <c:showPercent val="0"/>
          <c:showBubbleSize val="0"/>
        </c:dLbls>
        <c:marker val="1"/>
        <c:smooth val="0"/>
        <c:axId val="483913640"/>
        <c:axId val="483914032"/>
      </c:lineChart>
      <c:catAx>
        <c:axId val="48391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83914032"/>
        <c:crosses val="autoZero"/>
        <c:auto val="1"/>
        <c:lblAlgn val="ctr"/>
        <c:lblOffset val="100"/>
        <c:noMultiLvlLbl val="0"/>
      </c:catAx>
      <c:valAx>
        <c:axId val="483914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kt CO2 ekv.</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83913640"/>
        <c:crosses val="autoZero"/>
        <c:crossBetween val="between"/>
      </c:valAx>
      <c:spPr>
        <a:noFill/>
        <a:ln>
          <a:noFill/>
        </a:ln>
        <a:effectLst/>
      </c:spPr>
    </c:plotArea>
    <c:legend>
      <c:legendPos val="b"/>
      <c:layout>
        <c:manualLayout>
          <c:xMode val="edge"/>
          <c:yMode val="edge"/>
          <c:x val="9.6276152127418066E-2"/>
          <c:y val="0.87879831079035364"/>
          <c:w val="0.87826190163255391"/>
          <c:h val="9.9839870461034028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Sheet1!$A$31</c:f>
              <c:strCache>
                <c:ptCount val="1"/>
                <c:pt idx="0">
                  <c:v>IKP </c:v>
                </c:pt>
              </c:strCache>
            </c:strRef>
          </c:tx>
          <c:spPr>
            <a:ln w="28575" cap="rnd">
              <a:solidFill>
                <a:schemeClr val="accent6">
                  <a:shade val="76000"/>
                </a:schemeClr>
              </a:solidFill>
              <a:round/>
            </a:ln>
            <a:effectLst/>
          </c:spPr>
          <c:marker>
            <c:symbol val="none"/>
          </c:marker>
          <c:cat>
            <c:strRef>
              <c:f>Sheet1!$B$26:$W$26</c:f>
              <c:strCache>
                <c:ptCount val="22"/>
                <c:pt idx="0">
                  <c:v>1995=1</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Sheet1!$B$31:$W$31</c:f>
              <c:numCache>
                <c:formatCode>0.00</c:formatCode>
                <c:ptCount val="22"/>
                <c:pt idx="0">
                  <c:v>1</c:v>
                </c:pt>
                <c:pt idx="1">
                  <c:v>1.0235901922196065</c:v>
                </c:pt>
                <c:pt idx="2">
                  <c:v>1.1154485044667248</c:v>
                </c:pt>
                <c:pt idx="3">
                  <c:v>1.18819547963251</c:v>
                </c:pt>
                <c:pt idx="4">
                  <c:v>1.2193137771864953</c:v>
                </c:pt>
                <c:pt idx="5">
                  <c:v>1.2852403476006296</c:v>
                </c:pt>
                <c:pt idx="6">
                  <c:v>1.368283713078734</c:v>
                </c:pt>
                <c:pt idx="7">
                  <c:v>1.4654733144212293</c:v>
                </c:pt>
                <c:pt idx="8">
                  <c:v>1.5890228444421037</c:v>
                </c:pt>
                <c:pt idx="9">
                  <c:v>1.7214765873031508</c:v>
                </c:pt>
                <c:pt idx="10">
                  <c:v>1.9056235758640303</c:v>
                </c:pt>
                <c:pt idx="11">
                  <c:v>2.1321905064444713</c:v>
                </c:pt>
                <c:pt idx="12">
                  <c:v>2.3449675397047396</c:v>
                </c:pt>
                <c:pt idx="13">
                  <c:v>2.2617764342133939</c:v>
                </c:pt>
                <c:pt idx="14">
                  <c:v>1.9360423633342672</c:v>
                </c:pt>
                <c:pt idx="15">
                  <c:v>1.8597493168190755</c:v>
                </c:pt>
                <c:pt idx="16">
                  <c:v>1.9784203160869072</c:v>
                </c:pt>
                <c:pt idx="17">
                  <c:v>2.0582422235359275</c:v>
                </c:pt>
                <c:pt idx="18">
                  <c:v>2.108254447078076</c:v>
                </c:pt>
                <c:pt idx="19">
                  <c:v>2.1474309515016712</c:v>
                </c:pt>
                <c:pt idx="20">
                  <c:v>2.2112462393686805</c:v>
                </c:pt>
                <c:pt idx="21">
                  <c:v>2.2600886730375618</c:v>
                </c:pt>
              </c:numCache>
            </c:numRef>
          </c:val>
          <c:smooth val="0"/>
        </c:ser>
        <c:ser>
          <c:idx val="1"/>
          <c:order val="1"/>
          <c:tx>
            <c:strRef>
              <c:f>Sheet1!$A$32</c:f>
              <c:strCache>
                <c:ptCount val="1"/>
                <c:pt idx="0">
                  <c:v>SEG emisijas</c:v>
                </c:pt>
              </c:strCache>
            </c:strRef>
          </c:tx>
          <c:spPr>
            <a:ln w="28575" cap="rnd">
              <a:solidFill>
                <a:schemeClr val="accent6">
                  <a:tint val="77000"/>
                </a:schemeClr>
              </a:solidFill>
              <a:round/>
            </a:ln>
            <a:effectLst/>
          </c:spPr>
          <c:marker>
            <c:symbol val="none"/>
          </c:marker>
          <c:cat>
            <c:strRef>
              <c:f>Sheet1!$B$26:$W$26</c:f>
              <c:strCache>
                <c:ptCount val="22"/>
                <c:pt idx="0">
                  <c:v>1995=1</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Sheet1!$B$32:$W$32</c:f>
              <c:numCache>
                <c:formatCode>0.00</c:formatCode>
                <c:ptCount val="22"/>
                <c:pt idx="0">
                  <c:v>1</c:v>
                </c:pt>
                <c:pt idx="1">
                  <c:v>1.0028074751800833</c:v>
                </c:pt>
                <c:pt idx="2">
                  <c:v>0.95901324987489522</c:v>
                </c:pt>
                <c:pt idx="3">
                  <c:v>0.91946114275844804</c:v>
                </c:pt>
                <c:pt idx="4">
                  <c:v>0.8581247232844843</c:v>
                </c:pt>
                <c:pt idx="5">
                  <c:v>0.81305552136368631</c:v>
                </c:pt>
                <c:pt idx="6">
                  <c:v>0.85838121847113014</c:v>
                </c:pt>
                <c:pt idx="7">
                  <c:v>0.85722376278267021</c:v>
                </c:pt>
                <c:pt idx="8">
                  <c:v>0.86970521255007649</c:v>
                </c:pt>
                <c:pt idx="9">
                  <c:v>0.86853153478099332</c:v>
                </c:pt>
                <c:pt idx="10">
                  <c:v>0.88403048604431866</c:v>
                </c:pt>
                <c:pt idx="11">
                  <c:v>0.92248017924766867</c:v>
                </c:pt>
                <c:pt idx="12">
                  <c:v>0.95754619270994812</c:v>
                </c:pt>
                <c:pt idx="13">
                  <c:v>0.92133620607753497</c:v>
                </c:pt>
                <c:pt idx="14">
                  <c:v>0.86444281084583807</c:v>
                </c:pt>
                <c:pt idx="15">
                  <c:v>0.9559774154096885</c:v>
                </c:pt>
                <c:pt idx="16">
                  <c:v>0.89201581013985898</c:v>
                </c:pt>
                <c:pt idx="17">
                  <c:v>0.87987030254046383</c:v>
                </c:pt>
                <c:pt idx="18">
                  <c:v>0.8729292326882393</c:v>
                </c:pt>
                <c:pt idx="19">
                  <c:v>0.86830348987193073</c:v>
                </c:pt>
                <c:pt idx="20">
                  <c:v>0.87457322834245288</c:v>
                </c:pt>
                <c:pt idx="21">
                  <c:v>0.87239142791637481</c:v>
                </c:pt>
              </c:numCache>
            </c:numRef>
          </c:val>
          <c:smooth val="0"/>
        </c:ser>
        <c:dLbls>
          <c:showLegendKey val="0"/>
          <c:showVal val="0"/>
          <c:showCatName val="0"/>
          <c:showSerName val="0"/>
          <c:showPercent val="0"/>
          <c:showBubbleSize val="0"/>
        </c:dLbls>
        <c:smooth val="0"/>
        <c:axId val="483914816"/>
        <c:axId val="483915208"/>
      </c:lineChart>
      <c:catAx>
        <c:axId val="4839148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83915208"/>
        <c:crosses val="autoZero"/>
        <c:auto val="1"/>
        <c:lblAlgn val="ctr"/>
        <c:lblOffset val="100"/>
        <c:noMultiLvlLbl val="0"/>
      </c:catAx>
      <c:valAx>
        <c:axId val="483915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83914816"/>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1"/>
          <c:tx>
            <c:strRef>
              <c:f>Sheet1!$A$28</c:f>
              <c:strCache>
                <c:ptCount val="1"/>
                <c:pt idx="0">
                  <c:v>IKP (2010.g. salīdzināmajās cenās) miljrd.euro</c:v>
                </c:pt>
              </c:strCache>
            </c:strRef>
          </c:tx>
          <c:spPr>
            <a:ln w="28575" cap="rnd">
              <a:solidFill>
                <a:schemeClr val="accent6">
                  <a:tint val="77000"/>
                </a:schemeClr>
              </a:solidFill>
              <a:round/>
            </a:ln>
            <a:effectLst/>
          </c:spPr>
          <c:marker>
            <c:symbol val="none"/>
          </c:marker>
          <c:cat>
            <c:strRef>
              <c:f>Sheet1!$B$26:$W$26</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Sheet1!$B$28:$W$28</c:f>
              <c:numCache>
                <c:formatCode>0.00</c:formatCode>
                <c:ptCount val="22"/>
                <c:pt idx="0">
                  <c:v>9.6453220000000002</c:v>
                </c:pt>
                <c:pt idx="1">
                  <c:v>9.8728569999999998</c:v>
                </c:pt>
                <c:pt idx="2">
                  <c:v>10.75886</c:v>
                </c:pt>
                <c:pt idx="3">
                  <c:v>11.460528</c:v>
                </c:pt>
                <c:pt idx="4">
                  <c:v>11.760674</c:v>
                </c:pt>
                <c:pt idx="5">
                  <c:v>12.396557</c:v>
                </c:pt>
                <c:pt idx="6">
                  <c:v>13.197537000000001</c:v>
                </c:pt>
                <c:pt idx="7">
                  <c:v>14.134962</c:v>
                </c:pt>
                <c:pt idx="8">
                  <c:v>15.326637</c:v>
                </c:pt>
                <c:pt idx="9">
                  <c:v>16.604196000000002</c:v>
                </c:pt>
                <c:pt idx="10">
                  <c:v>18.380352999999999</c:v>
                </c:pt>
                <c:pt idx="11">
                  <c:v>20.565664000000002</c:v>
                </c:pt>
                <c:pt idx="12">
                  <c:v>22.617967</c:v>
                </c:pt>
                <c:pt idx="13">
                  <c:v>21.815562</c:v>
                </c:pt>
                <c:pt idx="14">
                  <c:v>18.673752</c:v>
                </c:pt>
                <c:pt idx="15">
                  <c:v>17.937881000000001</c:v>
                </c:pt>
                <c:pt idx="16">
                  <c:v>19.082501000000001</c:v>
                </c:pt>
                <c:pt idx="17">
                  <c:v>19.852409000000002</c:v>
                </c:pt>
                <c:pt idx="18">
                  <c:v>20.334793000000001</c:v>
                </c:pt>
                <c:pt idx="19">
                  <c:v>20.712662999999999</c:v>
                </c:pt>
                <c:pt idx="20">
                  <c:v>21.328182000000002</c:v>
                </c:pt>
                <c:pt idx="21">
                  <c:v>21.799282999999999</c:v>
                </c:pt>
              </c:numCache>
            </c:numRef>
          </c:val>
          <c:smooth val="0"/>
        </c:ser>
        <c:dLbls>
          <c:showLegendKey val="0"/>
          <c:showVal val="0"/>
          <c:showCatName val="0"/>
          <c:showSerName val="0"/>
          <c:showPercent val="0"/>
          <c:showBubbleSize val="0"/>
        </c:dLbls>
        <c:marker val="1"/>
        <c:smooth val="0"/>
        <c:axId val="485841024"/>
        <c:axId val="485841416"/>
      </c:lineChart>
      <c:lineChart>
        <c:grouping val="standard"/>
        <c:varyColors val="0"/>
        <c:ser>
          <c:idx val="0"/>
          <c:order val="0"/>
          <c:tx>
            <c:strRef>
              <c:f>Sheet1!$A$27</c:f>
              <c:strCache>
                <c:ptCount val="1"/>
                <c:pt idx="0">
                  <c:v>Resursu produktivitāte (euro/kg)</c:v>
                </c:pt>
              </c:strCache>
            </c:strRef>
          </c:tx>
          <c:spPr>
            <a:ln w="28575" cap="rnd">
              <a:solidFill>
                <a:schemeClr val="accent6">
                  <a:shade val="76000"/>
                </a:schemeClr>
              </a:solidFill>
              <a:round/>
            </a:ln>
            <a:effectLst/>
          </c:spPr>
          <c:marker>
            <c:symbol val="none"/>
          </c:marker>
          <c:cat>
            <c:strRef>
              <c:f>Sheet1!$B$26:$W$26</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Sheet1!$B$27:$W$27</c:f>
              <c:numCache>
                <c:formatCode>0.00</c:formatCode>
                <c:ptCount val="22"/>
                <c:pt idx="0">
                  <c:v>0.3</c:v>
                </c:pt>
                <c:pt idx="1">
                  <c:v>0.3</c:v>
                </c:pt>
                <c:pt idx="2">
                  <c:v>0.32</c:v>
                </c:pt>
                <c:pt idx="3">
                  <c:v>0.32</c:v>
                </c:pt>
                <c:pt idx="4">
                  <c:v>0.33</c:v>
                </c:pt>
                <c:pt idx="5">
                  <c:v>0.35</c:v>
                </c:pt>
                <c:pt idx="6">
                  <c:v>0.39</c:v>
                </c:pt>
                <c:pt idx="7">
                  <c:v>0.39</c:v>
                </c:pt>
                <c:pt idx="8">
                  <c:v>0.42</c:v>
                </c:pt>
                <c:pt idx="9">
                  <c:v>0.43</c:v>
                </c:pt>
                <c:pt idx="10">
                  <c:v>0.43</c:v>
                </c:pt>
                <c:pt idx="11">
                  <c:v>0.43</c:v>
                </c:pt>
                <c:pt idx="12">
                  <c:v>0.45</c:v>
                </c:pt>
                <c:pt idx="13">
                  <c:v>0.46</c:v>
                </c:pt>
                <c:pt idx="14">
                  <c:v>0.52</c:v>
                </c:pt>
                <c:pt idx="15">
                  <c:v>0.57999999999999996</c:v>
                </c:pt>
                <c:pt idx="16">
                  <c:v>0.49</c:v>
                </c:pt>
                <c:pt idx="17">
                  <c:v>0.47</c:v>
                </c:pt>
                <c:pt idx="18">
                  <c:v>0.5</c:v>
                </c:pt>
                <c:pt idx="19">
                  <c:v>0.49</c:v>
                </c:pt>
                <c:pt idx="20">
                  <c:v>0.5</c:v>
                </c:pt>
                <c:pt idx="21">
                  <c:v>0.5</c:v>
                </c:pt>
              </c:numCache>
            </c:numRef>
          </c:val>
          <c:smooth val="0"/>
        </c:ser>
        <c:dLbls>
          <c:showLegendKey val="0"/>
          <c:showVal val="0"/>
          <c:showCatName val="0"/>
          <c:showSerName val="0"/>
          <c:showPercent val="0"/>
          <c:showBubbleSize val="0"/>
        </c:dLbls>
        <c:marker val="1"/>
        <c:smooth val="0"/>
        <c:axId val="485842200"/>
        <c:axId val="485841808"/>
      </c:lineChart>
      <c:catAx>
        <c:axId val="485841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85841416"/>
        <c:crosses val="autoZero"/>
        <c:auto val="1"/>
        <c:lblAlgn val="ctr"/>
        <c:lblOffset val="100"/>
        <c:noMultiLvlLbl val="0"/>
      </c:catAx>
      <c:valAx>
        <c:axId val="485841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IKP, miljrd. eiro</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85841024"/>
        <c:crosses val="autoZero"/>
        <c:crossBetween val="between"/>
      </c:valAx>
      <c:valAx>
        <c:axId val="485841808"/>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t>Resursu produktivitāte, euro/kg</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85842200"/>
        <c:crosses val="max"/>
        <c:crossBetween val="between"/>
      </c:valAx>
      <c:catAx>
        <c:axId val="485842200"/>
        <c:scaling>
          <c:orientation val="minMax"/>
        </c:scaling>
        <c:delete val="1"/>
        <c:axPos val="b"/>
        <c:numFmt formatCode="General" sourceLinked="1"/>
        <c:majorTickMark val="none"/>
        <c:minorTickMark val="none"/>
        <c:tickLblPos val="nextTo"/>
        <c:crossAx val="4858418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Times New Roman" panose="02020603050405020304" pitchFamily="18" charset="0"/>
          <a:cs typeface="Times New Roman" panose="02020603050405020304" pitchFamily="18" charset="0"/>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Sheet1!$O$3</c:f>
              <c:strCache>
                <c:ptCount val="1"/>
                <c:pt idx="0">
                  <c:v>Naftas produkti un degakmens eļļa</c:v>
                </c:pt>
              </c:strCache>
            </c:strRef>
          </c:tx>
          <c:invertIfNegative val="0"/>
          <c:cat>
            <c:numRef>
              <c:f>Sheet1!$N$4:$N$9</c:f>
              <c:numCache>
                <c:formatCode>General</c:formatCode>
                <c:ptCount val="6"/>
                <c:pt idx="0">
                  <c:v>1990</c:v>
                </c:pt>
                <c:pt idx="1">
                  <c:v>1995</c:v>
                </c:pt>
                <c:pt idx="2">
                  <c:v>2000</c:v>
                </c:pt>
                <c:pt idx="3">
                  <c:v>2005</c:v>
                </c:pt>
                <c:pt idx="4">
                  <c:v>2010</c:v>
                </c:pt>
                <c:pt idx="5">
                  <c:v>2016</c:v>
                </c:pt>
              </c:numCache>
            </c:numRef>
          </c:cat>
          <c:val>
            <c:numRef>
              <c:f>Sheet1!$O$4:$O$9</c:f>
              <c:numCache>
                <c:formatCode>_(* #,##0.00_);_(* \(#,##0.00\);_(* "-"??_);_(@_)</c:formatCode>
                <c:ptCount val="6"/>
                <c:pt idx="0">
                  <c:v>45.950577454031297</c:v>
                </c:pt>
                <c:pt idx="1">
                  <c:v>42.100108410423978</c:v>
                </c:pt>
                <c:pt idx="2">
                  <c:v>36.821041095341997</c:v>
                </c:pt>
                <c:pt idx="3">
                  <c:v>33.635760483767804</c:v>
                </c:pt>
                <c:pt idx="4">
                  <c:v>33.929307154487915</c:v>
                </c:pt>
                <c:pt idx="5">
                  <c:v>33.94832751143651</c:v>
                </c:pt>
              </c:numCache>
            </c:numRef>
          </c:val>
        </c:ser>
        <c:ser>
          <c:idx val="1"/>
          <c:order val="1"/>
          <c:tx>
            <c:strRef>
              <c:f>Sheet1!$P$3</c:f>
              <c:strCache>
                <c:ptCount val="1"/>
                <c:pt idx="0">
                  <c:v>Ogles un kokss</c:v>
                </c:pt>
              </c:strCache>
            </c:strRef>
          </c:tx>
          <c:invertIfNegative val="0"/>
          <c:cat>
            <c:numRef>
              <c:f>Sheet1!$N$4:$N$9</c:f>
              <c:numCache>
                <c:formatCode>General</c:formatCode>
                <c:ptCount val="6"/>
                <c:pt idx="0">
                  <c:v>1990</c:v>
                </c:pt>
                <c:pt idx="1">
                  <c:v>1995</c:v>
                </c:pt>
                <c:pt idx="2">
                  <c:v>2000</c:v>
                </c:pt>
                <c:pt idx="3">
                  <c:v>2005</c:v>
                </c:pt>
                <c:pt idx="4">
                  <c:v>2010</c:v>
                </c:pt>
                <c:pt idx="5">
                  <c:v>2016</c:v>
                </c:pt>
              </c:numCache>
            </c:numRef>
          </c:cat>
          <c:val>
            <c:numRef>
              <c:f>Sheet1!$P$4:$P$9</c:f>
              <c:numCache>
                <c:formatCode>_(* #,##0.00_);_(* \(#,##0.00\);_(* "-"??_);_(@_)</c:formatCode>
                <c:ptCount val="6"/>
                <c:pt idx="0">
                  <c:v>8.2397972088108506</c:v>
                </c:pt>
                <c:pt idx="1">
                  <c:v>4.0261275665677081</c:v>
                </c:pt>
                <c:pt idx="2">
                  <c:v>1.9085163240386733</c:v>
                </c:pt>
                <c:pt idx="3">
                  <c:v>1.8071910375466431</c:v>
                </c:pt>
                <c:pt idx="4">
                  <c:v>2.3132557128283469</c:v>
                </c:pt>
                <c:pt idx="5">
                  <c:v>0.9073507305308921</c:v>
                </c:pt>
              </c:numCache>
            </c:numRef>
          </c:val>
        </c:ser>
        <c:ser>
          <c:idx val="2"/>
          <c:order val="2"/>
          <c:tx>
            <c:strRef>
              <c:f>Sheet1!$Q$3</c:f>
              <c:strCache>
                <c:ptCount val="1"/>
                <c:pt idx="0">
                  <c:v>Kūdra un kūdras briketes</c:v>
                </c:pt>
              </c:strCache>
            </c:strRef>
          </c:tx>
          <c:invertIfNegative val="0"/>
          <c:cat>
            <c:numRef>
              <c:f>Sheet1!$N$4:$N$9</c:f>
              <c:numCache>
                <c:formatCode>General</c:formatCode>
                <c:ptCount val="6"/>
                <c:pt idx="0">
                  <c:v>1990</c:v>
                </c:pt>
                <c:pt idx="1">
                  <c:v>1995</c:v>
                </c:pt>
                <c:pt idx="2">
                  <c:v>2000</c:v>
                </c:pt>
                <c:pt idx="3">
                  <c:v>2005</c:v>
                </c:pt>
                <c:pt idx="4">
                  <c:v>2010</c:v>
                </c:pt>
                <c:pt idx="5">
                  <c:v>2016</c:v>
                </c:pt>
              </c:numCache>
            </c:numRef>
          </c:cat>
          <c:val>
            <c:numRef>
              <c:f>Sheet1!$Q$4:$Q$9</c:f>
              <c:numCache>
                <c:formatCode>_(* #,##0.00_);_(* \(#,##0.00\);_(* "-"??_);_(@_)</c:formatCode>
                <c:ptCount val="6"/>
                <c:pt idx="0">
                  <c:v>1.0260714577896186</c:v>
                </c:pt>
                <c:pt idx="1">
                  <c:v>2.0929537587006455</c:v>
                </c:pt>
                <c:pt idx="2">
                  <c:v>1.533819084412595</c:v>
                </c:pt>
                <c:pt idx="3">
                  <c:v>4.3363912118695697E-2</c:v>
                </c:pt>
                <c:pt idx="4">
                  <c:v>5.5003388416286401E-2</c:v>
                </c:pt>
                <c:pt idx="5">
                  <c:v>1.8925670779845784E-2</c:v>
                </c:pt>
              </c:numCache>
            </c:numRef>
          </c:val>
        </c:ser>
        <c:ser>
          <c:idx val="3"/>
          <c:order val="3"/>
          <c:tx>
            <c:strRef>
              <c:f>Sheet1!$R$3</c:f>
              <c:strCache>
                <c:ptCount val="1"/>
                <c:pt idx="0">
                  <c:v>Dabasgāze</c:v>
                </c:pt>
              </c:strCache>
            </c:strRef>
          </c:tx>
          <c:invertIfNegative val="0"/>
          <c:cat>
            <c:numRef>
              <c:f>Sheet1!$N$4:$N$9</c:f>
              <c:numCache>
                <c:formatCode>General</c:formatCode>
                <c:ptCount val="6"/>
                <c:pt idx="0">
                  <c:v>1990</c:v>
                </c:pt>
                <c:pt idx="1">
                  <c:v>1995</c:v>
                </c:pt>
                <c:pt idx="2">
                  <c:v>2000</c:v>
                </c:pt>
                <c:pt idx="3">
                  <c:v>2005</c:v>
                </c:pt>
                <c:pt idx="4">
                  <c:v>2010</c:v>
                </c:pt>
                <c:pt idx="5">
                  <c:v>2016</c:v>
                </c:pt>
              </c:numCache>
            </c:numRef>
          </c:cat>
          <c:val>
            <c:numRef>
              <c:f>Sheet1!$R$4:$R$9</c:f>
              <c:numCache>
                <c:formatCode>_(* #,##0.00_);_(* \(#,##0.00\);_(* "-"??_);_(@_)</c:formatCode>
                <c:ptCount val="6"/>
                <c:pt idx="0">
                  <c:v>31.117193847568124</c:v>
                </c:pt>
                <c:pt idx="1">
                  <c:v>23.055756113628082</c:v>
                </c:pt>
                <c:pt idx="2">
                  <c:v>28.546424925435876</c:v>
                </c:pt>
                <c:pt idx="3">
                  <c:v>30.816564147151098</c:v>
                </c:pt>
                <c:pt idx="4">
                  <c:v>31.815308999695926</c:v>
                </c:pt>
                <c:pt idx="5">
                  <c:v>25.379324515773195</c:v>
                </c:pt>
              </c:numCache>
            </c:numRef>
          </c:val>
        </c:ser>
        <c:ser>
          <c:idx val="4"/>
          <c:order val="4"/>
          <c:tx>
            <c:strRef>
              <c:f>Sheet1!$S$3</c:f>
              <c:strCache>
                <c:ptCount val="1"/>
                <c:pt idx="0">
                  <c:v>Kurināmā koksne </c:v>
                </c:pt>
              </c:strCache>
            </c:strRef>
          </c:tx>
          <c:invertIfNegative val="0"/>
          <c:cat>
            <c:numRef>
              <c:f>Sheet1!$N$4:$N$9</c:f>
              <c:numCache>
                <c:formatCode>General</c:formatCode>
                <c:ptCount val="6"/>
                <c:pt idx="0">
                  <c:v>1990</c:v>
                </c:pt>
                <c:pt idx="1">
                  <c:v>1995</c:v>
                </c:pt>
                <c:pt idx="2">
                  <c:v>2000</c:v>
                </c:pt>
                <c:pt idx="3">
                  <c:v>2005</c:v>
                </c:pt>
                <c:pt idx="4">
                  <c:v>2010</c:v>
                </c:pt>
                <c:pt idx="5">
                  <c:v>2016</c:v>
                </c:pt>
              </c:numCache>
            </c:numRef>
          </c:cat>
          <c:val>
            <c:numRef>
              <c:f>Sheet1!$S$4:$S$9</c:f>
              <c:numCache>
                <c:formatCode>_(* #,##0.00_);_(* \(#,##0.00\);_(* "-"??_);_(@_)</c:formatCode>
                <c:ptCount val="6"/>
                <c:pt idx="0">
                  <c:v>8.6123179784831017</c:v>
                </c:pt>
                <c:pt idx="1">
                  <c:v>22.9592337542508</c:v>
                </c:pt>
                <c:pt idx="2">
                  <c:v>24.830729427307485</c:v>
                </c:pt>
                <c:pt idx="3">
                  <c:v>26.775047537688657</c:v>
                </c:pt>
                <c:pt idx="4">
                  <c:v>23.685704411790653</c:v>
                </c:pt>
                <c:pt idx="5">
                  <c:v>29.339115576367785</c:v>
                </c:pt>
              </c:numCache>
            </c:numRef>
          </c:val>
        </c:ser>
        <c:ser>
          <c:idx val="5"/>
          <c:order val="5"/>
          <c:tx>
            <c:strRef>
              <c:f>Sheet1!$T$3</c:f>
              <c:strCache>
                <c:ptCount val="1"/>
                <c:pt idx="0">
                  <c:v>Atkritumi</c:v>
                </c:pt>
              </c:strCache>
            </c:strRef>
          </c:tx>
          <c:invertIfNegative val="0"/>
          <c:cat>
            <c:numRef>
              <c:f>Sheet1!$N$4:$N$9</c:f>
              <c:numCache>
                <c:formatCode>General</c:formatCode>
                <c:ptCount val="6"/>
                <c:pt idx="0">
                  <c:v>1990</c:v>
                </c:pt>
                <c:pt idx="1">
                  <c:v>1995</c:v>
                </c:pt>
                <c:pt idx="2">
                  <c:v>2000</c:v>
                </c:pt>
                <c:pt idx="3">
                  <c:v>2005</c:v>
                </c:pt>
                <c:pt idx="4">
                  <c:v>2010</c:v>
                </c:pt>
                <c:pt idx="5">
                  <c:v>2016</c:v>
                </c:pt>
              </c:numCache>
            </c:numRef>
          </c:cat>
          <c:val>
            <c:numRef>
              <c:f>Sheet1!$T$4:$T$9</c:f>
              <c:numCache>
                <c:formatCode>_(* #,##0.00_);_(* \(#,##0.00\);_(* "-"??_);_(@_)</c:formatCode>
                <c:ptCount val="6"/>
                <c:pt idx="0">
                  <c:v>0</c:v>
                </c:pt>
                <c:pt idx="1">
                  <c:v>0</c:v>
                </c:pt>
                <c:pt idx="2">
                  <c:v>0</c:v>
                </c:pt>
                <c:pt idx="3">
                  <c:v>9.9194948971516414E-2</c:v>
                </c:pt>
                <c:pt idx="4">
                  <c:v>0.61282077093994569</c:v>
                </c:pt>
                <c:pt idx="5">
                  <c:v>0.83056658050980348</c:v>
                </c:pt>
              </c:numCache>
            </c:numRef>
          </c:val>
        </c:ser>
        <c:ser>
          <c:idx val="6"/>
          <c:order val="6"/>
          <c:tx>
            <c:strRef>
              <c:f>Sheet1!$U$3</c:f>
              <c:strCache>
                <c:ptCount val="1"/>
                <c:pt idx="0">
                  <c:v>Salmi, biogāze, biodīzeļdegviela</c:v>
                </c:pt>
              </c:strCache>
            </c:strRef>
          </c:tx>
          <c:invertIfNegative val="0"/>
          <c:cat>
            <c:numRef>
              <c:f>Sheet1!$N$4:$N$9</c:f>
              <c:numCache>
                <c:formatCode>General</c:formatCode>
                <c:ptCount val="6"/>
                <c:pt idx="0">
                  <c:v>1990</c:v>
                </c:pt>
                <c:pt idx="1">
                  <c:v>1995</c:v>
                </c:pt>
                <c:pt idx="2">
                  <c:v>2000</c:v>
                </c:pt>
                <c:pt idx="3">
                  <c:v>2005</c:v>
                </c:pt>
                <c:pt idx="4">
                  <c:v>2010</c:v>
                </c:pt>
                <c:pt idx="5">
                  <c:v>2016</c:v>
                </c:pt>
              </c:numCache>
            </c:numRef>
          </c:cat>
          <c:val>
            <c:numRef>
              <c:f>Sheet1!$U$4:$U$9</c:f>
              <c:numCache>
                <c:formatCode>_(* #,##0.00_);_(* \(#,##0.00\);_(* "-"??_);_(@_)</c:formatCode>
                <c:ptCount val="6"/>
                <c:pt idx="0">
                  <c:v>0</c:v>
                </c:pt>
                <c:pt idx="1">
                  <c:v>0</c:v>
                </c:pt>
                <c:pt idx="2">
                  <c:v>0</c:v>
                </c:pt>
                <c:pt idx="3">
                  <c:v>0.24283790786469592</c:v>
                </c:pt>
                <c:pt idx="4">
                  <c:v>0.92156620591815708</c:v>
                </c:pt>
                <c:pt idx="5">
                  <c:v>2.3916640531216542</c:v>
                </c:pt>
              </c:numCache>
            </c:numRef>
          </c:val>
        </c:ser>
        <c:ser>
          <c:idx val="7"/>
          <c:order val="7"/>
          <c:tx>
            <c:strRef>
              <c:f>Sheet1!$V$3</c:f>
              <c:strCache>
                <c:ptCount val="1"/>
                <c:pt idx="0">
                  <c:v>Elektroenerģija (neiekļaujot importu)</c:v>
                </c:pt>
              </c:strCache>
            </c:strRef>
          </c:tx>
          <c:invertIfNegative val="0"/>
          <c:cat>
            <c:numRef>
              <c:f>Sheet1!$N$4:$N$9</c:f>
              <c:numCache>
                <c:formatCode>General</c:formatCode>
                <c:ptCount val="6"/>
                <c:pt idx="0">
                  <c:v>1990</c:v>
                </c:pt>
                <c:pt idx="1">
                  <c:v>1995</c:v>
                </c:pt>
                <c:pt idx="2">
                  <c:v>2000</c:v>
                </c:pt>
                <c:pt idx="3">
                  <c:v>2005</c:v>
                </c:pt>
                <c:pt idx="4">
                  <c:v>2010</c:v>
                </c:pt>
                <c:pt idx="5">
                  <c:v>2016</c:v>
                </c:pt>
              </c:numCache>
            </c:numRef>
          </c:cat>
          <c:val>
            <c:numRef>
              <c:f>Sheet1!$V$4:$V$9</c:f>
              <c:numCache>
                <c:formatCode>_(* #,##0.00_);_(* \(#,##0.00\);_(* "-"??_);_(@_)</c:formatCode>
                <c:ptCount val="6"/>
                <c:pt idx="0">
                  <c:v>5.0540420533169961</c:v>
                </c:pt>
                <c:pt idx="1">
                  <c:v>5.7658203964287811</c:v>
                </c:pt>
                <c:pt idx="2">
                  <c:v>6.3594691434633788</c:v>
                </c:pt>
                <c:pt idx="3">
                  <c:v>6.5800400248908852</c:v>
                </c:pt>
                <c:pt idx="4">
                  <c:v>6.6670333559227757</c:v>
                </c:pt>
                <c:pt idx="5">
                  <c:v>7.1847253614803117</c:v>
                </c:pt>
              </c:numCache>
            </c:numRef>
          </c:val>
        </c:ser>
        <c:dLbls>
          <c:showLegendKey val="0"/>
          <c:showVal val="0"/>
          <c:showCatName val="0"/>
          <c:showSerName val="0"/>
          <c:showPercent val="0"/>
          <c:showBubbleSize val="0"/>
        </c:dLbls>
        <c:gapWidth val="150"/>
        <c:overlap val="100"/>
        <c:axId val="571320272"/>
        <c:axId val="571320664"/>
      </c:barChart>
      <c:catAx>
        <c:axId val="571320272"/>
        <c:scaling>
          <c:orientation val="minMax"/>
        </c:scaling>
        <c:delete val="0"/>
        <c:axPos val="b"/>
        <c:numFmt formatCode="General" sourceLinked="1"/>
        <c:majorTickMark val="out"/>
        <c:minorTickMark val="none"/>
        <c:tickLblPos val="nextTo"/>
        <c:crossAx val="571320664"/>
        <c:crosses val="autoZero"/>
        <c:auto val="1"/>
        <c:lblAlgn val="ctr"/>
        <c:lblOffset val="100"/>
        <c:noMultiLvlLbl val="0"/>
      </c:catAx>
      <c:valAx>
        <c:axId val="571320664"/>
        <c:scaling>
          <c:orientation val="minMax"/>
          <c:max val="100"/>
        </c:scaling>
        <c:delete val="0"/>
        <c:axPos val="l"/>
        <c:majorGridlines/>
        <c:numFmt formatCode="#,##0_ ;[Red]\-#,##0\ %" sourceLinked="0"/>
        <c:majorTickMark val="out"/>
        <c:minorTickMark val="none"/>
        <c:tickLblPos val="nextTo"/>
        <c:crossAx val="571320272"/>
        <c:crosses val="autoZero"/>
        <c:crossBetween val="between"/>
      </c:valAx>
    </c:plotArea>
    <c:legend>
      <c:legendPos val="b"/>
      <c:layout>
        <c:manualLayout>
          <c:xMode val="edge"/>
          <c:yMode val="edge"/>
          <c:x val="2.602822410048607E-2"/>
          <c:y val="0.76957783947181102"/>
          <c:w val="0.95809444117992715"/>
          <c:h val="0.19890950071918975"/>
        </c:manualLayout>
      </c:layout>
      <c:overlay val="0"/>
      <c:txPr>
        <a:bodyPr/>
        <a:lstStyle/>
        <a:p>
          <a:pPr>
            <a:defRPr sz="900"/>
          </a:pPr>
          <a:endParaRPr lang="lv-LV"/>
        </a:p>
      </c:txPr>
    </c:legend>
    <c:plotVisOnly val="1"/>
    <c:dispBlanksAs val="gap"/>
    <c:showDLblsOverMax val="0"/>
  </c:chart>
  <c:txPr>
    <a:bodyPr/>
    <a:lstStyle/>
    <a:p>
      <a:pPr>
        <a:defRPr>
          <a:latin typeface="+mn-lt"/>
          <a:cs typeface="Times New Roman" panose="02020603050405020304" pitchFamily="18"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1DE830-333D-FC42-97A8-A175BC178A9D}" type="doc">
      <dgm:prSet loTypeId="urn:microsoft.com/office/officeart/2005/8/layout/StepDownProcess" loCatId="" qsTypeId="urn:microsoft.com/office/officeart/2005/8/quickstyle/simple4" qsCatId="simple" csTypeId="urn:microsoft.com/office/officeart/2005/8/colors/accent1_2" csCatId="accent1" phldr="1"/>
      <dgm:spPr/>
      <dgm:t>
        <a:bodyPr/>
        <a:lstStyle/>
        <a:p>
          <a:endParaRPr lang="en-US"/>
        </a:p>
      </dgm:t>
    </dgm:pt>
    <dgm:pt modelId="{0E2E652A-8BF2-754B-977A-32AFFCD673B3}">
      <dgm:prSet phldrT="[Text]"/>
      <dgm:spPr>
        <a:xfrm>
          <a:off x="334721" y="17984"/>
          <a:ext cx="1365429" cy="955756"/>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algn="ctr"/>
          <a:r>
            <a:rPr lang="en-US" dirty="0" smtClean="0">
              <a:solidFill>
                <a:sysClr val="window" lastClr="FFFFFF"/>
              </a:solidFill>
              <a:latin typeface="Calibri"/>
              <a:ea typeface="+mn-ea"/>
              <a:cs typeface="+mn-cs"/>
            </a:rPr>
            <a:t>ANO </a:t>
          </a:r>
          <a:r>
            <a:rPr lang="en-US" dirty="0" err="1" smtClean="0">
              <a:solidFill>
                <a:sysClr val="window" lastClr="FFFFFF"/>
              </a:solidFill>
              <a:latin typeface="Calibri"/>
              <a:ea typeface="+mn-ea"/>
              <a:cs typeface="+mn-cs"/>
            </a:rPr>
            <a:t>Visp</a:t>
          </a:r>
          <a:r>
            <a:rPr lang="lv-LV" dirty="0" smtClean="0">
              <a:solidFill>
                <a:sysClr val="window" lastClr="FFFFFF"/>
              </a:solidFill>
              <a:latin typeface="Calibri"/>
              <a:ea typeface="+mn-ea"/>
              <a:cs typeface="+mn-cs"/>
            </a:rPr>
            <a:t>ārējā konvencija</a:t>
          </a:r>
          <a:r>
            <a:rPr lang="lv-LV" baseline="0" dirty="0" smtClean="0">
              <a:solidFill>
                <a:sysClr val="window" lastClr="FFFFFF"/>
              </a:solidFill>
              <a:latin typeface="Calibri"/>
              <a:ea typeface="+mn-ea"/>
              <a:cs typeface="+mn-cs"/>
            </a:rPr>
            <a:t> par klimata pārmaiņām</a:t>
          </a:r>
          <a:endParaRPr lang="en-US" dirty="0">
            <a:solidFill>
              <a:sysClr val="window" lastClr="FFFFFF"/>
            </a:solidFill>
            <a:latin typeface="Calibri"/>
            <a:ea typeface="+mn-ea"/>
            <a:cs typeface="+mn-cs"/>
          </a:endParaRPr>
        </a:p>
      </dgm:t>
    </dgm:pt>
    <dgm:pt modelId="{8F6D6058-81EB-9C4B-9CCE-576122A64B10}" type="parTrans" cxnId="{547644D8-9A10-EB43-B9C3-36AA342F4BA5}">
      <dgm:prSet/>
      <dgm:spPr/>
      <dgm:t>
        <a:bodyPr/>
        <a:lstStyle/>
        <a:p>
          <a:endParaRPr lang="en-US"/>
        </a:p>
      </dgm:t>
    </dgm:pt>
    <dgm:pt modelId="{B477C59F-FB04-CF4A-8DAF-822A9F3D7A54}" type="sibTrans" cxnId="{547644D8-9A10-EB43-B9C3-36AA342F4BA5}">
      <dgm:prSet/>
      <dgm:spPr/>
      <dgm:t>
        <a:bodyPr/>
        <a:lstStyle/>
        <a:p>
          <a:endParaRPr lang="en-US"/>
        </a:p>
      </dgm:t>
    </dgm:pt>
    <dgm:pt modelId="{354F12C5-4BA7-604C-9EB3-64F471DEDC80}">
      <dgm:prSet phldrT="[Text]"/>
      <dgm:spPr>
        <a:xfrm>
          <a:off x="1700151" y="109137"/>
          <a:ext cx="993083" cy="772484"/>
        </a:xfrm>
        <a:noFill/>
        <a:ln>
          <a:noFill/>
        </a:ln>
        <a:effectLst/>
      </dgm:spPr>
      <dgm:t>
        <a:bodyPr/>
        <a:lstStyle/>
        <a:p>
          <a:pPr algn="l"/>
          <a:r>
            <a:rPr lang="en-US" dirty="0" err="1" smtClean="0">
              <a:solidFill>
                <a:sysClr val="windowText" lastClr="000000">
                  <a:hueOff val="0"/>
                  <a:satOff val="0"/>
                  <a:lumOff val="0"/>
                  <a:alphaOff val="0"/>
                </a:sysClr>
              </a:solidFill>
              <a:latin typeface="Calibri"/>
              <a:ea typeface="+mn-ea"/>
              <a:cs typeface="+mn-cs"/>
            </a:rPr>
            <a:t>Kank</a:t>
          </a:r>
          <a:r>
            <a:rPr lang="lv-LV" dirty="0" err="1" smtClean="0">
              <a:solidFill>
                <a:sysClr val="windowText" lastClr="000000">
                  <a:hueOff val="0"/>
                  <a:satOff val="0"/>
                  <a:lumOff val="0"/>
                  <a:alphaOff val="0"/>
                </a:sysClr>
              </a:solidFill>
              <a:latin typeface="Calibri"/>
              <a:ea typeface="+mn-ea"/>
              <a:cs typeface="+mn-cs"/>
            </a:rPr>
            <a:t>ūnas</a:t>
          </a:r>
          <a:r>
            <a:rPr lang="lv-LV" baseline="0" dirty="0" smtClean="0">
              <a:solidFill>
                <a:sysClr val="windowText" lastClr="000000">
                  <a:hueOff val="0"/>
                  <a:satOff val="0"/>
                  <a:lumOff val="0"/>
                  <a:alphaOff val="0"/>
                </a:sysClr>
              </a:solidFill>
              <a:latin typeface="Calibri"/>
              <a:ea typeface="+mn-ea"/>
              <a:cs typeface="+mn-cs"/>
            </a:rPr>
            <a:t> lēmums (1/CP.16)</a:t>
          </a:r>
          <a:endParaRPr lang="en-US" dirty="0">
            <a:solidFill>
              <a:sysClr val="windowText" lastClr="000000">
                <a:hueOff val="0"/>
                <a:satOff val="0"/>
                <a:lumOff val="0"/>
                <a:alphaOff val="0"/>
              </a:sysClr>
            </a:solidFill>
            <a:latin typeface="Calibri"/>
            <a:ea typeface="+mn-ea"/>
            <a:cs typeface="+mn-cs"/>
          </a:endParaRPr>
        </a:p>
      </dgm:t>
    </dgm:pt>
    <dgm:pt modelId="{82093629-487E-324A-88B4-BF012DB8D4EA}" type="parTrans" cxnId="{61F80E58-89FD-A240-B0A8-6BBC9D57E28C}">
      <dgm:prSet/>
      <dgm:spPr/>
      <dgm:t>
        <a:bodyPr/>
        <a:lstStyle/>
        <a:p>
          <a:endParaRPr lang="en-US"/>
        </a:p>
      </dgm:t>
    </dgm:pt>
    <dgm:pt modelId="{FC8868F7-E669-7B49-B974-3B93ED5F38C7}" type="sibTrans" cxnId="{61F80E58-89FD-A240-B0A8-6BBC9D57E28C}">
      <dgm:prSet/>
      <dgm:spPr/>
      <dgm:t>
        <a:bodyPr/>
        <a:lstStyle/>
        <a:p>
          <a:endParaRPr lang="en-US"/>
        </a:p>
      </dgm:t>
    </dgm:pt>
    <dgm:pt modelId="{97E6DF64-8DB1-A242-BE5C-CA34EE609EF5}">
      <dgm:prSet phldrT="[Text]"/>
      <dgm:spPr>
        <a:xfrm>
          <a:off x="1700151" y="109137"/>
          <a:ext cx="993083" cy="772484"/>
        </a:xfrm>
        <a:noFill/>
        <a:ln>
          <a:noFill/>
        </a:ln>
        <a:effectLst/>
      </dgm:spPr>
      <dgm:t>
        <a:bodyPr/>
        <a:lstStyle/>
        <a:p>
          <a:pPr algn="l"/>
          <a:r>
            <a:rPr lang="en-US" dirty="0" smtClean="0">
              <a:solidFill>
                <a:sysClr val="windowText" lastClr="000000">
                  <a:hueOff val="0"/>
                  <a:satOff val="0"/>
                  <a:lumOff val="0"/>
                  <a:alphaOff val="0"/>
                </a:sysClr>
              </a:solidFill>
              <a:latin typeface="Calibri"/>
              <a:ea typeface="+mn-ea"/>
              <a:cs typeface="+mn-cs"/>
            </a:rPr>
            <a:t>Par</a:t>
          </a:r>
          <a:r>
            <a:rPr lang="lv-LV" dirty="0" err="1" smtClean="0">
              <a:solidFill>
                <a:sysClr val="windowText" lastClr="000000">
                  <a:hueOff val="0"/>
                  <a:satOff val="0"/>
                  <a:lumOff val="0"/>
                  <a:alphaOff val="0"/>
                </a:sysClr>
              </a:solidFill>
              <a:latin typeface="Calibri"/>
              <a:ea typeface="+mn-ea"/>
              <a:cs typeface="+mn-cs"/>
            </a:rPr>
            <a:t>īzes</a:t>
          </a:r>
          <a:r>
            <a:rPr lang="lv-LV" dirty="0" smtClean="0">
              <a:solidFill>
                <a:sysClr val="windowText" lastClr="000000">
                  <a:hueOff val="0"/>
                  <a:satOff val="0"/>
                  <a:lumOff val="0"/>
                  <a:alphaOff val="0"/>
                </a:sysClr>
              </a:solidFill>
              <a:latin typeface="Calibri"/>
              <a:ea typeface="+mn-ea"/>
              <a:cs typeface="+mn-cs"/>
            </a:rPr>
            <a:t> nolīgums</a:t>
          </a:r>
          <a:endParaRPr lang="en-US" dirty="0">
            <a:solidFill>
              <a:sysClr val="windowText" lastClr="000000">
                <a:hueOff val="0"/>
                <a:satOff val="0"/>
                <a:lumOff val="0"/>
                <a:alphaOff val="0"/>
              </a:sysClr>
            </a:solidFill>
            <a:latin typeface="Calibri"/>
            <a:ea typeface="+mn-ea"/>
            <a:cs typeface="+mn-cs"/>
          </a:endParaRPr>
        </a:p>
      </dgm:t>
    </dgm:pt>
    <dgm:pt modelId="{05505051-9743-154D-B299-73B144B3112E}" type="parTrans" cxnId="{D9EAF31F-E367-DD47-8542-4A61FC0D4030}">
      <dgm:prSet/>
      <dgm:spPr/>
      <dgm:t>
        <a:bodyPr/>
        <a:lstStyle/>
        <a:p>
          <a:endParaRPr lang="en-US"/>
        </a:p>
      </dgm:t>
    </dgm:pt>
    <dgm:pt modelId="{B60004E8-8197-214A-BA2F-1D86AA130E89}" type="sibTrans" cxnId="{D9EAF31F-E367-DD47-8542-4A61FC0D4030}">
      <dgm:prSet/>
      <dgm:spPr/>
      <dgm:t>
        <a:bodyPr/>
        <a:lstStyle/>
        <a:p>
          <a:endParaRPr lang="en-US"/>
        </a:p>
      </dgm:t>
    </dgm:pt>
    <dgm:pt modelId="{0F0A3964-A0D4-F548-839D-A9512BB24431}">
      <dgm:prSet phldrT="[Text]"/>
      <dgm:spPr>
        <a:xfrm>
          <a:off x="1466807" y="1091614"/>
          <a:ext cx="1365429" cy="955756"/>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lang="en-US" dirty="0" smtClean="0">
              <a:solidFill>
                <a:sysClr val="window" lastClr="FFFFFF"/>
              </a:solidFill>
              <a:latin typeface="Calibri"/>
              <a:ea typeface="+mn-ea"/>
              <a:cs typeface="+mn-cs"/>
            </a:rPr>
            <a:t>Ce</a:t>
          </a:r>
          <a:r>
            <a:rPr lang="lv-LV" dirty="0" err="1" smtClean="0">
              <a:solidFill>
                <a:sysClr val="window" lastClr="FFFFFF"/>
              </a:solidFill>
              <a:latin typeface="Calibri"/>
              <a:ea typeface="+mn-ea"/>
              <a:cs typeface="+mn-cs"/>
            </a:rPr>
            <a:t>ļakarte</a:t>
          </a:r>
          <a:r>
            <a:rPr lang="lv-LV" baseline="0" dirty="0" smtClean="0">
              <a:solidFill>
                <a:sysClr val="window" lastClr="FFFFFF"/>
              </a:solidFill>
              <a:latin typeface="Calibri"/>
              <a:ea typeface="+mn-ea"/>
              <a:cs typeface="+mn-cs"/>
            </a:rPr>
            <a:t> virzībai uz konkurētspējīgu oglekļa mazietilpīgu ekonomiku līdz 2050.gadam</a:t>
          </a:r>
          <a:endParaRPr lang="en-US" dirty="0">
            <a:solidFill>
              <a:sysClr val="window" lastClr="FFFFFF"/>
            </a:solidFill>
            <a:latin typeface="Calibri"/>
            <a:ea typeface="+mn-ea"/>
            <a:cs typeface="+mn-cs"/>
          </a:endParaRPr>
        </a:p>
      </dgm:t>
    </dgm:pt>
    <dgm:pt modelId="{969BA624-4AFB-4643-9332-0C99880C2057}" type="parTrans" cxnId="{BE4EE771-5733-BD42-8AD9-B6B22AB840A5}">
      <dgm:prSet/>
      <dgm:spPr/>
      <dgm:t>
        <a:bodyPr/>
        <a:lstStyle/>
        <a:p>
          <a:endParaRPr lang="en-US"/>
        </a:p>
      </dgm:t>
    </dgm:pt>
    <dgm:pt modelId="{AF8F007C-D640-3645-8E5B-CBF49E7C8BEA}" type="sibTrans" cxnId="{BE4EE771-5733-BD42-8AD9-B6B22AB840A5}">
      <dgm:prSet/>
      <dgm:spPr/>
      <dgm:t>
        <a:bodyPr/>
        <a:lstStyle/>
        <a:p>
          <a:endParaRPr lang="en-US"/>
        </a:p>
      </dgm:t>
    </dgm:pt>
    <dgm:pt modelId="{A5D489C5-44A1-6345-B63B-F151B8D7B984}">
      <dgm:prSet phldrT="[Text]"/>
      <dgm:spPr>
        <a:xfrm>
          <a:off x="2832237" y="1182767"/>
          <a:ext cx="993083" cy="772484"/>
        </a:xfrm>
        <a:noFill/>
        <a:ln>
          <a:noFill/>
        </a:ln>
        <a:effectLst/>
      </dgm:spPr>
      <dgm:t>
        <a:bodyPr/>
        <a:lstStyle/>
        <a:p>
          <a:r>
            <a:rPr lang="en-US" dirty="0" smtClean="0">
              <a:solidFill>
                <a:sysClr val="windowText" lastClr="000000">
                  <a:hueOff val="0"/>
                  <a:satOff val="0"/>
                  <a:lumOff val="0"/>
                  <a:alphaOff val="0"/>
                </a:sysClr>
              </a:solidFill>
              <a:latin typeface="Calibri"/>
              <a:ea typeface="+mn-ea"/>
              <a:cs typeface="+mn-cs"/>
            </a:rPr>
            <a:t>KEP 2020</a:t>
          </a:r>
          <a:endParaRPr lang="en-US" dirty="0">
            <a:solidFill>
              <a:sysClr val="windowText" lastClr="000000">
                <a:hueOff val="0"/>
                <a:satOff val="0"/>
                <a:lumOff val="0"/>
                <a:alphaOff val="0"/>
              </a:sysClr>
            </a:solidFill>
            <a:latin typeface="Calibri"/>
            <a:ea typeface="+mn-ea"/>
            <a:cs typeface="+mn-cs"/>
          </a:endParaRPr>
        </a:p>
      </dgm:t>
    </dgm:pt>
    <dgm:pt modelId="{B7A54C7A-01A5-C64F-ACE8-D44361E6EDD9}" type="parTrans" cxnId="{2ABC383A-DE7C-BD49-B03D-B7A0E6E06E10}">
      <dgm:prSet/>
      <dgm:spPr/>
      <dgm:t>
        <a:bodyPr/>
        <a:lstStyle/>
        <a:p>
          <a:endParaRPr lang="en-US"/>
        </a:p>
      </dgm:t>
    </dgm:pt>
    <dgm:pt modelId="{FDAFC9BD-96C6-8C49-975F-35976258877A}" type="sibTrans" cxnId="{2ABC383A-DE7C-BD49-B03D-B7A0E6E06E10}">
      <dgm:prSet/>
      <dgm:spPr/>
      <dgm:t>
        <a:bodyPr/>
        <a:lstStyle/>
        <a:p>
          <a:endParaRPr lang="en-US"/>
        </a:p>
      </dgm:t>
    </dgm:pt>
    <dgm:pt modelId="{94D60C20-7CBD-9748-8C30-7B97E62F134D}">
      <dgm:prSet phldrT="[Text]"/>
      <dgm:spPr>
        <a:xfrm>
          <a:off x="2832237" y="1182767"/>
          <a:ext cx="993083" cy="772484"/>
        </a:xfrm>
        <a:noFill/>
        <a:ln>
          <a:noFill/>
        </a:ln>
        <a:effectLst/>
      </dgm:spPr>
      <dgm:t>
        <a:bodyPr/>
        <a:lstStyle/>
        <a:p>
          <a:r>
            <a:rPr lang="en-US" dirty="0" smtClean="0">
              <a:solidFill>
                <a:sysClr val="windowText" lastClr="000000">
                  <a:hueOff val="0"/>
                  <a:satOff val="0"/>
                  <a:lumOff val="0"/>
                  <a:alphaOff val="0"/>
                </a:sysClr>
              </a:solidFill>
              <a:latin typeface="Calibri"/>
              <a:ea typeface="+mn-ea"/>
              <a:cs typeface="+mn-cs"/>
            </a:rPr>
            <a:t>KEPS 2030</a:t>
          </a:r>
          <a:r>
            <a:rPr lang="lv-LV" dirty="0" smtClean="0">
              <a:solidFill>
                <a:sysClr val="windowText" lastClr="000000">
                  <a:hueOff val="0"/>
                  <a:satOff val="0"/>
                  <a:lumOff val="0"/>
                  <a:alphaOff val="0"/>
                </a:sysClr>
              </a:solidFill>
              <a:latin typeface="Calibri"/>
              <a:ea typeface="+mn-ea"/>
              <a:cs typeface="+mn-cs"/>
            </a:rPr>
            <a:t> (Enerģētikas  savienība)</a:t>
          </a:r>
          <a:endParaRPr lang="en-US" dirty="0">
            <a:solidFill>
              <a:sysClr val="windowText" lastClr="000000">
                <a:hueOff val="0"/>
                <a:satOff val="0"/>
                <a:lumOff val="0"/>
                <a:alphaOff val="0"/>
              </a:sysClr>
            </a:solidFill>
            <a:latin typeface="Calibri"/>
            <a:ea typeface="+mn-ea"/>
            <a:cs typeface="+mn-cs"/>
          </a:endParaRPr>
        </a:p>
      </dgm:t>
    </dgm:pt>
    <dgm:pt modelId="{55986B61-0272-F44C-8528-0801C18F3414}" type="parTrans" cxnId="{DBC54C3D-A448-BC40-838E-999F90EBA7CB}">
      <dgm:prSet/>
      <dgm:spPr/>
      <dgm:t>
        <a:bodyPr/>
        <a:lstStyle/>
        <a:p>
          <a:endParaRPr lang="en-US"/>
        </a:p>
      </dgm:t>
    </dgm:pt>
    <dgm:pt modelId="{E8033CF3-69BE-0A4A-934E-86FCF6E07067}" type="sibTrans" cxnId="{DBC54C3D-A448-BC40-838E-999F90EBA7CB}">
      <dgm:prSet/>
      <dgm:spPr/>
      <dgm:t>
        <a:bodyPr/>
        <a:lstStyle/>
        <a:p>
          <a:endParaRPr lang="en-US"/>
        </a:p>
      </dgm:t>
    </dgm:pt>
    <dgm:pt modelId="{57586173-F351-024A-BFD2-4D94CFB8A4BF}">
      <dgm:prSet phldrT="[Text]"/>
      <dgm:spPr>
        <a:xfrm>
          <a:off x="2598893" y="2165244"/>
          <a:ext cx="1365429" cy="955756"/>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pPr lvl="0" algn="ctr" defTabSz="711200">
            <a:lnSpc>
              <a:spcPct val="90000"/>
            </a:lnSpc>
            <a:spcBef>
              <a:spcPct val="0"/>
            </a:spcBef>
            <a:spcAft>
              <a:spcPct val="35000"/>
            </a:spcAft>
          </a:pPr>
          <a:r>
            <a:rPr lang="en-US" dirty="0" smtClean="0">
              <a:solidFill>
                <a:sysClr val="window" lastClr="FFFFFF"/>
              </a:solidFill>
              <a:latin typeface="Calibri"/>
              <a:ea typeface="+mn-ea"/>
              <a:cs typeface="+mn-cs"/>
            </a:rPr>
            <a:t>OMA</a:t>
          </a:r>
          <a:endParaRPr lang="en-US" dirty="0">
            <a:solidFill>
              <a:sysClr val="window" lastClr="FFFFFF"/>
            </a:solidFill>
            <a:latin typeface="Calibri"/>
            <a:ea typeface="+mn-ea"/>
            <a:cs typeface="+mn-cs"/>
          </a:endParaRPr>
        </a:p>
      </dgm:t>
    </dgm:pt>
    <dgm:pt modelId="{1A670EE8-6EA9-0144-8BBF-286311F60AB7}" type="parTrans" cxnId="{F0A6D0D1-7D00-5A43-8EC4-0B5EF352EBAC}">
      <dgm:prSet/>
      <dgm:spPr/>
      <dgm:t>
        <a:bodyPr/>
        <a:lstStyle/>
        <a:p>
          <a:endParaRPr lang="en-US"/>
        </a:p>
      </dgm:t>
    </dgm:pt>
    <dgm:pt modelId="{D1E0AE4C-7187-4749-8B79-868176FC54D6}" type="sibTrans" cxnId="{F0A6D0D1-7D00-5A43-8EC4-0B5EF352EBAC}">
      <dgm:prSet/>
      <dgm:spPr/>
      <dgm:t>
        <a:bodyPr/>
        <a:lstStyle/>
        <a:p>
          <a:endParaRPr lang="en-US"/>
        </a:p>
      </dgm:t>
    </dgm:pt>
    <dgm:pt modelId="{1D5FC4F5-9F1B-4D61-91B2-33E2CD43C0B5}">
      <dgm:prSet phldrT="[Text]"/>
      <dgm:spPr>
        <a:xfrm>
          <a:off x="1700151" y="109137"/>
          <a:ext cx="993083" cy="772484"/>
        </a:xfrm>
        <a:noFill/>
        <a:ln>
          <a:noFill/>
        </a:ln>
        <a:effectLst/>
      </dgm:spPr>
      <dgm:t>
        <a:bodyPr/>
        <a:lstStyle/>
        <a:p>
          <a:pPr algn="l"/>
          <a:r>
            <a:rPr lang="lv-LV" dirty="0" smtClean="0">
              <a:solidFill>
                <a:sysClr val="windowText" lastClr="000000">
                  <a:hueOff val="0"/>
                  <a:satOff val="0"/>
                  <a:lumOff val="0"/>
                  <a:alphaOff val="0"/>
                </a:sysClr>
              </a:solidFill>
              <a:latin typeface="Calibri"/>
              <a:ea typeface="+mn-ea"/>
              <a:cs typeface="+mn-cs"/>
            </a:rPr>
            <a:t>Kioto protokola Dohas grozījums</a:t>
          </a:r>
          <a:endParaRPr lang="en-US" dirty="0">
            <a:solidFill>
              <a:sysClr val="windowText" lastClr="000000">
                <a:hueOff val="0"/>
                <a:satOff val="0"/>
                <a:lumOff val="0"/>
                <a:alphaOff val="0"/>
              </a:sysClr>
            </a:solidFill>
            <a:latin typeface="Calibri"/>
            <a:ea typeface="+mn-ea"/>
            <a:cs typeface="+mn-cs"/>
          </a:endParaRPr>
        </a:p>
      </dgm:t>
    </dgm:pt>
    <dgm:pt modelId="{9290471A-E5B5-4AB6-96A3-68119C785584}" type="parTrans" cxnId="{668FFBF3-5130-41B8-8549-31F5A4A52B86}">
      <dgm:prSet/>
      <dgm:spPr/>
      <dgm:t>
        <a:bodyPr/>
        <a:lstStyle/>
        <a:p>
          <a:endParaRPr lang="lv-LV"/>
        </a:p>
      </dgm:t>
    </dgm:pt>
    <dgm:pt modelId="{2C62255D-0E0E-42E2-BC97-138A8A20F22D}" type="sibTrans" cxnId="{668FFBF3-5130-41B8-8549-31F5A4A52B86}">
      <dgm:prSet/>
      <dgm:spPr/>
      <dgm:t>
        <a:bodyPr/>
        <a:lstStyle/>
        <a:p>
          <a:endParaRPr lang="lv-LV"/>
        </a:p>
      </dgm:t>
    </dgm:pt>
    <dgm:pt modelId="{C3E44927-43D3-B74C-833C-C7122CC602C6}" type="pres">
      <dgm:prSet presAssocID="{281DE830-333D-FC42-97A8-A175BC178A9D}" presName="rootnode" presStyleCnt="0">
        <dgm:presLayoutVars>
          <dgm:chMax/>
          <dgm:chPref/>
          <dgm:dir/>
          <dgm:animLvl val="lvl"/>
        </dgm:presLayoutVars>
      </dgm:prSet>
      <dgm:spPr/>
      <dgm:t>
        <a:bodyPr/>
        <a:lstStyle/>
        <a:p>
          <a:endParaRPr lang="lv-LV"/>
        </a:p>
      </dgm:t>
    </dgm:pt>
    <dgm:pt modelId="{1579F6E3-C46E-464E-A407-5B6E7CB3D606}" type="pres">
      <dgm:prSet presAssocID="{0E2E652A-8BF2-754B-977A-32AFFCD673B3}" presName="composite" presStyleCnt="0"/>
      <dgm:spPr/>
    </dgm:pt>
    <dgm:pt modelId="{C3FFF792-0F9D-0741-9625-3B8D24C0B326}" type="pres">
      <dgm:prSet presAssocID="{0E2E652A-8BF2-754B-977A-32AFFCD673B3}" presName="bentUpArrow1" presStyleLbl="alignImgPlace1" presStyleIdx="0" presStyleCnt="2"/>
      <dgm:spPr>
        <a:xfrm rot="5400000">
          <a:off x="549615" y="917114"/>
          <a:ext cx="811108" cy="923418"/>
        </a:xfrm>
        <a:prstGeom prst="bentUpArrow">
          <a:avLst>
            <a:gd name="adj1" fmla="val 32840"/>
            <a:gd name="adj2" fmla="val 25000"/>
            <a:gd name="adj3" fmla="val 35780"/>
          </a:avLst>
        </a:prstGeom>
        <a:solidFill>
          <a:srgbClr val="5B9BD5">
            <a:tint val="50000"/>
            <a:hueOff val="0"/>
            <a:satOff val="0"/>
            <a:lumOff val="0"/>
            <a:alphaOff val="0"/>
          </a:srgbClr>
        </a:solidFill>
        <a:ln>
          <a:noFill/>
        </a:ln>
        <a:effectLst/>
      </dgm:spPr>
      <dgm:t>
        <a:bodyPr/>
        <a:lstStyle/>
        <a:p>
          <a:endParaRPr lang="lv-LV"/>
        </a:p>
      </dgm:t>
    </dgm:pt>
    <dgm:pt modelId="{366E629E-A953-464E-B7D5-E44DDECB0C64}" type="pres">
      <dgm:prSet presAssocID="{0E2E652A-8BF2-754B-977A-32AFFCD673B3}" presName="ParentText" presStyleLbl="node1" presStyleIdx="0" presStyleCnt="3">
        <dgm:presLayoutVars>
          <dgm:chMax val="1"/>
          <dgm:chPref val="1"/>
          <dgm:bulletEnabled val="1"/>
        </dgm:presLayoutVars>
      </dgm:prSet>
      <dgm:spPr>
        <a:prstGeom prst="roundRect">
          <a:avLst>
            <a:gd name="adj" fmla="val 16670"/>
          </a:avLst>
        </a:prstGeom>
      </dgm:spPr>
      <dgm:t>
        <a:bodyPr/>
        <a:lstStyle/>
        <a:p>
          <a:endParaRPr lang="lv-LV"/>
        </a:p>
      </dgm:t>
    </dgm:pt>
    <dgm:pt modelId="{7431D069-0187-8341-A740-1B013612B284}" type="pres">
      <dgm:prSet presAssocID="{0E2E652A-8BF2-754B-977A-32AFFCD673B3}" presName="ChildText" presStyleLbl="revTx" presStyleIdx="0" presStyleCnt="2">
        <dgm:presLayoutVars>
          <dgm:chMax val="0"/>
          <dgm:chPref val="0"/>
          <dgm:bulletEnabled val="1"/>
        </dgm:presLayoutVars>
      </dgm:prSet>
      <dgm:spPr>
        <a:prstGeom prst="rect">
          <a:avLst/>
        </a:prstGeom>
      </dgm:spPr>
      <dgm:t>
        <a:bodyPr/>
        <a:lstStyle/>
        <a:p>
          <a:endParaRPr lang="lv-LV"/>
        </a:p>
      </dgm:t>
    </dgm:pt>
    <dgm:pt modelId="{18DB67E9-73BC-3241-AB2E-9954E1A4B582}" type="pres">
      <dgm:prSet presAssocID="{B477C59F-FB04-CF4A-8DAF-822A9F3D7A54}" presName="sibTrans" presStyleCnt="0"/>
      <dgm:spPr/>
    </dgm:pt>
    <dgm:pt modelId="{548FD56D-C8A8-F643-831B-004AEDC699F4}" type="pres">
      <dgm:prSet presAssocID="{0F0A3964-A0D4-F548-839D-A9512BB24431}" presName="composite" presStyleCnt="0"/>
      <dgm:spPr/>
    </dgm:pt>
    <dgm:pt modelId="{BAADA33F-FC63-D443-8D22-39249F215341}" type="pres">
      <dgm:prSet presAssocID="{0F0A3964-A0D4-F548-839D-A9512BB24431}" presName="bentUpArrow1" presStyleLbl="alignImgPlace1" presStyleIdx="1" presStyleCnt="2"/>
      <dgm:spPr>
        <a:xfrm rot="5400000">
          <a:off x="1681702" y="1990744"/>
          <a:ext cx="811108" cy="923418"/>
        </a:xfrm>
        <a:prstGeom prst="bentUpArrow">
          <a:avLst>
            <a:gd name="adj1" fmla="val 32840"/>
            <a:gd name="adj2" fmla="val 25000"/>
            <a:gd name="adj3" fmla="val 35780"/>
          </a:avLst>
        </a:prstGeom>
        <a:solidFill>
          <a:srgbClr val="5B9BD5">
            <a:tint val="50000"/>
            <a:hueOff val="0"/>
            <a:satOff val="0"/>
            <a:lumOff val="0"/>
            <a:alphaOff val="0"/>
          </a:srgbClr>
        </a:solidFill>
        <a:ln>
          <a:noFill/>
        </a:ln>
        <a:effectLst/>
      </dgm:spPr>
      <dgm:t>
        <a:bodyPr/>
        <a:lstStyle/>
        <a:p>
          <a:endParaRPr lang="lv-LV"/>
        </a:p>
      </dgm:t>
    </dgm:pt>
    <dgm:pt modelId="{39954827-787B-5B45-9D5D-FBE801C7A281}" type="pres">
      <dgm:prSet presAssocID="{0F0A3964-A0D4-F548-839D-A9512BB24431}" presName="ParentText" presStyleLbl="node1" presStyleIdx="1" presStyleCnt="3">
        <dgm:presLayoutVars>
          <dgm:chMax val="1"/>
          <dgm:chPref val="1"/>
          <dgm:bulletEnabled val="1"/>
        </dgm:presLayoutVars>
      </dgm:prSet>
      <dgm:spPr>
        <a:prstGeom prst="roundRect">
          <a:avLst>
            <a:gd name="adj" fmla="val 16670"/>
          </a:avLst>
        </a:prstGeom>
      </dgm:spPr>
      <dgm:t>
        <a:bodyPr/>
        <a:lstStyle/>
        <a:p>
          <a:endParaRPr lang="lv-LV"/>
        </a:p>
      </dgm:t>
    </dgm:pt>
    <dgm:pt modelId="{482416FB-FAA9-C04D-BD89-146A21DC56D1}" type="pres">
      <dgm:prSet presAssocID="{0F0A3964-A0D4-F548-839D-A9512BB24431}" presName="ChildText" presStyleLbl="revTx" presStyleIdx="1" presStyleCnt="2">
        <dgm:presLayoutVars>
          <dgm:chMax val="0"/>
          <dgm:chPref val="0"/>
          <dgm:bulletEnabled val="1"/>
        </dgm:presLayoutVars>
      </dgm:prSet>
      <dgm:spPr>
        <a:prstGeom prst="rect">
          <a:avLst/>
        </a:prstGeom>
      </dgm:spPr>
      <dgm:t>
        <a:bodyPr/>
        <a:lstStyle/>
        <a:p>
          <a:endParaRPr lang="lv-LV"/>
        </a:p>
      </dgm:t>
    </dgm:pt>
    <dgm:pt modelId="{81BDE7FF-75DB-7140-904D-CB8D7A045F06}" type="pres">
      <dgm:prSet presAssocID="{AF8F007C-D640-3645-8E5B-CBF49E7C8BEA}" presName="sibTrans" presStyleCnt="0"/>
      <dgm:spPr/>
    </dgm:pt>
    <dgm:pt modelId="{33815A93-E761-294A-A189-D282FF1E121A}" type="pres">
      <dgm:prSet presAssocID="{57586173-F351-024A-BFD2-4D94CFB8A4BF}" presName="composite" presStyleCnt="0"/>
      <dgm:spPr/>
    </dgm:pt>
    <dgm:pt modelId="{3D979CD8-D918-8E4C-B4E4-230A378ACA18}" type="pres">
      <dgm:prSet presAssocID="{57586173-F351-024A-BFD2-4D94CFB8A4BF}" presName="ParentText" presStyleLbl="node1" presStyleIdx="2" presStyleCnt="3">
        <dgm:presLayoutVars>
          <dgm:chMax val="1"/>
          <dgm:chPref val="1"/>
          <dgm:bulletEnabled val="1"/>
        </dgm:presLayoutVars>
      </dgm:prSet>
      <dgm:spPr>
        <a:prstGeom prst="roundRect">
          <a:avLst>
            <a:gd name="adj" fmla="val 16670"/>
          </a:avLst>
        </a:prstGeom>
      </dgm:spPr>
      <dgm:t>
        <a:bodyPr/>
        <a:lstStyle/>
        <a:p>
          <a:endParaRPr lang="lv-LV"/>
        </a:p>
      </dgm:t>
    </dgm:pt>
  </dgm:ptLst>
  <dgm:cxnLst>
    <dgm:cxn modelId="{BDF77C2D-348E-4162-9212-B2211C802A77}" type="presOf" srcId="{A5D489C5-44A1-6345-B63B-F151B8D7B984}" destId="{482416FB-FAA9-C04D-BD89-146A21DC56D1}" srcOrd="0" destOrd="0" presId="urn:microsoft.com/office/officeart/2005/8/layout/StepDownProcess"/>
    <dgm:cxn modelId="{547644D8-9A10-EB43-B9C3-36AA342F4BA5}" srcId="{281DE830-333D-FC42-97A8-A175BC178A9D}" destId="{0E2E652A-8BF2-754B-977A-32AFFCD673B3}" srcOrd="0" destOrd="0" parTransId="{8F6D6058-81EB-9C4B-9CCE-576122A64B10}" sibTransId="{B477C59F-FB04-CF4A-8DAF-822A9F3D7A54}"/>
    <dgm:cxn modelId="{E508A9D5-C4B8-4188-88AB-23CAE272B6AA}" type="presOf" srcId="{354F12C5-4BA7-604C-9EB3-64F471DEDC80}" destId="{7431D069-0187-8341-A740-1B013612B284}" srcOrd="0" destOrd="0" presId="urn:microsoft.com/office/officeart/2005/8/layout/StepDownProcess"/>
    <dgm:cxn modelId="{668FFBF3-5130-41B8-8549-31F5A4A52B86}" srcId="{0E2E652A-8BF2-754B-977A-32AFFCD673B3}" destId="{1D5FC4F5-9F1B-4D61-91B2-33E2CD43C0B5}" srcOrd="1" destOrd="0" parTransId="{9290471A-E5B5-4AB6-96A3-68119C785584}" sibTransId="{2C62255D-0E0E-42E2-BC97-138A8A20F22D}"/>
    <dgm:cxn modelId="{DF2C2467-FEB3-4093-B333-4C32193D3386}" type="presOf" srcId="{57586173-F351-024A-BFD2-4D94CFB8A4BF}" destId="{3D979CD8-D918-8E4C-B4E4-230A378ACA18}" srcOrd="0" destOrd="0" presId="urn:microsoft.com/office/officeart/2005/8/layout/StepDownProcess"/>
    <dgm:cxn modelId="{2E1AA966-3FBF-4CB1-9F87-0A4DA4A92931}" type="presOf" srcId="{97E6DF64-8DB1-A242-BE5C-CA34EE609EF5}" destId="{7431D069-0187-8341-A740-1B013612B284}" srcOrd="0" destOrd="2" presId="urn:microsoft.com/office/officeart/2005/8/layout/StepDownProcess"/>
    <dgm:cxn modelId="{61F80E58-89FD-A240-B0A8-6BBC9D57E28C}" srcId="{0E2E652A-8BF2-754B-977A-32AFFCD673B3}" destId="{354F12C5-4BA7-604C-9EB3-64F471DEDC80}" srcOrd="0" destOrd="0" parTransId="{82093629-487E-324A-88B4-BF012DB8D4EA}" sibTransId="{FC8868F7-E669-7B49-B974-3B93ED5F38C7}"/>
    <dgm:cxn modelId="{2ABC383A-DE7C-BD49-B03D-B7A0E6E06E10}" srcId="{0F0A3964-A0D4-F548-839D-A9512BB24431}" destId="{A5D489C5-44A1-6345-B63B-F151B8D7B984}" srcOrd="0" destOrd="0" parTransId="{B7A54C7A-01A5-C64F-ACE8-D44361E6EDD9}" sibTransId="{FDAFC9BD-96C6-8C49-975F-35976258877A}"/>
    <dgm:cxn modelId="{5474B0EC-1481-4792-8571-DFC04E85D3BB}" type="presOf" srcId="{1D5FC4F5-9F1B-4D61-91B2-33E2CD43C0B5}" destId="{7431D069-0187-8341-A740-1B013612B284}" srcOrd="0" destOrd="1" presId="urn:microsoft.com/office/officeart/2005/8/layout/StepDownProcess"/>
    <dgm:cxn modelId="{DBC54C3D-A448-BC40-838E-999F90EBA7CB}" srcId="{0F0A3964-A0D4-F548-839D-A9512BB24431}" destId="{94D60C20-7CBD-9748-8C30-7B97E62F134D}" srcOrd="1" destOrd="0" parTransId="{55986B61-0272-F44C-8528-0801C18F3414}" sibTransId="{E8033CF3-69BE-0A4A-934E-86FCF6E07067}"/>
    <dgm:cxn modelId="{2FEA79E2-EAE7-4D89-A60B-8E0578A8F5F3}" type="presOf" srcId="{0E2E652A-8BF2-754B-977A-32AFFCD673B3}" destId="{366E629E-A953-464E-B7D5-E44DDECB0C64}" srcOrd="0" destOrd="0" presId="urn:microsoft.com/office/officeart/2005/8/layout/StepDownProcess"/>
    <dgm:cxn modelId="{BE4EE771-5733-BD42-8AD9-B6B22AB840A5}" srcId="{281DE830-333D-FC42-97A8-A175BC178A9D}" destId="{0F0A3964-A0D4-F548-839D-A9512BB24431}" srcOrd="1" destOrd="0" parTransId="{969BA624-4AFB-4643-9332-0C99880C2057}" sibTransId="{AF8F007C-D640-3645-8E5B-CBF49E7C8BEA}"/>
    <dgm:cxn modelId="{A9D540E8-D18C-491D-870C-075243944C31}" type="presOf" srcId="{281DE830-333D-FC42-97A8-A175BC178A9D}" destId="{C3E44927-43D3-B74C-833C-C7122CC602C6}" srcOrd="0" destOrd="0" presId="urn:microsoft.com/office/officeart/2005/8/layout/StepDownProcess"/>
    <dgm:cxn modelId="{D9EAF31F-E367-DD47-8542-4A61FC0D4030}" srcId="{0E2E652A-8BF2-754B-977A-32AFFCD673B3}" destId="{97E6DF64-8DB1-A242-BE5C-CA34EE609EF5}" srcOrd="2" destOrd="0" parTransId="{05505051-9743-154D-B299-73B144B3112E}" sibTransId="{B60004E8-8197-214A-BA2F-1D86AA130E89}"/>
    <dgm:cxn modelId="{ABDDD4D4-74CB-40D0-BEE2-E72E6CA8A76B}" type="presOf" srcId="{94D60C20-7CBD-9748-8C30-7B97E62F134D}" destId="{482416FB-FAA9-C04D-BD89-146A21DC56D1}" srcOrd="0" destOrd="1" presId="urn:microsoft.com/office/officeart/2005/8/layout/StepDownProcess"/>
    <dgm:cxn modelId="{F0A6D0D1-7D00-5A43-8EC4-0B5EF352EBAC}" srcId="{281DE830-333D-FC42-97A8-A175BC178A9D}" destId="{57586173-F351-024A-BFD2-4D94CFB8A4BF}" srcOrd="2" destOrd="0" parTransId="{1A670EE8-6EA9-0144-8BBF-286311F60AB7}" sibTransId="{D1E0AE4C-7187-4749-8B79-868176FC54D6}"/>
    <dgm:cxn modelId="{8CC20DC5-8C7A-4789-9E99-2DDF27147E0C}" type="presOf" srcId="{0F0A3964-A0D4-F548-839D-A9512BB24431}" destId="{39954827-787B-5B45-9D5D-FBE801C7A281}" srcOrd="0" destOrd="0" presId="urn:microsoft.com/office/officeart/2005/8/layout/StepDownProcess"/>
    <dgm:cxn modelId="{037F7DF0-C9C6-4406-B912-147530338383}" type="presParOf" srcId="{C3E44927-43D3-B74C-833C-C7122CC602C6}" destId="{1579F6E3-C46E-464E-A407-5B6E7CB3D606}" srcOrd="0" destOrd="0" presId="urn:microsoft.com/office/officeart/2005/8/layout/StepDownProcess"/>
    <dgm:cxn modelId="{AC7D3597-048D-40E8-9F0C-409A3CF0D85F}" type="presParOf" srcId="{1579F6E3-C46E-464E-A407-5B6E7CB3D606}" destId="{C3FFF792-0F9D-0741-9625-3B8D24C0B326}" srcOrd="0" destOrd="0" presId="urn:microsoft.com/office/officeart/2005/8/layout/StepDownProcess"/>
    <dgm:cxn modelId="{B0E8FFEF-7EDB-42B9-9A3A-F9E038D4D933}" type="presParOf" srcId="{1579F6E3-C46E-464E-A407-5B6E7CB3D606}" destId="{366E629E-A953-464E-B7D5-E44DDECB0C64}" srcOrd="1" destOrd="0" presId="urn:microsoft.com/office/officeart/2005/8/layout/StepDownProcess"/>
    <dgm:cxn modelId="{4E3F5725-B924-4689-AE21-7E220C273BB0}" type="presParOf" srcId="{1579F6E3-C46E-464E-A407-5B6E7CB3D606}" destId="{7431D069-0187-8341-A740-1B013612B284}" srcOrd="2" destOrd="0" presId="urn:microsoft.com/office/officeart/2005/8/layout/StepDownProcess"/>
    <dgm:cxn modelId="{2283D517-9B55-440E-9056-F0363184AA43}" type="presParOf" srcId="{C3E44927-43D3-B74C-833C-C7122CC602C6}" destId="{18DB67E9-73BC-3241-AB2E-9954E1A4B582}" srcOrd="1" destOrd="0" presId="urn:microsoft.com/office/officeart/2005/8/layout/StepDownProcess"/>
    <dgm:cxn modelId="{BB5CA431-D338-402E-AEC7-6A4AC029EA12}" type="presParOf" srcId="{C3E44927-43D3-B74C-833C-C7122CC602C6}" destId="{548FD56D-C8A8-F643-831B-004AEDC699F4}" srcOrd="2" destOrd="0" presId="urn:microsoft.com/office/officeart/2005/8/layout/StepDownProcess"/>
    <dgm:cxn modelId="{75A69FF1-CF4C-4208-AE32-9ED2ABD369E5}" type="presParOf" srcId="{548FD56D-C8A8-F643-831B-004AEDC699F4}" destId="{BAADA33F-FC63-D443-8D22-39249F215341}" srcOrd="0" destOrd="0" presId="urn:microsoft.com/office/officeart/2005/8/layout/StepDownProcess"/>
    <dgm:cxn modelId="{1560B8B1-9E78-4C43-93FE-5654D8E787FC}" type="presParOf" srcId="{548FD56D-C8A8-F643-831B-004AEDC699F4}" destId="{39954827-787B-5B45-9D5D-FBE801C7A281}" srcOrd="1" destOrd="0" presId="urn:microsoft.com/office/officeart/2005/8/layout/StepDownProcess"/>
    <dgm:cxn modelId="{82EA1A12-328E-4EC5-8F57-DDCB994A99E7}" type="presParOf" srcId="{548FD56D-C8A8-F643-831B-004AEDC699F4}" destId="{482416FB-FAA9-C04D-BD89-146A21DC56D1}" srcOrd="2" destOrd="0" presId="urn:microsoft.com/office/officeart/2005/8/layout/StepDownProcess"/>
    <dgm:cxn modelId="{F2698265-269D-4235-95C8-13FDDEDD276D}" type="presParOf" srcId="{C3E44927-43D3-B74C-833C-C7122CC602C6}" destId="{81BDE7FF-75DB-7140-904D-CB8D7A045F06}" srcOrd="3" destOrd="0" presId="urn:microsoft.com/office/officeart/2005/8/layout/StepDownProcess"/>
    <dgm:cxn modelId="{88F2FB91-0B9F-4B5C-B8D5-79D36C2E5F97}" type="presParOf" srcId="{C3E44927-43D3-B74C-833C-C7122CC602C6}" destId="{33815A93-E761-294A-A189-D282FF1E121A}" srcOrd="4" destOrd="0" presId="urn:microsoft.com/office/officeart/2005/8/layout/StepDownProcess"/>
    <dgm:cxn modelId="{6E3A6C20-A5A7-4161-978B-2CF98FA8431B}" type="presParOf" srcId="{33815A93-E761-294A-A189-D282FF1E121A}" destId="{3D979CD8-D918-8E4C-B4E4-230A378ACA18}" srcOrd="0"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FFF792-0F9D-0741-9625-3B8D24C0B326}">
      <dsp:nvSpPr>
        <dsp:cNvPr id="0" name=""/>
        <dsp:cNvSpPr/>
      </dsp:nvSpPr>
      <dsp:spPr>
        <a:xfrm rot="5400000">
          <a:off x="549615" y="917114"/>
          <a:ext cx="811108" cy="923418"/>
        </a:xfrm>
        <a:prstGeom prst="bentUpArrow">
          <a:avLst>
            <a:gd name="adj1" fmla="val 32840"/>
            <a:gd name="adj2" fmla="val 25000"/>
            <a:gd name="adj3" fmla="val 35780"/>
          </a:avLst>
        </a:prstGeom>
        <a:solidFill>
          <a:srgbClr val="5B9BD5">
            <a:tint val="50000"/>
            <a:hueOff val="0"/>
            <a:satOff val="0"/>
            <a:lumOff val="0"/>
            <a:alphaOff val="0"/>
          </a:srgbClr>
        </a:solidFill>
        <a:ln>
          <a:noFill/>
        </a:ln>
        <a:effectLst/>
      </dsp:spPr>
      <dsp:style>
        <a:lnRef idx="0">
          <a:scrgbClr r="0" g="0" b="0"/>
        </a:lnRef>
        <a:fillRef idx="1">
          <a:scrgbClr r="0" g="0" b="0"/>
        </a:fillRef>
        <a:effectRef idx="2">
          <a:scrgbClr r="0" g="0" b="0"/>
        </a:effectRef>
        <a:fontRef idx="minor"/>
      </dsp:style>
    </dsp:sp>
    <dsp:sp modelId="{366E629E-A953-464E-B7D5-E44DDECB0C64}">
      <dsp:nvSpPr>
        <dsp:cNvPr id="0" name=""/>
        <dsp:cNvSpPr/>
      </dsp:nvSpPr>
      <dsp:spPr>
        <a:xfrm>
          <a:off x="334721" y="17984"/>
          <a:ext cx="1365429" cy="955756"/>
        </a:xfrm>
        <a:prstGeom prst="roundRect">
          <a:avLst>
            <a:gd name="adj" fmla="val 1667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ANO </a:t>
          </a:r>
          <a:r>
            <a:rPr lang="en-US" sz="1100" kern="1200" dirty="0" err="1" smtClean="0">
              <a:solidFill>
                <a:sysClr val="window" lastClr="FFFFFF"/>
              </a:solidFill>
              <a:latin typeface="Calibri"/>
              <a:ea typeface="+mn-ea"/>
              <a:cs typeface="+mn-cs"/>
            </a:rPr>
            <a:t>Visp</a:t>
          </a:r>
          <a:r>
            <a:rPr lang="lv-LV" sz="1100" kern="1200" dirty="0" smtClean="0">
              <a:solidFill>
                <a:sysClr val="window" lastClr="FFFFFF"/>
              </a:solidFill>
              <a:latin typeface="Calibri"/>
              <a:ea typeface="+mn-ea"/>
              <a:cs typeface="+mn-cs"/>
            </a:rPr>
            <a:t>ārējā konvencija</a:t>
          </a:r>
          <a:r>
            <a:rPr lang="lv-LV" sz="1100" kern="1200" baseline="0" dirty="0" smtClean="0">
              <a:solidFill>
                <a:sysClr val="window" lastClr="FFFFFF"/>
              </a:solidFill>
              <a:latin typeface="Calibri"/>
              <a:ea typeface="+mn-ea"/>
              <a:cs typeface="+mn-cs"/>
            </a:rPr>
            <a:t> par klimata pārmaiņām</a:t>
          </a:r>
          <a:endParaRPr lang="en-US" sz="1100" kern="1200" dirty="0">
            <a:solidFill>
              <a:sysClr val="window" lastClr="FFFFFF"/>
            </a:solidFill>
            <a:latin typeface="Calibri"/>
            <a:ea typeface="+mn-ea"/>
            <a:cs typeface="+mn-cs"/>
          </a:endParaRPr>
        </a:p>
      </dsp:txBody>
      <dsp:txXfrm>
        <a:off x="381386" y="64649"/>
        <a:ext cx="1272099" cy="862426"/>
      </dsp:txXfrm>
    </dsp:sp>
    <dsp:sp modelId="{7431D069-0187-8341-A740-1B013612B284}">
      <dsp:nvSpPr>
        <dsp:cNvPr id="0" name=""/>
        <dsp:cNvSpPr/>
      </dsp:nvSpPr>
      <dsp:spPr>
        <a:xfrm>
          <a:off x="1700151" y="109137"/>
          <a:ext cx="993083" cy="772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00050">
            <a:lnSpc>
              <a:spcPct val="90000"/>
            </a:lnSpc>
            <a:spcBef>
              <a:spcPct val="0"/>
            </a:spcBef>
            <a:spcAft>
              <a:spcPct val="15000"/>
            </a:spcAft>
            <a:buChar char="••"/>
          </a:pPr>
          <a:r>
            <a:rPr lang="en-US" sz="900" kern="1200" dirty="0" err="1" smtClean="0">
              <a:solidFill>
                <a:sysClr val="windowText" lastClr="000000">
                  <a:hueOff val="0"/>
                  <a:satOff val="0"/>
                  <a:lumOff val="0"/>
                  <a:alphaOff val="0"/>
                </a:sysClr>
              </a:solidFill>
              <a:latin typeface="Calibri"/>
              <a:ea typeface="+mn-ea"/>
              <a:cs typeface="+mn-cs"/>
            </a:rPr>
            <a:t>Kank</a:t>
          </a:r>
          <a:r>
            <a:rPr lang="lv-LV" sz="900" kern="1200" dirty="0" err="1" smtClean="0">
              <a:solidFill>
                <a:sysClr val="windowText" lastClr="000000">
                  <a:hueOff val="0"/>
                  <a:satOff val="0"/>
                  <a:lumOff val="0"/>
                  <a:alphaOff val="0"/>
                </a:sysClr>
              </a:solidFill>
              <a:latin typeface="Calibri"/>
              <a:ea typeface="+mn-ea"/>
              <a:cs typeface="+mn-cs"/>
            </a:rPr>
            <a:t>ūnas</a:t>
          </a:r>
          <a:r>
            <a:rPr lang="lv-LV" sz="900" kern="1200" baseline="0" dirty="0" smtClean="0">
              <a:solidFill>
                <a:sysClr val="windowText" lastClr="000000">
                  <a:hueOff val="0"/>
                  <a:satOff val="0"/>
                  <a:lumOff val="0"/>
                  <a:alphaOff val="0"/>
                </a:sysClr>
              </a:solidFill>
              <a:latin typeface="Calibri"/>
              <a:ea typeface="+mn-ea"/>
              <a:cs typeface="+mn-cs"/>
            </a:rPr>
            <a:t> lēmums (1/CP.16)</a:t>
          </a:r>
          <a:endParaRPr lang="en-US" sz="900" kern="1200" dirty="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lv-LV" sz="900" kern="1200" dirty="0" smtClean="0">
              <a:solidFill>
                <a:sysClr val="windowText" lastClr="000000">
                  <a:hueOff val="0"/>
                  <a:satOff val="0"/>
                  <a:lumOff val="0"/>
                  <a:alphaOff val="0"/>
                </a:sysClr>
              </a:solidFill>
              <a:latin typeface="Calibri"/>
              <a:ea typeface="+mn-ea"/>
              <a:cs typeface="+mn-cs"/>
            </a:rPr>
            <a:t>Kioto protokola Dohas grozījums</a:t>
          </a:r>
          <a:endParaRPr lang="en-US" sz="900" kern="1200" dirty="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hueOff val="0"/>
                  <a:satOff val="0"/>
                  <a:lumOff val="0"/>
                  <a:alphaOff val="0"/>
                </a:sysClr>
              </a:solidFill>
              <a:latin typeface="Calibri"/>
              <a:ea typeface="+mn-ea"/>
              <a:cs typeface="+mn-cs"/>
            </a:rPr>
            <a:t>Par</a:t>
          </a:r>
          <a:r>
            <a:rPr lang="lv-LV" sz="900" kern="1200" dirty="0" err="1" smtClean="0">
              <a:solidFill>
                <a:sysClr val="windowText" lastClr="000000">
                  <a:hueOff val="0"/>
                  <a:satOff val="0"/>
                  <a:lumOff val="0"/>
                  <a:alphaOff val="0"/>
                </a:sysClr>
              </a:solidFill>
              <a:latin typeface="Calibri"/>
              <a:ea typeface="+mn-ea"/>
              <a:cs typeface="+mn-cs"/>
            </a:rPr>
            <a:t>īzes</a:t>
          </a:r>
          <a:r>
            <a:rPr lang="lv-LV" sz="900" kern="1200" dirty="0" smtClean="0">
              <a:solidFill>
                <a:sysClr val="windowText" lastClr="000000">
                  <a:hueOff val="0"/>
                  <a:satOff val="0"/>
                  <a:lumOff val="0"/>
                  <a:alphaOff val="0"/>
                </a:sysClr>
              </a:solidFill>
              <a:latin typeface="Calibri"/>
              <a:ea typeface="+mn-ea"/>
              <a:cs typeface="+mn-cs"/>
            </a:rPr>
            <a:t> nolīgums</a:t>
          </a:r>
          <a:endParaRPr lang="en-US" sz="900" kern="1200" dirty="0">
            <a:solidFill>
              <a:sysClr val="windowText" lastClr="000000">
                <a:hueOff val="0"/>
                <a:satOff val="0"/>
                <a:lumOff val="0"/>
                <a:alphaOff val="0"/>
              </a:sysClr>
            </a:solidFill>
            <a:latin typeface="Calibri"/>
            <a:ea typeface="+mn-ea"/>
            <a:cs typeface="+mn-cs"/>
          </a:endParaRPr>
        </a:p>
      </dsp:txBody>
      <dsp:txXfrm>
        <a:off x="1700151" y="109137"/>
        <a:ext cx="993083" cy="772484"/>
      </dsp:txXfrm>
    </dsp:sp>
    <dsp:sp modelId="{BAADA33F-FC63-D443-8D22-39249F215341}">
      <dsp:nvSpPr>
        <dsp:cNvPr id="0" name=""/>
        <dsp:cNvSpPr/>
      </dsp:nvSpPr>
      <dsp:spPr>
        <a:xfrm rot="5400000">
          <a:off x="1681702" y="1990744"/>
          <a:ext cx="811108" cy="923418"/>
        </a:xfrm>
        <a:prstGeom prst="bentUpArrow">
          <a:avLst>
            <a:gd name="adj1" fmla="val 32840"/>
            <a:gd name="adj2" fmla="val 25000"/>
            <a:gd name="adj3" fmla="val 35780"/>
          </a:avLst>
        </a:prstGeom>
        <a:solidFill>
          <a:srgbClr val="5B9BD5">
            <a:tint val="50000"/>
            <a:hueOff val="0"/>
            <a:satOff val="0"/>
            <a:lumOff val="0"/>
            <a:alphaOff val="0"/>
          </a:srgbClr>
        </a:solidFill>
        <a:ln>
          <a:noFill/>
        </a:ln>
        <a:effectLst/>
      </dsp:spPr>
      <dsp:style>
        <a:lnRef idx="0">
          <a:scrgbClr r="0" g="0" b="0"/>
        </a:lnRef>
        <a:fillRef idx="1">
          <a:scrgbClr r="0" g="0" b="0"/>
        </a:fillRef>
        <a:effectRef idx="2">
          <a:scrgbClr r="0" g="0" b="0"/>
        </a:effectRef>
        <a:fontRef idx="minor"/>
      </dsp:style>
    </dsp:sp>
    <dsp:sp modelId="{39954827-787B-5B45-9D5D-FBE801C7A281}">
      <dsp:nvSpPr>
        <dsp:cNvPr id="0" name=""/>
        <dsp:cNvSpPr/>
      </dsp:nvSpPr>
      <dsp:spPr>
        <a:xfrm>
          <a:off x="1466807" y="1091614"/>
          <a:ext cx="1365429" cy="955756"/>
        </a:xfrm>
        <a:prstGeom prst="roundRect">
          <a:avLst>
            <a:gd name="adj" fmla="val 1667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Ce</a:t>
          </a:r>
          <a:r>
            <a:rPr lang="lv-LV" sz="1100" kern="1200" dirty="0" err="1" smtClean="0">
              <a:solidFill>
                <a:sysClr val="window" lastClr="FFFFFF"/>
              </a:solidFill>
              <a:latin typeface="Calibri"/>
              <a:ea typeface="+mn-ea"/>
              <a:cs typeface="+mn-cs"/>
            </a:rPr>
            <a:t>ļakarte</a:t>
          </a:r>
          <a:r>
            <a:rPr lang="lv-LV" sz="1100" kern="1200" baseline="0" dirty="0" smtClean="0">
              <a:solidFill>
                <a:sysClr val="window" lastClr="FFFFFF"/>
              </a:solidFill>
              <a:latin typeface="Calibri"/>
              <a:ea typeface="+mn-ea"/>
              <a:cs typeface="+mn-cs"/>
            </a:rPr>
            <a:t> virzībai uz konkurētspējīgu oglekļa mazietilpīgu ekonomiku līdz 2050.gadam</a:t>
          </a:r>
          <a:endParaRPr lang="en-US" sz="1100" kern="1200" dirty="0">
            <a:solidFill>
              <a:sysClr val="window" lastClr="FFFFFF"/>
            </a:solidFill>
            <a:latin typeface="Calibri"/>
            <a:ea typeface="+mn-ea"/>
            <a:cs typeface="+mn-cs"/>
          </a:endParaRPr>
        </a:p>
      </dsp:txBody>
      <dsp:txXfrm>
        <a:off x="1513472" y="1138279"/>
        <a:ext cx="1272099" cy="862426"/>
      </dsp:txXfrm>
    </dsp:sp>
    <dsp:sp modelId="{482416FB-FAA9-C04D-BD89-146A21DC56D1}">
      <dsp:nvSpPr>
        <dsp:cNvPr id="0" name=""/>
        <dsp:cNvSpPr/>
      </dsp:nvSpPr>
      <dsp:spPr>
        <a:xfrm>
          <a:off x="2832237" y="1182767"/>
          <a:ext cx="993083" cy="7724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00050">
            <a:lnSpc>
              <a:spcPct val="90000"/>
            </a:lnSpc>
            <a:spcBef>
              <a:spcPct val="0"/>
            </a:spcBef>
            <a:spcAft>
              <a:spcPct val="15000"/>
            </a:spcAft>
            <a:buChar char="••"/>
          </a:pPr>
          <a:r>
            <a:rPr lang="en-US" sz="900" kern="1200" dirty="0" smtClean="0">
              <a:solidFill>
                <a:sysClr val="windowText" lastClr="000000">
                  <a:hueOff val="0"/>
                  <a:satOff val="0"/>
                  <a:lumOff val="0"/>
                  <a:alphaOff val="0"/>
                </a:sysClr>
              </a:solidFill>
              <a:latin typeface="Calibri"/>
              <a:ea typeface="+mn-ea"/>
              <a:cs typeface="+mn-cs"/>
            </a:rPr>
            <a:t>KEP 2020</a:t>
          </a:r>
          <a:endParaRPr lang="en-US" sz="900" kern="1200" dirty="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dirty="0" smtClean="0">
              <a:solidFill>
                <a:sysClr val="windowText" lastClr="000000">
                  <a:hueOff val="0"/>
                  <a:satOff val="0"/>
                  <a:lumOff val="0"/>
                  <a:alphaOff val="0"/>
                </a:sysClr>
              </a:solidFill>
              <a:latin typeface="Calibri"/>
              <a:ea typeface="+mn-ea"/>
              <a:cs typeface="+mn-cs"/>
            </a:rPr>
            <a:t>KEPS 2030</a:t>
          </a:r>
          <a:r>
            <a:rPr lang="lv-LV" sz="900" kern="1200" dirty="0" smtClean="0">
              <a:solidFill>
                <a:sysClr val="windowText" lastClr="000000">
                  <a:hueOff val="0"/>
                  <a:satOff val="0"/>
                  <a:lumOff val="0"/>
                  <a:alphaOff val="0"/>
                </a:sysClr>
              </a:solidFill>
              <a:latin typeface="Calibri"/>
              <a:ea typeface="+mn-ea"/>
              <a:cs typeface="+mn-cs"/>
            </a:rPr>
            <a:t> (Enerģētikas  savienība)</a:t>
          </a:r>
          <a:endParaRPr lang="en-US" sz="900" kern="1200" dirty="0">
            <a:solidFill>
              <a:sysClr val="windowText" lastClr="000000">
                <a:hueOff val="0"/>
                <a:satOff val="0"/>
                <a:lumOff val="0"/>
                <a:alphaOff val="0"/>
              </a:sysClr>
            </a:solidFill>
            <a:latin typeface="Calibri"/>
            <a:ea typeface="+mn-ea"/>
            <a:cs typeface="+mn-cs"/>
          </a:endParaRPr>
        </a:p>
      </dsp:txBody>
      <dsp:txXfrm>
        <a:off x="2832237" y="1182767"/>
        <a:ext cx="993083" cy="772484"/>
      </dsp:txXfrm>
    </dsp:sp>
    <dsp:sp modelId="{3D979CD8-D918-8E4C-B4E4-230A378ACA18}">
      <dsp:nvSpPr>
        <dsp:cNvPr id="0" name=""/>
        <dsp:cNvSpPr/>
      </dsp:nvSpPr>
      <dsp:spPr>
        <a:xfrm>
          <a:off x="2598893" y="2165244"/>
          <a:ext cx="1365429" cy="955756"/>
        </a:xfrm>
        <a:prstGeom prst="roundRect">
          <a:avLst>
            <a:gd name="adj" fmla="val 1667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711200">
            <a:lnSpc>
              <a:spcPct val="90000"/>
            </a:lnSpc>
            <a:spcBef>
              <a:spcPct val="0"/>
            </a:spcBef>
            <a:spcAft>
              <a:spcPct val="35000"/>
            </a:spcAft>
          </a:pPr>
          <a:r>
            <a:rPr lang="en-US" sz="1100" kern="1200" dirty="0" smtClean="0">
              <a:solidFill>
                <a:sysClr val="window" lastClr="FFFFFF"/>
              </a:solidFill>
              <a:latin typeface="Calibri"/>
              <a:ea typeface="+mn-ea"/>
              <a:cs typeface="+mn-cs"/>
            </a:rPr>
            <a:t>OMA</a:t>
          </a:r>
          <a:endParaRPr lang="en-US" sz="1100" kern="1200" dirty="0">
            <a:solidFill>
              <a:sysClr val="window" lastClr="FFFFFF"/>
            </a:solidFill>
            <a:latin typeface="Calibri"/>
            <a:ea typeface="+mn-ea"/>
            <a:cs typeface="+mn-cs"/>
          </a:endParaRPr>
        </a:p>
      </dsp:txBody>
      <dsp:txXfrm>
        <a:off x="2645558" y="2211909"/>
        <a:ext cx="1272099" cy="862426"/>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0.41594</cdr:x>
      <cdr:y>0.39408</cdr:y>
    </cdr:from>
    <cdr:to>
      <cdr:x>0.55036</cdr:x>
      <cdr:y>0.5337</cdr:y>
    </cdr:to>
    <cdr:sp macro="" textlink="">
      <cdr:nvSpPr>
        <cdr:cNvPr id="3" name="TextBox 1"/>
        <cdr:cNvSpPr txBox="1"/>
      </cdr:nvSpPr>
      <cdr:spPr>
        <a:xfrm xmlns:a="http://schemas.openxmlformats.org/drawingml/2006/main">
          <a:off x="2824783" y="1670350"/>
          <a:ext cx="912890" cy="5917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000" b="0">
              <a:latin typeface="Times New Roman" panose="02020603050405020304" pitchFamily="18" charset="0"/>
              <a:cs typeface="Times New Roman" panose="02020603050405020304" pitchFamily="18" charset="0"/>
            </a:rPr>
            <a:t>Enerģētika </a:t>
          </a:r>
        </a:p>
        <a:p xmlns:a="http://schemas.openxmlformats.org/drawingml/2006/main">
          <a:r>
            <a:rPr lang="lv-LV" sz="1000" b="0">
              <a:latin typeface="Times New Roman" panose="02020603050405020304" pitchFamily="18" charset="0"/>
              <a:cs typeface="Times New Roman" panose="02020603050405020304" pitchFamily="18" charset="0"/>
            </a:rPr>
            <a:t>35.7%</a:t>
          </a:r>
          <a:r>
            <a:rPr lang="lv-LV" sz="1000" b="0" baseline="0">
              <a:latin typeface="Times New Roman" panose="02020603050405020304" pitchFamily="18" charset="0"/>
              <a:cs typeface="Times New Roman" panose="02020603050405020304" pitchFamily="18" charset="0"/>
            </a:rPr>
            <a:t> </a:t>
          </a:r>
          <a:endParaRPr lang="lv-LV" sz="10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cdr:x>
      <cdr:y>0.4427</cdr:y>
    </cdr:from>
    <cdr:to>
      <cdr:x>0.193</cdr:x>
      <cdr:y>0.59132</cdr:y>
    </cdr:to>
    <cdr:sp macro="" textlink="">
      <cdr:nvSpPr>
        <cdr:cNvPr id="7" name="TextBox 6"/>
        <cdr:cNvSpPr txBox="1"/>
      </cdr:nvSpPr>
      <cdr:spPr>
        <a:xfrm xmlns:a="http://schemas.openxmlformats.org/drawingml/2006/main">
          <a:off x="-1076325" y="1648755"/>
          <a:ext cx="1215132" cy="55346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900" b="0">
              <a:latin typeface="Times New Roman" panose="02020603050405020304" pitchFamily="18" charset="0"/>
              <a:cs typeface="Times New Roman" panose="02020603050405020304" pitchFamily="18" charset="0"/>
            </a:rPr>
            <a:t>Rūpnieciskie</a:t>
          </a:r>
          <a:r>
            <a:rPr lang="lv-LV" sz="900" b="0" baseline="0">
              <a:latin typeface="Times New Roman" panose="02020603050405020304" pitchFamily="18" charset="0"/>
              <a:cs typeface="Times New Roman" panose="02020603050405020304" pitchFamily="18" charset="0"/>
            </a:rPr>
            <a:t> procesi </a:t>
          </a:r>
        </a:p>
        <a:p xmlns:a="http://schemas.openxmlformats.org/drawingml/2006/main">
          <a:r>
            <a:rPr lang="lv-LV" sz="900" b="0" baseline="0">
              <a:latin typeface="Times New Roman" panose="02020603050405020304" pitchFamily="18" charset="0"/>
              <a:cs typeface="Times New Roman" panose="02020603050405020304" pitchFamily="18" charset="0"/>
            </a:rPr>
            <a:t>un produktu izmantošana</a:t>
          </a:r>
        </a:p>
        <a:p xmlns:a="http://schemas.openxmlformats.org/drawingml/2006/main">
          <a:r>
            <a:rPr lang="lv-LV" sz="900" b="0">
              <a:latin typeface="Times New Roman" panose="02020603050405020304" pitchFamily="18" charset="0"/>
              <a:cs typeface="Times New Roman" panose="02020603050405020304" pitchFamily="18" charset="0"/>
            </a:rPr>
            <a:t> 5.8%</a:t>
          </a:r>
          <a:endParaRPr lang="en-US" sz="9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0.80016</cdr:x>
      <cdr:y>0.71223</cdr:y>
    </cdr:from>
    <cdr:to>
      <cdr:x>0.97128</cdr:x>
      <cdr:y>0.88269</cdr:y>
    </cdr:to>
    <cdr:sp macro="" textlink="">
      <cdr:nvSpPr>
        <cdr:cNvPr id="2" name="TextBox 1"/>
        <cdr:cNvSpPr txBox="1"/>
      </cdr:nvSpPr>
      <cdr:spPr>
        <a:xfrm xmlns:a="http://schemas.openxmlformats.org/drawingml/2006/main">
          <a:off x="5037856" y="2652524"/>
          <a:ext cx="1077359" cy="63485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800" b="0">
              <a:latin typeface="Times New Roman" panose="02020603050405020304" pitchFamily="18" charset="0"/>
              <a:cs typeface="Times New Roman" panose="02020603050405020304" pitchFamily="18" charset="0"/>
            </a:rPr>
            <a:t>Kurināmā difūzās</a:t>
          </a:r>
        </a:p>
        <a:p xmlns:a="http://schemas.openxmlformats.org/drawingml/2006/main">
          <a:r>
            <a:rPr lang="lv-LV" sz="800" b="0">
              <a:latin typeface="Times New Roman" panose="02020603050405020304" pitchFamily="18" charset="0"/>
              <a:cs typeface="Times New Roman" panose="02020603050405020304" pitchFamily="18" charset="0"/>
            </a:rPr>
            <a:t> emisijas</a:t>
          </a:r>
          <a:r>
            <a:rPr lang="lv-LV" sz="800" b="0" baseline="0">
              <a:latin typeface="Times New Roman" panose="02020603050405020304" pitchFamily="18" charset="0"/>
              <a:cs typeface="Times New Roman" panose="02020603050405020304" pitchFamily="18" charset="0"/>
            </a:rPr>
            <a:t> </a:t>
          </a:r>
          <a:r>
            <a:rPr lang="lv-LV" sz="800" b="0">
              <a:latin typeface="Times New Roman" panose="02020603050405020304" pitchFamily="18" charset="0"/>
              <a:cs typeface="Times New Roman" panose="02020603050405020304" pitchFamily="18" charset="0"/>
            </a:rPr>
            <a:t>2.9</a:t>
          </a:r>
          <a:r>
            <a:rPr lang="lv-LV" sz="800" b="1" baseline="0">
              <a:latin typeface="Times New Roman" panose="02020603050405020304" pitchFamily="18" charset="0"/>
              <a:cs typeface="Times New Roman" panose="02020603050405020304" pitchFamily="18" charset="0"/>
            </a:rPr>
            <a:t> </a:t>
          </a:r>
          <a:r>
            <a:rPr lang="lv-LV" sz="800" b="1">
              <a:latin typeface="Times New Roman" panose="02020603050405020304" pitchFamily="18" charset="0"/>
              <a:cs typeface="Times New Roman" panose="02020603050405020304" pitchFamily="18" charset="0"/>
            </a:rPr>
            <a:t>%</a:t>
          </a:r>
          <a:endParaRPr lang="en-US" sz="8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0.79918</cdr:x>
      <cdr:y>0.65156</cdr:y>
    </cdr:from>
    <cdr:to>
      <cdr:x>0.92634</cdr:x>
      <cdr:y>0.74289</cdr:y>
    </cdr:to>
    <cdr:sp macro="" textlink="">
      <cdr:nvSpPr>
        <cdr:cNvPr id="8" name="TextBox 1"/>
        <cdr:cNvSpPr txBox="1"/>
      </cdr:nvSpPr>
      <cdr:spPr>
        <a:xfrm xmlns:a="http://schemas.openxmlformats.org/drawingml/2006/main">
          <a:off x="5031630" y="2426597"/>
          <a:ext cx="800603" cy="3401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800" b="0">
              <a:latin typeface="Times New Roman" panose="02020603050405020304" pitchFamily="18" charset="0"/>
              <a:cs typeface="Times New Roman" panose="02020603050405020304" pitchFamily="18" charset="0"/>
            </a:rPr>
            <a:t>Citas 0.3%</a:t>
          </a:r>
          <a:endParaRPr lang="en-US" sz="800" b="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0.78366</cdr:x>
      <cdr:y>0.70077</cdr:y>
    </cdr:from>
    <cdr:to>
      <cdr:x>0.81089</cdr:x>
      <cdr:y>0.73402</cdr:y>
    </cdr:to>
    <cdr:cxnSp macro="">
      <cdr:nvCxnSpPr>
        <cdr:cNvPr id="5" name="Straight Connector 4"/>
        <cdr:cNvCxnSpPr/>
      </cdr:nvCxnSpPr>
      <cdr:spPr>
        <a:xfrm xmlns:a="http://schemas.openxmlformats.org/drawingml/2006/main">
          <a:off x="4933950" y="2609850"/>
          <a:ext cx="171450" cy="12382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0.78719</cdr:x>
      <cdr:y>0.68031</cdr:y>
    </cdr:from>
    <cdr:to>
      <cdr:x>0.80786</cdr:x>
      <cdr:y>0.68116</cdr:y>
    </cdr:to>
    <cdr:cxnSp macro="">
      <cdr:nvCxnSpPr>
        <cdr:cNvPr id="10" name="Straight Connector 9"/>
        <cdr:cNvCxnSpPr/>
      </cdr:nvCxnSpPr>
      <cdr:spPr>
        <a:xfrm xmlns:a="http://schemas.openxmlformats.org/drawingml/2006/main" flipV="1">
          <a:off x="4956195" y="2533662"/>
          <a:ext cx="130139" cy="316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77AC0-D91B-48BF-A0A9-9F8BF454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76924</Words>
  <Characters>43848</Characters>
  <Application>Microsoft Office Word</Application>
  <DocSecurity>0</DocSecurity>
  <Lines>365</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120531</CharactersWithSpaces>
  <SharedDoc>false</SharedDoc>
  <HLinks>
    <vt:vector size="204" baseType="variant">
      <vt:variant>
        <vt:i4>1835063</vt:i4>
      </vt:variant>
      <vt:variant>
        <vt:i4>158</vt:i4>
      </vt:variant>
      <vt:variant>
        <vt:i4>0</vt:i4>
      </vt:variant>
      <vt:variant>
        <vt:i4>5</vt:i4>
      </vt:variant>
      <vt:variant>
        <vt:lpwstr/>
      </vt:variant>
      <vt:variant>
        <vt:lpwstr>_Toc464054292</vt:lpwstr>
      </vt:variant>
      <vt:variant>
        <vt:i4>1835063</vt:i4>
      </vt:variant>
      <vt:variant>
        <vt:i4>152</vt:i4>
      </vt:variant>
      <vt:variant>
        <vt:i4>0</vt:i4>
      </vt:variant>
      <vt:variant>
        <vt:i4>5</vt:i4>
      </vt:variant>
      <vt:variant>
        <vt:lpwstr/>
      </vt:variant>
      <vt:variant>
        <vt:lpwstr>_Toc464054291</vt:lpwstr>
      </vt:variant>
      <vt:variant>
        <vt:i4>1835063</vt:i4>
      </vt:variant>
      <vt:variant>
        <vt:i4>146</vt:i4>
      </vt:variant>
      <vt:variant>
        <vt:i4>0</vt:i4>
      </vt:variant>
      <vt:variant>
        <vt:i4>5</vt:i4>
      </vt:variant>
      <vt:variant>
        <vt:lpwstr/>
      </vt:variant>
      <vt:variant>
        <vt:lpwstr>_Toc464054290</vt:lpwstr>
      </vt:variant>
      <vt:variant>
        <vt:i4>1900599</vt:i4>
      </vt:variant>
      <vt:variant>
        <vt:i4>140</vt:i4>
      </vt:variant>
      <vt:variant>
        <vt:i4>0</vt:i4>
      </vt:variant>
      <vt:variant>
        <vt:i4>5</vt:i4>
      </vt:variant>
      <vt:variant>
        <vt:lpwstr/>
      </vt:variant>
      <vt:variant>
        <vt:lpwstr>_Toc464054289</vt:lpwstr>
      </vt:variant>
      <vt:variant>
        <vt:i4>1900599</vt:i4>
      </vt:variant>
      <vt:variant>
        <vt:i4>134</vt:i4>
      </vt:variant>
      <vt:variant>
        <vt:i4>0</vt:i4>
      </vt:variant>
      <vt:variant>
        <vt:i4>5</vt:i4>
      </vt:variant>
      <vt:variant>
        <vt:lpwstr/>
      </vt:variant>
      <vt:variant>
        <vt:lpwstr>_Toc464054288</vt:lpwstr>
      </vt:variant>
      <vt:variant>
        <vt:i4>1900599</vt:i4>
      </vt:variant>
      <vt:variant>
        <vt:i4>128</vt:i4>
      </vt:variant>
      <vt:variant>
        <vt:i4>0</vt:i4>
      </vt:variant>
      <vt:variant>
        <vt:i4>5</vt:i4>
      </vt:variant>
      <vt:variant>
        <vt:lpwstr/>
      </vt:variant>
      <vt:variant>
        <vt:lpwstr>_Toc464054287</vt:lpwstr>
      </vt:variant>
      <vt:variant>
        <vt:i4>1900599</vt:i4>
      </vt:variant>
      <vt:variant>
        <vt:i4>122</vt:i4>
      </vt:variant>
      <vt:variant>
        <vt:i4>0</vt:i4>
      </vt:variant>
      <vt:variant>
        <vt:i4>5</vt:i4>
      </vt:variant>
      <vt:variant>
        <vt:lpwstr/>
      </vt:variant>
      <vt:variant>
        <vt:lpwstr>_Toc464054286</vt:lpwstr>
      </vt:variant>
      <vt:variant>
        <vt:i4>1900599</vt:i4>
      </vt:variant>
      <vt:variant>
        <vt:i4>116</vt:i4>
      </vt:variant>
      <vt:variant>
        <vt:i4>0</vt:i4>
      </vt:variant>
      <vt:variant>
        <vt:i4>5</vt:i4>
      </vt:variant>
      <vt:variant>
        <vt:lpwstr/>
      </vt:variant>
      <vt:variant>
        <vt:lpwstr>_Toc464054285</vt:lpwstr>
      </vt:variant>
      <vt:variant>
        <vt:i4>1900599</vt:i4>
      </vt:variant>
      <vt:variant>
        <vt:i4>110</vt:i4>
      </vt:variant>
      <vt:variant>
        <vt:i4>0</vt:i4>
      </vt:variant>
      <vt:variant>
        <vt:i4>5</vt:i4>
      </vt:variant>
      <vt:variant>
        <vt:lpwstr/>
      </vt:variant>
      <vt:variant>
        <vt:lpwstr>_Toc464054284</vt:lpwstr>
      </vt:variant>
      <vt:variant>
        <vt:i4>1900599</vt:i4>
      </vt:variant>
      <vt:variant>
        <vt:i4>104</vt:i4>
      </vt:variant>
      <vt:variant>
        <vt:i4>0</vt:i4>
      </vt:variant>
      <vt:variant>
        <vt:i4>5</vt:i4>
      </vt:variant>
      <vt:variant>
        <vt:lpwstr/>
      </vt:variant>
      <vt:variant>
        <vt:lpwstr>_Toc464054283</vt:lpwstr>
      </vt:variant>
      <vt:variant>
        <vt:i4>1900599</vt:i4>
      </vt:variant>
      <vt:variant>
        <vt:i4>98</vt:i4>
      </vt:variant>
      <vt:variant>
        <vt:i4>0</vt:i4>
      </vt:variant>
      <vt:variant>
        <vt:i4>5</vt:i4>
      </vt:variant>
      <vt:variant>
        <vt:lpwstr/>
      </vt:variant>
      <vt:variant>
        <vt:lpwstr>_Toc464054282</vt:lpwstr>
      </vt:variant>
      <vt:variant>
        <vt:i4>1900599</vt:i4>
      </vt:variant>
      <vt:variant>
        <vt:i4>92</vt:i4>
      </vt:variant>
      <vt:variant>
        <vt:i4>0</vt:i4>
      </vt:variant>
      <vt:variant>
        <vt:i4>5</vt:i4>
      </vt:variant>
      <vt:variant>
        <vt:lpwstr/>
      </vt:variant>
      <vt:variant>
        <vt:lpwstr>_Toc464054281</vt:lpwstr>
      </vt:variant>
      <vt:variant>
        <vt:i4>1900599</vt:i4>
      </vt:variant>
      <vt:variant>
        <vt:i4>86</vt:i4>
      </vt:variant>
      <vt:variant>
        <vt:i4>0</vt:i4>
      </vt:variant>
      <vt:variant>
        <vt:i4>5</vt:i4>
      </vt:variant>
      <vt:variant>
        <vt:lpwstr/>
      </vt:variant>
      <vt:variant>
        <vt:lpwstr>_Toc464054280</vt:lpwstr>
      </vt:variant>
      <vt:variant>
        <vt:i4>1179703</vt:i4>
      </vt:variant>
      <vt:variant>
        <vt:i4>80</vt:i4>
      </vt:variant>
      <vt:variant>
        <vt:i4>0</vt:i4>
      </vt:variant>
      <vt:variant>
        <vt:i4>5</vt:i4>
      </vt:variant>
      <vt:variant>
        <vt:lpwstr/>
      </vt:variant>
      <vt:variant>
        <vt:lpwstr>_Toc464054279</vt:lpwstr>
      </vt:variant>
      <vt:variant>
        <vt:i4>1179703</vt:i4>
      </vt:variant>
      <vt:variant>
        <vt:i4>74</vt:i4>
      </vt:variant>
      <vt:variant>
        <vt:i4>0</vt:i4>
      </vt:variant>
      <vt:variant>
        <vt:i4>5</vt:i4>
      </vt:variant>
      <vt:variant>
        <vt:lpwstr/>
      </vt:variant>
      <vt:variant>
        <vt:lpwstr>_Toc464054278</vt:lpwstr>
      </vt:variant>
      <vt:variant>
        <vt:i4>1179703</vt:i4>
      </vt:variant>
      <vt:variant>
        <vt:i4>68</vt:i4>
      </vt:variant>
      <vt:variant>
        <vt:i4>0</vt:i4>
      </vt:variant>
      <vt:variant>
        <vt:i4>5</vt:i4>
      </vt:variant>
      <vt:variant>
        <vt:lpwstr/>
      </vt:variant>
      <vt:variant>
        <vt:lpwstr>_Toc464054277</vt:lpwstr>
      </vt:variant>
      <vt:variant>
        <vt:i4>1179703</vt:i4>
      </vt:variant>
      <vt:variant>
        <vt:i4>62</vt:i4>
      </vt:variant>
      <vt:variant>
        <vt:i4>0</vt:i4>
      </vt:variant>
      <vt:variant>
        <vt:i4>5</vt:i4>
      </vt:variant>
      <vt:variant>
        <vt:lpwstr/>
      </vt:variant>
      <vt:variant>
        <vt:lpwstr>_Toc464054276</vt:lpwstr>
      </vt:variant>
      <vt:variant>
        <vt:i4>1179703</vt:i4>
      </vt:variant>
      <vt:variant>
        <vt:i4>56</vt:i4>
      </vt:variant>
      <vt:variant>
        <vt:i4>0</vt:i4>
      </vt:variant>
      <vt:variant>
        <vt:i4>5</vt:i4>
      </vt:variant>
      <vt:variant>
        <vt:lpwstr/>
      </vt:variant>
      <vt:variant>
        <vt:lpwstr>_Toc464054275</vt:lpwstr>
      </vt:variant>
      <vt:variant>
        <vt:i4>1179703</vt:i4>
      </vt:variant>
      <vt:variant>
        <vt:i4>50</vt:i4>
      </vt:variant>
      <vt:variant>
        <vt:i4>0</vt:i4>
      </vt:variant>
      <vt:variant>
        <vt:i4>5</vt:i4>
      </vt:variant>
      <vt:variant>
        <vt:lpwstr/>
      </vt:variant>
      <vt:variant>
        <vt:lpwstr>_Toc464054274</vt:lpwstr>
      </vt:variant>
      <vt:variant>
        <vt:i4>1179703</vt:i4>
      </vt:variant>
      <vt:variant>
        <vt:i4>44</vt:i4>
      </vt:variant>
      <vt:variant>
        <vt:i4>0</vt:i4>
      </vt:variant>
      <vt:variant>
        <vt:i4>5</vt:i4>
      </vt:variant>
      <vt:variant>
        <vt:lpwstr/>
      </vt:variant>
      <vt:variant>
        <vt:lpwstr>_Toc464054273</vt:lpwstr>
      </vt:variant>
      <vt:variant>
        <vt:i4>1179703</vt:i4>
      </vt:variant>
      <vt:variant>
        <vt:i4>38</vt:i4>
      </vt:variant>
      <vt:variant>
        <vt:i4>0</vt:i4>
      </vt:variant>
      <vt:variant>
        <vt:i4>5</vt:i4>
      </vt:variant>
      <vt:variant>
        <vt:lpwstr/>
      </vt:variant>
      <vt:variant>
        <vt:lpwstr>_Toc464054272</vt:lpwstr>
      </vt:variant>
      <vt:variant>
        <vt:i4>1179703</vt:i4>
      </vt:variant>
      <vt:variant>
        <vt:i4>32</vt:i4>
      </vt:variant>
      <vt:variant>
        <vt:i4>0</vt:i4>
      </vt:variant>
      <vt:variant>
        <vt:i4>5</vt:i4>
      </vt:variant>
      <vt:variant>
        <vt:lpwstr/>
      </vt:variant>
      <vt:variant>
        <vt:lpwstr>_Toc464054271</vt:lpwstr>
      </vt:variant>
      <vt:variant>
        <vt:i4>1179703</vt:i4>
      </vt:variant>
      <vt:variant>
        <vt:i4>26</vt:i4>
      </vt:variant>
      <vt:variant>
        <vt:i4>0</vt:i4>
      </vt:variant>
      <vt:variant>
        <vt:i4>5</vt:i4>
      </vt:variant>
      <vt:variant>
        <vt:lpwstr/>
      </vt:variant>
      <vt:variant>
        <vt:lpwstr>_Toc464054270</vt:lpwstr>
      </vt:variant>
      <vt:variant>
        <vt:i4>1245239</vt:i4>
      </vt:variant>
      <vt:variant>
        <vt:i4>20</vt:i4>
      </vt:variant>
      <vt:variant>
        <vt:i4>0</vt:i4>
      </vt:variant>
      <vt:variant>
        <vt:i4>5</vt:i4>
      </vt:variant>
      <vt:variant>
        <vt:lpwstr/>
      </vt:variant>
      <vt:variant>
        <vt:lpwstr>_Toc464054269</vt:lpwstr>
      </vt:variant>
      <vt:variant>
        <vt:i4>1245239</vt:i4>
      </vt:variant>
      <vt:variant>
        <vt:i4>14</vt:i4>
      </vt:variant>
      <vt:variant>
        <vt:i4>0</vt:i4>
      </vt:variant>
      <vt:variant>
        <vt:i4>5</vt:i4>
      </vt:variant>
      <vt:variant>
        <vt:lpwstr/>
      </vt:variant>
      <vt:variant>
        <vt:lpwstr>_Toc464054268</vt:lpwstr>
      </vt:variant>
      <vt:variant>
        <vt:i4>1245239</vt:i4>
      </vt:variant>
      <vt:variant>
        <vt:i4>8</vt:i4>
      </vt:variant>
      <vt:variant>
        <vt:i4>0</vt:i4>
      </vt:variant>
      <vt:variant>
        <vt:i4>5</vt:i4>
      </vt:variant>
      <vt:variant>
        <vt:lpwstr/>
      </vt:variant>
      <vt:variant>
        <vt:lpwstr>_Toc464054267</vt:lpwstr>
      </vt:variant>
      <vt:variant>
        <vt:i4>1245239</vt:i4>
      </vt:variant>
      <vt:variant>
        <vt:i4>2</vt:i4>
      </vt:variant>
      <vt:variant>
        <vt:i4>0</vt:i4>
      </vt:variant>
      <vt:variant>
        <vt:i4>5</vt:i4>
      </vt:variant>
      <vt:variant>
        <vt:lpwstr/>
      </vt:variant>
      <vt:variant>
        <vt:lpwstr>_Toc464054266</vt:lpwstr>
      </vt:variant>
      <vt:variant>
        <vt:i4>2097172</vt:i4>
      </vt:variant>
      <vt:variant>
        <vt:i4>18</vt:i4>
      </vt:variant>
      <vt:variant>
        <vt:i4>0</vt:i4>
      </vt:variant>
      <vt:variant>
        <vt:i4>5</vt:i4>
      </vt:variant>
      <vt:variant>
        <vt:lpwstr>http://cdr.eionet.europa.eu/lv/eu/mmr/art04-13-14_lcds_pams_projections/envvyqbag/</vt:lpwstr>
      </vt:variant>
      <vt:variant>
        <vt:lpwstr/>
      </vt:variant>
      <vt:variant>
        <vt:i4>2621499</vt:i4>
      </vt:variant>
      <vt:variant>
        <vt:i4>15</vt:i4>
      </vt:variant>
      <vt:variant>
        <vt:i4>0</vt:i4>
      </vt:variant>
      <vt:variant>
        <vt:i4>5</vt:i4>
      </vt:variant>
      <vt:variant>
        <vt:lpwstr>http://unfccc.int/national_reports/annex_i_ghg_inventories/national_inventories_submissions/items/9492.php</vt:lpwstr>
      </vt:variant>
      <vt:variant>
        <vt:lpwstr/>
      </vt:variant>
      <vt:variant>
        <vt:i4>2097172</vt:i4>
      </vt:variant>
      <vt:variant>
        <vt:i4>12</vt:i4>
      </vt:variant>
      <vt:variant>
        <vt:i4>0</vt:i4>
      </vt:variant>
      <vt:variant>
        <vt:i4>5</vt:i4>
      </vt:variant>
      <vt:variant>
        <vt:lpwstr>http://cdr.eionet.europa.eu/lv/eu/mmr/art04-13-14_lcds_pams_projections/envvyqbag/</vt:lpwstr>
      </vt:variant>
      <vt:variant>
        <vt:lpwstr/>
      </vt:variant>
      <vt:variant>
        <vt:i4>2621499</vt:i4>
      </vt:variant>
      <vt:variant>
        <vt:i4>9</vt:i4>
      </vt:variant>
      <vt:variant>
        <vt:i4>0</vt:i4>
      </vt:variant>
      <vt:variant>
        <vt:i4>5</vt:i4>
      </vt:variant>
      <vt:variant>
        <vt:lpwstr>http://unfccc.int/national_reports/annex_i_ghg_inventories/national_inventories_submissions/items/9492.php</vt:lpwstr>
      </vt:variant>
      <vt:variant>
        <vt:lpwstr/>
      </vt:variant>
      <vt:variant>
        <vt:i4>18284816</vt:i4>
      </vt:variant>
      <vt:variant>
        <vt:i4>6</vt:i4>
      </vt:variant>
      <vt:variant>
        <vt:i4>0</vt:i4>
      </vt:variant>
      <vt:variant>
        <vt:i4>5</vt:i4>
      </vt:variant>
      <vt:variant>
        <vt:lpwstr>http://www.pkc.gov.lv/nap2020/ilgtspējīgas-attīstības-mērķi</vt:lpwstr>
      </vt:variant>
      <vt:variant>
        <vt:lpwstr/>
      </vt:variant>
      <vt:variant>
        <vt:i4>4390970</vt:i4>
      </vt:variant>
      <vt:variant>
        <vt:i4>3</vt:i4>
      </vt:variant>
      <vt:variant>
        <vt:i4>0</vt:i4>
      </vt:variant>
      <vt:variant>
        <vt:i4>5</vt:i4>
      </vt:variant>
      <vt:variant>
        <vt:lpwstr>https://esa.un.org/unpd/wpp/publications/files/key_findings_wpp_2015.pdf</vt:lpwstr>
      </vt:variant>
      <vt:variant>
        <vt:lpwstr/>
      </vt:variant>
      <vt:variant>
        <vt:i4>3211372</vt:i4>
      </vt:variant>
      <vt:variant>
        <vt:i4>0</vt:i4>
      </vt:variant>
      <vt:variant>
        <vt:i4>0</vt:i4>
      </vt:variant>
      <vt:variant>
        <vt:i4>5</vt:i4>
      </vt:variant>
      <vt:variant>
        <vt:lpwstr>http://climate.nasa.gov/vital-signs/carbon-dioxide/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gustavsgu</dc:creator>
  <cp:lastModifiedBy>Elīna Baltroka</cp:lastModifiedBy>
  <cp:revision>8</cp:revision>
  <cp:lastPrinted>2018-05-16T07:56:00Z</cp:lastPrinted>
  <dcterms:created xsi:type="dcterms:W3CDTF">2018-08-28T08:00:00Z</dcterms:created>
  <dcterms:modified xsi:type="dcterms:W3CDTF">2018-08-28T08:02:00Z</dcterms:modified>
</cp:coreProperties>
</file>