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rsidR="00513463" w:rsidRPr="00513463" w:rsidP="00513463">
      <w:pPr>
        <w:pStyle w:val="Heading1"/>
        <w:numPr>
          <w:ilvl w:val="0"/>
          <w:numId w:val="0"/>
        </w:numPr>
        <w:jc w:val="right"/>
        <w:rPr>
          <w:b w:val="0"/>
          <w:sz w:val="24"/>
          <w:szCs w:val="26"/>
        </w:rPr>
      </w:pPr>
      <w:r>
        <w:rPr>
          <w:b w:val="0"/>
          <w:sz w:val="24"/>
          <w:szCs w:val="26"/>
        </w:rPr>
        <w:t>1.pielikums</w:t>
      </w:r>
    </w:p>
    <w:p w:rsidR="00513463" w:rsidRPr="00513463" w:rsidP="00513463">
      <w:pPr>
        <w:pStyle w:val="Heading1"/>
        <w:numPr>
          <w:ilvl w:val="0"/>
          <w:numId w:val="0"/>
        </w:numPr>
        <w:spacing w:after="240"/>
        <w:rPr>
          <w:sz w:val="24"/>
          <w:szCs w:val="26"/>
        </w:rPr>
      </w:pPr>
      <w:r w:rsidRPr="00513463">
        <w:rPr>
          <w:sz w:val="24"/>
          <w:szCs w:val="26"/>
        </w:rPr>
        <w:t>Atsevišķu attīstības centru pabeigto projektu piemēri</w:t>
      </w:r>
    </w:p>
    <w:p w:rsidR="00513463" w:rsidP="00513463">
      <w:pPr>
        <w:spacing w:after="240"/>
      </w:pPr>
      <w:r>
        <w:t>Tiek veikta atsevišķu attīstības centru pabeigto projektu analīze, iekļaujot datus un informāciju par projektu mērķiem un sasniegtajiem rezultātiem. Papildus tiek vērtēta projektu ietekme uz pašvaldību, t.sk. infrastruktūru, identificēti galvenie ieguvumi (gan tiešie, gan netiešie), kā arī noteikta papildinātība ar iepriekšējā ES fondu 2007.-2013.gada plānošanas periodā realizētājiem projektiem.</w:t>
      </w:r>
    </w:p>
    <w:p w:rsidR="00513463" w:rsidRPr="00C50BAA" w:rsidP="00513463">
      <w:pPr>
        <w:ind w:firstLine="720"/>
        <w:rPr>
          <w:b/>
          <w:i/>
          <w:sz w:val="26"/>
          <w:szCs w:val="26"/>
        </w:rPr>
      </w:pPr>
      <w:bookmarkStart w:id="0" w:name="_Toc508214109"/>
      <w:r w:rsidRPr="00C50BAA">
        <w:rPr>
          <w:b/>
          <w:i/>
          <w:sz w:val="26"/>
          <w:szCs w:val="26"/>
        </w:rPr>
        <w:t>Valmieras pilsēta</w:t>
      </w:r>
      <w:bookmarkEnd w:id="0"/>
    </w:p>
    <w:p w:rsidR="00513463" w:rsidP="00513463">
      <w:r>
        <w:t xml:space="preserve">Projekts: </w:t>
      </w:r>
      <w:r w:rsidRPr="001C7FEC">
        <w:t>“</w:t>
      </w:r>
      <w:r w:rsidRPr="00911C19">
        <w:rPr>
          <w:i/>
        </w:rPr>
        <w:t>Uzņēmējdarbības attīstību veicinošas satiksmes infrastruktūras un inženierkomunikācijas pārbūve Cempu un Paula Valdena ielu industriālo teritoriju attīstībai</w:t>
      </w:r>
      <w:r>
        <w:t>” (SAM 3.3.1.).</w:t>
      </w:r>
    </w:p>
    <w:p w:rsidR="00513463" w:rsidP="00513463">
      <w:r>
        <w:t>Analizējot ERAF projekta 2016.gada 21.decembra iesniegumā (N</w:t>
      </w:r>
      <w:r w:rsidRPr="00BD5D8D">
        <w:t>r.</w:t>
      </w:r>
      <w:r>
        <w:rPr>
          <w:color w:val="FF0000"/>
        </w:rPr>
        <w:t xml:space="preserve"> </w:t>
      </w:r>
      <w:r>
        <w:t>3.3.1.0/16/I/005</w:t>
      </w:r>
      <w:r>
        <w:rPr>
          <w:rStyle w:val="FootnoteReference"/>
        </w:rPr>
        <w:footnoteReference w:id="2"/>
      </w:r>
      <w:r>
        <w:t xml:space="preserve">) minēto informāciju par Valmieras pilsētas projektu, jāsecina, ka </w:t>
      </w:r>
      <w:r w:rsidRPr="00911C19">
        <w:rPr>
          <w:b/>
        </w:rPr>
        <w:t>projekta mērķis</w:t>
      </w:r>
      <w:r>
        <w:t xml:space="preserve"> ir palielināt privāto investīciju apjomu Valmieras pilsētā, veicot ieguldījumus komercdarbības attīstībai atbilstoši pašvaldības attīstības programmā noteiktajai teritorijas ekonomiskajai specializācijai. Uzlabojot brauktuvju un ietvju kvalitāti, uzņēmēji varēs efektīvāk attīstīt ražotnes, izveidojot jaunas darba vietas un uzsākot jaunu produktu ražošanu, kā arī, attīstot esošo ražošanu, palielināt privāto investīciju apjomu Valmieras pilsētā.</w:t>
      </w:r>
    </w:p>
    <w:p w:rsidR="00513463" w:rsidP="00513463">
      <w:r w:rsidRPr="00241FE2">
        <w:rPr>
          <w:b/>
        </w:rPr>
        <w:t>Projekta rezultāts</w:t>
      </w:r>
      <w:r>
        <w:rPr>
          <w:b/>
        </w:rPr>
        <w:t>:</w:t>
      </w:r>
      <w:r>
        <w:t xml:space="preserve"> pārbūvētas ielas, veikta ar tām saistītās infrastruktūras būvniecība (</w:t>
      </w:r>
      <w:r w:rsidRPr="004C1975">
        <w:rPr>
          <w:i/>
        </w:rPr>
        <w:t>piemēram, lietus ūdens kanalizācijas izbūve, satiksmes drošības elementu būvniecība un atjaunošana u.c.</w:t>
      </w:r>
      <w:r>
        <w:t>), pārbūve vai atjaunošana – 3162 m garumā.</w:t>
      </w:r>
    </w:p>
    <w:p w:rsidR="00513463" w:rsidP="00513463">
      <w:pPr>
        <w:spacing w:before="120"/>
      </w:pPr>
      <w:r>
        <w:t xml:space="preserve">Projekta ERAF finansējums: </w:t>
      </w:r>
      <w:r w:rsidRPr="00F70E10">
        <w:rPr>
          <w:i/>
        </w:rPr>
        <w:t>2 851 584,51</w:t>
      </w:r>
      <w:r w:rsidRPr="0016210B">
        <w:t xml:space="preserve"> </w:t>
      </w:r>
      <w:r>
        <w:rPr>
          <w:i/>
        </w:rPr>
        <w:t>euro</w:t>
      </w:r>
      <w:r w:rsidRPr="008624B9">
        <w:t>.</w:t>
      </w:r>
    </w:p>
    <w:p w:rsidR="00513463" w:rsidRPr="007E6060" w:rsidP="00513463">
      <w:pPr>
        <w:jc w:val="center"/>
      </w:pPr>
      <w:r w:rsidRPr="00E73AC7">
        <w:t>Projekta iznākuma rādītāju izpilde pret plānotajiem rādītājie</w:t>
      </w:r>
      <w:r>
        <w:t>m</w:t>
      </w:r>
    </w:p>
    <w:tbl>
      <w:tblPr>
        <w:tblW w:w="8291" w:type="dxa"/>
        <w:jc w:val="center"/>
        <w:tblCellMar>
          <w:left w:w="0" w:type="dxa"/>
          <w:right w:w="0" w:type="dxa"/>
        </w:tblCellMar>
        <w:tblLook w:val="04A0"/>
      </w:tblPr>
      <w:tblGrid>
        <w:gridCol w:w="1007"/>
        <w:gridCol w:w="684"/>
        <w:gridCol w:w="1010"/>
        <w:gridCol w:w="1108"/>
        <w:gridCol w:w="695"/>
        <w:gridCol w:w="936"/>
        <w:gridCol w:w="1052"/>
        <w:gridCol w:w="833"/>
        <w:gridCol w:w="966"/>
      </w:tblGrid>
      <w:tr w:rsidTr="00567809">
        <w:tblPrEx>
          <w:tblW w:w="8291" w:type="dxa"/>
          <w:jc w:val="center"/>
          <w:tblCellMar>
            <w:left w:w="0" w:type="dxa"/>
            <w:right w:w="0" w:type="dxa"/>
          </w:tblCellMar>
          <w:tblLook w:val="04A0"/>
        </w:tblPrEx>
        <w:trPr>
          <w:trHeight w:val="386"/>
          <w:jc w:val="center"/>
        </w:trPr>
        <w:tc>
          <w:tcPr>
            <w:tcW w:w="2701" w:type="dxa"/>
            <w:gridSpan w:val="3"/>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Plānotais</w:t>
            </w:r>
          </w:p>
        </w:tc>
        <w:tc>
          <w:tcPr>
            <w:tcW w:w="2739" w:type="dxa"/>
            <w:gridSpan w:val="3"/>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Iznākuma</w:t>
            </w:r>
          </w:p>
        </w:tc>
        <w:tc>
          <w:tcPr>
            <w:tcW w:w="2851" w:type="dxa"/>
            <w:gridSpan w:val="3"/>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Izpilde</w:t>
            </w:r>
          </w:p>
        </w:tc>
      </w:tr>
      <w:tr w:rsidTr="00567809">
        <w:tblPrEx>
          <w:tblW w:w="8291" w:type="dxa"/>
          <w:jc w:val="center"/>
          <w:tblCellMar>
            <w:left w:w="0" w:type="dxa"/>
            <w:right w:w="0" w:type="dxa"/>
          </w:tblCellMar>
          <w:tblLook w:val="04A0"/>
        </w:tblPrEx>
        <w:trPr>
          <w:trHeight w:val="543"/>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r>
      <w:tr w:rsidTr="00567809">
        <w:tblPrEx>
          <w:tblW w:w="8291" w:type="dxa"/>
          <w:jc w:val="center"/>
          <w:tblCellMar>
            <w:left w:w="0" w:type="dxa"/>
            <w:right w:w="0" w:type="dxa"/>
          </w:tblCellMar>
          <w:tblLook w:val="04A0"/>
        </w:tblPrEx>
        <w:trPr>
          <w:trHeight w:val="400"/>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3</w:t>
            </w:r>
            <w:r>
              <w:rPr>
                <w:rFonts w:cs="Times New Roman"/>
                <w:b/>
                <w:bCs/>
                <w:color w:val="000000"/>
                <w:sz w:val="18"/>
                <w:szCs w:val="20"/>
              </w:rPr>
              <w:t> </w:t>
            </w:r>
            <w:r w:rsidRPr="00BD53A0">
              <w:rPr>
                <w:rFonts w:cs="Times New Roman"/>
                <w:b/>
                <w:bCs/>
                <w:color w:val="000000"/>
                <w:sz w:val="18"/>
                <w:szCs w:val="20"/>
              </w:rPr>
              <w:t>723</w:t>
            </w:r>
            <w:r>
              <w:rPr>
                <w:rFonts w:cs="Times New Roman"/>
                <w:b/>
                <w:bCs/>
                <w:color w:val="000000"/>
                <w:sz w:val="18"/>
                <w:szCs w:val="20"/>
              </w:rPr>
              <w:t xml:space="preserve"> </w:t>
            </w:r>
            <w:r w:rsidRPr="00BD53A0">
              <w:rPr>
                <w:rFonts w:cs="Times New Roman"/>
                <w:b/>
                <w:bCs/>
                <w:color w:val="000000"/>
                <w:sz w:val="18"/>
                <w:szCs w:val="20"/>
              </w:rPr>
              <w:t>000</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61</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12</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3</w:t>
            </w:r>
            <w:r>
              <w:rPr>
                <w:rFonts w:cs="Times New Roman"/>
                <w:b/>
                <w:bCs/>
                <w:color w:val="000000"/>
                <w:sz w:val="18"/>
                <w:szCs w:val="20"/>
              </w:rPr>
              <w:t> </w:t>
            </w:r>
            <w:r w:rsidRPr="00BD53A0">
              <w:rPr>
                <w:rFonts w:cs="Times New Roman"/>
                <w:b/>
                <w:bCs/>
                <w:color w:val="000000"/>
                <w:sz w:val="18"/>
                <w:szCs w:val="20"/>
              </w:rPr>
              <w:t>723</w:t>
            </w:r>
            <w:r>
              <w:rPr>
                <w:rFonts w:cs="Times New Roman"/>
                <w:b/>
                <w:bCs/>
                <w:color w:val="000000"/>
                <w:sz w:val="18"/>
                <w:szCs w:val="20"/>
              </w:rPr>
              <w:t xml:space="preserve"> </w:t>
            </w:r>
            <w:r w:rsidRPr="00BD53A0">
              <w:rPr>
                <w:rFonts w:cs="Times New Roman"/>
                <w:b/>
                <w:bCs/>
                <w:color w:val="000000"/>
                <w:sz w:val="18"/>
                <w:szCs w:val="20"/>
              </w:rPr>
              <w:t>000</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61</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12</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r>
    </w:tbl>
    <w:p w:rsidR="00513463" w:rsidRPr="00A77ED8" w:rsidP="00513463">
      <w:pPr>
        <w:spacing w:before="60"/>
        <w:rPr>
          <w:i/>
          <w:sz w:val="20"/>
        </w:rPr>
      </w:pPr>
      <w:r w:rsidRPr="00A77ED8">
        <w:rPr>
          <w:i/>
          <w:sz w:val="20"/>
        </w:rPr>
        <w:t>Avots: dati no KP VIS</w:t>
      </w:r>
      <w:r>
        <w:rPr>
          <w:i/>
          <w:sz w:val="20"/>
        </w:rPr>
        <w:t xml:space="preserve"> uz 12.03.2018</w:t>
      </w:r>
      <w:r w:rsidRPr="00C50BAA">
        <w:rPr>
          <w:i/>
          <w:sz w:val="20"/>
        </w:rPr>
        <w:t>.</w:t>
      </w:r>
    </w:p>
    <w:p w:rsidR="00513463" w:rsidP="00513463">
      <w:r w:rsidRPr="00D5251A">
        <w:rPr>
          <w:rFonts w:cs="Times New Roman"/>
        </w:rPr>
        <w:t>V</w:t>
      </w:r>
      <w:r w:rsidRPr="00D5251A">
        <w:rPr>
          <w:rFonts w:cs="Times New Roman"/>
          <w:szCs w:val="24"/>
        </w:rPr>
        <w:t>ienas jaunas darba vietas izveidei plānot</w:t>
      </w:r>
      <w:r>
        <w:rPr>
          <w:rFonts w:cs="Times New Roman"/>
          <w:szCs w:val="24"/>
        </w:rPr>
        <w:t>ai</w:t>
      </w:r>
      <w:r w:rsidRPr="00D5251A">
        <w:rPr>
          <w:rFonts w:cs="Times New Roman"/>
          <w:szCs w:val="24"/>
        </w:rPr>
        <w:t xml:space="preserve">s </w:t>
      </w:r>
      <w:r w:rsidRPr="00F11A9C">
        <w:rPr>
          <w:rFonts w:cs="Times New Roman"/>
          <w:szCs w:val="24"/>
        </w:rPr>
        <w:t xml:space="preserve">ERAF finansējums SAM 3.3.1. un SAM 5.6.2. projektos ir noteikts ne </w:t>
      </w:r>
      <w:r w:rsidRPr="00C803D2">
        <w:rPr>
          <w:rFonts w:cs="Times New Roman"/>
          <w:szCs w:val="24"/>
        </w:rPr>
        <w:t xml:space="preserve">vairāk kā 60 987 </w:t>
      </w:r>
      <w:r w:rsidRPr="00C803D2">
        <w:rPr>
          <w:rFonts w:cs="Times New Roman"/>
          <w:i/>
          <w:szCs w:val="24"/>
        </w:rPr>
        <w:t>euro</w:t>
      </w:r>
      <w:r>
        <w:rPr>
          <w:rStyle w:val="FootnoteReference"/>
          <w:rFonts w:cs="Times New Roman"/>
          <w:szCs w:val="24"/>
        </w:rPr>
        <w:footnoteReference w:id="3"/>
      </w:r>
      <w:r w:rsidRPr="003E0F23">
        <w:rPr>
          <w:rFonts w:cs="Times New Roman"/>
          <w:szCs w:val="24"/>
        </w:rPr>
        <w:t>,</w:t>
      </w:r>
      <w:r>
        <w:rPr>
          <w:rFonts w:cs="Times New Roman"/>
          <w:szCs w:val="24"/>
        </w:rPr>
        <w:t xml:space="preserve"> līdz ar to minimālais darba vietu skaits Valmieras pilsētas projekta gadījumā būtu 47 darba vietas. Taču projekta ietvaros tika radīta 61 jauna darba vieta, tātad </w:t>
      </w:r>
      <w:r w:rsidRPr="00BC1E01">
        <w:rPr>
          <w:rFonts w:cs="Times New Roman"/>
          <w:szCs w:val="24"/>
        </w:rPr>
        <w:t xml:space="preserve">izpilde pret minimālo rādītāju jeb bāzes līmeni ir 130% </w:t>
      </w:r>
      <w:r w:rsidRPr="004A4C81">
        <w:rPr>
          <w:rFonts w:cs="Times New Roman"/>
          <w:b/>
          <w:szCs w:val="24"/>
        </w:rPr>
        <w:t>(pārsniegums par 30%)</w:t>
      </w:r>
      <w:r>
        <w:rPr>
          <w:rFonts w:cs="Times New Roman"/>
          <w:szCs w:val="24"/>
        </w:rPr>
        <w:t>.</w:t>
      </w:r>
      <w:r>
        <w:t xml:space="preserve"> </w:t>
      </w:r>
      <w:r>
        <w:rPr>
          <w:rFonts w:cs="Times New Roman"/>
          <w:szCs w:val="24"/>
        </w:rPr>
        <w:t xml:space="preserve">Savukārt projekta </w:t>
      </w:r>
      <w:r>
        <w:t xml:space="preserve">piesaistīto nefinanšu investīciju rezultāts </w:t>
      </w:r>
      <w:r w:rsidRPr="00C7039C">
        <w:t>noteikto SAM rezultātu bāzes līmeni</w:t>
      </w:r>
      <w:r>
        <w:t xml:space="preserve"> (</w:t>
      </w:r>
      <w:r>
        <w:rPr>
          <w:rFonts w:cs="Times New Roman"/>
          <w:szCs w:val="24"/>
        </w:rPr>
        <w:t>v</w:t>
      </w:r>
      <w:r w:rsidRPr="00D5251A">
        <w:rPr>
          <w:rFonts w:cs="Times New Roman"/>
          <w:szCs w:val="24"/>
        </w:rPr>
        <w:t xml:space="preserve">iena privāto investīciju </w:t>
      </w:r>
      <w:r w:rsidRPr="009929BA">
        <w:rPr>
          <w:rFonts w:cs="Times New Roman"/>
          <w:i/>
          <w:szCs w:val="24"/>
        </w:rPr>
        <w:t>euro</w:t>
      </w:r>
      <w:r w:rsidRPr="00D5251A">
        <w:rPr>
          <w:rFonts w:cs="Times New Roman"/>
          <w:szCs w:val="24"/>
        </w:rPr>
        <w:t xml:space="preserve"> piesaistei plānots viens ERAF </w:t>
      </w:r>
      <w:r w:rsidRPr="00D5251A">
        <w:rPr>
          <w:rFonts w:cs="Times New Roman"/>
          <w:i/>
          <w:szCs w:val="24"/>
        </w:rPr>
        <w:t>euro</w:t>
      </w:r>
      <w:r>
        <w:rPr>
          <w:rFonts w:cs="Times New Roman"/>
          <w:szCs w:val="24"/>
        </w:rPr>
        <w:t xml:space="preserve">) </w:t>
      </w:r>
      <w:r w:rsidRPr="00F3714C">
        <w:rPr>
          <w:rFonts w:cs="Times New Roman"/>
          <w:b/>
          <w:szCs w:val="24"/>
        </w:rPr>
        <w:t>pārsniedz</w:t>
      </w:r>
      <w:r w:rsidRPr="00F3714C">
        <w:rPr>
          <w:b/>
        </w:rPr>
        <w:t xml:space="preserve"> par 31%</w:t>
      </w:r>
      <w:r>
        <w:t>.</w:t>
      </w:r>
    </w:p>
    <w:p w:rsidR="00513463" w:rsidP="00513463">
      <w:pPr>
        <w:spacing w:before="240"/>
      </w:pPr>
      <w:r>
        <w:t xml:space="preserve">Projekta rezultātā identificējami gan tiešie, gan netiešie ieguvēji. </w:t>
      </w:r>
    </w:p>
    <w:p w:rsidR="00513463" w:rsidRPr="00F70E10" w:rsidP="00513463">
      <w:r w:rsidRPr="00D16FDE">
        <w:rPr>
          <w:b/>
        </w:rPr>
        <w:t>T</w:t>
      </w:r>
      <w:r w:rsidRPr="008840D3">
        <w:rPr>
          <w:b/>
        </w:rPr>
        <w:t>iešie ieguvēji</w:t>
      </w:r>
      <w:r>
        <w:t xml:space="preserve"> ir 12 k</w:t>
      </w:r>
      <w:r w:rsidRPr="00C6091C">
        <w:t>omersant</w:t>
      </w:r>
      <w:r>
        <w:t>i</w:t>
      </w:r>
      <w:r w:rsidRPr="00C6091C">
        <w:t>, kuri guvuši labumu no projekta ietvaros veiktajām investīcijām infrastruktūrā</w:t>
      </w:r>
      <w:r>
        <w:t>.</w:t>
      </w:r>
    </w:p>
    <w:p w:rsidR="00513463" w:rsidP="00513463">
      <w:r w:rsidRPr="00BF5383">
        <w:rPr>
          <w:b/>
        </w:rPr>
        <w:t>Tiešie ieguvumi</w:t>
      </w:r>
      <w:r>
        <w:t xml:space="preserve"> no projekta:</w:t>
      </w:r>
    </w:p>
    <w:p w:rsidR="00513463" w:rsidRPr="004C1975" w:rsidP="00513463">
      <w:pPr>
        <w:pStyle w:val="ListParagraph"/>
        <w:numPr>
          <w:ilvl w:val="0"/>
          <w:numId w:val="3"/>
        </w:numPr>
      </w:pPr>
      <w:r>
        <w:t>jaunizveidoto darba vietu skaits komersantos, kuri gūs labumu no konkrētajām investīcijām infrastruktūrā – 61 jauna darba vieta;</w:t>
      </w:r>
    </w:p>
    <w:p w:rsidR="00513463" w:rsidRPr="00C50BAA" w:rsidP="00513463">
      <w:pPr>
        <w:pStyle w:val="ListParagraph"/>
        <w:numPr>
          <w:ilvl w:val="0"/>
          <w:numId w:val="3"/>
        </w:numPr>
      </w:pPr>
      <w:r>
        <w:t>n</w:t>
      </w:r>
      <w:r w:rsidRPr="00BF5383">
        <w:t>o projekta ietvaros veiktajām investīcijām infrastruktūrā labumu guvušo komersantu nefinanšu investīcijas pašu nemateriālajos ieguldījumos un pamatlīdzekļos</w:t>
      </w:r>
      <w:r>
        <w:t xml:space="preserve"> – 3 723 000 </w:t>
      </w:r>
      <w:r w:rsidRPr="00C50BAA">
        <w:rPr>
          <w:i/>
        </w:rPr>
        <w:t>euro</w:t>
      </w:r>
      <w:r>
        <w:t>;</w:t>
      </w:r>
    </w:p>
    <w:p w:rsidR="00513463" w:rsidP="00513463">
      <w:pPr>
        <w:pStyle w:val="ListParagraph"/>
        <w:numPr>
          <w:ilvl w:val="0"/>
          <w:numId w:val="3"/>
        </w:numPr>
      </w:pPr>
      <w:r>
        <w:t xml:space="preserve">jaunizveidotās darba vietas </w:t>
      </w:r>
      <w:r w:rsidRPr="003575DB">
        <w:rPr>
          <w:u w:val="single"/>
        </w:rPr>
        <w:t>radīs papildu iedzīvotāju ienākuma nodokļa ieņēmumus pašvaldības budžetā</w:t>
      </w:r>
      <w:r>
        <w:t xml:space="preserve"> (projekta dzīves ciklā 2,9 milj. </w:t>
      </w:r>
      <w:r w:rsidRPr="0000058A">
        <w:rPr>
          <w:i/>
        </w:rPr>
        <w:t>euro</w:t>
      </w:r>
      <w:r>
        <w:t>).</w:t>
      </w:r>
    </w:p>
    <w:p w:rsidR="00513463" w:rsidP="00513463">
      <w:r w:rsidRPr="00F40AFC">
        <w:rPr>
          <w:b/>
        </w:rPr>
        <w:t>Netiešie ieguvēji</w:t>
      </w:r>
      <w:r>
        <w:t xml:space="preserve"> ir:</w:t>
      </w:r>
    </w:p>
    <w:p w:rsidR="00513463" w:rsidP="00513463">
      <w:pPr>
        <w:pStyle w:val="ListParagraph"/>
        <w:numPr>
          <w:ilvl w:val="0"/>
          <w:numId w:val="3"/>
        </w:numPr>
      </w:pPr>
      <w:r>
        <w:t>personas, kuras izmanto pilsētas sabiedrisko transportu (kā projekta neattiecināmās izmaksas ir pieturvietu aprīkojuma uzstādīšana);</w:t>
      </w:r>
    </w:p>
    <w:p w:rsidR="00513463" w:rsidP="00513463">
      <w:pPr>
        <w:pStyle w:val="ListParagraph"/>
        <w:numPr>
          <w:ilvl w:val="0"/>
          <w:numId w:val="2"/>
        </w:numPr>
        <w:ind w:left="714" w:hanging="357"/>
        <w:contextualSpacing w:val="0"/>
      </w:pPr>
      <w:r>
        <w:t>personas, kuras izmanto gājēju ietves un veloceliņu (iedzīvotāji, darbinieki no Cempu ielas esošajiem uzņēmumiem), autobraucēji (samazināts brauktuves nelīdzenums).</w:t>
      </w:r>
    </w:p>
    <w:p w:rsidR="00513463" w:rsidP="00513463">
      <w:r w:rsidRPr="004D6E40">
        <w:rPr>
          <w:b/>
        </w:rPr>
        <w:t>Netiešie ieguvumi</w:t>
      </w:r>
      <w:r>
        <w:t xml:space="preserve"> no projekta:</w:t>
      </w:r>
    </w:p>
    <w:p w:rsidR="00513463" w:rsidP="00513463">
      <w:pPr>
        <w:pStyle w:val="ListParagraph"/>
        <w:numPr>
          <w:ilvl w:val="0"/>
          <w:numId w:val="3"/>
        </w:numPr>
        <w:ind w:left="714" w:hanging="357"/>
      </w:pPr>
      <w:r w:rsidRPr="003575DB">
        <w:rPr>
          <w:u w:val="single"/>
        </w:rPr>
        <w:t>paaugstināta gājēju un velobraucēju satiksmes drošība</w:t>
      </w:r>
      <w:r>
        <w:t xml:space="preserve"> (ceļu satiksmes negadījumu skaits samazināsies vidēji par 50%, tādējādi radot gandrīz 161 tūkst. </w:t>
      </w:r>
      <w:r w:rsidRPr="004D6E40">
        <w:rPr>
          <w:i/>
        </w:rPr>
        <w:t>euro</w:t>
      </w:r>
      <w:r>
        <w:rPr>
          <w:i/>
        </w:rPr>
        <w:t xml:space="preserve"> </w:t>
      </w:r>
      <w:r w:rsidRPr="004D6E40">
        <w:t xml:space="preserve">ieguvumus </w:t>
      </w:r>
      <w:r>
        <w:t>visā projekta dzīves ciklā);</w:t>
      </w:r>
    </w:p>
    <w:p w:rsidR="00513463" w:rsidP="00513463">
      <w:pPr>
        <w:pStyle w:val="ListParagraph"/>
        <w:numPr>
          <w:ilvl w:val="0"/>
          <w:numId w:val="3"/>
        </w:numPr>
        <w:ind w:left="714" w:hanging="357"/>
        <w:contextualSpacing w:val="0"/>
      </w:pPr>
      <w:r w:rsidRPr="003575DB">
        <w:rPr>
          <w:u w:val="single"/>
        </w:rPr>
        <w:t>autokilometra</w:t>
      </w:r>
      <w:r w:rsidRPr="003575DB">
        <w:rPr>
          <w:u w:val="single"/>
        </w:rPr>
        <w:t xml:space="preserve"> izmaksu un automobiļu ekspluatācijas izmaksu samazinājums</w:t>
      </w:r>
      <w:r>
        <w:t xml:space="preserve"> (samazinās </w:t>
      </w:r>
      <w:r>
        <w:t>autokilometra</w:t>
      </w:r>
      <w:r>
        <w:t xml:space="preserve"> izmaksas, radot satiksmes dalībniekiem ieguvumus 15,2 milj. </w:t>
      </w:r>
      <w:r w:rsidRPr="00974DC8">
        <w:rPr>
          <w:i/>
        </w:rPr>
        <w:t>euro</w:t>
      </w:r>
      <w:r>
        <w:t xml:space="preserve"> apmērā projekta dzīves cikla laikā).</w:t>
      </w:r>
    </w:p>
    <w:p w:rsidR="00513463" w:rsidP="00513463">
      <w:r>
        <w:t>Kā būtisks fakts ir norādāms tas, ka Valmieras pilsētas projekts jau pirms tā uzsākšanas un realizācijas ir sekmējis investīciju piesaisti. Proti, jau 2014. un 2015.gadā uzņēmēji ir ieguldījuši ievērojamas investīcijas, saņemot informāciju par plānoto ielu pārbūvi.</w:t>
      </w:r>
    </w:p>
    <w:p w:rsidR="00513463" w:rsidP="00513463">
      <w:r>
        <w:t xml:space="preserve">Vienlaikus šis projekts ir papildinošs ar diviem projektiem no ES fondu 2007.-2013.gada plānošanas perioda 3.6.prioritātes </w:t>
      </w:r>
      <w:r w:rsidRPr="00E46344">
        <w:t>“</w:t>
      </w:r>
      <w:r>
        <w:t>Policentriska</w:t>
      </w:r>
      <w:r>
        <w:t xml:space="preserve"> attīstība”:</w:t>
      </w:r>
    </w:p>
    <w:p w:rsidR="00513463" w:rsidRPr="007A2182" w:rsidP="00513463">
      <w:pPr>
        <w:pStyle w:val="ListParagraph"/>
        <w:numPr>
          <w:ilvl w:val="0"/>
          <w:numId w:val="4"/>
        </w:numPr>
        <w:ind w:left="714" w:hanging="357"/>
        <w:rPr>
          <w:szCs w:val="24"/>
        </w:rPr>
      </w:pPr>
      <w:r w:rsidRPr="007A2182">
        <w:rPr>
          <w:szCs w:val="24"/>
        </w:rPr>
        <w:t xml:space="preserve">projekts </w:t>
      </w:r>
      <w:r w:rsidRPr="00E46344">
        <w:t>“</w:t>
      </w:r>
      <w:r w:rsidRPr="007A2182">
        <w:rPr>
          <w:rFonts w:eastAsia="Times New Roman" w:cs="Times New Roman"/>
          <w:i/>
          <w:szCs w:val="24"/>
          <w:lang w:eastAsia="lv-LV"/>
        </w:rPr>
        <w:t>Stacijas ielas, Cēsu ielas (posmā no Gaujas tilta līdz Stacijas ielai) un Mazās Stacijas ielas, Valmierā rekonstrukcija</w:t>
      </w:r>
      <w:r w:rsidRPr="007A2182">
        <w:rPr>
          <w:rFonts w:eastAsia="Times New Roman" w:cs="Times New Roman"/>
          <w:szCs w:val="24"/>
          <w:lang w:eastAsia="lv-LV"/>
        </w:rPr>
        <w:t xml:space="preserve">” </w:t>
      </w:r>
      <w:r>
        <w:rPr>
          <w:rFonts w:eastAsia="Times New Roman" w:cs="Times New Roman"/>
          <w:szCs w:val="24"/>
          <w:lang w:eastAsia="lv-LV"/>
        </w:rPr>
        <w:t>(</w:t>
      </w:r>
      <w:r w:rsidRPr="007A2182">
        <w:rPr>
          <w:rFonts w:eastAsia="Times New Roman" w:cs="Times New Roman"/>
          <w:szCs w:val="24"/>
          <w:lang w:eastAsia="lv-LV"/>
        </w:rPr>
        <w:t>Nr.3DP/3.6.1.1.0/11/IPIA/VRAA/</w:t>
      </w:r>
      <w:r>
        <w:rPr>
          <w:rFonts w:eastAsia="Times New Roman" w:cs="Times New Roman"/>
          <w:szCs w:val="24"/>
          <w:lang w:eastAsia="lv-LV"/>
        </w:rPr>
        <w:t xml:space="preserve"> </w:t>
      </w:r>
      <w:r w:rsidRPr="007A2182">
        <w:rPr>
          <w:rFonts w:eastAsia="Times New Roman" w:cs="Times New Roman"/>
          <w:szCs w:val="24"/>
          <w:lang w:eastAsia="lv-LV"/>
        </w:rPr>
        <w:t>012/065</w:t>
      </w:r>
      <w:r>
        <w:rPr>
          <w:rFonts w:eastAsia="Times New Roman" w:cs="Times New Roman"/>
          <w:szCs w:val="24"/>
          <w:lang w:eastAsia="lv-LV"/>
        </w:rPr>
        <w:t>)</w:t>
      </w:r>
      <w:r w:rsidRPr="007A2182">
        <w:rPr>
          <w:szCs w:val="24"/>
        </w:rPr>
        <w:t xml:space="preserve"> īstenots 2011.gadā, kā rezultātā </w:t>
      </w:r>
      <w:r>
        <w:rPr>
          <w:szCs w:val="24"/>
        </w:rPr>
        <w:t xml:space="preserve">tika </w:t>
      </w:r>
      <w:r>
        <w:rPr>
          <w:rFonts w:eastAsia="Times New Roman" w:cs="Times New Roman"/>
          <w:szCs w:val="24"/>
          <w:lang w:eastAsia="lv-LV"/>
        </w:rPr>
        <w:t>r</w:t>
      </w:r>
      <w:r w:rsidRPr="00D7336E">
        <w:rPr>
          <w:rFonts w:eastAsia="Times New Roman" w:cs="Times New Roman"/>
          <w:szCs w:val="24"/>
          <w:lang w:eastAsia="lv-LV"/>
        </w:rPr>
        <w:t>ekonstruēta viena no maģistrālajām ielām Valmieras pilsētā, visā garumā izveidoti celiņi gan</w:t>
      </w:r>
      <w:r>
        <w:rPr>
          <w:rFonts w:eastAsia="Times New Roman" w:cs="Times New Roman"/>
          <w:szCs w:val="24"/>
          <w:lang w:eastAsia="lv-LV"/>
        </w:rPr>
        <w:t xml:space="preserve"> gājējiem, gan velosipēdistiem, kā arī</w:t>
      </w:r>
      <w:r w:rsidRPr="00D7336E">
        <w:rPr>
          <w:rFonts w:eastAsia="Times New Roman" w:cs="Times New Roman"/>
          <w:szCs w:val="24"/>
          <w:lang w:eastAsia="lv-LV"/>
        </w:rPr>
        <w:t xml:space="preserve"> uzlabota satiksmes drošība</w:t>
      </w:r>
      <w:r>
        <w:rPr>
          <w:rFonts w:eastAsia="Times New Roman" w:cs="Times New Roman"/>
          <w:szCs w:val="24"/>
          <w:lang w:eastAsia="lv-LV"/>
        </w:rPr>
        <w:t xml:space="preserve"> un</w:t>
      </w:r>
      <w:r w:rsidRPr="00D7336E">
        <w:rPr>
          <w:rFonts w:eastAsia="Times New Roman" w:cs="Times New Roman"/>
          <w:szCs w:val="24"/>
          <w:lang w:eastAsia="lv-LV"/>
        </w:rPr>
        <w:t xml:space="preserve"> ielu apgaismojums</w:t>
      </w:r>
      <w:r w:rsidRPr="007A2182">
        <w:rPr>
          <w:szCs w:val="24"/>
        </w:rPr>
        <w:t>;</w:t>
      </w:r>
    </w:p>
    <w:p w:rsidR="00513463" w:rsidP="00513463">
      <w:pPr>
        <w:pStyle w:val="ListParagraph"/>
        <w:numPr>
          <w:ilvl w:val="0"/>
          <w:numId w:val="4"/>
        </w:numPr>
        <w:ind w:left="714" w:hanging="357"/>
        <w:contextualSpacing w:val="0"/>
      </w:pPr>
      <w:r>
        <w:rPr>
          <w:szCs w:val="24"/>
        </w:rPr>
        <w:t>p</w:t>
      </w:r>
      <w:r w:rsidRPr="007A2182">
        <w:rPr>
          <w:szCs w:val="24"/>
        </w:rPr>
        <w:t xml:space="preserve">rojekts </w:t>
      </w:r>
      <w:r w:rsidRPr="00E46344">
        <w:t>“</w:t>
      </w:r>
      <w:r w:rsidRPr="007A2182">
        <w:rPr>
          <w:rFonts w:cs="Times New Roman"/>
          <w:i/>
          <w:szCs w:val="24"/>
        </w:rPr>
        <w:t>Tilta pār Gauju Cēsu ielā, Valmierā rekonstrukcija</w:t>
      </w:r>
      <w:r w:rsidRPr="007A2182">
        <w:rPr>
          <w:rFonts w:eastAsia="Times New Roman" w:cs="Times New Roman"/>
          <w:szCs w:val="24"/>
          <w:lang w:eastAsia="lv-LV"/>
        </w:rPr>
        <w:t xml:space="preserve">” </w:t>
      </w:r>
      <w:r>
        <w:rPr>
          <w:rFonts w:eastAsia="Times New Roman" w:cs="Times New Roman"/>
          <w:szCs w:val="24"/>
          <w:lang w:eastAsia="lv-LV"/>
        </w:rPr>
        <w:t>(</w:t>
      </w:r>
      <w:r w:rsidRPr="007A2182">
        <w:rPr>
          <w:rFonts w:eastAsia="Times New Roman" w:cs="Times New Roman"/>
          <w:szCs w:val="24"/>
          <w:lang w:eastAsia="lv-LV"/>
        </w:rPr>
        <w:t>Nr.3DP/3.6.1.1.0/11/</w:t>
      </w:r>
      <w:r>
        <w:rPr>
          <w:rFonts w:eastAsia="Times New Roman" w:cs="Times New Roman"/>
          <w:szCs w:val="24"/>
          <w:lang w:eastAsia="lv-LV"/>
        </w:rPr>
        <w:t xml:space="preserve"> </w:t>
      </w:r>
      <w:r w:rsidRPr="007A2182">
        <w:rPr>
          <w:rFonts w:eastAsia="Times New Roman" w:cs="Times New Roman"/>
          <w:szCs w:val="24"/>
          <w:lang w:eastAsia="lv-LV"/>
        </w:rPr>
        <w:t>IPIA/VRAA/016/070</w:t>
      </w:r>
      <w:r>
        <w:rPr>
          <w:rFonts w:eastAsia="Times New Roman" w:cs="Times New Roman"/>
          <w:szCs w:val="24"/>
          <w:lang w:eastAsia="lv-LV"/>
        </w:rPr>
        <w:t xml:space="preserve">) </w:t>
      </w:r>
      <w:r w:rsidRPr="007A2182">
        <w:rPr>
          <w:szCs w:val="24"/>
        </w:rPr>
        <w:t>īstenots 2013.gadā, kad tika</w:t>
      </w:r>
      <w:r>
        <w:t xml:space="preserve"> veikta tilta pār Gauju </w:t>
      </w:r>
      <w:r w:rsidRPr="00D7336E">
        <w:rPr>
          <w:rFonts w:cs="Times New Roman"/>
          <w:szCs w:val="24"/>
        </w:rPr>
        <w:t>brauktuves daļas un ietvju seguma būvniecība</w:t>
      </w:r>
      <w:r>
        <w:rPr>
          <w:rFonts w:cs="Times New Roman"/>
          <w:szCs w:val="24"/>
        </w:rPr>
        <w:t xml:space="preserve">, </w:t>
      </w:r>
      <w:r w:rsidRPr="00D7336E">
        <w:rPr>
          <w:rFonts w:cs="Times New Roman"/>
          <w:szCs w:val="24"/>
        </w:rPr>
        <w:t>apkārtējās teritorijas labiekārtošana</w:t>
      </w:r>
      <w:r>
        <w:rPr>
          <w:rFonts w:cs="Times New Roman"/>
          <w:szCs w:val="24"/>
        </w:rPr>
        <w:t xml:space="preserve">, kā arī </w:t>
      </w:r>
      <w:r w:rsidRPr="00D7336E">
        <w:rPr>
          <w:rFonts w:cs="Times New Roman"/>
          <w:szCs w:val="24"/>
        </w:rPr>
        <w:t xml:space="preserve">satiksmes drošības elementu </w:t>
      </w:r>
      <w:r>
        <w:rPr>
          <w:rFonts w:cs="Times New Roman"/>
          <w:szCs w:val="24"/>
        </w:rPr>
        <w:t>–</w:t>
      </w:r>
      <w:r w:rsidRPr="00D7336E">
        <w:rPr>
          <w:rFonts w:cs="Times New Roman"/>
          <w:szCs w:val="24"/>
        </w:rPr>
        <w:t xml:space="preserve"> ielu apgaismojuma un aizsargbarjeru – atjaunošana</w:t>
      </w:r>
      <w:r>
        <w:rPr>
          <w:rFonts w:cs="Times New Roman"/>
          <w:szCs w:val="24"/>
        </w:rPr>
        <w:t>.</w:t>
      </w:r>
    </w:p>
    <w:p w:rsidR="00513463" w:rsidP="00513463">
      <w:pPr>
        <w:spacing w:after="240"/>
        <w:rPr>
          <w:lang w:eastAsia="lv-LV"/>
        </w:rPr>
      </w:pPr>
      <w:r>
        <w:t xml:space="preserve">Abi projekti papildina </w:t>
      </w:r>
      <w:r w:rsidRPr="00D7336E">
        <w:rPr>
          <w:lang w:eastAsia="lv-LV"/>
        </w:rPr>
        <w:t xml:space="preserve">SAM 3.3.1. projektu, jo </w:t>
      </w:r>
      <w:r>
        <w:rPr>
          <w:lang w:eastAsia="lv-LV"/>
        </w:rPr>
        <w:t xml:space="preserve">tilta pār Gauju rekonstrukcija, kā arī </w:t>
      </w:r>
      <w:r w:rsidRPr="00D7336E">
        <w:rPr>
          <w:lang w:eastAsia="lv-LV"/>
        </w:rPr>
        <w:t xml:space="preserve">Stacijas, Cēsu un Mazo Stacijas ielu pārbūves rezultātā Cempu un Paula Valdena industriālajā zonā esošo uzņēmumu darbiniekiem </w:t>
      </w:r>
      <w:r>
        <w:rPr>
          <w:lang w:eastAsia="lv-LV"/>
        </w:rPr>
        <w:t>ir</w:t>
      </w:r>
      <w:r w:rsidRPr="00D7336E">
        <w:rPr>
          <w:lang w:eastAsia="lv-LV"/>
        </w:rPr>
        <w:t xml:space="preserve"> nodrošināti droši</w:t>
      </w:r>
      <w:r>
        <w:rPr>
          <w:lang w:eastAsia="lv-LV"/>
        </w:rPr>
        <w:t xml:space="preserve"> un</w:t>
      </w:r>
      <w:r w:rsidRPr="00D7336E">
        <w:rPr>
          <w:lang w:eastAsia="lv-LV"/>
        </w:rPr>
        <w:t xml:space="preserve"> ērti pārvietošanās apstākļi uz darbu</w:t>
      </w:r>
      <w:r>
        <w:rPr>
          <w:lang w:eastAsia="lv-LV"/>
        </w:rPr>
        <w:t>.</w:t>
      </w:r>
    </w:p>
    <w:p w:rsidR="00513463" w:rsidRPr="00C50BAA" w:rsidP="00513463">
      <w:pPr>
        <w:ind w:firstLine="720"/>
        <w:rPr>
          <w:b/>
          <w:i/>
          <w:sz w:val="26"/>
          <w:szCs w:val="26"/>
        </w:rPr>
      </w:pPr>
      <w:bookmarkStart w:id="1" w:name="_Toc508214110"/>
      <w:r w:rsidRPr="00C50BAA">
        <w:rPr>
          <w:b/>
          <w:i/>
          <w:sz w:val="26"/>
          <w:szCs w:val="26"/>
        </w:rPr>
        <w:t>Valkas novads</w:t>
      </w:r>
      <w:bookmarkEnd w:id="1"/>
    </w:p>
    <w:p w:rsidR="00513463" w:rsidP="00513463">
      <w:r>
        <w:t xml:space="preserve">Projekts: </w:t>
      </w:r>
      <w:r w:rsidRPr="00E46344">
        <w:t>“</w:t>
      </w:r>
      <w:r w:rsidRPr="007E6060">
        <w:rPr>
          <w:i/>
        </w:rPr>
        <w:t>Ielu pārbūve uzņēmējdarbības attīstībai Valkas novadā</w:t>
      </w:r>
      <w:r>
        <w:t>” (SAM 3.3.1.).</w:t>
      </w:r>
    </w:p>
    <w:p w:rsidR="00513463" w:rsidP="00513463">
      <w:r>
        <w:t xml:space="preserve">Analizējot ERAF projekta 2016.gada </w:t>
      </w:r>
      <w:r w:rsidRPr="00594FF2">
        <w:t>5.oktobra</w:t>
      </w:r>
      <w:r>
        <w:t xml:space="preserve"> iesniegumā (N</w:t>
      </w:r>
      <w:r w:rsidRPr="00BD5D8D">
        <w:t>r.</w:t>
      </w:r>
      <w:r>
        <w:rPr>
          <w:color w:val="FF0000"/>
        </w:rPr>
        <w:t xml:space="preserve"> </w:t>
      </w:r>
      <w:r>
        <w:t>3.3.1.0/16/I/002</w:t>
      </w:r>
      <w:r>
        <w:rPr>
          <w:rStyle w:val="FootnoteReference"/>
        </w:rPr>
        <w:footnoteReference w:id="4"/>
      </w:r>
      <w:r>
        <w:t xml:space="preserve">) minēto informāciju par Valkas novada projektu, jāsecina, ka </w:t>
      </w:r>
      <w:r w:rsidRPr="00911C19">
        <w:rPr>
          <w:b/>
        </w:rPr>
        <w:t>projekta mērķis</w:t>
      </w:r>
      <w:r>
        <w:t xml:space="preserve"> ir veicināt uzņēmējdarbības attīstību Valkas novadā, veicot ieguldījumus uzņēmējdarbības attīstībai </w:t>
      </w:r>
      <w:r>
        <w:t>nozīmīgu ielu pārbūvē un atjaunošanā. Projekta ietvaros tika rekonstruētas tieši tās ielas Valkas pilsētā, kuras atrodas pilsētas ražošanas teritorijā. Tās ir ielas, kuras izmanto vairāki uzņēmumi, kuri pēdējos gados attīstās un arī turpmākajos gados plāno ieguldīt produkcijas ražošanas attīstībā un jaunu darba vietu radīšanā, kā arī tās ir nozīmīgas visiem novada iedzīvotājiem, nokļūšanai uz sabiedriskiem objektiem (Lugažu dzelzceļa stacija, Valkas Bērnu un jaunatnes sporta skola, u.c.).</w:t>
      </w:r>
    </w:p>
    <w:p w:rsidR="00513463" w:rsidP="00513463">
      <w:r w:rsidRPr="00BB53C0">
        <w:rPr>
          <w:b/>
        </w:rPr>
        <w:t>Projekta rezultāts:</w:t>
      </w:r>
      <w:r>
        <w:t xml:space="preserve"> veikta Meža (455 m) un Parka ielas (230 m), kā arī nobrauktuves uz Lugažu staciju (108 m) atjaunošana, t.sk. veikta abu ceļu segas nestspējas paaugstināšana.</w:t>
      </w:r>
    </w:p>
    <w:p w:rsidR="00513463" w:rsidP="00513463">
      <w:pPr>
        <w:spacing w:before="120"/>
      </w:pPr>
      <w:r>
        <w:t xml:space="preserve">Projekta ERAF finansējums: </w:t>
      </w:r>
      <w:r w:rsidRPr="007E6060">
        <w:rPr>
          <w:i/>
        </w:rPr>
        <w:t>486 414,78</w:t>
      </w:r>
      <w:r w:rsidRPr="0016210B">
        <w:t xml:space="preserve"> </w:t>
      </w:r>
      <w:r>
        <w:rPr>
          <w:i/>
        </w:rPr>
        <w:t>euro</w:t>
      </w:r>
      <w:r>
        <w:t>.</w:t>
      </w:r>
    </w:p>
    <w:p w:rsidR="00513463" w:rsidRPr="007E6060" w:rsidP="00513463">
      <w:pPr>
        <w:jc w:val="center"/>
      </w:pPr>
      <w:r w:rsidRPr="00E73AC7">
        <w:t>Projekta iznākuma rādītāju izpilde pret plānotajiem rādītājiem</w:t>
      </w:r>
    </w:p>
    <w:tbl>
      <w:tblPr>
        <w:tblW w:w="8291" w:type="dxa"/>
        <w:jc w:val="center"/>
        <w:tblCellMar>
          <w:left w:w="0" w:type="dxa"/>
          <w:right w:w="0" w:type="dxa"/>
        </w:tblCellMar>
        <w:tblLook w:val="04A0"/>
      </w:tblPr>
      <w:tblGrid>
        <w:gridCol w:w="1007"/>
        <w:gridCol w:w="684"/>
        <w:gridCol w:w="1010"/>
        <w:gridCol w:w="1108"/>
        <w:gridCol w:w="695"/>
        <w:gridCol w:w="936"/>
        <w:gridCol w:w="1052"/>
        <w:gridCol w:w="833"/>
        <w:gridCol w:w="966"/>
      </w:tblGrid>
      <w:tr w:rsidTr="00567809">
        <w:tblPrEx>
          <w:tblW w:w="8291" w:type="dxa"/>
          <w:jc w:val="center"/>
          <w:tblCellMar>
            <w:left w:w="0" w:type="dxa"/>
            <w:right w:w="0" w:type="dxa"/>
          </w:tblCellMar>
          <w:tblLook w:val="04A0"/>
        </w:tblPrEx>
        <w:trPr>
          <w:trHeight w:val="278"/>
          <w:jc w:val="center"/>
        </w:trPr>
        <w:tc>
          <w:tcPr>
            <w:tcW w:w="2701" w:type="dxa"/>
            <w:gridSpan w:val="3"/>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Plānotais</w:t>
            </w:r>
          </w:p>
        </w:tc>
        <w:tc>
          <w:tcPr>
            <w:tcW w:w="2739" w:type="dxa"/>
            <w:gridSpan w:val="3"/>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Iznākuma</w:t>
            </w:r>
          </w:p>
        </w:tc>
        <w:tc>
          <w:tcPr>
            <w:tcW w:w="2851" w:type="dxa"/>
            <w:gridSpan w:val="3"/>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Izpilde</w:t>
            </w:r>
          </w:p>
        </w:tc>
      </w:tr>
      <w:tr w:rsidTr="00567809">
        <w:tblPrEx>
          <w:tblW w:w="8291" w:type="dxa"/>
          <w:jc w:val="center"/>
          <w:tblCellMar>
            <w:left w:w="0" w:type="dxa"/>
            <w:right w:w="0" w:type="dxa"/>
          </w:tblCellMar>
          <w:tblLook w:val="04A0"/>
        </w:tblPrEx>
        <w:trPr>
          <w:trHeight w:val="543"/>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r>
      <w:tr w:rsidTr="00567809">
        <w:tblPrEx>
          <w:tblW w:w="8291" w:type="dxa"/>
          <w:jc w:val="center"/>
          <w:tblCellMar>
            <w:left w:w="0" w:type="dxa"/>
            <w:right w:w="0" w:type="dxa"/>
          </w:tblCellMar>
          <w:tblLook w:val="04A0"/>
        </w:tblPrEx>
        <w:trPr>
          <w:trHeight w:val="262"/>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516</w:t>
            </w:r>
            <w:r>
              <w:rPr>
                <w:rFonts w:cs="Times New Roman"/>
                <w:b/>
                <w:bCs/>
                <w:color w:val="000000"/>
                <w:sz w:val="18"/>
                <w:szCs w:val="20"/>
              </w:rPr>
              <w:t xml:space="preserve"> </w:t>
            </w:r>
            <w:r w:rsidRPr="00BD53A0">
              <w:rPr>
                <w:rFonts w:cs="Times New Roman"/>
                <w:b/>
                <w:bCs/>
                <w:color w:val="000000"/>
                <w:sz w:val="18"/>
                <w:szCs w:val="20"/>
              </w:rPr>
              <w:t>934</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9</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6</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516</w:t>
            </w:r>
            <w:r>
              <w:rPr>
                <w:rFonts w:cs="Times New Roman"/>
                <w:b/>
                <w:bCs/>
                <w:color w:val="000000"/>
                <w:sz w:val="18"/>
                <w:szCs w:val="20"/>
              </w:rPr>
              <w:t xml:space="preserve"> </w:t>
            </w:r>
            <w:r w:rsidRPr="00BD53A0">
              <w:rPr>
                <w:rFonts w:cs="Times New Roman"/>
                <w:b/>
                <w:bCs/>
                <w:color w:val="000000"/>
                <w:sz w:val="18"/>
                <w:szCs w:val="20"/>
              </w:rPr>
              <w:t>934</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6</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111%</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r>
    </w:tbl>
    <w:p w:rsidR="00513463" w:rsidRPr="00A77ED8" w:rsidP="00513463">
      <w:pPr>
        <w:spacing w:before="120" w:after="240"/>
        <w:rPr>
          <w:i/>
          <w:sz w:val="20"/>
        </w:rPr>
      </w:pPr>
      <w:r w:rsidRPr="00A77ED8">
        <w:rPr>
          <w:i/>
          <w:sz w:val="20"/>
        </w:rPr>
        <w:t>Avots: dati no KP VIS</w:t>
      </w:r>
      <w:r>
        <w:rPr>
          <w:i/>
          <w:sz w:val="20"/>
        </w:rPr>
        <w:t xml:space="preserve"> uz 12.03.2018</w:t>
      </w:r>
      <w:r w:rsidRPr="00C50BAA">
        <w:rPr>
          <w:i/>
          <w:sz w:val="20"/>
        </w:rPr>
        <w:t>.</w:t>
      </w:r>
    </w:p>
    <w:p w:rsidR="00513463" w:rsidP="00513463">
      <w:r>
        <w:rPr>
          <w:rFonts w:cs="Times New Roman"/>
        </w:rPr>
        <w:t>M</w:t>
      </w:r>
      <w:r>
        <w:rPr>
          <w:rFonts w:cs="Times New Roman"/>
          <w:szCs w:val="24"/>
        </w:rPr>
        <w:t>inimālais darba vietu skaits Valkas novada projekta gadījumā būtu 8 darba vietas</w:t>
      </w:r>
      <w:r>
        <w:rPr>
          <w:rStyle w:val="FootnoteReference"/>
          <w:rFonts w:cs="Times New Roman"/>
          <w:szCs w:val="24"/>
        </w:rPr>
        <w:footnoteReference w:id="5"/>
      </w:r>
      <w:r>
        <w:rPr>
          <w:rFonts w:cs="Times New Roman"/>
          <w:szCs w:val="24"/>
        </w:rPr>
        <w:t xml:space="preserve">, taču projekta ietvaros tika radītas 10 jauna darba vieta, tātad </w:t>
      </w:r>
      <w:r w:rsidRPr="00BC1E01">
        <w:rPr>
          <w:rFonts w:cs="Times New Roman"/>
          <w:szCs w:val="24"/>
        </w:rPr>
        <w:t>izpilde pret bāzes līmeni ir 125%</w:t>
      </w:r>
      <w:r>
        <w:rPr>
          <w:rFonts w:cs="Times New Roman"/>
          <w:szCs w:val="24"/>
        </w:rPr>
        <w:t xml:space="preserve"> </w:t>
      </w:r>
      <w:r w:rsidRPr="004A4C81">
        <w:rPr>
          <w:rFonts w:cs="Times New Roman"/>
          <w:b/>
          <w:szCs w:val="24"/>
        </w:rPr>
        <w:t xml:space="preserve">(pārsniegums par </w:t>
      </w:r>
      <w:r>
        <w:rPr>
          <w:rFonts w:cs="Times New Roman"/>
          <w:b/>
          <w:szCs w:val="24"/>
        </w:rPr>
        <w:t>25</w:t>
      </w:r>
      <w:r w:rsidRPr="004A4C81">
        <w:rPr>
          <w:rFonts w:cs="Times New Roman"/>
          <w:b/>
          <w:szCs w:val="24"/>
        </w:rPr>
        <w:t>%)</w:t>
      </w:r>
      <w:r>
        <w:rPr>
          <w:rFonts w:cs="Times New Roman"/>
          <w:szCs w:val="24"/>
        </w:rPr>
        <w:t>.</w:t>
      </w:r>
      <w:r>
        <w:t xml:space="preserve"> </w:t>
      </w:r>
      <w:r>
        <w:rPr>
          <w:rFonts w:cs="Times New Roman"/>
          <w:szCs w:val="24"/>
        </w:rPr>
        <w:t xml:space="preserve">Savukārt projekta </w:t>
      </w:r>
      <w:r>
        <w:t xml:space="preserve">piesaistīto nefinanšu investīciju </w:t>
      </w:r>
      <w:r w:rsidRPr="00BC1E01">
        <w:t xml:space="preserve">rezultāts pret noteikto SAM rezultātu bāzes līmeni ir 106% </w:t>
      </w:r>
      <w:r w:rsidRPr="004A4C81">
        <w:rPr>
          <w:rFonts w:cs="Times New Roman"/>
          <w:b/>
          <w:szCs w:val="24"/>
        </w:rPr>
        <w:t>(pārsniegums par</w:t>
      </w:r>
      <w:r w:rsidRPr="00F3714C">
        <w:rPr>
          <w:b/>
        </w:rPr>
        <w:t xml:space="preserve"> </w:t>
      </w:r>
      <w:r>
        <w:rPr>
          <w:b/>
        </w:rPr>
        <w:t>6</w:t>
      </w:r>
      <w:r w:rsidRPr="00F3714C">
        <w:rPr>
          <w:b/>
        </w:rPr>
        <w:t>%</w:t>
      </w:r>
      <w:r>
        <w:rPr>
          <w:b/>
        </w:rPr>
        <w:t>)</w:t>
      </w:r>
      <w:r>
        <w:t>.</w:t>
      </w:r>
    </w:p>
    <w:p w:rsidR="00513463" w:rsidP="00513463">
      <w:pPr>
        <w:spacing w:before="240"/>
      </w:pPr>
      <w:r>
        <w:t xml:space="preserve">Projekta rezultātā identificējami gan tiešie, gan netiešie ieguvēji. </w:t>
      </w:r>
    </w:p>
    <w:p w:rsidR="00513463" w:rsidP="00513463">
      <w:r>
        <w:rPr>
          <w:b/>
        </w:rPr>
        <w:t>T</w:t>
      </w:r>
      <w:r w:rsidRPr="00F40AFC">
        <w:rPr>
          <w:b/>
        </w:rPr>
        <w:t>iešie ieguvēji</w:t>
      </w:r>
      <w:r>
        <w:t xml:space="preserve"> ir 6 k</w:t>
      </w:r>
      <w:r w:rsidRPr="00C6091C">
        <w:t>omersant</w:t>
      </w:r>
      <w:r>
        <w:t>i</w:t>
      </w:r>
      <w:r w:rsidRPr="00C6091C">
        <w:t>, kuri guvuši labumu no projekta ietvaros veiktajām investīcijām infrastruktūrā</w:t>
      </w:r>
      <w:r>
        <w:t>.</w:t>
      </w:r>
    </w:p>
    <w:p w:rsidR="00513463" w:rsidP="00513463">
      <w:r>
        <w:rPr>
          <w:b/>
        </w:rPr>
        <w:t>T</w:t>
      </w:r>
      <w:r w:rsidRPr="004D6E40">
        <w:rPr>
          <w:b/>
        </w:rPr>
        <w:t>iešie ieguvumi</w:t>
      </w:r>
      <w:r>
        <w:t xml:space="preserve"> no projekta:</w:t>
      </w:r>
    </w:p>
    <w:p w:rsidR="00513463" w:rsidRPr="004C1975" w:rsidP="00513463">
      <w:pPr>
        <w:pStyle w:val="ListParagraph"/>
        <w:numPr>
          <w:ilvl w:val="0"/>
          <w:numId w:val="3"/>
        </w:numPr>
      </w:pPr>
      <w:r>
        <w:t>jaunizveidoto darba vietu skaits komersantos, kuri gūs labumu no konkrētajām investīcijām infrastruktūrā – 10 jaunas darba vietas;</w:t>
      </w:r>
    </w:p>
    <w:p w:rsidR="00513463" w:rsidRPr="004C1975" w:rsidP="00513463">
      <w:pPr>
        <w:pStyle w:val="ListParagraph"/>
        <w:numPr>
          <w:ilvl w:val="0"/>
          <w:numId w:val="3"/>
        </w:numPr>
        <w:spacing w:before="120"/>
        <w:ind w:left="714" w:hanging="357"/>
        <w:rPr>
          <w:i/>
        </w:rPr>
      </w:pPr>
      <w:r>
        <w:t>n</w:t>
      </w:r>
      <w:r w:rsidRPr="00BF5383">
        <w:t>o projekta ietvaros veiktajām investīcijām infrastruktūrā labumu guvušo komersantu nefinanšu investīcijas pašu nemateriālajos ieguldījumos un pamatlīdzekļos</w:t>
      </w:r>
      <w:r>
        <w:t xml:space="preserve"> – </w:t>
      </w:r>
      <w:r w:rsidRPr="008606E4">
        <w:rPr>
          <w:rFonts w:eastAsia="Times New Roman" w:cs="Times New Roman"/>
          <w:color w:val="000000"/>
          <w:szCs w:val="24"/>
          <w:lang w:eastAsia="lv-LV"/>
        </w:rPr>
        <w:t xml:space="preserve">516 934 </w:t>
      </w:r>
      <w:r w:rsidRPr="008606E4">
        <w:rPr>
          <w:rFonts w:eastAsia="Times New Roman" w:cs="Times New Roman"/>
          <w:i/>
          <w:color w:val="000000"/>
          <w:szCs w:val="24"/>
          <w:lang w:eastAsia="lv-LV"/>
        </w:rPr>
        <w:t>euro</w:t>
      </w:r>
      <w:r w:rsidRPr="008606E4">
        <w:rPr>
          <w:rFonts w:eastAsia="Times New Roman" w:cs="Times New Roman"/>
          <w:color w:val="000000"/>
          <w:szCs w:val="24"/>
          <w:lang w:eastAsia="lv-LV"/>
        </w:rPr>
        <w:t>;</w:t>
      </w:r>
    </w:p>
    <w:p w:rsidR="00513463" w:rsidP="00513463">
      <w:pPr>
        <w:pStyle w:val="ListParagraph"/>
        <w:numPr>
          <w:ilvl w:val="0"/>
          <w:numId w:val="3"/>
        </w:numPr>
        <w:spacing w:before="120"/>
        <w:ind w:left="714" w:hanging="357"/>
      </w:pPr>
      <w:r w:rsidRPr="009F3912">
        <w:t xml:space="preserve">jaunizveidotās darba vietas </w:t>
      </w:r>
      <w:r w:rsidRPr="009F3912">
        <w:rPr>
          <w:u w:val="single"/>
        </w:rPr>
        <w:t>radīs papildu iedzīvotāju ienākuma nodokļa ieņēmumus pašvaldības budžetā</w:t>
      </w:r>
      <w:r w:rsidRPr="009F3912">
        <w:t xml:space="preserve"> (</w:t>
      </w:r>
      <w:r>
        <w:t>aptuveni</w:t>
      </w:r>
      <w:r w:rsidRPr="009F3912">
        <w:t xml:space="preserve"> </w:t>
      </w:r>
      <w:r>
        <w:t>15</w:t>
      </w:r>
      <w:r w:rsidRPr="009F3912">
        <w:t xml:space="preserve"> </w:t>
      </w:r>
      <w:r>
        <w:t>tūkst</w:t>
      </w:r>
      <w:r w:rsidRPr="009F3912">
        <w:t xml:space="preserve">. </w:t>
      </w:r>
      <w:r w:rsidRPr="009F3912">
        <w:rPr>
          <w:i/>
        </w:rPr>
        <w:t>euro</w:t>
      </w:r>
      <w:r>
        <w:t xml:space="preserve"> gadā);</w:t>
      </w:r>
    </w:p>
    <w:p w:rsidR="00513463" w:rsidP="00513463">
      <w:pPr>
        <w:pStyle w:val="ListParagraph"/>
        <w:numPr>
          <w:ilvl w:val="0"/>
          <w:numId w:val="3"/>
        </w:numPr>
        <w:spacing w:before="120"/>
        <w:ind w:left="714" w:hanging="357"/>
      </w:pPr>
      <w:r>
        <w:t xml:space="preserve">teritorijā, kurā veikta ielu rekonstrukcija uzņēmējdarbības attīstībai, ir izveidoti jauni uzņēmumi, kuri </w:t>
      </w:r>
      <w:r w:rsidRPr="00835539">
        <w:rPr>
          <w:u w:val="single"/>
        </w:rPr>
        <w:t>radīs papildu uzņēmuma</w:t>
      </w:r>
      <w:r w:rsidRPr="009F3912">
        <w:rPr>
          <w:u w:val="single"/>
        </w:rPr>
        <w:t xml:space="preserve"> ienākuma nodokļa ieņēmumus pašvaldības budžetā</w:t>
      </w:r>
      <w:r>
        <w:t xml:space="preserve"> </w:t>
      </w:r>
      <w:r w:rsidRPr="009F3912">
        <w:t>(</w:t>
      </w:r>
      <w:r>
        <w:t>aptuveni</w:t>
      </w:r>
      <w:r w:rsidRPr="009F3912">
        <w:t xml:space="preserve"> </w:t>
      </w:r>
      <w:r>
        <w:t>16</w:t>
      </w:r>
      <w:r w:rsidRPr="009F3912">
        <w:t xml:space="preserve"> </w:t>
      </w:r>
      <w:r>
        <w:t>tūkst</w:t>
      </w:r>
      <w:r w:rsidRPr="009F3912">
        <w:t xml:space="preserve">. </w:t>
      </w:r>
      <w:r w:rsidRPr="009F3912">
        <w:rPr>
          <w:i/>
        </w:rPr>
        <w:t>euro</w:t>
      </w:r>
      <w:r>
        <w:t xml:space="preserve"> gadā).</w:t>
      </w:r>
    </w:p>
    <w:p w:rsidR="00513463" w:rsidP="00513463">
      <w:pPr>
        <w:spacing w:before="120"/>
      </w:pPr>
      <w:r w:rsidRPr="00F40AFC">
        <w:rPr>
          <w:b/>
        </w:rPr>
        <w:t>Netiešie ieguvēji</w:t>
      </w:r>
      <w:r>
        <w:t xml:space="preserve"> ir:</w:t>
      </w:r>
    </w:p>
    <w:p w:rsidR="00513463" w:rsidRPr="001936AF" w:rsidP="00513463">
      <w:pPr>
        <w:pStyle w:val="ListParagraph"/>
        <w:numPr>
          <w:ilvl w:val="0"/>
          <w:numId w:val="2"/>
        </w:numPr>
        <w:ind w:left="714" w:hanging="357"/>
      </w:pPr>
      <w:r w:rsidRPr="001936AF">
        <w:t>personas, kuras izmanto rekonstruētās ielas un nobrauktuvi uz Lugažu dzelzceļa staciju (</w:t>
      </w:r>
      <w:r>
        <w:t>iedzīvotāji, darbinieki no Meža ielas un Parka ielas esošajiem uzņēmumiem);</w:t>
      </w:r>
    </w:p>
    <w:p w:rsidR="00513463" w:rsidRPr="008606E4" w:rsidP="00513463">
      <w:pPr>
        <w:pStyle w:val="ListParagraph"/>
        <w:numPr>
          <w:ilvl w:val="0"/>
          <w:numId w:val="2"/>
        </w:numPr>
      </w:pPr>
      <w:r>
        <w:t>autobraucēji (samazināts brauktuves nelīdzenums, uzlabota drošība).</w:t>
      </w:r>
    </w:p>
    <w:p w:rsidR="00513463" w:rsidP="00513463">
      <w:r w:rsidRPr="004D6E40">
        <w:rPr>
          <w:b/>
        </w:rPr>
        <w:t>Netiešie ieguvumi</w:t>
      </w:r>
      <w:r>
        <w:t xml:space="preserve"> no projekta:</w:t>
      </w:r>
    </w:p>
    <w:p w:rsidR="00513463" w:rsidP="00513463">
      <w:pPr>
        <w:pStyle w:val="ListParagraph"/>
        <w:numPr>
          <w:ilvl w:val="0"/>
          <w:numId w:val="2"/>
        </w:numPr>
        <w:spacing w:after="0"/>
        <w:ind w:left="714" w:hanging="357"/>
        <w:contextualSpacing w:val="0"/>
      </w:pPr>
      <w:r w:rsidRPr="009F3912">
        <w:t xml:space="preserve">ielu rekonstrukcijas rezultātā, likvidējot bedres, izbūvējot lietusūdeņu novadīšanas sistēmas u.c. darbības, </w:t>
      </w:r>
      <w:r w:rsidRPr="0015368D">
        <w:rPr>
          <w:u w:val="single"/>
        </w:rPr>
        <w:t>būtiski uzlabota ceļa pārskatāmība un drošība</w:t>
      </w:r>
      <w:r>
        <w:t xml:space="preserve"> (radot 298 tūkst. </w:t>
      </w:r>
      <w:r w:rsidRPr="004D6E40">
        <w:rPr>
          <w:i/>
        </w:rPr>
        <w:t>euro</w:t>
      </w:r>
      <w:r>
        <w:rPr>
          <w:i/>
        </w:rPr>
        <w:t xml:space="preserve"> </w:t>
      </w:r>
      <w:r w:rsidRPr="004D6E40">
        <w:t xml:space="preserve">ieguvumus </w:t>
      </w:r>
      <w:r>
        <w:t>visā projekta dzīves cikla laikā).</w:t>
      </w:r>
    </w:p>
    <w:p w:rsidR="00513463" w:rsidP="00513463">
      <w:r>
        <w:t>Līdzīgi kā Valmieras pilsētā, arī Valkas novada uzņēmēji savu attīstību plāno ilgtermiņā, tādēļ, uzzinot par plānotajām projekta darbībām Meža ielā un Parka ielā, laika posmā no 2014.gada līdz 2016.gadam komersanti ieguldīja ievērojamas investīcijas attīstībā, piemēram, uzbūvējot jaunu autoservisu, uzceļot jaunu metālapstrādes ražotnes korpusu u.c.</w:t>
      </w:r>
    </w:p>
    <w:p w:rsidR="00513463" w:rsidRPr="00A77ED8" w:rsidP="00513463">
      <w:pPr>
        <w:spacing w:after="240"/>
      </w:pPr>
      <w:r>
        <w:t xml:space="preserve">Papildus Valkas novada pašvaldības SAM 3.3.1. projekts tiks papildināts ar </w:t>
      </w:r>
      <w:r w:rsidRPr="00D11E62">
        <w:t>SAM 5.6.2. projekt</w:t>
      </w:r>
      <w:r>
        <w:t>u</w:t>
      </w:r>
      <w:r w:rsidRPr="00D11E62">
        <w:t xml:space="preserve"> </w:t>
      </w:r>
      <w:r w:rsidRPr="00E46344">
        <w:t>“</w:t>
      </w:r>
      <w:r w:rsidRPr="00B239AF">
        <w:rPr>
          <w:i/>
        </w:rPr>
        <w:t>Ražošanas teritorijas izveidošana atjaunojot degradēto teritoriju Valkā</w:t>
      </w:r>
      <w:r w:rsidRPr="00D11E62">
        <w:t>”</w:t>
      </w:r>
      <w:r>
        <w:t>, kura ietvaros tiks turpinātā Parka ielas pārbūve 330 m garumā (Rūpnieciskās apbūves teritorijas zona, kura ir degradēta), kā arī izveidota ražošanas teritorija.</w:t>
      </w:r>
    </w:p>
    <w:p w:rsidR="00513463" w:rsidRPr="00C50BAA" w:rsidP="00513463">
      <w:pPr>
        <w:ind w:firstLine="720"/>
        <w:rPr>
          <w:b/>
          <w:i/>
          <w:sz w:val="26"/>
          <w:szCs w:val="26"/>
        </w:rPr>
      </w:pPr>
      <w:bookmarkStart w:id="2" w:name="_Toc508214111"/>
      <w:r w:rsidRPr="00C50BAA">
        <w:rPr>
          <w:b/>
          <w:i/>
          <w:sz w:val="26"/>
          <w:szCs w:val="26"/>
        </w:rPr>
        <w:t>Krāslavas novads</w:t>
      </w:r>
      <w:bookmarkEnd w:id="2"/>
    </w:p>
    <w:p w:rsidR="00513463" w:rsidP="00513463">
      <w:r>
        <w:t xml:space="preserve">Projekts: </w:t>
      </w:r>
      <w:r w:rsidRPr="00E46344">
        <w:t>“</w:t>
      </w:r>
      <w:r w:rsidRPr="007E6060">
        <w:rPr>
          <w:i/>
        </w:rPr>
        <w:t>Ceļu un citas nepieciešamās infrastruktūras nodrošināšana darbavietu radīšanai un privāto investīciju piesaistei Krāslavas novadā</w:t>
      </w:r>
      <w:r>
        <w:t>” (SAM 3.3.1.).</w:t>
      </w:r>
    </w:p>
    <w:p w:rsidR="00513463" w:rsidP="00513463">
      <w:r>
        <w:t xml:space="preserve">Analizējot ERAF projekta 2017.gada </w:t>
      </w:r>
      <w:r w:rsidRPr="00594FF2">
        <w:t>21.februāra</w:t>
      </w:r>
      <w:r>
        <w:t xml:space="preserve"> iesniegumā (N</w:t>
      </w:r>
      <w:r w:rsidRPr="00BD5D8D">
        <w:t>r.</w:t>
      </w:r>
      <w:r>
        <w:rPr>
          <w:color w:val="FF0000"/>
        </w:rPr>
        <w:t xml:space="preserve"> </w:t>
      </w:r>
      <w:r>
        <w:t>3.3.1.0/16/I/008</w:t>
      </w:r>
      <w:r>
        <w:rPr>
          <w:rStyle w:val="FootnoteReference"/>
        </w:rPr>
        <w:footnoteReference w:id="6"/>
      </w:r>
      <w:r>
        <w:t xml:space="preserve">) minēto informāciju par Krāslavas novada projektu, jāsecina, ka </w:t>
      </w:r>
      <w:r w:rsidRPr="00911C19">
        <w:rPr>
          <w:b/>
        </w:rPr>
        <w:t>projekta mērķis</w:t>
      </w:r>
      <w:r>
        <w:t xml:space="preserve"> ir komercdarbībai nepieciešamās publiskās infrastruktūras sakārtošana privāto investīciju apjoma pieaugumam un uzņēmējdarbības attīstībai, balstoties uz komersantu vajadzībām. Projekta ietvaros tika veikta Raiņa ielas posma, Lielā ielas divu posmu, Vasarnīcu ielas un pašvaldības ceļa “Kalnieši – Stalti” posma pārbūve. Projektā iekļautie ielu posmi ir pilsētas nozīmes publiskās ielas, kas nodrošina pilsētas vietējo satiksmi, piekļūšanu īpašumiem, uzņēmumiem un ražošanas zonām. Projektā iekļautais lauku ceļa posms nodrošina piekļūšanu pie daudzu fizisko personu un zemnieku saimniecību īpašumiem Kalniešu pagastā.</w:t>
      </w:r>
    </w:p>
    <w:p w:rsidR="00513463" w:rsidP="00513463">
      <w:r w:rsidRPr="00BB53C0">
        <w:rPr>
          <w:b/>
        </w:rPr>
        <w:t>Projekta rezultāts:</w:t>
      </w:r>
      <w:r>
        <w:t xml:space="preserve"> veikta Raiņa (333 m), Vasarnīcu (325 m) un Lielās ielas (391 m), kā arī ceļa “Kalnieši – Stalti” posma (541 m) atjaunošana un pārbūve (</w:t>
      </w:r>
      <w:r w:rsidRPr="005375BF">
        <w:rPr>
          <w:i/>
        </w:rPr>
        <w:t>kopumā vairāk nekā 1,5 km</w:t>
      </w:r>
      <w:r>
        <w:t>).</w:t>
      </w:r>
    </w:p>
    <w:p w:rsidR="00513463" w:rsidP="00513463">
      <w:pPr>
        <w:spacing w:before="240"/>
      </w:pPr>
      <w:r>
        <w:t xml:space="preserve">Projekta ERAF finansējums: </w:t>
      </w:r>
      <w:r w:rsidRPr="007E6060">
        <w:rPr>
          <w:i/>
        </w:rPr>
        <w:t>517 544,23</w:t>
      </w:r>
      <w:r w:rsidRPr="0016210B">
        <w:t xml:space="preserve"> </w:t>
      </w:r>
      <w:r>
        <w:rPr>
          <w:i/>
        </w:rPr>
        <w:t>euro</w:t>
      </w:r>
      <w:r>
        <w:t>.</w:t>
      </w:r>
    </w:p>
    <w:p w:rsidR="00513463" w:rsidRPr="007E6060" w:rsidP="00513463">
      <w:pPr>
        <w:jc w:val="center"/>
      </w:pPr>
      <w:r w:rsidRPr="00E73AC7">
        <w:t>Projekta iznākuma rādītāju izpilde pret plānotajiem rādītājiem</w:t>
      </w:r>
    </w:p>
    <w:tbl>
      <w:tblPr>
        <w:tblW w:w="8291" w:type="dxa"/>
        <w:jc w:val="center"/>
        <w:tblCellMar>
          <w:left w:w="0" w:type="dxa"/>
          <w:right w:w="0" w:type="dxa"/>
        </w:tblCellMar>
        <w:tblLook w:val="04A0"/>
      </w:tblPr>
      <w:tblGrid>
        <w:gridCol w:w="1007"/>
        <w:gridCol w:w="684"/>
        <w:gridCol w:w="1010"/>
        <w:gridCol w:w="1108"/>
        <w:gridCol w:w="695"/>
        <w:gridCol w:w="936"/>
        <w:gridCol w:w="1052"/>
        <w:gridCol w:w="833"/>
        <w:gridCol w:w="966"/>
      </w:tblGrid>
      <w:tr w:rsidTr="00567809">
        <w:tblPrEx>
          <w:tblW w:w="8291" w:type="dxa"/>
          <w:jc w:val="center"/>
          <w:tblCellMar>
            <w:left w:w="0" w:type="dxa"/>
            <w:right w:w="0" w:type="dxa"/>
          </w:tblCellMar>
          <w:tblLook w:val="04A0"/>
        </w:tblPrEx>
        <w:trPr>
          <w:trHeight w:val="386"/>
          <w:jc w:val="center"/>
        </w:trPr>
        <w:tc>
          <w:tcPr>
            <w:tcW w:w="2701" w:type="dxa"/>
            <w:gridSpan w:val="3"/>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Plānotais</w:t>
            </w:r>
          </w:p>
        </w:tc>
        <w:tc>
          <w:tcPr>
            <w:tcW w:w="2739" w:type="dxa"/>
            <w:gridSpan w:val="3"/>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Iznākuma</w:t>
            </w:r>
          </w:p>
        </w:tc>
        <w:tc>
          <w:tcPr>
            <w:tcW w:w="2851" w:type="dxa"/>
            <w:gridSpan w:val="3"/>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Izpilde</w:t>
            </w:r>
          </w:p>
        </w:tc>
      </w:tr>
      <w:tr w:rsidTr="00567809">
        <w:tblPrEx>
          <w:tblW w:w="8291" w:type="dxa"/>
          <w:jc w:val="center"/>
          <w:tblCellMar>
            <w:left w:w="0" w:type="dxa"/>
            <w:right w:w="0" w:type="dxa"/>
          </w:tblCellMar>
          <w:tblLook w:val="04A0"/>
        </w:tblPrEx>
        <w:trPr>
          <w:trHeight w:val="543"/>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Nefinanšu investīcijas</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Darba vietas</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16210B" w:rsidP="00567809">
            <w:pPr>
              <w:spacing w:after="0"/>
              <w:jc w:val="center"/>
              <w:rPr>
                <w:rFonts w:cs="Times New Roman"/>
                <w:b/>
                <w:bCs/>
                <w:color w:val="000000"/>
                <w:sz w:val="18"/>
                <w:szCs w:val="18"/>
              </w:rPr>
            </w:pPr>
            <w:r w:rsidRPr="0016210B">
              <w:rPr>
                <w:rFonts w:cs="Times New Roman"/>
                <w:b/>
                <w:bCs/>
                <w:color w:val="000000"/>
                <w:sz w:val="18"/>
                <w:szCs w:val="18"/>
              </w:rPr>
              <w:t>Komersanti</w:t>
            </w:r>
          </w:p>
        </w:tc>
      </w:tr>
      <w:tr w:rsidTr="00567809">
        <w:tblPrEx>
          <w:tblW w:w="8291" w:type="dxa"/>
          <w:jc w:val="center"/>
          <w:tblCellMar>
            <w:left w:w="0" w:type="dxa"/>
            <w:right w:w="0" w:type="dxa"/>
          </w:tblCellMar>
          <w:tblLook w:val="04A0"/>
        </w:tblPrEx>
        <w:trPr>
          <w:trHeight w:val="400"/>
          <w:jc w:val="center"/>
        </w:trPr>
        <w:tc>
          <w:tcPr>
            <w:tcW w:w="1007" w:type="dxa"/>
            <w:tcBorders>
              <w:top w:val="single" w:sz="4" w:space="0" w:color="auto"/>
              <w:left w:val="single" w:sz="4" w:space="0" w:color="auto"/>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400</w:t>
            </w:r>
            <w:r>
              <w:rPr>
                <w:rFonts w:cs="Times New Roman"/>
                <w:b/>
                <w:bCs/>
                <w:color w:val="000000"/>
                <w:sz w:val="18"/>
                <w:szCs w:val="20"/>
              </w:rPr>
              <w:t xml:space="preserve"> </w:t>
            </w:r>
            <w:r w:rsidRPr="00BD53A0">
              <w:rPr>
                <w:rFonts w:cs="Times New Roman"/>
                <w:b/>
                <w:bCs/>
                <w:color w:val="000000"/>
                <w:sz w:val="18"/>
                <w:szCs w:val="20"/>
              </w:rPr>
              <w:t>000</w:t>
            </w:r>
          </w:p>
        </w:tc>
        <w:tc>
          <w:tcPr>
            <w:tcW w:w="684"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13</w:t>
            </w:r>
          </w:p>
        </w:tc>
        <w:tc>
          <w:tcPr>
            <w:tcW w:w="1010" w:type="dxa"/>
            <w:tcBorders>
              <w:top w:val="single" w:sz="4" w:space="0" w:color="auto"/>
              <w:left w:val="nil"/>
              <w:bottom w:val="single" w:sz="4" w:space="0" w:color="auto"/>
              <w:right w:val="single" w:sz="4" w:space="0" w:color="auto"/>
            </w:tcBorders>
            <w:shd w:val="clear" w:color="000000" w:fill="00B0F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5</w:t>
            </w:r>
          </w:p>
        </w:tc>
        <w:tc>
          <w:tcPr>
            <w:tcW w:w="1108"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0</w:t>
            </w:r>
            <w:r>
              <w:rPr>
                <w:rFonts w:cs="Times New Roman"/>
                <w:b/>
                <w:bCs/>
                <w:color w:val="000000"/>
                <w:sz w:val="18"/>
                <w:szCs w:val="20"/>
              </w:rPr>
              <w:t>*</w:t>
            </w:r>
          </w:p>
        </w:tc>
        <w:tc>
          <w:tcPr>
            <w:tcW w:w="695"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0</w:t>
            </w:r>
            <w:r>
              <w:rPr>
                <w:rFonts w:cs="Times New Roman"/>
                <w:b/>
                <w:bCs/>
                <w:color w:val="000000"/>
                <w:sz w:val="18"/>
                <w:szCs w:val="20"/>
              </w:rPr>
              <w:t>*</w:t>
            </w:r>
          </w:p>
        </w:tc>
        <w:tc>
          <w:tcPr>
            <w:tcW w:w="936" w:type="dxa"/>
            <w:tcBorders>
              <w:top w:val="single" w:sz="4" w:space="0" w:color="auto"/>
              <w:left w:val="nil"/>
              <w:bottom w:val="single" w:sz="4" w:space="0" w:color="auto"/>
              <w:right w:val="single" w:sz="4" w:space="0" w:color="auto"/>
            </w:tcBorders>
            <w:shd w:val="clear" w:color="000000" w:fill="92D05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5</w:t>
            </w:r>
          </w:p>
        </w:tc>
        <w:tc>
          <w:tcPr>
            <w:tcW w:w="1052"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0%</w:t>
            </w:r>
          </w:p>
        </w:tc>
        <w:tc>
          <w:tcPr>
            <w:tcW w:w="833"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0%</w:t>
            </w:r>
          </w:p>
        </w:tc>
        <w:tc>
          <w:tcPr>
            <w:tcW w:w="966" w:type="dxa"/>
            <w:tcBorders>
              <w:top w:val="single" w:sz="4" w:space="0" w:color="auto"/>
              <w:left w:val="nil"/>
              <w:bottom w:val="single" w:sz="4" w:space="0" w:color="auto"/>
              <w:right w:val="single" w:sz="4" w:space="0" w:color="auto"/>
            </w:tcBorders>
            <w:shd w:val="clear" w:color="000000" w:fill="FFFF00"/>
            <w:tcMar>
              <w:top w:w="13" w:type="dxa"/>
              <w:left w:w="13" w:type="dxa"/>
              <w:bottom w:w="0" w:type="dxa"/>
              <w:right w:w="13" w:type="dxa"/>
            </w:tcMar>
            <w:vAlign w:val="center"/>
            <w:hideMark/>
          </w:tcPr>
          <w:p w:rsidR="00513463" w:rsidRPr="00BD53A0" w:rsidP="00567809">
            <w:pPr>
              <w:spacing w:after="0"/>
              <w:jc w:val="center"/>
              <w:rPr>
                <w:rFonts w:cs="Times New Roman"/>
                <w:b/>
                <w:bCs/>
                <w:color w:val="000000"/>
                <w:sz w:val="18"/>
                <w:szCs w:val="20"/>
              </w:rPr>
            </w:pPr>
            <w:r w:rsidRPr="00BD53A0">
              <w:rPr>
                <w:rFonts w:cs="Times New Roman"/>
                <w:b/>
                <w:bCs/>
                <w:color w:val="000000"/>
                <w:sz w:val="18"/>
                <w:szCs w:val="20"/>
              </w:rPr>
              <w:t>100%</w:t>
            </w:r>
          </w:p>
        </w:tc>
      </w:tr>
    </w:tbl>
    <w:p w:rsidR="00513463" w:rsidRPr="00DB528F" w:rsidP="00513463">
      <w:pPr>
        <w:spacing w:before="120" w:after="240"/>
        <w:rPr>
          <w:i/>
          <w:sz w:val="20"/>
        </w:rPr>
      </w:pPr>
      <w:r w:rsidRPr="00A77ED8">
        <w:rPr>
          <w:i/>
          <w:sz w:val="20"/>
        </w:rPr>
        <w:t>Avots: dati no KP VIS</w:t>
      </w:r>
      <w:r>
        <w:rPr>
          <w:i/>
          <w:sz w:val="20"/>
        </w:rPr>
        <w:t xml:space="preserve"> uz 12.03.2018. (* - </w:t>
      </w:r>
      <w:r w:rsidRPr="00BC1E01">
        <w:rPr>
          <w:b/>
          <w:i/>
          <w:sz w:val="20"/>
        </w:rPr>
        <w:t xml:space="preserve">projektu rezultātus jeb iznākuma rādītājus drīkst deklarēt arī </w:t>
      </w:r>
      <w:r>
        <w:rPr>
          <w:b/>
          <w:i/>
          <w:sz w:val="20"/>
        </w:rPr>
        <w:t>trīs</w:t>
      </w:r>
      <w:r w:rsidRPr="00BC1E01">
        <w:rPr>
          <w:b/>
          <w:i/>
          <w:sz w:val="20"/>
        </w:rPr>
        <w:t xml:space="preserve"> gadu laikā pēc projekta pabeigšanas</w:t>
      </w:r>
      <w:r>
        <w:rPr>
          <w:i/>
          <w:sz w:val="20"/>
        </w:rPr>
        <w:t>).</w:t>
      </w:r>
    </w:p>
    <w:p w:rsidR="00513463" w:rsidRPr="00E07DEA" w:rsidP="00513463">
      <w:pPr>
        <w:spacing w:before="240"/>
      </w:pPr>
      <w:r>
        <w:t xml:space="preserve">Projekta rezultātā identificējami gan tiešie, gan netiešie ieguvēji. </w:t>
      </w:r>
    </w:p>
    <w:p w:rsidR="00513463" w:rsidP="00513463">
      <w:r>
        <w:rPr>
          <w:b/>
        </w:rPr>
        <w:t>T</w:t>
      </w:r>
      <w:r w:rsidRPr="00F40AFC">
        <w:rPr>
          <w:b/>
        </w:rPr>
        <w:t>iešie ieguvēji</w:t>
      </w:r>
      <w:r>
        <w:t xml:space="preserve"> ir 5 k</w:t>
      </w:r>
      <w:r w:rsidRPr="00C6091C">
        <w:t>omersant</w:t>
      </w:r>
      <w:r>
        <w:t>i</w:t>
      </w:r>
      <w:r w:rsidRPr="00C6091C">
        <w:t>, kuri guvuši labumu no projekta ietvaros veiktajām investīcijām infrastruktūrā</w:t>
      </w:r>
      <w:r>
        <w:t>.</w:t>
      </w:r>
    </w:p>
    <w:p w:rsidR="00513463" w:rsidP="00513463">
      <w:r>
        <w:rPr>
          <w:b/>
        </w:rPr>
        <w:t>T</w:t>
      </w:r>
      <w:r w:rsidRPr="004D6E40">
        <w:rPr>
          <w:b/>
        </w:rPr>
        <w:t>iešie ieguvumi</w:t>
      </w:r>
      <w:r>
        <w:t xml:space="preserve"> no projekta:</w:t>
      </w:r>
    </w:p>
    <w:p w:rsidR="00513463" w:rsidRPr="004C1975" w:rsidP="00513463">
      <w:pPr>
        <w:pStyle w:val="ListParagraph"/>
        <w:numPr>
          <w:ilvl w:val="0"/>
          <w:numId w:val="3"/>
        </w:numPr>
        <w:ind w:left="714" w:hanging="357"/>
      </w:pPr>
      <w:r>
        <w:t>jaunizveidoto darba vietu skaits komersantos, kuri gūs labumu no konkrētajām investīcijām infrastruktūrā (13 darba vietas);</w:t>
      </w:r>
    </w:p>
    <w:p w:rsidR="00513463" w:rsidRPr="005274B7" w:rsidP="00513463">
      <w:pPr>
        <w:pStyle w:val="ListParagraph"/>
        <w:numPr>
          <w:ilvl w:val="0"/>
          <w:numId w:val="3"/>
        </w:numPr>
        <w:ind w:left="714" w:hanging="357"/>
      </w:pPr>
      <w:r>
        <w:t>n</w:t>
      </w:r>
      <w:r w:rsidRPr="00BF5383">
        <w:t>o projekta ietvaros veiktajām investīcijām infrastruktūrā labumu guvušo komersantu nefinanšu investīcijas pašu nemateriālajos ieguldījumos un pamatlīdzekļos</w:t>
      </w:r>
      <w:r>
        <w:t xml:space="preserve"> (400 tūkst. </w:t>
      </w:r>
      <w:r w:rsidRPr="005274B7">
        <w:rPr>
          <w:i/>
        </w:rPr>
        <w:t>euro</w:t>
      </w:r>
      <w:r>
        <w:t>);</w:t>
      </w:r>
    </w:p>
    <w:p w:rsidR="00513463" w:rsidP="00513463">
      <w:pPr>
        <w:pStyle w:val="ListParagraph"/>
        <w:numPr>
          <w:ilvl w:val="0"/>
          <w:numId w:val="3"/>
        </w:numPr>
        <w:ind w:left="714" w:hanging="357"/>
      </w:pPr>
      <w:r w:rsidRPr="009F3912">
        <w:t xml:space="preserve">jaunizveidotās darba vietas </w:t>
      </w:r>
      <w:r w:rsidRPr="009F3912">
        <w:rPr>
          <w:u w:val="single"/>
        </w:rPr>
        <w:t>radīs papildu iedzīvotāju ienākuma nodokļa ieņēmumus pašvaldības budžetā</w:t>
      </w:r>
      <w:r w:rsidRPr="009F3912">
        <w:t xml:space="preserve"> (</w:t>
      </w:r>
      <w:r>
        <w:t>aptuveni</w:t>
      </w:r>
      <w:r w:rsidRPr="009F3912">
        <w:t xml:space="preserve"> </w:t>
      </w:r>
      <w:r>
        <w:t>14</w:t>
      </w:r>
      <w:r w:rsidRPr="009F3912">
        <w:t xml:space="preserve"> </w:t>
      </w:r>
      <w:r>
        <w:t>tūkst</w:t>
      </w:r>
      <w:r w:rsidRPr="009F3912">
        <w:t xml:space="preserve">. </w:t>
      </w:r>
      <w:r w:rsidRPr="009F3912">
        <w:rPr>
          <w:i/>
        </w:rPr>
        <w:t>euro</w:t>
      </w:r>
      <w:r>
        <w:t xml:space="preserve"> gadā, bet jaunradīto darbavietu radītie pievienotās ekonomiskās vērtības ieguvumi visā projekta dzīves cikla laikā būs vairāk nekā 0,5 milj. </w:t>
      </w:r>
      <w:r>
        <w:rPr>
          <w:i/>
        </w:rPr>
        <w:t>euro</w:t>
      </w:r>
      <w:r>
        <w:t>).</w:t>
      </w:r>
    </w:p>
    <w:p w:rsidR="00513463" w:rsidP="00513463">
      <w:pPr>
        <w:spacing w:before="120"/>
      </w:pPr>
      <w:r w:rsidRPr="00F40AFC">
        <w:rPr>
          <w:b/>
        </w:rPr>
        <w:t>Netiešie ieguvēji</w:t>
      </w:r>
      <w:r>
        <w:t xml:space="preserve"> ir:</w:t>
      </w:r>
    </w:p>
    <w:p w:rsidR="00513463" w:rsidP="00513463">
      <w:pPr>
        <w:pStyle w:val="ListParagraph"/>
        <w:numPr>
          <w:ilvl w:val="0"/>
          <w:numId w:val="2"/>
        </w:numPr>
        <w:ind w:left="714" w:hanging="357"/>
      </w:pPr>
      <w:r w:rsidRPr="00FD1856">
        <w:t>personas, kuras izmanto rekonstruētās ielas un nobrauktuvi uz Lugažu dzelzceļa staciju (pilsētas iedzīvotāji un citas personas, t.sk. darbinieki no Raiņa ielas, Vasarnīcu ielas un Lielās ielas esošajiem uzņēmumiem);</w:t>
      </w:r>
    </w:p>
    <w:p w:rsidR="00513463" w:rsidP="00513463">
      <w:pPr>
        <w:pStyle w:val="ListParagraph"/>
        <w:numPr>
          <w:ilvl w:val="0"/>
          <w:numId w:val="2"/>
        </w:numPr>
        <w:ind w:left="714" w:hanging="357"/>
      </w:pPr>
      <w:r>
        <w:t>zemnieku saimniecības, vairāki individuālie komersanti, kā arī pašnodarbinātās personas;</w:t>
      </w:r>
    </w:p>
    <w:p w:rsidR="00513463" w:rsidRPr="00FD1856" w:rsidP="00513463">
      <w:pPr>
        <w:pStyle w:val="ListParagraph"/>
        <w:numPr>
          <w:ilvl w:val="0"/>
          <w:numId w:val="2"/>
        </w:numPr>
        <w:ind w:left="714" w:hanging="357"/>
      </w:pPr>
      <w:r>
        <w:t>no infrastruktūras sakārtošanas labumu gūs arī apkārtējo daudzdzīvokļu un dzīvojamo māju īpašnieki, kā arī zemes vienību un īpašumu apsaimniekotāji u.c. personas.</w:t>
      </w:r>
    </w:p>
    <w:p w:rsidR="00513463" w:rsidP="00513463">
      <w:r w:rsidRPr="004D6E40">
        <w:rPr>
          <w:b/>
        </w:rPr>
        <w:t>Netiešie ieguvumi</w:t>
      </w:r>
      <w:r>
        <w:t xml:space="preserve"> no projekta:</w:t>
      </w:r>
    </w:p>
    <w:p w:rsidR="00513463" w:rsidRPr="004C4EBE" w:rsidP="00513463">
      <w:pPr>
        <w:pStyle w:val="ListParagraph"/>
        <w:numPr>
          <w:ilvl w:val="0"/>
          <w:numId w:val="5"/>
        </w:numPr>
        <w:ind w:left="714" w:hanging="357"/>
      </w:pPr>
      <w:r w:rsidRPr="004C4EBE">
        <w:rPr>
          <w:u w:val="single"/>
        </w:rPr>
        <w:t>autokilometra</w:t>
      </w:r>
      <w:r w:rsidRPr="004C4EBE">
        <w:rPr>
          <w:u w:val="single"/>
        </w:rPr>
        <w:t xml:space="preserve"> izmaksu un automobiļu ekspluatācijas izmaksu samazinājums</w:t>
      </w:r>
      <w:r w:rsidRPr="004C4EBE">
        <w:t xml:space="preserve"> (samazinās </w:t>
      </w:r>
      <w:r w:rsidRPr="004C4EBE">
        <w:t>autokilometra</w:t>
      </w:r>
      <w:r w:rsidRPr="004C4EBE">
        <w:t xml:space="preserve"> izmaksas, radot satiksmes dalībniekiem ieguvumus </w:t>
      </w:r>
      <w:r>
        <w:t>442</w:t>
      </w:r>
      <w:r w:rsidRPr="004C4EBE">
        <w:t xml:space="preserve"> tūkst. </w:t>
      </w:r>
      <w:r w:rsidRPr="004C4EBE">
        <w:rPr>
          <w:i/>
        </w:rPr>
        <w:t>euro</w:t>
      </w:r>
      <w:r w:rsidRPr="004C4EBE">
        <w:t xml:space="preserve"> </w:t>
      </w:r>
      <w:r>
        <w:t>visā projekta dzīves cikla laikā</w:t>
      </w:r>
      <w:r w:rsidRPr="004C4EBE">
        <w:t>);</w:t>
      </w:r>
    </w:p>
    <w:p w:rsidR="00513463" w:rsidP="00513463">
      <w:pPr>
        <w:pStyle w:val="ListParagraph"/>
        <w:numPr>
          <w:ilvl w:val="0"/>
          <w:numId w:val="5"/>
        </w:numPr>
        <w:spacing w:after="0"/>
        <w:ind w:left="714" w:hanging="357"/>
      </w:pPr>
      <w:r w:rsidRPr="004C4EBE">
        <w:rPr>
          <w:u w:val="single"/>
        </w:rPr>
        <w:t>ieguvumi no ceļu satiksmes negadījumu risku samazinājuma</w:t>
      </w:r>
      <w:r w:rsidRPr="004C4EBE">
        <w:t xml:space="preserve"> (aptuveni 243 tūkst. </w:t>
      </w:r>
      <w:r w:rsidRPr="004C4EBE">
        <w:rPr>
          <w:i/>
        </w:rPr>
        <w:t>euro</w:t>
      </w:r>
      <w:r w:rsidRPr="004C4EBE">
        <w:t xml:space="preserve"> </w:t>
      </w:r>
      <w:r>
        <w:t xml:space="preserve">visā </w:t>
      </w:r>
      <w:r w:rsidRPr="004C4EBE">
        <w:t>projekta dzīves cikla laikā).</w:t>
      </w:r>
    </w:p>
    <w:p w:rsidR="00513463" w:rsidP="00513463">
      <w:pPr>
        <w:spacing w:before="120"/>
      </w:pPr>
      <w:r>
        <w:t>Krāslavas novada pašvaldības projekts ir papildinošs ar diviem projektiem no ES fondu 2007.-2013.gada plānošanas perioda:</w:t>
      </w:r>
    </w:p>
    <w:p w:rsidR="00513463" w:rsidRPr="007A2182" w:rsidP="00513463">
      <w:pPr>
        <w:pStyle w:val="ListParagraph"/>
        <w:numPr>
          <w:ilvl w:val="0"/>
          <w:numId w:val="4"/>
        </w:numPr>
        <w:ind w:left="714" w:hanging="357"/>
        <w:rPr>
          <w:szCs w:val="24"/>
        </w:rPr>
      </w:pPr>
      <w:r w:rsidRPr="007A2182">
        <w:rPr>
          <w:szCs w:val="24"/>
        </w:rPr>
        <w:t xml:space="preserve">projekts </w:t>
      </w:r>
      <w:r w:rsidRPr="00E46344">
        <w:t>“</w:t>
      </w:r>
      <w:r w:rsidRPr="009065D5">
        <w:rPr>
          <w:rFonts w:eastAsia="Times New Roman" w:cs="Times New Roman"/>
          <w:i/>
          <w:szCs w:val="24"/>
          <w:lang w:eastAsia="lv-LV"/>
        </w:rPr>
        <w:t>Krāslavas pilsētas ielu tīkla rekonstrukcija uzņēmējdarbības veicināšanai, 1.kārta</w:t>
      </w:r>
      <w:r w:rsidRPr="007A2182">
        <w:rPr>
          <w:rFonts w:eastAsia="Times New Roman" w:cs="Times New Roman"/>
          <w:szCs w:val="24"/>
          <w:lang w:eastAsia="lv-LV"/>
        </w:rPr>
        <w:t xml:space="preserve">” </w:t>
      </w:r>
      <w:r>
        <w:rPr>
          <w:rFonts w:eastAsia="Times New Roman" w:cs="Times New Roman"/>
          <w:szCs w:val="24"/>
          <w:lang w:eastAsia="lv-LV"/>
        </w:rPr>
        <w:t>(</w:t>
      </w:r>
      <w:r w:rsidRPr="009065D5">
        <w:rPr>
          <w:rFonts w:eastAsia="Times New Roman" w:cs="Times New Roman"/>
          <w:szCs w:val="24"/>
          <w:lang w:eastAsia="lv-LV"/>
        </w:rPr>
        <w:t>2DP/2.3.2.2.3/12/IPIA/VRAA/009</w:t>
      </w:r>
      <w:r>
        <w:rPr>
          <w:rFonts w:eastAsia="Times New Roman" w:cs="Times New Roman"/>
          <w:szCs w:val="24"/>
          <w:lang w:eastAsia="lv-LV"/>
        </w:rPr>
        <w:t>)</w:t>
      </w:r>
      <w:r w:rsidRPr="007A2182">
        <w:rPr>
          <w:szCs w:val="24"/>
        </w:rPr>
        <w:t xml:space="preserve"> īstenots 201</w:t>
      </w:r>
      <w:r>
        <w:rPr>
          <w:szCs w:val="24"/>
        </w:rPr>
        <w:t>2</w:t>
      </w:r>
      <w:r w:rsidRPr="007A2182">
        <w:rPr>
          <w:szCs w:val="24"/>
        </w:rPr>
        <w:t xml:space="preserve">.gadā, kā rezultātā </w:t>
      </w:r>
      <w:r>
        <w:rPr>
          <w:szCs w:val="24"/>
        </w:rPr>
        <w:t xml:space="preserve">tika </w:t>
      </w:r>
      <w:r>
        <w:t>veikta Raiņa ielas posma pārbūve no krustojuma ar Rēzeknes ielu, nodrošinot uzņēmējdarbībai atbilstošu infrastruktūru</w:t>
      </w:r>
      <w:r w:rsidRPr="007A2182">
        <w:rPr>
          <w:szCs w:val="24"/>
        </w:rPr>
        <w:t>;</w:t>
      </w:r>
    </w:p>
    <w:p w:rsidR="00513463" w:rsidP="00513463">
      <w:pPr>
        <w:pStyle w:val="ListParagraph"/>
        <w:numPr>
          <w:ilvl w:val="0"/>
          <w:numId w:val="4"/>
        </w:numPr>
      </w:pPr>
      <w:r w:rsidRPr="009065D5">
        <w:rPr>
          <w:szCs w:val="24"/>
        </w:rPr>
        <w:t xml:space="preserve">projekts </w:t>
      </w:r>
      <w:r w:rsidRPr="00E46344">
        <w:t>“</w:t>
      </w:r>
      <w:r w:rsidRPr="00F351EC">
        <w:rPr>
          <w:rFonts w:cs="Times New Roman"/>
          <w:i/>
          <w:szCs w:val="24"/>
        </w:rPr>
        <w:t>Krāslavas novada ceļu tīkla rekonstrukcija uzņēmējdarbības veicināšanai, 2.kārta</w:t>
      </w:r>
      <w:r w:rsidRPr="009065D5">
        <w:rPr>
          <w:rFonts w:eastAsia="Times New Roman" w:cs="Times New Roman"/>
          <w:szCs w:val="24"/>
          <w:lang w:eastAsia="lv-LV"/>
        </w:rPr>
        <w:t>” (</w:t>
      </w:r>
      <w:r w:rsidRPr="00F351EC">
        <w:rPr>
          <w:rFonts w:eastAsia="Times New Roman" w:cs="Times New Roman"/>
          <w:szCs w:val="24"/>
          <w:lang w:eastAsia="lv-LV"/>
        </w:rPr>
        <w:t>2DP/2.3.2.2.3/13/IPIA/VRAA/004</w:t>
      </w:r>
      <w:r w:rsidRPr="009065D5">
        <w:rPr>
          <w:rFonts w:eastAsia="Times New Roman" w:cs="Times New Roman"/>
          <w:szCs w:val="24"/>
          <w:lang w:eastAsia="lv-LV"/>
        </w:rPr>
        <w:t xml:space="preserve">) </w:t>
      </w:r>
      <w:r w:rsidRPr="009065D5">
        <w:rPr>
          <w:szCs w:val="24"/>
        </w:rPr>
        <w:t>īstenots 201</w:t>
      </w:r>
      <w:r>
        <w:rPr>
          <w:szCs w:val="24"/>
        </w:rPr>
        <w:t>4</w:t>
      </w:r>
      <w:r w:rsidRPr="009065D5">
        <w:rPr>
          <w:szCs w:val="24"/>
        </w:rPr>
        <w:t>.gadā, kad tika</w:t>
      </w:r>
      <w:r>
        <w:t xml:space="preserve"> veikta Izvaltas, Rīgas, Vienības, Latgales, Vasarnieku, Sauleskalna, Vītolu, Augusta un Lielā ielu posmu 4,4 km garumā rekonstrukcija</w:t>
      </w:r>
      <w:r w:rsidRPr="009065D5">
        <w:rPr>
          <w:rFonts w:cs="Times New Roman"/>
          <w:szCs w:val="24"/>
        </w:rPr>
        <w:t>.</w:t>
      </w:r>
    </w:p>
    <w:p w:rsidR="008E1FD7" w:rsidP="007B2369">
      <w:pPr>
        <w:spacing w:after="240"/>
      </w:pPr>
      <w:r>
        <w:t>Iepriekšējā plānošanas periodā abu projektu ietvaros veiktā ielu un novada ceļu tīkla sakārtošana bija kā pamats, lai šajā plānošanas periodā īstenotu SAM 3.3.1. projektu N</w:t>
      </w:r>
      <w:r w:rsidRPr="00BD5D8D">
        <w:t>r.</w:t>
      </w:r>
      <w:r>
        <w:rPr>
          <w:color w:val="FF0000"/>
        </w:rPr>
        <w:t> </w:t>
      </w:r>
      <w:r>
        <w:t xml:space="preserve">3.3.1.0/16/I/008 </w:t>
      </w:r>
      <w:r w:rsidRPr="00E46344">
        <w:t>“</w:t>
      </w:r>
      <w:r w:rsidRPr="007E6060">
        <w:rPr>
          <w:i/>
        </w:rPr>
        <w:t>Ceļu un citas nepieciešamās infrastruktūras nodrošināšana darbavietu radīšanai un privāto investīciju piesaistei Krāslavas novadā</w:t>
      </w:r>
      <w:r>
        <w:t xml:space="preserve">”. Tādējādi radot būtiskus </w:t>
      </w:r>
      <w:r w:rsidRPr="00DA5591">
        <w:t>priekšnosacījumus labvēlīgas</w:t>
      </w:r>
      <w:r>
        <w:t xml:space="preserve"> uzņēmējdarbības vides izveidei, </w:t>
      </w:r>
      <w:r w:rsidRPr="00DA5591">
        <w:t xml:space="preserve">komercdarbībai nepieciešamās </w:t>
      </w:r>
      <w:r>
        <w:t>publiskās infrastruktūras sakārtošanai, kā arī privāto investīciju apjoma pieaugumam.</w:t>
      </w:r>
    </w:p>
    <w:p w:rsidR="00BA59C2" w:rsidP="007B2369">
      <w:pPr>
        <w:spacing w:after="240"/>
      </w:pPr>
    </w:p>
    <w:p w:rsidR="00BA59C2" w:rsidP="00BA59C2">
      <w:pPr>
        <w:tabs>
          <w:tab w:val="left" w:pos="6899"/>
        </w:tabs>
      </w:pPr>
      <w:r w:rsidRPr="00D80767">
        <w:t>Vides aizsardzības un reģionālās attīstības ministrs</w:t>
      </w:r>
      <w:r w:rsidRPr="00D80767">
        <w:tab/>
        <w:t>K.Gerhards</w:t>
      </w:r>
    </w:p>
    <w:p w:rsidR="00BA59C2" w:rsidP="00BA59C2">
      <w:pPr>
        <w:tabs>
          <w:tab w:val="left" w:pos="851"/>
        </w:tabs>
        <w:spacing w:after="0"/>
        <w:rPr>
          <w:rFonts w:eastAsia="Times New Roman" w:cs="Times New Roman"/>
          <w:color w:val="000000"/>
          <w:sz w:val="20"/>
          <w:szCs w:val="20"/>
          <w:highlight w:val="yellow"/>
        </w:rPr>
      </w:pPr>
    </w:p>
    <w:p w:rsidR="00BA59C2" w:rsidP="00BA59C2">
      <w:pPr>
        <w:tabs>
          <w:tab w:val="left" w:pos="851"/>
        </w:tabs>
        <w:spacing w:after="0"/>
        <w:rPr>
          <w:rFonts w:eastAsia="Times New Roman" w:cs="Times New Roman"/>
          <w:color w:val="000000"/>
          <w:sz w:val="20"/>
          <w:szCs w:val="20"/>
          <w:highlight w:val="yellow"/>
        </w:rPr>
      </w:pPr>
    </w:p>
    <w:p w:rsidR="00BA59C2" w:rsidP="00BA59C2">
      <w:pPr>
        <w:tabs>
          <w:tab w:val="left" w:pos="851"/>
        </w:tabs>
        <w:spacing w:after="0"/>
        <w:rPr>
          <w:rFonts w:eastAsia="Times New Roman" w:cs="Times New Roman"/>
          <w:color w:val="000000"/>
          <w:sz w:val="20"/>
          <w:szCs w:val="20"/>
          <w:highlight w:val="yellow"/>
        </w:rPr>
      </w:pPr>
    </w:p>
    <w:p w:rsidR="00BA59C2" w:rsidP="00BA59C2">
      <w:pPr>
        <w:tabs>
          <w:tab w:val="left" w:pos="851"/>
        </w:tabs>
        <w:spacing w:after="0"/>
        <w:rPr>
          <w:rFonts w:eastAsia="Times New Roman" w:cs="Times New Roman"/>
          <w:color w:val="000000"/>
          <w:sz w:val="20"/>
          <w:szCs w:val="20"/>
          <w:highlight w:val="yellow"/>
        </w:rPr>
      </w:pPr>
    </w:p>
    <w:p w:rsidR="00BA59C2" w:rsidP="00BA59C2">
      <w:pPr>
        <w:tabs>
          <w:tab w:val="left" w:pos="851"/>
        </w:tabs>
        <w:spacing w:after="0"/>
        <w:rPr>
          <w:rFonts w:eastAsia="Times New Roman" w:cs="Times New Roman"/>
          <w:color w:val="000000"/>
          <w:sz w:val="20"/>
          <w:szCs w:val="20"/>
        </w:rPr>
      </w:pPr>
    </w:p>
    <w:p w:rsidR="00BA59C2" w:rsidRPr="00BF2DDD" w:rsidP="00BA59C2">
      <w:pPr>
        <w:tabs>
          <w:tab w:val="left" w:pos="851"/>
        </w:tabs>
        <w:spacing w:after="0"/>
        <w:rPr>
          <w:rFonts w:eastAsia="Times New Roman" w:cs="Times New Roman"/>
          <w:color w:val="000000"/>
          <w:sz w:val="20"/>
          <w:szCs w:val="20"/>
        </w:rPr>
      </w:pPr>
      <w:r w:rsidRPr="00BF2DDD">
        <w:rPr>
          <w:rFonts w:eastAsia="Times New Roman" w:cs="Times New Roman"/>
          <w:color w:val="000000"/>
          <w:sz w:val="20"/>
          <w:szCs w:val="20"/>
        </w:rPr>
        <w:t>Melnalksnis, 66016768</w:t>
      </w:r>
    </w:p>
    <w:p w:rsidR="00BA59C2" w:rsidRPr="000908D1" w:rsidP="00BA59C2">
      <w:pPr>
        <w:tabs>
          <w:tab w:val="left" w:pos="851"/>
        </w:tabs>
        <w:spacing w:after="0"/>
        <w:rPr>
          <w:rFonts w:eastAsia="Times New Roman" w:cs="Times New Roman"/>
          <w:color w:val="000000"/>
          <w:sz w:val="20"/>
          <w:szCs w:val="20"/>
        </w:rPr>
      </w:pPr>
      <w:r>
        <w:fldChar w:fldCharType="begin"/>
      </w:r>
      <w:r>
        <w:instrText xml:space="preserve"> HYPERLINK "mailto:davis.melnalksnis@varam.gov.lv" </w:instrText>
      </w:r>
      <w:r>
        <w:fldChar w:fldCharType="separate"/>
      </w:r>
      <w:r w:rsidRPr="00BF2DDD">
        <w:rPr>
          <w:rStyle w:val="Hyperlink"/>
          <w:rFonts w:eastAsia="Times New Roman" w:cs="Times New Roman"/>
          <w:sz w:val="20"/>
          <w:szCs w:val="20"/>
        </w:rPr>
        <w:t>davis.melnalksnis@varam.gov.lv</w:t>
      </w:r>
      <w:r>
        <w:fldChar w:fldCharType="end"/>
      </w:r>
    </w:p>
    <w:p w:rsidR="00BA59C2" w:rsidP="00BA59C2"/>
    <w:p w:rsidR="00BA59C2" w:rsidP="007B2369">
      <w:pPr>
        <w:spacing w:after="240"/>
      </w:pPr>
    </w:p>
    <w:sectPr w:rsidSect="000F6DE0">
      <w:footerReference w:type="default" r:id="rId6"/>
      <w:pgSz w:w="11906" w:h="16838"/>
      <w:pgMar w:top="1440" w:right="1134"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99615"/>
      <w:docPartObj>
        <w:docPartGallery w:val="Page Numbers (Bottom of Page)"/>
        <w:docPartUnique/>
      </w:docPartObj>
    </w:sdtPr>
    <w:sdtContent>
      <w:p w:rsidR="00513463">
        <w:pPr>
          <w:pStyle w:val="Footer"/>
          <w:jc w:val="center"/>
        </w:pPr>
        <w:r>
          <w:fldChar w:fldCharType="begin"/>
        </w:r>
        <w:r>
          <w:instrText xml:space="preserve"> PAGE   \* MERGEFORMAT </w:instrText>
        </w:r>
        <w:r>
          <w:fldChar w:fldCharType="separate"/>
        </w:r>
        <w:r w:rsidR="00720C61">
          <w:rPr>
            <w:noProof/>
          </w:rPr>
          <w:t>5</w:t>
        </w:r>
        <w:r>
          <w:rPr>
            <w:noProof/>
          </w:rPr>
          <w:fldChar w:fldCharType="end"/>
        </w:r>
      </w:p>
    </w:sdtContent>
  </w:sdt>
  <w:p w:rsidR="00513463" w:rsidRPr="00FB6DCA" w:rsidP="00FB6DCA">
    <w:pPr>
      <w:pStyle w:val="Footer"/>
      <w:rPr>
        <w:sz w:val="20"/>
      </w:rPr>
    </w:pPr>
    <w:r w:rsidRPr="00FB6DCA">
      <w:rPr>
        <w:sz w:val="20"/>
      </w:rPr>
      <w:t>VARAM</w:t>
    </w:r>
    <w:r w:rsidR="000F6DE0">
      <w:rPr>
        <w:sz w:val="20"/>
      </w:rPr>
      <w:t>Zin</w:t>
    </w:r>
    <w:r>
      <w:rPr>
        <w:sz w:val="20"/>
      </w:rPr>
      <w:t>p1_</w:t>
    </w:r>
    <w:r w:rsidR="00720C61">
      <w:rPr>
        <w:sz w:val="20"/>
      </w:rPr>
      <w:t>17</w:t>
    </w:r>
    <w:r w:rsidR="000C6712">
      <w:rPr>
        <w:sz w:val="20"/>
      </w:rPr>
      <w:t>07</w:t>
    </w:r>
    <w:r>
      <w:rPr>
        <w:sz w:val="20"/>
      </w:rPr>
      <w:t>18</w:t>
    </w:r>
    <w:r w:rsidR="000F6DE0">
      <w:rPr>
        <w:sz w:val="20"/>
      </w:rPr>
      <w:t>_</w:t>
    </w:r>
    <w:r w:rsidR="00C84BD6">
      <w:rPr>
        <w:sz w:val="20"/>
      </w:rPr>
      <w:t>proj_</w:t>
    </w:r>
    <w:r w:rsidR="000F6DE0">
      <w:rPr>
        <w:sz w:val="20"/>
      </w:rPr>
      <w:t>kval_novert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49F" w:rsidP="00513463">
      <w:pPr>
        <w:spacing w:after="0"/>
      </w:pPr>
      <w:r>
        <w:separator/>
      </w:r>
    </w:p>
  </w:footnote>
  <w:footnote w:type="continuationSeparator" w:id="1">
    <w:p w:rsidR="00C8749F" w:rsidP="00513463">
      <w:pPr>
        <w:spacing w:after="0"/>
      </w:pPr>
      <w:r>
        <w:continuationSeparator/>
      </w:r>
    </w:p>
  </w:footnote>
  <w:footnote w:id="2">
    <w:p w:rsidR="00513463" w:rsidRPr="004757CC" w:rsidP="00513463">
      <w:pPr>
        <w:pStyle w:val="FootnoteText"/>
        <w:jc w:val="both"/>
        <w:rPr>
          <w:rFonts w:ascii="Times New Roman" w:hAnsi="Times New Roman" w:cs="Times New Roman"/>
        </w:rPr>
      </w:pPr>
      <w:r w:rsidRPr="004757CC">
        <w:rPr>
          <w:rStyle w:val="FootnoteReference"/>
          <w:rFonts w:ascii="Times New Roman" w:hAnsi="Times New Roman" w:cs="Times New Roman"/>
        </w:rPr>
        <w:footnoteRef/>
      </w:r>
      <w:r w:rsidRPr="004757CC">
        <w:rPr>
          <w:rFonts w:ascii="Times New Roman" w:hAnsi="Times New Roman" w:cs="Times New Roman"/>
        </w:rPr>
        <w:t xml:space="preserve"> Informācija no </w:t>
      </w:r>
      <w:r w:rsidRPr="004757CC">
        <w:rPr>
          <w:rStyle w:val="Emphasis"/>
          <w:rFonts w:ascii="Times New Roman" w:hAnsi="Times New Roman" w:cs="Times New Roman"/>
        </w:rPr>
        <w:t>Kohēzijas politikas fondu vadības informācijas sistēmas</w:t>
      </w:r>
      <w:r w:rsidRPr="004757CC">
        <w:rPr>
          <w:rStyle w:val="st"/>
          <w:rFonts w:ascii="Times New Roman" w:hAnsi="Times New Roman" w:cs="Times New Roman"/>
          <w:i/>
        </w:rPr>
        <w:t xml:space="preserve"> 2014.-2020.gadam</w:t>
      </w:r>
      <w:r w:rsidRPr="004757CC">
        <w:rPr>
          <w:rStyle w:val="st"/>
          <w:rFonts w:ascii="Times New Roman" w:hAnsi="Times New Roman" w:cs="Times New Roman"/>
        </w:rPr>
        <w:t xml:space="preserve"> </w:t>
      </w:r>
      <w:r w:rsidRPr="004757CC">
        <w:rPr>
          <w:rStyle w:val="Emphasis"/>
          <w:rFonts w:ascii="Times New Roman" w:hAnsi="Times New Roman" w:cs="Times New Roman"/>
        </w:rPr>
        <w:t>e</w:t>
      </w:r>
      <w:r w:rsidRPr="004757CC">
        <w:rPr>
          <w:rStyle w:val="st"/>
          <w:rFonts w:ascii="Times New Roman" w:hAnsi="Times New Roman" w:cs="Times New Roman"/>
        </w:rPr>
        <w:t>-</w:t>
      </w:r>
      <w:r w:rsidRPr="004757CC">
        <w:rPr>
          <w:rStyle w:val="Emphasis"/>
          <w:rFonts w:ascii="Times New Roman" w:hAnsi="Times New Roman" w:cs="Times New Roman"/>
        </w:rPr>
        <w:t>vides.</w:t>
      </w:r>
    </w:p>
  </w:footnote>
  <w:footnote w:id="3">
    <w:p w:rsidR="00513463" w:rsidRPr="004757CC" w:rsidP="00513463">
      <w:pPr>
        <w:pStyle w:val="FootnoteText"/>
        <w:jc w:val="both"/>
        <w:rPr>
          <w:rFonts w:ascii="Times New Roman" w:hAnsi="Times New Roman" w:cs="Times New Roman"/>
        </w:rPr>
      </w:pPr>
      <w:r w:rsidRPr="004757CC">
        <w:rPr>
          <w:rStyle w:val="FootnoteReference"/>
          <w:rFonts w:ascii="Times New Roman" w:hAnsi="Times New Roman" w:cs="Times New Roman"/>
        </w:rPr>
        <w:footnoteRef/>
      </w:r>
      <w:r w:rsidRPr="004757CC">
        <w:rPr>
          <w:rFonts w:ascii="Times New Roman" w:hAnsi="Times New Roman" w:cs="Times New Roman"/>
        </w:rPr>
        <w:t xml:space="preserve"> V</w:t>
      </w:r>
      <w:r w:rsidRPr="004757CC">
        <w:rPr>
          <w:rFonts w:ascii="Times New Roman" w:hAnsi="Times New Roman" w:cs="Times New Roman"/>
          <w:szCs w:val="24"/>
        </w:rPr>
        <w:t xml:space="preserve">ienas jaunas darba vietas izveidei plānots ne vairāk kā ERAF 60 987 </w:t>
      </w:r>
      <w:r w:rsidRPr="004757CC">
        <w:rPr>
          <w:rFonts w:ascii="Times New Roman" w:hAnsi="Times New Roman" w:cs="Times New Roman"/>
          <w:i/>
          <w:szCs w:val="24"/>
        </w:rPr>
        <w:t>euro</w:t>
      </w:r>
      <w:r w:rsidRPr="004757CC">
        <w:rPr>
          <w:rFonts w:ascii="Times New Roman" w:hAnsi="Times New Roman" w:cs="Times New Roman"/>
          <w:szCs w:val="24"/>
        </w:rPr>
        <w:t xml:space="preserve">, kā arī viena privāto investīciju </w:t>
      </w:r>
      <w:r>
        <w:rPr>
          <w:rFonts w:ascii="Times New Roman" w:hAnsi="Times New Roman" w:cs="Times New Roman"/>
          <w:i/>
          <w:szCs w:val="24"/>
        </w:rPr>
        <w:t>euro</w:t>
      </w:r>
      <w:r>
        <w:rPr>
          <w:rFonts w:ascii="Times New Roman" w:hAnsi="Times New Roman" w:cs="Times New Roman"/>
          <w:i/>
          <w:szCs w:val="24"/>
        </w:rPr>
        <w:t xml:space="preserve"> </w:t>
      </w:r>
      <w:r w:rsidRPr="004757CC">
        <w:rPr>
          <w:rFonts w:ascii="Times New Roman" w:hAnsi="Times New Roman" w:cs="Times New Roman"/>
          <w:szCs w:val="24"/>
        </w:rPr>
        <w:t xml:space="preserve">piesaistei plānots viens ERAF </w:t>
      </w:r>
      <w:r w:rsidRPr="004757CC">
        <w:rPr>
          <w:rFonts w:ascii="Times New Roman" w:hAnsi="Times New Roman" w:cs="Times New Roman"/>
          <w:i/>
          <w:szCs w:val="24"/>
        </w:rPr>
        <w:t>euro</w:t>
      </w:r>
      <w:r w:rsidRPr="004757CC">
        <w:rPr>
          <w:rFonts w:ascii="Times New Roman" w:hAnsi="Times New Roman" w:cs="Times New Roman"/>
        </w:rPr>
        <w:t>.</w:t>
      </w:r>
    </w:p>
  </w:footnote>
  <w:footnote w:id="4">
    <w:p w:rsidR="00513463" w:rsidRPr="004757CC" w:rsidP="00513463">
      <w:pPr>
        <w:pStyle w:val="FootnoteText"/>
        <w:jc w:val="both"/>
        <w:rPr>
          <w:rFonts w:ascii="Times New Roman" w:hAnsi="Times New Roman" w:cs="Times New Roman"/>
        </w:rPr>
      </w:pPr>
      <w:r w:rsidRPr="004757CC">
        <w:rPr>
          <w:rStyle w:val="FootnoteReference"/>
          <w:rFonts w:ascii="Times New Roman" w:hAnsi="Times New Roman" w:cs="Times New Roman"/>
        </w:rPr>
        <w:footnoteRef/>
      </w:r>
      <w:r w:rsidRPr="004757CC">
        <w:rPr>
          <w:rFonts w:ascii="Times New Roman" w:hAnsi="Times New Roman" w:cs="Times New Roman"/>
        </w:rPr>
        <w:t xml:space="preserve"> Informācija no </w:t>
      </w:r>
      <w:r w:rsidRPr="004757CC">
        <w:rPr>
          <w:rStyle w:val="Emphasis"/>
          <w:rFonts w:ascii="Times New Roman" w:hAnsi="Times New Roman" w:cs="Times New Roman"/>
        </w:rPr>
        <w:t>Kohēzijas politikas fondu vadības informācijas sistēmas</w:t>
      </w:r>
      <w:r w:rsidRPr="004757CC">
        <w:rPr>
          <w:rStyle w:val="st"/>
          <w:rFonts w:ascii="Times New Roman" w:hAnsi="Times New Roman" w:cs="Times New Roman"/>
          <w:i/>
        </w:rPr>
        <w:t xml:space="preserve"> 2014.-2020.gadam</w:t>
      </w:r>
      <w:r w:rsidRPr="004757CC">
        <w:rPr>
          <w:rStyle w:val="st"/>
          <w:rFonts w:ascii="Times New Roman" w:hAnsi="Times New Roman" w:cs="Times New Roman"/>
        </w:rPr>
        <w:t xml:space="preserve"> </w:t>
      </w:r>
      <w:r w:rsidRPr="004757CC">
        <w:rPr>
          <w:rStyle w:val="Emphasis"/>
          <w:rFonts w:ascii="Times New Roman" w:hAnsi="Times New Roman" w:cs="Times New Roman"/>
        </w:rPr>
        <w:t>e</w:t>
      </w:r>
      <w:r w:rsidRPr="004757CC">
        <w:rPr>
          <w:rStyle w:val="st"/>
          <w:rFonts w:ascii="Times New Roman" w:hAnsi="Times New Roman" w:cs="Times New Roman"/>
        </w:rPr>
        <w:t>-</w:t>
      </w:r>
      <w:r w:rsidRPr="004757CC">
        <w:rPr>
          <w:rStyle w:val="Emphasis"/>
          <w:rFonts w:ascii="Times New Roman" w:hAnsi="Times New Roman" w:cs="Times New Roman"/>
        </w:rPr>
        <w:t>vides.</w:t>
      </w:r>
    </w:p>
  </w:footnote>
  <w:footnote w:id="5">
    <w:p w:rsidR="00513463" w:rsidRPr="004757CC" w:rsidP="00513463">
      <w:pPr>
        <w:pStyle w:val="FootnoteText"/>
        <w:jc w:val="both"/>
        <w:rPr>
          <w:rFonts w:ascii="Times New Roman" w:hAnsi="Times New Roman" w:cs="Times New Roman"/>
        </w:rPr>
      </w:pPr>
      <w:r w:rsidRPr="004757CC">
        <w:rPr>
          <w:rStyle w:val="FootnoteReference"/>
          <w:rFonts w:ascii="Times New Roman" w:hAnsi="Times New Roman" w:cs="Times New Roman"/>
        </w:rPr>
        <w:footnoteRef/>
      </w:r>
      <w:r w:rsidRPr="004757CC">
        <w:rPr>
          <w:rFonts w:ascii="Times New Roman" w:hAnsi="Times New Roman" w:cs="Times New Roman"/>
        </w:rPr>
        <w:t xml:space="preserve"> Skatīt </w:t>
      </w:r>
      <w:r>
        <w:rPr>
          <w:rFonts w:ascii="Times New Roman" w:hAnsi="Times New Roman" w:cs="Times New Roman"/>
        </w:rPr>
        <w:t>37.</w:t>
      </w:r>
      <w:r w:rsidRPr="004757CC">
        <w:rPr>
          <w:rFonts w:ascii="Times New Roman" w:hAnsi="Times New Roman" w:cs="Times New Roman"/>
        </w:rPr>
        <w:t>atsauci.</w:t>
      </w:r>
    </w:p>
  </w:footnote>
  <w:footnote w:id="6">
    <w:p w:rsidR="00513463" w:rsidRPr="004757CC" w:rsidP="00513463">
      <w:pPr>
        <w:pStyle w:val="FootnoteText"/>
        <w:jc w:val="both"/>
        <w:rPr>
          <w:rFonts w:ascii="Times New Roman" w:hAnsi="Times New Roman" w:cs="Times New Roman"/>
        </w:rPr>
      </w:pPr>
      <w:r w:rsidRPr="004757CC">
        <w:rPr>
          <w:rStyle w:val="FootnoteReference"/>
          <w:rFonts w:ascii="Times New Roman" w:hAnsi="Times New Roman" w:cs="Times New Roman"/>
        </w:rPr>
        <w:footnoteRef/>
      </w:r>
      <w:r w:rsidRPr="004757CC">
        <w:rPr>
          <w:rFonts w:ascii="Times New Roman" w:hAnsi="Times New Roman" w:cs="Times New Roman"/>
        </w:rPr>
        <w:t xml:space="preserve"> Informācija no </w:t>
      </w:r>
      <w:r w:rsidRPr="004757CC">
        <w:rPr>
          <w:rStyle w:val="Emphasis"/>
          <w:rFonts w:ascii="Times New Roman" w:hAnsi="Times New Roman" w:cs="Times New Roman"/>
        </w:rPr>
        <w:t>Kohēzijas politikas fondu vadības informācijas sistēmas</w:t>
      </w:r>
      <w:r w:rsidRPr="004757CC">
        <w:rPr>
          <w:rStyle w:val="st"/>
          <w:rFonts w:ascii="Times New Roman" w:hAnsi="Times New Roman" w:cs="Times New Roman"/>
          <w:i/>
        </w:rPr>
        <w:t xml:space="preserve"> 2014.-2020.gadam</w:t>
      </w:r>
      <w:r w:rsidRPr="004757CC">
        <w:rPr>
          <w:rStyle w:val="st"/>
          <w:rFonts w:ascii="Times New Roman" w:hAnsi="Times New Roman" w:cs="Times New Roman"/>
        </w:rPr>
        <w:t xml:space="preserve"> </w:t>
      </w:r>
      <w:r w:rsidRPr="004757CC">
        <w:rPr>
          <w:rStyle w:val="Emphasis"/>
          <w:rFonts w:ascii="Times New Roman" w:hAnsi="Times New Roman" w:cs="Times New Roman"/>
        </w:rPr>
        <w:t>e</w:t>
      </w:r>
      <w:r w:rsidRPr="004757CC">
        <w:rPr>
          <w:rStyle w:val="st"/>
          <w:rFonts w:ascii="Times New Roman" w:hAnsi="Times New Roman" w:cs="Times New Roman"/>
        </w:rPr>
        <w:t>-</w:t>
      </w:r>
      <w:r w:rsidRPr="004757CC">
        <w:rPr>
          <w:rStyle w:val="Emphasis"/>
          <w:rFonts w:ascii="Times New Roman" w:hAnsi="Times New Roman" w:cs="Times New Roman"/>
        </w:rPr>
        <w:t>vides.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0E78"/>
    <w:multiLevelType w:val="multilevel"/>
    <w:tmpl w:val="A55C471C"/>
    <w:lvl w:ilvl="0">
      <w:start w:val="1"/>
      <w:numFmt w:val="decimal"/>
      <w:pStyle w:val="Heading1"/>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C92B28"/>
    <w:multiLevelType w:val="hybridMultilevel"/>
    <w:tmpl w:val="AE50A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67218A6"/>
    <w:multiLevelType w:val="hybridMultilevel"/>
    <w:tmpl w:val="8A229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555418E"/>
    <w:multiLevelType w:val="hybridMultilevel"/>
    <w:tmpl w:val="31DE6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557132A"/>
    <w:multiLevelType w:val="hybridMultilevel"/>
    <w:tmpl w:val="B2FC1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compat/>
  <w:rsids>
    <w:rsidRoot w:val="00513463"/>
    <w:rsid w:val="0000058A"/>
    <w:rsid w:val="000201D7"/>
    <w:rsid w:val="000908D1"/>
    <w:rsid w:val="000C6712"/>
    <w:rsid w:val="000C76EE"/>
    <w:rsid w:val="000F6DE0"/>
    <w:rsid w:val="0015368D"/>
    <w:rsid w:val="0016210B"/>
    <w:rsid w:val="001936AF"/>
    <w:rsid w:val="001C7FEC"/>
    <w:rsid w:val="00241FE2"/>
    <w:rsid w:val="002E36E0"/>
    <w:rsid w:val="003575DB"/>
    <w:rsid w:val="003E0F23"/>
    <w:rsid w:val="004757CC"/>
    <w:rsid w:val="004A4C81"/>
    <w:rsid w:val="004C1975"/>
    <w:rsid w:val="004C4EBE"/>
    <w:rsid w:val="004D6E40"/>
    <w:rsid w:val="00513463"/>
    <w:rsid w:val="005274B7"/>
    <w:rsid w:val="00527E50"/>
    <w:rsid w:val="005375BF"/>
    <w:rsid w:val="00537AA7"/>
    <w:rsid w:val="00567809"/>
    <w:rsid w:val="00594FF2"/>
    <w:rsid w:val="0063519C"/>
    <w:rsid w:val="00720C61"/>
    <w:rsid w:val="007A2182"/>
    <w:rsid w:val="007B2369"/>
    <w:rsid w:val="007E6060"/>
    <w:rsid w:val="00800059"/>
    <w:rsid w:val="00835539"/>
    <w:rsid w:val="008606E4"/>
    <w:rsid w:val="008624B9"/>
    <w:rsid w:val="008840D3"/>
    <w:rsid w:val="008E1FD7"/>
    <w:rsid w:val="009065D5"/>
    <w:rsid w:val="00911C19"/>
    <w:rsid w:val="00974DC8"/>
    <w:rsid w:val="009929BA"/>
    <w:rsid w:val="009955A0"/>
    <w:rsid w:val="009F3912"/>
    <w:rsid w:val="00A77ED8"/>
    <w:rsid w:val="00AE3D73"/>
    <w:rsid w:val="00B15A95"/>
    <w:rsid w:val="00B239AF"/>
    <w:rsid w:val="00BA59C2"/>
    <w:rsid w:val="00BB53C0"/>
    <w:rsid w:val="00BC1E01"/>
    <w:rsid w:val="00BD53A0"/>
    <w:rsid w:val="00BD5D8D"/>
    <w:rsid w:val="00BE429D"/>
    <w:rsid w:val="00BF2DDD"/>
    <w:rsid w:val="00BF5383"/>
    <w:rsid w:val="00C332BF"/>
    <w:rsid w:val="00C50BAA"/>
    <w:rsid w:val="00C6091C"/>
    <w:rsid w:val="00C7039C"/>
    <w:rsid w:val="00C803D2"/>
    <w:rsid w:val="00C84BD6"/>
    <w:rsid w:val="00C8749F"/>
    <w:rsid w:val="00D11E62"/>
    <w:rsid w:val="00D16FDE"/>
    <w:rsid w:val="00D5251A"/>
    <w:rsid w:val="00D7336E"/>
    <w:rsid w:val="00D80767"/>
    <w:rsid w:val="00DA5591"/>
    <w:rsid w:val="00DB528F"/>
    <w:rsid w:val="00DE3258"/>
    <w:rsid w:val="00E07DEA"/>
    <w:rsid w:val="00E22419"/>
    <w:rsid w:val="00E46344"/>
    <w:rsid w:val="00E73AC7"/>
    <w:rsid w:val="00EC75EE"/>
    <w:rsid w:val="00F11A9C"/>
    <w:rsid w:val="00F351EC"/>
    <w:rsid w:val="00F3714C"/>
    <w:rsid w:val="00F40AFC"/>
    <w:rsid w:val="00F70E10"/>
    <w:rsid w:val="00FB6DCA"/>
    <w:rsid w:val="00FD185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63"/>
    <w:pPr>
      <w:spacing w:after="12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513463"/>
    <w:pPr>
      <w:keepNext/>
      <w:keepLines/>
      <w:numPr>
        <w:numId w:val="1"/>
      </w:numPr>
      <w:spacing w:after="36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463"/>
    <w:rPr>
      <w:rFonts w:ascii="Times New Roman" w:hAnsi="Times New Roman" w:eastAsiaTheme="majorEastAsia" w:cstheme="majorBidi"/>
      <w:b/>
      <w:bCs/>
      <w:color w:val="000000" w:themeColor="text1"/>
      <w:sz w:val="28"/>
      <w:szCs w:val="28"/>
    </w:rPr>
  </w:style>
  <w:style w:type="paragraph" w:styleId="Footer">
    <w:name w:val="footer"/>
    <w:basedOn w:val="Normal"/>
    <w:link w:val="FooterChar"/>
    <w:uiPriority w:val="99"/>
    <w:unhideWhenUsed/>
    <w:rsid w:val="00513463"/>
    <w:pPr>
      <w:tabs>
        <w:tab w:val="center" w:pos="4153"/>
        <w:tab w:val="right" w:pos="8306"/>
      </w:tabs>
      <w:spacing w:after="0"/>
    </w:pPr>
  </w:style>
  <w:style w:type="character" w:customStyle="1" w:styleId="FooterChar">
    <w:name w:val="Footer Char"/>
    <w:basedOn w:val="DefaultParagraphFont"/>
    <w:link w:val="Footer"/>
    <w:uiPriority w:val="99"/>
    <w:rsid w:val="00513463"/>
    <w:rPr>
      <w:rFonts w:ascii="Times New Roman" w:hAnsi="Times New Roman"/>
      <w:color w:val="000000" w:themeColor="text1"/>
      <w:sz w:val="24"/>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513463"/>
    <w:rPr>
      <w:vertAlign w:val="superscript"/>
    </w:rPr>
  </w:style>
  <w:style w:type="paragraph" w:customStyle="1" w:styleId="Char2">
    <w:name w:val="Char2"/>
    <w:aliases w:val="Char Char Char Char"/>
    <w:basedOn w:val="Normal"/>
    <w:next w:val="Normal"/>
    <w:link w:val="FootnoteReference"/>
    <w:uiPriority w:val="99"/>
    <w:rsid w:val="00513463"/>
    <w:pPr>
      <w:spacing w:line="240" w:lineRule="exact"/>
    </w:pPr>
    <w:rPr>
      <w:rFonts w:asciiTheme="minorHAnsi" w:hAnsiTheme="minorHAnsi"/>
      <w:color w:val="auto"/>
      <w:sz w:val="22"/>
      <w:vertAlign w:val="superscript"/>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513463"/>
    <w:pPr>
      <w:ind w:left="720"/>
      <w:contextualSpacing/>
    </w:p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link w:val="ListParagraph"/>
    <w:uiPriority w:val="34"/>
    <w:qFormat/>
    <w:rsid w:val="00513463"/>
    <w:rPr>
      <w:rFonts w:ascii="Times New Roman" w:hAnsi="Times New Roman"/>
      <w:color w:val="000000" w:themeColor="text1"/>
      <w:sz w:val="24"/>
    </w:rPr>
  </w:style>
  <w:style w:type="paragraph" w:styleId="FootnoteText">
    <w:name w:val="footnote text"/>
    <w:aliases w:val="Footnote,Footnote Text Char Char Char,Footnote Text Char Char Char Char Char,Footnote Text Char Char Char Char Char Char Char Char,Footnote Text Char1,Footnote Text Char1 Char,Footnote Text Char1 Char Char1 Char,Footnote Text Char2 Char,f"/>
    <w:basedOn w:val="Normal"/>
    <w:link w:val="FootnoteTextChar"/>
    <w:uiPriority w:val="99"/>
    <w:unhideWhenUsed/>
    <w:qFormat/>
    <w:rsid w:val="00513463"/>
    <w:pPr>
      <w:spacing w:after="0"/>
      <w:jc w:val="left"/>
    </w:pPr>
    <w:rPr>
      <w:rFonts w:asciiTheme="minorHAnsi" w:eastAsiaTheme="minorEastAsia" w:hAnsiTheme="minorHAnsi"/>
      <w:color w:val="auto"/>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 Char"/>
    <w:basedOn w:val="DefaultParagraphFont"/>
    <w:link w:val="FootnoteText"/>
    <w:uiPriority w:val="99"/>
    <w:rsid w:val="00513463"/>
    <w:rPr>
      <w:rFonts w:eastAsiaTheme="minorEastAsia"/>
      <w:sz w:val="20"/>
      <w:szCs w:val="20"/>
      <w:lang w:eastAsia="lv-LV"/>
    </w:rPr>
  </w:style>
  <w:style w:type="character" w:customStyle="1" w:styleId="st">
    <w:name w:val="st"/>
    <w:basedOn w:val="DefaultParagraphFont"/>
    <w:rsid w:val="00513463"/>
  </w:style>
  <w:style w:type="character" w:styleId="Emphasis">
    <w:name w:val="Emphasis"/>
    <w:basedOn w:val="DefaultParagraphFont"/>
    <w:uiPriority w:val="20"/>
    <w:qFormat/>
    <w:rsid w:val="00513463"/>
    <w:rPr>
      <w:i/>
      <w:iCs/>
    </w:rPr>
  </w:style>
  <w:style w:type="paragraph" w:styleId="Header">
    <w:name w:val="header"/>
    <w:basedOn w:val="Normal"/>
    <w:link w:val="HeaderChar"/>
    <w:uiPriority w:val="99"/>
    <w:semiHidden/>
    <w:unhideWhenUsed/>
    <w:rsid w:val="00513463"/>
    <w:pPr>
      <w:tabs>
        <w:tab w:val="center" w:pos="4153"/>
        <w:tab w:val="right" w:pos="8306"/>
      </w:tabs>
      <w:spacing w:after="0"/>
    </w:pPr>
  </w:style>
  <w:style w:type="character" w:customStyle="1" w:styleId="HeaderChar">
    <w:name w:val="Header Char"/>
    <w:basedOn w:val="DefaultParagraphFont"/>
    <w:link w:val="Header"/>
    <w:uiPriority w:val="99"/>
    <w:semiHidden/>
    <w:rsid w:val="00513463"/>
    <w:rPr>
      <w:rFonts w:ascii="Times New Roman" w:hAnsi="Times New Roman"/>
      <w:color w:val="000000" w:themeColor="text1"/>
      <w:sz w:val="24"/>
    </w:rPr>
  </w:style>
  <w:style w:type="character" w:styleId="Hyperlink">
    <w:name w:val="Hyperlink"/>
    <w:basedOn w:val="DefaultParagraphFont"/>
    <w:uiPriority w:val="99"/>
    <w:unhideWhenUsed/>
    <w:rsid w:val="00BA59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C438-EAC5-406C-AB75-F27F295E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8680</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Melnalksnis</dc:creator>
  <cp:lastModifiedBy>Davis Melnalksnis</cp:lastModifiedBy>
  <cp:revision>2</cp:revision>
  <dcterms:created xsi:type="dcterms:W3CDTF">2018-07-17T08:38:00Z</dcterms:created>
  <dcterms:modified xsi:type="dcterms:W3CDTF">2018-07-17T08:38:00Z</dcterms:modified>
</cp:coreProperties>
</file>