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A48E5" w:rsidRPr="00BC2758" w:rsidP="00894C55" w14:paraId="11B39D69"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BC2758">
        <w:rPr>
          <w:rFonts w:ascii="Times New Roman" w:eastAsia="Times New Roman" w:hAnsi="Times New Roman" w:cs="Times New Roman"/>
          <w:b/>
          <w:bCs/>
          <w:sz w:val="28"/>
          <w:szCs w:val="24"/>
          <w:lang w:eastAsia="lv-LV"/>
        </w:rPr>
        <w:t xml:space="preserve">Ministru kabineta noteikumu projekta </w:t>
      </w:r>
    </w:p>
    <w:p w:rsidR="00894C55" w:rsidRPr="00BC2758" w:rsidP="00894C55" w14:paraId="32AA810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BC2758">
        <w:rPr>
          <w:rFonts w:ascii="Times New Roman" w:eastAsia="Times New Roman" w:hAnsi="Times New Roman" w:cs="Times New Roman"/>
          <w:b/>
          <w:bCs/>
          <w:sz w:val="28"/>
          <w:szCs w:val="24"/>
          <w:lang w:eastAsia="lv-LV"/>
        </w:rPr>
        <w:t>“Grozījumi Ministru kabineta 2006.</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gada 31.</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oktobra noteikumos Nr.</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 xml:space="preserve">899 “Ambulatorajai ārstēšanai paredzēto zāļu </w:t>
      </w:r>
      <w:r w:rsidRPr="00BC2758" w:rsidR="007731E8">
        <w:rPr>
          <w:rFonts w:ascii="Times New Roman" w:eastAsia="Times New Roman" w:hAnsi="Times New Roman" w:cs="Times New Roman"/>
          <w:b/>
          <w:bCs/>
          <w:sz w:val="28"/>
          <w:szCs w:val="24"/>
          <w:lang w:eastAsia="lv-LV"/>
        </w:rPr>
        <w:t>un medicīnisko ierīču iegādes izdevumu kompensācijas kārtība”</w:t>
      </w:r>
      <w:r w:rsidRPr="00BC2758" w:rsidR="003B0BF9">
        <w:rPr>
          <w:rFonts w:ascii="Times New Roman" w:eastAsia="Times New Roman" w:hAnsi="Times New Roman" w:cs="Times New Roman"/>
          <w:b/>
          <w:bCs/>
          <w:sz w:val="28"/>
          <w:szCs w:val="24"/>
          <w:lang w:eastAsia="lv-LV"/>
        </w:rPr>
        <w:br/>
      </w:r>
      <w:r w:rsidRPr="00BC2758">
        <w:rPr>
          <w:rFonts w:ascii="Times New Roman" w:eastAsia="Times New Roman" w:hAnsi="Times New Roman" w:cs="Times New Roman"/>
          <w:b/>
          <w:bCs/>
          <w:sz w:val="28"/>
          <w:szCs w:val="24"/>
          <w:lang w:eastAsia="lv-LV"/>
        </w:rPr>
        <w:t>sākotnējās ietekmes novērtējuma ziņojums (anotācija)</w:t>
      </w:r>
    </w:p>
    <w:p w:rsidR="00E5323B" w:rsidRPr="00BC2758" w:rsidP="00894C55" w14:paraId="52242EF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69"/>
        <w:gridCol w:w="6086"/>
      </w:tblGrid>
      <w:tr w14:paraId="522DE56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5129F878"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Tiesību akta projekta anotācijas kopsavilkums</w:t>
            </w:r>
          </w:p>
        </w:tc>
      </w:tr>
      <w:tr w14:paraId="4B5861CE" w14:textId="77777777" w:rsidTr="00376DAE">
        <w:tblPrEx>
          <w:tblW w:w="5000" w:type="pct"/>
          <w:tblCellSpacing w:w="15" w:type="dxa"/>
          <w:tblCellMar>
            <w:top w:w="30" w:type="dxa"/>
            <w:left w:w="30" w:type="dxa"/>
            <w:bottom w:w="30" w:type="dxa"/>
            <w:right w:w="30" w:type="dxa"/>
          </w:tblCellMar>
          <w:tblLook w:val="04A0"/>
        </w:tblPrEx>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E5323B" w:rsidRPr="00BC2758" w:rsidP="00E5323B" w14:paraId="45C6FAD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rsidR="00EA2719" w:rsidRPr="00A821BA" w:rsidP="00A821BA" w14:paraId="7D91A9B9" w14:textId="77777777">
            <w:pPr>
              <w:spacing w:after="120" w:line="240" w:lineRule="auto"/>
              <w:jc w:val="both"/>
              <w:rPr>
                <w:rFonts w:ascii="Times New Roman" w:eastAsia="Times New Roman" w:hAnsi="Times New Roman" w:cs="Times New Roman"/>
                <w:iCs/>
                <w:sz w:val="24"/>
                <w:szCs w:val="24"/>
                <w:lang w:eastAsia="lv-LV"/>
              </w:rPr>
            </w:pPr>
            <w:r w:rsidRPr="00A821BA">
              <w:rPr>
                <w:rFonts w:ascii="Times New Roman" w:eastAsia="Times New Roman" w:hAnsi="Times New Roman" w:cs="Times New Roman"/>
                <w:iCs/>
                <w:sz w:val="24"/>
                <w:szCs w:val="24"/>
                <w:lang w:eastAsia="lv-LV"/>
              </w:rPr>
              <w:t>1. </w:t>
            </w:r>
            <w:r w:rsidRPr="00A821BA" w:rsidR="00CF30C4">
              <w:rPr>
                <w:rFonts w:ascii="Times New Roman" w:eastAsia="Times New Roman" w:hAnsi="Times New Roman" w:cs="Times New Roman"/>
                <w:iCs/>
                <w:sz w:val="24"/>
                <w:szCs w:val="24"/>
                <w:lang w:eastAsia="lv-LV"/>
              </w:rPr>
              <w:t>Uzlabot zāļu pieejamību:</w:t>
            </w:r>
          </w:p>
          <w:p w:rsidR="00CF30C4" w:rsidRPr="00CF30C4" w:rsidP="00CF30C4" w14:paraId="58291112"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F30C4">
              <w:rPr>
                <w:rFonts w:ascii="Times New Roman" w:eastAsia="Times New Roman" w:hAnsi="Times New Roman" w:cs="Times New Roman"/>
                <w:iCs/>
                <w:sz w:val="24"/>
                <w:szCs w:val="24"/>
                <w:lang w:eastAsia="lv-LV"/>
              </w:rPr>
              <w:t>.1. iekļaujot jaunas diagnozes un palielinot kompensācijas apmēru esošajām;</w:t>
            </w:r>
          </w:p>
          <w:p w:rsidR="00CF30C4" w:rsidP="00CF30C4" w14:paraId="3A80CAE9"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F30C4">
              <w:rPr>
                <w:rFonts w:ascii="Times New Roman" w:eastAsia="Times New Roman" w:hAnsi="Times New Roman" w:cs="Times New Roman"/>
                <w:iCs/>
                <w:sz w:val="24"/>
                <w:szCs w:val="24"/>
                <w:lang w:eastAsia="lv-LV"/>
              </w:rPr>
              <w:t>.2. samazinot pacientu līdzmaksājumu (</w:t>
            </w:r>
            <w:r>
              <w:rPr>
                <w:rFonts w:ascii="Times New Roman" w:eastAsia="Times New Roman" w:hAnsi="Times New Roman" w:cs="Times New Roman"/>
                <w:iCs/>
                <w:sz w:val="24"/>
                <w:szCs w:val="24"/>
                <w:lang w:eastAsia="lv-LV"/>
              </w:rPr>
              <w:t>cenu koridors A saraksta zālēm).</w:t>
            </w:r>
          </w:p>
          <w:p w:rsidR="00E13E2C" w:rsidP="004536EC" w14:paraId="79F531A5"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D406D7">
              <w:rPr>
                <w:rFonts w:ascii="Times New Roman" w:eastAsia="Times New Roman" w:hAnsi="Times New Roman" w:cs="Times New Roman"/>
                <w:iCs/>
                <w:sz w:val="24"/>
                <w:szCs w:val="24"/>
                <w:lang w:eastAsia="lv-LV"/>
              </w:rPr>
              <w:t>.</w:t>
            </w:r>
            <w:r w:rsidR="004536EC">
              <w:rPr>
                <w:rFonts w:ascii="Times New Roman" w:eastAsia="Times New Roman" w:hAnsi="Times New Roman" w:cs="Times New Roman"/>
                <w:iCs/>
                <w:sz w:val="24"/>
                <w:szCs w:val="24"/>
                <w:lang w:eastAsia="lv-LV"/>
              </w:rPr>
              <w:t> </w:t>
            </w:r>
            <w:r w:rsidR="00D406D7">
              <w:rPr>
                <w:rFonts w:ascii="Times New Roman" w:eastAsia="Times New Roman" w:hAnsi="Times New Roman" w:cs="Times New Roman"/>
                <w:iCs/>
                <w:sz w:val="24"/>
                <w:szCs w:val="24"/>
                <w:lang w:eastAsia="lv-LV"/>
              </w:rPr>
              <w:t>Paātrināt jaunu,</w:t>
            </w:r>
            <w:r>
              <w:rPr>
                <w:rFonts w:ascii="Times New Roman" w:eastAsia="Times New Roman" w:hAnsi="Times New Roman" w:cs="Times New Roman"/>
                <w:iCs/>
                <w:sz w:val="24"/>
                <w:szCs w:val="24"/>
                <w:lang w:eastAsia="lv-LV"/>
              </w:rPr>
              <w:t xml:space="preserve"> tostarp</w:t>
            </w:r>
            <w:r w:rsidR="00D406D7">
              <w:rPr>
                <w:rFonts w:ascii="Times New Roman" w:eastAsia="Times New Roman" w:hAnsi="Times New Roman" w:cs="Times New Roman"/>
                <w:iCs/>
                <w:sz w:val="24"/>
                <w:szCs w:val="24"/>
                <w:lang w:eastAsia="lv-LV"/>
              </w:rPr>
              <w:t xml:space="preserve"> lētāku zāļu ienākšanu kompensējamo zāļu sarakstā</w:t>
            </w:r>
            <w:r>
              <w:rPr>
                <w:rFonts w:ascii="Times New Roman" w:eastAsia="Times New Roman" w:hAnsi="Times New Roman" w:cs="Times New Roman"/>
                <w:iCs/>
                <w:sz w:val="24"/>
                <w:szCs w:val="24"/>
                <w:lang w:eastAsia="lv-LV"/>
              </w:rPr>
              <w:t xml:space="preserve"> (</w:t>
            </w:r>
            <w:r w:rsidR="0031559D">
              <w:rPr>
                <w:rFonts w:ascii="Times New Roman" w:eastAsia="Times New Roman" w:hAnsi="Times New Roman" w:cs="Times New Roman"/>
                <w:iCs/>
                <w:sz w:val="24"/>
                <w:szCs w:val="24"/>
                <w:lang w:eastAsia="lv-LV"/>
              </w:rPr>
              <w:t xml:space="preserve">turpmāk – </w:t>
            </w:r>
            <w:r>
              <w:rPr>
                <w:rFonts w:ascii="Times New Roman" w:eastAsia="Times New Roman" w:hAnsi="Times New Roman" w:cs="Times New Roman"/>
                <w:iCs/>
                <w:sz w:val="24"/>
                <w:szCs w:val="24"/>
                <w:lang w:eastAsia="lv-LV"/>
              </w:rPr>
              <w:t>KZS)</w:t>
            </w:r>
            <w:r w:rsidR="00D406D7">
              <w:rPr>
                <w:rFonts w:ascii="Times New Roman" w:eastAsia="Times New Roman" w:hAnsi="Times New Roman" w:cs="Times New Roman"/>
                <w:iCs/>
                <w:sz w:val="24"/>
                <w:szCs w:val="24"/>
                <w:lang w:eastAsia="lv-LV"/>
              </w:rPr>
              <w:t>, ļaujot savlaicīgi pielīdzināt</w:t>
            </w:r>
            <w:r>
              <w:rPr>
                <w:rFonts w:ascii="Times New Roman" w:eastAsia="Times New Roman" w:hAnsi="Times New Roman" w:cs="Times New Roman"/>
                <w:iCs/>
                <w:sz w:val="24"/>
                <w:szCs w:val="24"/>
                <w:lang w:eastAsia="lv-LV"/>
              </w:rPr>
              <w:t xml:space="preserve"> esošo zāļu cenas</w:t>
            </w:r>
            <w:r>
              <w:rPr>
                <w:rFonts w:ascii="Times New Roman" w:eastAsia="Times New Roman" w:hAnsi="Times New Roman" w:cs="Times New Roman"/>
                <w:iCs/>
                <w:sz w:val="24"/>
                <w:szCs w:val="24"/>
                <w:lang w:eastAsia="lv-LV"/>
              </w:rPr>
              <w:t>:</w:t>
            </w:r>
          </w:p>
          <w:p w:rsidR="00CF30C4" w:rsidP="004536EC" w14:paraId="4E7E8173"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KZS pārskatīšana reizi mēnesī;</w:t>
            </w:r>
          </w:p>
          <w:p w:rsidR="00D406D7" w:rsidP="00A252DA" w14:paraId="6638F204"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precizēti zāļu vērtēšanas kritēriji (iegūti kvalitatīvi dzīves gadi)</w:t>
            </w:r>
            <w:r w:rsidR="00A252DA">
              <w:rPr>
                <w:rFonts w:ascii="Times New Roman" w:eastAsia="Times New Roman" w:hAnsi="Times New Roman" w:cs="Times New Roman"/>
                <w:iCs/>
                <w:sz w:val="24"/>
                <w:szCs w:val="24"/>
                <w:lang w:eastAsia="lv-LV"/>
              </w:rPr>
              <w:t>.</w:t>
            </w:r>
          </w:p>
          <w:p w:rsidR="00C60451" w:rsidRPr="00BC2758" w:rsidP="00A252DA" w14:paraId="31A96A1B" w14:textId="77777777">
            <w:pPr>
              <w:spacing w:after="120" w:line="240" w:lineRule="auto"/>
              <w:jc w:val="both"/>
              <w:rPr>
                <w:rFonts w:ascii="Times New Roman" w:eastAsia="Times New Roman" w:hAnsi="Times New Roman" w:cs="Times New Roman"/>
                <w:iCs/>
                <w:sz w:val="24"/>
                <w:szCs w:val="24"/>
                <w:lang w:eastAsia="lv-LV"/>
              </w:rPr>
            </w:pPr>
            <w:r w:rsidRPr="00C60451">
              <w:rPr>
                <w:rFonts w:ascii="Times New Roman" w:eastAsia="Times New Roman" w:hAnsi="Times New Roman" w:cs="Times New Roman"/>
                <w:iCs/>
                <w:sz w:val="24"/>
                <w:szCs w:val="24"/>
                <w:lang w:eastAsia="lv-LV"/>
              </w:rPr>
              <w:t>Noteikumi stā</w:t>
            </w:r>
            <w:r w:rsidR="00AC010A">
              <w:rPr>
                <w:rFonts w:ascii="Times New Roman" w:eastAsia="Times New Roman" w:hAnsi="Times New Roman" w:cs="Times New Roman"/>
                <w:iCs/>
                <w:sz w:val="24"/>
                <w:szCs w:val="24"/>
                <w:lang w:eastAsia="lv-LV"/>
              </w:rPr>
              <w:t>jas spēkā 2018.gada 15. augustā</w:t>
            </w:r>
            <w:r w:rsidRPr="00C60451">
              <w:rPr>
                <w:rFonts w:ascii="Times New Roman" w:eastAsia="Times New Roman" w:hAnsi="Times New Roman" w:cs="Times New Roman"/>
                <w:iCs/>
                <w:sz w:val="24"/>
                <w:szCs w:val="24"/>
                <w:lang w:eastAsia="lv-LV"/>
              </w:rPr>
              <w:t>, izņemot atsevišķas normas</w:t>
            </w:r>
            <w:r w:rsidR="002F0193">
              <w:rPr>
                <w:rFonts w:ascii="Times New Roman" w:eastAsia="Times New Roman" w:hAnsi="Times New Roman" w:cs="Times New Roman"/>
                <w:iCs/>
                <w:sz w:val="24"/>
                <w:szCs w:val="24"/>
                <w:lang w:eastAsia="lv-LV"/>
              </w:rPr>
              <w:t>,</w:t>
            </w:r>
            <w:r w:rsidRPr="00C60451">
              <w:rPr>
                <w:rFonts w:ascii="Times New Roman" w:eastAsia="Times New Roman" w:hAnsi="Times New Roman" w:cs="Times New Roman"/>
                <w:iCs/>
                <w:sz w:val="24"/>
                <w:szCs w:val="24"/>
                <w:lang w:eastAsia="lv-LV"/>
              </w:rPr>
              <w:t xml:space="preserve"> </w:t>
            </w:r>
            <w:r w:rsidR="00AC010A">
              <w:rPr>
                <w:rFonts w:ascii="Times New Roman" w:eastAsia="Times New Roman" w:hAnsi="Times New Roman" w:cs="Times New Roman"/>
                <w:iCs/>
                <w:sz w:val="24"/>
                <w:szCs w:val="24"/>
                <w:lang w:eastAsia="lv-LV"/>
              </w:rPr>
              <w:t xml:space="preserve">kas stāsies spēkā </w:t>
            </w:r>
            <w:r w:rsidR="002F0193">
              <w:rPr>
                <w:rFonts w:ascii="Times New Roman" w:eastAsia="Times New Roman" w:hAnsi="Times New Roman" w:cs="Times New Roman"/>
                <w:iCs/>
                <w:sz w:val="24"/>
                <w:szCs w:val="24"/>
                <w:lang w:eastAsia="lv-LV"/>
              </w:rPr>
              <w:t xml:space="preserve">2019. gada 1. janvārī (vairākas </w:t>
            </w:r>
            <w:r w:rsidRPr="00C60451">
              <w:rPr>
                <w:rFonts w:ascii="Times New Roman" w:eastAsia="Times New Roman" w:hAnsi="Times New Roman" w:cs="Times New Roman"/>
                <w:iCs/>
                <w:sz w:val="24"/>
                <w:szCs w:val="24"/>
                <w:lang w:eastAsia="lv-LV"/>
              </w:rPr>
              <w:t>jaunā</w:t>
            </w:r>
            <w:r w:rsidR="002F0193">
              <w:rPr>
                <w:rFonts w:ascii="Times New Roman" w:eastAsia="Times New Roman" w:hAnsi="Times New Roman" w:cs="Times New Roman"/>
                <w:iCs/>
                <w:sz w:val="24"/>
                <w:szCs w:val="24"/>
                <w:lang w:eastAsia="lv-LV"/>
              </w:rPr>
              <w:t>s</w:t>
            </w:r>
            <w:r w:rsidRPr="00C60451">
              <w:rPr>
                <w:rFonts w:ascii="Times New Roman" w:eastAsia="Times New Roman" w:hAnsi="Times New Roman" w:cs="Times New Roman"/>
                <w:iCs/>
                <w:sz w:val="24"/>
                <w:szCs w:val="24"/>
                <w:lang w:eastAsia="lv-LV"/>
              </w:rPr>
              <w:t xml:space="preserve"> diagnoz</w:t>
            </w:r>
            <w:r w:rsidR="002F0193">
              <w:rPr>
                <w:rFonts w:ascii="Times New Roman" w:eastAsia="Times New Roman" w:hAnsi="Times New Roman" w:cs="Times New Roman"/>
                <w:iCs/>
                <w:sz w:val="24"/>
                <w:szCs w:val="24"/>
                <w:lang w:eastAsia="lv-LV"/>
              </w:rPr>
              <w:t>es</w:t>
            </w:r>
            <w:r w:rsidRPr="00C60451">
              <w:rPr>
                <w:rFonts w:ascii="Times New Roman" w:eastAsia="Times New Roman" w:hAnsi="Times New Roman" w:cs="Times New Roman"/>
                <w:iCs/>
                <w:sz w:val="24"/>
                <w:szCs w:val="24"/>
                <w:lang w:eastAsia="lv-LV"/>
              </w:rPr>
              <w:t xml:space="preserve">, </w:t>
            </w:r>
            <w:r w:rsidR="002F0193">
              <w:rPr>
                <w:rFonts w:ascii="Times New Roman" w:eastAsia="Times New Roman" w:hAnsi="Times New Roman" w:cs="Times New Roman"/>
                <w:iCs/>
                <w:sz w:val="24"/>
                <w:szCs w:val="24"/>
                <w:lang w:eastAsia="lv-LV"/>
              </w:rPr>
              <w:t xml:space="preserve"> informācijas aprite</w:t>
            </w:r>
            <w:r w:rsidRPr="00C60451">
              <w:rPr>
                <w:rFonts w:ascii="Times New Roman" w:eastAsia="Times New Roman" w:hAnsi="Times New Roman" w:cs="Times New Roman"/>
                <w:iCs/>
                <w:sz w:val="24"/>
                <w:szCs w:val="24"/>
                <w:lang w:eastAsia="lv-LV"/>
              </w:rPr>
              <w:t xml:space="preserve"> ar Zāļu valsts aģentūru</w:t>
            </w:r>
            <w:r w:rsidR="0031559D">
              <w:rPr>
                <w:rFonts w:ascii="Times New Roman" w:eastAsia="Times New Roman" w:hAnsi="Times New Roman" w:cs="Times New Roman"/>
                <w:iCs/>
                <w:sz w:val="24"/>
                <w:szCs w:val="24"/>
                <w:lang w:eastAsia="lv-LV"/>
              </w:rPr>
              <w:t xml:space="preserve"> (turpmāk – ZVA)</w:t>
            </w:r>
            <w:r w:rsidR="002F0193">
              <w:rPr>
                <w:rFonts w:ascii="Times New Roman" w:eastAsia="Times New Roman" w:hAnsi="Times New Roman" w:cs="Times New Roman"/>
                <w:iCs/>
                <w:sz w:val="24"/>
                <w:szCs w:val="24"/>
                <w:lang w:eastAsia="lv-LV"/>
              </w:rPr>
              <w:t>).</w:t>
            </w:r>
          </w:p>
        </w:tc>
      </w:tr>
    </w:tbl>
    <w:p w:rsidR="00E5323B" w:rsidRPr="00BC2758" w:rsidP="00E5323B" w14:paraId="18ACE71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387"/>
        <w:gridCol w:w="6087"/>
      </w:tblGrid>
      <w:tr w14:paraId="1472820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3C2938BD"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 Tiesību akta projekta izstrādes nepieciešamība</w:t>
            </w:r>
          </w:p>
        </w:tc>
      </w:tr>
      <w:tr w14:paraId="4DC01539" w14:textId="77777777" w:rsidTr="00376DA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P="00E5323B" w14:paraId="07F3187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P="00E5323B" w14:paraId="13FD6EF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rsidR="00E5323B" w:rsidP="00441DEB" w14:paraId="7C977B68"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BC2758" w:rsidR="000F2CA3">
              <w:rPr>
                <w:rFonts w:ascii="Times New Roman" w:eastAsia="Times New Roman" w:hAnsi="Times New Roman" w:cs="Times New Roman"/>
                <w:iCs/>
                <w:sz w:val="24"/>
                <w:szCs w:val="24"/>
                <w:lang w:eastAsia="lv-LV"/>
              </w:rPr>
              <w:t>Farmācijas likuma 5.</w:t>
            </w:r>
            <w:r>
              <w:rPr>
                <w:rFonts w:ascii="Times New Roman" w:eastAsia="Times New Roman" w:hAnsi="Times New Roman" w:cs="Times New Roman"/>
                <w:iCs/>
                <w:sz w:val="24"/>
                <w:szCs w:val="24"/>
                <w:lang w:eastAsia="lv-LV"/>
              </w:rPr>
              <w:t> </w:t>
            </w:r>
            <w:r w:rsidRPr="00BC2758" w:rsidR="000F2CA3">
              <w:rPr>
                <w:rFonts w:ascii="Times New Roman" w:eastAsia="Times New Roman" w:hAnsi="Times New Roman" w:cs="Times New Roman"/>
                <w:iCs/>
                <w:sz w:val="24"/>
                <w:szCs w:val="24"/>
                <w:lang w:eastAsia="lv-LV"/>
              </w:rPr>
              <w:t>panta 20.</w:t>
            </w:r>
            <w:r>
              <w:rPr>
                <w:rFonts w:ascii="Times New Roman" w:eastAsia="Times New Roman" w:hAnsi="Times New Roman" w:cs="Times New Roman"/>
                <w:iCs/>
                <w:sz w:val="24"/>
                <w:szCs w:val="24"/>
                <w:lang w:eastAsia="lv-LV"/>
              </w:rPr>
              <w:t> </w:t>
            </w:r>
            <w:r w:rsidRPr="00BC2758" w:rsidR="000F2CA3">
              <w:rPr>
                <w:rFonts w:ascii="Times New Roman" w:eastAsia="Times New Roman" w:hAnsi="Times New Roman" w:cs="Times New Roman"/>
                <w:iCs/>
                <w:sz w:val="24"/>
                <w:szCs w:val="24"/>
                <w:lang w:eastAsia="lv-LV"/>
              </w:rPr>
              <w:t>punkt</w:t>
            </w:r>
            <w:r w:rsidR="00F249C6">
              <w:rPr>
                <w:rFonts w:ascii="Times New Roman" w:eastAsia="Times New Roman" w:hAnsi="Times New Roman" w:cs="Times New Roman"/>
                <w:iCs/>
                <w:sz w:val="24"/>
                <w:szCs w:val="24"/>
                <w:lang w:eastAsia="lv-LV"/>
              </w:rPr>
              <w:t>s;</w:t>
            </w:r>
            <w:r w:rsidRPr="00BC2758" w:rsidR="000F2CA3">
              <w:rPr>
                <w:rFonts w:ascii="Times New Roman" w:eastAsia="Times New Roman" w:hAnsi="Times New Roman" w:cs="Times New Roman"/>
                <w:iCs/>
                <w:sz w:val="24"/>
                <w:szCs w:val="24"/>
                <w:lang w:eastAsia="lv-LV"/>
              </w:rPr>
              <w:t xml:space="preserve"> </w:t>
            </w:r>
          </w:p>
          <w:p w:rsidR="00F249C6" w:rsidP="00F249C6" w14:paraId="5A663805"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Pr="00F249C6">
              <w:rPr>
                <w:rFonts w:ascii="Times New Roman" w:eastAsia="Times New Roman" w:hAnsi="Times New Roman" w:cs="Times New Roman"/>
                <w:iCs/>
                <w:sz w:val="24"/>
                <w:szCs w:val="24"/>
                <w:lang w:eastAsia="lv-LV"/>
              </w:rPr>
              <w:t>Veselības aprūpes finansēšanas likums</w:t>
            </w:r>
            <w:r>
              <w:rPr>
                <w:rFonts w:ascii="Times New Roman" w:eastAsia="Times New Roman" w:hAnsi="Times New Roman" w:cs="Times New Roman"/>
                <w:iCs/>
                <w:sz w:val="24"/>
                <w:szCs w:val="24"/>
                <w:lang w:eastAsia="lv-LV"/>
              </w:rPr>
              <w:t>;</w:t>
            </w:r>
            <w:r w:rsidRPr="00F249C6">
              <w:rPr>
                <w:rFonts w:ascii="Times New Roman" w:eastAsia="Times New Roman" w:hAnsi="Times New Roman" w:cs="Times New Roman"/>
                <w:iCs/>
                <w:sz w:val="24"/>
                <w:szCs w:val="24"/>
                <w:lang w:eastAsia="lv-LV"/>
              </w:rPr>
              <w:t xml:space="preserve"> </w:t>
            </w:r>
          </w:p>
          <w:p w:rsidR="009840F9" w:rsidRPr="00F249C6" w:rsidP="00F249C6" w14:paraId="1E7FFFB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k</w:t>
            </w:r>
            <w:r w:rsidRPr="009840F9">
              <w:rPr>
                <w:rFonts w:ascii="Times New Roman" w:eastAsia="Times New Roman" w:hAnsi="Times New Roman" w:cs="Times New Roman"/>
                <w:iCs/>
                <w:sz w:val="24"/>
                <w:szCs w:val="24"/>
                <w:lang w:eastAsia="lv-LV"/>
              </w:rPr>
              <w:t>onceptuālais ziņojums “Par veselības aprūpes sistēmas reformu”</w:t>
            </w:r>
            <w:r>
              <w:rPr>
                <w:rFonts w:ascii="Times New Roman" w:eastAsia="Times New Roman" w:hAnsi="Times New Roman" w:cs="Times New Roman"/>
                <w:iCs/>
                <w:sz w:val="24"/>
                <w:szCs w:val="24"/>
                <w:lang w:eastAsia="lv-LV"/>
              </w:rPr>
              <w:t>;</w:t>
            </w:r>
          </w:p>
          <w:p w:rsidR="00F249C6" w:rsidRPr="00BC2758" w:rsidP="00F249C6" w14:paraId="2F82F36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w:t>
            </w:r>
            <w:r w:rsidRPr="00F249C6">
              <w:rPr>
                <w:rFonts w:ascii="Times New Roman" w:eastAsia="Times New Roman" w:hAnsi="Times New Roman" w:cs="Times New Roman"/>
                <w:iCs/>
                <w:sz w:val="24"/>
                <w:szCs w:val="24"/>
                <w:lang w:eastAsia="lv-LV"/>
              </w:rPr>
              <w:t>Ministru kabineta 2017.</w:t>
            </w:r>
            <w:r>
              <w:rPr>
                <w:rFonts w:ascii="Times New Roman" w:eastAsia="Times New Roman" w:hAnsi="Times New Roman" w:cs="Times New Roman"/>
                <w:iCs/>
                <w:sz w:val="24"/>
                <w:szCs w:val="24"/>
                <w:lang w:eastAsia="lv-LV"/>
              </w:rPr>
              <w:t> </w:t>
            </w:r>
            <w:r w:rsidRPr="00F249C6">
              <w:rPr>
                <w:rFonts w:ascii="Times New Roman" w:eastAsia="Times New Roman" w:hAnsi="Times New Roman" w:cs="Times New Roman"/>
                <w:iCs/>
                <w:sz w:val="24"/>
                <w:szCs w:val="24"/>
                <w:lang w:eastAsia="lv-LV"/>
              </w:rPr>
              <w:t>gada 23.</w:t>
            </w:r>
            <w:r>
              <w:rPr>
                <w:rFonts w:ascii="Times New Roman" w:eastAsia="Times New Roman" w:hAnsi="Times New Roman" w:cs="Times New Roman"/>
                <w:iCs/>
                <w:sz w:val="24"/>
                <w:szCs w:val="24"/>
                <w:lang w:eastAsia="lv-LV"/>
              </w:rPr>
              <w:t> oktobra rīkojums Nr. </w:t>
            </w:r>
            <w:r w:rsidRPr="00F249C6">
              <w:rPr>
                <w:rFonts w:ascii="Times New Roman" w:eastAsia="Times New Roman" w:hAnsi="Times New Roman" w:cs="Times New Roman"/>
                <w:iCs/>
                <w:sz w:val="24"/>
                <w:szCs w:val="24"/>
                <w:lang w:eastAsia="lv-LV"/>
              </w:rPr>
              <w:t>602 “Par Plānu reto slimību jomā 2017.-2020. gadam”</w:t>
            </w:r>
          </w:p>
        </w:tc>
      </w:tr>
      <w:tr w14:paraId="38FBA9EA" w14:textId="77777777" w:rsidTr="00376DA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16CC" w:rsidRPr="00BC2758" w:rsidP="003D16CC" w14:paraId="5CFB1A0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3D16CC" w:rsidP="003D16CC" w14:paraId="28215A3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3D16CC" w:rsidRPr="006077DE" w:rsidP="003D16CC" w14:paraId="228F2FF3" w14:textId="77777777">
            <w:pPr>
              <w:rPr>
                <w:rFonts w:ascii="Times New Roman" w:eastAsia="Times New Roman" w:hAnsi="Times New Roman" w:cs="Times New Roman"/>
                <w:sz w:val="24"/>
                <w:szCs w:val="24"/>
                <w:lang w:eastAsia="lv-LV"/>
              </w:rPr>
            </w:pPr>
          </w:p>
          <w:p w:rsidR="003D16CC" w:rsidRPr="006077DE" w:rsidP="003D16CC" w14:paraId="6A2F3EB0" w14:textId="77777777">
            <w:pPr>
              <w:rPr>
                <w:rFonts w:ascii="Times New Roman" w:eastAsia="Times New Roman" w:hAnsi="Times New Roman" w:cs="Times New Roman"/>
                <w:sz w:val="24"/>
                <w:szCs w:val="24"/>
                <w:lang w:eastAsia="lv-LV"/>
              </w:rPr>
            </w:pPr>
          </w:p>
          <w:p w:rsidR="003D16CC" w:rsidRPr="006077DE" w:rsidP="003D16CC" w14:paraId="3184D5BB" w14:textId="77777777">
            <w:pPr>
              <w:rPr>
                <w:rFonts w:ascii="Times New Roman" w:eastAsia="Times New Roman" w:hAnsi="Times New Roman" w:cs="Times New Roman"/>
                <w:sz w:val="24"/>
                <w:szCs w:val="24"/>
                <w:lang w:eastAsia="lv-LV"/>
              </w:rPr>
            </w:pPr>
          </w:p>
          <w:p w:rsidR="003D16CC" w:rsidRPr="006077DE" w:rsidP="003D16CC" w14:paraId="50084112" w14:textId="77777777">
            <w:pPr>
              <w:rPr>
                <w:rFonts w:ascii="Times New Roman" w:eastAsia="Times New Roman" w:hAnsi="Times New Roman" w:cs="Times New Roman"/>
                <w:sz w:val="24"/>
                <w:szCs w:val="24"/>
                <w:lang w:eastAsia="lv-LV"/>
              </w:rPr>
            </w:pPr>
          </w:p>
          <w:p w:rsidR="003D16CC" w:rsidRPr="006077DE" w:rsidP="003D16CC" w14:paraId="67B53D15" w14:textId="77777777">
            <w:pPr>
              <w:rPr>
                <w:rFonts w:ascii="Times New Roman" w:eastAsia="Times New Roman" w:hAnsi="Times New Roman" w:cs="Times New Roman"/>
                <w:sz w:val="24"/>
                <w:szCs w:val="24"/>
                <w:lang w:eastAsia="lv-LV"/>
              </w:rPr>
            </w:pPr>
          </w:p>
          <w:p w:rsidR="003D16CC" w:rsidRPr="006077DE" w:rsidP="003D16CC" w14:paraId="2EF53DE6" w14:textId="77777777">
            <w:pPr>
              <w:rPr>
                <w:rFonts w:ascii="Times New Roman" w:eastAsia="Times New Roman" w:hAnsi="Times New Roman" w:cs="Times New Roman"/>
                <w:sz w:val="24"/>
                <w:szCs w:val="24"/>
                <w:lang w:eastAsia="lv-LV"/>
              </w:rPr>
            </w:pPr>
          </w:p>
          <w:p w:rsidR="003D16CC" w:rsidRPr="006077DE" w:rsidP="003D16CC" w14:paraId="11547048" w14:textId="77777777">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rsidR="003D16CC" w:rsidRPr="001731D1" w:rsidP="003D16CC" w14:paraId="6F6437D2"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1. Saskaņā ar Veselības aprūpes finansēšanas likum</w:t>
            </w:r>
            <w:r w:rsidR="005809AD">
              <w:rPr>
                <w:rFonts w:ascii="Times New Roman" w:eastAsia="Times New Roman" w:hAnsi="Times New Roman" w:cs="Times New Roman"/>
                <w:iCs/>
                <w:sz w:val="24"/>
                <w:szCs w:val="24"/>
                <w:lang w:eastAsia="lv-LV"/>
              </w:rPr>
              <w:t>a 6. panta trešās daļas 4. punktu</w:t>
            </w:r>
            <w:r w:rsidRPr="001731D1">
              <w:rPr>
                <w:rFonts w:ascii="Times New Roman" w:eastAsia="Times New Roman" w:hAnsi="Times New Roman" w:cs="Times New Roman"/>
                <w:iCs/>
                <w:sz w:val="24"/>
                <w:szCs w:val="24"/>
                <w:lang w:eastAsia="lv-LV"/>
              </w:rPr>
              <w:t xml:space="preserve"> noteikumu projekts paredz nodrošināt zāļu kompensāciju sievietēm </w:t>
            </w:r>
            <w:r w:rsidRPr="001731D1">
              <w:rPr>
                <w:rFonts w:ascii="Times New Roman" w:eastAsia="Times New Roman" w:hAnsi="Times New Roman" w:cs="Times New Roman"/>
                <w:iCs/>
                <w:sz w:val="24"/>
                <w:szCs w:val="24"/>
                <w:lang w:eastAsia="lv-LV"/>
              </w:rPr>
              <w:t>pēcdzemdību</w:t>
            </w:r>
            <w:r w:rsidRPr="001731D1">
              <w:rPr>
                <w:rFonts w:ascii="Times New Roman" w:eastAsia="Times New Roman" w:hAnsi="Times New Roman" w:cs="Times New Roman"/>
                <w:iCs/>
                <w:sz w:val="24"/>
                <w:szCs w:val="24"/>
                <w:lang w:eastAsia="lv-LV"/>
              </w:rPr>
              <w:t xml:space="preserve"> periodā līdz 70 dienām līdzšinējo 42 dienu vietā. (noteikumu projekta 1.1. un 1.16.</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72BE5FEF"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2. Ministru kabineta 2006.</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gada 31.</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oktobra noteikum</w:t>
            </w:r>
            <w:r w:rsidR="00D17739">
              <w:rPr>
                <w:rFonts w:ascii="Times New Roman" w:eastAsia="Times New Roman" w:hAnsi="Times New Roman" w:cs="Times New Roman"/>
                <w:iCs/>
                <w:sz w:val="24"/>
                <w:szCs w:val="24"/>
                <w:lang w:eastAsia="lv-LV"/>
              </w:rPr>
              <w:t>u</w:t>
            </w:r>
            <w:r w:rsidRPr="001731D1">
              <w:rPr>
                <w:rFonts w:ascii="Times New Roman" w:eastAsia="Times New Roman" w:hAnsi="Times New Roman" w:cs="Times New Roman"/>
                <w:iCs/>
                <w:sz w:val="24"/>
                <w:szCs w:val="24"/>
                <w:lang w:eastAsia="lv-LV"/>
              </w:rPr>
              <w:t xml:space="preserve">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899 “Ambulatorajai ārstēšanai paredzēto zāļu un medicīnisko ierīču iegādes izdevumu kompensācijas kārtība” (turpmāk – noteikumi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899) </w:t>
            </w:r>
            <w:r w:rsidR="00DA4659">
              <w:rPr>
                <w:rFonts w:ascii="Times New Roman" w:eastAsia="Times New Roman" w:hAnsi="Times New Roman" w:cs="Times New Roman"/>
                <w:iCs/>
                <w:sz w:val="24"/>
                <w:szCs w:val="24"/>
                <w:lang w:eastAsia="lv-LV"/>
              </w:rPr>
              <w:t>62.</w:t>
            </w:r>
            <w:r w:rsidR="00DA4659">
              <w:rPr>
                <w:rFonts w:ascii="Times New Roman" w:eastAsia="Times New Roman" w:hAnsi="Times New Roman" w:cs="Times New Roman"/>
                <w:iCs/>
                <w:sz w:val="24"/>
                <w:szCs w:val="24"/>
                <w:vertAlign w:val="superscript"/>
                <w:lang w:eastAsia="lv-LV"/>
              </w:rPr>
              <w:t>1</w:t>
            </w:r>
            <w:r w:rsidR="00DA4659">
              <w:rPr>
                <w:rFonts w:ascii="Times New Roman" w:eastAsia="Times New Roman" w:hAnsi="Times New Roman" w:cs="Times New Roman"/>
                <w:iCs/>
                <w:sz w:val="24"/>
                <w:szCs w:val="24"/>
                <w:lang w:eastAsia="lv-LV"/>
              </w:rPr>
              <w:t xml:space="preserve"> punkts </w:t>
            </w:r>
            <w:r w:rsidRPr="001731D1">
              <w:rPr>
                <w:rFonts w:ascii="Times New Roman" w:eastAsia="Times New Roman" w:hAnsi="Times New Roman" w:cs="Times New Roman"/>
                <w:iCs/>
                <w:sz w:val="24"/>
                <w:szCs w:val="24"/>
                <w:lang w:eastAsia="lv-LV"/>
              </w:rPr>
              <w:t>šobrīd paredz KZS pārskatīšanu četras reizes gadā (izņemot gadījumus, kad aktualizē para</w:t>
            </w:r>
            <w:r w:rsidR="0031559D">
              <w:rPr>
                <w:rFonts w:ascii="Times New Roman" w:eastAsia="Times New Roman" w:hAnsi="Times New Roman" w:cs="Times New Roman"/>
                <w:iCs/>
                <w:sz w:val="24"/>
                <w:szCs w:val="24"/>
                <w:lang w:eastAsia="lv-LV"/>
              </w:rPr>
              <w:t xml:space="preserve">lēli importēto zāļu cenas – </w:t>
            </w:r>
            <w:r w:rsidRPr="001731D1">
              <w:rPr>
                <w:rFonts w:ascii="Times New Roman" w:eastAsia="Times New Roman" w:hAnsi="Times New Roman" w:cs="Times New Roman"/>
                <w:iCs/>
                <w:sz w:val="24"/>
                <w:szCs w:val="24"/>
                <w:lang w:eastAsia="lv-LV"/>
              </w:rPr>
              <w:t xml:space="preserve">to veic reiz mēnesī). Vienlaikus ir noteikts konkrēts datums, līdz kuram Nacionālajā veselības dienestā (turpmāk – NVD) iesniedzams iesniegums, lai izmaiņas stātos spēkā iesniedzēja izvēlētajā </w:t>
            </w:r>
            <w:r w:rsidRPr="001731D1">
              <w:rPr>
                <w:rFonts w:ascii="Times New Roman" w:eastAsia="Times New Roman" w:hAnsi="Times New Roman" w:cs="Times New Roman"/>
                <w:iCs/>
                <w:sz w:val="24"/>
                <w:szCs w:val="24"/>
                <w:lang w:eastAsia="lv-LV"/>
              </w:rPr>
              <w:t xml:space="preserve">datumā. Lai gan šāda kārtība ļauj NVD un aptiekām labāk plānot savu darbu, tā neļauj pietiekami operatīvi samazināt zāļu cenas, lai nodrošinātu racionālāku valsts budžeta līdzekļu izlietojumu, samazinot valsts un iedzīvotāju izdevumus zālēm, kā arī ļaujot esošā finansējuma ietvaros nodrošināt zāles lielākam pacientu skaitam vai arī jaunu zāļu apmaksu. </w:t>
            </w:r>
          </w:p>
          <w:p w:rsidR="003D16CC" w:rsidRPr="001731D1" w:rsidP="003D16CC" w14:paraId="0C733C5A" w14:textId="7777777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Praksē</w:t>
            </w:r>
            <w:r w:rsidRPr="001731D1">
              <w:rPr>
                <w:rFonts w:ascii="Times New Roman" w:eastAsia="Times New Roman" w:hAnsi="Times New Roman" w:cs="Times New Roman"/>
                <w:iCs/>
                <w:sz w:val="24"/>
                <w:szCs w:val="24"/>
                <w:lang w:eastAsia="lv-LV"/>
              </w:rPr>
              <w:t xml:space="preserve"> izmaiņas KZS tiek veiktas biežāk (piemēram, 2017.</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gadā NVD izdevis 20 rīkojumus par izmaiņām KZS). Noteikumu projekts paredz veikt izmaiņas KZS reizi mēnesī, uz katra mēneša pirmo datumu. Līdz ar šīm izmaiņām tiek svītroti arī konkrētie datumi, līdz kuram iesniedzējam plānotās izmaiņas jāiesniedz NVD (izņemot iesniegumus, kas saistīti ar references cenas izmaiņām) (noteikumu projekta 1.2., 1.13., 1.14., 1.15. apakšpunkti). </w:t>
            </w:r>
          </w:p>
          <w:p w:rsidR="003D16CC" w:rsidRPr="001731D1" w:rsidP="003D16CC" w14:paraId="3BDF0B28"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3. Noteikum</w:t>
            </w:r>
            <w:r w:rsidR="00DA4659">
              <w:rPr>
                <w:rFonts w:ascii="Times New Roman" w:eastAsia="Times New Roman" w:hAnsi="Times New Roman" w:cs="Times New Roman"/>
                <w:iCs/>
                <w:sz w:val="24"/>
                <w:szCs w:val="24"/>
                <w:lang w:eastAsia="lv-LV"/>
              </w:rPr>
              <w:t>u</w:t>
            </w:r>
            <w:r w:rsidRPr="001731D1">
              <w:rPr>
                <w:rFonts w:ascii="Times New Roman" w:eastAsia="Times New Roman" w:hAnsi="Times New Roman" w:cs="Times New Roman"/>
                <w:iCs/>
                <w:sz w:val="24"/>
                <w:szCs w:val="24"/>
                <w:lang w:eastAsia="lv-LV"/>
              </w:rPr>
              <w:t xml:space="preserve">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899 </w:t>
            </w:r>
            <w:r w:rsidR="00DA4659">
              <w:rPr>
                <w:rFonts w:ascii="Times New Roman" w:eastAsia="Times New Roman" w:hAnsi="Times New Roman" w:cs="Times New Roman"/>
                <w:iCs/>
                <w:sz w:val="24"/>
                <w:szCs w:val="24"/>
                <w:lang w:eastAsia="lv-LV"/>
              </w:rPr>
              <w:t>16.</w:t>
            </w:r>
            <w:r w:rsidR="00DA4659">
              <w:rPr>
                <w:rFonts w:ascii="Times New Roman" w:eastAsia="Times New Roman" w:hAnsi="Times New Roman" w:cs="Times New Roman"/>
                <w:iCs/>
                <w:sz w:val="24"/>
                <w:szCs w:val="24"/>
                <w:vertAlign w:val="superscript"/>
                <w:lang w:eastAsia="lv-LV"/>
              </w:rPr>
              <w:t>3</w:t>
            </w:r>
            <w:r w:rsidR="00DA4659">
              <w:rPr>
                <w:rFonts w:ascii="Times New Roman" w:eastAsia="Times New Roman" w:hAnsi="Times New Roman" w:cs="Times New Roman"/>
                <w:iCs/>
                <w:sz w:val="24"/>
                <w:szCs w:val="24"/>
                <w:lang w:eastAsia="lv-LV"/>
              </w:rPr>
              <w:t xml:space="preserve"> punkts </w:t>
            </w:r>
            <w:r w:rsidRPr="001731D1">
              <w:rPr>
                <w:rFonts w:ascii="Times New Roman" w:eastAsia="Times New Roman" w:hAnsi="Times New Roman" w:cs="Times New Roman"/>
                <w:iCs/>
                <w:sz w:val="24"/>
                <w:szCs w:val="24"/>
                <w:lang w:eastAsia="lv-LV"/>
              </w:rPr>
              <w:t xml:space="preserve">paredz iespēju iesniedzējam uz laiku samazināt kompensācijas bāzes cenu. Šobrīd noteikts, ka cenu samazina uz iepriekš noteiktu termiņu, kas var nebūt precīzi paredzams. </w:t>
            </w:r>
            <w:r w:rsidR="00941EDC">
              <w:rPr>
                <w:rFonts w:ascii="Times New Roman" w:eastAsia="Times New Roman" w:hAnsi="Times New Roman" w:cs="Times New Roman"/>
                <w:iCs/>
                <w:sz w:val="24"/>
                <w:szCs w:val="24"/>
                <w:lang w:eastAsia="lv-LV"/>
              </w:rPr>
              <w:t xml:space="preserve">Lai izvairītos no administratīvā sloga, </w:t>
            </w:r>
            <w:r w:rsidR="009F2B9F">
              <w:rPr>
                <w:rFonts w:ascii="Times New Roman" w:eastAsia="Times New Roman" w:hAnsi="Times New Roman" w:cs="Times New Roman"/>
                <w:iCs/>
                <w:sz w:val="24"/>
                <w:szCs w:val="24"/>
                <w:lang w:eastAsia="lv-LV"/>
              </w:rPr>
              <w:t>iesniedzot atkārtotus iesniegumu uz laiku samazinātās cenas piemērošanai, n</w:t>
            </w:r>
            <w:r w:rsidRPr="001731D1">
              <w:rPr>
                <w:rFonts w:ascii="Times New Roman" w:eastAsia="Times New Roman" w:hAnsi="Times New Roman" w:cs="Times New Roman"/>
                <w:iCs/>
                <w:sz w:val="24"/>
                <w:szCs w:val="24"/>
                <w:lang w:eastAsia="lv-LV"/>
              </w:rPr>
              <w:t>oteikumu projekts paredz iespēju kompensācijas bāzes cenu samazināt uz nenoteiktu laiku – līdz iesnieguma par samazinātās cenas atcelšanu iesniegšanai. Tā kā uz laiku samazinātā kompensācijas bāzes cena nedrīkst būt zemāka par A saraksta references zāļu cenu, noteikumu projekts dod tiesības NVD paaugstināt iesniegto cenu, gadījumā, ja no KZS tiek svītrots references produkts, par jauno referenci nosakot nākamo lētāko (noteikumu projekta 1.2.</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76BBDBCA"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4. Lai visā noteikumu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899 tekstā vienādotu terminu lietošanu, 20. punktā tiek aizstāts vārds “ekspertīze” ar vārdu “novērtēšana” (atbilst starptautiskā jēdziena “veselības tehnoloģiju novērtēšana” (</w:t>
            </w:r>
            <w:r w:rsidRPr="001731D1">
              <w:rPr>
                <w:rFonts w:ascii="Times New Roman" w:eastAsia="Times New Roman" w:hAnsi="Times New Roman" w:cs="Times New Roman"/>
                <w:i/>
                <w:iCs/>
                <w:sz w:val="24"/>
                <w:szCs w:val="24"/>
                <w:lang w:eastAsia="lv-LV"/>
              </w:rPr>
              <w:t xml:space="preserve">Health </w:t>
            </w:r>
            <w:r w:rsidRPr="001731D1">
              <w:rPr>
                <w:rFonts w:ascii="Times New Roman" w:eastAsia="Times New Roman" w:hAnsi="Times New Roman" w:cs="Times New Roman"/>
                <w:i/>
                <w:iCs/>
                <w:sz w:val="24"/>
                <w:szCs w:val="24"/>
                <w:lang w:eastAsia="lv-LV"/>
              </w:rPr>
              <w:t>technology</w:t>
            </w:r>
            <w:r w:rsidRPr="001731D1">
              <w:rPr>
                <w:rFonts w:ascii="Times New Roman" w:eastAsia="Times New Roman" w:hAnsi="Times New Roman" w:cs="Times New Roman"/>
                <w:i/>
                <w:iCs/>
                <w:sz w:val="24"/>
                <w:szCs w:val="24"/>
                <w:lang w:eastAsia="lv-LV"/>
              </w:rPr>
              <w:t xml:space="preserve"> </w:t>
            </w:r>
            <w:r w:rsidRPr="001731D1">
              <w:rPr>
                <w:rFonts w:ascii="Times New Roman" w:eastAsia="Times New Roman" w:hAnsi="Times New Roman" w:cs="Times New Roman"/>
                <w:i/>
                <w:iCs/>
                <w:sz w:val="24"/>
                <w:szCs w:val="24"/>
                <w:lang w:eastAsia="lv-LV"/>
              </w:rPr>
              <w:t>assessment</w:t>
            </w:r>
            <w:r w:rsidRPr="001731D1">
              <w:rPr>
                <w:rFonts w:ascii="Times New Roman" w:eastAsia="Times New Roman" w:hAnsi="Times New Roman" w:cs="Times New Roman"/>
                <w:iCs/>
                <w:sz w:val="24"/>
                <w:szCs w:val="24"/>
                <w:lang w:eastAsia="lv-LV"/>
              </w:rPr>
              <w:t xml:space="preserve"> (HTA)) lietošanai (noteikumu projekta 1.3.</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1FEBC18E"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5. Lai NVD varētu pārliecināties, ka kritēriji attiecībā uz kompensējamo zāļu cenu, kas tika vērtēti zāļu iekļaušanas brīdī</w:t>
            </w:r>
            <w:r w:rsidR="00A23B30">
              <w:rPr>
                <w:rFonts w:ascii="Times New Roman" w:eastAsia="Times New Roman" w:hAnsi="Times New Roman" w:cs="Times New Roman"/>
                <w:iCs/>
                <w:sz w:val="24"/>
                <w:szCs w:val="24"/>
                <w:lang w:eastAsia="lv-LV"/>
              </w:rPr>
              <w:t xml:space="preserve"> (noteikumu Nr. 899 30. punkts)</w:t>
            </w:r>
            <w:r w:rsidRPr="001731D1">
              <w:rPr>
                <w:rFonts w:ascii="Times New Roman" w:eastAsia="Times New Roman" w:hAnsi="Times New Roman" w:cs="Times New Roman"/>
                <w:iCs/>
                <w:sz w:val="24"/>
                <w:szCs w:val="24"/>
                <w:lang w:eastAsia="lv-LV"/>
              </w:rPr>
              <w:t>, tiek pastāvīgi ievēroti, iesniedzējam reizi gadā būs jāsniedz NVD aktuālā informācija par visu iesniedzēja pārstāvēto KZS iekļauto zāļu cenām citās valstīs (noteikumu projekta 1.4.</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326D3117"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6. Noteikumu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899 32.</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punkts nosaka, kādas zāles iekļauj KZS A sarakstā, paredzot vienā grupā apvienot zāles ar vienu vispārīgo nosaukumu (apzīmēts ar septiņām zīmēm ATC/DDD klasifikācijā), vai gadījumos, kur tas pamatots, arī  zāles vienas </w:t>
            </w:r>
            <w:r w:rsidRPr="001731D1">
              <w:rPr>
                <w:rFonts w:ascii="Times New Roman" w:eastAsia="Times New Roman" w:hAnsi="Times New Roman" w:cs="Times New Roman"/>
                <w:iCs/>
                <w:sz w:val="24"/>
                <w:szCs w:val="24"/>
                <w:lang w:eastAsia="lv-LV"/>
              </w:rPr>
              <w:t>farmakoterapeitiskās</w:t>
            </w:r>
            <w:r w:rsidRPr="001731D1">
              <w:rPr>
                <w:rFonts w:ascii="Times New Roman" w:eastAsia="Times New Roman" w:hAnsi="Times New Roman" w:cs="Times New Roman"/>
                <w:iCs/>
                <w:sz w:val="24"/>
                <w:szCs w:val="24"/>
                <w:lang w:eastAsia="lv-LV"/>
              </w:rPr>
              <w:t xml:space="preserve"> grupas (trīs līdz piecas zīmes ATC/DDD klasifikācijā) ietvaros. Parasti katrs zāļu vispārīgais nosaukums tiek apzīmēts ar savu septiņu zīmju kodu, tomēr sastopamas situācijas, kad ar vienu septiņu zīmju kodu apzīmēti divi zāļu vispārīgie nosaukumi. Lai arī šādā gadījumā zāles būtu iespējams apvienot vienā līdzvērtīgas </w:t>
            </w:r>
            <w:r w:rsidRPr="001731D1">
              <w:rPr>
                <w:rFonts w:ascii="Times New Roman" w:eastAsia="Times New Roman" w:hAnsi="Times New Roman" w:cs="Times New Roman"/>
                <w:iCs/>
                <w:sz w:val="24"/>
                <w:szCs w:val="24"/>
                <w:lang w:eastAsia="lv-LV"/>
              </w:rPr>
              <w:t>terapeitiskās efektivitātes zāļu grupā, tiek grozīts 32.2.</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 paredzot, ka turpmāk ar jēdziens “</w:t>
            </w:r>
            <w:r w:rsidRPr="001731D1">
              <w:rPr>
                <w:rFonts w:ascii="Times New Roman" w:eastAsia="Times New Roman" w:hAnsi="Times New Roman" w:cs="Times New Roman"/>
                <w:iCs/>
                <w:sz w:val="24"/>
                <w:szCs w:val="24"/>
                <w:lang w:eastAsia="lv-LV"/>
              </w:rPr>
              <w:t>farmakoterapeitiskā</w:t>
            </w:r>
            <w:r w:rsidRPr="001731D1">
              <w:rPr>
                <w:rFonts w:ascii="Times New Roman" w:eastAsia="Times New Roman" w:hAnsi="Times New Roman" w:cs="Times New Roman"/>
                <w:iCs/>
                <w:sz w:val="24"/>
                <w:szCs w:val="24"/>
                <w:lang w:eastAsia="lv-LV"/>
              </w:rPr>
              <w:t xml:space="preserve"> grupa” ietvers zāļu grupas, kas apzīmētas ar trim līdz septiņām zīmēm ATC/DDD klasifikācijā (noteikumu projekta 1.5.</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2201044B"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7. Noteikumu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899 36.</w:t>
            </w:r>
            <w:r w:rsidRPr="001731D1">
              <w:rPr>
                <w:rFonts w:ascii="Times New Roman" w:eastAsia="Times New Roman" w:hAnsi="Times New Roman" w:cs="Times New Roman"/>
                <w:iCs/>
                <w:sz w:val="24"/>
                <w:szCs w:val="24"/>
                <w:vertAlign w:val="superscript"/>
                <w:lang w:eastAsia="lv-LV"/>
              </w:rPr>
              <w:t>1</w:t>
            </w:r>
            <w:r w:rsidRPr="001731D1">
              <w:rPr>
                <w:rFonts w:ascii="Times New Roman" w:eastAsia="Times New Roman" w:hAnsi="Times New Roman" w:cs="Times New Roman"/>
                <w:iCs/>
                <w:sz w:val="24"/>
                <w:szCs w:val="24"/>
                <w:lang w:eastAsia="lv-LV"/>
              </w:rPr>
              <w:t> punkts nosaka, ka references cenu var noteikt vairākām zālēm vai medicīniskajām ierīcēm. Ar to pretrunā ir 38.</w:t>
            </w:r>
            <w:r w:rsidRPr="001731D1">
              <w:rPr>
                <w:rFonts w:ascii="Times New Roman" w:eastAsia="Times New Roman" w:hAnsi="Times New Roman" w:cs="Times New Roman"/>
                <w:iCs/>
                <w:sz w:val="24"/>
                <w:szCs w:val="24"/>
                <w:vertAlign w:val="superscript"/>
                <w:lang w:eastAsia="lv-LV"/>
              </w:rPr>
              <w:t>2</w:t>
            </w:r>
            <w:r w:rsidRPr="001731D1">
              <w:rPr>
                <w:rFonts w:ascii="Times New Roman" w:eastAsia="Times New Roman" w:hAnsi="Times New Roman" w:cs="Times New Roman"/>
                <w:iCs/>
                <w:sz w:val="24"/>
                <w:szCs w:val="24"/>
                <w:lang w:eastAsia="lv-LV"/>
              </w:rPr>
              <w:t> punkts, kura otrajā teikumā liegta iespēja A sarakstā iekļauto zāļu ce</w:t>
            </w:r>
            <w:r w:rsidR="006B1B4A">
              <w:rPr>
                <w:rFonts w:ascii="Times New Roman" w:eastAsia="Times New Roman" w:hAnsi="Times New Roman" w:cs="Times New Roman"/>
                <w:iCs/>
                <w:sz w:val="24"/>
                <w:szCs w:val="24"/>
                <w:lang w:eastAsia="lv-LV"/>
              </w:rPr>
              <w:t>nu pielīdzināt references cenai, kļūstot par vēl vienu references medikamentu.</w:t>
            </w:r>
            <w:r w:rsidRPr="001731D1">
              <w:rPr>
                <w:rFonts w:ascii="Times New Roman" w:eastAsia="Times New Roman" w:hAnsi="Times New Roman" w:cs="Times New Roman"/>
                <w:iCs/>
                <w:sz w:val="24"/>
                <w:szCs w:val="24"/>
                <w:lang w:eastAsia="lv-LV"/>
              </w:rPr>
              <w:t xml:space="preserve"> Lai novērstu šo pretrunu, kā arī nodrošinātu ārstam lielāku izvēles iespēju, izrakstot pacientam zāles bez papildu līdzmaksājuma, 38.</w:t>
            </w:r>
            <w:r w:rsidRPr="001731D1">
              <w:rPr>
                <w:rFonts w:ascii="Times New Roman" w:eastAsia="Times New Roman" w:hAnsi="Times New Roman" w:cs="Times New Roman"/>
                <w:iCs/>
                <w:sz w:val="24"/>
                <w:szCs w:val="24"/>
                <w:vertAlign w:val="superscript"/>
                <w:lang w:eastAsia="lv-LV"/>
              </w:rPr>
              <w:t xml:space="preserve">2 </w:t>
            </w:r>
            <w:r w:rsidRPr="001731D1">
              <w:rPr>
                <w:rFonts w:ascii="Times New Roman" w:eastAsia="Times New Roman" w:hAnsi="Times New Roman" w:cs="Times New Roman"/>
                <w:iCs/>
                <w:sz w:val="24"/>
                <w:szCs w:val="24"/>
                <w:lang w:eastAsia="lv-LV"/>
              </w:rPr>
              <w:t>punkta otrais teikums tiek svītrots (noteikumu projekta 1.7.</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apakšpunkts). </w:t>
            </w:r>
          </w:p>
          <w:p w:rsidR="003D16CC" w:rsidRPr="001731D1" w:rsidP="003D16CC" w14:paraId="1C0E68EC"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8. Saskaņā ar noteikumu Nr.</w:t>
            </w:r>
            <w:r w:rsidR="00CC5B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899 </w:t>
            </w:r>
            <w:bookmarkStart w:id="0" w:name="_Hlk506977711"/>
            <w:r w:rsidRPr="001731D1">
              <w:rPr>
                <w:rFonts w:ascii="Times New Roman" w:eastAsia="Times New Roman" w:hAnsi="Times New Roman" w:cs="Times New Roman"/>
                <w:iCs/>
                <w:sz w:val="24"/>
                <w:szCs w:val="24"/>
                <w:lang w:eastAsia="lv-LV"/>
              </w:rPr>
              <w:t>38.</w:t>
            </w:r>
            <w:r w:rsidRPr="001731D1">
              <w:rPr>
                <w:rFonts w:ascii="Times New Roman" w:eastAsia="Times New Roman" w:hAnsi="Times New Roman" w:cs="Times New Roman"/>
                <w:iCs/>
                <w:sz w:val="24"/>
                <w:szCs w:val="24"/>
                <w:vertAlign w:val="superscript"/>
                <w:lang w:eastAsia="lv-LV"/>
              </w:rPr>
              <w:t>3</w:t>
            </w:r>
            <w:r w:rsidRPr="001731D1">
              <w:rPr>
                <w:rFonts w:ascii="Times New Roman" w:eastAsia="Times New Roman" w:hAnsi="Times New Roman" w:cs="Times New Roman"/>
                <w:iCs/>
                <w:sz w:val="24"/>
                <w:szCs w:val="24"/>
                <w:lang w:eastAsia="lv-LV"/>
              </w:rPr>
              <w:t xml:space="preserve"> </w:t>
            </w:r>
            <w:bookmarkEnd w:id="0"/>
            <w:r w:rsidRPr="001731D1">
              <w:rPr>
                <w:rFonts w:ascii="Times New Roman" w:eastAsia="Times New Roman" w:hAnsi="Times New Roman" w:cs="Times New Roman"/>
                <w:iCs/>
                <w:sz w:val="24"/>
                <w:szCs w:val="24"/>
                <w:lang w:eastAsia="lv-LV"/>
              </w:rPr>
              <w:t xml:space="preserve">punktu zālēm, kuras piesaka iekļaušanai A sarakstā kā otrās zāles līdzvērtīgas iedarbības zāļu grupā, kompensācijas bāzes cenai (references cenai) jābūt par vismaz 30% zemākai par sarakstā jau esošo zāļu kompensācijas bāzes cenu. Šī prasība attiecas gan uz zālēm viena zāļu vispārīgā nosaukuma ietvaros, gan zālēm vienas </w:t>
            </w:r>
            <w:r w:rsidRPr="001731D1">
              <w:rPr>
                <w:rFonts w:ascii="Times New Roman" w:eastAsia="Times New Roman" w:hAnsi="Times New Roman" w:cs="Times New Roman"/>
                <w:iCs/>
                <w:sz w:val="24"/>
                <w:szCs w:val="24"/>
                <w:lang w:eastAsia="lv-LV"/>
              </w:rPr>
              <w:t>farmakoterapeitiskās</w:t>
            </w:r>
            <w:r w:rsidRPr="001731D1">
              <w:rPr>
                <w:rFonts w:ascii="Times New Roman" w:eastAsia="Times New Roman" w:hAnsi="Times New Roman" w:cs="Times New Roman"/>
                <w:iCs/>
                <w:sz w:val="24"/>
                <w:szCs w:val="24"/>
                <w:lang w:eastAsia="lv-LV"/>
              </w:rPr>
              <w:t xml:space="preserve"> grupas ietvaros (dažādi zāļu vispārīgie nosaukumi). Saskaņā ar NVD sniegto informāciju šī norma ir grūti piemērojama, jo iesnieguma izskatīšanas laikā cena mainās, un nākamajam iesniedzējam ir sarežģīti pielāgoties cenai, kamēr tā vēl nav apstiprināta. Nereti ražotāji nepiekrīt noteiktajam cenas samazinājumam, ja tiek salīdzināti dažādi zāļu vispārīgie nosaukumi. Jāņem vērā, ka ar noteikumu projektu paredzēts ieviest jaunu cenu ierobežojumu A saraksta zālēm (t.s. cenu koridoru), kas ierobežotu maksimālo iespējamo cenu. Pamatojoties uz visu iepriekš minēto, 38.</w:t>
            </w:r>
            <w:r w:rsidRPr="001731D1">
              <w:rPr>
                <w:rFonts w:ascii="Times New Roman" w:eastAsia="Times New Roman" w:hAnsi="Times New Roman" w:cs="Times New Roman"/>
                <w:iCs/>
                <w:sz w:val="24"/>
                <w:szCs w:val="24"/>
                <w:vertAlign w:val="superscript"/>
                <w:lang w:eastAsia="lv-LV"/>
              </w:rPr>
              <w:t>3</w:t>
            </w:r>
            <w:r w:rsidRPr="001731D1">
              <w:rPr>
                <w:rFonts w:ascii="Times New Roman" w:eastAsia="Times New Roman" w:hAnsi="Times New Roman" w:cs="Times New Roman"/>
                <w:iCs/>
                <w:sz w:val="24"/>
                <w:szCs w:val="24"/>
                <w:lang w:eastAsia="lv-LV"/>
              </w:rPr>
              <w:t> punktā minēto cenu samazinājumu par 30% turpmāk paredzēts piemērot tikai viena zāļu vispārīgā nosaukuma ietvaros (skat. nākamo punktu) (noteikumu projekta 1.8.</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3D16CC" w:rsidRPr="001731D1" w:rsidP="003D16CC" w14:paraId="6FDBD7A2" w14:textId="77777777">
            <w:pPr>
              <w:spacing w:after="120" w:line="240" w:lineRule="auto"/>
              <w:jc w:val="both"/>
              <w:rPr>
                <w:rFonts w:ascii="Times New Roman" w:hAnsi="Times New Roman" w:cs="Times New Roman"/>
                <w:sz w:val="24"/>
                <w:szCs w:val="24"/>
                <w:lang w:eastAsia="lv-LV"/>
              </w:rPr>
            </w:pPr>
            <w:r w:rsidRPr="001731D1">
              <w:rPr>
                <w:rFonts w:ascii="Times New Roman" w:hAnsi="Times New Roman" w:cs="Times New Roman"/>
                <w:sz w:val="24"/>
                <w:szCs w:val="24"/>
                <w:lang w:eastAsia="lv-LV"/>
              </w:rPr>
              <w:t>9. Noteikumu projekta 1.20. apakšpunkts:</w:t>
            </w:r>
          </w:p>
          <w:p w:rsidR="003D16CC" w:rsidRPr="001731D1" w:rsidP="003D16CC" w14:paraId="5FEC6101" w14:textId="77777777">
            <w:pPr>
              <w:spacing w:after="120" w:line="240" w:lineRule="auto"/>
              <w:jc w:val="both"/>
              <w:rPr>
                <w:rFonts w:ascii="Times New Roman" w:hAnsi="Times New Roman" w:cs="Times New Roman"/>
                <w:sz w:val="24"/>
                <w:szCs w:val="24"/>
                <w:lang w:eastAsia="lv-LV"/>
              </w:rPr>
            </w:pPr>
            <w:r w:rsidRPr="001731D1">
              <w:rPr>
                <w:rFonts w:ascii="Times New Roman" w:eastAsia="Times New Roman" w:hAnsi="Times New Roman" w:cs="Times New Roman"/>
                <w:iCs/>
                <w:sz w:val="24"/>
                <w:szCs w:val="24"/>
                <w:lang w:eastAsia="lv-LV"/>
              </w:rPr>
              <w:t>9.1. Noteikumu Nr. 899 16.</w:t>
            </w:r>
            <w:r w:rsidRPr="001731D1">
              <w:rPr>
                <w:rFonts w:ascii="Times New Roman" w:eastAsia="Times New Roman" w:hAnsi="Times New Roman" w:cs="Times New Roman"/>
                <w:iCs/>
                <w:sz w:val="24"/>
                <w:szCs w:val="24"/>
                <w:vertAlign w:val="superscript"/>
                <w:lang w:eastAsia="lv-LV"/>
              </w:rPr>
              <w:t>3</w:t>
            </w:r>
            <w:r w:rsidRPr="001731D1">
              <w:rPr>
                <w:rFonts w:ascii="Times New Roman" w:eastAsia="Times New Roman" w:hAnsi="Times New Roman" w:cs="Times New Roman"/>
                <w:iCs/>
                <w:sz w:val="24"/>
                <w:szCs w:val="24"/>
                <w:lang w:eastAsia="lv-LV"/>
              </w:rPr>
              <w:t xml:space="preserve"> punkts paredz iespēju samazināt kompensācijas bāzes cenu uz noteiktu laiku. Lai cenas samazinājumu pagarinātu, iesniedzējs iesniedz NVD jaunu iesniegumu. Nereti tie ir vairāki iesniegumi gadā, radot slogu gan NVD, gan iesniedzējam. Noteikumu projekts paredz cenas samazinājumu uz laiku bez noteikta termiņa, atceļot to ar jaunu iesniegumu. Vienlaikus paredzēts atcelt jau esošos uz laiku samazinātās cenas piemērošanas termiņus (1.2. apakšpunkts un 1.20. apakšpunktā iekļautais 135. punkts);  </w:t>
            </w:r>
          </w:p>
          <w:p w:rsidR="003D16CC" w:rsidRPr="001731D1" w:rsidP="003D16CC" w14:paraId="0A5246A6"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9.2. KZS A sarakstā iekļautajām līdzvērtīgas terapeitiskās efektivitātes zālēm cenu atšķirības šobrīd ir no dažiem centiem līdz vairākām reizēm. Ja ārsts nav izrakstījis attiecīgās grupas lētākās (references) zāles, starpību starp references zāļu un izrakstīto zāļu cenu sedz pacients. Piemēram, 2017.</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gadā </w:t>
            </w:r>
            <w:r w:rsidRPr="001731D1">
              <w:rPr>
                <w:rFonts w:ascii="Times New Roman" w:eastAsia="Times New Roman" w:hAnsi="Times New Roman" w:cs="Times New Roman"/>
                <w:iCs/>
                <w:sz w:val="24"/>
                <w:szCs w:val="24"/>
                <w:lang w:eastAsia="lv-LV"/>
              </w:rPr>
              <w:t xml:space="preserve">pacienti šādos </w:t>
            </w:r>
            <w:r w:rsidRPr="001731D1">
              <w:rPr>
                <w:rFonts w:ascii="Times New Roman" w:eastAsia="Times New Roman" w:hAnsi="Times New Roman" w:cs="Times New Roman"/>
                <w:iCs/>
                <w:sz w:val="24"/>
                <w:szCs w:val="24"/>
                <w:lang w:eastAsia="lv-LV"/>
              </w:rPr>
              <w:t>līdzmaksājumos</w:t>
            </w:r>
            <w:r w:rsidRPr="001731D1">
              <w:rPr>
                <w:rFonts w:ascii="Times New Roman" w:eastAsia="Times New Roman" w:hAnsi="Times New Roman" w:cs="Times New Roman"/>
                <w:iCs/>
                <w:sz w:val="24"/>
                <w:szCs w:val="24"/>
                <w:lang w:eastAsia="lv-LV"/>
              </w:rPr>
              <w:t xml:space="preserve"> samaksāja kopumā 24,9 miljonus eiro, kas ir nesamērīgi, ņemot vērā iedzīvotāju pirktspēju un to, ka katrā no gadījumiem KZS bija pieejamas lētākas zāles. Lai samazinātu pacientu izdevumus par zālēm, tiek noteikts, ka </w:t>
            </w:r>
            <w:r w:rsidRPr="001731D1">
              <w:rPr>
                <w:rFonts w:ascii="Times New Roman" w:hAnsi="Times New Roman" w:cs="Times New Roman"/>
                <w:sz w:val="24"/>
                <w:szCs w:val="24"/>
              </w:rPr>
              <w:t>A sarakstā iekļautajām viena zāļu vispārīgā nosaukuma zālēm vai vienāda lietošanas veida medicīniskajām ierīcēm, kuru aptiekas cena vairāk kā par 100% pārsniedz attiecīgās grupas zāļu vai medicīnisko ierīču zemāko aptiekas cenu,</w:t>
            </w:r>
            <w:r w:rsidR="00B21A39">
              <w:rPr>
                <w:rFonts w:ascii="Times New Roman" w:hAnsi="Times New Roman" w:cs="Times New Roman"/>
                <w:sz w:val="24"/>
                <w:szCs w:val="24"/>
              </w:rPr>
              <w:t xml:space="preserve"> jāsamazina cena līdz noteiktajam 100% slieksnim vai par 20%. Sākotnējais samazinājums veicams 2018. gadā, kad iesniedzējs līdz 1. septembrim iesniedz NVD jauno cenu. Ja ar 2018. gadā veikto cenas samazinājumu netiek sasniegts 100% cenu starpības slieksnis, cenu samazinājumu veic atkārtoti</w:t>
            </w:r>
            <w:r w:rsidR="00B34D56">
              <w:rPr>
                <w:rFonts w:ascii="Times New Roman" w:hAnsi="Times New Roman" w:cs="Times New Roman"/>
                <w:sz w:val="24"/>
                <w:szCs w:val="24"/>
              </w:rPr>
              <w:t xml:space="preserve"> 2019. gadā</w:t>
            </w:r>
            <w:r w:rsidR="00B21A39">
              <w:rPr>
                <w:rFonts w:ascii="Times New Roman" w:hAnsi="Times New Roman" w:cs="Times New Roman"/>
                <w:sz w:val="24"/>
                <w:szCs w:val="24"/>
              </w:rPr>
              <w:t>, ņemot vērā</w:t>
            </w:r>
            <w:r w:rsidR="00B34D56">
              <w:rPr>
                <w:rFonts w:ascii="Times New Roman" w:hAnsi="Times New Roman" w:cs="Times New Roman"/>
                <w:sz w:val="24"/>
                <w:szCs w:val="24"/>
              </w:rPr>
              <w:t xml:space="preserve"> 2019. gadā spēkā esošās cenas. </w:t>
            </w:r>
            <w:r w:rsidRPr="001731D1">
              <w:rPr>
                <w:rFonts w:ascii="Times New Roman" w:eastAsia="Times New Roman" w:hAnsi="Times New Roman" w:cs="Times New Roman"/>
                <w:iCs/>
                <w:sz w:val="24"/>
                <w:szCs w:val="24"/>
                <w:lang w:eastAsia="lv-LV"/>
              </w:rPr>
              <w:t>Šāds cenu ierobežojums ļaus saglabāt zāļu izvēles iespējas, gadījumā, ja pacientam nav piemērotas lētākās zāles, vienlaikus nodrošinot mazākus izdevumus (1.20. apakšpunktā iekļautais 136. punkts);</w:t>
            </w:r>
          </w:p>
          <w:p w:rsidR="009431E0" w:rsidP="003D16CC" w14:paraId="116CF545"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 xml:space="preserve">9.3. 2017. gada 19. decembrī noteikumos Nr. 899 tika veikti grozījumi, kas paredz dienas stacionārā ievadāmās ķīmijterapijas zāles svītrot no </w:t>
            </w:r>
            <w:r w:rsidR="003B666B">
              <w:rPr>
                <w:rFonts w:ascii="Times New Roman" w:eastAsia="Times New Roman" w:hAnsi="Times New Roman" w:cs="Times New Roman"/>
                <w:iCs/>
                <w:sz w:val="24"/>
                <w:szCs w:val="24"/>
                <w:lang w:eastAsia="lv-LV"/>
              </w:rPr>
              <w:t>KZS</w:t>
            </w:r>
            <w:r w:rsidRPr="001731D1">
              <w:rPr>
                <w:rFonts w:ascii="Times New Roman" w:eastAsia="Times New Roman" w:hAnsi="Times New Roman" w:cs="Times New Roman"/>
                <w:iCs/>
                <w:sz w:val="24"/>
                <w:szCs w:val="24"/>
                <w:lang w:eastAsia="lv-LV"/>
              </w:rPr>
              <w:t xml:space="preserve"> (zāles tiks iepirktas centralizēti). Šī kārtība netiek attiecināta uz </w:t>
            </w:r>
            <w:r w:rsidRPr="001731D1">
              <w:rPr>
                <w:rFonts w:ascii="Times New Roman" w:eastAsia="Times New Roman" w:hAnsi="Times New Roman" w:cs="Times New Roman"/>
                <w:iCs/>
                <w:sz w:val="24"/>
                <w:szCs w:val="24"/>
                <w:lang w:eastAsia="lv-LV"/>
              </w:rPr>
              <w:t>parenterāli</w:t>
            </w:r>
            <w:r w:rsidRPr="001731D1">
              <w:rPr>
                <w:rFonts w:ascii="Times New Roman" w:eastAsia="Times New Roman" w:hAnsi="Times New Roman" w:cs="Times New Roman"/>
                <w:iCs/>
                <w:sz w:val="24"/>
                <w:szCs w:val="24"/>
                <w:lang w:eastAsia="lv-LV"/>
              </w:rPr>
              <w:t xml:space="preserve"> ievadāmām ķīmijterapijas zālēm, kas iekļautas kompensējamo zāļu C sarakstā. Šīs zāles daļai pacientu tiek nodrošinātas no valsts, bet daļa no zāļu ražotāja līdzekļiem. Lai šīs zāles saglabātu </w:t>
            </w:r>
            <w:r w:rsidR="003B666B">
              <w:rPr>
                <w:rFonts w:ascii="Times New Roman" w:eastAsia="Times New Roman" w:hAnsi="Times New Roman" w:cs="Times New Roman"/>
                <w:iCs/>
                <w:sz w:val="24"/>
                <w:szCs w:val="24"/>
                <w:lang w:eastAsia="lv-LV"/>
              </w:rPr>
              <w:t>KZS</w:t>
            </w:r>
            <w:r w:rsidRPr="001731D1">
              <w:rPr>
                <w:rFonts w:ascii="Times New Roman" w:eastAsia="Times New Roman" w:hAnsi="Times New Roman" w:cs="Times New Roman"/>
                <w:iCs/>
                <w:sz w:val="24"/>
                <w:szCs w:val="24"/>
                <w:lang w:eastAsia="lv-LV"/>
              </w:rPr>
              <w:t>, bet to aprite notiktu līdzīgi kā centralizēti iepirktajām ķīmijterapijas zālēm (izslēdzot vispārēja tipa aptieku), noteikumi Nr. 899 tika papildināti ar jaunu 68.</w:t>
            </w:r>
            <w:r w:rsidRPr="001731D1">
              <w:rPr>
                <w:rFonts w:ascii="Times New Roman" w:eastAsia="Times New Roman" w:hAnsi="Times New Roman" w:cs="Times New Roman"/>
                <w:iCs/>
                <w:sz w:val="24"/>
                <w:szCs w:val="24"/>
                <w:vertAlign w:val="superscript"/>
                <w:lang w:eastAsia="lv-LV"/>
              </w:rPr>
              <w:t>1</w:t>
            </w:r>
            <w:r w:rsidRPr="001731D1">
              <w:rPr>
                <w:rFonts w:ascii="Times New Roman" w:eastAsia="Times New Roman" w:hAnsi="Times New Roman" w:cs="Times New Roman"/>
                <w:iCs/>
                <w:sz w:val="24"/>
                <w:szCs w:val="24"/>
                <w:lang w:eastAsia="lv-LV"/>
              </w:rPr>
              <w:t> punktu (spēkā no 01.07.2018.). Tā kā minētās zāles tiek izplatītas tikai par NVD apstiprināto kompensācijas bāzes cenu, 68.</w:t>
            </w:r>
            <w:r w:rsidRPr="001731D1">
              <w:rPr>
                <w:rFonts w:ascii="Times New Roman" w:eastAsia="Times New Roman" w:hAnsi="Times New Roman" w:cs="Times New Roman"/>
                <w:iCs/>
                <w:sz w:val="24"/>
                <w:szCs w:val="24"/>
                <w:vertAlign w:val="superscript"/>
                <w:lang w:eastAsia="lv-LV"/>
              </w:rPr>
              <w:t>1</w:t>
            </w:r>
            <w:r w:rsidRPr="001731D1">
              <w:rPr>
                <w:rFonts w:ascii="Times New Roman" w:eastAsia="Times New Roman" w:hAnsi="Times New Roman" w:cs="Times New Roman"/>
                <w:iCs/>
                <w:sz w:val="24"/>
                <w:szCs w:val="24"/>
                <w:lang w:eastAsia="lv-LV"/>
              </w:rPr>
              <w:t> punkts nenosaka nepieciešamību ārstniecības iestādei veikt iepirkumu, bet gan pasūtīt zāles no lieltirgotavas. Pret šo kārtību iebilst Iepirkumu uzraudzības birojs. Lai ņemtu vērā Iepirkumu uzraudzības biroja iebildumus un nodrošinātu iepirkumu atbilstoši prasībām, ārstniecības iestādēm  nepieciešams laiks. Tādēļ 68.</w:t>
            </w:r>
            <w:r w:rsidRPr="001731D1">
              <w:rPr>
                <w:rFonts w:ascii="Times New Roman" w:eastAsia="Times New Roman" w:hAnsi="Times New Roman" w:cs="Times New Roman"/>
                <w:iCs/>
                <w:sz w:val="24"/>
                <w:szCs w:val="24"/>
                <w:vertAlign w:val="superscript"/>
                <w:lang w:eastAsia="lv-LV"/>
              </w:rPr>
              <w:t>1</w:t>
            </w:r>
            <w:r w:rsidRPr="001731D1">
              <w:rPr>
                <w:rFonts w:ascii="Times New Roman" w:eastAsia="Times New Roman" w:hAnsi="Times New Roman" w:cs="Times New Roman"/>
                <w:iCs/>
                <w:sz w:val="24"/>
                <w:szCs w:val="24"/>
                <w:lang w:eastAsia="lv-LV"/>
              </w:rPr>
              <w:t> punkta piemērošana</w:t>
            </w:r>
            <w:r w:rsidR="00F64966">
              <w:rPr>
                <w:rFonts w:ascii="Times New Roman" w:eastAsia="Times New Roman" w:hAnsi="Times New Roman" w:cs="Times New Roman"/>
                <w:iCs/>
                <w:sz w:val="24"/>
                <w:szCs w:val="24"/>
                <w:lang w:eastAsia="lv-LV"/>
              </w:rPr>
              <w:t>i tiek noteikts pārejas laiks, ļaujot nepieciešamības gadījumā vienlaikus ar jauno kārtību piemērot arī iepriekšējo</w:t>
            </w:r>
            <w:r w:rsidR="00E67E4D">
              <w:rPr>
                <w:rFonts w:ascii="Times New Roman" w:eastAsia="Times New Roman" w:hAnsi="Times New Roman" w:cs="Times New Roman"/>
                <w:iCs/>
                <w:sz w:val="24"/>
                <w:szCs w:val="24"/>
                <w:lang w:eastAsia="lv-LV"/>
              </w:rPr>
              <w:t>, saņemot zāles pret recepti</w:t>
            </w:r>
            <w:r w:rsidR="00F64966">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(1.20. apakš</w:t>
            </w:r>
            <w:r>
              <w:rPr>
                <w:rFonts w:ascii="Times New Roman" w:eastAsia="Times New Roman" w:hAnsi="Times New Roman" w:cs="Times New Roman"/>
                <w:iCs/>
                <w:sz w:val="24"/>
                <w:szCs w:val="24"/>
                <w:lang w:eastAsia="lv-LV"/>
              </w:rPr>
              <w:t>punktā iekļautais 137. punkts);</w:t>
            </w:r>
          </w:p>
          <w:p w:rsidR="003D16CC" w:rsidRPr="008A4459" w:rsidP="003D16CC" w14:paraId="1C0A1CEE" w14:textId="77777777">
            <w:pPr>
              <w:spacing w:after="120" w:line="240" w:lineRule="auto"/>
              <w:jc w:val="both"/>
              <w:rPr>
                <w:rFonts w:ascii="Times New Roman" w:eastAsia="Times New Roman" w:hAnsi="Times New Roman" w:cs="Times New Roman"/>
                <w:iCs/>
                <w:sz w:val="24"/>
                <w:szCs w:val="24"/>
                <w:lang w:eastAsia="lv-LV"/>
              </w:rPr>
            </w:pPr>
            <w:r w:rsidRPr="008A4459">
              <w:rPr>
                <w:rFonts w:ascii="Times New Roman" w:eastAsia="Times New Roman" w:hAnsi="Times New Roman" w:cs="Times New Roman"/>
                <w:iCs/>
                <w:sz w:val="24"/>
                <w:szCs w:val="24"/>
                <w:lang w:eastAsia="lv-LV"/>
              </w:rPr>
              <w:t>9.4.</w:t>
            </w:r>
            <w:r w:rsidRPr="008A4459" w:rsidR="00912440">
              <w:rPr>
                <w:rFonts w:ascii="Times New Roman" w:eastAsia="Times New Roman" w:hAnsi="Times New Roman" w:cs="Times New Roman"/>
                <w:iCs/>
                <w:sz w:val="24"/>
                <w:szCs w:val="24"/>
                <w:lang w:eastAsia="lv-LV"/>
              </w:rPr>
              <w:t xml:space="preserve"> Iz</w:t>
            </w:r>
            <w:r w:rsidRPr="008A4459" w:rsidR="00F713F6">
              <w:rPr>
                <w:rFonts w:ascii="Times New Roman" w:eastAsia="Times New Roman" w:hAnsi="Times New Roman" w:cs="Times New Roman"/>
                <w:iCs/>
                <w:sz w:val="24"/>
                <w:szCs w:val="24"/>
                <w:lang w:eastAsia="lv-LV"/>
              </w:rPr>
              <w:t xml:space="preserve">maksu lietderīguma analīze, kur aprēķinos izmato iegūtu kvalitatīvu dzīves gadu, līdz šim tika izmantota kā papildinājums izmaksu efektivitātes analīzei. Tomēr ir slimības, kuru gadījumā tieši kvalitatīvi dzīves gadi vislabāk raksturo zāļu terapeitisko efektivitāti (skat. arī skaidrojumu nākamajā punktā), tādēļ izmaksu lietderīguma analīze turpmāk tiks piemērota kā līdzvērtīga metode tām, kas balstītas uz dzīvildzi. Lai ļautu iesniedzējiem pilnvērtīgi sagatavot iesniegumus zāļu iekļaušanai KZS atbilstoši jaunajām </w:t>
            </w:r>
            <w:r w:rsidRPr="008A4459" w:rsidR="00F713F6">
              <w:rPr>
                <w:rFonts w:ascii="Times New Roman" w:eastAsia="Times New Roman" w:hAnsi="Times New Roman" w:cs="Times New Roman"/>
                <w:iCs/>
                <w:sz w:val="24"/>
                <w:szCs w:val="24"/>
                <w:lang w:eastAsia="lv-LV"/>
              </w:rPr>
              <w:t>prasībām, tiek noteikts pārejas laiks (</w:t>
            </w:r>
            <w:r w:rsidRPr="008A4459" w:rsidR="00912440">
              <w:rPr>
                <w:rFonts w:ascii="Times New Roman" w:eastAsia="Times New Roman" w:hAnsi="Times New Roman" w:cs="Times New Roman"/>
                <w:iCs/>
                <w:sz w:val="24"/>
                <w:szCs w:val="24"/>
                <w:lang w:eastAsia="lv-LV"/>
              </w:rPr>
              <w:t>1.20. apakšpunktā iekļautais 138. punkts).</w:t>
            </w:r>
          </w:p>
          <w:p w:rsidR="003D16CC" w:rsidRPr="001731D1" w:rsidP="003D16CC" w14:paraId="4B04872A"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hAnsi="Times New Roman" w:cs="Times New Roman"/>
                <w:sz w:val="24"/>
                <w:szCs w:val="24"/>
              </w:rPr>
              <w:t xml:space="preserve">10. Daudzām slimībām (piemēram, multiplā skleroze, </w:t>
            </w:r>
            <w:r w:rsidRPr="001731D1">
              <w:rPr>
                <w:rFonts w:ascii="Times New Roman" w:hAnsi="Times New Roman" w:cs="Times New Roman"/>
                <w:sz w:val="24"/>
                <w:szCs w:val="24"/>
              </w:rPr>
              <w:t>reimatoīdās</w:t>
            </w:r>
            <w:r w:rsidRPr="001731D1">
              <w:rPr>
                <w:rFonts w:ascii="Times New Roman" w:hAnsi="Times New Roman" w:cs="Times New Roman"/>
                <w:sz w:val="24"/>
                <w:szCs w:val="24"/>
              </w:rPr>
              <w:t xml:space="preserve"> saslimšanas, </w:t>
            </w:r>
            <w:r w:rsidRPr="001731D1">
              <w:rPr>
                <w:rFonts w:ascii="Times New Roman" w:hAnsi="Times New Roman" w:cs="Times New Roman"/>
                <w:sz w:val="24"/>
                <w:szCs w:val="24"/>
              </w:rPr>
              <w:t>Alcheimera</w:t>
            </w:r>
            <w:r w:rsidRPr="001731D1">
              <w:rPr>
                <w:rFonts w:ascii="Times New Roman" w:hAnsi="Times New Roman" w:cs="Times New Roman"/>
                <w:sz w:val="24"/>
                <w:szCs w:val="24"/>
              </w:rPr>
              <w:t xml:space="preserve"> un </w:t>
            </w:r>
            <w:r w:rsidRPr="001731D1">
              <w:rPr>
                <w:rFonts w:ascii="Times New Roman" w:hAnsi="Times New Roman" w:cs="Times New Roman"/>
                <w:sz w:val="24"/>
                <w:szCs w:val="24"/>
              </w:rPr>
              <w:t>Parkinsona</w:t>
            </w:r>
            <w:r w:rsidRPr="001731D1">
              <w:rPr>
                <w:rFonts w:ascii="Times New Roman" w:hAnsi="Times New Roman" w:cs="Times New Roman"/>
                <w:sz w:val="24"/>
                <w:szCs w:val="24"/>
              </w:rPr>
              <w:t xml:space="preserve"> slimības) nav tiešas ietekmes uz pacienta dzīvildzi, bet tās izraisa smagu neatgriezenisku invaliditāti. Zāļu terapeitiskās efektivitātes novērtēšanai šo slimību ārstēšanā tiek izmantoti tādi efektivitātes radītāji</w:t>
            </w:r>
            <w:bookmarkStart w:id="1" w:name="OLE_LINK1"/>
            <w:bookmarkStart w:id="2" w:name="OLE_LINK2"/>
            <w:r w:rsidRPr="001731D1">
              <w:rPr>
                <w:rFonts w:ascii="Times New Roman" w:hAnsi="Times New Roman" w:cs="Times New Roman"/>
                <w:sz w:val="24"/>
                <w:szCs w:val="24"/>
              </w:rPr>
              <w:t xml:space="preserve"> kā slimības izraisīto komplikāciju samazināšana</w:t>
            </w:r>
            <w:bookmarkEnd w:id="1"/>
            <w:bookmarkEnd w:id="2"/>
            <w:r w:rsidRPr="001731D1">
              <w:rPr>
                <w:rFonts w:ascii="Times New Roman" w:hAnsi="Times New Roman" w:cs="Times New Roman"/>
                <w:sz w:val="24"/>
                <w:szCs w:val="24"/>
              </w:rPr>
              <w:t xml:space="preserve">, slimības izraisīto blakusparādību samazināšana, veiksmīgi kontrolētu slimības simptomu skaits, līdz ar to ieguvums no zāļu lietošanas ir pacienta dzīves kvalitāte. Konkrētajai slimībai šie rādītāji raksturo konkrēto zāļu terapeitiskās efektivitātes lielumu, tomēr dažādām slimībām tie nav salīdzināmi. Lai salīdzinātu zāļu relatīvās terapeitiskās efektivitātes ieguvumus un izmaksu efektivitāti dažādu diagnožu gadījumā, tiek lietots standartizēts rādītājs – iegūti kvalitatīvi dzīves gadi </w:t>
            </w:r>
            <w:r w:rsidRPr="001731D1">
              <w:rPr>
                <w:rFonts w:ascii="Times New Roman" w:hAnsi="Times New Roman" w:cs="Times New Roman"/>
                <w:i/>
                <w:sz w:val="24"/>
                <w:szCs w:val="24"/>
              </w:rPr>
              <w:t>(QALY –</w:t>
            </w:r>
            <w:r w:rsidRPr="001731D1">
              <w:rPr>
                <w:rFonts w:ascii="Times New Roman" w:hAnsi="Times New Roman" w:cs="Times New Roman"/>
                <w:i/>
                <w:sz w:val="24"/>
                <w:szCs w:val="24"/>
              </w:rPr>
              <w:t>quality</w:t>
            </w:r>
            <w:r w:rsidRPr="001731D1">
              <w:rPr>
                <w:rFonts w:ascii="Times New Roman" w:hAnsi="Times New Roman" w:cs="Times New Roman"/>
                <w:i/>
                <w:sz w:val="24"/>
                <w:szCs w:val="24"/>
              </w:rPr>
              <w:t xml:space="preserve"> </w:t>
            </w:r>
            <w:r w:rsidRPr="001731D1">
              <w:rPr>
                <w:rFonts w:ascii="Times New Roman" w:hAnsi="Times New Roman" w:cs="Times New Roman"/>
                <w:i/>
                <w:sz w:val="24"/>
                <w:szCs w:val="24"/>
              </w:rPr>
              <w:t>adjusted</w:t>
            </w:r>
            <w:r w:rsidRPr="001731D1">
              <w:rPr>
                <w:rFonts w:ascii="Times New Roman" w:hAnsi="Times New Roman" w:cs="Times New Roman"/>
                <w:i/>
                <w:sz w:val="24"/>
                <w:szCs w:val="24"/>
              </w:rPr>
              <w:t xml:space="preserve"> </w:t>
            </w:r>
            <w:r w:rsidRPr="001731D1">
              <w:rPr>
                <w:rFonts w:ascii="Times New Roman" w:hAnsi="Times New Roman" w:cs="Times New Roman"/>
                <w:i/>
                <w:sz w:val="24"/>
                <w:szCs w:val="24"/>
              </w:rPr>
              <w:t>life</w:t>
            </w:r>
            <w:r w:rsidRPr="001731D1">
              <w:rPr>
                <w:rFonts w:ascii="Times New Roman" w:hAnsi="Times New Roman" w:cs="Times New Roman"/>
                <w:i/>
                <w:sz w:val="24"/>
                <w:szCs w:val="24"/>
              </w:rPr>
              <w:t xml:space="preserve"> </w:t>
            </w:r>
            <w:r w:rsidRPr="001731D1">
              <w:rPr>
                <w:rFonts w:ascii="Times New Roman" w:hAnsi="Times New Roman" w:cs="Times New Roman"/>
                <w:i/>
                <w:sz w:val="24"/>
                <w:szCs w:val="24"/>
              </w:rPr>
              <w:t>years</w:t>
            </w:r>
            <w:r w:rsidRPr="001731D1">
              <w:rPr>
                <w:rFonts w:ascii="Times New Roman" w:hAnsi="Times New Roman" w:cs="Times New Roman"/>
                <w:i/>
                <w:sz w:val="24"/>
                <w:szCs w:val="24"/>
              </w:rPr>
              <w:t>)</w:t>
            </w:r>
            <w:r w:rsidRPr="001731D1">
              <w:rPr>
                <w:rFonts w:ascii="Times New Roman" w:hAnsi="Times New Roman" w:cs="Times New Roman"/>
                <w:sz w:val="24"/>
                <w:szCs w:val="24"/>
              </w:rPr>
              <w:t>, kas ietver zāļu terapijas ietekmi gan uz dzīves kvantitāti (iegūti dzīves gadi), gan kvalitāti.</w:t>
            </w:r>
          </w:p>
          <w:p w:rsidR="003D16CC" w:rsidRPr="001731D1" w:rsidP="003D16CC" w14:paraId="07C232A6"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hAnsi="Times New Roman" w:cs="Times New Roman"/>
                <w:sz w:val="24"/>
                <w:szCs w:val="24"/>
              </w:rPr>
              <w:t>Pamatojoties uz minēto, NVD ierosinājis papildināt noteikumus Nr.</w:t>
            </w:r>
            <w:r w:rsidR="00721260">
              <w:rPr>
                <w:rFonts w:ascii="Times New Roman" w:hAnsi="Times New Roman" w:cs="Times New Roman"/>
                <w:sz w:val="24"/>
                <w:szCs w:val="24"/>
              </w:rPr>
              <w:t> </w:t>
            </w:r>
            <w:r w:rsidRPr="001731D1">
              <w:rPr>
                <w:rFonts w:ascii="Times New Roman" w:hAnsi="Times New Roman" w:cs="Times New Roman"/>
                <w:sz w:val="24"/>
                <w:szCs w:val="24"/>
              </w:rPr>
              <w:t>899, terapeitiskā ieguvuma aprēķinā ietverot dzīves kvalitātes jēdzienu.</w:t>
            </w:r>
          </w:p>
          <w:p w:rsidR="003D16CC" w:rsidRPr="001731D1" w:rsidP="003D16CC" w14:paraId="401DBC5B"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hAnsi="Times New Roman" w:cs="Times New Roman"/>
                <w:sz w:val="24"/>
                <w:szCs w:val="24"/>
              </w:rPr>
              <w:t>Vienlaikus, ņemot vērā ierobežotos līdzekļus zāļu iegādes kompensācijas sistēmai, NVD ierosinājis pārskatīt maksimāli pieļaujamo izmaksu efektivitātes pieauguma rādītāja apmēru, piemērojot Pasaules veselības organizācijas ieteikto metodoloģiju, proti – zāles tiek uzskatīts par izmaksu efektīvām, ja izmaksu efektivitātes pieauguma rādītājs nepārsniedz 3 x IKP uz iedzīvotāju, savukārt zāles tiek uzskatīts par augsti izmaksu efektīvām, ja izmaksu efektivitātes pieauguma rādītājs nepārsniedz vienu IKP uz iedzīvotāju.</w:t>
            </w:r>
          </w:p>
          <w:p w:rsidR="003D16CC" w:rsidRPr="001731D1" w:rsidP="003D16CC" w14:paraId="4FCFD5C9" w14:textId="77777777">
            <w:pPr>
              <w:spacing w:after="120" w:line="240" w:lineRule="auto"/>
              <w:jc w:val="both"/>
              <w:rPr>
                <w:rFonts w:ascii="Times New Roman" w:hAnsi="Times New Roman" w:cs="Times New Roman"/>
                <w:sz w:val="24"/>
                <w:szCs w:val="24"/>
              </w:rPr>
            </w:pPr>
            <w:r w:rsidRPr="001731D1">
              <w:rPr>
                <w:rFonts w:ascii="Times New Roman" w:hAnsi="Times New Roman" w:cs="Times New Roman"/>
                <w:sz w:val="24"/>
                <w:szCs w:val="24"/>
              </w:rPr>
              <w:t xml:space="preserve">Paralēli NVD ierosinājis izlabot neprecizitātes terminoloģijā: </w:t>
            </w:r>
            <w:r w:rsidRPr="001731D1">
              <w:rPr>
                <w:rFonts w:ascii="Times New Roman" w:hAnsi="Times New Roman" w:cs="Times New Roman"/>
                <w:i/>
                <w:sz w:val="24"/>
                <w:szCs w:val="24"/>
              </w:rPr>
              <w:t>incremental</w:t>
            </w:r>
            <w:r w:rsidRPr="001731D1">
              <w:rPr>
                <w:rFonts w:ascii="Times New Roman" w:hAnsi="Times New Roman" w:cs="Times New Roman"/>
                <w:i/>
                <w:sz w:val="24"/>
                <w:szCs w:val="24"/>
              </w:rPr>
              <w:t xml:space="preserve"> </w:t>
            </w:r>
            <w:r w:rsidRPr="001731D1">
              <w:rPr>
                <w:rFonts w:ascii="Times New Roman" w:hAnsi="Times New Roman" w:cs="Times New Roman"/>
                <w:i/>
                <w:sz w:val="24"/>
                <w:szCs w:val="24"/>
              </w:rPr>
              <w:t>cost-effectiveness</w:t>
            </w:r>
            <w:r w:rsidRPr="001731D1">
              <w:rPr>
                <w:rFonts w:ascii="Times New Roman" w:hAnsi="Times New Roman" w:cs="Times New Roman"/>
                <w:i/>
                <w:sz w:val="24"/>
                <w:szCs w:val="24"/>
              </w:rPr>
              <w:t xml:space="preserve"> </w:t>
            </w:r>
            <w:r w:rsidRPr="001731D1">
              <w:rPr>
                <w:rFonts w:ascii="Times New Roman" w:hAnsi="Times New Roman" w:cs="Times New Roman"/>
                <w:i/>
                <w:sz w:val="24"/>
                <w:szCs w:val="24"/>
              </w:rPr>
              <w:t>ratio</w:t>
            </w:r>
            <w:r w:rsidRPr="001731D1">
              <w:rPr>
                <w:rFonts w:ascii="Times New Roman" w:hAnsi="Times New Roman" w:cs="Times New Roman"/>
                <w:sz w:val="24"/>
                <w:szCs w:val="24"/>
              </w:rPr>
              <w:t xml:space="preserve"> ir lietots kā “izmaksu efektivitātes pieauguma koeficients”, kamēr atbilstošāks būtu “rādītājs” (noteikumu projekta 1.9., 1.11., 1.12., 1.32., 1.33.</w:t>
            </w:r>
            <w:r w:rsidR="006514F6">
              <w:rPr>
                <w:rFonts w:ascii="Times New Roman" w:hAnsi="Times New Roman" w:cs="Times New Roman"/>
                <w:sz w:val="24"/>
                <w:szCs w:val="24"/>
              </w:rPr>
              <w:t> </w:t>
            </w:r>
            <w:r w:rsidRPr="001731D1">
              <w:rPr>
                <w:rFonts w:ascii="Times New Roman" w:hAnsi="Times New Roman" w:cs="Times New Roman"/>
                <w:sz w:val="24"/>
                <w:szCs w:val="24"/>
              </w:rPr>
              <w:t xml:space="preserve">apakšpunkts). </w:t>
            </w:r>
          </w:p>
          <w:p w:rsidR="003D16CC" w:rsidRPr="001731D1" w:rsidP="003D16CC" w14:paraId="73495AFB" w14:textId="77777777">
            <w:pPr>
              <w:spacing w:after="120" w:line="240" w:lineRule="auto"/>
              <w:jc w:val="both"/>
              <w:rPr>
                <w:rFonts w:ascii="Times New Roman" w:hAnsi="Times New Roman" w:cs="Times New Roman"/>
                <w:sz w:val="24"/>
                <w:szCs w:val="24"/>
              </w:rPr>
            </w:pPr>
            <w:r w:rsidRPr="001731D1">
              <w:rPr>
                <w:rFonts w:ascii="Times New Roman" w:hAnsi="Times New Roman" w:cs="Times New Roman"/>
                <w:sz w:val="24"/>
                <w:szCs w:val="24"/>
              </w:rPr>
              <w:t>11. Noteikumu Nr.</w:t>
            </w:r>
            <w:r w:rsidR="006514F6">
              <w:rPr>
                <w:rFonts w:ascii="Times New Roman" w:hAnsi="Times New Roman" w:cs="Times New Roman"/>
                <w:sz w:val="24"/>
                <w:szCs w:val="24"/>
              </w:rPr>
              <w:t> </w:t>
            </w:r>
            <w:r w:rsidRPr="001731D1">
              <w:rPr>
                <w:rFonts w:ascii="Times New Roman" w:hAnsi="Times New Roman" w:cs="Times New Roman"/>
                <w:sz w:val="24"/>
                <w:szCs w:val="24"/>
              </w:rPr>
              <w:t>899 42.</w:t>
            </w:r>
            <w:r w:rsidR="006514F6">
              <w:rPr>
                <w:rFonts w:ascii="Times New Roman" w:hAnsi="Times New Roman" w:cs="Times New Roman"/>
                <w:sz w:val="24"/>
                <w:szCs w:val="24"/>
              </w:rPr>
              <w:t> </w:t>
            </w:r>
            <w:r w:rsidRPr="001731D1">
              <w:rPr>
                <w:rFonts w:ascii="Times New Roman" w:hAnsi="Times New Roman" w:cs="Times New Roman"/>
                <w:sz w:val="24"/>
                <w:szCs w:val="24"/>
              </w:rPr>
              <w:t>punkts nosaka maksimālo pieļaujamo cenu starpību B sarakstā iekļautām identiskai lietošanai paredzētām medicīniskām ierīcēm. Ņemot vērā, ka šādas ierīces tiek iekļautas A sarakstā, minētais punkts nav aktuāls. (noteikumu projekta 1.10.</w:t>
            </w:r>
            <w:r w:rsidR="006514F6">
              <w:rPr>
                <w:rFonts w:ascii="Times New Roman" w:hAnsi="Times New Roman" w:cs="Times New Roman"/>
                <w:sz w:val="24"/>
                <w:szCs w:val="24"/>
              </w:rPr>
              <w:t> </w:t>
            </w:r>
            <w:r w:rsidRPr="001731D1">
              <w:rPr>
                <w:rFonts w:ascii="Times New Roman" w:hAnsi="Times New Roman" w:cs="Times New Roman"/>
                <w:sz w:val="24"/>
                <w:szCs w:val="24"/>
              </w:rPr>
              <w:t>apakšpunkts).</w:t>
            </w:r>
          </w:p>
          <w:p w:rsidR="003D16CC" w:rsidRPr="005F6D91" w:rsidP="003D16CC" w14:paraId="60343CA7" w14:textId="77777777">
            <w:pPr>
              <w:spacing w:after="120" w:line="240" w:lineRule="auto"/>
              <w:jc w:val="both"/>
              <w:rPr>
                <w:rFonts w:ascii="Times New Roman" w:hAnsi="Times New Roman" w:cs="Times New Roman"/>
                <w:sz w:val="24"/>
                <w:szCs w:val="24"/>
              </w:rPr>
            </w:pPr>
            <w:r w:rsidRPr="001731D1">
              <w:rPr>
                <w:rFonts w:ascii="Times New Roman" w:hAnsi="Times New Roman" w:cs="Times New Roman"/>
                <w:sz w:val="24"/>
                <w:szCs w:val="24"/>
              </w:rPr>
              <w:t>12. Noteikumu Nr.</w:t>
            </w:r>
            <w:r w:rsidR="00721260">
              <w:rPr>
                <w:rFonts w:ascii="Times New Roman" w:hAnsi="Times New Roman" w:cs="Times New Roman"/>
                <w:sz w:val="24"/>
                <w:szCs w:val="24"/>
              </w:rPr>
              <w:t> </w:t>
            </w:r>
            <w:r w:rsidRPr="001731D1">
              <w:rPr>
                <w:rFonts w:ascii="Times New Roman" w:hAnsi="Times New Roman" w:cs="Times New Roman"/>
                <w:sz w:val="24"/>
                <w:szCs w:val="24"/>
              </w:rPr>
              <w:t>899 88.</w:t>
            </w:r>
            <w:r w:rsidR="00721260">
              <w:rPr>
                <w:rFonts w:ascii="Times New Roman" w:hAnsi="Times New Roman" w:cs="Times New Roman"/>
                <w:sz w:val="24"/>
                <w:szCs w:val="24"/>
              </w:rPr>
              <w:t> </w:t>
            </w:r>
            <w:r w:rsidRPr="001731D1">
              <w:rPr>
                <w:rFonts w:ascii="Times New Roman" w:hAnsi="Times New Roman" w:cs="Times New Roman"/>
                <w:sz w:val="24"/>
                <w:szCs w:val="24"/>
              </w:rPr>
              <w:t xml:space="preserve">punkts nosaka kompensējamo zāļu piegādes termiņus. Ņemot vērā, ka tas, kā zāļu lieltirgotava un aptieka organizē savu darbību, jau noteikts citos normatīvajos </w:t>
            </w:r>
            <w:r w:rsidRPr="001731D1">
              <w:rPr>
                <w:rFonts w:ascii="Times New Roman" w:hAnsi="Times New Roman" w:cs="Times New Roman"/>
                <w:sz w:val="24"/>
                <w:szCs w:val="24"/>
              </w:rPr>
              <w:t>aktos</w:t>
            </w:r>
            <w:r>
              <w:rPr>
                <w:rStyle w:val="FootnoteReference"/>
                <w:rFonts w:ascii="Times New Roman" w:hAnsi="Times New Roman" w:cs="Times New Roman"/>
                <w:sz w:val="24"/>
                <w:szCs w:val="24"/>
              </w:rPr>
              <w:footnoteReference w:id="2"/>
            </w:r>
            <w:r w:rsidRPr="001731D1">
              <w:rPr>
                <w:rFonts w:ascii="Times New Roman" w:hAnsi="Times New Roman" w:cs="Times New Roman"/>
                <w:sz w:val="24"/>
                <w:szCs w:val="24"/>
              </w:rPr>
              <w:t xml:space="preserve">, punkts tiek svītrots </w:t>
            </w:r>
            <w:r w:rsidRPr="001731D1">
              <w:rPr>
                <w:rFonts w:ascii="Times New Roman" w:eastAsia="Times New Roman" w:hAnsi="Times New Roman" w:cs="Times New Roman"/>
                <w:iCs/>
                <w:sz w:val="24"/>
                <w:szCs w:val="24"/>
                <w:lang w:eastAsia="lv-LV"/>
              </w:rPr>
              <w:t>(noteikumu projekta 1.17.</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apakšpunkts).</w:t>
            </w:r>
          </w:p>
          <w:p w:rsidR="009A6BD4" w:rsidRPr="00FE629A" w:rsidP="003D16CC" w14:paraId="4F07BB0B" w14:textId="77777777">
            <w:pPr>
              <w:spacing w:after="120" w:line="240" w:lineRule="auto"/>
              <w:jc w:val="both"/>
              <w:rPr>
                <w:rFonts w:ascii="Times New Roman" w:eastAsia="Times New Roman" w:hAnsi="Times New Roman" w:cs="Times New Roman"/>
                <w:iCs/>
                <w:sz w:val="24"/>
                <w:szCs w:val="24"/>
                <w:lang w:eastAsia="lv-LV"/>
              </w:rPr>
            </w:pPr>
            <w:r w:rsidRPr="00FE629A">
              <w:rPr>
                <w:rFonts w:ascii="Times New Roman" w:eastAsia="Times New Roman" w:hAnsi="Times New Roman" w:cs="Times New Roman"/>
                <w:iCs/>
                <w:sz w:val="24"/>
                <w:szCs w:val="24"/>
                <w:lang w:eastAsia="lv-LV"/>
              </w:rPr>
              <w:t xml:space="preserve">13. Ņemot vērā, ka </w:t>
            </w:r>
            <w:r w:rsidRPr="00FE629A" w:rsidR="0031559D">
              <w:rPr>
                <w:rFonts w:ascii="Times New Roman" w:eastAsia="Times New Roman" w:hAnsi="Times New Roman" w:cs="Times New Roman"/>
                <w:iCs/>
                <w:sz w:val="24"/>
                <w:szCs w:val="24"/>
                <w:lang w:eastAsia="lv-LV"/>
              </w:rPr>
              <w:t>ZVA</w:t>
            </w:r>
            <w:r w:rsidRPr="00FE629A">
              <w:rPr>
                <w:rFonts w:ascii="Times New Roman" w:eastAsia="Times New Roman" w:hAnsi="Times New Roman" w:cs="Times New Roman"/>
                <w:iCs/>
                <w:sz w:val="24"/>
                <w:szCs w:val="24"/>
                <w:lang w:eastAsia="lv-LV"/>
              </w:rPr>
              <w:t xml:space="preserve"> jau šobrīd apkopo informāciju par zālēm, kas nav pieejamas tirgū, kā arī aģentūrai ir iespējams ātri un efektīvi iegūt informāciju par zāļu pieejamību no zāļu reģistrācijas apliecības īpašnieka, turpmāk aptiekas par nespēju iegādāties zāles (ja tas nav izdevies 24h laikā) ziņos </w:t>
            </w:r>
            <w:r w:rsidRPr="00FE629A" w:rsidR="0031559D">
              <w:rPr>
                <w:rFonts w:ascii="Times New Roman" w:eastAsia="Times New Roman" w:hAnsi="Times New Roman" w:cs="Times New Roman"/>
                <w:iCs/>
                <w:sz w:val="24"/>
                <w:szCs w:val="24"/>
                <w:lang w:eastAsia="lv-LV"/>
              </w:rPr>
              <w:t>ZVA</w:t>
            </w:r>
            <w:r w:rsidRPr="00FE629A">
              <w:rPr>
                <w:rFonts w:ascii="Times New Roman" w:eastAsia="Times New Roman" w:hAnsi="Times New Roman" w:cs="Times New Roman"/>
                <w:iCs/>
                <w:sz w:val="24"/>
                <w:szCs w:val="24"/>
                <w:lang w:eastAsia="lv-LV"/>
              </w:rPr>
              <w:t>. Attiecīgi precizēts noteikumu Nr.</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899 89. un 91.</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punkts. Tā kā noteikumu Nr.</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899 66. un 104.</w:t>
            </w:r>
            <w:r w:rsidRPr="00FE629A">
              <w:rPr>
                <w:rFonts w:ascii="Times New Roman" w:eastAsia="Times New Roman" w:hAnsi="Times New Roman" w:cs="Times New Roman"/>
                <w:iCs/>
                <w:sz w:val="24"/>
                <w:szCs w:val="24"/>
                <w:vertAlign w:val="superscript"/>
                <w:lang w:eastAsia="lv-LV"/>
              </w:rPr>
              <w:t>1</w:t>
            </w:r>
            <w:r w:rsidRPr="00FE629A">
              <w:rPr>
                <w:rFonts w:ascii="Times New Roman" w:eastAsia="Times New Roman" w:hAnsi="Times New Roman" w:cs="Times New Roman"/>
                <w:iCs/>
                <w:sz w:val="24"/>
                <w:szCs w:val="24"/>
                <w:lang w:eastAsia="lv-LV"/>
              </w:rPr>
              <w:t> punkts jau nosaka šo noteikumu ievērošanu uzraugošās iestādes, no 91.</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punkta tiek svītrota prasība aptiekām par noteikumu neievērošanu ziņot Veselības inspekcijai</w:t>
            </w:r>
            <w:r w:rsidRPr="00FE629A" w:rsidR="0031559D">
              <w:rPr>
                <w:rFonts w:ascii="Times New Roman" w:eastAsia="Times New Roman" w:hAnsi="Times New Roman" w:cs="Times New Roman"/>
                <w:iCs/>
                <w:sz w:val="24"/>
                <w:szCs w:val="24"/>
                <w:lang w:eastAsia="lv-LV"/>
              </w:rPr>
              <w:t xml:space="preserve"> (turpmāk – VI)</w:t>
            </w:r>
            <w:r w:rsidRPr="00FE629A">
              <w:rPr>
                <w:rFonts w:ascii="Times New Roman" w:eastAsia="Times New Roman" w:hAnsi="Times New Roman" w:cs="Times New Roman"/>
                <w:iCs/>
                <w:sz w:val="24"/>
                <w:szCs w:val="24"/>
                <w:lang w:eastAsia="lv-LV"/>
              </w:rPr>
              <w:t>.</w:t>
            </w:r>
            <w:r w:rsidRPr="00FE629A">
              <w:rPr>
                <w:rFonts w:ascii="Times New Roman" w:eastAsia="Times New Roman" w:hAnsi="Times New Roman" w:cs="Times New Roman"/>
                <w:iCs/>
                <w:sz w:val="24"/>
                <w:szCs w:val="24"/>
                <w:lang w:eastAsia="lv-LV"/>
              </w:rPr>
              <w:t xml:space="preserve"> </w:t>
            </w:r>
          </w:p>
          <w:p w:rsidR="00295F69" w:rsidRPr="00FE629A" w:rsidP="003D16CC" w14:paraId="769F6FCE" w14:textId="77777777">
            <w:pPr>
              <w:spacing w:after="120" w:line="240" w:lineRule="auto"/>
              <w:jc w:val="both"/>
              <w:rPr>
                <w:rFonts w:ascii="Times New Roman" w:eastAsia="Times New Roman" w:hAnsi="Times New Roman" w:cs="Times New Roman"/>
                <w:iCs/>
                <w:sz w:val="24"/>
                <w:szCs w:val="24"/>
                <w:lang w:eastAsia="lv-LV"/>
              </w:rPr>
            </w:pPr>
            <w:r w:rsidRPr="00FE629A">
              <w:rPr>
                <w:rFonts w:ascii="Times New Roman" w:eastAsia="Times New Roman" w:hAnsi="Times New Roman" w:cs="Times New Roman"/>
                <w:iCs/>
                <w:sz w:val="24"/>
                <w:szCs w:val="24"/>
                <w:lang w:eastAsia="lv-LV"/>
              </w:rPr>
              <w:t>91.punkta pašreizējā redakcija saistīta ar VI veikto kompensācijas kārtības uzraudzības</w:t>
            </w:r>
            <w:r w:rsidRPr="00FE629A" w:rsidR="006514F6">
              <w:rPr>
                <w:rFonts w:ascii="Times New Roman" w:eastAsia="Times New Roman" w:hAnsi="Times New Roman" w:cs="Times New Roman"/>
                <w:iCs/>
                <w:sz w:val="24"/>
                <w:szCs w:val="24"/>
                <w:lang w:eastAsia="lv-LV"/>
              </w:rPr>
              <w:t xml:space="preserve"> un kontroles</w:t>
            </w:r>
            <w:r w:rsidRPr="00FE629A">
              <w:rPr>
                <w:rFonts w:ascii="Times New Roman" w:eastAsia="Times New Roman" w:hAnsi="Times New Roman" w:cs="Times New Roman"/>
                <w:iCs/>
                <w:sz w:val="24"/>
                <w:szCs w:val="24"/>
                <w:lang w:eastAsia="lv-LV"/>
              </w:rPr>
              <w:t xml:space="preserve"> funkciju, attiecinot to</w:t>
            </w:r>
            <w:r w:rsidRPr="00FE629A" w:rsidR="007C7246">
              <w:rPr>
                <w:rFonts w:ascii="Times New Roman" w:eastAsia="Times New Roman" w:hAnsi="Times New Roman" w:cs="Times New Roman"/>
                <w:iCs/>
                <w:sz w:val="24"/>
                <w:szCs w:val="24"/>
                <w:lang w:eastAsia="lv-LV"/>
              </w:rPr>
              <w:t xml:space="preserve"> gan uz zālēm, gan medicīniskām</w:t>
            </w:r>
            <w:r w:rsidRPr="00FE629A">
              <w:rPr>
                <w:rFonts w:ascii="Times New Roman" w:eastAsia="Times New Roman" w:hAnsi="Times New Roman" w:cs="Times New Roman"/>
                <w:iCs/>
                <w:sz w:val="24"/>
                <w:szCs w:val="24"/>
                <w:lang w:eastAsia="lv-LV"/>
              </w:rPr>
              <w:t xml:space="preserve"> ierīcēm</w:t>
            </w:r>
            <w:r w:rsidRPr="00FE629A" w:rsidR="006514F6">
              <w:rPr>
                <w:rFonts w:ascii="Times New Roman" w:eastAsia="Times New Roman" w:hAnsi="Times New Roman" w:cs="Times New Roman"/>
                <w:iCs/>
                <w:sz w:val="24"/>
                <w:szCs w:val="24"/>
                <w:lang w:eastAsia="lv-LV"/>
              </w:rPr>
              <w:t>, pēc būtības pasakot to pašu, ko noteikumu Nr.</w:t>
            </w:r>
            <w:r w:rsidR="00721260">
              <w:rPr>
                <w:rFonts w:ascii="Times New Roman" w:eastAsia="Times New Roman" w:hAnsi="Times New Roman" w:cs="Times New Roman"/>
                <w:iCs/>
                <w:sz w:val="24"/>
                <w:szCs w:val="24"/>
                <w:lang w:eastAsia="lv-LV"/>
              </w:rPr>
              <w:t> </w:t>
            </w:r>
            <w:r w:rsidRPr="00FE629A" w:rsidR="006514F6">
              <w:rPr>
                <w:rFonts w:ascii="Times New Roman" w:eastAsia="Times New Roman" w:hAnsi="Times New Roman" w:cs="Times New Roman"/>
                <w:iCs/>
                <w:sz w:val="24"/>
                <w:szCs w:val="24"/>
                <w:lang w:eastAsia="lv-LV"/>
              </w:rPr>
              <w:t>899 66. un 104.</w:t>
            </w:r>
            <w:r w:rsidRPr="00FE629A" w:rsidR="006514F6">
              <w:rPr>
                <w:rFonts w:ascii="Times New Roman" w:eastAsia="Times New Roman" w:hAnsi="Times New Roman" w:cs="Times New Roman"/>
                <w:iCs/>
                <w:sz w:val="24"/>
                <w:szCs w:val="24"/>
                <w:vertAlign w:val="superscript"/>
                <w:lang w:eastAsia="lv-LV"/>
              </w:rPr>
              <w:t>1</w:t>
            </w:r>
            <w:r w:rsidRPr="00FE629A" w:rsidR="006514F6">
              <w:rPr>
                <w:rFonts w:ascii="Times New Roman" w:eastAsia="Times New Roman" w:hAnsi="Times New Roman" w:cs="Times New Roman"/>
                <w:iCs/>
                <w:sz w:val="24"/>
                <w:szCs w:val="24"/>
                <w:lang w:eastAsia="lv-LV"/>
              </w:rPr>
              <w:t xml:space="preserve"> punkts. Noteikumu projektā iekļautā 91.</w:t>
            </w:r>
            <w:r w:rsidR="00721260">
              <w:rPr>
                <w:rFonts w:ascii="Times New Roman" w:eastAsia="Times New Roman" w:hAnsi="Times New Roman" w:cs="Times New Roman"/>
                <w:iCs/>
                <w:sz w:val="24"/>
                <w:szCs w:val="24"/>
                <w:lang w:eastAsia="lv-LV"/>
              </w:rPr>
              <w:t> </w:t>
            </w:r>
            <w:r w:rsidRPr="00FE629A" w:rsidR="006514F6">
              <w:rPr>
                <w:rFonts w:ascii="Times New Roman" w:eastAsia="Times New Roman" w:hAnsi="Times New Roman" w:cs="Times New Roman"/>
                <w:iCs/>
                <w:sz w:val="24"/>
                <w:szCs w:val="24"/>
                <w:lang w:eastAsia="lv-LV"/>
              </w:rPr>
              <w:t>punkta redakcija</w:t>
            </w:r>
            <w:r w:rsidRPr="00FE629A">
              <w:rPr>
                <w:rFonts w:ascii="Times New Roman" w:eastAsia="Times New Roman" w:hAnsi="Times New Roman" w:cs="Times New Roman"/>
                <w:iCs/>
                <w:sz w:val="24"/>
                <w:szCs w:val="24"/>
                <w:lang w:eastAsia="lv-LV"/>
              </w:rPr>
              <w:t xml:space="preserve"> vērsta uz to, lai nodrošinātu iespējami operatīvu informācijas apriti par kompensējamo zāļu pieejamību. </w:t>
            </w:r>
            <w:r w:rsidRPr="00FE629A" w:rsidR="006514F6">
              <w:rPr>
                <w:rFonts w:ascii="Times New Roman" w:eastAsia="Times New Roman" w:hAnsi="Times New Roman" w:cs="Times New Roman"/>
                <w:iCs/>
                <w:sz w:val="24"/>
                <w:szCs w:val="24"/>
                <w:lang w:eastAsia="lv-LV"/>
              </w:rPr>
              <w:t>ZVA</w:t>
            </w:r>
            <w:r w:rsidRPr="00FE629A">
              <w:rPr>
                <w:rFonts w:ascii="Times New Roman" w:eastAsia="Times New Roman" w:hAnsi="Times New Roman" w:cs="Times New Roman"/>
                <w:iCs/>
                <w:sz w:val="24"/>
                <w:szCs w:val="24"/>
                <w:lang w:eastAsia="lv-LV"/>
              </w:rPr>
              <w:t xml:space="preserve"> kompetencē ir</w:t>
            </w:r>
            <w:r w:rsidRPr="00FE629A" w:rsidR="006514F6">
              <w:rPr>
                <w:rFonts w:ascii="Times New Roman" w:eastAsia="Times New Roman" w:hAnsi="Times New Roman" w:cs="Times New Roman"/>
                <w:iCs/>
                <w:sz w:val="24"/>
                <w:szCs w:val="24"/>
                <w:lang w:eastAsia="lv-LV"/>
              </w:rPr>
              <w:t xml:space="preserve"> </w:t>
            </w:r>
            <w:r w:rsidRPr="00FE629A" w:rsidR="007C7246">
              <w:rPr>
                <w:rFonts w:ascii="Times New Roman" w:eastAsia="Times New Roman" w:hAnsi="Times New Roman" w:cs="Times New Roman"/>
                <w:iCs/>
                <w:sz w:val="24"/>
                <w:szCs w:val="24"/>
                <w:lang w:eastAsia="lv-LV"/>
              </w:rPr>
              <w:t>veido</w:t>
            </w:r>
            <w:r w:rsidRPr="00FE629A">
              <w:rPr>
                <w:rFonts w:ascii="Times New Roman" w:eastAsia="Times New Roman" w:hAnsi="Times New Roman" w:cs="Times New Roman"/>
                <w:iCs/>
                <w:sz w:val="24"/>
                <w:szCs w:val="24"/>
                <w:lang w:eastAsia="lv-LV"/>
              </w:rPr>
              <w:t>t</w:t>
            </w:r>
            <w:r w:rsidRPr="00FE629A" w:rsidR="007C7246">
              <w:rPr>
                <w:rFonts w:ascii="Times New Roman" w:eastAsia="Times New Roman" w:hAnsi="Times New Roman" w:cs="Times New Roman"/>
                <w:iCs/>
                <w:sz w:val="24"/>
                <w:szCs w:val="24"/>
                <w:lang w:eastAsia="lv-LV"/>
              </w:rPr>
              <w:t xml:space="preserve"> un aktualizē</w:t>
            </w:r>
            <w:r w:rsidRPr="00FE629A">
              <w:rPr>
                <w:rFonts w:ascii="Times New Roman" w:eastAsia="Times New Roman" w:hAnsi="Times New Roman" w:cs="Times New Roman"/>
                <w:iCs/>
                <w:sz w:val="24"/>
                <w:szCs w:val="24"/>
                <w:lang w:eastAsia="lv-LV"/>
              </w:rPr>
              <w:t>t</w:t>
            </w:r>
            <w:r w:rsidRPr="00FE629A" w:rsidR="006514F6">
              <w:rPr>
                <w:rFonts w:ascii="Times New Roman" w:eastAsia="Times New Roman" w:hAnsi="Times New Roman" w:cs="Times New Roman"/>
                <w:iCs/>
                <w:sz w:val="24"/>
                <w:szCs w:val="24"/>
                <w:lang w:eastAsia="lv-LV"/>
              </w:rPr>
              <w:t xml:space="preserve"> Latvijas Zāļu reģistru, </w:t>
            </w:r>
            <w:r w:rsidRPr="00FE629A" w:rsidR="007C7246">
              <w:rPr>
                <w:rFonts w:ascii="Times New Roman" w:eastAsia="Times New Roman" w:hAnsi="Times New Roman" w:cs="Times New Roman"/>
                <w:iCs/>
                <w:sz w:val="24"/>
                <w:szCs w:val="24"/>
                <w:lang w:eastAsia="lv-LV"/>
              </w:rPr>
              <w:t>apkopojot informāciju par zāļu pieejamību un darot to pieejamu sabiedrībai, NVD vai komersantiem. Tiesību akti nenosaka ZVA pienākumu apkopot un publiskot informāciju par medicīnisko ierīču pieejamību</w:t>
            </w:r>
            <w:r w:rsidRPr="00FE629A">
              <w:rPr>
                <w:rFonts w:ascii="Times New Roman" w:eastAsia="Times New Roman" w:hAnsi="Times New Roman" w:cs="Times New Roman"/>
                <w:iCs/>
                <w:sz w:val="24"/>
                <w:szCs w:val="24"/>
                <w:lang w:eastAsia="lv-LV"/>
              </w:rPr>
              <w:t>, tādējādi 91.</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punkta jaunā redakcija neparedz informācijas sniegšanu ZVA par medicīniskajām ierīcēm. Par medicīniskajām ierīcēm joprojām var ziņot NVD vai VI atbilstoši šo iestāžu kompetencei kompensācijas kārtības uzraudzības ietvaros.</w:t>
            </w:r>
          </w:p>
          <w:p w:rsidR="003D16CC" w:rsidRPr="00FE629A" w:rsidP="003D16CC" w14:paraId="5D9137BB" w14:textId="77777777">
            <w:pPr>
              <w:spacing w:after="120" w:line="240" w:lineRule="auto"/>
              <w:jc w:val="both"/>
              <w:rPr>
                <w:rFonts w:ascii="Times New Roman" w:eastAsia="Times New Roman" w:hAnsi="Times New Roman" w:cs="Times New Roman"/>
                <w:iCs/>
                <w:sz w:val="24"/>
                <w:szCs w:val="24"/>
                <w:lang w:eastAsia="lv-LV"/>
              </w:rPr>
            </w:pPr>
            <w:r w:rsidRPr="00FE629A">
              <w:rPr>
                <w:rFonts w:ascii="Times New Roman" w:eastAsia="Times New Roman" w:hAnsi="Times New Roman" w:cs="Times New Roman"/>
                <w:iCs/>
                <w:sz w:val="24"/>
                <w:szCs w:val="24"/>
                <w:lang w:eastAsia="lv-LV"/>
              </w:rPr>
              <w:t xml:space="preserve">Vienlaikus tiek paredzēts, ka papildus VI sniegtajam ziņojumam turpmāk arī ZVA informācijas sistēmā ievietotā informācija par references zāļu neesamību tirgū varēs būt par pamatu references cenas pārskatīšanai </w:t>
            </w:r>
            <w:r w:rsidRPr="00FE629A">
              <w:rPr>
                <w:rFonts w:ascii="Times New Roman" w:eastAsia="Times New Roman" w:hAnsi="Times New Roman" w:cs="Times New Roman"/>
                <w:iCs/>
                <w:sz w:val="24"/>
                <w:szCs w:val="24"/>
                <w:lang w:eastAsia="lv-LV"/>
              </w:rPr>
              <w:t>(noteikumu projekta 1.6., 1.18. un 1.19.</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 xml:space="preserve">apakšpunkts). </w:t>
            </w:r>
          </w:p>
          <w:p w:rsidR="003D16CC" w:rsidRPr="001731D1" w:rsidP="003D16CC" w14:paraId="2713F18D" w14:textId="77777777">
            <w:pPr>
              <w:spacing w:after="120" w:line="240" w:lineRule="auto"/>
              <w:jc w:val="both"/>
              <w:rPr>
                <w:rFonts w:ascii="Times New Roman" w:eastAsia="Times New Roman" w:hAnsi="Times New Roman" w:cs="Times New Roman"/>
                <w:iCs/>
                <w:sz w:val="24"/>
                <w:szCs w:val="24"/>
                <w:lang w:eastAsia="lv-LV"/>
              </w:rPr>
            </w:pPr>
            <w:r w:rsidRPr="00FE629A">
              <w:rPr>
                <w:rFonts w:ascii="Times New Roman" w:eastAsia="Times New Roman" w:hAnsi="Times New Roman" w:cs="Times New Roman"/>
                <w:iCs/>
                <w:sz w:val="24"/>
                <w:szCs w:val="24"/>
                <w:lang w:eastAsia="lv-LV"/>
              </w:rPr>
              <w:t>14. Saskaņā ar noteikumu Nr.</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899 98.</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punktu NVD divas reizes gadā jāapkopo informācija par iepriekšējā periodā saņemtajiem iesniegumiem par zāļu un medicīnisko ierīču iegādes izdevumu kompensāciju individuāliem pacientiem, tā jāizvērtē un jāsniedz priekšlikumi Veselības ministrijai</w:t>
            </w:r>
            <w:r w:rsidRPr="00FE629A" w:rsidR="0031559D">
              <w:rPr>
                <w:rFonts w:ascii="Times New Roman" w:eastAsia="Times New Roman" w:hAnsi="Times New Roman" w:cs="Times New Roman"/>
                <w:iCs/>
                <w:sz w:val="24"/>
                <w:szCs w:val="24"/>
                <w:lang w:eastAsia="lv-LV"/>
              </w:rPr>
              <w:t xml:space="preserve"> (turpmāk – VM)</w:t>
            </w:r>
            <w:r w:rsidRPr="00FE629A">
              <w:rPr>
                <w:rFonts w:ascii="Times New Roman" w:eastAsia="Times New Roman" w:hAnsi="Times New Roman" w:cs="Times New Roman"/>
                <w:iCs/>
                <w:sz w:val="24"/>
                <w:szCs w:val="24"/>
                <w:lang w:eastAsia="lv-LV"/>
              </w:rPr>
              <w:t xml:space="preserve"> grozījumiem noteikumu Nr.</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899 1.</w:t>
            </w:r>
            <w:r w:rsidR="00721260">
              <w:rPr>
                <w:rFonts w:ascii="Times New Roman" w:eastAsia="Times New Roman" w:hAnsi="Times New Roman" w:cs="Times New Roman"/>
                <w:iCs/>
                <w:sz w:val="24"/>
                <w:szCs w:val="24"/>
                <w:lang w:eastAsia="lv-LV"/>
              </w:rPr>
              <w:t> </w:t>
            </w:r>
            <w:r w:rsidRPr="00FE629A">
              <w:rPr>
                <w:rFonts w:ascii="Times New Roman" w:eastAsia="Times New Roman" w:hAnsi="Times New Roman" w:cs="Times New Roman"/>
                <w:iCs/>
                <w:sz w:val="24"/>
                <w:szCs w:val="24"/>
                <w:lang w:eastAsia="lv-LV"/>
              </w:rPr>
              <w:t>pielikumā. Noteikumu projektā iekļautas</w:t>
            </w:r>
            <w:r w:rsidRPr="001731D1">
              <w:rPr>
                <w:rFonts w:ascii="Times New Roman" w:eastAsia="Times New Roman" w:hAnsi="Times New Roman" w:cs="Times New Roman"/>
                <w:iCs/>
                <w:sz w:val="24"/>
                <w:szCs w:val="24"/>
                <w:lang w:eastAsia="lv-LV"/>
              </w:rPr>
              <w:t xml:space="preserve"> šādas diagnozes, par kurām NVD sniedzis priekšlikumus un kuras bijušas iekļautas arī jaunajās politikas iniciatīvās: I27.0 Primāra plaušu hipertensija; B67 Aknu </w:t>
            </w:r>
            <w:r w:rsidRPr="001731D1">
              <w:rPr>
                <w:rFonts w:ascii="Times New Roman" w:eastAsia="Times New Roman" w:hAnsi="Times New Roman" w:cs="Times New Roman"/>
                <w:iCs/>
                <w:sz w:val="24"/>
                <w:szCs w:val="24"/>
                <w:lang w:eastAsia="lv-LV"/>
              </w:rPr>
              <w:t>ehinokokoze</w:t>
            </w:r>
            <w:r w:rsidRPr="001731D1">
              <w:rPr>
                <w:rFonts w:ascii="Times New Roman" w:eastAsia="Times New Roman" w:hAnsi="Times New Roman" w:cs="Times New Roman"/>
                <w:iCs/>
                <w:sz w:val="24"/>
                <w:szCs w:val="24"/>
                <w:lang w:eastAsia="lv-LV"/>
              </w:rPr>
              <w:t xml:space="preserve">; B69 </w:t>
            </w:r>
            <w:r w:rsidRPr="001731D1">
              <w:rPr>
                <w:rFonts w:ascii="Times New Roman" w:eastAsia="Times New Roman" w:hAnsi="Times New Roman" w:cs="Times New Roman"/>
                <w:iCs/>
                <w:sz w:val="24"/>
                <w:szCs w:val="24"/>
                <w:lang w:eastAsia="lv-LV"/>
              </w:rPr>
              <w:t>Cisticerkoze</w:t>
            </w:r>
            <w:r w:rsidRPr="001731D1">
              <w:rPr>
                <w:rFonts w:ascii="Times New Roman" w:eastAsia="Times New Roman" w:hAnsi="Times New Roman" w:cs="Times New Roman"/>
                <w:iCs/>
                <w:sz w:val="24"/>
                <w:szCs w:val="24"/>
                <w:lang w:eastAsia="lv-LV"/>
              </w:rPr>
              <w:t xml:space="preserve">; Q78.0 </w:t>
            </w:r>
            <w:r w:rsidRPr="001731D1">
              <w:rPr>
                <w:rFonts w:ascii="Times New Roman" w:eastAsia="Times New Roman" w:hAnsi="Times New Roman" w:cs="Times New Roman"/>
                <w:iCs/>
                <w:sz w:val="24"/>
                <w:szCs w:val="24"/>
                <w:lang w:eastAsia="lv-LV"/>
              </w:rPr>
              <w:t>Osteogenesis</w:t>
            </w:r>
            <w:r w:rsidRPr="001731D1">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imperfecta</w:t>
            </w:r>
            <w:r w:rsidRPr="001731D1">
              <w:rPr>
                <w:rFonts w:ascii="Times New Roman" w:eastAsia="Times New Roman" w:hAnsi="Times New Roman" w:cs="Times New Roman"/>
                <w:iCs/>
                <w:sz w:val="24"/>
                <w:szCs w:val="24"/>
                <w:lang w:eastAsia="lv-LV"/>
              </w:rPr>
              <w:t xml:space="preserve">; D82, D83, D84 Imūndeficīts; L50.8 Citi nātrenes veidi (hroniska nātrene; </w:t>
            </w:r>
            <w:r w:rsidRPr="001731D1">
              <w:rPr>
                <w:rFonts w:ascii="Times New Roman" w:eastAsia="Times New Roman" w:hAnsi="Times New Roman" w:cs="Times New Roman"/>
                <w:iCs/>
                <w:sz w:val="24"/>
                <w:szCs w:val="24"/>
                <w:lang w:eastAsia="lv-LV"/>
              </w:rPr>
              <w:t xml:space="preserve">periodiski </w:t>
            </w:r>
            <w:r w:rsidRPr="001731D1">
              <w:rPr>
                <w:rFonts w:ascii="Times New Roman" w:eastAsia="Times New Roman" w:hAnsi="Times New Roman" w:cs="Times New Roman"/>
                <w:iCs/>
                <w:sz w:val="24"/>
                <w:szCs w:val="24"/>
                <w:lang w:eastAsia="lv-LV"/>
              </w:rPr>
              <w:t>recidivējoša</w:t>
            </w:r>
            <w:r w:rsidRPr="001731D1">
              <w:rPr>
                <w:rFonts w:ascii="Times New Roman" w:eastAsia="Times New Roman" w:hAnsi="Times New Roman" w:cs="Times New Roman"/>
                <w:iCs/>
                <w:sz w:val="24"/>
                <w:szCs w:val="24"/>
                <w:lang w:eastAsia="lv-LV"/>
              </w:rPr>
              <w:t xml:space="preserve"> nātrene); E83.3 D </w:t>
            </w:r>
            <w:r w:rsidRPr="001731D1">
              <w:rPr>
                <w:rFonts w:ascii="Times New Roman" w:eastAsia="Times New Roman" w:hAnsi="Times New Roman" w:cs="Times New Roman"/>
                <w:iCs/>
                <w:sz w:val="24"/>
                <w:szCs w:val="24"/>
                <w:lang w:eastAsia="lv-LV"/>
              </w:rPr>
              <w:t>vitamīnrezistents</w:t>
            </w:r>
            <w:r w:rsidRPr="001731D1">
              <w:rPr>
                <w:rFonts w:ascii="Times New Roman" w:eastAsia="Times New Roman" w:hAnsi="Times New Roman" w:cs="Times New Roman"/>
                <w:iCs/>
                <w:sz w:val="24"/>
                <w:szCs w:val="24"/>
                <w:lang w:eastAsia="lv-LV"/>
              </w:rPr>
              <w:t xml:space="preserve"> rahīts.</w:t>
            </w:r>
          </w:p>
          <w:p w:rsidR="003D16CC" w:rsidRPr="001731D1" w:rsidP="003D16CC" w14:paraId="43268849"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Minēto diagnožu pacienti šobrīd saņem kompensāciju 100% apmērā saskaņā ar individuālās kompensācijas kārtību. Tas nozīmē, ka zāles, kas tiek apmaksātas, parasti nav iekļautas KZS un nav izvērtēta to izmaksu efektivitāte. Šo slimību iekļaušana noteikumos Nr.</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899 un atbilstoša </w:t>
            </w:r>
            <w:r w:rsidR="003B666B">
              <w:rPr>
                <w:rFonts w:ascii="Times New Roman" w:eastAsia="Times New Roman" w:hAnsi="Times New Roman" w:cs="Times New Roman"/>
                <w:iCs/>
                <w:sz w:val="24"/>
                <w:szCs w:val="24"/>
                <w:lang w:eastAsia="lv-LV"/>
              </w:rPr>
              <w:t>KZS</w:t>
            </w:r>
            <w:r w:rsidRPr="001731D1">
              <w:rPr>
                <w:rFonts w:ascii="Times New Roman" w:eastAsia="Times New Roman" w:hAnsi="Times New Roman" w:cs="Times New Roman"/>
                <w:iCs/>
                <w:sz w:val="24"/>
                <w:szCs w:val="24"/>
                <w:lang w:eastAsia="lv-LV"/>
              </w:rPr>
              <w:t xml:space="preserve"> izveidošana ļautu pacientiem saņemt zāles bez atkārtotas vēršanās ar iesniegumu NVD. Valsts iegūtu, maksājot par zālēm, kuru izmaksas ir izvērtētas un cena noteikta atbilstoši valsts finansiālajām iespējām. Ņemot vērā, ka visas šīs slimības ir smagas un bez zāļu lietošanas ievērojami pasliktinās veselības stāvoklis, nav paredzams, ka pacientu skaits būtiski pieaugs, jo visi vai gandrīz visi šo slimību pacienti jau šobrīd saņem zāles individuālās kompensācijas ceļā. Priekšlikumu par diagnozes </w:t>
            </w:r>
            <w:r w:rsidRPr="001731D1">
              <w:rPr>
                <w:rFonts w:ascii="Times New Roman" w:eastAsia="Times New Roman" w:hAnsi="Times New Roman" w:cs="Times New Roman"/>
                <w:i/>
                <w:iCs/>
                <w:sz w:val="24"/>
                <w:szCs w:val="24"/>
                <w:lang w:eastAsia="lv-LV"/>
              </w:rPr>
              <w:t xml:space="preserve">B67 Aknu </w:t>
            </w:r>
            <w:r w:rsidRPr="001731D1">
              <w:rPr>
                <w:rFonts w:ascii="Times New Roman" w:eastAsia="Times New Roman" w:hAnsi="Times New Roman" w:cs="Times New Roman"/>
                <w:i/>
                <w:iCs/>
                <w:sz w:val="24"/>
                <w:szCs w:val="24"/>
                <w:lang w:eastAsia="lv-LV"/>
              </w:rPr>
              <w:t>ehinokokoze</w:t>
            </w:r>
            <w:r w:rsidRPr="001731D1">
              <w:rPr>
                <w:rFonts w:ascii="Times New Roman" w:eastAsia="Times New Roman" w:hAnsi="Times New Roman" w:cs="Times New Roman"/>
                <w:iCs/>
                <w:sz w:val="24"/>
                <w:szCs w:val="24"/>
                <w:lang w:eastAsia="lv-LV"/>
              </w:rPr>
              <w:t xml:space="preserve"> iekļaušanai noteikumu Nr.899 1.pielikumā atkārtoti sniegusi Latvijas </w:t>
            </w:r>
            <w:r w:rsidRPr="001731D1">
              <w:rPr>
                <w:rFonts w:ascii="Times New Roman" w:eastAsia="Times New Roman" w:hAnsi="Times New Roman" w:cs="Times New Roman"/>
                <w:iCs/>
                <w:sz w:val="24"/>
                <w:szCs w:val="24"/>
                <w:lang w:eastAsia="lv-LV"/>
              </w:rPr>
              <w:t>Infektologu</w:t>
            </w:r>
            <w:r w:rsidRPr="001731D1">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hepatologu</w:t>
            </w:r>
            <w:r w:rsidRPr="001731D1">
              <w:rPr>
                <w:rFonts w:ascii="Times New Roman" w:eastAsia="Times New Roman" w:hAnsi="Times New Roman" w:cs="Times New Roman"/>
                <w:iCs/>
                <w:sz w:val="24"/>
                <w:szCs w:val="24"/>
                <w:lang w:eastAsia="lv-LV"/>
              </w:rPr>
              <w:t xml:space="preserve"> un HIV/AIDS speciālistu asociācija;  diagnozes </w:t>
            </w:r>
            <w:r w:rsidRPr="001731D1">
              <w:rPr>
                <w:rFonts w:ascii="Times New Roman" w:eastAsia="Times New Roman" w:hAnsi="Times New Roman" w:cs="Times New Roman"/>
                <w:i/>
                <w:iCs/>
                <w:sz w:val="24"/>
                <w:szCs w:val="24"/>
                <w:lang w:eastAsia="lv-LV"/>
              </w:rPr>
              <w:t>I27.0 Primāra plaušu hipertensija</w:t>
            </w:r>
            <w:r w:rsidRPr="001731D1">
              <w:rPr>
                <w:rFonts w:ascii="Times New Roman" w:eastAsia="Times New Roman" w:hAnsi="Times New Roman" w:cs="Times New Roman"/>
                <w:iCs/>
                <w:sz w:val="24"/>
                <w:szCs w:val="24"/>
                <w:lang w:eastAsia="lv-LV"/>
              </w:rPr>
              <w:t xml:space="preserve">  iekļaušanu atbalsta reto slimību speciālisti un pacienti   (noteikumu projekta 1.22., 1.23., 1.24., 1.26., 1.27., 1.28.</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apakšpunkts). </w:t>
            </w:r>
          </w:p>
          <w:p w:rsidR="003D16CC" w:rsidRPr="001731D1" w:rsidP="003D16CC" w14:paraId="38473F19"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 xml:space="preserve">15. Diagnozes Z94 </w:t>
            </w:r>
            <w:r w:rsidRPr="001731D1">
              <w:rPr>
                <w:rFonts w:ascii="Times New Roman" w:eastAsia="Times New Roman" w:hAnsi="Times New Roman" w:cs="Times New Roman"/>
                <w:iCs/>
                <w:sz w:val="24"/>
                <w:szCs w:val="24"/>
                <w:lang w:eastAsia="lv-LV"/>
              </w:rPr>
              <w:t>apakšdiagnoze</w:t>
            </w:r>
            <w:r w:rsidRPr="001731D1">
              <w:rPr>
                <w:rFonts w:ascii="Times New Roman" w:eastAsia="Times New Roman" w:hAnsi="Times New Roman" w:cs="Times New Roman"/>
                <w:iCs/>
                <w:sz w:val="24"/>
                <w:szCs w:val="24"/>
                <w:lang w:eastAsia="lv-LV"/>
              </w:rPr>
              <w:t xml:space="preserve"> Z94.2 Stāvoklis pēc plaušu transplantācijas iekļauta saskaņā ar “Plānu reto slimību jomā 2017.-2020.gadam”</w:t>
            </w:r>
            <w:r w:rsidR="005B2DFE">
              <w:rPr>
                <w:rFonts w:ascii="Times New Roman" w:eastAsia="Times New Roman" w:hAnsi="Times New Roman" w:cs="Times New Roman"/>
                <w:iCs/>
                <w:sz w:val="24"/>
                <w:szCs w:val="24"/>
                <w:lang w:eastAsia="lv-LV"/>
              </w:rPr>
              <w:t xml:space="preserve"> </w:t>
            </w:r>
            <w:r w:rsidR="0063114B">
              <w:rPr>
                <w:rFonts w:ascii="Times New Roman" w:eastAsia="Times New Roman" w:hAnsi="Times New Roman" w:cs="Times New Roman"/>
                <w:iCs/>
                <w:sz w:val="24"/>
                <w:szCs w:val="24"/>
                <w:lang w:eastAsia="lv-LV"/>
              </w:rPr>
              <w:t>(</w:t>
            </w:r>
            <w:r w:rsidR="0063114B">
              <w:rPr>
                <w:rFonts w:ascii="Times New Roman" w:eastAsia="Times New Roman" w:hAnsi="Times New Roman" w:cs="Times New Roman"/>
                <w:iCs/>
                <w:sz w:val="24"/>
                <w:szCs w:val="24"/>
                <w:lang w:eastAsia="lv-LV"/>
              </w:rPr>
              <w:t>III.nodaļas</w:t>
            </w:r>
            <w:r w:rsidR="0063114B">
              <w:rPr>
                <w:rFonts w:ascii="Times New Roman" w:eastAsia="Times New Roman" w:hAnsi="Times New Roman" w:cs="Times New Roman"/>
                <w:iCs/>
                <w:sz w:val="24"/>
                <w:szCs w:val="24"/>
                <w:lang w:eastAsia="lv-LV"/>
              </w:rPr>
              <w:t xml:space="preserve"> “Mērķi un rīcības virzieni” 2.5.apakšpunks)</w:t>
            </w:r>
            <w:r w:rsidRPr="001731D1">
              <w:rPr>
                <w:rFonts w:ascii="Times New Roman" w:eastAsia="Times New Roman" w:hAnsi="Times New Roman" w:cs="Times New Roman"/>
                <w:iCs/>
                <w:sz w:val="24"/>
                <w:szCs w:val="24"/>
                <w:lang w:eastAsia="lv-LV"/>
              </w:rPr>
              <w:t xml:space="preserve"> (noteikumu projekta 1.31.</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apakšpunkts). </w:t>
            </w:r>
          </w:p>
          <w:p w:rsidR="003D16CC" w:rsidRPr="001731D1" w:rsidP="003D16CC" w14:paraId="204C6F1C"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16. 2009.</w:t>
            </w:r>
            <w:r w:rsidR="00721260">
              <w:rPr>
                <w:rFonts w:ascii="Times New Roman" w:eastAsia="Times New Roman" w:hAnsi="Times New Roman" w:cs="Times New Roman"/>
                <w:iCs/>
                <w:sz w:val="24"/>
                <w:szCs w:val="24"/>
                <w:lang w:eastAsia="lv-LV"/>
              </w:rPr>
              <w:t> </w:t>
            </w:r>
            <w:r w:rsidRPr="001731D1">
              <w:rPr>
                <w:rFonts w:ascii="Times New Roman" w:eastAsia="Times New Roman" w:hAnsi="Times New Roman" w:cs="Times New Roman"/>
                <w:iCs/>
                <w:sz w:val="24"/>
                <w:szCs w:val="24"/>
                <w:lang w:eastAsia="lv-LV"/>
              </w:rPr>
              <w:t xml:space="preserve">gadā virknei diagnožu tika samazināts kompensācijas apmērs, kas joprojām nav atjaunots. Noteikumu projektā iekļauta kompensācijas apmēra palielināšana vairākām diagnozēm, kurām zāļu lietošana ir būtiska dzīvības funkciju saglabāšanai (priekšlikumi no </w:t>
            </w:r>
            <w:r w:rsidR="00E62E09">
              <w:rPr>
                <w:rFonts w:ascii="Times New Roman" w:eastAsia="Times New Roman" w:hAnsi="Times New Roman" w:cs="Times New Roman"/>
                <w:iCs/>
                <w:sz w:val="24"/>
                <w:szCs w:val="24"/>
                <w:lang w:eastAsia="lv-LV"/>
              </w:rPr>
              <w:t>NVD</w:t>
            </w:r>
            <w:r w:rsidRPr="001731D1">
              <w:rPr>
                <w:rFonts w:ascii="Times New Roman" w:eastAsia="Times New Roman" w:hAnsi="Times New Roman" w:cs="Times New Roman"/>
                <w:iCs/>
                <w:sz w:val="24"/>
                <w:szCs w:val="24"/>
                <w:lang w:eastAsia="lv-LV"/>
              </w:rPr>
              <w:t xml:space="preserve">, Reto slimību koordinācijas centra, un plaušu slimību speciālistiem): </w:t>
            </w:r>
          </w:p>
          <w:p w:rsidR="003D16CC" w:rsidRPr="001731D1" w:rsidP="003D16CC" w14:paraId="2F4F5486"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G12.2 Motoriskā neirona slimība (</w:t>
            </w:r>
            <w:r w:rsidRPr="001731D1">
              <w:rPr>
                <w:rFonts w:ascii="Times New Roman" w:eastAsia="Times New Roman" w:hAnsi="Times New Roman" w:cs="Times New Roman"/>
                <w:iCs/>
                <w:sz w:val="24"/>
                <w:szCs w:val="24"/>
                <w:lang w:eastAsia="lv-LV"/>
              </w:rPr>
              <w:t>amiotrofā</w:t>
            </w:r>
            <w:r w:rsidRPr="001731D1">
              <w:rPr>
                <w:rFonts w:ascii="Times New Roman" w:eastAsia="Times New Roman" w:hAnsi="Times New Roman" w:cs="Times New Roman"/>
                <w:iCs/>
                <w:sz w:val="24"/>
                <w:szCs w:val="24"/>
                <w:lang w:eastAsia="lv-LV"/>
              </w:rPr>
              <w:t xml:space="preserve"> laterālā skleroze ir dzīvību apdraudoša progresējoša saslimšana, kuras gadījumā notiek pakāpeniska </w:t>
            </w:r>
            <w:r w:rsidRPr="001731D1">
              <w:rPr>
                <w:rFonts w:ascii="Times New Roman" w:eastAsia="Times New Roman" w:hAnsi="Times New Roman" w:cs="Times New Roman"/>
                <w:iCs/>
                <w:sz w:val="24"/>
                <w:szCs w:val="24"/>
                <w:lang w:eastAsia="lv-LV"/>
              </w:rPr>
              <w:t>motoro</w:t>
            </w:r>
            <w:r w:rsidRPr="001731D1">
              <w:rPr>
                <w:rFonts w:ascii="Times New Roman" w:eastAsia="Times New Roman" w:hAnsi="Times New Roman" w:cs="Times New Roman"/>
                <w:iCs/>
                <w:sz w:val="24"/>
                <w:szCs w:val="24"/>
                <w:lang w:eastAsia="lv-LV"/>
              </w:rPr>
              <w:t xml:space="preserve"> neironu bojāeja, līdz ar to visi pacienta muskuļi atrofējas un zaudē darbības spējas. Pieejamā terapija (medikaments </w:t>
            </w:r>
            <w:r w:rsidRPr="00721260">
              <w:rPr>
                <w:rFonts w:ascii="Times New Roman" w:eastAsia="Times New Roman" w:hAnsi="Times New Roman" w:cs="Times New Roman"/>
                <w:i/>
                <w:iCs/>
                <w:sz w:val="24"/>
                <w:szCs w:val="24"/>
                <w:lang w:eastAsia="lv-LV"/>
              </w:rPr>
              <w:t>Riluzolum</w:t>
            </w:r>
            <w:r w:rsidRPr="001731D1">
              <w:rPr>
                <w:rFonts w:ascii="Times New Roman" w:eastAsia="Times New Roman" w:hAnsi="Times New Roman" w:cs="Times New Roman"/>
                <w:iCs/>
                <w:sz w:val="24"/>
                <w:szCs w:val="24"/>
                <w:lang w:eastAsia="lv-LV"/>
              </w:rPr>
              <w:t>), kas šobrīd tiek kompensēts 50% apmērā, var pagarināt pacienta kopējo dzīvildzi vai pagarināt laiku līdz mākslīgās plaušu ventilācijas uzsākšanai);</w:t>
            </w:r>
          </w:p>
          <w:p w:rsidR="003D16CC" w:rsidRPr="001731D1" w:rsidP="003D16CC" w14:paraId="116A59DF"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G10 </w:t>
            </w:r>
            <w:r w:rsidRPr="001731D1">
              <w:rPr>
                <w:rFonts w:ascii="Times New Roman" w:eastAsia="Times New Roman" w:hAnsi="Times New Roman" w:cs="Times New Roman"/>
                <w:iCs/>
                <w:sz w:val="24"/>
                <w:szCs w:val="24"/>
                <w:lang w:eastAsia="lv-LV"/>
              </w:rPr>
              <w:t>Hantingtona</w:t>
            </w:r>
            <w:r w:rsidRPr="001731D1">
              <w:rPr>
                <w:rFonts w:ascii="Times New Roman" w:eastAsia="Times New Roman" w:hAnsi="Times New Roman" w:cs="Times New Roman"/>
                <w:iCs/>
                <w:sz w:val="24"/>
                <w:szCs w:val="24"/>
                <w:lang w:eastAsia="lv-LV"/>
              </w:rPr>
              <w:t xml:space="preserve"> slimība (reta </w:t>
            </w:r>
            <w:r w:rsidRPr="001731D1">
              <w:rPr>
                <w:rFonts w:ascii="Times New Roman" w:eastAsia="Times New Roman" w:hAnsi="Times New Roman" w:cs="Times New Roman"/>
                <w:iCs/>
                <w:sz w:val="24"/>
                <w:szCs w:val="24"/>
                <w:lang w:eastAsia="lv-LV"/>
              </w:rPr>
              <w:t>neirodeģeneratīvs</w:t>
            </w:r>
            <w:r w:rsidRPr="001731D1">
              <w:rPr>
                <w:rFonts w:ascii="Times New Roman" w:eastAsia="Times New Roman" w:hAnsi="Times New Roman" w:cs="Times New Roman"/>
                <w:iCs/>
                <w:sz w:val="24"/>
                <w:szCs w:val="24"/>
                <w:lang w:eastAsia="lv-LV"/>
              </w:rPr>
              <w:t xml:space="preserve"> centrālās nervu sistēmas slimība, ko raksturo nevēlamās kustības, uzvedības un psihiski traucējumi un </w:t>
            </w:r>
            <w:r w:rsidRPr="001731D1">
              <w:rPr>
                <w:rFonts w:ascii="Times New Roman" w:eastAsia="Times New Roman" w:hAnsi="Times New Roman" w:cs="Times New Roman"/>
                <w:iCs/>
                <w:sz w:val="24"/>
                <w:szCs w:val="24"/>
                <w:lang w:eastAsia="lv-LV"/>
              </w:rPr>
              <w:t>demence</w:t>
            </w:r>
            <w:r w:rsidRPr="001731D1">
              <w:rPr>
                <w:rFonts w:ascii="Times New Roman" w:eastAsia="Times New Roman" w:hAnsi="Times New Roman" w:cs="Times New Roman"/>
                <w:iCs/>
                <w:sz w:val="24"/>
                <w:szCs w:val="24"/>
                <w:lang w:eastAsia="lv-LV"/>
              </w:rPr>
              <w:t>);</w:t>
            </w:r>
          </w:p>
          <w:p w:rsidR="003D16CC" w:rsidRPr="001731D1" w:rsidP="003D16CC" w14:paraId="3806748A"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 xml:space="preserve">E83 Minerālu vielmaiņas traucējumi (ietver vara vielmaiņas traucējumus, kas ir reta </w:t>
            </w:r>
            <w:r w:rsidRPr="001731D1">
              <w:rPr>
                <w:rFonts w:ascii="Times New Roman" w:eastAsia="Times New Roman" w:hAnsi="Times New Roman" w:cs="Times New Roman"/>
                <w:iCs/>
                <w:sz w:val="24"/>
                <w:szCs w:val="24"/>
                <w:lang w:eastAsia="lv-LV"/>
              </w:rPr>
              <w:t>autosomāli</w:t>
            </w:r>
            <w:r w:rsidRPr="001731D1">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recesīva</w:t>
            </w:r>
            <w:r w:rsidRPr="001731D1">
              <w:rPr>
                <w:rFonts w:ascii="Times New Roman" w:eastAsia="Times New Roman" w:hAnsi="Times New Roman" w:cs="Times New Roman"/>
                <w:iCs/>
                <w:sz w:val="24"/>
                <w:szCs w:val="24"/>
                <w:lang w:eastAsia="lv-LV"/>
              </w:rPr>
              <w:t xml:space="preserve"> pārmantojama slimība, kam raksturīga pārmērīga vara uzkrāšanās aknās, smadzenēs, nierēs un citos orgānos un audos);</w:t>
            </w:r>
          </w:p>
          <w:p w:rsidR="003D16CC" w:rsidRPr="001731D1" w:rsidP="003D16CC" w14:paraId="6AB19245"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 xml:space="preserve">J67 </w:t>
            </w:r>
            <w:r w:rsidRPr="001731D1">
              <w:rPr>
                <w:rFonts w:ascii="Times New Roman" w:eastAsia="Times New Roman" w:hAnsi="Times New Roman" w:cs="Times New Roman"/>
                <w:iCs/>
                <w:sz w:val="24"/>
                <w:szCs w:val="24"/>
                <w:lang w:eastAsia="lv-LV"/>
              </w:rPr>
              <w:t>Hipersensitivitātes</w:t>
            </w:r>
            <w:r w:rsidRPr="001731D1">
              <w:rPr>
                <w:rFonts w:ascii="Times New Roman" w:eastAsia="Times New Roman" w:hAnsi="Times New Roman" w:cs="Times New Roman"/>
                <w:iCs/>
                <w:sz w:val="24"/>
                <w:szCs w:val="24"/>
                <w:lang w:eastAsia="lv-LV"/>
              </w:rPr>
              <w:t xml:space="preserve"> pneimonīts; J84 Citas </w:t>
            </w:r>
            <w:r w:rsidRPr="001731D1">
              <w:rPr>
                <w:rFonts w:ascii="Times New Roman" w:eastAsia="Times New Roman" w:hAnsi="Times New Roman" w:cs="Times New Roman"/>
                <w:iCs/>
                <w:sz w:val="24"/>
                <w:szCs w:val="24"/>
                <w:lang w:eastAsia="lv-LV"/>
              </w:rPr>
              <w:t>intersticiālas</w:t>
            </w:r>
            <w:r w:rsidRPr="001731D1">
              <w:rPr>
                <w:rFonts w:ascii="Times New Roman" w:eastAsia="Times New Roman" w:hAnsi="Times New Roman" w:cs="Times New Roman"/>
                <w:iCs/>
                <w:sz w:val="24"/>
                <w:szCs w:val="24"/>
                <w:lang w:eastAsia="lv-LV"/>
              </w:rPr>
              <w:t xml:space="preserve"> plaušu slimības (simptomi - elpas trūkums, klepus, nogurums, apetītes zudums, svara zudums; laikus neārstējot izraisa plaušu fibrozi;</w:t>
            </w:r>
          </w:p>
          <w:p w:rsidR="00376DAE" w:rsidP="003D16CC" w14:paraId="39454D7D" w14:textId="77777777">
            <w:pPr>
              <w:spacing w:after="120" w:line="240" w:lineRule="auto"/>
              <w:jc w:val="both"/>
              <w:rPr>
                <w:rFonts w:ascii="Times New Roman" w:eastAsia="Times New Roman" w:hAnsi="Times New Roman" w:cs="Times New Roman"/>
                <w:iCs/>
                <w:sz w:val="24"/>
                <w:szCs w:val="24"/>
                <w:lang w:eastAsia="lv-LV"/>
              </w:rPr>
            </w:pPr>
            <w:r w:rsidRPr="001731D1">
              <w:rPr>
                <w:rFonts w:ascii="Times New Roman" w:eastAsia="Times New Roman" w:hAnsi="Times New Roman" w:cs="Times New Roman"/>
                <w:iCs/>
                <w:sz w:val="24"/>
                <w:szCs w:val="24"/>
                <w:lang w:eastAsia="lv-LV"/>
              </w:rPr>
              <w:t>D86 </w:t>
            </w:r>
            <w:r w:rsidRPr="001731D1">
              <w:rPr>
                <w:rFonts w:ascii="Times New Roman" w:eastAsia="Times New Roman" w:hAnsi="Times New Roman" w:cs="Times New Roman"/>
                <w:iCs/>
                <w:sz w:val="24"/>
                <w:szCs w:val="24"/>
                <w:lang w:eastAsia="lv-LV"/>
              </w:rPr>
              <w:t>Sarkoidoze</w:t>
            </w:r>
            <w:r w:rsidRPr="001731D1">
              <w:rPr>
                <w:rFonts w:ascii="Times New Roman" w:eastAsia="Times New Roman" w:hAnsi="Times New Roman" w:cs="Times New Roman"/>
                <w:iCs/>
                <w:sz w:val="24"/>
                <w:szCs w:val="24"/>
                <w:lang w:eastAsia="lv-LV"/>
              </w:rPr>
              <w:t xml:space="preserve"> (gaita un prognoze atkarīga no slimības formas un pacienta vecuma; biežākais dzīvildzes samazināšanās cēlonis ir elpošanas mazspēja un plaušu</w:t>
            </w:r>
            <w:r w:rsidR="001141E6">
              <w:rPr>
                <w:rFonts w:ascii="Times New Roman" w:eastAsia="Times New Roman" w:hAnsi="Times New Roman" w:cs="Times New Roman"/>
                <w:iCs/>
                <w:sz w:val="24"/>
                <w:szCs w:val="24"/>
                <w:lang w:eastAsia="lv-LV"/>
              </w:rPr>
              <w:t xml:space="preserve"> sirds</w:t>
            </w:r>
            <w:r w:rsidRPr="001731D1">
              <w:rPr>
                <w:rFonts w:ascii="Times New Roman" w:eastAsia="Times New Roman" w:hAnsi="Times New Roman" w:cs="Times New Roman"/>
                <w:iCs/>
                <w:sz w:val="24"/>
                <w:szCs w:val="24"/>
                <w:lang w:eastAsia="lv-LV"/>
              </w:rPr>
              <w:t xml:space="preserve">; iespējama arī dzīvildzes samazināšanās vai </w:t>
            </w:r>
            <w:r w:rsidRPr="001731D1">
              <w:rPr>
                <w:rFonts w:ascii="Times New Roman" w:eastAsia="Times New Roman" w:hAnsi="Times New Roman" w:cs="Times New Roman"/>
                <w:iCs/>
                <w:sz w:val="24"/>
                <w:szCs w:val="24"/>
                <w:lang w:eastAsia="lv-LV"/>
              </w:rPr>
              <w:t>invalidizācija</w:t>
            </w:r>
            <w:r w:rsidRPr="001731D1">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sarkoīdās</w:t>
            </w:r>
            <w:r w:rsidRPr="001731D1">
              <w:rPr>
                <w:rFonts w:ascii="Times New Roman" w:eastAsia="Times New Roman" w:hAnsi="Times New Roman" w:cs="Times New Roman"/>
                <w:iCs/>
                <w:sz w:val="24"/>
                <w:szCs w:val="24"/>
                <w:lang w:eastAsia="lv-LV"/>
              </w:rPr>
              <w:t xml:space="preserve"> </w:t>
            </w:r>
            <w:r w:rsidRPr="001731D1">
              <w:rPr>
                <w:rFonts w:ascii="Times New Roman" w:eastAsia="Times New Roman" w:hAnsi="Times New Roman" w:cs="Times New Roman"/>
                <w:iCs/>
                <w:sz w:val="24"/>
                <w:szCs w:val="24"/>
                <w:lang w:eastAsia="lv-LV"/>
              </w:rPr>
              <w:t>kardiopātijas</w:t>
            </w:r>
            <w:r w:rsidRPr="001731D1">
              <w:rPr>
                <w:rFonts w:ascii="Times New Roman" w:eastAsia="Times New Roman" w:hAnsi="Times New Roman" w:cs="Times New Roman"/>
                <w:iCs/>
                <w:sz w:val="24"/>
                <w:szCs w:val="24"/>
                <w:lang w:eastAsia="lv-LV"/>
              </w:rPr>
              <w:t xml:space="preserve">, neiropātijas un </w:t>
            </w:r>
            <w:r w:rsidRPr="001731D1">
              <w:rPr>
                <w:rFonts w:ascii="Times New Roman" w:eastAsia="Times New Roman" w:hAnsi="Times New Roman" w:cs="Times New Roman"/>
                <w:iCs/>
                <w:sz w:val="24"/>
                <w:szCs w:val="24"/>
                <w:lang w:eastAsia="lv-LV"/>
              </w:rPr>
              <w:t>nefropātijas</w:t>
            </w:r>
            <w:r w:rsidRPr="001731D1">
              <w:rPr>
                <w:rFonts w:ascii="Times New Roman" w:eastAsia="Times New Roman" w:hAnsi="Times New Roman" w:cs="Times New Roman"/>
                <w:iCs/>
                <w:sz w:val="24"/>
                <w:szCs w:val="24"/>
                <w:lang w:eastAsia="lv-LV"/>
              </w:rPr>
              <w:t xml:space="preserve"> dēļ) (noteikumu projekta 1.21., 1.25., 1.</w:t>
            </w:r>
            <w:r w:rsidR="001141E6">
              <w:rPr>
                <w:rFonts w:ascii="Times New Roman" w:eastAsia="Times New Roman" w:hAnsi="Times New Roman" w:cs="Times New Roman"/>
                <w:iCs/>
                <w:sz w:val="24"/>
                <w:szCs w:val="24"/>
                <w:lang w:eastAsia="lv-LV"/>
              </w:rPr>
              <w:t>26., 1.29., 1.30.</w:t>
            </w:r>
            <w:r w:rsidR="00721260">
              <w:rPr>
                <w:rFonts w:ascii="Times New Roman" w:eastAsia="Times New Roman" w:hAnsi="Times New Roman" w:cs="Times New Roman"/>
                <w:iCs/>
                <w:sz w:val="24"/>
                <w:szCs w:val="24"/>
                <w:lang w:eastAsia="lv-LV"/>
              </w:rPr>
              <w:t> </w:t>
            </w:r>
            <w:r w:rsidR="001141E6">
              <w:rPr>
                <w:rFonts w:ascii="Times New Roman" w:eastAsia="Times New Roman" w:hAnsi="Times New Roman" w:cs="Times New Roman"/>
                <w:iCs/>
                <w:sz w:val="24"/>
                <w:szCs w:val="24"/>
                <w:lang w:eastAsia="lv-LV"/>
              </w:rPr>
              <w:t xml:space="preserve">apakšpunkts). </w:t>
            </w:r>
          </w:p>
          <w:p w:rsidR="00F841CC" w:rsidRPr="00AC010A" w:rsidP="003D16CC" w14:paraId="32BA87E2" w14:textId="77777777">
            <w:pPr>
              <w:spacing w:after="120" w:line="240" w:lineRule="auto"/>
              <w:jc w:val="both"/>
              <w:rPr>
                <w:rFonts w:ascii="Times New Roman" w:eastAsia="Times New Roman" w:hAnsi="Times New Roman" w:cs="Times New Roman"/>
                <w:iCs/>
                <w:sz w:val="24"/>
                <w:szCs w:val="24"/>
                <w:lang w:eastAsia="lv-LV"/>
              </w:rPr>
            </w:pPr>
            <w:r w:rsidRPr="00AC010A">
              <w:rPr>
                <w:rFonts w:ascii="Times New Roman" w:eastAsia="Times New Roman" w:hAnsi="Times New Roman" w:cs="Times New Roman"/>
                <w:iCs/>
                <w:sz w:val="24"/>
                <w:szCs w:val="24"/>
                <w:lang w:eastAsia="lv-LV"/>
              </w:rPr>
              <w:t xml:space="preserve">Noteikumu projekts </w:t>
            </w:r>
            <w:r w:rsidRPr="00AC010A" w:rsidR="00376DAE">
              <w:rPr>
                <w:rFonts w:ascii="Times New Roman" w:eastAsia="Times New Roman" w:hAnsi="Times New Roman" w:cs="Times New Roman"/>
                <w:iCs/>
                <w:sz w:val="24"/>
                <w:szCs w:val="24"/>
                <w:lang w:eastAsia="lv-LV"/>
              </w:rPr>
              <w:t>stāsies spēkā 2018. gada</w:t>
            </w:r>
            <w:r w:rsidRPr="00AC010A">
              <w:rPr>
                <w:rFonts w:ascii="Times New Roman" w:eastAsia="Times New Roman" w:hAnsi="Times New Roman" w:cs="Times New Roman"/>
                <w:iCs/>
                <w:sz w:val="24"/>
                <w:szCs w:val="24"/>
                <w:lang w:eastAsia="lv-LV"/>
              </w:rPr>
              <w:t xml:space="preserve"> 15. augustā</w:t>
            </w:r>
            <w:r w:rsidRPr="00AC010A" w:rsidR="00376DAE">
              <w:rPr>
                <w:rFonts w:ascii="Times New Roman" w:eastAsia="Times New Roman" w:hAnsi="Times New Roman" w:cs="Times New Roman"/>
                <w:iCs/>
                <w:sz w:val="24"/>
                <w:szCs w:val="24"/>
                <w:lang w:eastAsia="lv-LV"/>
              </w:rPr>
              <w:t xml:space="preserve">, nodrošinot NVD laiku </w:t>
            </w:r>
            <w:r>
              <w:rPr>
                <w:rFonts w:ascii="Times New Roman" w:eastAsia="Times New Roman" w:hAnsi="Times New Roman" w:cs="Times New Roman"/>
                <w:iCs/>
                <w:sz w:val="24"/>
                <w:szCs w:val="24"/>
                <w:lang w:eastAsia="lv-LV"/>
              </w:rPr>
              <w:t>E</w:t>
            </w:r>
            <w:r w:rsidRPr="00AC010A" w:rsidR="00376DAE">
              <w:rPr>
                <w:rFonts w:ascii="Times New Roman" w:eastAsia="Times New Roman" w:hAnsi="Times New Roman" w:cs="Times New Roman"/>
                <w:iCs/>
                <w:sz w:val="24"/>
                <w:szCs w:val="24"/>
                <w:lang w:eastAsia="lv-LV"/>
              </w:rPr>
              <w:t xml:space="preserve">-veselības sistēmas un veselības aprūpes pakalpojumu norēķinu sistēmas aktualizēšanai. </w:t>
            </w:r>
          </w:p>
        </w:tc>
      </w:tr>
      <w:tr w14:paraId="3A146F35" w14:textId="77777777" w:rsidTr="00376DA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P="00E5323B" w14:paraId="29B2546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P="00E5323B" w14:paraId="395D619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rsidR="00E5323B" w:rsidRPr="00BC2758" w:rsidP="003D16CC" w14:paraId="4E76AE95"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NVD</w:t>
            </w:r>
            <w:r w:rsidRPr="00BC2758" w:rsidR="00635722">
              <w:rPr>
                <w:rFonts w:ascii="Times New Roman" w:eastAsia="Times New Roman" w:hAnsi="Times New Roman" w:cs="Times New Roman"/>
                <w:iCs/>
                <w:sz w:val="24"/>
                <w:szCs w:val="24"/>
                <w:lang w:eastAsia="lv-LV"/>
              </w:rPr>
              <w:t>, Reto slimību koordinācijas centrs</w:t>
            </w:r>
          </w:p>
        </w:tc>
      </w:tr>
      <w:tr w14:paraId="5C70E584" w14:textId="77777777" w:rsidTr="00376DA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P="00E5323B" w14:paraId="3CFB1F5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P="00E5323B" w14:paraId="08EF2E3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BC2758" w:rsidP="00E5323B" w14:paraId="5ACBEDD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Nav</w:t>
            </w:r>
          </w:p>
        </w:tc>
      </w:tr>
    </w:tbl>
    <w:p w:rsidR="00E5323B" w:rsidRPr="00BC2758" w:rsidP="00E5323B" w14:paraId="7221D59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A53B4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170AE2A3"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60AEC79" w14:textId="77777777" w:rsidTr="006C02F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P="00E5323B" w14:paraId="38E068F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C2758" w:rsidP="00E5323B" w14:paraId="14269DF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Sabiedrības </w:t>
            </w:r>
            <w:r w:rsidRPr="00BC2758">
              <w:rPr>
                <w:rFonts w:ascii="Times New Roman" w:eastAsia="Times New Roman" w:hAnsi="Times New Roman" w:cs="Times New Roman"/>
                <w:iCs/>
                <w:sz w:val="24"/>
                <w:szCs w:val="24"/>
                <w:lang w:eastAsia="lv-LV"/>
              </w:rPr>
              <w:t>mērķgrupas</w:t>
            </w:r>
            <w:r w:rsidRPr="00BC275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F1954" w:rsidP="00EF1954" w14:paraId="28872AAE"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w:t>
            </w:r>
            <w:r w:rsidRPr="00EF1954">
              <w:rPr>
                <w:rFonts w:ascii="Times New Roman" w:eastAsia="Times New Roman" w:hAnsi="Times New Roman" w:cs="Times New Roman"/>
                <w:iCs/>
                <w:sz w:val="24"/>
                <w:szCs w:val="24"/>
                <w:lang w:eastAsia="lv-LV"/>
              </w:rPr>
              <w:t xml:space="preserve">acienti ar </w:t>
            </w:r>
            <w:r w:rsidRPr="00EF1954">
              <w:rPr>
                <w:rFonts w:ascii="Times New Roman" w:eastAsia="Times New Roman" w:hAnsi="Times New Roman" w:cs="Times New Roman"/>
                <w:iCs/>
                <w:sz w:val="24"/>
                <w:szCs w:val="24"/>
                <w:lang w:eastAsia="lv-LV"/>
              </w:rPr>
              <w:t>sarkoidozi</w:t>
            </w:r>
            <w:r w:rsidRPr="00EF1954">
              <w:rPr>
                <w:rFonts w:ascii="Times New Roman" w:eastAsia="Times New Roman" w:hAnsi="Times New Roman" w:cs="Times New Roman"/>
                <w:iCs/>
                <w:sz w:val="24"/>
                <w:szCs w:val="24"/>
                <w:lang w:eastAsia="lv-LV"/>
              </w:rPr>
              <w:t xml:space="preserve">, imūndeficītu, primāru plaušu hipertensiju, smagu nātreni, </w:t>
            </w:r>
            <w:r w:rsidRPr="00EF1954">
              <w:rPr>
                <w:rFonts w:ascii="Times New Roman" w:eastAsia="Times New Roman" w:hAnsi="Times New Roman" w:cs="Times New Roman"/>
                <w:iCs/>
                <w:sz w:val="24"/>
                <w:szCs w:val="24"/>
                <w:lang w:eastAsia="lv-LV"/>
              </w:rPr>
              <w:t>hipersensitivitātes</w:t>
            </w:r>
            <w:r w:rsidRPr="00EF1954">
              <w:rPr>
                <w:rFonts w:ascii="Times New Roman" w:eastAsia="Times New Roman" w:hAnsi="Times New Roman" w:cs="Times New Roman"/>
                <w:iCs/>
                <w:sz w:val="24"/>
                <w:szCs w:val="24"/>
                <w:lang w:eastAsia="lv-LV"/>
              </w:rPr>
              <w:t xml:space="preserve"> pneimonītu, </w:t>
            </w:r>
            <w:r w:rsidRPr="00EF1954">
              <w:rPr>
                <w:rFonts w:ascii="Times New Roman" w:eastAsia="Times New Roman" w:hAnsi="Times New Roman" w:cs="Times New Roman"/>
                <w:iCs/>
                <w:sz w:val="24"/>
                <w:szCs w:val="24"/>
                <w:lang w:eastAsia="lv-LV"/>
              </w:rPr>
              <w:t>intersticiālām</w:t>
            </w:r>
            <w:r w:rsidRPr="00EF1954">
              <w:rPr>
                <w:rFonts w:ascii="Times New Roman" w:eastAsia="Times New Roman" w:hAnsi="Times New Roman" w:cs="Times New Roman"/>
                <w:iCs/>
                <w:sz w:val="24"/>
                <w:szCs w:val="24"/>
                <w:lang w:eastAsia="lv-LV"/>
              </w:rPr>
              <w:t xml:space="preserve"> plaušu slimībām, minerālu vielmaiņas traucējumiem, </w:t>
            </w:r>
            <w:r w:rsidRPr="00EF1954">
              <w:rPr>
                <w:rFonts w:ascii="Times New Roman" w:eastAsia="Times New Roman" w:hAnsi="Times New Roman" w:cs="Times New Roman"/>
                <w:iCs/>
                <w:sz w:val="24"/>
                <w:szCs w:val="24"/>
                <w:lang w:eastAsia="lv-LV"/>
              </w:rPr>
              <w:t>ehinokokozi</w:t>
            </w:r>
            <w:r w:rsidRPr="00EF1954">
              <w:rPr>
                <w:rFonts w:ascii="Times New Roman" w:eastAsia="Times New Roman" w:hAnsi="Times New Roman" w:cs="Times New Roman"/>
                <w:iCs/>
                <w:sz w:val="24"/>
                <w:szCs w:val="24"/>
                <w:lang w:eastAsia="lv-LV"/>
              </w:rPr>
              <w:t xml:space="preserve">, nepilnīgu </w:t>
            </w:r>
            <w:r w:rsidRPr="00EF1954">
              <w:rPr>
                <w:rFonts w:ascii="Times New Roman" w:eastAsia="Times New Roman" w:hAnsi="Times New Roman" w:cs="Times New Roman"/>
                <w:iCs/>
                <w:sz w:val="24"/>
                <w:szCs w:val="24"/>
                <w:lang w:eastAsia="lv-LV"/>
              </w:rPr>
              <w:t>osteoģenēzi</w:t>
            </w:r>
            <w:r w:rsidRPr="00EF1954">
              <w:rPr>
                <w:rFonts w:ascii="Times New Roman" w:eastAsia="Times New Roman" w:hAnsi="Times New Roman" w:cs="Times New Roman"/>
                <w:iCs/>
                <w:sz w:val="24"/>
                <w:szCs w:val="24"/>
                <w:lang w:eastAsia="lv-LV"/>
              </w:rPr>
              <w:t xml:space="preserve">, </w:t>
            </w:r>
            <w:r w:rsidRPr="00EF1954">
              <w:rPr>
                <w:rFonts w:ascii="Times New Roman" w:eastAsia="Times New Roman" w:hAnsi="Times New Roman" w:cs="Times New Roman"/>
                <w:iCs/>
                <w:sz w:val="24"/>
                <w:szCs w:val="24"/>
                <w:lang w:eastAsia="lv-LV"/>
              </w:rPr>
              <w:t>Hantingtona</w:t>
            </w:r>
            <w:r w:rsidRPr="00EF1954">
              <w:rPr>
                <w:rFonts w:ascii="Times New Roman" w:eastAsia="Times New Roman" w:hAnsi="Times New Roman" w:cs="Times New Roman"/>
                <w:iCs/>
                <w:sz w:val="24"/>
                <w:szCs w:val="24"/>
                <w:lang w:eastAsia="lv-LV"/>
              </w:rPr>
              <w:t xml:space="preserve"> slimību, motoriskā neirona slimību, stāvoklis pēc plaušu transplantācijas; </w:t>
            </w:r>
          </w:p>
          <w:p w:rsidR="00EF1954" w:rsidP="00EF1954" w14:paraId="647D2B27"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Pr="00EF1954">
              <w:rPr>
                <w:rFonts w:ascii="Times New Roman" w:eastAsia="Times New Roman" w:hAnsi="Times New Roman" w:cs="Times New Roman"/>
                <w:iCs/>
                <w:sz w:val="24"/>
                <w:szCs w:val="24"/>
                <w:lang w:eastAsia="lv-LV"/>
              </w:rPr>
              <w:t>pacienti, kuriem izrakstītas A saraksta kompensējamās zāles, kuru cena viena zāļu vispārīgā nosaukuma ietvaros par vairāk kā 100</w:t>
            </w:r>
            <w:r>
              <w:rPr>
                <w:rFonts w:ascii="Times New Roman" w:eastAsia="Times New Roman" w:hAnsi="Times New Roman" w:cs="Times New Roman"/>
                <w:iCs/>
                <w:sz w:val="24"/>
                <w:szCs w:val="24"/>
                <w:lang w:eastAsia="lv-LV"/>
              </w:rPr>
              <w:t xml:space="preserve">% pārsniedz lētāko zāļu cenu;  </w:t>
            </w:r>
          </w:p>
          <w:p w:rsidR="00EF1954" w:rsidP="00EF1954" w14:paraId="30ED5E1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minēto pacientu tuvinieki;</w:t>
            </w:r>
          </w:p>
          <w:p w:rsidR="00EF1954" w:rsidP="00EF1954" w14:paraId="1D4094C5"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sievietes </w:t>
            </w:r>
            <w:r>
              <w:rPr>
                <w:rFonts w:ascii="Times New Roman" w:eastAsia="Times New Roman" w:hAnsi="Times New Roman" w:cs="Times New Roman"/>
                <w:iCs/>
                <w:sz w:val="24"/>
                <w:szCs w:val="24"/>
                <w:lang w:eastAsia="lv-LV"/>
              </w:rPr>
              <w:t>pēcdzemdību</w:t>
            </w:r>
            <w:r>
              <w:rPr>
                <w:rFonts w:ascii="Times New Roman" w:eastAsia="Times New Roman" w:hAnsi="Times New Roman" w:cs="Times New Roman"/>
                <w:iCs/>
                <w:sz w:val="24"/>
                <w:szCs w:val="24"/>
                <w:lang w:eastAsia="lv-LV"/>
              </w:rPr>
              <w:t xml:space="preserve"> periodā;</w:t>
            </w:r>
          </w:p>
          <w:p w:rsidR="00EF1954" w:rsidP="00EF1954" w14:paraId="5198044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zāļu ražotāji;</w:t>
            </w:r>
          </w:p>
          <w:p w:rsidR="00EF1954" w:rsidRPr="00EF1954" w:rsidP="00EF1954" w14:paraId="4FEA341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w:t>
            </w:r>
            <w:r w:rsidRPr="00EF1954">
              <w:rPr>
                <w:rFonts w:ascii="Times New Roman" w:eastAsia="Times New Roman" w:hAnsi="Times New Roman" w:cs="Times New Roman"/>
                <w:iCs/>
                <w:sz w:val="24"/>
                <w:szCs w:val="24"/>
                <w:lang w:eastAsia="lv-LV"/>
              </w:rPr>
              <w:t>zāļu izplatītāji (aptieku un zāļu lieltirgotavu darbinieki);</w:t>
            </w:r>
          </w:p>
          <w:p w:rsidR="00EF1954" w:rsidRPr="00EF1954" w:rsidP="00EF1954" w14:paraId="66DE78E7"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 </w:t>
            </w:r>
            <w:r w:rsidRPr="00EF1954">
              <w:rPr>
                <w:rFonts w:ascii="Times New Roman" w:eastAsia="Times New Roman" w:hAnsi="Times New Roman" w:cs="Times New Roman"/>
                <w:iCs/>
                <w:sz w:val="24"/>
                <w:szCs w:val="24"/>
                <w:lang w:eastAsia="lv-LV"/>
              </w:rPr>
              <w:t>ārsti;</w:t>
            </w:r>
          </w:p>
          <w:p w:rsidR="007473C8" w:rsidRPr="00BC2758" w:rsidP="00EF1954" w14:paraId="7FD1287B"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 NVD, ZVA, VI</w:t>
            </w:r>
            <w:r w:rsidRPr="00EF1954">
              <w:rPr>
                <w:rFonts w:ascii="Times New Roman" w:eastAsia="Times New Roman" w:hAnsi="Times New Roman" w:cs="Times New Roman"/>
                <w:iCs/>
                <w:sz w:val="24"/>
                <w:szCs w:val="24"/>
                <w:lang w:eastAsia="lv-LV"/>
              </w:rPr>
              <w:t xml:space="preserve"> darbinieki</w:t>
            </w:r>
          </w:p>
        </w:tc>
      </w:tr>
      <w:tr w14:paraId="7D6EA8D5" w14:textId="77777777" w:rsidTr="006C02F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P="006C02F1" w14:paraId="3C1EA61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P="006C02F1" w14:paraId="7ED77D4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C02F1" w:rsidP="006C02F1" w14:paraId="2BEED9DA"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iedzīvotāju veselību, ļaujot paplašināt kompensējamo zāļu sarakstu. Regulējums ļaus biežāk aktualizēt kompensējamo zāļu sarakstu, t.sk. samazinot zāļu cenas un ļaujot esošā finansējuma ietvaros nodrošināt palīdzību lielākam pacientu skaitam.</w:t>
            </w:r>
          </w:p>
          <w:p w:rsidR="006C02F1" w:rsidP="006C02F1" w14:paraId="052842C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Samazināsies administratīvais slogs pacientiem, kas līdzšinējās individuālās kompensācijas ietvaros varēs </w:t>
            </w:r>
            <w:r>
              <w:rPr>
                <w:rFonts w:ascii="Times New Roman" w:eastAsia="Times New Roman" w:hAnsi="Times New Roman" w:cs="Times New Roman"/>
                <w:iCs/>
                <w:sz w:val="24"/>
                <w:szCs w:val="24"/>
                <w:lang w:eastAsia="lv-LV"/>
              </w:rPr>
              <w:t>saņemt zāles vispārējās kompensācijas ceļā. Samazināsies slogs ārstiem, kam nebūs jāsasauc regulāri ārstu konsiliji individuālās kompensācijas vajadzībām.</w:t>
            </w:r>
          </w:p>
          <w:p w:rsidR="006C02F1" w:rsidRPr="00BC2758" w:rsidP="006C02F1" w14:paraId="7497C508"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ražotājiem būs papildu slogs, reizi gadā sniedzot informāciju par savu zāļu, kas iekļautas KZS, cenām valstīs, ar kurām Latvijā tiek veikts zāļu cenu salīdzinājums. Slogs vērtējams kā samērīgs, jo minētā informācija ir ražotāja rīcībā.</w:t>
            </w:r>
          </w:p>
        </w:tc>
      </w:tr>
      <w:tr w14:paraId="4F0A2D56" w14:textId="77777777" w:rsidTr="006C02F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P="006C02F1" w14:paraId="194FE6F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P="006C02F1" w14:paraId="295D829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P="006C02F1" w14:paraId="0368301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79F568D9" w14:textId="77777777" w:rsidTr="006C02F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P="006C02F1" w14:paraId="547A188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P="006C02F1" w14:paraId="6B0CD108"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P="006C02F1" w14:paraId="65BC0AC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7318451C" w14:textId="77777777" w:rsidTr="006C02F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P="006C02F1" w14:paraId="56C44BC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P="006C02F1" w14:paraId="439B464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P="006C02F1" w14:paraId="36E4658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941F5" w:rsidP="00E5323B" w14:paraId="0520252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32"/>
        <w:gridCol w:w="1672"/>
        <w:gridCol w:w="1154"/>
        <w:gridCol w:w="1016"/>
        <w:gridCol w:w="766"/>
        <w:gridCol w:w="796"/>
        <w:gridCol w:w="892"/>
        <w:gridCol w:w="103"/>
        <w:gridCol w:w="1374"/>
        <w:gridCol w:w="50"/>
      </w:tblGrid>
      <w:tr w14:paraId="39AEA150" w14:textId="77777777" w:rsidTr="00F841CC">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gridAfter w:val="1"/>
          <w:wAfter w:w="2" w:type="dxa"/>
          <w:tblCellSpacing w:w="15" w:type="dxa"/>
        </w:trPr>
        <w:tc>
          <w:tcPr>
            <w:tcW w:w="4948" w:type="pct"/>
            <w:gridSpan w:val="9"/>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3D3F1FAA"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III. Tiesību akta projekta ietekme uz valsts budžetu un pašvaldību budžetiem</w:t>
            </w:r>
          </w:p>
        </w:tc>
      </w:tr>
      <w:tr w14:paraId="21ED1E74"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B6F4AC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Rādītāji</w:t>
            </w:r>
          </w:p>
        </w:tc>
        <w:tc>
          <w:tcPr>
            <w:tcW w:w="15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793E65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2018.gads</w:t>
            </w:r>
          </w:p>
        </w:tc>
        <w:tc>
          <w:tcPr>
            <w:tcW w:w="2671" w:type="pct"/>
            <w:gridSpan w:val="6"/>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FF98195" w14:textId="77777777">
            <w:pPr>
              <w:spacing w:after="0" w:line="240" w:lineRule="auto"/>
              <w:jc w:val="center"/>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Turpmākie trīs gadi (</w:t>
            </w:r>
            <w:r w:rsidRPr="00BC2758">
              <w:rPr>
                <w:rFonts w:ascii="Times New Roman" w:eastAsia="Times New Roman" w:hAnsi="Times New Roman" w:cs="Times New Roman"/>
                <w:i/>
                <w:iCs/>
                <w:sz w:val="24"/>
                <w:szCs w:val="24"/>
                <w:lang w:eastAsia="lv-LV"/>
              </w:rPr>
              <w:t>euro</w:t>
            </w:r>
            <w:r w:rsidRPr="00BC2758">
              <w:rPr>
                <w:rFonts w:ascii="Times New Roman" w:eastAsia="Times New Roman" w:hAnsi="Times New Roman" w:cs="Times New Roman"/>
                <w:iCs/>
                <w:sz w:val="24"/>
                <w:szCs w:val="24"/>
                <w:lang w:eastAsia="lv-LV"/>
              </w:rPr>
              <w:t>)</w:t>
            </w:r>
          </w:p>
        </w:tc>
      </w:tr>
      <w:tr w14:paraId="32ED41AE"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1219" w:type="dxa"/>
            <w:vMerge/>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0B5FC38" w14:textId="77777777">
            <w:pPr>
              <w:spacing w:after="0" w:line="240" w:lineRule="auto"/>
              <w:rPr>
                <w:rFonts w:ascii="Times New Roman" w:eastAsia="Times New Roman" w:hAnsi="Times New Roman" w:cs="Times New Roman"/>
                <w:iCs/>
                <w:sz w:val="24"/>
                <w:szCs w:val="24"/>
                <w:lang w:eastAsia="lv-LV"/>
              </w:rPr>
            </w:pPr>
          </w:p>
        </w:tc>
        <w:tc>
          <w:tcPr>
            <w:tcW w:w="1570" w:type="pct"/>
            <w:gridSpan w:val="2"/>
            <w:vMerge/>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099AD0A" w14:textId="77777777">
            <w:pPr>
              <w:spacing w:after="0" w:line="240" w:lineRule="auto"/>
              <w:rPr>
                <w:rFonts w:ascii="Times New Roman" w:eastAsia="Times New Roman" w:hAnsi="Times New Roman" w:cs="Times New Roman"/>
                <w:iCs/>
                <w:sz w:val="24"/>
                <w:szCs w:val="24"/>
                <w:lang w:eastAsia="lv-LV"/>
              </w:rPr>
            </w:pPr>
          </w:p>
        </w:tc>
        <w:tc>
          <w:tcPr>
            <w:tcW w:w="97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290110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924"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BEB175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73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4EA132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14:paraId="58335BBD"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1219" w:type="dxa"/>
            <w:vMerge/>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2FD7A17" w14:textId="77777777">
            <w:pPr>
              <w:spacing w:after="0" w:line="240" w:lineRule="auto"/>
              <w:rPr>
                <w:rFonts w:ascii="Times New Roman" w:eastAsia="Times New Roman" w:hAnsi="Times New Roman" w:cs="Times New Roman"/>
                <w:iCs/>
                <w:sz w:val="24"/>
                <w:szCs w:val="24"/>
                <w:lang w:eastAsia="lv-LV"/>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141A1F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valsts budžetu kārtējam gadam</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DEE6F5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kārtējā gadā, salīdzinot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F335AA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02A0CB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n+1 gadam</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836A3F8"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33D329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DCBA2D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r>
      <w:tr w14:paraId="72FCEF39"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55333A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3F09CC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0BA55D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77C7FC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E400C7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A2A995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F490786"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FB2A1F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w:t>
            </w:r>
          </w:p>
        </w:tc>
      </w:tr>
      <w:tr w14:paraId="3DEE4A16"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854478" w:rsidP="00F841CC" w14:paraId="6C726420" w14:textId="77777777">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1. Budžeta ieņēmumi</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854478" w:rsidP="00F841CC" w14:paraId="7B781ABB" w14:textId="77777777">
            <w:pPr>
              <w:spacing w:after="0" w:line="240" w:lineRule="auto"/>
              <w:rPr>
                <w:rFonts w:ascii="Times New Roman" w:eastAsia="Times New Roman" w:hAnsi="Times New Roman" w:cs="Times New Roman"/>
                <w:b/>
                <w:iCs/>
                <w:sz w:val="18"/>
                <w:szCs w:val="18"/>
                <w:lang w:eastAsia="lv-LV"/>
              </w:rPr>
            </w:pPr>
            <w:r w:rsidRPr="00854478">
              <w:rPr>
                <w:rFonts w:ascii="Times New Roman" w:eastAsia="Times New Roman" w:hAnsi="Times New Roman" w:cs="Times New Roman"/>
                <w:b/>
                <w:iCs/>
                <w:sz w:val="24"/>
                <w:szCs w:val="24"/>
                <w:lang w:eastAsia="lv-LV"/>
              </w:rPr>
              <w:t> </w:t>
            </w:r>
            <w:r>
              <w:rPr>
                <w:rFonts w:ascii="Times New Roman" w:eastAsia="Times New Roman" w:hAnsi="Times New Roman" w:cs="Times New Roman"/>
                <w:b/>
                <w:iCs/>
                <w:sz w:val="18"/>
                <w:szCs w:val="18"/>
                <w:lang w:eastAsia="lv-LV"/>
              </w:rPr>
              <w:t>302 240 568</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49A6628E" w14:textId="77777777">
            <w:pPr>
              <w:spacing w:after="0" w:line="240" w:lineRule="auto"/>
              <w:jc w:val="center"/>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0F1FCDB6" w14:textId="77777777">
            <w:pPr>
              <w:spacing w:after="0" w:line="240" w:lineRule="auto"/>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224 393 051</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522376B7"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358E1BC7" w14:textId="77777777">
            <w:pPr>
              <w:spacing w:after="0" w:line="240" w:lineRule="auto"/>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224 393 051</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27CC7E35"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A83621" w:rsidP="00F841CC" w14:paraId="6B1273B8"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14:paraId="74B7857A"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799D0BB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18D7C15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820769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071D50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A06F99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8A0D8B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DA79E5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2716EE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74B17F8B"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tcPr>
          <w:p w:rsidR="002941F5" w:rsidRPr="00BC2758" w:rsidP="00F841CC" w14:paraId="3F888E0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932" w:type="pct"/>
            <w:tcBorders>
              <w:top w:val="outset" w:sz="6" w:space="0" w:color="auto"/>
              <w:left w:val="outset" w:sz="6" w:space="0" w:color="auto"/>
              <w:bottom w:val="outset" w:sz="6" w:space="0" w:color="auto"/>
              <w:right w:val="outset" w:sz="6" w:space="0" w:color="auto"/>
            </w:tcBorders>
            <w:vAlign w:val="center"/>
          </w:tcPr>
          <w:p w:rsidR="002941F5" w:rsidRPr="00C564A3" w:rsidP="00F841CC" w14:paraId="74BEAF49" w14:textId="77777777">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160 206 020</w:t>
            </w:r>
          </w:p>
        </w:tc>
        <w:tc>
          <w:tcPr>
            <w:tcW w:w="622"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52577B8E"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012BD021" w14:textId="77777777">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122 283 386</w:t>
            </w:r>
          </w:p>
        </w:tc>
        <w:tc>
          <w:tcPr>
            <w:tcW w:w="401"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08DC37CA"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035503E6" w14:textId="77777777">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122 283 386</w:t>
            </w:r>
          </w:p>
        </w:tc>
        <w:tc>
          <w:tcPr>
            <w:tcW w:w="531"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6F83406B"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194B315D"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r>
      <w:tr w14:paraId="1CD1384C"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tcPr>
          <w:p w:rsidR="002941F5" w:rsidRPr="00BC2758" w:rsidP="00F841CC" w14:paraId="5876F1A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33.18.00</w:t>
            </w:r>
          </w:p>
        </w:tc>
        <w:tc>
          <w:tcPr>
            <w:tcW w:w="932" w:type="pct"/>
            <w:tcBorders>
              <w:top w:val="outset" w:sz="6" w:space="0" w:color="auto"/>
              <w:left w:val="outset" w:sz="6" w:space="0" w:color="auto"/>
              <w:bottom w:val="outset" w:sz="6" w:space="0" w:color="auto"/>
              <w:right w:val="outset" w:sz="6" w:space="0" w:color="auto"/>
            </w:tcBorders>
            <w:vAlign w:val="center"/>
          </w:tcPr>
          <w:p w:rsidR="002941F5" w:rsidRPr="00C564A3" w:rsidP="00F841CC" w14:paraId="66208A53" w14:textId="77777777">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142 034 548</w:t>
            </w:r>
          </w:p>
        </w:tc>
        <w:tc>
          <w:tcPr>
            <w:tcW w:w="622"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09676E05"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5FF45D74" w14:textId="77777777">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102 109 665</w:t>
            </w:r>
          </w:p>
        </w:tc>
        <w:tc>
          <w:tcPr>
            <w:tcW w:w="401"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3CB2085A"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14F73D0A" w14:textId="77777777">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102 109 665</w:t>
            </w:r>
          </w:p>
        </w:tc>
        <w:tc>
          <w:tcPr>
            <w:tcW w:w="531"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6BED6207"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0CD685A1" w14:textId="77777777">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r>
      <w:tr w14:paraId="4EDA65C6"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169880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1.2. valsts speciālais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894A59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9A1C0B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3D6BEA8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011FF88"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D84FC3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1CCB4E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544E38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614192D1"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B7F36B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1.3. pašvaldību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A62155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FDA94A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F85E53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EB87128"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4DA12A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3D09712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E467D4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0B3E9E46"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854478" w:rsidP="00F841CC" w14:paraId="2BAA3D56" w14:textId="77777777">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2. Budžeta izdevumi</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854478" w:rsidP="00F841CC" w14:paraId="3CFFC4D0" w14:textId="77777777">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 </w:t>
            </w:r>
            <w:r>
              <w:rPr>
                <w:rFonts w:ascii="Times New Roman" w:eastAsia="Times New Roman" w:hAnsi="Times New Roman" w:cs="Times New Roman"/>
                <w:b/>
                <w:iCs/>
                <w:sz w:val="18"/>
                <w:szCs w:val="18"/>
                <w:lang w:eastAsia="lv-LV"/>
              </w:rPr>
              <w:t>302 240 568</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3B2E3EB9"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1 182 593</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78290CE8" w14:textId="77777777">
            <w:pPr>
              <w:spacing w:after="0" w:line="240" w:lineRule="auto"/>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224 393 051</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59E107FB"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2 365 185</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28FC1103" w14:textId="77777777">
            <w:pPr>
              <w:spacing w:after="0" w:line="240" w:lineRule="auto"/>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224 393 051</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692557FC"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2 422 185</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61497B" w:rsidP="00F841CC" w14:paraId="58AD4BB7"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2 479 185</w:t>
            </w:r>
          </w:p>
        </w:tc>
      </w:tr>
      <w:tr w14:paraId="6D284712"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7C4AA16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2.1. valsts pamatbudžets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61E81D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B6839D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18810A4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297375B2"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D7700D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6967DD0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097DDE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551998EC"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tcPr>
          <w:p w:rsidR="002941F5" w:rsidRPr="00BC2758" w:rsidP="00F841CC" w14:paraId="3D3B762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932" w:type="pct"/>
            <w:tcBorders>
              <w:top w:val="outset" w:sz="6" w:space="0" w:color="auto"/>
              <w:left w:val="outset" w:sz="6" w:space="0" w:color="auto"/>
              <w:bottom w:val="outset" w:sz="6" w:space="0" w:color="auto"/>
              <w:right w:val="outset" w:sz="6" w:space="0" w:color="auto"/>
            </w:tcBorders>
            <w:vAlign w:val="center"/>
          </w:tcPr>
          <w:p w:rsidR="002941F5" w:rsidRPr="00BC2758" w:rsidP="00F841CC" w14:paraId="2D3160E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18"/>
                <w:szCs w:val="18"/>
                <w:lang w:eastAsia="lv-LV"/>
              </w:rPr>
              <w:t>160 206 020</w:t>
            </w:r>
          </w:p>
        </w:tc>
        <w:tc>
          <w:tcPr>
            <w:tcW w:w="622"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5A5F85D6"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1 156 821</w:t>
            </w:r>
          </w:p>
        </w:tc>
        <w:tc>
          <w:tcPr>
            <w:tcW w:w="559" w:type="pct"/>
            <w:tcBorders>
              <w:top w:val="outset" w:sz="6" w:space="0" w:color="auto"/>
              <w:left w:val="outset" w:sz="6" w:space="0" w:color="auto"/>
              <w:bottom w:val="outset" w:sz="6" w:space="0" w:color="auto"/>
              <w:right w:val="outset" w:sz="6" w:space="0" w:color="auto"/>
            </w:tcBorders>
            <w:vAlign w:val="center"/>
          </w:tcPr>
          <w:p w:rsidR="002941F5" w:rsidRPr="00BC2758" w:rsidP="00F841CC" w14:paraId="1D9E4F9E" w14:textId="77777777">
            <w:pPr>
              <w:spacing w:after="0" w:line="240" w:lineRule="auto"/>
              <w:rPr>
                <w:rFonts w:ascii="Times New Roman" w:eastAsia="Times New Roman" w:hAnsi="Times New Roman" w:cs="Times New Roman"/>
                <w:iCs/>
                <w:sz w:val="24"/>
                <w:szCs w:val="24"/>
                <w:lang w:eastAsia="lv-LV"/>
              </w:rPr>
            </w:pPr>
            <w:r w:rsidRPr="00441280">
              <w:rPr>
                <w:rFonts w:ascii="Times New Roman" w:eastAsia="Times New Roman" w:hAnsi="Times New Roman" w:cs="Times New Roman"/>
                <w:iCs/>
                <w:sz w:val="18"/>
                <w:szCs w:val="18"/>
                <w:lang w:eastAsia="lv-LV"/>
              </w:rPr>
              <w:t>122 283 386</w:t>
            </w:r>
          </w:p>
        </w:tc>
        <w:tc>
          <w:tcPr>
            <w:tcW w:w="401"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5D6110F3"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2 365 185</w:t>
            </w:r>
          </w:p>
        </w:tc>
        <w:tc>
          <w:tcPr>
            <w:tcW w:w="435" w:type="pct"/>
            <w:tcBorders>
              <w:top w:val="outset" w:sz="6" w:space="0" w:color="auto"/>
              <w:left w:val="outset" w:sz="6" w:space="0" w:color="auto"/>
              <w:bottom w:val="outset" w:sz="6" w:space="0" w:color="auto"/>
              <w:right w:val="outset" w:sz="6" w:space="0" w:color="auto"/>
            </w:tcBorders>
            <w:vAlign w:val="center"/>
          </w:tcPr>
          <w:p w:rsidR="002941F5" w:rsidRPr="00441280" w:rsidP="00F841CC" w14:paraId="6FD42F17" w14:textId="77777777">
            <w:pPr>
              <w:spacing w:after="0" w:line="240" w:lineRule="auto"/>
              <w:rPr>
                <w:rFonts w:ascii="Times New Roman" w:eastAsia="Times New Roman" w:hAnsi="Times New Roman" w:cs="Times New Roman"/>
                <w:iCs/>
                <w:sz w:val="18"/>
                <w:szCs w:val="18"/>
                <w:lang w:eastAsia="lv-LV"/>
              </w:rPr>
            </w:pPr>
            <w:r w:rsidRPr="00441280">
              <w:rPr>
                <w:rFonts w:ascii="Times New Roman" w:eastAsia="Times New Roman" w:hAnsi="Times New Roman" w:cs="Times New Roman"/>
                <w:iCs/>
                <w:sz w:val="18"/>
                <w:szCs w:val="18"/>
                <w:lang w:eastAsia="lv-LV"/>
              </w:rPr>
              <w:t>122 283 386</w:t>
            </w:r>
          </w:p>
        </w:tc>
        <w:tc>
          <w:tcPr>
            <w:tcW w:w="531" w:type="pct"/>
            <w:gridSpan w:val="2"/>
            <w:tcBorders>
              <w:top w:val="outset" w:sz="6" w:space="0" w:color="auto"/>
              <w:left w:val="outset" w:sz="6" w:space="0" w:color="auto"/>
              <w:bottom w:val="outset" w:sz="6" w:space="0" w:color="auto"/>
              <w:right w:val="outset" w:sz="6" w:space="0" w:color="auto"/>
            </w:tcBorders>
            <w:vAlign w:val="center"/>
          </w:tcPr>
          <w:p w:rsidR="002941F5" w:rsidRPr="00982CA3" w:rsidP="00F841CC" w14:paraId="3A1F6603"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2 422 185</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61996737"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2 479 185</w:t>
            </w:r>
          </w:p>
        </w:tc>
      </w:tr>
      <w:tr w14:paraId="355AD5AA"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tcPr>
          <w:p w:rsidR="002941F5" w:rsidRPr="00BC2758" w:rsidP="00F841CC" w14:paraId="520C7DC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33.18.00</w:t>
            </w:r>
          </w:p>
        </w:tc>
        <w:tc>
          <w:tcPr>
            <w:tcW w:w="932" w:type="pct"/>
            <w:tcBorders>
              <w:top w:val="outset" w:sz="6" w:space="0" w:color="auto"/>
              <w:left w:val="outset" w:sz="6" w:space="0" w:color="auto"/>
              <w:bottom w:val="outset" w:sz="6" w:space="0" w:color="auto"/>
              <w:right w:val="outset" w:sz="6" w:space="0" w:color="auto"/>
            </w:tcBorders>
            <w:vAlign w:val="center"/>
          </w:tcPr>
          <w:p w:rsidR="002941F5" w:rsidRPr="00BC2758" w:rsidP="00F841CC" w14:paraId="4443538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18"/>
                <w:szCs w:val="18"/>
                <w:lang w:eastAsia="lv-LV"/>
              </w:rPr>
              <w:t>142 034 548</w:t>
            </w:r>
          </w:p>
        </w:tc>
        <w:tc>
          <w:tcPr>
            <w:tcW w:w="622"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65E74584"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25 772</w:t>
            </w:r>
          </w:p>
        </w:tc>
        <w:tc>
          <w:tcPr>
            <w:tcW w:w="559" w:type="pct"/>
            <w:tcBorders>
              <w:top w:val="outset" w:sz="6" w:space="0" w:color="auto"/>
              <w:left w:val="outset" w:sz="6" w:space="0" w:color="auto"/>
              <w:bottom w:val="outset" w:sz="6" w:space="0" w:color="auto"/>
              <w:right w:val="outset" w:sz="6" w:space="0" w:color="auto"/>
            </w:tcBorders>
            <w:vAlign w:val="center"/>
          </w:tcPr>
          <w:p w:rsidR="002941F5" w:rsidRPr="00BC2758" w:rsidP="00F841CC" w14:paraId="7462C7FE" w14:textId="77777777">
            <w:pPr>
              <w:spacing w:after="0" w:line="240" w:lineRule="auto"/>
              <w:rPr>
                <w:rFonts w:ascii="Times New Roman" w:eastAsia="Times New Roman" w:hAnsi="Times New Roman" w:cs="Times New Roman"/>
                <w:iCs/>
                <w:sz w:val="24"/>
                <w:szCs w:val="24"/>
                <w:lang w:eastAsia="lv-LV"/>
              </w:rPr>
            </w:pPr>
            <w:r w:rsidRPr="00441280">
              <w:rPr>
                <w:rFonts w:ascii="Times New Roman" w:eastAsia="Times New Roman" w:hAnsi="Times New Roman" w:cs="Times New Roman"/>
                <w:iCs/>
                <w:sz w:val="18"/>
                <w:szCs w:val="18"/>
                <w:lang w:eastAsia="lv-LV"/>
              </w:rPr>
              <w:t>102 109 665</w:t>
            </w:r>
          </w:p>
        </w:tc>
        <w:tc>
          <w:tcPr>
            <w:tcW w:w="401" w:type="pct"/>
            <w:tcBorders>
              <w:top w:val="outset" w:sz="6" w:space="0" w:color="auto"/>
              <w:left w:val="outset" w:sz="6" w:space="0" w:color="auto"/>
              <w:bottom w:val="outset" w:sz="6" w:space="0" w:color="auto"/>
              <w:right w:val="outset" w:sz="6" w:space="0" w:color="auto"/>
            </w:tcBorders>
            <w:vAlign w:val="center"/>
          </w:tcPr>
          <w:p w:rsidR="002941F5" w:rsidRPr="0061497B" w:rsidP="00F841CC" w14:paraId="0C9F62D2" w14:textId="77777777">
            <w:pPr>
              <w:spacing w:after="0" w:line="240" w:lineRule="auto"/>
              <w:jc w:val="center"/>
              <w:rPr>
                <w:rFonts w:ascii="Times New Roman" w:eastAsia="Times New Roman" w:hAnsi="Times New Roman" w:cs="Times New Roman"/>
                <w:iCs/>
                <w:sz w:val="18"/>
                <w:szCs w:val="18"/>
                <w:lang w:eastAsia="lv-LV"/>
              </w:rPr>
            </w:pPr>
          </w:p>
        </w:tc>
        <w:tc>
          <w:tcPr>
            <w:tcW w:w="435" w:type="pct"/>
            <w:tcBorders>
              <w:top w:val="outset" w:sz="6" w:space="0" w:color="auto"/>
              <w:left w:val="outset" w:sz="6" w:space="0" w:color="auto"/>
              <w:bottom w:val="outset" w:sz="6" w:space="0" w:color="auto"/>
              <w:right w:val="outset" w:sz="6" w:space="0" w:color="auto"/>
            </w:tcBorders>
            <w:vAlign w:val="center"/>
          </w:tcPr>
          <w:p w:rsidR="002941F5" w:rsidRPr="00441280" w:rsidP="00F841CC" w14:paraId="599EDC64" w14:textId="77777777">
            <w:pPr>
              <w:spacing w:after="0" w:line="240" w:lineRule="auto"/>
              <w:rPr>
                <w:rFonts w:ascii="Times New Roman" w:eastAsia="Times New Roman" w:hAnsi="Times New Roman" w:cs="Times New Roman"/>
                <w:iCs/>
                <w:sz w:val="18"/>
                <w:szCs w:val="18"/>
                <w:lang w:eastAsia="lv-LV"/>
              </w:rPr>
            </w:pPr>
            <w:r w:rsidRPr="00441280">
              <w:rPr>
                <w:rFonts w:ascii="Times New Roman" w:eastAsia="Times New Roman" w:hAnsi="Times New Roman" w:cs="Times New Roman"/>
                <w:iCs/>
                <w:sz w:val="18"/>
                <w:szCs w:val="18"/>
                <w:lang w:eastAsia="lv-LV"/>
              </w:rPr>
              <w:t>102 109 665</w:t>
            </w:r>
          </w:p>
        </w:tc>
        <w:tc>
          <w:tcPr>
            <w:tcW w:w="531"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3E79DAD2" w14:textId="77777777">
            <w:pPr>
              <w:spacing w:after="0" w:line="240" w:lineRule="auto"/>
              <w:jc w:val="center"/>
              <w:rPr>
                <w:rFonts w:ascii="Times New Roman" w:eastAsia="Times New Roman" w:hAnsi="Times New Roman" w:cs="Times New Roman"/>
                <w:iCs/>
                <w:sz w:val="18"/>
                <w:szCs w:val="18"/>
                <w:lang w:eastAsia="lv-LV"/>
              </w:rPr>
            </w:pPr>
          </w:p>
        </w:tc>
        <w:tc>
          <w:tcPr>
            <w:tcW w:w="697" w:type="pct"/>
            <w:gridSpan w:val="2"/>
            <w:tcBorders>
              <w:top w:val="outset" w:sz="6" w:space="0" w:color="auto"/>
              <w:left w:val="outset" w:sz="6" w:space="0" w:color="auto"/>
              <w:bottom w:val="outset" w:sz="6" w:space="0" w:color="auto"/>
              <w:right w:val="outset" w:sz="6" w:space="0" w:color="auto"/>
            </w:tcBorders>
            <w:vAlign w:val="center"/>
          </w:tcPr>
          <w:p w:rsidR="002941F5" w:rsidRPr="0061497B" w:rsidP="00F841CC" w14:paraId="63CC72BE" w14:textId="77777777">
            <w:pPr>
              <w:spacing w:after="0" w:line="240" w:lineRule="auto"/>
              <w:jc w:val="center"/>
              <w:rPr>
                <w:rFonts w:ascii="Times New Roman" w:eastAsia="Times New Roman" w:hAnsi="Times New Roman" w:cs="Times New Roman"/>
                <w:iCs/>
                <w:sz w:val="18"/>
                <w:szCs w:val="18"/>
                <w:lang w:eastAsia="lv-LV"/>
              </w:rPr>
            </w:pPr>
          </w:p>
        </w:tc>
      </w:tr>
      <w:tr w14:paraId="710305D1"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78C3B126"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2.2. valsts speciālais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66FE93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E52470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57BE14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C7D9BA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9C87CF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1B6E7416"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768229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3346E2DF"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1C03078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2.3. pašvaldību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3B45AA5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AA426E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674D28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ABCFC2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F21403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49A9BA6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F61BAC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3FFF004D"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417A4D8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 Finansiālā ietekme</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0BFDA0BF" w14:textId="77777777">
            <w:pPr>
              <w:spacing w:after="0" w:line="240" w:lineRule="auto"/>
              <w:jc w:val="center"/>
              <w:rPr>
                <w:rFonts w:ascii="Times New Roman" w:eastAsia="Times New Roman" w:hAnsi="Times New Roman" w:cs="Times New Roman"/>
                <w:b/>
                <w:iCs/>
                <w:sz w:val="18"/>
                <w:szCs w:val="18"/>
                <w:lang w:eastAsia="lv-LV"/>
              </w:rPr>
            </w:pPr>
            <w:r w:rsidRPr="00C54DC8">
              <w:rPr>
                <w:rFonts w:ascii="Times New Roman" w:eastAsia="Times New Roman" w:hAnsi="Times New Roman" w:cs="Times New Roman"/>
                <w:b/>
                <w:iCs/>
                <w:sz w:val="18"/>
                <w:szCs w:val="1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1C0C6B4C"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-1 182 593</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237D0705"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0E831E71"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-2 365 185</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57337D70"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6D6007DA"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-2 422 185</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181A320E" w14:textId="77777777">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-2 479 185</w:t>
            </w:r>
          </w:p>
        </w:tc>
      </w:tr>
      <w:tr w14:paraId="23BD365E"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34BB732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3.1. valsts pamatbudžets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163E39BA" w14:textId="77777777">
            <w:pPr>
              <w:spacing w:after="0" w:line="240" w:lineRule="auto"/>
              <w:jc w:val="center"/>
              <w:rPr>
                <w:rFonts w:ascii="Times New Roman" w:eastAsia="Times New Roman" w:hAnsi="Times New Roman" w:cs="Times New Roman"/>
                <w:iCs/>
                <w:sz w:val="18"/>
                <w:szCs w:val="18"/>
                <w:lang w:eastAsia="lv-LV"/>
              </w:rPr>
            </w:pPr>
            <w:r w:rsidRPr="00C54DC8">
              <w:rPr>
                <w:rFonts w:ascii="Times New Roman" w:eastAsia="Times New Roman" w:hAnsi="Times New Roman" w:cs="Times New Roman"/>
                <w:iCs/>
                <w:sz w:val="18"/>
                <w:szCs w:val="1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6C3946C5" w14:textId="77777777">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6C5CE83A"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4345F23B" w14:textId="77777777">
            <w:pPr>
              <w:spacing w:after="0" w:line="240" w:lineRule="auto"/>
              <w:jc w:val="center"/>
              <w:rPr>
                <w:rFonts w:ascii="Times New Roman" w:eastAsia="Times New Roman" w:hAnsi="Times New Roman" w:cs="Times New Roman"/>
                <w:iCs/>
                <w:sz w:val="18"/>
                <w:szCs w:val="18"/>
                <w:lang w:eastAsia="lv-LV"/>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6D6A9055"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2C2FF0FC" w14:textId="77777777">
            <w:pPr>
              <w:spacing w:after="0" w:line="240" w:lineRule="auto"/>
              <w:jc w:val="center"/>
              <w:rPr>
                <w:rFonts w:ascii="Times New Roman" w:eastAsia="Times New Roman" w:hAnsi="Times New Roman" w:cs="Times New Roman"/>
                <w:iCs/>
                <w:sz w:val="18"/>
                <w:szCs w:val="18"/>
                <w:lang w:eastAsia="lv-LV"/>
              </w:rPr>
            </w:pP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463CC0CC"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14:paraId="29045B52"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CDB68F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3.2. speciālais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7856F477" w14:textId="77777777">
            <w:pPr>
              <w:spacing w:after="0" w:line="240" w:lineRule="auto"/>
              <w:jc w:val="center"/>
              <w:rPr>
                <w:rFonts w:ascii="Times New Roman" w:eastAsia="Times New Roman" w:hAnsi="Times New Roman" w:cs="Times New Roman"/>
                <w:iCs/>
                <w:sz w:val="18"/>
                <w:szCs w:val="1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3AED7B88" w14:textId="77777777">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43A8E573" w14:textId="77777777">
            <w:pPr>
              <w:spacing w:after="0" w:line="240" w:lineRule="auto"/>
              <w:jc w:val="center"/>
              <w:rPr>
                <w:rFonts w:ascii="Times New Roman" w:eastAsia="Times New Roman" w:hAnsi="Times New Roman" w:cs="Times New Roman"/>
                <w:iCs/>
                <w:sz w:val="18"/>
                <w:szCs w:val="18"/>
                <w:lang w:eastAsia="lv-LV"/>
              </w:rPr>
            </w:pP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41774CD6" w14:textId="77777777">
            <w:pPr>
              <w:spacing w:after="0" w:line="240" w:lineRule="auto"/>
              <w:jc w:val="center"/>
              <w:rPr>
                <w:rFonts w:ascii="Times New Roman" w:eastAsia="Times New Roman" w:hAnsi="Times New Roman" w:cs="Times New Roman"/>
                <w:iCs/>
                <w:sz w:val="18"/>
                <w:szCs w:val="18"/>
                <w:lang w:eastAsia="lv-LV"/>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18CB8257" w14:textId="77777777">
            <w:pPr>
              <w:spacing w:after="0" w:line="240" w:lineRule="auto"/>
              <w:jc w:val="center"/>
              <w:rPr>
                <w:rFonts w:ascii="Times New Roman" w:eastAsia="Times New Roman" w:hAnsi="Times New Roman" w:cs="Times New Roman"/>
                <w:iCs/>
                <w:sz w:val="18"/>
                <w:szCs w:val="18"/>
                <w:lang w:eastAsia="lv-LV"/>
              </w:rPr>
            </w:pP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5253F9DA" w14:textId="77777777">
            <w:pPr>
              <w:spacing w:after="0" w:line="240" w:lineRule="auto"/>
              <w:jc w:val="center"/>
              <w:rPr>
                <w:rFonts w:ascii="Times New Roman" w:eastAsia="Times New Roman" w:hAnsi="Times New Roman" w:cs="Times New Roman"/>
                <w:iCs/>
                <w:sz w:val="18"/>
                <w:szCs w:val="18"/>
                <w:lang w:eastAsia="lv-LV"/>
              </w:rPr>
            </w:pP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C54DC8" w:rsidP="00F841CC" w14:paraId="7AA50D83" w14:textId="77777777">
            <w:pPr>
              <w:spacing w:after="0" w:line="240" w:lineRule="auto"/>
              <w:jc w:val="center"/>
              <w:rPr>
                <w:rFonts w:ascii="Times New Roman" w:eastAsia="Times New Roman" w:hAnsi="Times New Roman" w:cs="Times New Roman"/>
                <w:iCs/>
                <w:sz w:val="18"/>
                <w:szCs w:val="18"/>
                <w:lang w:eastAsia="lv-LV"/>
              </w:rPr>
            </w:pPr>
          </w:p>
        </w:tc>
      </w:tr>
      <w:tr w14:paraId="7142EEA1"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7300EA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3.3. pašvaldību budžets</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9AF5A3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7259EC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9489F7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21B79E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32006D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7EB3D00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53409FE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14:paraId="5622C232"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FC9798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4. Finanšu līdzekļi papildu izdevumu finansēšanai (kompensējošu izdevumu samazinājumu norāda </w:t>
            </w:r>
            <w:r w:rsidRPr="00BC2758">
              <w:rPr>
                <w:rFonts w:ascii="Times New Roman" w:eastAsia="Times New Roman" w:hAnsi="Times New Roman" w:cs="Times New Roman"/>
                <w:iCs/>
                <w:sz w:val="24"/>
                <w:szCs w:val="24"/>
                <w:lang w:eastAsia="lv-LV"/>
              </w:rPr>
              <w:t>ar "+" zīmi)</w:t>
            </w:r>
          </w:p>
        </w:tc>
        <w:tc>
          <w:tcPr>
            <w:tcW w:w="932" w:type="pct"/>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5F48A86E" w14:textId="77777777">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01726320"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1 182 593</w:t>
            </w:r>
          </w:p>
        </w:tc>
        <w:tc>
          <w:tcPr>
            <w:tcW w:w="559" w:type="pct"/>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1C5169F7" w14:textId="77777777">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7A5AEA11" w14:textId="77777777">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2 365 185</w:t>
            </w:r>
          </w:p>
        </w:tc>
        <w:tc>
          <w:tcPr>
            <w:tcW w:w="435" w:type="pct"/>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0CD28281" w14:textId="77777777">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02E55586" w14:textId="77777777">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2 422 185</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A033B7" w:rsidP="00F841CC" w14:paraId="330EB42C"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2 479 185</w:t>
            </w:r>
          </w:p>
        </w:tc>
      </w:tr>
      <w:tr w14:paraId="1935704D"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0E80CA3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 Precizēta finansiālā ietekme</w:t>
            </w:r>
          </w:p>
        </w:tc>
        <w:tc>
          <w:tcPr>
            <w:tcW w:w="932"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DDA4F7B"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3B282808"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0E94889C"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73498A02"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6740578D"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2A6B9A8F" w14:textId="77777777">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D152DB9"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59"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308800E1"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6C967627"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633F9BC5"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1A47BA19"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4CBB0947"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3E5FCB79" w14:textId="77777777">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C0DC342"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3708C72B"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66CD90C3"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7737885D"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28775DD5"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06578C93" w14:textId="77777777">
            <w:pPr>
              <w:spacing w:after="0" w:line="240" w:lineRule="auto"/>
              <w:jc w:val="center"/>
              <w:rPr>
                <w:rFonts w:ascii="Times New Roman" w:eastAsia="Times New Roman" w:hAnsi="Times New Roman" w:cs="Times New Roman"/>
                <w:iCs/>
                <w:sz w:val="18"/>
                <w:szCs w:val="18"/>
                <w:lang w:eastAsia="lv-LV"/>
              </w:rPr>
            </w:pPr>
          </w:p>
          <w:p w:rsidR="002941F5" w:rsidRPr="00874C4F" w:rsidP="00F841CC" w14:paraId="67B88EDC" w14:textId="77777777">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2E4D7540"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6C97DE3B" w14:textId="77777777">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14:paraId="53767725"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3221FEF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5.1. valsts pamatbudžets</w:t>
            </w:r>
          </w:p>
        </w:tc>
        <w:tc>
          <w:tcPr>
            <w:tcW w:w="932"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5D3FC82F" w14:textId="77777777">
            <w:pPr>
              <w:spacing w:after="0" w:line="240" w:lineRule="auto"/>
              <w:rPr>
                <w:rFonts w:ascii="Times New Roman" w:eastAsia="Times New Roman" w:hAnsi="Times New Roman" w:cs="Times New Roman"/>
                <w:iCs/>
                <w:sz w:val="18"/>
                <w:szCs w:val="1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2EFAD94"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559"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6FE3064A" w14:textId="77777777">
            <w:pPr>
              <w:spacing w:after="0" w:line="240" w:lineRule="auto"/>
              <w:rPr>
                <w:rFonts w:ascii="Times New Roman" w:eastAsia="Times New Roman" w:hAnsi="Times New Roman" w:cs="Times New Roman"/>
                <w:iCs/>
                <w:sz w:val="18"/>
                <w:szCs w:val="18"/>
                <w:lang w:eastAsia="lv-LV"/>
              </w:rPr>
            </w:pP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3754B14"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5CE2464" w14:textId="77777777">
            <w:pPr>
              <w:spacing w:after="0" w:line="240" w:lineRule="auto"/>
              <w:rPr>
                <w:rFonts w:ascii="Times New Roman" w:eastAsia="Times New Roman" w:hAnsi="Times New Roman" w:cs="Times New Roman"/>
                <w:iCs/>
                <w:sz w:val="18"/>
                <w:szCs w:val="18"/>
                <w:lang w:eastAsia="lv-LV"/>
              </w:rPr>
            </w:pP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0057005A"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24B51F17"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14:paraId="12A78AD6"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02C59AB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5.2. speciālais budžets</w:t>
            </w:r>
          </w:p>
        </w:tc>
        <w:tc>
          <w:tcPr>
            <w:tcW w:w="932"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1CE0565" w14:textId="77777777">
            <w:pPr>
              <w:spacing w:after="0" w:line="240" w:lineRule="auto"/>
              <w:rPr>
                <w:rFonts w:ascii="Times New Roman" w:eastAsia="Times New Roman" w:hAnsi="Times New Roman" w:cs="Times New Roman"/>
                <w:iCs/>
                <w:sz w:val="18"/>
                <w:szCs w:val="1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07B1F181"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559"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508A8501" w14:textId="77777777">
            <w:pPr>
              <w:spacing w:after="0" w:line="240" w:lineRule="auto"/>
              <w:rPr>
                <w:rFonts w:ascii="Times New Roman" w:eastAsia="Times New Roman" w:hAnsi="Times New Roman" w:cs="Times New Roman"/>
                <w:iCs/>
                <w:sz w:val="18"/>
                <w:szCs w:val="18"/>
                <w:lang w:eastAsia="lv-LV"/>
              </w:rPr>
            </w:pP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6D1D5878"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19D7DD05" w14:textId="77777777">
            <w:pPr>
              <w:spacing w:after="0" w:line="240" w:lineRule="auto"/>
              <w:rPr>
                <w:rFonts w:ascii="Times New Roman" w:eastAsia="Times New Roman" w:hAnsi="Times New Roman" w:cs="Times New Roman"/>
                <w:iCs/>
                <w:sz w:val="18"/>
                <w:szCs w:val="18"/>
                <w:lang w:eastAsia="lv-LV"/>
              </w:rPr>
            </w:pP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0946D22D"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CF9B527"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14:paraId="4D2F8BC7" w14:textId="77777777" w:rsidTr="00F841CC">
        <w:tblPrEx>
          <w:tblW w:w="5000" w:type="pct"/>
          <w:tblCellSpacing w:w="15" w:type="dxa"/>
          <w:tblLayout w:type="fixed"/>
          <w:tblCellMar>
            <w:top w:w="30" w:type="dxa"/>
            <w:left w:w="30" w:type="dxa"/>
            <w:bottom w:w="30" w:type="dxa"/>
            <w:right w:w="30" w:type="dxa"/>
          </w:tblCellMar>
          <w:tblLook w:val="04A0"/>
        </w:tblPrEx>
        <w:trPr>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4085FC5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5.3. pašvaldību budžets</w:t>
            </w:r>
          </w:p>
        </w:tc>
        <w:tc>
          <w:tcPr>
            <w:tcW w:w="932"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6F2EBC8B" w14:textId="77777777">
            <w:pPr>
              <w:spacing w:after="0" w:line="240" w:lineRule="auto"/>
              <w:rPr>
                <w:rFonts w:ascii="Times New Roman" w:eastAsia="Times New Roman" w:hAnsi="Times New Roman" w:cs="Times New Roman"/>
                <w:iCs/>
                <w:sz w:val="18"/>
                <w:szCs w:val="1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6F041502"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559"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0AA6D8F4" w14:textId="77777777">
            <w:pPr>
              <w:spacing w:after="0" w:line="240" w:lineRule="auto"/>
              <w:rPr>
                <w:rFonts w:ascii="Times New Roman" w:eastAsia="Times New Roman" w:hAnsi="Times New Roman" w:cs="Times New Roman"/>
                <w:iCs/>
                <w:sz w:val="18"/>
                <w:szCs w:val="18"/>
                <w:lang w:eastAsia="lv-LV"/>
              </w:rPr>
            </w:pPr>
          </w:p>
        </w:tc>
        <w:tc>
          <w:tcPr>
            <w:tcW w:w="401" w:type="pct"/>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3DDDB96B"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7E1F2139" w14:textId="77777777">
            <w:pPr>
              <w:spacing w:after="0" w:line="240" w:lineRule="auto"/>
              <w:rPr>
                <w:rFonts w:ascii="Times New Roman" w:eastAsia="Times New Roman" w:hAnsi="Times New Roman" w:cs="Times New Roman"/>
                <w:iCs/>
                <w:sz w:val="18"/>
                <w:szCs w:val="18"/>
                <w:lang w:eastAsia="lv-LV"/>
              </w:rPr>
            </w:pPr>
          </w:p>
        </w:tc>
        <w:tc>
          <w:tcPr>
            <w:tcW w:w="531"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0B4A825E"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97" w:type="pct"/>
            <w:gridSpan w:val="2"/>
            <w:tcBorders>
              <w:top w:val="outset" w:sz="6" w:space="0" w:color="auto"/>
              <w:left w:val="outset" w:sz="6" w:space="0" w:color="auto"/>
              <w:bottom w:val="outset" w:sz="6" w:space="0" w:color="auto"/>
              <w:right w:val="outset" w:sz="6" w:space="0" w:color="auto"/>
            </w:tcBorders>
            <w:vAlign w:val="center"/>
            <w:hideMark/>
          </w:tcPr>
          <w:p w:rsidR="002941F5" w:rsidRPr="00874C4F" w:rsidP="00F841CC" w14:paraId="447810F6" w14:textId="77777777">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14:paraId="2F9A6401"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3412260A" w14:textId="77777777">
            <w:pPr>
              <w:spacing w:after="0" w:line="240" w:lineRule="auto"/>
              <w:rPr>
                <w:rFonts w:ascii="Times New Roman" w:eastAsia="Times New Roman" w:hAnsi="Times New Roman" w:cs="Times New Roman"/>
                <w:iCs/>
                <w:sz w:val="24"/>
                <w:szCs w:val="24"/>
                <w:lang w:eastAsia="lv-LV"/>
              </w:rPr>
            </w:pPr>
          </w:p>
        </w:tc>
        <w:tc>
          <w:tcPr>
            <w:tcW w:w="4258" w:type="pct"/>
            <w:gridSpan w:val="8"/>
            <w:tcBorders>
              <w:top w:val="outset" w:sz="6" w:space="0" w:color="auto"/>
              <w:left w:val="outset" w:sz="6" w:space="0" w:color="auto"/>
              <w:bottom w:val="outset" w:sz="6" w:space="0" w:color="auto"/>
              <w:right w:val="outset" w:sz="6" w:space="0" w:color="auto"/>
            </w:tcBorders>
            <w:vAlign w:val="center"/>
            <w:hideMark/>
          </w:tcPr>
          <w:p w:rsidR="002941F5" w:rsidRPr="000663D3" w:rsidP="00F841CC" w14:paraId="374A11D2" w14:textId="77777777">
            <w:pPr>
              <w:widowControl w:val="0"/>
              <w:spacing w:after="0" w:line="240" w:lineRule="auto"/>
              <w:ind w:firstLine="298"/>
              <w:jc w:val="both"/>
              <w:rPr>
                <w:rFonts w:ascii="Times New Roman" w:eastAsia="Times New Roman" w:hAnsi="Times New Roman" w:cs="Times New Roman"/>
                <w:noProof/>
                <w:sz w:val="24"/>
                <w:szCs w:val="24"/>
                <w:lang w:eastAsia="lv-LV"/>
              </w:rPr>
            </w:pPr>
          </w:p>
        </w:tc>
      </w:tr>
      <w:tr w14:paraId="414B69C3"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50FB557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58"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2941F5" w:rsidRPr="000663D3" w:rsidP="00F841CC" w14:paraId="550AFE5D" w14:textId="77777777">
            <w:pPr>
              <w:widowControl w:val="0"/>
              <w:spacing w:after="0" w:line="240" w:lineRule="auto"/>
              <w:ind w:firstLine="298"/>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2018.gads atbilstoši likumam “Par valsts budžetu 2018.gadam” un ņemot vērā Finanšu ministrijas rīkojumus: </w:t>
            </w:r>
          </w:p>
          <w:p w:rsidR="002941F5" w:rsidRPr="000663D3" w:rsidP="00F841CC" w14:paraId="21CD15D8" w14:textId="77777777">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Veselības ministrijas (NVD) budžeta programmas 33.03.00 “Veselības aprūpes nodrošināšana”:</w:t>
            </w:r>
          </w:p>
          <w:p w:rsidR="002941F5" w:rsidRPr="000663D3" w:rsidP="00F841CC" w14:paraId="53CBD410" w14:textId="77777777">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apakšprogrammā 33.03.00 “Kompensējamo medikamentu un materiālu apmaksāšana”:</w:t>
            </w:r>
          </w:p>
          <w:p w:rsidR="002941F5" w:rsidRPr="000663D3" w:rsidP="00F841CC" w14:paraId="4D93466C" w14:textId="77777777">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 xml:space="preserve">160 206 020 </w:t>
            </w:r>
            <w:r w:rsidRPr="000663D3">
              <w:rPr>
                <w:rFonts w:ascii="Times New Roman" w:eastAsia="Times New Roman" w:hAnsi="Times New Roman" w:cs="Times New Roman"/>
                <w:i/>
                <w:noProof/>
                <w:sz w:val="24"/>
                <w:szCs w:val="24"/>
                <w:lang w:eastAsia="lv-LV"/>
              </w:rPr>
              <w:t>euro</w:t>
            </w:r>
          </w:p>
          <w:p w:rsidR="002941F5" w:rsidRPr="000663D3" w:rsidP="00F841CC" w14:paraId="26018A8F"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Ieņēmumi no maksas pakalpojumiem 7 022 054 </w:t>
            </w:r>
            <w:r w:rsidRPr="000663D3">
              <w:rPr>
                <w:rFonts w:ascii="Times New Roman" w:eastAsia="Times New Roman" w:hAnsi="Times New Roman" w:cs="Times New Roman"/>
                <w:i/>
                <w:noProof/>
                <w:sz w:val="24"/>
                <w:szCs w:val="24"/>
                <w:lang w:eastAsia="lv-LV"/>
              </w:rPr>
              <w:t>euro</w:t>
            </w:r>
          </w:p>
          <w:p w:rsidR="002941F5" w:rsidRPr="000663D3" w:rsidP="00F841CC" w14:paraId="242D43F4" w14:textId="77777777">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Dotācija no vi</w:t>
            </w:r>
            <w:r>
              <w:rPr>
                <w:rFonts w:ascii="Times New Roman" w:eastAsia="Times New Roman" w:hAnsi="Times New Roman" w:cs="Times New Roman"/>
                <w:noProof/>
                <w:sz w:val="24"/>
                <w:szCs w:val="24"/>
                <w:lang w:eastAsia="lv-LV"/>
              </w:rPr>
              <w:t xml:space="preserve">spārējiem ieņēmumiem 153 183 966 </w:t>
            </w:r>
            <w:r w:rsidRPr="000663D3">
              <w:rPr>
                <w:rFonts w:ascii="Times New Roman" w:eastAsia="Times New Roman" w:hAnsi="Times New Roman" w:cs="Times New Roman"/>
                <w:i/>
                <w:noProof/>
                <w:sz w:val="24"/>
                <w:szCs w:val="24"/>
                <w:lang w:eastAsia="lv-LV"/>
              </w:rPr>
              <w:t>euro</w:t>
            </w:r>
          </w:p>
          <w:p w:rsidR="002941F5" w:rsidRPr="000663D3" w:rsidP="00F841CC" w14:paraId="77949D5C"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 xml:space="preserve">160 206 020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rsidR="002941F5" w:rsidRPr="000663D3" w:rsidP="00F841CC" w14:paraId="1B65DBB1" w14:textId="77777777">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 xml:space="preserve">160 206 020 </w:t>
            </w:r>
            <w:r w:rsidRPr="000663D3">
              <w:rPr>
                <w:rFonts w:ascii="Times New Roman" w:eastAsia="Times New Roman" w:hAnsi="Times New Roman" w:cs="Times New Roman"/>
                <w:i/>
                <w:noProof/>
                <w:sz w:val="24"/>
                <w:szCs w:val="24"/>
                <w:lang w:eastAsia="lv-LV"/>
              </w:rPr>
              <w:t>euro</w:t>
            </w:r>
          </w:p>
          <w:p w:rsidR="002941F5" w:rsidRPr="000663D3" w:rsidP="00F841CC" w14:paraId="2DA9E626" w14:textId="77777777">
            <w:pPr>
              <w:spacing w:after="0" w:line="240" w:lineRule="auto"/>
              <w:ind w:firstLine="259"/>
              <w:rPr>
                <w:rFonts w:ascii="Times New Roman" w:eastAsia="Times New Roman" w:hAnsi="Times New Roman" w:cs="Times New Roman"/>
                <w:i/>
                <w:noProof/>
                <w:sz w:val="24"/>
                <w:szCs w:val="24"/>
                <w:lang w:eastAsia="lv-LV"/>
              </w:rPr>
            </w:pPr>
          </w:p>
          <w:p w:rsidR="002941F5" w:rsidRPr="000663D3" w:rsidP="00F841CC" w14:paraId="69EF1944" w14:textId="77777777">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0663D3">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rsidR="002941F5" w:rsidRPr="000663D3" w:rsidP="00F841CC" w14:paraId="14A94143" w14:textId="77777777">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 xml:space="preserve">142 034 548 </w:t>
            </w:r>
            <w:r w:rsidRPr="000663D3">
              <w:rPr>
                <w:rFonts w:ascii="Times New Roman" w:eastAsia="Times New Roman" w:hAnsi="Times New Roman" w:cs="Times New Roman"/>
                <w:i/>
                <w:noProof/>
                <w:sz w:val="24"/>
                <w:szCs w:val="24"/>
                <w:lang w:eastAsia="lv-LV"/>
              </w:rPr>
              <w:t>euro</w:t>
            </w:r>
          </w:p>
          <w:p w:rsidR="002941F5" w:rsidP="00F841CC" w14:paraId="3C396EF9" w14:textId="77777777">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w:t>
            </w:r>
            <w:r>
              <w:rPr>
                <w:rFonts w:ascii="Times New Roman" w:eastAsia="Times New Roman" w:hAnsi="Times New Roman" w:cs="Times New Roman"/>
                <w:sz w:val="24"/>
                <w:szCs w:val="24"/>
                <w:shd w:val="clear" w:color="auto" w:fill="FFFFFF"/>
                <w:lang w:eastAsia="lv-LV" w:bidi="lv-LV"/>
              </w:rPr>
              <w:t xml:space="preserve">141 992 548 </w:t>
            </w:r>
            <w:r w:rsidRPr="000663D3">
              <w:rPr>
                <w:rFonts w:ascii="Times New Roman" w:eastAsia="Times New Roman" w:hAnsi="Times New Roman" w:cs="Times New Roman"/>
                <w:i/>
                <w:noProof/>
                <w:sz w:val="24"/>
                <w:szCs w:val="24"/>
                <w:lang w:eastAsia="lv-LV"/>
              </w:rPr>
              <w:t>euro</w:t>
            </w:r>
          </w:p>
          <w:p w:rsidR="002941F5" w:rsidRPr="000663D3" w:rsidP="00F841CC" w14:paraId="026312D0" w14:textId="77777777">
            <w:pPr>
              <w:spacing w:after="0" w:line="240" w:lineRule="auto"/>
              <w:ind w:firstLine="259"/>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Transferti 42 000 </w:t>
            </w:r>
            <w:r w:rsidRPr="00BC584B">
              <w:rPr>
                <w:rFonts w:ascii="Times New Roman" w:eastAsia="Times New Roman" w:hAnsi="Times New Roman" w:cs="Times New Roman"/>
                <w:i/>
                <w:noProof/>
                <w:sz w:val="24"/>
                <w:szCs w:val="24"/>
                <w:lang w:eastAsia="lv-LV"/>
              </w:rPr>
              <w:t>euro</w:t>
            </w:r>
          </w:p>
          <w:p w:rsidR="002941F5" w:rsidRPr="000663D3" w:rsidP="00F841CC" w14:paraId="2DD56C90"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 xml:space="preserve"> 142 034 548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rsidR="002941F5" w:rsidRPr="000663D3" w:rsidP="00F841CC" w14:paraId="6FB2903A" w14:textId="77777777">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 xml:space="preserve">142 034 548 </w:t>
            </w:r>
            <w:r w:rsidRPr="000663D3">
              <w:rPr>
                <w:rFonts w:ascii="Times New Roman" w:eastAsia="Times New Roman" w:hAnsi="Times New Roman" w:cs="Times New Roman"/>
                <w:i/>
                <w:noProof/>
                <w:sz w:val="24"/>
                <w:szCs w:val="24"/>
                <w:lang w:eastAsia="lv-LV"/>
              </w:rPr>
              <w:t>euro</w:t>
            </w:r>
          </w:p>
          <w:p w:rsidR="002941F5" w:rsidRPr="000663D3" w:rsidP="00F841CC" w14:paraId="3053EF97" w14:textId="77777777">
            <w:pPr>
              <w:spacing w:after="0" w:line="240" w:lineRule="auto"/>
              <w:jc w:val="both"/>
              <w:rPr>
                <w:rFonts w:ascii="Times New Roman" w:eastAsia="Times New Roman" w:hAnsi="Times New Roman" w:cs="Times New Roman"/>
                <w:iCs/>
                <w:sz w:val="24"/>
                <w:szCs w:val="24"/>
                <w:lang w:eastAsia="lv-LV"/>
              </w:rPr>
            </w:pPr>
          </w:p>
          <w:p w:rsidR="002941F5" w:rsidRPr="000663D3" w:rsidP="00F841CC" w14:paraId="1F1B4AB3" w14:textId="77777777">
            <w:pPr>
              <w:spacing w:after="0" w:line="240" w:lineRule="auto"/>
              <w:jc w:val="both"/>
              <w:rPr>
                <w:rFonts w:ascii="Times New Roman" w:eastAsia="Calibri" w:hAnsi="Times New Roman" w:cs="Times New Roman"/>
                <w:bCs/>
                <w:sz w:val="24"/>
                <w:szCs w:val="24"/>
              </w:rPr>
            </w:pPr>
            <w:r w:rsidRPr="000663D3">
              <w:rPr>
                <w:rFonts w:ascii="Times New Roman" w:eastAsia="Calibri" w:hAnsi="Times New Roman" w:cs="Times New Roman"/>
                <w:bCs/>
                <w:sz w:val="24"/>
                <w:szCs w:val="24"/>
              </w:rPr>
              <w:t xml:space="preserve">Atbilstoši Likumam “Par vidēja termiņa budžeta ietvaru 2018., 2019. un 2020.gadam”  </w:t>
            </w:r>
          </w:p>
          <w:p w:rsidR="002941F5" w:rsidRPr="000663D3" w:rsidP="00F841CC" w14:paraId="750D7C82" w14:textId="77777777">
            <w:pPr>
              <w:spacing w:after="0" w:line="240" w:lineRule="auto"/>
              <w:jc w:val="both"/>
              <w:rPr>
                <w:rFonts w:ascii="Times New Roman" w:eastAsia="Times New Roman" w:hAnsi="Times New Roman" w:cs="Times New Roman"/>
                <w:i/>
                <w:sz w:val="24"/>
                <w:szCs w:val="24"/>
                <w:lang w:eastAsia="lv-LV"/>
              </w:rPr>
            </w:pPr>
            <w:r w:rsidRPr="000663D3">
              <w:rPr>
                <w:rFonts w:ascii="Times New Roman" w:eastAsia="Calibri" w:hAnsi="Times New Roman" w:cs="Times New Roman"/>
                <w:bCs/>
                <w:sz w:val="24"/>
                <w:szCs w:val="24"/>
              </w:rPr>
              <w:t>2019. un 2020.gadam</w:t>
            </w:r>
            <w:r w:rsidRPr="000663D3">
              <w:rPr>
                <w:rFonts w:ascii="Times New Roman" w:eastAsia="Times New Roman" w:hAnsi="Times New Roman" w:cs="Times New Roman"/>
                <w:noProof/>
                <w:sz w:val="24"/>
                <w:szCs w:val="24"/>
                <w:lang w:eastAsia="lv-LV"/>
              </w:rPr>
              <w:t xml:space="preserve"> Veselības ministrijas (NVD) budžeta programmas 33.00.00 “Veselības aprūpes nodrošināšana”:</w:t>
            </w:r>
          </w:p>
          <w:p w:rsidR="002941F5" w:rsidRPr="000663D3" w:rsidP="00F841CC" w14:paraId="216E6C02" w14:textId="77777777">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apakšprogrammā 33.03.00 “Kompensējamo medikamentu un materiālu apmaksāšana”:</w:t>
            </w:r>
          </w:p>
          <w:p w:rsidR="002941F5" w:rsidRPr="000663D3" w:rsidP="00F841CC" w14:paraId="2432480B" w14:textId="77777777">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122 283 386 </w:t>
            </w:r>
            <w:r w:rsidRPr="000663D3">
              <w:rPr>
                <w:rFonts w:ascii="Times New Roman" w:eastAsia="Times New Roman" w:hAnsi="Times New Roman" w:cs="Times New Roman"/>
                <w:i/>
                <w:noProof/>
                <w:sz w:val="24"/>
                <w:szCs w:val="24"/>
                <w:lang w:eastAsia="lv-LV"/>
              </w:rPr>
              <w:t>euro</w:t>
            </w:r>
          </w:p>
          <w:p w:rsidR="002941F5" w:rsidRPr="000663D3" w:rsidP="00F841CC" w14:paraId="38029421"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Ieņēmumi no maksas pakalpojumiem 22 054 </w:t>
            </w:r>
            <w:r w:rsidRPr="000663D3">
              <w:rPr>
                <w:rFonts w:ascii="Times New Roman" w:eastAsia="Times New Roman" w:hAnsi="Times New Roman" w:cs="Times New Roman"/>
                <w:i/>
                <w:noProof/>
                <w:sz w:val="24"/>
                <w:szCs w:val="24"/>
                <w:lang w:eastAsia="lv-LV"/>
              </w:rPr>
              <w:t>euro</w:t>
            </w:r>
          </w:p>
          <w:p w:rsidR="002941F5" w:rsidRPr="000663D3" w:rsidP="00F841CC" w14:paraId="55F9906D" w14:textId="77777777">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122 261 332 </w:t>
            </w:r>
            <w:r w:rsidRPr="000663D3">
              <w:rPr>
                <w:rFonts w:ascii="Times New Roman" w:eastAsia="Times New Roman" w:hAnsi="Times New Roman" w:cs="Times New Roman"/>
                <w:i/>
                <w:noProof/>
                <w:sz w:val="24"/>
                <w:szCs w:val="24"/>
                <w:lang w:eastAsia="lv-LV"/>
              </w:rPr>
              <w:t>euro</w:t>
            </w:r>
          </w:p>
          <w:p w:rsidR="002941F5" w:rsidRPr="000663D3" w:rsidP="00F841CC" w14:paraId="622688A7"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Izdevumi</w:t>
            </w:r>
            <w:r w:rsidRPr="000663D3">
              <w:rPr>
                <w:rFonts w:ascii="Times New Roman" w:eastAsia="Times New Roman" w:hAnsi="Times New Roman" w:cs="Times New Roman"/>
                <w:sz w:val="24"/>
                <w:szCs w:val="24"/>
                <w:shd w:val="clear" w:color="auto" w:fill="FFFFFF"/>
                <w:lang w:eastAsia="lv-LV" w:bidi="lv-LV"/>
              </w:rPr>
              <w:t xml:space="preserve"> 122 283 386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rsidR="002941F5" w:rsidRPr="000663D3" w:rsidP="00F841CC" w14:paraId="7B554D73" w14:textId="77777777">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 xml:space="preserve">122 283 386 </w:t>
            </w:r>
            <w:r w:rsidRPr="000663D3">
              <w:rPr>
                <w:rFonts w:ascii="Times New Roman" w:eastAsia="Times New Roman" w:hAnsi="Times New Roman" w:cs="Times New Roman"/>
                <w:i/>
                <w:noProof/>
                <w:sz w:val="24"/>
                <w:szCs w:val="24"/>
                <w:lang w:eastAsia="lv-LV"/>
              </w:rPr>
              <w:t>euro</w:t>
            </w:r>
          </w:p>
          <w:p w:rsidR="002941F5" w:rsidRPr="000663D3" w:rsidP="00F841CC" w14:paraId="12892C5E" w14:textId="77777777">
            <w:pPr>
              <w:spacing w:after="0" w:line="240" w:lineRule="auto"/>
              <w:ind w:firstLine="259"/>
              <w:rPr>
                <w:rFonts w:ascii="Times New Roman" w:eastAsia="Times New Roman" w:hAnsi="Times New Roman" w:cs="Times New Roman"/>
                <w:i/>
                <w:noProof/>
                <w:sz w:val="24"/>
                <w:szCs w:val="24"/>
                <w:lang w:eastAsia="lv-LV"/>
              </w:rPr>
            </w:pPr>
          </w:p>
          <w:p w:rsidR="002941F5" w:rsidRPr="000663D3" w:rsidP="00F841CC" w14:paraId="3377C1BB" w14:textId="77777777">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0663D3">
              <w:rPr>
                <w:rFonts w:ascii="Times New Roman" w:eastAsia="Times New Roman" w:hAnsi="Times New Roman" w:cs="Times New Roman"/>
                <w:sz w:val="24"/>
                <w:szCs w:val="24"/>
                <w:shd w:val="clear" w:color="auto" w:fill="FFFFFF"/>
                <w:lang w:eastAsia="lv-LV" w:bidi="lv-LV"/>
              </w:rPr>
              <w:t xml:space="preserve">apakšprogrammā 33.18.00 “Plānveida stacionāro veselības aprūpes </w:t>
            </w:r>
            <w:r w:rsidRPr="000663D3">
              <w:rPr>
                <w:rFonts w:ascii="Times New Roman" w:eastAsia="Times New Roman" w:hAnsi="Times New Roman" w:cs="Times New Roman"/>
                <w:sz w:val="24"/>
                <w:szCs w:val="24"/>
                <w:shd w:val="clear" w:color="auto" w:fill="FFFFFF"/>
                <w:lang w:eastAsia="lv-LV" w:bidi="lv-LV"/>
              </w:rPr>
              <w:t>pakalpojumu nodrošināšana”:</w:t>
            </w:r>
          </w:p>
          <w:p w:rsidR="002941F5" w:rsidRPr="000663D3" w:rsidP="00F841CC" w14:paraId="144FE386"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p>
          <w:p w:rsidR="002941F5" w:rsidRPr="000663D3" w:rsidP="00F841CC" w14:paraId="57D8552F" w14:textId="77777777">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p>
          <w:p w:rsidR="002941F5" w:rsidRPr="000663D3" w:rsidP="00F841CC" w14:paraId="2148CD2F" w14:textId="77777777">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rsidR="002941F5" w:rsidRPr="000663D3" w:rsidP="00F841CC" w14:paraId="00F44724" w14:textId="77777777">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p>
          <w:p w:rsidR="002941F5" w:rsidP="00F841CC" w14:paraId="3659D2FF" w14:textId="77777777">
            <w:pPr>
              <w:spacing w:after="0" w:line="240" w:lineRule="auto"/>
              <w:jc w:val="both"/>
              <w:rPr>
                <w:rFonts w:ascii="Times New Roman" w:eastAsia="Times New Roman" w:hAnsi="Times New Roman" w:cs="Times New Roman"/>
                <w:iCs/>
                <w:sz w:val="24"/>
                <w:szCs w:val="24"/>
                <w:lang w:eastAsia="lv-LV"/>
              </w:rPr>
            </w:pPr>
          </w:p>
          <w:p w:rsidR="002941F5" w:rsidP="00F841CC" w14:paraId="2F004CD7" w14:textId="77777777">
            <w:pPr>
              <w:widowControl w:val="0"/>
              <w:spacing w:after="0" w:line="240" w:lineRule="auto"/>
              <w:ind w:firstLine="209"/>
              <w:jc w:val="both"/>
              <w:rPr>
                <w:rFonts w:ascii="Times New Roman" w:eastAsia="Times New Roman" w:hAnsi="Times New Roman" w:cs="Times New Roman"/>
                <w:b/>
                <w:i/>
                <w:sz w:val="24"/>
                <w:szCs w:val="24"/>
                <w:u w:val="single"/>
                <w:shd w:val="clear" w:color="auto" w:fill="FFFFFF"/>
                <w:lang w:eastAsia="lv-LV" w:bidi="lv-LV"/>
              </w:rPr>
            </w:pPr>
            <w:r w:rsidRPr="004A4633">
              <w:rPr>
                <w:rFonts w:ascii="Times New Roman" w:eastAsia="Times New Roman" w:hAnsi="Times New Roman" w:cs="Times New Roman"/>
                <w:b/>
                <w:i/>
                <w:sz w:val="24"/>
                <w:szCs w:val="24"/>
                <w:u w:val="single"/>
                <w:shd w:val="clear" w:color="auto" w:fill="FFFFFF"/>
                <w:lang w:eastAsia="lv-LV" w:bidi="lv-LV"/>
              </w:rPr>
              <w:t>Ietekme 2018.gadam</w:t>
            </w:r>
          </w:p>
          <w:p w:rsidR="002941F5" w:rsidP="00F841CC" w14:paraId="3990AEFF" w14:textId="77777777">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674374">
              <w:rPr>
                <w:rFonts w:ascii="Times New Roman" w:eastAsia="Times New Roman" w:hAnsi="Times New Roman" w:cs="Times New Roman"/>
                <w:iCs/>
                <w:sz w:val="24"/>
                <w:szCs w:val="24"/>
                <w:lang w:eastAsia="lv-LV"/>
              </w:rPr>
              <w:t>Noteikumu projekts paredz</w:t>
            </w:r>
            <w:r>
              <w:rPr>
                <w:rFonts w:ascii="Times New Roman" w:eastAsia="Times New Roman" w:hAnsi="Times New Roman" w:cs="Times New Roman"/>
                <w:iCs/>
                <w:sz w:val="24"/>
                <w:szCs w:val="24"/>
                <w:lang w:eastAsia="lv-LV"/>
              </w:rPr>
              <w:t xml:space="preserve"> sievietēm </w:t>
            </w:r>
            <w:r>
              <w:rPr>
                <w:rFonts w:ascii="Times New Roman" w:eastAsia="Times New Roman" w:hAnsi="Times New Roman" w:cs="Times New Roman"/>
                <w:iCs/>
                <w:sz w:val="24"/>
                <w:szCs w:val="24"/>
                <w:lang w:eastAsia="lv-LV"/>
              </w:rPr>
              <w:t>pēcdzemdību</w:t>
            </w:r>
            <w:r>
              <w:rPr>
                <w:rFonts w:ascii="Times New Roman" w:eastAsia="Times New Roman" w:hAnsi="Times New Roman" w:cs="Times New Roman"/>
                <w:iCs/>
                <w:sz w:val="24"/>
                <w:szCs w:val="24"/>
                <w:lang w:eastAsia="lv-LV"/>
              </w:rPr>
              <w:t xml:space="preserve"> periodā turpmāk saņemt kompensējamos medikamentus 70 dienas pēc dzemdībām līdzšinējo 42 dienu laikā </w:t>
            </w:r>
            <w:r>
              <w:rPr>
                <w:rFonts w:ascii="Times New Roman" w:eastAsia="Times New Roman" w:hAnsi="Times New Roman" w:cs="Times New Roman"/>
                <w:b/>
                <w:iCs/>
                <w:sz w:val="24"/>
                <w:szCs w:val="24"/>
                <w:lang w:eastAsia="lv-LV"/>
              </w:rPr>
              <w:t>1 394</w:t>
            </w:r>
            <w:r>
              <w:rPr>
                <w:rFonts w:ascii="Times New Roman" w:eastAsia="Times New Roman" w:hAnsi="Times New Roman" w:cs="Times New Roman"/>
                <w:iCs/>
                <w:sz w:val="24"/>
                <w:szCs w:val="24"/>
                <w:lang w:eastAsia="lv-LV"/>
              </w:rPr>
              <w:t xml:space="preserve"> </w:t>
            </w:r>
            <w:r w:rsidRPr="00BE4652">
              <w:rPr>
                <w:rFonts w:ascii="Times New Roman" w:eastAsia="Times New Roman" w:hAnsi="Times New Roman" w:cs="Times New Roman"/>
                <w:b/>
                <w:i/>
                <w:iCs/>
                <w:sz w:val="24"/>
                <w:szCs w:val="24"/>
                <w:lang w:eastAsia="lv-LV"/>
              </w:rPr>
              <w:t>euro</w:t>
            </w:r>
            <w:r>
              <w:rPr>
                <w:rFonts w:ascii="Times New Roman" w:eastAsia="Times New Roman" w:hAnsi="Times New Roman" w:cs="Times New Roman"/>
                <w:iCs/>
                <w:sz w:val="24"/>
                <w:szCs w:val="24"/>
                <w:lang w:eastAsia="lv-LV"/>
              </w:rPr>
              <w:t xml:space="preserve"> apmērā. </w:t>
            </w:r>
            <w:r w:rsidRPr="00674374">
              <w:rPr>
                <w:rFonts w:ascii="Times New Roman" w:eastAsia="Times New Roman" w:hAnsi="Times New Roman" w:cs="Times New Roman"/>
                <w:sz w:val="24"/>
                <w:szCs w:val="24"/>
                <w:shd w:val="clear" w:color="auto" w:fill="FFFFFF"/>
                <w:lang w:eastAsia="lv-LV" w:bidi="lv-LV"/>
              </w:rPr>
              <w:t xml:space="preserve">Ņemot vērā to, ka aprēķins </w:t>
            </w:r>
            <w:r>
              <w:rPr>
                <w:rFonts w:ascii="Times New Roman" w:eastAsia="Times New Roman" w:hAnsi="Times New Roman" w:cs="Times New Roman"/>
                <w:iCs/>
                <w:sz w:val="24"/>
                <w:szCs w:val="24"/>
                <w:lang w:eastAsia="lv-LV"/>
              </w:rPr>
              <w:t>dienu</w:t>
            </w:r>
            <w:r w:rsidRPr="00674374">
              <w:rPr>
                <w:rFonts w:ascii="Times New Roman" w:eastAsia="Times New Roman" w:hAnsi="Times New Roman" w:cs="Times New Roman"/>
                <w:iCs/>
                <w:sz w:val="24"/>
                <w:szCs w:val="24"/>
                <w:lang w:eastAsia="lv-LV"/>
              </w:rPr>
              <w:t xml:space="preserve"> apmēra palielināšanai atsevišķām kompensējamo zāļu sarakstā iekļautām slimībām ir veikts 2018. gadam,  skat., tabulu Nr.1, tad 2018.gada 2.pusgadam noteikumu projekts paredz </w:t>
            </w:r>
            <w:r>
              <w:rPr>
                <w:rFonts w:ascii="Times New Roman" w:eastAsia="Times New Roman" w:hAnsi="Times New Roman" w:cs="Times New Roman"/>
                <w:iCs/>
                <w:sz w:val="24"/>
                <w:szCs w:val="24"/>
                <w:lang w:eastAsia="lv-LV"/>
              </w:rPr>
              <w:t>1 394</w:t>
            </w:r>
            <w:r w:rsidRPr="00674374">
              <w:rPr>
                <w:rFonts w:ascii="Times New Roman" w:eastAsia="Times New Roman" w:hAnsi="Times New Roman" w:cs="Times New Roman"/>
                <w:iCs/>
                <w:sz w:val="24"/>
                <w:szCs w:val="24"/>
                <w:lang w:eastAsia="lv-LV"/>
              </w:rPr>
              <w:t xml:space="preserve"> </w:t>
            </w:r>
            <w:r w:rsidRPr="00674374">
              <w:rPr>
                <w:rFonts w:ascii="Times New Roman" w:eastAsia="Times New Roman" w:hAnsi="Times New Roman" w:cs="Times New Roman"/>
                <w:i/>
                <w:iCs/>
                <w:sz w:val="24"/>
                <w:szCs w:val="24"/>
                <w:lang w:eastAsia="lv-LV"/>
              </w:rPr>
              <w:t>euro</w:t>
            </w:r>
            <w:r w:rsidRPr="006743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2 788</w:t>
            </w:r>
            <w:r w:rsidRPr="00674374">
              <w:rPr>
                <w:rFonts w:ascii="Times New Roman" w:eastAsia="Times New Roman" w:hAnsi="Times New Roman" w:cs="Times New Roman"/>
                <w:iCs/>
                <w:sz w:val="24"/>
                <w:szCs w:val="24"/>
                <w:lang w:eastAsia="lv-LV"/>
              </w:rPr>
              <w:t xml:space="preserve"> (prognozētais pap</w:t>
            </w:r>
            <w:r>
              <w:rPr>
                <w:rFonts w:ascii="Times New Roman" w:eastAsia="Times New Roman" w:hAnsi="Times New Roman" w:cs="Times New Roman"/>
                <w:iCs/>
                <w:sz w:val="24"/>
                <w:szCs w:val="24"/>
                <w:lang w:eastAsia="lv-LV"/>
              </w:rPr>
              <w:t>ildus finansējums 2018.gadam):</w:t>
            </w:r>
            <w:r w:rsidRPr="00674374">
              <w:rPr>
                <w:rFonts w:ascii="Times New Roman" w:eastAsia="Times New Roman" w:hAnsi="Times New Roman" w:cs="Times New Roman"/>
                <w:iCs/>
                <w:sz w:val="24"/>
                <w:szCs w:val="24"/>
                <w:lang w:eastAsia="lv-LV"/>
              </w:rPr>
              <w:t xml:space="preserve">2 = </w:t>
            </w:r>
            <w:r>
              <w:rPr>
                <w:rFonts w:ascii="Times New Roman" w:eastAsia="Times New Roman" w:hAnsi="Times New Roman" w:cs="Times New Roman"/>
                <w:iCs/>
                <w:sz w:val="24"/>
                <w:szCs w:val="24"/>
                <w:lang w:eastAsia="lv-LV"/>
              </w:rPr>
              <w:t>1 394</w:t>
            </w:r>
            <w:r w:rsidRPr="00674374">
              <w:rPr>
                <w:rFonts w:ascii="Times New Roman" w:eastAsia="Times New Roman" w:hAnsi="Times New Roman" w:cs="Times New Roman"/>
                <w:iCs/>
                <w:sz w:val="24"/>
                <w:szCs w:val="24"/>
                <w:lang w:eastAsia="lv-LV"/>
              </w:rPr>
              <w:t xml:space="preserve"> </w:t>
            </w:r>
            <w:r w:rsidRPr="00674374">
              <w:rPr>
                <w:rFonts w:ascii="Times New Roman" w:eastAsia="Times New Roman" w:hAnsi="Times New Roman" w:cs="Times New Roman"/>
                <w:i/>
                <w:iCs/>
                <w:sz w:val="24"/>
                <w:szCs w:val="24"/>
                <w:lang w:eastAsia="lv-LV"/>
              </w:rPr>
              <w:t>euro</w:t>
            </w:r>
            <w:r w:rsidRPr="00674374">
              <w:rPr>
                <w:rFonts w:ascii="Times New Roman" w:eastAsia="Times New Roman" w:hAnsi="Times New Roman" w:cs="Times New Roman"/>
                <w:iCs/>
                <w:sz w:val="24"/>
                <w:szCs w:val="24"/>
                <w:lang w:eastAsia="lv-LV"/>
              </w:rPr>
              <w:t xml:space="preserve">).   Iepriekšminētais pasākums tiks īstenots </w:t>
            </w:r>
            <w:r w:rsidRPr="00674374">
              <w:rPr>
                <w:rFonts w:ascii="Times New Roman" w:eastAsia="Times New Roman" w:hAnsi="Times New Roman" w:cs="Times New Roman"/>
                <w:sz w:val="24"/>
                <w:szCs w:val="24"/>
                <w:shd w:val="clear" w:color="auto" w:fill="FFFFFF"/>
                <w:lang w:eastAsia="lv-LV" w:bidi="lv-LV"/>
              </w:rPr>
              <w:t xml:space="preserve">apakšprogrammas </w:t>
            </w:r>
            <w:r>
              <w:rPr>
                <w:rFonts w:ascii="Times New Roman" w:eastAsia="Times New Roman" w:hAnsi="Times New Roman" w:cs="Times New Roman"/>
                <w:sz w:val="24"/>
                <w:szCs w:val="24"/>
                <w:shd w:val="clear" w:color="auto" w:fill="FFFFFF"/>
                <w:lang w:eastAsia="lv-LV" w:bidi="lv-LV"/>
              </w:rPr>
              <w:t>33.03.00 „Kompensējamo medikamentu un materiālu apmaksāšana”</w:t>
            </w:r>
            <w:r w:rsidRPr="00674374">
              <w:rPr>
                <w:rFonts w:ascii="Times New Roman" w:eastAsia="Times New Roman" w:hAnsi="Times New Roman" w:cs="Times New Roman"/>
                <w:sz w:val="24"/>
                <w:szCs w:val="24"/>
                <w:shd w:val="clear" w:color="auto" w:fill="FFFFFF"/>
                <w:lang w:eastAsia="lv-LV" w:bidi="lv-LV"/>
              </w:rPr>
              <w:t xml:space="preserve"> ietvaros.</w:t>
            </w:r>
          </w:p>
          <w:p w:rsidR="002941F5" w:rsidRPr="00535D66" w:rsidP="00F841CC" w14:paraId="7E962CC6" w14:textId="77777777">
            <w:pPr>
              <w:widowControl w:val="0"/>
              <w:spacing w:after="0" w:line="240" w:lineRule="auto"/>
              <w:ind w:firstLine="209"/>
              <w:jc w:val="right"/>
              <w:rPr>
                <w:rFonts w:ascii="Times New Roman" w:eastAsia="Times New Roman" w:hAnsi="Times New Roman" w:cs="Times New Roman"/>
                <w:i/>
                <w:sz w:val="24"/>
                <w:szCs w:val="24"/>
                <w:shd w:val="clear" w:color="auto" w:fill="FFFFFF"/>
                <w:lang w:eastAsia="lv-LV" w:bidi="lv-LV"/>
              </w:rPr>
            </w:pPr>
            <w:r>
              <w:rPr>
                <w:rFonts w:ascii="Times New Roman" w:eastAsia="Times New Roman" w:hAnsi="Times New Roman" w:cs="Times New Roman"/>
                <w:i/>
                <w:sz w:val="24"/>
                <w:szCs w:val="24"/>
                <w:shd w:val="clear" w:color="auto" w:fill="FFFFFF"/>
                <w:lang w:eastAsia="lv-LV" w:bidi="lv-LV"/>
              </w:rPr>
              <w:t>Tabula Nr.1</w:t>
            </w:r>
          </w:p>
          <w:tbl>
            <w:tblPr>
              <w:tblW w:w="7721" w:type="dxa"/>
              <w:tblLayout w:type="fixed"/>
              <w:tblLook w:val="04A0"/>
            </w:tblPr>
            <w:tblGrid>
              <w:gridCol w:w="426"/>
              <w:gridCol w:w="3197"/>
              <w:gridCol w:w="1317"/>
              <w:gridCol w:w="1420"/>
              <w:gridCol w:w="1361"/>
            </w:tblGrid>
            <w:tr w14:paraId="4D71773E" w14:textId="77777777" w:rsidTr="00F841CC">
              <w:tblPrEx>
                <w:tblW w:w="7721" w:type="dxa"/>
                <w:tblLayout w:type="fixed"/>
                <w:tblLook w:val="04A0"/>
              </w:tblPrEx>
              <w:trPr>
                <w:trHeight w:val="960"/>
              </w:trPr>
              <w:tc>
                <w:tcPr>
                  <w:tcW w:w="3623"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535D66" w:rsidP="00F841CC" w14:paraId="62409459" w14:textId="77777777">
                  <w:pPr>
                    <w:spacing w:after="0" w:line="240" w:lineRule="auto"/>
                    <w:jc w:val="center"/>
                    <w:rPr>
                      <w:rFonts w:ascii="Times New Roman" w:eastAsia="Times New Roman" w:hAnsi="Times New Roman" w:cs="Times New Roman"/>
                      <w:b/>
                      <w:bCs/>
                      <w:sz w:val="18"/>
                      <w:szCs w:val="18"/>
                      <w:lang w:eastAsia="lv-LV"/>
                    </w:rPr>
                  </w:pPr>
                  <w:r w:rsidRPr="00535D66">
                    <w:rPr>
                      <w:rFonts w:ascii="Times New Roman" w:eastAsia="Times New Roman" w:hAnsi="Times New Roman" w:cs="Times New Roman"/>
                      <w:b/>
                      <w:bCs/>
                      <w:sz w:val="18"/>
                      <w:szCs w:val="18"/>
                      <w:lang w:eastAsia="lv-LV"/>
                    </w:rPr>
                    <w:t> </w:t>
                  </w:r>
                </w:p>
              </w:tc>
              <w:tc>
                <w:tcPr>
                  <w:tcW w:w="1317" w:type="dxa"/>
                  <w:tcBorders>
                    <w:top w:val="single" w:sz="4" w:space="0" w:color="auto"/>
                    <w:left w:val="nil"/>
                    <w:bottom w:val="single" w:sz="4" w:space="0" w:color="auto"/>
                    <w:right w:val="single" w:sz="4" w:space="0" w:color="auto"/>
                  </w:tcBorders>
                  <w:shd w:val="clear" w:color="auto" w:fill="FFC000"/>
                  <w:vAlign w:val="center"/>
                  <w:hideMark/>
                </w:tcPr>
                <w:p w:rsidR="002941F5" w:rsidRPr="00535D66" w:rsidP="00F841CC" w14:paraId="6288143D"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Unikālo pacientu skaits 2017. gadā</w:t>
                  </w:r>
                </w:p>
              </w:tc>
              <w:tc>
                <w:tcPr>
                  <w:tcW w:w="1420" w:type="dxa"/>
                  <w:tcBorders>
                    <w:top w:val="single" w:sz="4" w:space="0" w:color="auto"/>
                    <w:left w:val="nil"/>
                    <w:bottom w:val="single" w:sz="4" w:space="0" w:color="auto"/>
                    <w:right w:val="single" w:sz="4" w:space="0" w:color="auto"/>
                  </w:tcBorders>
                  <w:shd w:val="clear" w:color="auto" w:fill="FFC000"/>
                  <w:vAlign w:val="center"/>
                  <w:hideMark/>
                </w:tcPr>
                <w:p w:rsidR="002941F5" w:rsidRPr="00535D66" w:rsidP="00F841CC" w14:paraId="197D564F"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xml:space="preserve">Vidējās izmaksas uz 1 pacientu 1 dienā, </w:t>
                  </w:r>
                  <w:r w:rsidRPr="00535D66">
                    <w:rPr>
                      <w:rFonts w:ascii="Times New Roman" w:eastAsia="Times New Roman" w:hAnsi="Times New Roman" w:cs="Times New Roman"/>
                      <w:i/>
                      <w:iCs/>
                      <w:sz w:val="18"/>
                      <w:szCs w:val="18"/>
                      <w:lang w:eastAsia="lv-LV"/>
                    </w:rPr>
                    <w:t>euro</w:t>
                  </w:r>
                </w:p>
              </w:tc>
              <w:tc>
                <w:tcPr>
                  <w:tcW w:w="1361" w:type="dxa"/>
                  <w:tcBorders>
                    <w:top w:val="single" w:sz="4" w:space="0" w:color="auto"/>
                    <w:left w:val="nil"/>
                    <w:bottom w:val="single" w:sz="4" w:space="0" w:color="auto"/>
                    <w:right w:val="single" w:sz="4" w:space="0" w:color="auto"/>
                  </w:tcBorders>
                  <w:shd w:val="clear" w:color="auto" w:fill="FFC000"/>
                  <w:vAlign w:val="center"/>
                  <w:hideMark/>
                </w:tcPr>
                <w:p w:rsidR="002941F5" w:rsidRPr="00535D66" w:rsidP="00F841CC" w14:paraId="7864C89F"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xml:space="preserve">Prognozētais nepieciešamais </w:t>
                  </w:r>
                  <w:r w:rsidRPr="00535D66">
                    <w:rPr>
                      <w:rFonts w:ascii="Times New Roman" w:eastAsia="Times New Roman" w:hAnsi="Times New Roman" w:cs="Times New Roman"/>
                      <w:sz w:val="18"/>
                      <w:szCs w:val="18"/>
                      <w:lang w:eastAsia="lv-LV"/>
                    </w:rPr>
                    <w:br/>
                    <w:t xml:space="preserve">finansējums, </w:t>
                  </w:r>
                  <w:r w:rsidRPr="00535D66">
                    <w:rPr>
                      <w:rFonts w:ascii="Times New Roman" w:eastAsia="Times New Roman" w:hAnsi="Times New Roman" w:cs="Times New Roman"/>
                      <w:i/>
                      <w:iCs/>
                      <w:sz w:val="18"/>
                      <w:szCs w:val="18"/>
                      <w:lang w:eastAsia="lv-LV"/>
                    </w:rPr>
                    <w:t>euro</w:t>
                  </w:r>
                  <w:r w:rsidRPr="00535D66">
                    <w:rPr>
                      <w:rFonts w:ascii="Times New Roman" w:eastAsia="Times New Roman" w:hAnsi="Times New Roman" w:cs="Times New Roman"/>
                      <w:i/>
                      <w:iCs/>
                      <w:sz w:val="18"/>
                      <w:szCs w:val="18"/>
                      <w:lang w:eastAsia="lv-LV"/>
                    </w:rPr>
                    <w:t xml:space="preserve"> </w:t>
                  </w:r>
                  <w:r w:rsidRPr="00535D66">
                    <w:rPr>
                      <w:rFonts w:ascii="Times New Roman" w:eastAsia="Times New Roman" w:hAnsi="Times New Roman" w:cs="Times New Roman"/>
                      <w:sz w:val="18"/>
                      <w:szCs w:val="18"/>
                      <w:lang w:eastAsia="lv-LV"/>
                    </w:rPr>
                    <w:t>gadā</w:t>
                  </w:r>
                </w:p>
              </w:tc>
            </w:tr>
            <w:tr w14:paraId="0E2CA592" w14:textId="77777777" w:rsidTr="00F841CC">
              <w:tblPrEx>
                <w:tblW w:w="7721" w:type="dxa"/>
                <w:tblLayout w:type="fixed"/>
                <w:tblLook w:val="04A0"/>
              </w:tblPrEx>
              <w:trPr>
                <w:trHeight w:val="645"/>
              </w:trPr>
              <w:tc>
                <w:tcPr>
                  <w:tcW w:w="3623"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2941F5" w:rsidRPr="00535D66" w:rsidP="00F841CC" w14:paraId="14F86C8E"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xml:space="preserve">Sievietēm </w:t>
                  </w:r>
                  <w:r w:rsidRPr="00535D66">
                    <w:rPr>
                      <w:rFonts w:ascii="Times New Roman" w:eastAsia="Times New Roman" w:hAnsi="Times New Roman" w:cs="Times New Roman"/>
                      <w:sz w:val="18"/>
                      <w:szCs w:val="18"/>
                      <w:lang w:eastAsia="lv-LV"/>
                    </w:rPr>
                    <w:t>pēcdzemdību</w:t>
                  </w:r>
                  <w:r w:rsidRPr="00535D66">
                    <w:rPr>
                      <w:rFonts w:ascii="Times New Roman" w:eastAsia="Times New Roman" w:hAnsi="Times New Roman" w:cs="Times New Roman"/>
                      <w:sz w:val="18"/>
                      <w:szCs w:val="18"/>
                      <w:lang w:eastAsia="lv-LV"/>
                    </w:rPr>
                    <w:t xml:space="preserve"> periodā, kas varēs saņemt zāles 70 dienas pēc dzemdībām, līdzšinējo 42 dienu vietā</w:t>
                  </w:r>
                </w:p>
              </w:tc>
              <w:tc>
                <w:tcPr>
                  <w:tcW w:w="131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19692DB3"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730AE2A6"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03A5E41C"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w:t>
                  </w:r>
                </w:p>
              </w:tc>
            </w:tr>
            <w:tr w14:paraId="468CE010" w14:textId="77777777" w:rsidTr="00F841CC">
              <w:tblPrEx>
                <w:tblW w:w="7721" w:type="dxa"/>
                <w:tblLayout w:type="fixed"/>
                <w:tblLook w:val="04A0"/>
              </w:tblPrEx>
              <w:trPr>
                <w:trHeight w:val="300"/>
              </w:trPr>
              <w:tc>
                <w:tcPr>
                  <w:tcW w:w="426" w:type="dxa"/>
                  <w:tcBorders>
                    <w:top w:val="nil"/>
                    <w:left w:val="single" w:sz="4" w:space="0" w:color="auto"/>
                    <w:bottom w:val="single" w:sz="4" w:space="0" w:color="auto"/>
                    <w:right w:val="nil"/>
                  </w:tcBorders>
                  <w:shd w:val="clear" w:color="auto" w:fill="F2F2F2" w:themeFill="background1" w:themeFillShade="F2"/>
                  <w:noWrap/>
                  <w:vAlign w:val="center"/>
                  <w:hideMark/>
                </w:tcPr>
                <w:p w:rsidR="002941F5" w:rsidRPr="00535D66" w:rsidP="00F841CC" w14:paraId="61D889A2"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w:t>
                  </w:r>
                </w:p>
              </w:tc>
              <w:tc>
                <w:tcPr>
                  <w:tcW w:w="31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535D66" w:rsidP="00F841CC" w14:paraId="4B250383"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42 dienas</w:t>
                  </w:r>
                </w:p>
              </w:tc>
              <w:tc>
                <w:tcPr>
                  <w:tcW w:w="1317"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66049580"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58E83254"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5EDFB0C2" w14:textId="7777777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4 181</w:t>
                  </w:r>
                </w:p>
              </w:tc>
            </w:tr>
            <w:tr w14:paraId="0EB8E3E2" w14:textId="77777777" w:rsidTr="00F841CC">
              <w:tblPrEx>
                <w:tblW w:w="7721" w:type="dxa"/>
                <w:tblLayout w:type="fixed"/>
                <w:tblLook w:val="04A0"/>
              </w:tblPrEx>
              <w:trPr>
                <w:trHeight w:val="300"/>
              </w:trPr>
              <w:tc>
                <w:tcPr>
                  <w:tcW w:w="426" w:type="dxa"/>
                  <w:tcBorders>
                    <w:top w:val="nil"/>
                    <w:left w:val="single" w:sz="4" w:space="0" w:color="auto"/>
                    <w:bottom w:val="single" w:sz="4" w:space="0" w:color="auto"/>
                    <w:right w:val="nil"/>
                  </w:tcBorders>
                  <w:shd w:val="clear" w:color="auto" w:fill="F2F2F2" w:themeFill="background1" w:themeFillShade="F2"/>
                  <w:noWrap/>
                  <w:vAlign w:val="center"/>
                  <w:hideMark/>
                </w:tcPr>
                <w:p w:rsidR="002941F5" w:rsidRPr="00535D66" w:rsidP="00F841CC" w14:paraId="257C9AA2"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w:t>
                  </w:r>
                </w:p>
              </w:tc>
              <w:tc>
                <w:tcPr>
                  <w:tcW w:w="31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535D66" w:rsidP="00F841CC" w14:paraId="38450401"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70 dienas</w:t>
                  </w:r>
                </w:p>
              </w:tc>
              <w:tc>
                <w:tcPr>
                  <w:tcW w:w="1317"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4AB77B52"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7C02D446"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13967951" w14:textId="7777777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6 969</w:t>
                  </w:r>
                </w:p>
              </w:tc>
            </w:tr>
            <w:tr w14:paraId="01DEF000" w14:textId="77777777" w:rsidTr="00F841CC">
              <w:tblPrEx>
                <w:tblW w:w="7721" w:type="dxa"/>
                <w:tblLayout w:type="fixed"/>
                <w:tblLook w:val="04A0"/>
              </w:tblPrEx>
              <w:trPr>
                <w:trHeight w:val="420"/>
              </w:trPr>
              <w:tc>
                <w:tcPr>
                  <w:tcW w:w="6360"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2941F5" w:rsidRPr="00535D66" w:rsidP="00F841CC" w14:paraId="660B0534" w14:textId="77777777">
                  <w:pPr>
                    <w:spacing w:after="0" w:line="240" w:lineRule="auto"/>
                    <w:rPr>
                      <w:rFonts w:ascii="Times New Roman" w:eastAsia="Times New Roman" w:hAnsi="Times New Roman" w:cs="Times New Roman"/>
                      <w:color w:val="000000"/>
                      <w:sz w:val="18"/>
                      <w:szCs w:val="18"/>
                      <w:lang w:eastAsia="lv-LV"/>
                    </w:rPr>
                  </w:pPr>
                  <w:r w:rsidRPr="00535D66">
                    <w:rPr>
                      <w:rFonts w:ascii="Times New Roman" w:eastAsia="Times New Roman" w:hAnsi="Times New Roman" w:cs="Times New Roman"/>
                      <w:color w:val="000000"/>
                      <w:sz w:val="18"/>
                      <w:szCs w:val="18"/>
                      <w:lang w:eastAsia="lv-LV"/>
                    </w:rPr>
                    <w:t xml:space="preserve">Kopā papildus nepieciešamais finansējums, </w:t>
                  </w:r>
                  <w:r w:rsidRPr="00535D66">
                    <w:rPr>
                      <w:rFonts w:ascii="Times New Roman" w:eastAsia="Times New Roman" w:hAnsi="Times New Roman" w:cs="Times New Roman"/>
                      <w:i/>
                      <w:iCs/>
                      <w:color w:val="000000"/>
                      <w:sz w:val="18"/>
                      <w:szCs w:val="18"/>
                      <w:lang w:eastAsia="lv-LV"/>
                    </w:rPr>
                    <w:t>euro</w:t>
                  </w:r>
                  <w:r w:rsidRPr="00535D66">
                    <w:rPr>
                      <w:rFonts w:ascii="Times New Roman" w:eastAsia="Times New Roman" w:hAnsi="Times New Roman" w:cs="Times New Roman"/>
                      <w:i/>
                      <w:iCs/>
                      <w:color w:val="000000"/>
                      <w:sz w:val="18"/>
                      <w:szCs w:val="18"/>
                      <w:lang w:eastAsia="lv-LV"/>
                    </w:rPr>
                    <w:t>:</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4FD38D42" w14:textId="7777777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2 788</w:t>
                  </w:r>
                </w:p>
              </w:tc>
            </w:tr>
          </w:tbl>
          <w:p w:rsidR="002941F5" w:rsidRPr="00674374" w:rsidP="00F841CC" w14:paraId="60A9ED5D" w14:textId="77777777">
            <w:pPr>
              <w:widowControl w:val="0"/>
              <w:spacing w:after="0" w:line="240" w:lineRule="auto"/>
              <w:ind w:firstLine="720"/>
              <w:jc w:val="both"/>
              <w:rPr>
                <w:rFonts w:ascii="Times New Roman" w:eastAsia="Times New Roman" w:hAnsi="Times New Roman" w:cs="Times New Roman"/>
                <w:sz w:val="24"/>
                <w:szCs w:val="24"/>
                <w:shd w:val="clear" w:color="auto" w:fill="FFFFFF"/>
                <w:lang w:eastAsia="lv-LV" w:bidi="lv-LV"/>
              </w:rPr>
            </w:pPr>
            <w:r w:rsidRPr="00674374">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elpošanas sistēmas slimībām </w:t>
            </w:r>
            <w:r w:rsidRPr="00674374">
              <w:rPr>
                <w:rFonts w:ascii="Times New Roman" w:eastAsia="Times New Roman" w:hAnsi="Times New Roman" w:cs="Times New Roman"/>
                <w:b/>
                <w:iCs/>
                <w:sz w:val="24"/>
                <w:szCs w:val="24"/>
                <w:lang w:eastAsia="lv-LV"/>
              </w:rPr>
              <w:t>3</w:t>
            </w:r>
            <w:r>
              <w:rPr>
                <w:rFonts w:ascii="Times New Roman" w:eastAsia="Times New Roman" w:hAnsi="Times New Roman" w:cs="Times New Roman"/>
                <w:b/>
                <w:iCs/>
                <w:sz w:val="24"/>
                <w:szCs w:val="24"/>
                <w:lang w:eastAsia="lv-LV"/>
              </w:rPr>
              <w:t xml:space="preserve"> </w:t>
            </w:r>
            <w:r w:rsidRPr="00674374">
              <w:rPr>
                <w:rFonts w:ascii="Times New Roman" w:eastAsia="Times New Roman" w:hAnsi="Times New Roman" w:cs="Times New Roman"/>
                <w:b/>
                <w:iCs/>
                <w:sz w:val="24"/>
                <w:szCs w:val="24"/>
                <w:lang w:eastAsia="lv-LV"/>
              </w:rPr>
              <w:t xml:space="preserve">960 </w:t>
            </w:r>
            <w:r w:rsidRPr="00674374">
              <w:rPr>
                <w:rFonts w:ascii="Times New Roman" w:eastAsia="Times New Roman" w:hAnsi="Times New Roman" w:cs="Times New Roman"/>
                <w:b/>
                <w:i/>
                <w:iCs/>
                <w:sz w:val="24"/>
                <w:szCs w:val="24"/>
                <w:lang w:eastAsia="lv-LV"/>
              </w:rPr>
              <w:t>euro</w:t>
            </w:r>
            <w:r w:rsidRPr="00674374">
              <w:rPr>
                <w:rFonts w:ascii="Times New Roman" w:eastAsia="Times New Roman" w:hAnsi="Times New Roman" w:cs="Times New Roman"/>
                <w:iCs/>
                <w:sz w:val="24"/>
                <w:szCs w:val="24"/>
                <w:lang w:eastAsia="lv-LV"/>
              </w:rPr>
              <w:t xml:space="preserve"> apmērā.</w:t>
            </w:r>
            <w:r w:rsidRPr="00674374">
              <w:rPr>
                <w:rFonts w:ascii="Times New Roman" w:eastAsia="Times New Roman" w:hAnsi="Times New Roman" w:cs="Times New Roman"/>
                <w:sz w:val="24"/>
                <w:szCs w:val="24"/>
                <w:shd w:val="clear" w:color="auto" w:fill="FFFFFF"/>
                <w:lang w:eastAsia="lv-LV" w:bidi="lv-LV"/>
              </w:rPr>
              <w:t xml:space="preserve"> Ņemot vērā to, ka aprēķins </w:t>
            </w:r>
            <w:r w:rsidRPr="00674374">
              <w:rPr>
                <w:rFonts w:ascii="Times New Roman" w:eastAsia="Times New Roman" w:hAnsi="Times New Roman" w:cs="Times New Roman"/>
                <w:iCs/>
                <w:sz w:val="24"/>
                <w:szCs w:val="24"/>
                <w:lang w:eastAsia="lv-LV"/>
              </w:rPr>
              <w:t>kompensācijas apmēra palielināšanai atsevišķām kompensējamo zāļu sarakstā iekļautām elpošanas sistēmas slimībām ir veikts 2018. gadam,  skat., tabulu Nr.</w:t>
            </w:r>
            <w:r>
              <w:rPr>
                <w:rFonts w:ascii="Times New Roman" w:eastAsia="Times New Roman" w:hAnsi="Times New Roman" w:cs="Times New Roman"/>
                <w:iCs/>
                <w:sz w:val="24"/>
                <w:szCs w:val="24"/>
                <w:lang w:eastAsia="lv-LV"/>
              </w:rPr>
              <w:t>2</w:t>
            </w:r>
            <w:r w:rsidRPr="00674374">
              <w:rPr>
                <w:rFonts w:ascii="Times New Roman" w:eastAsia="Times New Roman" w:hAnsi="Times New Roman" w:cs="Times New Roman"/>
                <w:iCs/>
                <w:sz w:val="24"/>
                <w:szCs w:val="24"/>
                <w:lang w:eastAsia="lv-LV"/>
              </w:rPr>
              <w:t>, tad 2018.gada 2.pusgadam noteikumu projekts paredz 3</w:t>
            </w:r>
            <w:r>
              <w:rPr>
                <w:rFonts w:ascii="Times New Roman" w:eastAsia="Times New Roman" w:hAnsi="Times New Roman" w:cs="Times New Roman"/>
                <w:iCs/>
                <w:sz w:val="24"/>
                <w:szCs w:val="24"/>
                <w:lang w:eastAsia="lv-LV"/>
              </w:rPr>
              <w:t xml:space="preserve"> </w:t>
            </w:r>
            <w:r w:rsidRPr="00674374">
              <w:rPr>
                <w:rFonts w:ascii="Times New Roman" w:eastAsia="Times New Roman" w:hAnsi="Times New Roman" w:cs="Times New Roman"/>
                <w:iCs/>
                <w:sz w:val="24"/>
                <w:szCs w:val="24"/>
                <w:lang w:eastAsia="lv-LV"/>
              </w:rPr>
              <w:t xml:space="preserve">960 </w:t>
            </w:r>
            <w:r w:rsidRPr="00674374">
              <w:rPr>
                <w:rFonts w:ascii="Times New Roman" w:eastAsia="Times New Roman" w:hAnsi="Times New Roman" w:cs="Times New Roman"/>
                <w:i/>
                <w:iCs/>
                <w:sz w:val="24"/>
                <w:szCs w:val="24"/>
                <w:lang w:eastAsia="lv-LV"/>
              </w:rPr>
              <w:t>euro</w:t>
            </w:r>
            <w:r w:rsidRPr="00674374">
              <w:rPr>
                <w:rFonts w:ascii="Times New Roman" w:eastAsia="Times New Roman" w:hAnsi="Times New Roman" w:cs="Times New Roman"/>
                <w:iCs/>
                <w:sz w:val="24"/>
                <w:szCs w:val="24"/>
                <w:lang w:eastAsia="lv-LV"/>
              </w:rPr>
              <w:t xml:space="preserve"> (7</w:t>
            </w:r>
            <w:r>
              <w:rPr>
                <w:rFonts w:ascii="Times New Roman" w:eastAsia="Times New Roman" w:hAnsi="Times New Roman" w:cs="Times New Roman"/>
                <w:iCs/>
                <w:sz w:val="24"/>
                <w:szCs w:val="24"/>
                <w:lang w:eastAsia="lv-LV"/>
              </w:rPr>
              <w:t xml:space="preserve"> </w:t>
            </w:r>
            <w:r w:rsidRPr="00674374">
              <w:rPr>
                <w:rFonts w:ascii="Times New Roman" w:eastAsia="Times New Roman" w:hAnsi="Times New Roman" w:cs="Times New Roman"/>
                <w:iCs/>
                <w:sz w:val="24"/>
                <w:szCs w:val="24"/>
                <w:lang w:eastAsia="lv-LV"/>
              </w:rPr>
              <w:t>919 (prognozētais pap</w:t>
            </w:r>
            <w:r>
              <w:rPr>
                <w:rFonts w:ascii="Times New Roman" w:eastAsia="Times New Roman" w:hAnsi="Times New Roman" w:cs="Times New Roman"/>
                <w:iCs/>
                <w:sz w:val="24"/>
                <w:szCs w:val="24"/>
                <w:lang w:eastAsia="lv-LV"/>
              </w:rPr>
              <w:t>ildus finansējums 2018.gadam):</w:t>
            </w:r>
            <w:r w:rsidRPr="00674374">
              <w:rPr>
                <w:rFonts w:ascii="Times New Roman" w:eastAsia="Times New Roman" w:hAnsi="Times New Roman" w:cs="Times New Roman"/>
                <w:iCs/>
                <w:sz w:val="24"/>
                <w:szCs w:val="24"/>
                <w:lang w:eastAsia="lv-LV"/>
              </w:rPr>
              <w:t xml:space="preserve">2 = 3 960 </w:t>
            </w:r>
            <w:r w:rsidRPr="00674374">
              <w:rPr>
                <w:rFonts w:ascii="Times New Roman" w:eastAsia="Times New Roman" w:hAnsi="Times New Roman" w:cs="Times New Roman"/>
                <w:i/>
                <w:iCs/>
                <w:sz w:val="24"/>
                <w:szCs w:val="24"/>
                <w:lang w:eastAsia="lv-LV"/>
              </w:rPr>
              <w:t>euro</w:t>
            </w:r>
            <w:r w:rsidRPr="00674374">
              <w:rPr>
                <w:rFonts w:ascii="Times New Roman" w:eastAsia="Times New Roman" w:hAnsi="Times New Roman" w:cs="Times New Roman"/>
                <w:iCs/>
                <w:sz w:val="24"/>
                <w:szCs w:val="24"/>
                <w:lang w:eastAsia="lv-LV"/>
              </w:rPr>
              <w:t xml:space="preserve">).   Iepriekšminētais pasākums tiks īstenots </w:t>
            </w:r>
            <w:r w:rsidRPr="00674374">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ietvaros.</w:t>
            </w:r>
          </w:p>
          <w:p w:rsidR="002941F5" w:rsidRPr="00F75604" w:rsidP="00F841CC" w14:paraId="7203FFEC" w14:textId="77777777">
            <w:pPr>
              <w:spacing w:after="0" w:line="240" w:lineRule="auto"/>
              <w:ind w:left="58"/>
              <w:jc w:val="right"/>
              <w:rPr>
                <w:rFonts w:ascii="Times New Roman" w:eastAsia="Times New Roman" w:hAnsi="Times New Roman" w:cs="Times New Roman"/>
                <w:i/>
                <w:iCs/>
                <w:sz w:val="24"/>
                <w:szCs w:val="24"/>
                <w:lang w:eastAsia="lv-LV"/>
              </w:rPr>
            </w:pPr>
            <w:r w:rsidRPr="00F75604">
              <w:rPr>
                <w:rFonts w:ascii="Times New Roman" w:eastAsia="Times New Roman" w:hAnsi="Times New Roman" w:cs="Times New Roman"/>
                <w:i/>
                <w:iCs/>
                <w:sz w:val="24"/>
                <w:szCs w:val="24"/>
                <w:lang w:eastAsia="lv-LV"/>
              </w:rPr>
              <w:t>Tabula Nr.</w:t>
            </w:r>
            <w:r>
              <w:rPr>
                <w:rFonts w:ascii="Times New Roman" w:eastAsia="Times New Roman" w:hAnsi="Times New Roman" w:cs="Times New Roman"/>
                <w:i/>
                <w:iCs/>
                <w:sz w:val="24"/>
                <w:szCs w:val="24"/>
                <w:lang w:eastAsia="lv-LV"/>
              </w:rPr>
              <w:t>2</w:t>
            </w:r>
          </w:p>
          <w:tbl>
            <w:tblPr>
              <w:tblW w:w="7823" w:type="dxa"/>
              <w:tblLayout w:type="fixed"/>
              <w:tblLook w:val="04A0"/>
            </w:tblPr>
            <w:tblGrid>
              <w:gridCol w:w="532"/>
              <w:gridCol w:w="3134"/>
              <w:gridCol w:w="1421"/>
              <w:gridCol w:w="1270"/>
              <w:gridCol w:w="1466"/>
            </w:tblGrid>
            <w:tr w14:paraId="7534B9D4" w14:textId="77777777" w:rsidTr="00F841CC">
              <w:tblPrEx>
                <w:tblW w:w="7823" w:type="dxa"/>
                <w:tblLayout w:type="fixed"/>
                <w:tblLook w:val="04A0"/>
              </w:tblPrEx>
              <w:trPr>
                <w:trHeight w:val="1035"/>
              </w:trPr>
              <w:tc>
                <w:tcPr>
                  <w:tcW w:w="3666"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9304AD" w:rsidP="00F841CC" w14:paraId="1E7DEA3C" w14:textId="77777777">
                  <w:pPr>
                    <w:spacing w:after="0" w:line="240" w:lineRule="auto"/>
                    <w:jc w:val="center"/>
                    <w:rPr>
                      <w:rFonts w:ascii="Times New Roman" w:eastAsia="Times New Roman" w:hAnsi="Times New Roman" w:cs="Times New Roman"/>
                      <w:b/>
                      <w:bCs/>
                      <w:sz w:val="16"/>
                      <w:szCs w:val="16"/>
                      <w:lang w:eastAsia="lv-LV"/>
                    </w:rPr>
                  </w:pPr>
                  <w:r w:rsidRPr="009304AD">
                    <w:rPr>
                      <w:rFonts w:ascii="Times New Roman" w:eastAsia="Times New Roman" w:hAnsi="Times New Roman" w:cs="Times New Roman"/>
                      <w:b/>
                      <w:bCs/>
                      <w:sz w:val="16"/>
                      <w:szCs w:val="16"/>
                      <w:lang w:eastAsia="lv-LV"/>
                    </w:rPr>
                    <w:t> </w:t>
                  </w:r>
                </w:p>
              </w:tc>
              <w:tc>
                <w:tcPr>
                  <w:tcW w:w="1421"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5F8FD00B"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Unikālo pacientu skaits 2017. gadā</w:t>
                  </w:r>
                </w:p>
              </w:tc>
              <w:tc>
                <w:tcPr>
                  <w:tcW w:w="1270"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2B2D2471"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Vidējās izmaksas uz 1 pacientu, </w:t>
                  </w:r>
                  <w:r w:rsidRPr="009304AD">
                    <w:rPr>
                      <w:rFonts w:ascii="Times New Roman" w:eastAsia="Times New Roman" w:hAnsi="Times New Roman" w:cs="Times New Roman"/>
                      <w:i/>
                      <w:iCs/>
                      <w:sz w:val="16"/>
                      <w:szCs w:val="16"/>
                      <w:lang w:eastAsia="lv-LV"/>
                    </w:rPr>
                    <w:t>euro</w:t>
                  </w:r>
                </w:p>
              </w:tc>
              <w:tc>
                <w:tcPr>
                  <w:tcW w:w="1466"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7DDBD2D9"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Prognozētais nepieciešamais papildus</w:t>
                  </w:r>
                  <w:r w:rsidRPr="009304AD">
                    <w:rPr>
                      <w:rFonts w:ascii="Times New Roman" w:eastAsia="Times New Roman" w:hAnsi="Times New Roman" w:cs="Times New Roman"/>
                      <w:sz w:val="16"/>
                      <w:szCs w:val="16"/>
                      <w:lang w:eastAsia="lv-LV"/>
                    </w:rPr>
                    <w:br/>
                  </w:r>
                  <w:r w:rsidRPr="009304AD">
                    <w:rPr>
                      <w:rFonts w:ascii="Times New Roman" w:eastAsia="Times New Roman" w:hAnsi="Times New Roman" w:cs="Times New Roman"/>
                      <w:sz w:val="16"/>
                      <w:szCs w:val="16"/>
                      <w:lang w:eastAsia="lv-LV"/>
                    </w:rPr>
                    <w:t>finansējums,</w:t>
                  </w:r>
                  <w:r w:rsidRPr="009304AD">
                    <w:rPr>
                      <w:rFonts w:ascii="Times New Roman" w:eastAsia="Times New Roman" w:hAnsi="Times New Roman" w:cs="Times New Roman"/>
                      <w:i/>
                      <w:iCs/>
                      <w:sz w:val="16"/>
                      <w:szCs w:val="16"/>
                      <w:lang w:eastAsia="lv-LV"/>
                    </w:rPr>
                    <w:t>euro</w:t>
                  </w:r>
                  <w:r w:rsidRPr="009304AD">
                    <w:rPr>
                      <w:rFonts w:ascii="Times New Roman" w:eastAsia="Times New Roman" w:hAnsi="Times New Roman" w:cs="Times New Roman"/>
                      <w:sz w:val="16"/>
                      <w:szCs w:val="16"/>
                      <w:lang w:eastAsia="lv-LV"/>
                    </w:rPr>
                    <w:t xml:space="preserve"> gadā</w:t>
                  </w:r>
                </w:p>
              </w:tc>
            </w:tr>
            <w:tr w14:paraId="261B0E51" w14:textId="77777777" w:rsidTr="00F841CC">
              <w:tblPrEx>
                <w:tblW w:w="7823" w:type="dxa"/>
                <w:tblLayout w:type="fixed"/>
                <w:tblLook w:val="04A0"/>
              </w:tblPrEx>
              <w:trPr>
                <w:trHeight w:val="627"/>
              </w:trPr>
              <w:tc>
                <w:tcPr>
                  <w:tcW w:w="3666"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02C9E28B"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Hipersenitivitātes</w:t>
                  </w:r>
                  <w:r w:rsidRPr="009304AD">
                    <w:rPr>
                      <w:rFonts w:ascii="Times New Roman" w:eastAsia="Times New Roman" w:hAnsi="Times New Roman" w:cs="Times New Roman"/>
                      <w:i/>
                      <w:iCs/>
                      <w:sz w:val="16"/>
                      <w:szCs w:val="16"/>
                      <w:lang w:eastAsia="lv-LV"/>
                    </w:rPr>
                    <w:t xml:space="preserve"> pneimonīts</w:t>
                  </w:r>
                  <w:r w:rsidRPr="009304AD">
                    <w:rPr>
                      <w:rFonts w:ascii="Times New Roman" w:eastAsia="Times New Roman" w:hAnsi="Times New Roman" w:cs="Times New Roman"/>
                      <w:sz w:val="16"/>
                      <w:szCs w:val="16"/>
                      <w:lang w:eastAsia="lv-LV"/>
                    </w:rPr>
                    <w:t>, ko izraisījuši organiski putekļi (J67)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1604B0F6"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4D058544"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7D65F83"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360</w:t>
                  </w:r>
                </w:p>
              </w:tc>
            </w:tr>
            <w:tr w14:paraId="09171BD4" w14:textId="77777777" w:rsidTr="00F841CC">
              <w:tblPrEx>
                <w:tblW w:w="7823" w:type="dxa"/>
                <w:tblLayout w:type="fixed"/>
                <w:tblLook w:val="04A0"/>
              </w:tblPrEx>
              <w:trPr>
                <w:trHeight w:val="213"/>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7700F836"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7B3F380F"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3568ECF"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AB182AC"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14.40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36EEFAC5"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360</w:t>
                  </w:r>
                </w:p>
              </w:tc>
            </w:tr>
            <w:tr w14:paraId="7AEB2EEA" w14:textId="77777777" w:rsidTr="00F841CC">
              <w:tblPrEx>
                <w:tblW w:w="7823" w:type="dxa"/>
                <w:tblLayout w:type="fixed"/>
                <w:tblLook w:val="04A0"/>
              </w:tblPrEx>
              <w:trPr>
                <w:trHeight w:val="13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569359B3"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6DE4FF04"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0518383D"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0D323256"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28.80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9C1CD3B"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720</w:t>
                  </w:r>
                </w:p>
              </w:tc>
            </w:tr>
            <w:tr w14:paraId="6675B402" w14:textId="77777777" w:rsidTr="00F841CC">
              <w:tblPrEx>
                <w:tblW w:w="7823" w:type="dxa"/>
                <w:tblLayout w:type="fixed"/>
                <w:tblLook w:val="04A0"/>
              </w:tblPrEx>
              <w:trPr>
                <w:trHeight w:val="428"/>
              </w:trPr>
              <w:tc>
                <w:tcPr>
                  <w:tcW w:w="3666"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2B73C916"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 xml:space="preserve">Citas </w:t>
                  </w:r>
                  <w:r w:rsidRPr="009304AD">
                    <w:rPr>
                      <w:rFonts w:ascii="Times New Roman" w:eastAsia="Times New Roman" w:hAnsi="Times New Roman" w:cs="Times New Roman"/>
                      <w:i/>
                      <w:iCs/>
                      <w:sz w:val="16"/>
                      <w:szCs w:val="16"/>
                      <w:lang w:eastAsia="lv-LV"/>
                    </w:rPr>
                    <w:t>intersticiālas</w:t>
                  </w:r>
                  <w:r w:rsidRPr="009304AD">
                    <w:rPr>
                      <w:rFonts w:ascii="Times New Roman" w:eastAsia="Times New Roman" w:hAnsi="Times New Roman" w:cs="Times New Roman"/>
                      <w:i/>
                      <w:iCs/>
                      <w:sz w:val="16"/>
                      <w:szCs w:val="16"/>
                      <w:lang w:eastAsia="lv-LV"/>
                    </w:rPr>
                    <w:t xml:space="preserve"> plaušu slimības</w:t>
                  </w:r>
                  <w:r w:rsidRPr="009304AD">
                    <w:rPr>
                      <w:rFonts w:ascii="Times New Roman" w:eastAsia="Times New Roman" w:hAnsi="Times New Roman" w:cs="Times New Roman"/>
                      <w:sz w:val="16"/>
                      <w:szCs w:val="16"/>
                      <w:lang w:eastAsia="lv-LV"/>
                    </w:rPr>
                    <w:t xml:space="preserve"> (J84)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13F6110F"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1F92B89"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F0824BA"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4 318</w:t>
                  </w:r>
                </w:p>
              </w:tc>
            </w:tr>
            <w:tr w14:paraId="4B4BF323" w14:textId="77777777" w:rsidTr="00F841CC">
              <w:tblPrEx>
                <w:tblW w:w="7823" w:type="dxa"/>
                <w:tblLayout w:type="fixed"/>
                <w:tblLook w:val="04A0"/>
              </w:tblPrEx>
              <w:trPr>
                <w:trHeight w:val="10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4C8792A8"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08122062"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3A7111EA"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EC90E55"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47.98</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237A1EE"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4 318</w:t>
                  </w:r>
                </w:p>
              </w:tc>
            </w:tr>
            <w:tr w14:paraId="72029B50" w14:textId="77777777" w:rsidTr="00F841CC">
              <w:tblPrEx>
                <w:tblW w:w="7823" w:type="dxa"/>
                <w:tblLayout w:type="fixed"/>
                <w:tblLook w:val="04A0"/>
              </w:tblPrEx>
              <w:trPr>
                <w:trHeight w:val="176"/>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3BBB7116"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20EE3DFF"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ECD33C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14858D2"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95.96</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F84501F"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8 636</w:t>
                  </w:r>
                </w:p>
              </w:tc>
            </w:tr>
            <w:tr w14:paraId="44E67207" w14:textId="77777777" w:rsidTr="00F841CC">
              <w:tblPrEx>
                <w:tblW w:w="7823" w:type="dxa"/>
                <w:tblLayout w:type="fixed"/>
                <w:tblLook w:val="04A0"/>
              </w:tblPrEx>
              <w:trPr>
                <w:trHeight w:val="343"/>
              </w:trPr>
              <w:tc>
                <w:tcPr>
                  <w:tcW w:w="3666"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690D3509"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Sarkoidoze</w:t>
                  </w:r>
                  <w:r w:rsidRPr="009304AD">
                    <w:rPr>
                      <w:rFonts w:ascii="Times New Roman" w:eastAsia="Times New Roman" w:hAnsi="Times New Roman" w:cs="Times New Roman"/>
                      <w:sz w:val="16"/>
                      <w:szCs w:val="16"/>
                      <w:lang w:eastAsia="lv-LV"/>
                    </w:rPr>
                    <w:t xml:space="preserve"> (D86)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3AB8868B"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40E480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2EE23F6"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3 241</w:t>
                  </w:r>
                </w:p>
              </w:tc>
            </w:tr>
            <w:tr w14:paraId="228A234D" w14:textId="77777777" w:rsidTr="00F841CC">
              <w:tblPrEx>
                <w:tblW w:w="7823" w:type="dxa"/>
                <w:tblLayout w:type="fixed"/>
                <w:tblLook w:val="04A0"/>
              </w:tblPrEx>
              <w:trPr>
                <w:trHeight w:val="87"/>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57B15254"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48B04DE9"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EA9C4FA"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1F682C9"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26.35</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9043C4D"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3 241</w:t>
                  </w:r>
                </w:p>
              </w:tc>
            </w:tr>
            <w:tr w14:paraId="1EB159D7" w14:textId="77777777" w:rsidTr="00F841CC">
              <w:tblPrEx>
                <w:tblW w:w="7823" w:type="dxa"/>
                <w:tblLayout w:type="fixed"/>
                <w:tblLook w:val="04A0"/>
              </w:tblPrEx>
              <w:trPr>
                <w:trHeight w:val="16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287905D5"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45E19372"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79E258CC"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7B7588E2"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52.70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7115331"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6 482</w:t>
                  </w:r>
                </w:p>
              </w:tc>
            </w:tr>
            <w:tr w14:paraId="70D51A0B" w14:textId="77777777" w:rsidTr="00F841CC">
              <w:tblPrEx>
                <w:tblW w:w="7823" w:type="dxa"/>
                <w:tblLayout w:type="fixed"/>
                <w:tblLook w:val="04A0"/>
              </w:tblPrEx>
              <w:trPr>
                <w:trHeight w:val="300"/>
              </w:trPr>
              <w:tc>
                <w:tcPr>
                  <w:tcW w:w="6357"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2941F5" w:rsidRPr="009304AD" w:rsidP="00F841CC" w14:paraId="14D05B2F" w14:textId="77777777">
                  <w:pPr>
                    <w:spacing w:after="0" w:line="240" w:lineRule="auto"/>
                    <w:rPr>
                      <w:rFonts w:ascii="Times New Roman" w:eastAsia="Times New Roman" w:hAnsi="Times New Roman" w:cs="Times New Roman"/>
                      <w:color w:val="000000"/>
                      <w:sz w:val="16"/>
                      <w:szCs w:val="16"/>
                      <w:lang w:eastAsia="lv-LV"/>
                    </w:rPr>
                  </w:pPr>
                  <w:r w:rsidRPr="009304AD">
                    <w:rPr>
                      <w:rFonts w:ascii="Times New Roman" w:eastAsia="Times New Roman" w:hAnsi="Times New Roman" w:cs="Times New Roman"/>
                      <w:color w:val="000000"/>
                      <w:sz w:val="16"/>
                      <w:szCs w:val="16"/>
                      <w:lang w:eastAsia="lv-LV"/>
                    </w:rPr>
                    <w:t xml:space="preserve">Kopā, </w:t>
                  </w:r>
                  <w:r w:rsidRPr="009304AD">
                    <w:rPr>
                      <w:rFonts w:ascii="Times New Roman" w:eastAsia="Times New Roman" w:hAnsi="Times New Roman" w:cs="Times New Roman"/>
                      <w:i/>
                      <w:color w:val="000000"/>
                      <w:sz w:val="16"/>
                      <w:szCs w:val="16"/>
                      <w:lang w:eastAsia="lv-LV"/>
                    </w:rPr>
                    <w:t>euro</w:t>
                  </w:r>
                  <w:r w:rsidRPr="009304AD">
                    <w:rPr>
                      <w:rFonts w:ascii="Times New Roman" w:eastAsia="Times New Roman" w:hAnsi="Times New Roman" w:cs="Times New Roman"/>
                      <w:color w:val="000000"/>
                      <w:sz w:val="16"/>
                      <w:szCs w:val="16"/>
                      <w:lang w:eastAsia="lv-LV"/>
                    </w:rPr>
                    <w:t>:</w:t>
                  </w:r>
                </w:p>
              </w:tc>
              <w:tc>
                <w:tcPr>
                  <w:tcW w:w="1466" w:type="dxa"/>
                  <w:tcBorders>
                    <w:top w:val="nil"/>
                    <w:left w:val="nil"/>
                    <w:bottom w:val="single" w:sz="4" w:space="0" w:color="auto"/>
                    <w:right w:val="single" w:sz="4" w:space="0" w:color="auto"/>
                  </w:tcBorders>
                  <w:shd w:val="clear" w:color="auto" w:fill="E7E6E6" w:themeFill="background2"/>
                  <w:noWrap/>
                  <w:vAlign w:val="bottom"/>
                  <w:hideMark/>
                </w:tcPr>
                <w:p w:rsidR="002941F5" w:rsidRPr="009304AD" w:rsidP="00F841CC" w14:paraId="1846D7E5" w14:textId="77777777">
                  <w:pPr>
                    <w:spacing w:after="0" w:line="240" w:lineRule="auto"/>
                    <w:jc w:val="center"/>
                    <w:rPr>
                      <w:rFonts w:ascii="Times New Roman" w:eastAsia="Times New Roman" w:hAnsi="Times New Roman" w:cs="Times New Roman"/>
                      <w:b/>
                      <w:bCs/>
                      <w:color w:val="000000"/>
                      <w:sz w:val="16"/>
                      <w:szCs w:val="16"/>
                      <w:lang w:eastAsia="lv-LV"/>
                    </w:rPr>
                  </w:pPr>
                  <w:r w:rsidRPr="009304AD">
                    <w:rPr>
                      <w:rFonts w:ascii="Times New Roman" w:eastAsia="Times New Roman" w:hAnsi="Times New Roman" w:cs="Times New Roman"/>
                      <w:b/>
                      <w:bCs/>
                      <w:color w:val="000000"/>
                      <w:sz w:val="16"/>
                      <w:szCs w:val="16"/>
                      <w:lang w:eastAsia="lv-LV"/>
                    </w:rPr>
                    <w:t>7 919</w:t>
                  </w:r>
                </w:p>
              </w:tc>
            </w:tr>
          </w:tbl>
          <w:p w:rsidR="002941F5" w:rsidP="00F841CC" w14:paraId="3A551E7E" w14:textId="77777777">
            <w:pPr>
              <w:spacing w:after="0" w:line="240" w:lineRule="auto"/>
              <w:jc w:val="both"/>
              <w:rPr>
                <w:rFonts w:ascii="Times New Roman" w:eastAsia="Times New Roman" w:hAnsi="Times New Roman" w:cs="Times New Roman"/>
                <w:iCs/>
                <w:sz w:val="24"/>
                <w:szCs w:val="24"/>
                <w:lang w:eastAsia="lv-LV"/>
              </w:rPr>
            </w:pPr>
          </w:p>
          <w:p w:rsidR="002941F5" w:rsidRPr="00163475" w:rsidP="00F841CC" w14:paraId="6E7FA369" w14:textId="77777777">
            <w:pPr>
              <w:pStyle w:val="ListParagraph"/>
              <w:widowControl w:val="0"/>
              <w:spacing w:after="0" w:line="240" w:lineRule="auto"/>
              <w:ind w:left="96" w:firstLine="387"/>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iCs/>
                <w:sz w:val="24"/>
                <w:szCs w:val="24"/>
                <w:lang w:eastAsia="lv-LV"/>
              </w:rPr>
              <w:t>Noteikumu projekts paredz k</w:t>
            </w:r>
            <w:r w:rsidRPr="003636A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mpensācijas apmēra palielināšanu</w:t>
            </w:r>
            <w:r w:rsidRPr="003636A9">
              <w:rPr>
                <w:rFonts w:ascii="Times New Roman" w:eastAsia="Times New Roman" w:hAnsi="Times New Roman" w:cs="Times New Roman"/>
                <w:iCs/>
                <w:sz w:val="24"/>
                <w:szCs w:val="24"/>
                <w:lang w:eastAsia="lv-LV"/>
              </w:rPr>
              <w:t xml:space="preserve"> atsevišķām kompensējamo zāļu sarak</w:t>
            </w:r>
            <w:r>
              <w:rPr>
                <w:rFonts w:ascii="Times New Roman" w:eastAsia="Times New Roman" w:hAnsi="Times New Roman" w:cs="Times New Roman"/>
                <w:iCs/>
                <w:sz w:val="24"/>
                <w:szCs w:val="24"/>
                <w:lang w:eastAsia="lv-LV"/>
              </w:rPr>
              <w:t>stā iekļautām retām</w:t>
            </w:r>
            <w:r w:rsidRPr="003636A9">
              <w:rPr>
                <w:rFonts w:ascii="Times New Roman" w:eastAsia="Times New Roman" w:hAnsi="Times New Roman" w:cs="Times New Roman"/>
                <w:iCs/>
                <w:sz w:val="24"/>
                <w:szCs w:val="24"/>
                <w:lang w:eastAsia="lv-LV"/>
              </w:rPr>
              <w:t xml:space="preserve"> slimībām </w:t>
            </w:r>
            <w:r>
              <w:rPr>
                <w:rFonts w:ascii="Times New Roman" w:eastAsia="Times New Roman" w:hAnsi="Times New Roman" w:cs="Times New Roman"/>
                <w:b/>
                <w:iCs/>
                <w:sz w:val="24"/>
                <w:szCs w:val="24"/>
                <w:lang w:eastAsia="lv-LV"/>
              </w:rPr>
              <w:t>21 812 </w:t>
            </w:r>
            <w:r w:rsidRPr="004A4633">
              <w:rPr>
                <w:rFonts w:ascii="Times New Roman" w:eastAsia="Times New Roman" w:hAnsi="Times New Roman" w:cs="Times New Roman"/>
                <w:b/>
                <w:i/>
                <w:iCs/>
                <w:sz w:val="24"/>
                <w:szCs w:val="24"/>
                <w:lang w:eastAsia="lv-LV"/>
              </w:rPr>
              <w:t>euro</w:t>
            </w:r>
            <w:r>
              <w:rPr>
                <w:rFonts w:ascii="Times New Roman" w:eastAsia="Times New Roman" w:hAnsi="Times New Roman" w:cs="Times New Roman"/>
                <w:iCs/>
                <w:sz w:val="24"/>
                <w:szCs w:val="24"/>
                <w:lang w:eastAsia="lv-LV"/>
              </w:rPr>
              <w:t xml:space="preserve"> apm</w:t>
            </w:r>
            <w:r w:rsidRPr="003636A9">
              <w:rPr>
                <w:rFonts w:ascii="Times New Roman" w:eastAsia="Times New Roman" w:hAnsi="Times New Roman" w:cs="Times New Roman"/>
                <w:iCs/>
                <w:sz w:val="24"/>
                <w:szCs w:val="24"/>
                <w:lang w:eastAsia="lv-LV"/>
              </w:rPr>
              <w:t>ērā</w:t>
            </w:r>
            <w:r>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shd w:val="clear" w:color="auto" w:fill="FFFFFF"/>
                <w:lang w:eastAsia="lv-LV" w:bidi="lv-LV"/>
              </w:rPr>
              <w:t xml:space="preserve"> Ņemot vērā to, ka aprēķins </w:t>
            </w:r>
            <w:r>
              <w:rPr>
                <w:rFonts w:ascii="Times New Roman" w:eastAsia="Times New Roman" w:hAnsi="Times New Roman" w:cs="Times New Roman"/>
                <w:iCs/>
                <w:sz w:val="24"/>
                <w:szCs w:val="24"/>
                <w:lang w:eastAsia="lv-LV"/>
              </w:rPr>
              <w:t>k</w:t>
            </w:r>
            <w:r w:rsidRPr="003636A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mpensācijas apmēra palielināšanai</w:t>
            </w:r>
            <w:r w:rsidRPr="003636A9">
              <w:rPr>
                <w:rFonts w:ascii="Times New Roman" w:eastAsia="Times New Roman" w:hAnsi="Times New Roman" w:cs="Times New Roman"/>
                <w:iCs/>
                <w:sz w:val="24"/>
                <w:szCs w:val="24"/>
                <w:lang w:eastAsia="lv-LV"/>
              </w:rPr>
              <w:t xml:space="preserve"> atsevišķām kompensējamo zāļu sarak</w:t>
            </w:r>
            <w:r>
              <w:rPr>
                <w:rFonts w:ascii="Times New Roman" w:eastAsia="Times New Roman" w:hAnsi="Times New Roman" w:cs="Times New Roman"/>
                <w:iCs/>
                <w:sz w:val="24"/>
                <w:szCs w:val="24"/>
                <w:lang w:eastAsia="lv-LV"/>
              </w:rPr>
              <w:t xml:space="preserve">stā iekļautām retām </w:t>
            </w:r>
            <w:r w:rsidRPr="003636A9">
              <w:rPr>
                <w:rFonts w:ascii="Times New Roman" w:eastAsia="Times New Roman" w:hAnsi="Times New Roman" w:cs="Times New Roman"/>
                <w:iCs/>
                <w:sz w:val="24"/>
                <w:szCs w:val="24"/>
                <w:lang w:eastAsia="lv-LV"/>
              </w:rPr>
              <w:t xml:space="preserve"> slimībām</w:t>
            </w:r>
            <w:r>
              <w:rPr>
                <w:rFonts w:ascii="Times New Roman" w:eastAsia="Times New Roman" w:hAnsi="Times New Roman" w:cs="Times New Roman"/>
                <w:iCs/>
                <w:sz w:val="24"/>
                <w:szCs w:val="24"/>
                <w:lang w:eastAsia="lv-LV"/>
              </w:rPr>
              <w:t xml:space="preserve"> ir veikts 2018. gadam,  skat., tabulu Nr.3, tad 2018.gada 2.pusgadam noteikumu projekts paredz 21 812 </w:t>
            </w:r>
            <w:r w:rsidRPr="00E34BF3">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(43 624 (prognozētais papildus finansējums 2018.gadam) : 2 = 21 812 </w:t>
            </w:r>
            <w:r w:rsidRPr="004E34FB">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w:t>
            </w:r>
            <w:r w:rsidRPr="003636A9">
              <w:rPr>
                <w:rFonts w:ascii="Times New Roman" w:eastAsia="Times New Roman" w:hAnsi="Times New Roman" w:cs="Times New Roman"/>
                <w:iCs/>
                <w:sz w:val="24"/>
                <w:szCs w:val="24"/>
                <w:lang w:eastAsia="lv-LV"/>
              </w:rPr>
              <w:t xml:space="preserve">Iepriekšminētais pasākums tiks īstenots </w:t>
            </w:r>
            <w:r w:rsidRPr="003636A9">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ietvaros.</w:t>
            </w:r>
          </w:p>
          <w:p w:rsidR="002941F5" w:rsidRPr="000363A3" w:rsidP="00F841CC" w14:paraId="31ACD29B"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Nr.3</w:t>
            </w:r>
          </w:p>
          <w:tbl>
            <w:tblPr>
              <w:tblW w:w="7989" w:type="dxa"/>
              <w:tblLayout w:type="fixed"/>
              <w:tblLook w:val="04A0"/>
            </w:tblPr>
            <w:tblGrid>
              <w:gridCol w:w="497"/>
              <w:gridCol w:w="3452"/>
              <w:gridCol w:w="1120"/>
              <w:gridCol w:w="1360"/>
              <w:gridCol w:w="1560"/>
            </w:tblGrid>
            <w:tr w14:paraId="535E1306" w14:textId="77777777" w:rsidTr="00F841CC">
              <w:tblPrEx>
                <w:tblW w:w="7989" w:type="dxa"/>
                <w:tblLayout w:type="fixed"/>
                <w:tblLook w:val="04A0"/>
              </w:tblPrEx>
              <w:trPr>
                <w:trHeight w:val="960"/>
              </w:trPr>
              <w:tc>
                <w:tcPr>
                  <w:tcW w:w="3949"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9304AD" w:rsidP="00F841CC" w14:paraId="4E1847AB" w14:textId="77777777">
                  <w:pPr>
                    <w:spacing w:after="0" w:line="240" w:lineRule="auto"/>
                    <w:jc w:val="center"/>
                    <w:rPr>
                      <w:rFonts w:ascii="Times New Roman" w:eastAsia="Times New Roman" w:hAnsi="Times New Roman" w:cs="Times New Roman"/>
                      <w:b/>
                      <w:bCs/>
                      <w:sz w:val="16"/>
                      <w:szCs w:val="16"/>
                      <w:lang w:eastAsia="lv-LV"/>
                    </w:rPr>
                  </w:pPr>
                  <w:r w:rsidRPr="009304AD">
                    <w:rPr>
                      <w:rFonts w:ascii="Times New Roman" w:eastAsia="Times New Roman" w:hAnsi="Times New Roman" w:cs="Times New Roman"/>
                      <w:b/>
                      <w:bCs/>
                      <w:sz w:val="16"/>
                      <w:szCs w:val="16"/>
                      <w:lang w:eastAsia="lv-LV"/>
                    </w:rPr>
                    <w:t> </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1482504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Unikālo pacientu skaits 2017. gadā</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664E6F82"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Vidējās izmaksas uz 1 pacientu, </w:t>
                  </w:r>
                  <w:r w:rsidRPr="009304AD">
                    <w:rPr>
                      <w:rFonts w:ascii="Times New Roman" w:eastAsia="Times New Roman" w:hAnsi="Times New Roman" w:cs="Times New Roman"/>
                      <w:i/>
                      <w:iCs/>
                      <w:sz w:val="16"/>
                      <w:szCs w:val="16"/>
                      <w:lang w:eastAsia="lv-LV"/>
                    </w:rPr>
                    <w:t>euro</w:t>
                  </w:r>
                </w:p>
              </w:tc>
              <w:tc>
                <w:tcPr>
                  <w:tcW w:w="1560" w:type="dxa"/>
                  <w:tcBorders>
                    <w:top w:val="single" w:sz="4" w:space="0" w:color="auto"/>
                    <w:left w:val="nil"/>
                    <w:bottom w:val="single" w:sz="4" w:space="0" w:color="auto"/>
                    <w:right w:val="single" w:sz="4" w:space="0" w:color="auto"/>
                  </w:tcBorders>
                  <w:shd w:val="clear" w:color="auto" w:fill="FFC000"/>
                  <w:vAlign w:val="center"/>
                  <w:hideMark/>
                </w:tcPr>
                <w:p w:rsidR="002941F5" w:rsidRPr="009304AD" w:rsidP="00F841CC" w14:paraId="6A18C583"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Prognozētais nepieciešamais </w:t>
                  </w:r>
                  <w:r w:rsidRPr="009304AD">
                    <w:rPr>
                      <w:rFonts w:ascii="Times New Roman" w:eastAsia="Times New Roman" w:hAnsi="Times New Roman" w:cs="Times New Roman"/>
                      <w:sz w:val="16"/>
                      <w:szCs w:val="16"/>
                      <w:lang w:eastAsia="lv-LV"/>
                    </w:rPr>
                    <w:br/>
                    <w:t xml:space="preserve">finansējums, </w:t>
                  </w:r>
                  <w:r w:rsidRPr="009304AD">
                    <w:rPr>
                      <w:rFonts w:ascii="Times New Roman" w:eastAsia="Times New Roman" w:hAnsi="Times New Roman" w:cs="Times New Roman"/>
                      <w:i/>
                      <w:iCs/>
                      <w:sz w:val="16"/>
                      <w:szCs w:val="16"/>
                      <w:lang w:eastAsia="lv-LV"/>
                    </w:rPr>
                    <w:t>euro</w:t>
                  </w:r>
                  <w:r w:rsidRPr="009304AD">
                    <w:rPr>
                      <w:rFonts w:ascii="Times New Roman" w:eastAsia="Times New Roman" w:hAnsi="Times New Roman" w:cs="Times New Roman"/>
                      <w:sz w:val="16"/>
                      <w:szCs w:val="16"/>
                      <w:lang w:eastAsia="lv-LV"/>
                    </w:rPr>
                    <w:t>gadā</w:t>
                  </w:r>
                </w:p>
              </w:tc>
            </w:tr>
            <w:tr w14:paraId="60793EAE" w14:textId="77777777" w:rsidTr="00F841CC">
              <w:tblPrEx>
                <w:tblW w:w="7989" w:type="dxa"/>
                <w:tblLayout w:type="fixed"/>
                <w:tblLook w:val="04A0"/>
              </w:tblPrEx>
              <w:trPr>
                <w:trHeight w:val="369"/>
              </w:trPr>
              <w:tc>
                <w:tcPr>
                  <w:tcW w:w="3949"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5B0C9E40"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Motorā neirona slimībai</w:t>
                  </w:r>
                  <w:r w:rsidRPr="009304AD">
                    <w:rPr>
                      <w:rFonts w:ascii="Times New Roman" w:eastAsia="Times New Roman" w:hAnsi="Times New Roman" w:cs="Times New Roman"/>
                      <w:sz w:val="16"/>
                      <w:szCs w:val="16"/>
                      <w:lang w:eastAsia="lv-LV"/>
                    </w:rPr>
                    <w:t xml:space="preserve"> (G12.2)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0E1FEB9F"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54</w:t>
                  </w:r>
                </w:p>
              </w:tc>
              <w:tc>
                <w:tcPr>
                  <w:tcW w:w="1360"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799EFB9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326BEF9"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35 048</w:t>
                  </w:r>
                </w:p>
              </w:tc>
            </w:tr>
            <w:tr w14:paraId="05F29D7A" w14:textId="77777777" w:rsidTr="00F841CC">
              <w:tblPrEx>
                <w:tblW w:w="7989" w:type="dxa"/>
                <w:tblLayout w:type="fixed"/>
                <w:tblLook w:val="04A0"/>
              </w:tblPrEx>
              <w:trPr>
                <w:trHeight w:val="199"/>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26668C74"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4726FF8E"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3E26B404"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DD4D79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649.05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95FA96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35 048</w:t>
                  </w:r>
                </w:p>
              </w:tc>
            </w:tr>
            <w:tr w14:paraId="5C3D8A3E" w14:textId="77777777" w:rsidTr="00F841CC">
              <w:tblPrEx>
                <w:tblW w:w="7989" w:type="dxa"/>
                <w:tblLayout w:type="fixed"/>
                <w:tblLook w:val="04A0"/>
              </w:tblPrEx>
              <w:trPr>
                <w:trHeight w:val="131"/>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4790089E"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7BA7712F"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1AE0578"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C14ADEC"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1 298.09</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70613510"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70 097</w:t>
                  </w:r>
                </w:p>
              </w:tc>
            </w:tr>
            <w:tr w14:paraId="7F0AFF00" w14:textId="77777777" w:rsidTr="00F841CC">
              <w:tblPrEx>
                <w:tblW w:w="7989" w:type="dxa"/>
                <w:tblLayout w:type="fixed"/>
                <w:tblLook w:val="04A0"/>
              </w:tblPrEx>
              <w:trPr>
                <w:trHeight w:val="309"/>
              </w:trPr>
              <w:tc>
                <w:tcPr>
                  <w:tcW w:w="3949"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3FED47DD"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Hantingtona</w:t>
                  </w:r>
                  <w:r w:rsidRPr="009304AD">
                    <w:rPr>
                      <w:rFonts w:ascii="Times New Roman" w:eastAsia="Times New Roman" w:hAnsi="Times New Roman" w:cs="Times New Roman"/>
                      <w:i/>
                      <w:iCs/>
                      <w:sz w:val="16"/>
                      <w:szCs w:val="16"/>
                      <w:lang w:eastAsia="lv-LV"/>
                    </w:rPr>
                    <w:t xml:space="preserve"> horejai </w:t>
                  </w:r>
                  <w:r w:rsidRPr="009304AD">
                    <w:rPr>
                      <w:rFonts w:ascii="Times New Roman" w:eastAsia="Times New Roman" w:hAnsi="Times New Roman" w:cs="Times New Roman"/>
                      <w:sz w:val="16"/>
                      <w:szCs w:val="16"/>
                      <w:lang w:eastAsia="lv-LV"/>
                    </w:rPr>
                    <w:t>(G10)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0CEAACE0"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1F6BAB5"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165877A"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1 094</w:t>
                  </w:r>
                </w:p>
              </w:tc>
            </w:tr>
            <w:tr w14:paraId="0AC8E4A0" w14:textId="77777777" w:rsidTr="00F841CC">
              <w:tblPrEx>
                <w:tblW w:w="7989" w:type="dxa"/>
                <w:tblLayout w:type="fixed"/>
                <w:tblLook w:val="04A0"/>
              </w:tblPrEx>
              <w:trPr>
                <w:trHeight w:val="271"/>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63E59F3B"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7B1A7A90"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1DCE83D"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2C644CD"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49.73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B4A41BE"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1 094</w:t>
                  </w:r>
                </w:p>
              </w:tc>
            </w:tr>
            <w:tr w14:paraId="17FE6DA9" w14:textId="77777777" w:rsidTr="00F841CC">
              <w:tblPrEx>
                <w:tblW w:w="7989" w:type="dxa"/>
                <w:tblLayout w:type="fixed"/>
                <w:tblLook w:val="04A0"/>
              </w:tblPrEx>
              <w:trPr>
                <w:trHeight w:val="133"/>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57F7965B"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504FFECB"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7EE9481"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06C3DBC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99.45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2D31CA3"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2 188</w:t>
                  </w:r>
                </w:p>
              </w:tc>
            </w:tr>
            <w:tr w14:paraId="552BEFB3" w14:textId="77777777" w:rsidTr="00F841CC">
              <w:tblPrEx>
                <w:tblW w:w="7989" w:type="dxa"/>
                <w:tblLayout w:type="fixed"/>
                <w:tblLook w:val="04A0"/>
              </w:tblPrEx>
              <w:trPr>
                <w:trHeight w:val="435"/>
              </w:trPr>
              <w:tc>
                <w:tcPr>
                  <w:tcW w:w="3949"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9304AD" w:rsidP="00F841CC" w14:paraId="16C1BB12"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xml:space="preserve">Kompensācijas apmēra palielināšana </w:t>
                  </w:r>
                  <w:r w:rsidRPr="009304AD">
                    <w:rPr>
                      <w:rFonts w:ascii="Times New Roman" w:eastAsia="Times New Roman" w:hAnsi="Times New Roman" w:cs="Times New Roman"/>
                      <w:i/>
                      <w:iCs/>
                      <w:sz w:val="16"/>
                      <w:szCs w:val="16"/>
                      <w:lang w:eastAsia="lv-LV"/>
                    </w:rPr>
                    <w:t>Vara vielmaiņas traucējumiem</w:t>
                  </w:r>
                  <w:r>
                    <w:rPr>
                      <w:rFonts w:ascii="Times New Roman" w:eastAsia="Times New Roman" w:hAnsi="Times New Roman" w:cs="Times New Roman"/>
                      <w:sz w:val="16"/>
                      <w:szCs w:val="16"/>
                      <w:lang w:eastAsia="lv-LV"/>
                    </w:rPr>
                    <w:t xml:space="preserve"> (E83</w:t>
                  </w:r>
                  <w:r w:rsidRPr="009304AD">
                    <w:rPr>
                      <w:rFonts w:ascii="Times New Roman" w:eastAsia="Times New Roman" w:hAnsi="Times New Roman" w:cs="Times New Roman"/>
                      <w:sz w:val="16"/>
                      <w:szCs w:val="16"/>
                      <w:lang w:eastAsia="lv-LV"/>
                    </w:rPr>
                    <w:t>) no 75%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rsidR="002941F5" w:rsidRPr="009304AD" w:rsidP="00F841CC" w14:paraId="213270BE"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56</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71BDC4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72DE4C8F"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7 482</w:t>
                  </w:r>
                </w:p>
              </w:tc>
            </w:tr>
            <w:tr w14:paraId="6718AF3B" w14:textId="77777777" w:rsidTr="00F841CC">
              <w:tblPrEx>
                <w:tblW w:w="7989" w:type="dxa"/>
                <w:tblLayout w:type="fixed"/>
                <w:tblLook w:val="04A0"/>
              </w:tblPrEx>
              <w:trPr>
                <w:trHeight w:val="232"/>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119799A5"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7FEE0CD4"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A6F2290"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48DF0C3"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677.57</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45A4BC0"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4 743</w:t>
                  </w:r>
                </w:p>
              </w:tc>
            </w:tr>
            <w:tr w14:paraId="0F541361" w14:textId="77777777" w:rsidTr="00F841CC">
              <w:tblPrEx>
                <w:tblW w:w="7989" w:type="dxa"/>
                <w:tblLayout w:type="fixed"/>
                <w:tblLook w:val="04A0"/>
              </w:tblPrEx>
              <w:trPr>
                <w:trHeight w:val="149"/>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9304AD" w:rsidP="00F841CC" w14:paraId="39076A43"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9304AD" w:rsidP="00F841CC" w14:paraId="6C846188"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D9E8C6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367D17C5"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903.43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7805BDED"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6 324</w:t>
                  </w:r>
                </w:p>
              </w:tc>
            </w:tr>
            <w:tr w14:paraId="6335923A" w14:textId="77777777" w:rsidTr="00F841CC">
              <w:tblPrEx>
                <w:tblW w:w="7989" w:type="dxa"/>
                <w:tblLayout w:type="fixed"/>
                <w:tblLook w:val="04A0"/>
              </w:tblPrEx>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2941F5" w:rsidRPr="009304AD" w:rsidP="00F841CC" w14:paraId="27782178"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46A8B908"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1CF49D6"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18508018"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361.31</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634EDB0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17 704</w:t>
                  </w:r>
                </w:p>
              </w:tc>
            </w:tr>
            <w:tr w14:paraId="798A1A47" w14:textId="77777777" w:rsidTr="00F841CC">
              <w:tblPrEx>
                <w:tblW w:w="7989" w:type="dxa"/>
                <w:tblLayout w:type="fixed"/>
                <w:tblLook w:val="04A0"/>
              </w:tblPrEx>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2941F5" w:rsidRPr="009304AD" w:rsidP="00F841CC" w14:paraId="1937B07C"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 </w:t>
                  </w:r>
                </w:p>
              </w:tc>
              <w:tc>
                <w:tcPr>
                  <w:tcW w:w="3452"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087A50BA" w14:textId="77777777">
                  <w:pPr>
                    <w:spacing w:after="0" w:line="240" w:lineRule="auto"/>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5777B494"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265776C5"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481.74</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047437B7" w14:textId="77777777">
                  <w:pPr>
                    <w:spacing w:after="0" w:line="240" w:lineRule="auto"/>
                    <w:jc w:val="center"/>
                    <w:rPr>
                      <w:rFonts w:ascii="Times New Roman" w:eastAsia="Times New Roman" w:hAnsi="Times New Roman" w:cs="Times New Roman"/>
                      <w:sz w:val="16"/>
                      <w:szCs w:val="16"/>
                      <w:lang w:eastAsia="lv-LV"/>
                    </w:rPr>
                  </w:pPr>
                  <w:r w:rsidRPr="009304AD">
                    <w:rPr>
                      <w:rFonts w:ascii="Times New Roman" w:eastAsia="Times New Roman" w:hAnsi="Times New Roman" w:cs="Times New Roman"/>
                      <w:sz w:val="16"/>
                      <w:szCs w:val="16"/>
                      <w:lang w:eastAsia="lv-LV"/>
                    </w:rPr>
                    <w:t>23 605</w:t>
                  </w:r>
                </w:p>
              </w:tc>
            </w:tr>
            <w:tr w14:paraId="3132386F" w14:textId="77777777" w:rsidTr="00F841CC">
              <w:tblPrEx>
                <w:tblW w:w="7989" w:type="dxa"/>
                <w:tblLayout w:type="fixed"/>
                <w:tblLook w:val="04A0"/>
              </w:tblPrEx>
              <w:trPr>
                <w:trHeight w:val="300"/>
              </w:trPr>
              <w:tc>
                <w:tcPr>
                  <w:tcW w:w="6429"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rsidR="002941F5" w:rsidRPr="009304AD" w:rsidP="00F841CC" w14:paraId="421F1BD7" w14:textId="77777777">
                  <w:pPr>
                    <w:spacing w:after="0" w:line="240" w:lineRule="auto"/>
                    <w:rPr>
                      <w:rFonts w:ascii="Times New Roman" w:eastAsia="Times New Roman" w:hAnsi="Times New Roman" w:cs="Times New Roman"/>
                      <w:color w:val="000000"/>
                      <w:sz w:val="16"/>
                      <w:szCs w:val="16"/>
                      <w:lang w:eastAsia="lv-LV"/>
                    </w:rPr>
                  </w:pPr>
                  <w:r w:rsidRPr="009304AD">
                    <w:rPr>
                      <w:rFonts w:ascii="Times New Roman" w:eastAsia="Times New Roman" w:hAnsi="Times New Roman" w:cs="Times New Roman"/>
                      <w:color w:val="000000"/>
                      <w:sz w:val="16"/>
                      <w:szCs w:val="16"/>
                      <w:lang w:eastAsia="lv-LV"/>
                    </w:rPr>
                    <w:t xml:space="preserve">Kopā, </w:t>
                  </w:r>
                  <w:r w:rsidRPr="009304AD">
                    <w:rPr>
                      <w:rFonts w:ascii="Times New Roman" w:eastAsia="Times New Roman" w:hAnsi="Times New Roman" w:cs="Times New Roman"/>
                      <w:i/>
                      <w:iCs/>
                      <w:color w:val="000000"/>
                      <w:sz w:val="16"/>
                      <w:szCs w:val="16"/>
                      <w:lang w:eastAsia="lv-LV"/>
                    </w:rPr>
                    <w:t>euro</w:t>
                  </w:r>
                  <w:r w:rsidRPr="009304AD">
                    <w:rPr>
                      <w:rFonts w:ascii="Times New Roman" w:eastAsia="Times New Roman" w:hAnsi="Times New Roman" w:cs="Times New Roman"/>
                      <w:i/>
                      <w:iCs/>
                      <w:color w:val="000000"/>
                      <w:sz w:val="16"/>
                      <w:szCs w:val="16"/>
                      <w:lang w:eastAsia="lv-LV"/>
                    </w:rPr>
                    <w:t>:</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rsidR="002941F5" w:rsidRPr="009304AD" w:rsidP="00F841CC" w14:paraId="3E7BDF4C" w14:textId="77777777">
                  <w:pPr>
                    <w:spacing w:after="0" w:line="240" w:lineRule="auto"/>
                    <w:jc w:val="center"/>
                    <w:rPr>
                      <w:rFonts w:ascii="Times New Roman" w:eastAsia="Times New Roman" w:hAnsi="Times New Roman" w:cs="Times New Roman"/>
                      <w:b/>
                      <w:bCs/>
                      <w:color w:val="000000"/>
                      <w:sz w:val="16"/>
                      <w:szCs w:val="16"/>
                      <w:lang w:eastAsia="lv-LV"/>
                    </w:rPr>
                  </w:pPr>
                  <w:r w:rsidRPr="009304AD">
                    <w:rPr>
                      <w:rFonts w:ascii="Times New Roman" w:eastAsia="Times New Roman" w:hAnsi="Times New Roman" w:cs="Times New Roman"/>
                      <w:b/>
                      <w:bCs/>
                      <w:color w:val="000000"/>
                      <w:sz w:val="16"/>
                      <w:szCs w:val="16"/>
                      <w:lang w:eastAsia="lv-LV"/>
                    </w:rPr>
                    <w:t>43 624</w:t>
                  </w:r>
                </w:p>
              </w:tc>
            </w:tr>
          </w:tbl>
          <w:p w:rsidR="002941F5" w:rsidP="00F841CC" w14:paraId="6EABBB49" w14:textId="77777777">
            <w:pPr>
              <w:pStyle w:val="NormalWeb"/>
              <w:shd w:val="clear" w:color="auto" w:fill="FFFFFF"/>
              <w:spacing w:before="0" w:beforeAutospacing="0" w:after="0" w:afterAutospacing="0"/>
              <w:ind w:firstLine="720"/>
              <w:jc w:val="both"/>
              <w:rPr>
                <w:noProof/>
              </w:rPr>
            </w:pPr>
            <w:r>
              <w:rPr>
                <w:color w:val="000000"/>
              </w:rPr>
              <w:t xml:space="preserve">Saskaņā ar Ministru kabineta 2006.gada 31.oktobra noteikumu Nr.899 “Ambulatorajai ārstēšanai paredzēto zāļu  un medicīnisko ierīču iegādes izdevumu kompensācijas kārtība” 92.punktu Nacionālajam veselības dienestam ir tiesības pieņemt lēmumu par zāļu kompensāciju individuālos gadījumos, ja diagnoze vai zāles nav iekļautas zāļu kompensācijas sistēmā. Individuālās kompensācijas gadījumi tiek segti no apakšprogrammas </w:t>
            </w:r>
            <w:r w:rsidRPr="000663D3">
              <w:rPr>
                <w:noProof/>
              </w:rPr>
              <w:t>33.03.00 “Kompensējamo medikamentu un materiālu apmaksāšana”</w:t>
            </w:r>
            <w:r>
              <w:rPr>
                <w:noProof/>
              </w:rPr>
              <w:t xml:space="preserve">. </w:t>
            </w:r>
          </w:p>
          <w:p w:rsidR="002941F5" w:rsidP="00F841CC" w14:paraId="4D3CCBDE" w14:textId="77777777">
            <w:pPr>
              <w:pStyle w:val="NormalWeb"/>
              <w:shd w:val="clear" w:color="auto" w:fill="FFFFFF"/>
              <w:spacing w:before="0" w:beforeAutospacing="0" w:after="0" w:afterAutospacing="0"/>
              <w:ind w:firstLine="720"/>
              <w:jc w:val="both"/>
              <w:rPr>
                <w:noProof/>
              </w:rPr>
            </w:pPr>
            <w:r>
              <w:rPr>
                <w:color w:val="000000"/>
              </w:rPr>
              <w:t xml:space="preserve">2017.gadā apakšprogrammā </w:t>
            </w:r>
            <w:r w:rsidRPr="000663D3">
              <w:rPr>
                <w:noProof/>
              </w:rPr>
              <w:t>33.03.00 “Kompensējamo medikamentu un materiālu apmaksāšana”</w:t>
            </w:r>
            <w:r>
              <w:rPr>
                <w:noProof/>
              </w:rPr>
              <w:t xml:space="preserve"> piešķirto 146 308 179 </w:t>
            </w:r>
            <w:r w:rsidRPr="006D0DFC">
              <w:rPr>
                <w:i/>
                <w:noProof/>
              </w:rPr>
              <w:t>euro</w:t>
            </w:r>
            <w:r>
              <w:rPr>
                <w:noProof/>
              </w:rPr>
              <w:t xml:space="preserve"> ietvaros 2% jeb 2 926 164 </w:t>
            </w:r>
            <w:r w:rsidRPr="006D0DFC">
              <w:rPr>
                <w:i/>
                <w:noProof/>
              </w:rPr>
              <w:t>euro</w:t>
            </w:r>
            <w:r>
              <w:rPr>
                <w:noProof/>
              </w:rPr>
              <w:t xml:space="preserve"> tika nodalīti individuālai kompensācijai, apmaksājot zāles kopumā 622 pacientiem, t.sk. 332 pacientiem šādās diagnozēs:</w:t>
            </w:r>
          </w:p>
          <w:p w:rsidR="002941F5" w:rsidP="00F841CC" w14:paraId="3065D04D" w14:textId="77777777">
            <w:pPr>
              <w:pStyle w:val="NormalWeb"/>
              <w:shd w:val="clear" w:color="auto" w:fill="FFFFFF"/>
              <w:spacing w:before="0" w:beforeAutospacing="0" w:after="0" w:afterAutospacing="0"/>
              <w:ind w:firstLine="204"/>
              <w:jc w:val="right"/>
              <w:rPr>
                <w:noProof/>
              </w:rPr>
            </w:pPr>
            <w:r>
              <w:rPr>
                <w:i/>
                <w:iCs/>
              </w:rPr>
              <w:t>Tabula Nr.4</w:t>
            </w:r>
          </w:p>
          <w:tbl>
            <w:tblPr>
              <w:tblW w:w="7289" w:type="dxa"/>
              <w:tblInd w:w="111" w:type="dxa"/>
              <w:tblLayout w:type="fixed"/>
              <w:tblLook w:val="04A0"/>
            </w:tblPr>
            <w:tblGrid>
              <w:gridCol w:w="1080"/>
              <w:gridCol w:w="1210"/>
              <w:gridCol w:w="1495"/>
              <w:gridCol w:w="1116"/>
              <w:gridCol w:w="948"/>
              <w:gridCol w:w="1440"/>
            </w:tblGrid>
            <w:tr w14:paraId="6DD0817D" w14:textId="77777777" w:rsidTr="00F841CC">
              <w:tblPrEx>
                <w:tblW w:w="7289" w:type="dxa"/>
                <w:tblInd w:w="111" w:type="dxa"/>
                <w:tblLayout w:type="fixed"/>
                <w:tblLook w:val="04A0"/>
              </w:tblPrEx>
              <w:trPr>
                <w:trHeight w:val="1140"/>
              </w:trPr>
              <w:tc>
                <w:tcPr>
                  <w:tcW w:w="107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941F5" w:rsidRPr="00327B8F" w:rsidP="00F841CC" w14:paraId="4CF4ECD8"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Diagnoze</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6B2EF042"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Kompensācijas apmērs, plānotais</w:t>
                  </w:r>
                </w:p>
              </w:tc>
              <w:tc>
                <w:tcPr>
                  <w:tcW w:w="1483"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02C4135C"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Individuāli kompensētie medikamenti</w:t>
                  </w:r>
                </w:p>
              </w:tc>
              <w:tc>
                <w:tcPr>
                  <w:tcW w:w="1107"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37275BCE"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Unikālo pacientu skaits 2017. gadā, kas saņēmuši </w:t>
                  </w:r>
                  <w:r w:rsidRPr="00327B8F">
                    <w:rPr>
                      <w:rFonts w:ascii="Times New Roman" w:eastAsia="Times New Roman" w:hAnsi="Times New Roman" w:cs="Times New Roman"/>
                      <w:color w:val="000000"/>
                      <w:sz w:val="16"/>
                      <w:szCs w:val="16"/>
                      <w:lang w:eastAsia="lv-LV"/>
                    </w:rPr>
                    <w:t>individ</w:t>
                  </w:r>
                  <w:r w:rsidRPr="00327B8F">
                    <w:rPr>
                      <w:rFonts w:ascii="Times New Roman" w:eastAsia="Times New Roman" w:hAnsi="Times New Roman" w:cs="Times New Roman"/>
                      <w:color w:val="000000"/>
                      <w:sz w:val="16"/>
                      <w:szCs w:val="16"/>
                      <w:lang w:eastAsia="lv-LV"/>
                    </w:rPr>
                    <w:t>. kompensāciju</w:t>
                  </w:r>
                </w:p>
              </w:tc>
              <w:tc>
                <w:tcPr>
                  <w:tcW w:w="940"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7BF9CE31"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Vidējās izmaksas 1 pacientam gadā, </w:t>
                  </w:r>
                  <w:r w:rsidRPr="00327B8F">
                    <w:rPr>
                      <w:rFonts w:ascii="Times New Roman" w:eastAsia="Times New Roman" w:hAnsi="Times New Roman" w:cs="Times New Roman"/>
                      <w:i/>
                      <w:iCs/>
                      <w:color w:val="000000"/>
                      <w:sz w:val="16"/>
                      <w:szCs w:val="16"/>
                      <w:lang w:eastAsia="lv-LV"/>
                    </w:rPr>
                    <w:t>euro</w:t>
                  </w:r>
                </w:p>
              </w:tc>
              <w:tc>
                <w:tcPr>
                  <w:tcW w:w="1428"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39683546"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Prognozētais nepieciešamais </w:t>
                  </w:r>
                  <w:r w:rsidRPr="00327B8F">
                    <w:rPr>
                      <w:rFonts w:ascii="Times New Roman" w:eastAsia="Times New Roman" w:hAnsi="Times New Roman" w:cs="Times New Roman"/>
                      <w:color w:val="000000"/>
                      <w:sz w:val="16"/>
                      <w:szCs w:val="16"/>
                      <w:lang w:eastAsia="lv-LV"/>
                    </w:rPr>
                    <w:br/>
                    <w:t xml:space="preserve">finansējums, </w:t>
                  </w:r>
                  <w:r w:rsidRPr="00327B8F">
                    <w:rPr>
                      <w:rFonts w:ascii="Times New Roman" w:eastAsia="Times New Roman" w:hAnsi="Times New Roman" w:cs="Times New Roman"/>
                      <w:color w:val="000000"/>
                      <w:sz w:val="16"/>
                      <w:szCs w:val="16"/>
                      <w:lang w:eastAsia="lv-LV"/>
                    </w:rPr>
                    <w:t>euro</w:t>
                  </w:r>
                  <w:r w:rsidRPr="00327B8F">
                    <w:rPr>
                      <w:rFonts w:ascii="Times New Roman" w:eastAsia="Times New Roman" w:hAnsi="Times New Roman" w:cs="Times New Roman"/>
                      <w:color w:val="000000"/>
                      <w:sz w:val="16"/>
                      <w:szCs w:val="16"/>
                      <w:lang w:eastAsia="lv-LV"/>
                    </w:rPr>
                    <w:t xml:space="preserve"> gadā</w:t>
                  </w:r>
                </w:p>
              </w:tc>
            </w:tr>
            <w:tr w14:paraId="5F59FA9F" w14:textId="77777777" w:rsidTr="00F841CC">
              <w:tblPrEx>
                <w:tblW w:w="7289" w:type="dxa"/>
                <w:tblInd w:w="111" w:type="dxa"/>
                <w:tblLayout w:type="fixed"/>
                <w:tblLook w:val="04A0"/>
              </w:tblPrEx>
              <w:trPr>
                <w:trHeight w:val="450"/>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304880D"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Pulmonālā</w:t>
                  </w:r>
                  <w:r w:rsidRPr="00327B8F">
                    <w:rPr>
                      <w:rFonts w:ascii="Times New Roman" w:eastAsia="Times New Roman" w:hAnsi="Times New Roman" w:cs="Times New Roman"/>
                      <w:sz w:val="16"/>
                      <w:szCs w:val="16"/>
                      <w:lang w:eastAsia="lv-LV"/>
                    </w:rPr>
                    <w:t xml:space="preserve"> hipertensija (Primāra plaušu hipertensija I27.0)</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FE44D71"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47B9F20"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BosentanumAmbrisentanum</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5945582"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211</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36A12F9F"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8 766</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0ACC6F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1 </w:t>
                  </w:r>
                  <w:r>
                    <w:rPr>
                      <w:rFonts w:ascii="Times New Roman" w:eastAsia="Times New Roman" w:hAnsi="Times New Roman" w:cs="Times New Roman"/>
                      <w:sz w:val="16"/>
                      <w:szCs w:val="16"/>
                      <w:lang w:eastAsia="lv-LV"/>
                    </w:rPr>
                    <w:t>849 626</w:t>
                  </w:r>
                </w:p>
              </w:tc>
            </w:tr>
            <w:tr w14:paraId="2F942218" w14:textId="77777777" w:rsidTr="00F841CC">
              <w:tblPrEx>
                <w:tblW w:w="7289" w:type="dxa"/>
                <w:tblInd w:w="111" w:type="dxa"/>
                <w:tblLayout w:type="fixed"/>
                <w:tblLook w:val="04A0"/>
              </w:tblPrEx>
              <w:trPr>
                <w:trHeight w:val="300"/>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9F0A07F"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3F49EFD8"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128304C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Sildenafilum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475B929F"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F14C46A"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ABFEA80" w14:textId="77777777">
                  <w:pPr>
                    <w:spacing w:after="0" w:line="240" w:lineRule="auto"/>
                    <w:rPr>
                      <w:rFonts w:ascii="Times New Roman" w:eastAsia="Times New Roman" w:hAnsi="Times New Roman" w:cs="Times New Roman"/>
                      <w:sz w:val="16"/>
                      <w:szCs w:val="16"/>
                      <w:lang w:eastAsia="lv-LV"/>
                    </w:rPr>
                  </w:pPr>
                </w:p>
              </w:tc>
            </w:tr>
            <w:tr w14:paraId="007B5060" w14:textId="77777777" w:rsidTr="00F841CC">
              <w:tblPrEx>
                <w:tblW w:w="7289" w:type="dxa"/>
                <w:tblInd w:w="111" w:type="dxa"/>
                <w:tblLayout w:type="fixed"/>
                <w:tblLook w:val="04A0"/>
              </w:tblPrEx>
              <w:trPr>
                <w:trHeight w:val="244"/>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0ECB448"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3CD0585"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1B59B794"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Riociguatum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BE470C5"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5C724C2"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3DA1599" w14:textId="77777777">
                  <w:pPr>
                    <w:spacing w:after="0" w:line="240" w:lineRule="auto"/>
                    <w:rPr>
                      <w:rFonts w:ascii="Times New Roman" w:eastAsia="Times New Roman" w:hAnsi="Times New Roman" w:cs="Times New Roman"/>
                      <w:sz w:val="16"/>
                      <w:szCs w:val="16"/>
                      <w:lang w:eastAsia="lv-LV"/>
                    </w:rPr>
                  </w:pPr>
                </w:p>
              </w:tc>
            </w:tr>
            <w:tr w14:paraId="1EEF2C26" w14:textId="77777777" w:rsidTr="00F841CC">
              <w:tblPrEx>
                <w:tblW w:w="7289" w:type="dxa"/>
                <w:tblInd w:w="111" w:type="dxa"/>
                <w:tblLayout w:type="fixed"/>
                <w:tblLook w:val="04A0"/>
              </w:tblPrEx>
              <w:trPr>
                <w:trHeight w:val="690"/>
              </w:trPr>
              <w:tc>
                <w:tcPr>
                  <w:tcW w:w="1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5C7126C"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Aknu </w:t>
                  </w:r>
                  <w:r w:rsidRPr="00327B8F">
                    <w:rPr>
                      <w:rFonts w:ascii="Times New Roman" w:eastAsia="Times New Roman" w:hAnsi="Times New Roman" w:cs="Times New Roman"/>
                      <w:sz w:val="16"/>
                      <w:szCs w:val="16"/>
                      <w:lang w:eastAsia="lv-LV"/>
                    </w:rPr>
                    <w:t>ehinokokoze</w:t>
                  </w:r>
                  <w:r w:rsidRPr="00327B8F">
                    <w:rPr>
                      <w:rFonts w:ascii="Times New Roman" w:eastAsia="Times New Roman" w:hAnsi="Times New Roman" w:cs="Times New Roman"/>
                      <w:sz w:val="16"/>
                      <w:szCs w:val="16"/>
                      <w:lang w:eastAsia="lv-LV"/>
                    </w:rPr>
                    <w:t xml:space="preserve"> (B67); </w:t>
                  </w:r>
                  <w:r w:rsidRPr="00327B8F">
                    <w:rPr>
                      <w:rFonts w:ascii="Times New Roman" w:eastAsia="Times New Roman" w:hAnsi="Times New Roman" w:cs="Times New Roman"/>
                      <w:sz w:val="16"/>
                      <w:szCs w:val="16"/>
                      <w:lang w:eastAsia="lv-LV"/>
                    </w:rPr>
                    <w:t>Cisticerkoze</w:t>
                  </w:r>
                  <w:r w:rsidRPr="00327B8F">
                    <w:rPr>
                      <w:rFonts w:ascii="Times New Roman" w:eastAsia="Times New Roman" w:hAnsi="Times New Roman" w:cs="Times New Roman"/>
                      <w:sz w:val="16"/>
                      <w:szCs w:val="16"/>
                      <w:lang w:eastAsia="lv-LV"/>
                    </w:rPr>
                    <w:t xml:space="preserve"> (B69)</w:t>
                  </w:r>
                </w:p>
              </w:tc>
              <w:tc>
                <w:tcPr>
                  <w:tcW w:w="120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111A7EC6"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07E2020"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Albendazolum</w:t>
                  </w:r>
                </w:p>
              </w:tc>
              <w:tc>
                <w:tcPr>
                  <w:tcW w:w="110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1A33192"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68</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327B8F" w:rsidP="00F841CC" w14:paraId="2CB18A34"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686</w:t>
                  </w:r>
                </w:p>
              </w:tc>
              <w:tc>
                <w:tcPr>
                  <w:tcW w:w="1428"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320FB067"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46 648</w:t>
                  </w:r>
                </w:p>
              </w:tc>
            </w:tr>
            <w:tr w14:paraId="19840848" w14:textId="77777777" w:rsidTr="00F841CC">
              <w:tblPrEx>
                <w:tblW w:w="7289" w:type="dxa"/>
                <w:tblInd w:w="111" w:type="dxa"/>
                <w:tblLayout w:type="fixed"/>
                <w:tblLook w:val="04A0"/>
              </w:tblPrEx>
              <w:trPr>
                <w:trHeight w:val="450"/>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87D6147"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Osteogenesisimperfecta</w:t>
                  </w:r>
                  <w:r w:rsidRPr="00327B8F">
                    <w:rPr>
                      <w:rFonts w:ascii="Times New Roman" w:eastAsia="Times New Roman" w:hAnsi="Times New Roman" w:cs="Times New Roman"/>
                      <w:sz w:val="16"/>
                      <w:szCs w:val="16"/>
                      <w:lang w:eastAsia="lv-LV"/>
                    </w:rPr>
                    <w:t xml:space="preserve"> (Q78.0)</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D09D8D4"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5DD01667"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Natriialendronatum</w:t>
                  </w:r>
                  <w:r w:rsidRPr="00327B8F">
                    <w:rPr>
                      <w:rFonts w:ascii="Times New Roman" w:eastAsia="Times New Roman" w:hAnsi="Times New Roman" w:cs="Times New Roman"/>
                      <w:sz w:val="16"/>
                      <w:szCs w:val="16"/>
                      <w:lang w:eastAsia="lv-LV"/>
                    </w:rPr>
                    <w:t xml:space="preserve">/ </w:t>
                  </w:r>
                  <w:r w:rsidRPr="00327B8F">
                    <w:rPr>
                      <w:rFonts w:ascii="Times New Roman" w:eastAsia="Times New Roman" w:hAnsi="Times New Roman" w:cs="Times New Roman"/>
                      <w:sz w:val="16"/>
                      <w:szCs w:val="16"/>
                      <w:lang w:eastAsia="lv-LV"/>
                    </w:rPr>
                    <w:t>Cholecalciferolum</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2F86202"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8</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5DD4B27A"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128</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43CFE4A9"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1 024</w:t>
                  </w:r>
                </w:p>
              </w:tc>
            </w:tr>
            <w:tr w14:paraId="003FEDB0" w14:textId="77777777" w:rsidTr="00F841CC">
              <w:tblPrEx>
                <w:tblW w:w="7289" w:type="dxa"/>
                <w:tblInd w:w="111" w:type="dxa"/>
                <w:tblLayout w:type="fixed"/>
                <w:tblLook w:val="04A0"/>
              </w:tblPrEx>
              <w:trPr>
                <w:trHeight w:val="315"/>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93E604F"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901B2B4"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013194E9"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Acidumzoledronicum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62A693D"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41424A7"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3CED14B" w14:textId="77777777">
                  <w:pPr>
                    <w:spacing w:after="0" w:line="240" w:lineRule="auto"/>
                    <w:rPr>
                      <w:rFonts w:ascii="Times New Roman" w:eastAsia="Times New Roman" w:hAnsi="Times New Roman" w:cs="Times New Roman"/>
                      <w:sz w:val="16"/>
                      <w:szCs w:val="16"/>
                      <w:lang w:eastAsia="lv-LV"/>
                    </w:rPr>
                  </w:pPr>
                </w:p>
              </w:tc>
            </w:tr>
            <w:tr w14:paraId="02122C42" w14:textId="77777777" w:rsidTr="00F841CC">
              <w:tblPrEx>
                <w:tblW w:w="7289" w:type="dxa"/>
                <w:tblInd w:w="111" w:type="dxa"/>
                <w:tblLayout w:type="fixed"/>
                <w:tblLook w:val="04A0"/>
              </w:tblPrEx>
              <w:trPr>
                <w:trHeight w:val="450"/>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F8E1855"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Imūndeficīts (D82, D83, D84)</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94852D6"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669EE1C9"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Immunoglobulinumhumanumnormale</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848DA92"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28</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1DF60B3A"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9 576</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319710A"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268 128</w:t>
                  </w:r>
                </w:p>
              </w:tc>
            </w:tr>
            <w:tr w14:paraId="0BB0E497" w14:textId="77777777" w:rsidTr="00F841CC">
              <w:tblPrEx>
                <w:tblW w:w="7289" w:type="dxa"/>
                <w:tblInd w:w="111" w:type="dxa"/>
                <w:tblLayout w:type="fixed"/>
                <w:tblLook w:val="04A0"/>
              </w:tblPrEx>
              <w:trPr>
                <w:trHeight w:val="315"/>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E38861F"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97E08D5"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6325A0B9"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Conestatum</w:t>
                  </w:r>
                  <w:r w:rsidRPr="00327B8F">
                    <w:rPr>
                      <w:rFonts w:ascii="Times New Roman" w:eastAsia="Times New Roman" w:hAnsi="Times New Roman" w:cs="Times New Roman"/>
                      <w:sz w:val="16"/>
                      <w:szCs w:val="16"/>
                      <w:lang w:eastAsia="lv-LV"/>
                    </w:rPr>
                    <w:t xml:space="preserve"> alfa</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3593BC90"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FB5B49A"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8DE8568" w14:textId="77777777">
                  <w:pPr>
                    <w:spacing w:after="0" w:line="240" w:lineRule="auto"/>
                    <w:rPr>
                      <w:rFonts w:ascii="Times New Roman" w:eastAsia="Times New Roman" w:hAnsi="Times New Roman" w:cs="Times New Roman"/>
                      <w:sz w:val="16"/>
                      <w:szCs w:val="16"/>
                      <w:lang w:eastAsia="lv-LV"/>
                    </w:rPr>
                  </w:pPr>
                </w:p>
              </w:tc>
            </w:tr>
            <w:tr w14:paraId="59DA06B1" w14:textId="77777777" w:rsidTr="00F841CC">
              <w:tblPrEx>
                <w:tblW w:w="7289" w:type="dxa"/>
                <w:tblInd w:w="111" w:type="dxa"/>
                <w:tblLayout w:type="fixed"/>
                <w:tblLook w:val="04A0"/>
              </w:tblPrEx>
              <w:trPr>
                <w:trHeight w:val="762"/>
              </w:trPr>
              <w:tc>
                <w:tcPr>
                  <w:tcW w:w="1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C3E276F"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Hroniska nātrene; hroniski </w:t>
                  </w:r>
                  <w:r w:rsidRPr="00327B8F">
                    <w:rPr>
                      <w:rFonts w:ascii="Times New Roman" w:eastAsia="Times New Roman" w:hAnsi="Times New Roman" w:cs="Times New Roman"/>
                      <w:sz w:val="16"/>
                      <w:szCs w:val="16"/>
                      <w:lang w:eastAsia="lv-LV"/>
                    </w:rPr>
                    <w:t>recidivējoša</w:t>
                  </w:r>
                  <w:r w:rsidRPr="00327B8F">
                    <w:rPr>
                      <w:rFonts w:ascii="Times New Roman" w:eastAsia="Times New Roman" w:hAnsi="Times New Roman" w:cs="Times New Roman"/>
                      <w:sz w:val="16"/>
                      <w:szCs w:val="16"/>
                      <w:lang w:eastAsia="lv-LV"/>
                    </w:rPr>
                    <w:t xml:space="preserve"> nātrene  (L50.8)</w:t>
                  </w:r>
                </w:p>
              </w:tc>
              <w:tc>
                <w:tcPr>
                  <w:tcW w:w="120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177B981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7B8701EC"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Omalizumabum</w:t>
                  </w:r>
                </w:p>
              </w:tc>
              <w:tc>
                <w:tcPr>
                  <w:tcW w:w="110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0561AAD5"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17</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327B8F" w:rsidP="00F841CC" w14:paraId="0EE356A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4 084</w:t>
                  </w:r>
                </w:p>
              </w:tc>
              <w:tc>
                <w:tcPr>
                  <w:tcW w:w="1428"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28094D2"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69 428</w:t>
                  </w:r>
                </w:p>
              </w:tc>
            </w:tr>
            <w:tr w14:paraId="1A83E87A" w14:textId="77777777" w:rsidTr="00F841CC">
              <w:tblPrEx>
                <w:tblW w:w="7289" w:type="dxa"/>
                <w:tblInd w:w="111" w:type="dxa"/>
                <w:tblLayout w:type="fixed"/>
                <w:tblLook w:val="04A0"/>
              </w:tblPrEx>
              <w:trPr>
                <w:trHeight w:val="300"/>
              </w:trPr>
              <w:tc>
                <w:tcPr>
                  <w:tcW w:w="58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941F5" w:rsidRPr="00327B8F" w:rsidP="00F841CC" w14:paraId="1C3F9C4E" w14:textId="77777777">
                  <w:pPr>
                    <w:spacing w:after="0" w:line="240" w:lineRule="auto"/>
                    <w:rPr>
                      <w:rFonts w:ascii="Times New Roman" w:eastAsia="Times New Roman" w:hAnsi="Times New Roman" w:cs="Times New Roman"/>
                      <w:sz w:val="18"/>
                      <w:szCs w:val="18"/>
                      <w:lang w:eastAsia="lv-LV"/>
                    </w:rPr>
                  </w:pPr>
                  <w:r w:rsidRPr="00327B8F">
                    <w:rPr>
                      <w:rFonts w:ascii="Times New Roman" w:eastAsia="Times New Roman" w:hAnsi="Times New Roman" w:cs="Times New Roman"/>
                      <w:sz w:val="18"/>
                      <w:szCs w:val="18"/>
                      <w:lang w:eastAsia="lv-LV"/>
                    </w:rPr>
                    <w:t xml:space="preserve">Kopā, </w:t>
                  </w:r>
                  <w:r w:rsidRPr="00327B8F">
                    <w:rPr>
                      <w:rFonts w:ascii="Times New Roman" w:eastAsia="Times New Roman" w:hAnsi="Times New Roman" w:cs="Times New Roman"/>
                      <w:i/>
                      <w:iCs/>
                      <w:sz w:val="18"/>
                      <w:szCs w:val="18"/>
                      <w:lang w:eastAsia="lv-LV"/>
                    </w:rPr>
                    <w:t>euro</w:t>
                  </w:r>
                  <w:r w:rsidRPr="00327B8F">
                    <w:rPr>
                      <w:rFonts w:ascii="Times New Roman" w:eastAsia="Times New Roman" w:hAnsi="Times New Roman" w:cs="Times New Roman"/>
                      <w:sz w:val="18"/>
                      <w:szCs w:val="18"/>
                      <w:lang w:eastAsia="lv-LV"/>
                    </w:rPr>
                    <w:t>:</w:t>
                  </w:r>
                </w:p>
              </w:tc>
              <w:tc>
                <w:tcPr>
                  <w:tcW w:w="1428" w:type="dxa"/>
                  <w:tcBorders>
                    <w:top w:val="nil"/>
                    <w:left w:val="nil"/>
                    <w:bottom w:val="single" w:sz="4" w:space="0" w:color="auto"/>
                    <w:right w:val="single" w:sz="4" w:space="0" w:color="auto"/>
                  </w:tcBorders>
                  <w:shd w:val="clear" w:color="auto" w:fill="F2F2F2" w:themeFill="background1" w:themeFillShade="F2"/>
                  <w:noWrap/>
                  <w:vAlign w:val="bottom"/>
                  <w:hideMark/>
                </w:tcPr>
                <w:p w:rsidR="002941F5" w:rsidRPr="00327B8F" w:rsidP="00F841CC" w14:paraId="4F5C144F"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2 234 854</w:t>
                  </w:r>
                </w:p>
              </w:tc>
            </w:tr>
          </w:tbl>
          <w:p w:rsidR="002941F5" w:rsidP="00F841CC" w14:paraId="517A58A0" w14:textId="77777777">
            <w:pPr>
              <w:pStyle w:val="NormalWeb"/>
              <w:shd w:val="clear" w:color="auto" w:fill="FFFFFF"/>
              <w:spacing w:before="0" w:beforeAutospacing="0" w:after="0" w:afterAutospacing="0"/>
              <w:jc w:val="both"/>
              <w:rPr>
                <w:noProof/>
              </w:rPr>
            </w:pPr>
          </w:p>
          <w:p w:rsidR="002941F5" w:rsidP="00F841CC" w14:paraId="5DA6D6D4" w14:textId="77777777">
            <w:pPr>
              <w:pStyle w:val="NormalWeb"/>
              <w:shd w:val="clear" w:color="auto" w:fill="FFFFFF"/>
              <w:spacing w:before="0" w:beforeAutospacing="0" w:after="0" w:afterAutospacing="0"/>
              <w:ind w:firstLine="720"/>
              <w:jc w:val="both"/>
              <w:rPr>
                <w:color w:val="000000"/>
              </w:rPr>
            </w:pPr>
            <w:r>
              <w:rPr>
                <w:noProof/>
              </w:rPr>
              <w:t xml:space="preserve">Saskaņā ar </w:t>
            </w:r>
            <w:r>
              <w:rPr>
                <w:color w:val="000000"/>
              </w:rPr>
              <w:t>Ministru kabineta 2006.gada 31.oktobra noteikumu Nr.899 “Ambulatorajai ārstēšanai paredzēto zāļu  un medicīnisko ierīču iegādes izdevumu kompensācijas kārtība” 98.punktu Nacionālais veselības dienests apkopo informāciju par  iepriekšējā periodā saņemtajiem iesniegumiem un nepieciešamības gadījumā sniedz priekšlikumus grozījumiem Ministru kabineta 2006.gada 31.oktobra noteikumu Nr.899 “Ambulatorajai ārstēšanai paredzēto zāļu  un medicīnisko ierīču iegādes izdevumu kompensācijas kārtība” 1.pielikumā.</w:t>
            </w:r>
          </w:p>
          <w:p w:rsidR="002941F5" w:rsidP="00F841CC" w14:paraId="648C61A6" w14:textId="77777777">
            <w:pPr>
              <w:pStyle w:val="NormalWeb"/>
              <w:shd w:val="clear" w:color="auto" w:fill="FFFFFF"/>
              <w:spacing w:before="0" w:beforeAutospacing="0" w:after="0" w:afterAutospacing="0"/>
              <w:ind w:firstLine="720"/>
              <w:jc w:val="both"/>
              <w:rPr>
                <w:color w:val="000000"/>
              </w:rPr>
            </w:pPr>
            <w:r>
              <w:rPr>
                <w:color w:val="000000"/>
              </w:rPr>
              <w:t xml:space="preserve">Iekļaujot diagnozes 1.pielikumā, zālēm, kas tika apmaksātas individuāli un kam iepriekš nebija veikta </w:t>
            </w:r>
            <w:r>
              <w:rPr>
                <w:color w:val="000000"/>
              </w:rPr>
              <w:t>farmakoekonomiskā</w:t>
            </w:r>
            <w:r>
              <w:rPr>
                <w:color w:val="000000"/>
              </w:rPr>
              <w:t xml:space="preserve"> novērtēšana, tiek iesniegtas Nacionālajā veselības dienestā iekļaušanai kompensējamo zāļu sarakstā. Pēc iekļaušanas kompensējamo zāļu sarakstā šīs zāles tiek apmaksātas no </w:t>
            </w:r>
            <w:r w:rsidRPr="001D3E43">
              <w:rPr>
                <w:color w:val="000000"/>
              </w:rPr>
              <w:t>apakšprogramm</w:t>
            </w:r>
            <w:r>
              <w:rPr>
                <w:color w:val="000000"/>
              </w:rPr>
              <w:t>as</w:t>
            </w:r>
            <w:r w:rsidRPr="001D3E43">
              <w:rPr>
                <w:color w:val="000000"/>
              </w:rPr>
              <w:t xml:space="preserve"> 33.03.00 “Kompensējamo medikamentu un materiālu apmaksāšana”</w:t>
            </w:r>
            <w:r>
              <w:rPr>
                <w:color w:val="000000"/>
              </w:rPr>
              <w:t xml:space="preserve"> vispārējā kārtībā. </w:t>
            </w:r>
          </w:p>
          <w:p w:rsidR="002941F5" w:rsidP="00F841CC" w14:paraId="788B06F3" w14:textId="77777777">
            <w:pPr>
              <w:pStyle w:val="NormalWeb"/>
              <w:shd w:val="clear" w:color="auto" w:fill="FFFFFF"/>
              <w:spacing w:before="0" w:beforeAutospacing="0" w:after="0" w:afterAutospacing="0"/>
              <w:ind w:firstLine="720"/>
              <w:jc w:val="both"/>
              <w:rPr>
                <w:color w:val="000000"/>
              </w:rPr>
            </w:pPr>
            <w:r>
              <w:rPr>
                <w:color w:val="000000"/>
              </w:rPr>
              <w:t xml:space="preserve">Iekļaujot noteikumu projekta  1.22., 1.23., 1.24., 1.27. un 1.28. apakšpunktā minētās diagnozes kompensācijas sistēmā, apmaksa tiks nodrošināta </w:t>
            </w:r>
            <w:r w:rsidRPr="001D3E43">
              <w:rPr>
                <w:color w:val="000000"/>
              </w:rPr>
              <w:t>apakšprogramm</w:t>
            </w:r>
            <w:r>
              <w:rPr>
                <w:color w:val="000000"/>
              </w:rPr>
              <w:t>ā</w:t>
            </w:r>
            <w:r w:rsidRPr="001D3E43">
              <w:rPr>
                <w:color w:val="000000"/>
              </w:rPr>
              <w:t xml:space="preserve"> 33.03.00 “Kompensējamo medikamentu un materiālu apmaksāšana”</w:t>
            </w:r>
            <w:r>
              <w:rPr>
                <w:color w:val="000000"/>
              </w:rPr>
              <w:t xml:space="preserve"> piešķirto līdzekļu ietvaros, par 2 234 854 </w:t>
            </w:r>
            <w:r w:rsidRPr="001D3E43">
              <w:rPr>
                <w:i/>
                <w:color w:val="000000"/>
              </w:rPr>
              <w:t>euro</w:t>
            </w:r>
            <w:r>
              <w:rPr>
                <w:color w:val="000000"/>
              </w:rPr>
              <w:t xml:space="preserve"> samazinoties patēriņam individuālai kompensācijai. Ņemot vērā, ka zāļu izvērtēšanas gadījumā parasti tiek panākts cenas samazinājums, iespējama finansējuma patēriņa samazināšanās. </w:t>
            </w:r>
          </w:p>
          <w:p w:rsidR="002941F5" w:rsidRPr="000C2DCE" w:rsidP="00F841CC" w14:paraId="08969CD4" w14:textId="77777777">
            <w:pPr>
              <w:pStyle w:val="NormalWeb"/>
              <w:shd w:val="clear" w:color="auto" w:fill="FFFFFF"/>
              <w:spacing w:before="0" w:beforeAutospacing="0" w:after="0" w:afterAutospacing="0"/>
              <w:ind w:firstLine="720"/>
              <w:jc w:val="both"/>
              <w:rPr>
                <w:color w:val="000000"/>
              </w:rPr>
            </w:pPr>
            <w:r>
              <w:rPr>
                <w:color w:val="000000"/>
              </w:rPr>
              <w:t>Neiekļaujot</w:t>
            </w:r>
            <w:r>
              <w:t xml:space="preserve"> </w:t>
            </w:r>
            <w:r w:rsidRPr="00112693">
              <w:rPr>
                <w:color w:val="000000"/>
              </w:rPr>
              <w:t xml:space="preserve">noteikumu projekta  1.22., 1.23., 1.24., 1.27. un 1.28. apakšpunktā minētās </w:t>
            </w:r>
            <w:r>
              <w:rPr>
                <w:color w:val="000000"/>
              </w:rPr>
              <w:t xml:space="preserve">diagnozes 1.pielikumā, zāļu kompensācija tām tiks turpināta individuālā kārtībā, tāpat no </w:t>
            </w:r>
            <w:r w:rsidRPr="00112693">
              <w:rPr>
                <w:color w:val="000000"/>
              </w:rPr>
              <w:t>apakšprogrammas 33.03.00 “Kompensējamo medikamentu un materiālu apmaksāšana”</w:t>
            </w:r>
            <w:r>
              <w:rPr>
                <w:color w:val="000000"/>
              </w:rPr>
              <w:t xml:space="preserve"> izlietojot 2 234 854 </w:t>
            </w:r>
            <w:r w:rsidRPr="001D3E43">
              <w:rPr>
                <w:i/>
                <w:color w:val="000000"/>
              </w:rPr>
              <w:t>euro</w:t>
            </w:r>
            <w:r>
              <w:rPr>
                <w:color w:val="000000"/>
              </w:rPr>
              <w:t>.</w:t>
            </w:r>
            <w:r w:rsidRPr="00112693">
              <w:rPr>
                <w:color w:val="000000"/>
              </w:rPr>
              <w:t xml:space="preserve"> </w:t>
            </w:r>
            <w:r>
              <w:rPr>
                <w:color w:val="000000"/>
              </w:rPr>
              <w:t xml:space="preserve"> </w:t>
            </w:r>
          </w:p>
          <w:p w:rsidR="002941F5" w:rsidRPr="00A77EBB" w:rsidP="00F841CC" w14:paraId="150B30EF" w14:textId="77777777">
            <w:pPr>
              <w:pStyle w:val="NormalWeb"/>
              <w:shd w:val="clear" w:color="auto" w:fill="FFFFFF"/>
              <w:spacing w:before="0" w:beforeAutospacing="0" w:after="0" w:afterAutospacing="0"/>
              <w:ind w:firstLine="720"/>
              <w:jc w:val="both"/>
              <w:rPr>
                <w:shd w:val="clear" w:color="auto" w:fill="FFFFFF"/>
                <w:lang w:bidi="lv-LV"/>
              </w:rPr>
            </w:pPr>
            <w:r>
              <w:t xml:space="preserve">Noteikumu projekts paredz veselības aprūpes pakalpojumu pieejamības uzlabošanu – individuālo pacientu nodrošinājumu ar nepieciešamo terapiju caur kompensējamo zāļu sarakstu 2018.gada 2.pusgadam </w:t>
            </w:r>
            <w:r>
              <w:rPr>
                <w:b/>
              </w:rPr>
              <w:t xml:space="preserve">1 117 427 </w:t>
            </w:r>
            <w:r w:rsidRPr="00F770DC">
              <w:rPr>
                <w:b/>
                <w:i/>
              </w:rPr>
              <w:t>euro</w:t>
            </w:r>
            <w:r>
              <w:rPr>
                <w:b/>
              </w:rPr>
              <w:t xml:space="preserve"> </w:t>
            </w:r>
            <w:r>
              <w:t>(2 234 854</w:t>
            </w:r>
            <w:r w:rsidRPr="003C67ED">
              <w:t xml:space="preserve"> (izm</w:t>
            </w:r>
            <w:r>
              <w:t xml:space="preserve">aksas 2018.gadam) : 2 = 1 117 427 </w:t>
            </w:r>
            <w:r w:rsidRPr="00F770DC">
              <w:rPr>
                <w:i/>
              </w:rPr>
              <w:t>euro</w:t>
            </w:r>
            <w:r w:rsidRPr="003C67ED">
              <w:t>)</w:t>
            </w:r>
            <w:r>
              <w:t xml:space="preserve"> apmērā, </w:t>
            </w:r>
            <w:r>
              <w:rPr>
                <w:shd w:val="clear" w:color="auto" w:fill="FFFFFF"/>
                <w:lang w:bidi="lv-LV"/>
              </w:rPr>
              <w:t xml:space="preserve">skat., tabulu Nr.4. Iepriekšminētais pasākums tiks īstenots apakšprogrammas 33.03.00 „Kompensējamo medikamentu un materiālu apmaksāšana” ietvaros. </w:t>
            </w:r>
          </w:p>
          <w:p w:rsidR="002941F5" w:rsidP="00F841CC" w14:paraId="6960F1FA" w14:textId="77777777">
            <w:pPr>
              <w:pStyle w:val="NormalWeb"/>
              <w:shd w:val="clear" w:color="auto" w:fill="FFFFFF"/>
              <w:spacing w:before="0" w:beforeAutospacing="0" w:after="0" w:afterAutospacing="0"/>
              <w:ind w:firstLine="720"/>
              <w:jc w:val="both"/>
              <w:rPr>
                <w:noProof/>
              </w:rPr>
            </w:pPr>
            <w:r w:rsidRPr="00CC46A5">
              <w:rPr>
                <w:noProof/>
              </w:rPr>
              <w:t xml:space="preserve">Lai iekļautu kompensējamo zāļu sarakstā zāles pie atsevišķām diagnozēm, kas līdz šim tika apmaksātas individuālās kompensācijas kārtības ietvaros, tiks novirzīta plānotā līdzekļu ekonomija, kas radusies uz 2018.gada 1.jūliju kompensējamo zāļu sarakstā iekļautajā farmakoterapeitiskajā grupā dipeptidilpeptidāzes-4 (DPP-4) inhibitori. Jo iepriekš minētajā grupā tika iekļauts pirmais ģenēriskais medikaments, kas samazina šīs grupas zāļu </w:t>
            </w:r>
            <w:r w:rsidRPr="00CC46A5">
              <w:rPr>
                <w:noProof/>
              </w:rPr>
              <w:t xml:space="preserve">izmaksas, radot zāļu kompensācijas sistēmā ietaupījumu gadā  2 352 468 </w:t>
            </w:r>
            <w:r w:rsidRPr="00CC46A5">
              <w:rPr>
                <w:i/>
              </w:rPr>
              <w:t>euro</w:t>
            </w:r>
            <w:r w:rsidRPr="00CC46A5">
              <w:rPr>
                <w:i/>
              </w:rPr>
              <w:t xml:space="preserve"> </w:t>
            </w:r>
            <w:r w:rsidRPr="00CC46A5">
              <w:t xml:space="preserve">(7 191 071 </w:t>
            </w:r>
            <w:r w:rsidRPr="00CC46A5">
              <w:rPr>
                <w:i/>
              </w:rPr>
              <w:t>euro</w:t>
            </w:r>
            <w:r w:rsidRPr="00CC46A5">
              <w:rPr>
                <w:i/>
              </w:rPr>
              <w:t xml:space="preserve"> </w:t>
            </w:r>
            <w:r w:rsidRPr="00CC46A5">
              <w:t xml:space="preserve"> (prognozētais zāļu patēriņš gadā ar apstiprināto KS</w:t>
            </w:r>
            <w:r w:rsidRPr="00CC46A5">
              <w:rPr>
                <w:noProof/>
              </w:rPr>
              <w:t xml:space="preserve">) – 4 838 603  </w:t>
            </w:r>
            <w:r w:rsidRPr="00CC46A5">
              <w:rPr>
                <w:i/>
                <w:noProof/>
              </w:rPr>
              <w:t xml:space="preserve">euro </w:t>
            </w:r>
            <w:r w:rsidRPr="00CC46A5">
              <w:rPr>
                <w:noProof/>
              </w:rPr>
              <w:t>(patēriņš gadā ar jauno KS)</w:t>
            </w:r>
            <w:r w:rsidRPr="00CC46A5">
              <w:rPr>
                <w:i/>
                <w:noProof/>
              </w:rPr>
              <w:t xml:space="preserve">  =  </w:t>
            </w:r>
            <w:r w:rsidRPr="00CC46A5">
              <w:rPr>
                <w:noProof/>
              </w:rPr>
              <w:t xml:space="preserve"> 2 352 468 </w:t>
            </w:r>
            <w:r w:rsidRPr="00CC46A5">
              <w:rPr>
                <w:i/>
                <w:noProof/>
              </w:rPr>
              <w:t>euro</w:t>
            </w:r>
            <w:r w:rsidRPr="00CC46A5">
              <w:rPr>
                <w:noProof/>
              </w:rPr>
              <w:t>).</w:t>
            </w:r>
            <w:r w:rsidRPr="00F84705">
              <w:rPr>
                <w:noProof/>
              </w:rPr>
              <w:t xml:space="preserve"> </w:t>
            </w:r>
          </w:p>
          <w:p w:rsidR="002941F5" w:rsidRPr="00112693" w:rsidP="00F841CC" w14:paraId="472FE3A7" w14:textId="77777777">
            <w:pPr>
              <w:pStyle w:val="NormalWeb"/>
              <w:shd w:val="clear" w:color="auto" w:fill="FFFFFF"/>
              <w:spacing w:before="0" w:beforeAutospacing="0" w:after="0" w:afterAutospacing="0"/>
              <w:ind w:firstLine="720"/>
              <w:jc w:val="both"/>
              <w:rPr>
                <w:color w:val="000000"/>
              </w:rPr>
            </w:pPr>
            <w:r w:rsidRPr="00112693">
              <w:t xml:space="preserve">Noteikumu projekts paredz nodrošināt kompensējamos medikamentus ambulatorai lietošanai pēc plaušu transplantācijas, radot ietekmi  </w:t>
            </w:r>
            <w:r w:rsidRPr="00112693">
              <w:rPr>
                <w:b/>
              </w:rPr>
              <w:t xml:space="preserve">38 000 </w:t>
            </w:r>
            <w:r w:rsidRPr="00112693">
              <w:rPr>
                <w:b/>
                <w:i/>
              </w:rPr>
              <w:t>euro</w:t>
            </w:r>
            <w:r w:rsidRPr="00112693">
              <w:t xml:space="preserve">, skat., tabulu Nr.5. Iepriekšminētais pasākums tiks īstenots veicot pārdali no </w:t>
            </w:r>
            <w:r w:rsidRPr="00112693">
              <w:rPr>
                <w:shd w:val="clear" w:color="auto" w:fill="FFFFFF"/>
                <w:lang w:bidi="lv-LV"/>
              </w:rPr>
              <w:t>apakšprogrammas 33.18.00 “Plānveida stacionāro veselības aprūpes pakalpojumu nodrošināšana” ietvaros uz 33.03.00 „Kompensējamo medikamentu un materiālu apmaksāšana”.</w:t>
            </w:r>
          </w:p>
          <w:p w:rsidR="002941F5" w:rsidRPr="00953F53" w:rsidP="00F841CC" w14:paraId="133D63B9"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Nr.5</w:t>
            </w:r>
          </w:p>
          <w:tbl>
            <w:tblPr>
              <w:tblW w:w="7721" w:type="dxa"/>
              <w:tblLayout w:type="fixed"/>
              <w:tblLook w:val="04A0"/>
            </w:tblPr>
            <w:tblGrid>
              <w:gridCol w:w="3798"/>
              <w:gridCol w:w="1839"/>
              <w:gridCol w:w="1005"/>
              <w:gridCol w:w="1079"/>
            </w:tblGrid>
            <w:tr w14:paraId="4EE20A41" w14:textId="77777777" w:rsidTr="00F841CC">
              <w:tblPrEx>
                <w:tblW w:w="7721" w:type="dxa"/>
                <w:tblLayout w:type="fixed"/>
                <w:tblLook w:val="04A0"/>
              </w:tblPrEx>
              <w:trPr>
                <w:trHeight w:val="680"/>
              </w:trPr>
              <w:tc>
                <w:tcPr>
                  <w:tcW w:w="379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41F5" w:rsidRPr="00D16F63" w:rsidP="00F841CC" w14:paraId="352772D2" w14:textId="77777777">
                  <w:pPr>
                    <w:spacing w:after="0" w:line="240" w:lineRule="auto"/>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 </w:t>
                  </w:r>
                </w:p>
              </w:tc>
              <w:tc>
                <w:tcPr>
                  <w:tcW w:w="1839"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456CA81F"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Vidējās izmaksas vienam plaušu transplantācijas pacientam</w:t>
                  </w:r>
                </w:p>
              </w:tc>
              <w:tc>
                <w:tcPr>
                  <w:tcW w:w="1005"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747A9230"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Pacientu skaits</w:t>
                  </w:r>
                </w:p>
              </w:tc>
              <w:tc>
                <w:tcPr>
                  <w:tcW w:w="1079"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1D472EFB"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Izmaksas kopā 2018.g.</w:t>
                  </w:r>
                </w:p>
              </w:tc>
            </w:tr>
            <w:tr w14:paraId="648AC70B" w14:textId="77777777" w:rsidTr="00F841CC">
              <w:tblPrEx>
                <w:tblW w:w="7721" w:type="dxa"/>
                <w:tblLayout w:type="fixed"/>
                <w:tblLook w:val="04A0"/>
              </w:tblPrEx>
              <w:trPr>
                <w:trHeight w:val="548"/>
              </w:trPr>
              <w:tc>
                <w:tcPr>
                  <w:tcW w:w="37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D16F63" w:rsidP="00F841CC" w14:paraId="50B04CDC"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Kompensējamie medikamenti ambulatorai lietošanai pēc plaušu transplantācijas</w:t>
                  </w:r>
                </w:p>
              </w:tc>
              <w:tc>
                <w:tcPr>
                  <w:tcW w:w="1839"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16816752"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19 000</w:t>
                  </w:r>
                </w:p>
              </w:tc>
              <w:tc>
                <w:tcPr>
                  <w:tcW w:w="1005"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7D656EA1"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1079"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37521F62"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38</w:t>
                  </w:r>
                  <w:r w:rsidRPr="00D16F63">
                    <w:rPr>
                      <w:rFonts w:ascii="Times New Roman" w:eastAsia="Times New Roman" w:hAnsi="Times New Roman" w:cs="Times New Roman"/>
                      <w:color w:val="000000"/>
                      <w:sz w:val="16"/>
                      <w:szCs w:val="16"/>
                      <w:lang w:eastAsia="lv-LV"/>
                    </w:rPr>
                    <w:t xml:space="preserve"> 000</w:t>
                  </w:r>
                </w:p>
              </w:tc>
            </w:tr>
          </w:tbl>
          <w:p w:rsidR="002941F5" w:rsidP="00F841CC" w14:paraId="3B02E609"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 xml:space="preserve">    Veselības ministrija 2018.gadam normatīvo aktu noteiktā kārtībā iesniegs Finanšu ministrijai priekšlikumus apropriācijas pārdalei </w:t>
            </w:r>
            <w:r>
              <w:rPr>
                <w:rFonts w:ascii="Times New Roman" w:hAnsi="Times New Roman" w:cs="Times New Roman"/>
                <w:sz w:val="24"/>
                <w:szCs w:val="24"/>
              </w:rPr>
              <w:t>no</w:t>
            </w:r>
            <w:r w:rsidRPr="00D16F63">
              <w:rPr>
                <w:rFonts w:ascii="Times New Roman" w:hAnsi="Times New Roman" w:cs="Times New Roman"/>
                <w:sz w:val="24"/>
                <w:szCs w:val="24"/>
              </w:rPr>
              <w:t xml:space="preserve"> </w:t>
            </w:r>
            <w:r w:rsidRPr="00D16F63">
              <w:rPr>
                <w:rFonts w:ascii="Times New Roman" w:eastAsia="Times New Roman" w:hAnsi="Times New Roman" w:cs="Times New Roman"/>
                <w:sz w:val="24"/>
                <w:szCs w:val="24"/>
                <w:shd w:val="clear" w:color="auto" w:fill="FFFFFF"/>
                <w:lang w:eastAsia="lv-LV" w:bidi="lv-LV"/>
              </w:rPr>
              <w:t>apakšprogrammas 33.18.00 “Plānveida stacionāro veselības aprūpes paka</w:t>
            </w:r>
            <w:r>
              <w:rPr>
                <w:rFonts w:ascii="Times New Roman" w:eastAsia="Times New Roman" w:hAnsi="Times New Roman" w:cs="Times New Roman"/>
                <w:sz w:val="24"/>
                <w:szCs w:val="24"/>
                <w:shd w:val="clear" w:color="auto" w:fill="FFFFFF"/>
                <w:lang w:eastAsia="lv-LV" w:bidi="lv-LV"/>
              </w:rPr>
              <w:t xml:space="preserve">lpojumu nodrošināšana” ietvaros uz 33.03.00 „Kompensējamo medikamentu un materiālu apmaksāšana” 38 000 </w:t>
            </w:r>
            <w:r w:rsidRPr="00A64D82">
              <w:rPr>
                <w:rFonts w:ascii="Times New Roman" w:eastAsia="Times New Roman" w:hAnsi="Times New Roman" w:cs="Times New Roman"/>
                <w:i/>
                <w:sz w:val="24"/>
                <w:szCs w:val="24"/>
                <w:shd w:val="clear" w:color="auto" w:fill="FFFFFF"/>
                <w:lang w:eastAsia="lv-LV" w:bidi="lv-LV"/>
              </w:rPr>
              <w:t>euro</w:t>
            </w:r>
            <w:r>
              <w:rPr>
                <w:rFonts w:ascii="Times New Roman" w:eastAsia="Times New Roman" w:hAnsi="Times New Roman" w:cs="Times New Roman"/>
                <w:sz w:val="24"/>
                <w:szCs w:val="24"/>
                <w:shd w:val="clear" w:color="auto" w:fill="FFFFFF"/>
                <w:lang w:eastAsia="lv-LV" w:bidi="lv-LV"/>
              </w:rPr>
              <w:t xml:space="preserve"> apmērā.</w:t>
            </w:r>
          </w:p>
          <w:p w:rsidR="002941F5" w:rsidP="00F841CC" w14:paraId="793FB677"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p>
          <w:p w:rsidR="002941F5" w:rsidRPr="00895093" w:rsidP="00F841CC" w14:paraId="1C47F336" w14:textId="77777777">
            <w:pPr>
              <w:pStyle w:val="NormalWeb"/>
              <w:shd w:val="clear" w:color="auto" w:fill="FFFFFF"/>
              <w:spacing w:before="0" w:beforeAutospacing="0" w:after="0" w:afterAutospacing="0"/>
              <w:ind w:firstLine="204"/>
              <w:jc w:val="both"/>
              <w:rPr>
                <w:rFonts w:ascii="Calibri" w:hAnsi="Calibri" w:cs="Calibri"/>
                <w:color w:val="000000"/>
                <w:sz w:val="22"/>
                <w:szCs w:val="22"/>
              </w:rPr>
            </w:pPr>
            <w:r w:rsidRPr="007469AE">
              <w:t>Finansējuma resursi tiks rasti apakšprogrammas 33.18.00 “Plānveida stacionāro veselības aprūpes nodrošināšana” ietvaros, jo iepriekšminētajā apakšprogramm</w:t>
            </w:r>
            <w:r>
              <w:t xml:space="preserve">ā veidojas līdzekļu ekonomija. </w:t>
            </w:r>
            <w:r w:rsidRPr="00740E37">
              <w:t>2018.gadā plānveida stacionāriem pakalpojumiem veikto hospitalizāciju skaits bija sākotnēji lielāks nekā indikatīvi tas tiek plānots uz doto brīdi. Atbilstoši valsts budžeta likumam 2018.gadā apakšprogrammā 33.18.00 “Plānveida stacionāro veselības aprūpes nodrošināšana” no sākotnēji plānotajiem 44 847 fiksētajiem maksājumiem plānotajām hospitalizācijām uz doto brīdi tiek plānotas 40 192 hospitalizācijas.  (44 847 – 40 192) x 661.18 </w:t>
            </w:r>
            <w:r w:rsidRPr="00740E37">
              <w:rPr>
                <w:i/>
                <w:iCs/>
              </w:rPr>
              <w:t>euro</w:t>
            </w:r>
            <w:r w:rsidRPr="00740E37">
              <w:t xml:space="preserve"> (ārstniecības iestāžu vidējais viena pacienta </w:t>
            </w:r>
            <w:r w:rsidRPr="00740E37">
              <w:t>stacionēšanas</w:t>
            </w:r>
            <w:r w:rsidRPr="00740E37">
              <w:t xml:space="preserve"> gadījuma izmaksas 2018.gadā) = 4</w:t>
            </w:r>
            <w:r>
              <w:t xml:space="preserve"> </w:t>
            </w:r>
            <w:r w:rsidRPr="00740E37">
              <w:t>655 x 661.18 </w:t>
            </w:r>
            <w:r w:rsidRPr="00740E37">
              <w:rPr>
                <w:i/>
                <w:iCs/>
              </w:rPr>
              <w:t>euro</w:t>
            </w:r>
            <w:r w:rsidRPr="00740E37">
              <w:t> = 3 077 793 </w:t>
            </w:r>
            <w:r w:rsidRPr="00740E37">
              <w:rPr>
                <w:i/>
                <w:iCs/>
              </w:rPr>
              <w:t>euro</w:t>
            </w:r>
            <w:r w:rsidRPr="00740E37">
              <w:t>. No šīs ekonomijas 2018.gadā 2 157 645 </w:t>
            </w:r>
            <w:r w:rsidRPr="00740E37">
              <w:rPr>
                <w:i/>
                <w:iCs/>
              </w:rPr>
              <w:t>euro</w:t>
            </w:r>
            <w:r w:rsidRPr="00740E37">
              <w:t> tiek novirzīti reto slimību ārstēšanai un 20 374 </w:t>
            </w:r>
            <w:r w:rsidRPr="00740E37">
              <w:rPr>
                <w:i/>
                <w:iCs/>
              </w:rPr>
              <w:t>euro</w:t>
            </w:r>
            <w:r w:rsidRPr="00740E37">
              <w:t xml:space="preserve">, lai Valsts asinsdonoru centrs nodrošinātu nekustamā īpašuma </w:t>
            </w:r>
            <w:r w:rsidRPr="00740E37">
              <w:t>Sēlspils</w:t>
            </w:r>
            <w:r w:rsidRPr="00740E37">
              <w:t xml:space="preserve"> ielā 9, Rīgā, elektrotīklu modernizācijas un teritorijas (fasādes) apgaismojuma</w:t>
            </w:r>
            <w:r>
              <w:t xml:space="preserve"> izbūves remontdarbus, un 63 772 </w:t>
            </w:r>
            <w:r>
              <w:rPr>
                <w:i/>
              </w:rPr>
              <w:t>euro</w:t>
            </w:r>
            <w:r>
              <w:rPr>
                <w:i/>
              </w:rPr>
              <w:t xml:space="preserve"> </w:t>
            </w:r>
            <w:r>
              <w:t xml:space="preserve">(25 772 </w:t>
            </w:r>
            <w:r w:rsidRPr="00034D21">
              <w:rPr>
                <w:i/>
              </w:rPr>
              <w:t>euro</w:t>
            </w:r>
            <w:r>
              <w:t xml:space="preserve"> - nodrošinot</w:t>
            </w:r>
            <w:r w:rsidRPr="00740E37">
              <w:t xml:space="preserve"> kompensācijas apmēra palielināšanu atsevišķām kompensējamo  zāļu sarakstā iekļautajām elpošanas sistēmas slimīb</w:t>
            </w:r>
            <w:r>
              <w:t xml:space="preserve">ām un retām slimībām, 38 000 </w:t>
            </w:r>
            <w:r w:rsidRPr="00034D21">
              <w:rPr>
                <w:i/>
              </w:rPr>
              <w:t>euro</w:t>
            </w:r>
            <w:r>
              <w:t xml:space="preserve"> – kompensējamiem medikamentiem ambulatorai lietošanai pēc plaušu transplantācijas). Atlikusī </w:t>
            </w:r>
            <w:r w:rsidRPr="00740E37">
              <w:t>ekonomijas summa nepieciešamības gadījumā varētu tikt novirzīta</w:t>
            </w:r>
            <w:r>
              <w:t xml:space="preserve"> </w:t>
            </w:r>
            <w:r w:rsidRPr="00740E37">
              <w:t>gada laikā plānveida stacionāro pakalpojumu (fiksēto maksājumu vai iezīmēto programmu) apmaksai, ja budžeta izpildes laikā palielināsies hospitalizāciju skaits, vai iezīmētajās programmās sniegtie pakalpojumi pārsniegs līgumā plānoto apjomu.</w:t>
            </w:r>
          </w:p>
          <w:p w:rsidR="002941F5" w:rsidRPr="00895093" w:rsidP="00F841CC" w14:paraId="0F4A1B63" w14:textId="77777777">
            <w:pPr>
              <w:pStyle w:val="NormalWeb"/>
              <w:shd w:val="clear" w:color="auto" w:fill="FFFFFF"/>
              <w:spacing w:before="0" w:beforeAutospacing="0" w:after="0" w:afterAutospacing="0"/>
              <w:ind w:firstLine="204"/>
              <w:jc w:val="both"/>
              <w:rPr>
                <w:rFonts w:ascii="Calibri" w:hAnsi="Calibri" w:cs="Calibri"/>
                <w:color w:val="000000"/>
                <w:sz w:val="22"/>
                <w:szCs w:val="22"/>
              </w:rPr>
            </w:pPr>
            <w:r>
              <w:t>Finansējuma resursi arī 2019., 2020. un 2021.gadam tiks rasti apakšprogrammas 33.18.00 „</w:t>
            </w:r>
            <w:r w:rsidRPr="007469AE">
              <w:t>Plānveida stacionāro veselības aprūpes nodrošināšana</w:t>
            </w:r>
            <w:r>
              <w:t>” ietvaros, jo iepriekšminētajā apakšprogrammā šobrīd indikatīvi tiek plānota līdzekļu ekonomija.</w:t>
            </w:r>
          </w:p>
          <w:p w:rsidR="002941F5" w:rsidRPr="00DE4BB5" w:rsidP="00F841CC" w14:paraId="2909645B"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rsidR="002941F5" w:rsidRPr="009B5D55" w:rsidP="00F841CC" w14:paraId="685BC428"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 xml:space="preserve">     </w:t>
            </w:r>
            <w:r w:rsidRPr="009B5D55">
              <w:rPr>
                <w:rFonts w:ascii="Times New Roman" w:eastAsia="Times New Roman" w:hAnsi="Times New Roman" w:cs="Times New Roman"/>
                <w:sz w:val="24"/>
                <w:szCs w:val="24"/>
                <w:shd w:val="clear" w:color="auto" w:fill="FFFFFF"/>
                <w:lang w:eastAsia="lv-LV" w:bidi="lv-LV"/>
              </w:rPr>
              <w:t xml:space="preserve">Kopējais </w:t>
            </w:r>
            <w:r>
              <w:rPr>
                <w:rFonts w:ascii="Times New Roman" w:eastAsia="Times New Roman" w:hAnsi="Times New Roman" w:cs="Times New Roman"/>
                <w:sz w:val="24"/>
                <w:szCs w:val="24"/>
                <w:shd w:val="clear" w:color="auto" w:fill="FFFFFF"/>
                <w:lang w:eastAsia="lv-LV" w:bidi="lv-LV"/>
              </w:rPr>
              <w:t>finansējums 2018.gadā</w:t>
            </w:r>
            <w:r w:rsidRPr="009B5D55">
              <w:rPr>
                <w:rFonts w:ascii="Times New Roman" w:eastAsia="Times New Roman" w:hAnsi="Times New Roman" w:cs="Times New Roman"/>
                <w:sz w:val="24"/>
                <w:szCs w:val="24"/>
                <w:shd w:val="clear" w:color="auto" w:fill="FFFFFF"/>
                <w:lang w:eastAsia="lv-LV" w:bidi="lv-LV"/>
              </w:rPr>
              <w:t>,</w:t>
            </w:r>
            <w:r>
              <w:rPr>
                <w:rFonts w:ascii="Times New Roman" w:eastAsia="Times New Roman" w:hAnsi="Times New Roman" w:cs="Times New Roman"/>
                <w:sz w:val="24"/>
                <w:szCs w:val="24"/>
                <w:shd w:val="clear" w:color="auto" w:fill="FFFFFF"/>
                <w:lang w:eastAsia="lv-LV" w:bidi="lv-LV"/>
              </w:rPr>
              <w:t xml:space="preserve"> lai īstenotu noteikumu projektā paredzētos pasākumus</w:t>
            </w:r>
            <w:r w:rsidRPr="009B5D55">
              <w:rPr>
                <w:rFonts w:ascii="Times New Roman" w:eastAsia="Times New Roman" w:hAnsi="Times New Roman" w:cs="Times New Roman"/>
                <w:sz w:val="24"/>
                <w:szCs w:val="24"/>
                <w:shd w:val="clear" w:color="auto" w:fill="FFFFFF"/>
                <w:lang w:eastAsia="lv-LV" w:bidi="lv-LV"/>
              </w:rPr>
              <w:t xml:space="preserve"> </w:t>
            </w:r>
            <w:r w:rsidRPr="002E50AD">
              <w:rPr>
                <w:rFonts w:ascii="Times New Roman" w:eastAsia="Times New Roman" w:hAnsi="Times New Roman" w:cs="Times New Roman"/>
                <w:sz w:val="24"/>
                <w:szCs w:val="24"/>
                <w:shd w:val="clear" w:color="auto" w:fill="FFFFFF"/>
                <w:lang w:eastAsia="lv-LV" w:bidi="lv-LV"/>
              </w:rPr>
              <w:t xml:space="preserve">ir </w:t>
            </w:r>
            <w:r w:rsidRPr="002E50AD">
              <w:rPr>
                <w:rFonts w:ascii="Times New Roman" w:eastAsia="Times New Roman" w:hAnsi="Times New Roman" w:cs="Times New Roman"/>
                <w:b/>
                <w:sz w:val="24"/>
                <w:szCs w:val="24"/>
                <w:shd w:val="clear" w:color="auto" w:fill="FFFFFF"/>
                <w:lang w:eastAsia="lv-LV" w:bidi="lv-LV"/>
              </w:rPr>
              <w:t>1 18</w:t>
            </w:r>
            <w:r>
              <w:rPr>
                <w:rFonts w:ascii="Times New Roman" w:eastAsia="Times New Roman" w:hAnsi="Times New Roman" w:cs="Times New Roman"/>
                <w:b/>
                <w:sz w:val="24"/>
                <w:szCs w:val="24"/>
                <w:shd w:val="clear" w:color="auto" w:fill="FFFFFF"/>
                <w:lang w:eastAsia="lv-LV" w:bidi="lv-LV"/>
              </w:rPr>
              <w:t xml:space="preserve">2 593 </w:t>
            </w:r>
            <w:r w:rsidRPr="009B5D55">
              <w:rPr>
                <w:rFonts w:ascii="Times New Roman" w:eastAsia="Times New Roman" w:hAnsi="Times New Roman" w:cs="Times New Roman"/>
                <w:b/>
                <w:i/>
                <w:sz w:val="24"/>
                <w:szCs w:val="24"/>
                <w:shd w:val="clear" w:color="auto" w:fill="FFFFFF"/>
                <w:lang w:eastAsia="lv-LV" w:bidi="lv-LV"/>
              </w:rPr>
              <w:t>euro</w:t>
            </w:r>
            <w:r w:rsidRPr="009B5D55">
              <w:rPr>
                <w:rFonts w:ascii="Times New Roman" w:eastAsia="Times New Roman" w:hAnsi="Times New Roman" w:cs="Times New Roman"/>
                <w:b/>
                <w:i/>
                <w:sz w:val="24"/>
                <w:szCs w:val="24"/>
                <w:shd w:val="clear" w:color="auto" w:fill="FFFFFF"/>
                <w:lang w:eastAsia="lv-LV" w:bidi="lv-LV"/>
              </w:rPr>
              <w:t>.</w:t>
            </w:r>
          </w:p>
          <w:p w:rsidR="002941F5" w:rsidP="00F841CC" w14:paraId="23812F37" w14:textId="77777777">
            <w:pPr>
              <w:widowControl w:val="0"/>
              <w:spacing w:after="0" w:line="240" w:lineRule="auto"/>
              <w:jc w:val="both"/>
              <w:rPr>
                <w:rFonts w:ascii="Times New Roman" w:eastAsia="Times New Roman" w:hAnsi="Times New Roman" w:cs="Times New Roman"/>
                <w:sz w:val="24"/>
                <w:szCs w:val="24"/>
                <w:lang w:eastAsia="lv-LV"/>
              </w:rPr>
            </w:pPr>
          </w:p>
          <w:p w:rsidR="002941F5" w:rsidRPr="005C77F6" w:rsidP="00F841CC" w14:paraId="2DFD0E0C" w14:textId="77777777">
            <w:pPr>
              <w:widowControl w:val="0"/>
              <w:spacing w:after="0" w:line="240" w:lineRule="auto"/>
              <w:jc w:val="both"/>
              <w:rPr>
                <w:rFonts w:ascii="Times New Roman" w:eastAsia="Times New Roman" w:hAnsi="Times New Roman" w:cs="Times New Roman"/>
                <w:b/>
                <w:i/>
                <w:sz w:val="24"/>
                <w:szCs w:val="24"/>
                <w:u w:val="single"/>
                <w:lang w:eastAsia="lv-LV"/>
              </w:rPr>
            </w:pPr>
            <w:r>
              <w:rPr>
                <w:rFonts w:ascii="Times New Roman" w:eastAsia="Times New Roman" w:hAnsi="Times New Roman" w:cs="Times New Roman"/>
                <w:b/>
                <w:i/>
                <w:sz w:val="24"/>
                <w:szCs w:val="24"/>
                <w:u w:val="single"/>
                <w:lang w:eastAsia="lv-LV"/>
              </w:rPr>
              <w:t>Ietekme 2019.gadā</w:t>
            </w:r>
          </w:p>
          <w:p w:rsidR="002941F5" w:rsidP="00F841CC" w14:paraId="6010BD9F" w14:textId="77777777">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674374">
              <w:rPr>
                <w:rFonts w:ascii="Times New Roman" w:eastAsia="Times New Roman" w:hAnsi="Times New Roman" w:cs="Times New Roman"/>
                <w:iCs/>
                <w:sz w:val="24"/>
                <w:szCs w:val="24"/>
                <w:lang w:eastAsia="lv-LV"/>
              </w:rPr>
              <w:t>Noteikumu projekts paredz</w:t>
            </w:r>
            <w:r>
              <w:rPr>
                <w:rFonts w:ascii="Times New Roman" w:eastAsia="Times New Roman" w:hAnsi="Times New Roman" w:cs="Times New Roman"/>
                <w:iCs/>
                <w:sz w:val="24"/>
                <w:szCs w:val="24"/>
                <w:lang w:eastAsia="lv-LV"/>
              </w:rPr>
              <w:t xml:space="preserve"> sievietēm </w:t>
            </w:r>
            <w:r>
              <w:rPr>
                <w:rFonts w:ascii="Times New Roman" w:eastAsia="Times New Roman" w:hAnsi="Times New Roman" w:cs="Times New Roman"/>
                <w:iCs/>
                <w:sz w:val="24"/>
                <w:szCs w:val="24"/>
                <w:lang w:eastAsia="lv-LV"/>
              </w:rPr>
              <w:t>pēcdzemdību</w:t>
            </w:r>
            <w:r>
              <w:rPr>
                <w:rFonts w:ascii="Times New Roman" w:eastAsia="Times New Roman" w:hAnsi="Times New Roman" w:cs="Times New Roman"/>
                <w:iCs/>
                <w:sz w:val="24"/>
                <w:szCs w:val="24"/>
                <w:lang w:eastAsia="lv-LV"/>
              </w:rPr>
              <w:t xml:space="preserve"> periodā turpmāk saņemt kompensējamos medikamentus 70 dienas pēc dzemdībām līdzšinējo 42 dienu laikā </w:t>
            </w:r>
            <w:r w:rsidRPr="000F4B3D">
              <w:rPr>
                <w:rFonts w:ascii="Times New Roman" w:eastAsia="Times New Roman" w:hAnsi="Times New Roman" w:cs="Times New Roman"/>
                <w:b/>
                <w:iCs/>
                <w:sz w:val="24"/>
                <w:szCs w:val="24"/>
                <w:lang w:eastAsia="lv-LV"/>
              </w:rPr>
              <w:t>2 78</w:t>
            </w:r>
            <w:r>
              <w:rPr>
                <w:rFonts w:ascii="Times New Roman" w:eastAsia="Times New Roman" w:hAnsi="Times New Roman" w:cs="Times New Roman"/>
                <w:b/>
                <w:iCs/>
                <w:sz w:val="24"/>
                <w:szCs w:val="24"/>
                <w:lang w:eastAsia="lv-LV"/>
              </w:rPr>
              <w:t>8</w:t>
            </w:r>
            <w:r>
              <w:rPr>
                <w:rFonts w:ascii="Times New Roman" w:eastAsia="Times New Roman" w:hAnsi="Times New Roman" w:cs="Times New Roman"/>
                <w:iCs/>
                <w:sz w:val="24"/>
                <w:szCs w:val="24"/>
                <w:lang w:eastAsia="lv-LV"/>
              </w:rPr>
              <w:t xml:space="preserve"> </w:t>
            </w:r>
            <w:r w:rsidRPr="000F4B3D">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w:t>
            </w:r>
            <w:r w:rsidRPr="006743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skat.</w:t>
            </w:r>
            <w:r w:rsidRPr="00674374">
              <w:rPr>
                <w:rFonts w:ascii="Times New Roman" w:eastAsia="Times New Roman" w:hAnsi="Times New Roman" w:cs="Times New Roman"/>
                <w:iCs/>
                <w:sz w:val="24"/>
                <w:szCs w:val="24"/>
                <w:lang w:eastAsia="lv-LV"/>
              </w:rPr>
              <w:t xml:space="preserve"> tabulu Nr.</w:t>
            </w:r>
            <w:r>
              <w:rPr>
                <w:rFonts w:ascii="Times New Roman" w:eastAsia="Times New Roman" w:hAnsi="Times New Roman" w:cs="Times New Roman"/>
                <w:iCs/>
                <w:sz w:val="24"/>
                <w:szCs w:val="24"/>
                <w:lang w:eastAsia="lv-LV"/>
              </w:rPr>
              <w:t>6</w:t>
            </w:r>
            <w:r w:rsidRPr="002552DA">
              <w:rPr>
                <w:rFonts w:ascii="Times New Roman" w:eastAsia="Times New Roman" w:hAnsi="Times New Roman" w:cs="Times New Roman"/>
                <w:iCs/>
                <w:sz w:val="24"/>
                <w:szCs w:val="24"/>
                <w:lang w:eastAsia="lv-LV"/>
              </w:rPr>
              <w:t xml:space="preserve">.   Iepriekšminētais pasākums tiks īstenots </w:t>
            </w:r>
            <w:r w:rsidRPr="002552DA">
              <w:rPr>
                <w:rFonts w:ascii="Times New Roman" w:eastAsia="Times New Roman" w:hAnsi="Times New Roman" w:cs="Times New Roman"/>
                <w:sz w:val="24"/>
                <w:szCs w:val="24"/>
                <w:shd w:val="clear" w:color="auto" w:fill="FFFFFF"/>
                <w:lang w:eastAsia="lv-LV" w:bidi="lv-LV"/>
              </w:rPr>
              <w:t>apakšprogrammas 33.03.00 „Kompensējamo medikamentu un materiālu apmaksāšana” ietvaros.</w:t>
            </w:r>
          </w:p>
          <w:p w:rsidR="002941F5" w:rsidRPr="00535D66" w:rsidP="00F841CC" w14:paraId="7D475FBD" w14:textId="77777777">
            <w:pPr>
              <w:widowControl w:val="0"/>
              <w:spacing w:after="0" w:line="240" w:lineRule="auto"/>
              <w:ind w:firstLine="209"/>
              <w:jc w:val="right"/>
              <w:rPr>
                <w:rFonts w:ascii="Times New Roman" w:eastAsia="Times New Roman" w:hAnsi="Times New Roman" w:cs="Times New Roman"/>
                <w:i/>
                <w:sz w:val="24"/>
                <w:szCs w:val="24"/>
                <w:shd w:val="clear" w:color="auto" w:fill="FFFFFF"/>
                <w:lang w:eastAsia="lv-LV" w:bidi="lv-LV"/>
              </w:rPr>
            </w:pPr>
            <w:r>
              <w:rPr>
                <w:rFonts w:ascii="Times New Roman" w:eastAsia="Times New Roman" w:hAnsi="Times New Roman" w:cs="Times New Roman"/>
                <w:i/>
                <w:sz w:val="24"/>
                <w:szCs w:val="24"/>
                <w:shd w:val="clear" w:color="auto" w:fill="FFFFFF"/>
                <w:lang w:eastAsia="lv-LV" w:bidi="lv-LV"/>
              </w:rPr>
              <w:t>Tabula Nr.6</w:t>
            </w:r>
          </w:p>
          <w:tbl>
            <w:tblPr>
              <w:tblW w:w="7721" w:type="dxa"/>
              <w:tblLayout w:type="fixed"/>
              <w:tblLook w:val="04A0"/>
            </w:tblPr>
            <w:tblGrid>
              <w:gridCol w:w="426"/>
              <w:gridCol w:w="3197"/>
              <w:gridCol w:w="1317"/>
              <w:gridCol w:w="1420"/>
              <w:gridCol w:w="1361"/>
            </w:tblGrid>
            <w:tr w14:paraId="33681C29" w14:textId="77777777" w:rsidTr="00F841CC">
              <w:tblPrEx>
                <w:tblW w:w="7721" w:type="dxa"/>
                <w:tblLayout w:type="fixed"/>
                <w:tblLook w:val="04A0"/>
              </w:tblPrEx>
              <w:trPr>
                <w:trHeight w:val="960"/>
              </w:trPr>
              <w:tc>
                <w:tcPr>
                  <w:tcW w:w="3623"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F84705" w:rsidP="00F841CC" w14:paraId="3630D3D7" w14:textId="77777777">
                  <w:pPr>
                    <w:spacing w:after="0" w:line="240" w:lineRule="auto"/>
                    <w:jc w:val="center"/>
                    <w:rPr>
                      <w:rFonts w:ascii="Times New Roman" w:eastAsia="Times New Roman" w:hAnsi="Times New Roman" w:cs="Times New Roman"/>
                      <w:b/>
                      <w:bCs/>
                      <w:sz w:val="18"/>
                      <w:szCs w:val="18"/>
                      <w:lang w:eastAsia="lv-LV"/>
                    </w:rPr>
                  </w:pPr>
                  <w:r w:rsidRPr="00F84705">
                    <w:rPr>
                      <w:rFonts w:ascii="Times New Roman" w:eastAsia="Times New Roman" w:hAnsi="Times New Roman" w:cs="Times New Roman"/>
                      <w:b/>
                      <w:bCs/>
                      <w:sz w:val="18"/>
                      <w:szCs w:val="18"/>
                      <w:lang w:eastAsia="lv-LV"/>
                    </w:rPr>
                    <w:t> </w:t>
                  </w:r>
                </w:p>
              </w:tc>
              <w:tc>
                <w:tcPr>
                  <w:tcW w:w="1317" w:type="dxa"/>
                  <w:tcBorders>
                    <w:top w:val="single" w:sz="4" w:space="0" w:color="auto"/>
                    <w:left w:val="nil"/>
                    <w:bottom w:val="single" w:sz="4" w:space="0" w:color="auto"/>
                    <w:right w:val="single" w:sz="4" w:space="0" w:color="auto"/>
                  </w:tcBorders>
                  <w:shd w:val="clear" w:color="auto" w:fill="FFC000"/>
                  <w:vAlign w:val="center"/>
                  <w:hideMark/>
                </w:tcPr>
                <w:p w:rsidR="002941F5" w:rsidRPr="00F84705" w:rsidP="00F841CC" w14:paraId="0A3BB474" w14:textId="77777777">
                  <w:pPr>
                    <w:spacing w:after="0" w:line="240" w:lineRule="auto"/>
                    <w:jc w:val="center"/>
                    <w:rPr>
                      <w:rFonts w:ascii="Times New Roman" w:eastAsia="Times New Roman" w:hAnsi="Times New Roman" w:cs="Times New Roman"/>
                      <w:sz w:val="18"/>
                      <w:szCs w:val="18"/>
                      <w:lang w:eastAsia="lv-LV"/>
                    </w:rPr>
                  </w:pPr>
                  <w:r w:rsidRPr="00F84705">
                    <w:rPr>
                      <w:rFonts w:ascii="Times New Roman" w:eastAsia="Times New Roman" w:hAnsi="Times New Roman" w:cs="Times New Roman"/>
                      <w:sz w:val="18"/>
                      <w:szCs w:val="18"/>
                      <w:lang w:eastAsia="lv-LV"/>
                    </w:rPr>
                    <w:t>Unikālo pacientu skaits 2017. gadā</w:t>
                  </w:r>
                </w:p>
              </w:tc>
              <w:tc>
                <w:tcPr>
                  <w:tcW w:w="1420" w:type="dxa"/>
                  <w:tcBorders>
                    <w:top w:val="single" w:sz="4" w:space="0" w:color="auto"/>
                    <w:left w:val="nil"/>
                    <w:bottom w:val="single" w:sz="4" w:space="0" w:color="auto"/>
                    <w:right w:val="single" w:sz="4" w:space="0" w:color="auto"/>
                  </w:tcBorders>
                  <w:shd w:val="clear" w:color="auto" w:fill="FFC000"/>
                  <w:vAlign w:val="center"/>
                  <w:hideMark/>
                </w:tcPr>
                <w:p w:rsidR="002941F5" w:rsidRPr="00F84705" w:rsidP="00F841CC" w14:paraId="2F867559" w14:textId="77777777">
                  <w:pPr>
                    <w:spacing w:after="0" w:line="240" w:lineRule="auto"/>
                    <w:jc w:val="center"/>
                    <w:rPr>
                      <w:rFonts w:ascii="Times New Roman" w:eastAsia="Times New Roman" w:hAnsi="Times New Roman" w:cs="Times New Roman"/>
                      <w:sz w:val="18"/>
                      <w:szCs w:val="18"/>
                      <w:lang w:eastAsia="lv-LV"/>
                    </w:rPr>
                  </w:pPr>
                  <w:r w:rsidRPr="00F84705">
                    <w:rPr>
                      <w:rFonts w:ascii="Times New Roman" w:eastAsia="Times New Roman" w:hAnsi="Times New Roman" w:cs="Times New Roman"/>
                      <w:sz w:val="18"/>
                      <w:szCs w:val="18"/>
                      <w:lang w:eastAsia="lv-LV"/>
                    </w:rPr>
                    <w:t xml:space="preserve">Vidējās izmaksas uz 1 pacientu 1 dienā, </w:t>
                  </w:r>
                  <w:r w:rsidRPr="00F84705">
                    <w:rPr>
                      <w:rFonts w:ascii="Times New Roman" w:eastAsia="Times New Roman" w:hAnsi="Times New Roman" w:cs="Times New Roman"/>
                      <w:i/>
                      <w:iCs/>
                      <w:sz w:val="18"/>
                      <w:szCs w:val="18"/>
                      <w:lang w:eastAsia="lv-LV"/>
                    </w:rPr>
                    <w:t>euro</w:t>
                  </w:r>
                </w:p>
              </w:tc>
              <w:tc>
                <w:tcPr>
                  <w:tcW w:w="1361" w:type="dxa"/>
                  <w:tcBorders>
                    <w:top w:val="single" w:sz="4" w:space="0" w:color="auto"/>
                    <w:left w:val="nil"/>
                    <w:bottom w:val="single" w:sz="4" w:space="0" w:color="auto"/>
                    <w:right w:val="single" w:sz="4" w:space="0" w:color="auto"/>
                  </w:tcBorders>
                  <w:shd w:val="clear" w:color="auto" w:fill="FFC000"/>
                  <w:vAlign w:val="center"/>
                  <w:hideMark/>
                </w:tcPr>
                <w:p w:rsidR="002941F5" w:rsidRPr="00F84705" w:rsidP="00F841CC" w14:paraId="54509B71" w14:textId="77777777">
                  <w:pPr>
                    <w:spacing w:after="0" w:line="240" w:lineRule="auto"/>
                    <w:jc w:val="center"/>
                    <w:rPr>
                      <w:rFonts w:ascii="Times New Roman" w:eastAsia="Times New Roman" w:hAnsi="Times New Roman" w:cs="Times New Roman"/>
                      <w:sz w:val="18"/>
                      <w:szCs w:val="18"/>
                      <w:lang w:eastAsia="lv-LV"/>
                    </w:rPr>
                  </w:pPr>
                  <w:r w:rsidRPr="00F84705">
                    <w:rPr>
                      <w:rFonts w:ascii="Times New Roman" w:eastAsia="Times New Roman" w:hAnsi="Times New Roman" w:cs="Times New Roman"/>
                      <w:sz w:val="18"/>
                      <w:szCs w:val="18"/>
                      <w:lang w:eastAsia="lv-LV"/>
                    </w:rPr>
                    <w:t xml:space="preserve">Prognozētais nepieciešamais </w:t>
                  </w:r>
                  <w:r w:rsidRPr="00F84705">
                    <w:rPr>
                      <w:rFonts w:ascii="Times New Roman" w:eastAsia="Times New Roman" w:hAnsi="Times New Roman" w:cs="Times New Roman"/>
                      <w:sz w:val="18"/>
                      <w:szCs w:val="18"/>
                      <w:lang w:eastAsia="lv-LV"/>
                    </w:rPr>
                    <w:br/>
                    <w:t xml:space="preserve">finansējums, </w:t>
                  </w:r>
                  <w:r w:rsidRPr="00F84705">
                    <w:rPr>
                      <w:rFonts w:ascii="Times New Roman" w:eastAsia="Times New Roman" w:hAnsi="Times New Roman" w:cs="Times New Roman"/>
                      <w:i/>
                      <w:iCs/>
                      <w:sz w:val="18"/>
                      <w:szCs w:val="18"/>
                      <w:lang w:eastAsia="lv-LV"/>
                    </w:rPr>
                    <w:t>euro</w:t>
                  </w:r>
                  <w:r w:rsidRPr="00F84705">
                    <w:rPr>
                      <w:rFonts w:ascii="Times New Roman" w:eastAsia="Times New Roman" w:hAnsi="Times New Roman" w:cs="Times New Roman"/>
                      <w:i/>
                      <w:iCs/>
                      <w:sz w:val="18"/>
                      <w:szCs w:val="18"/>
                      <w:lang w:eastAsia="lv-LV"/>
                    </w:rPr>
                    <w:t xml:space="preserve"> </w:t>
                  </w:r>
                  <w:r w:rsidRPr="00F84705">
                    <w:rPr>
                      <w:rFonts w:ascii="Times New Roman" w:eastAsia="Times New Roman" w:hAnsi="Times New Roman" w:cs="Times New Roman"/>
                      <w:sz w:val="18"/>
                      <w:szCs w:val="18"/>
                      <w:lang w:eastAsia="lv-LV"/>
                    </w:rPr>
                    <w:t>gadā</w:t>
                  </w:r>
                </w:p>
              </w:tc>
            </w:tr>
            <w:tr w14:paraId="260268C0" w14:textId="77777777" w:rsidTr="00F841CC">
              <w:tblPrEx>
                <w:tblW w:w="7721" w:type="dxa"/>
                <w:tblLayout w:type="fixed"/>
                <w:tblLook w:val="04A0"/>
              </w:tblPrEx>
              <w:trPr>
                <w:trHeight w:val="645"/>
              </w:trPr>
              <w:tc>
                <w:tcPr>
                  <w:tcW w:w="3623"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2941F5" w:rsidRPr="00535D66" w:rsidP="00F841CC" w14:paraId="3C0D3021"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xml:space="preserve">Sievietēm </w:t>
                  </w:r>
                  <w:r w:rsidRPr="00535D66">
                    <w:rPr>
                      <w:rFonts w:ascii="Times New Roman" w:eastAsia="Times New Roman" w:hAnsi="Times New Roman" w:cs="Times New Roman"/>
                      <w:sz w:val="18"/>
                      <w:szCs w:val="18"/>
                      <w:lang w:eastAsia="lv-LV"/>
                    </w:rPr>
                    <w:t>pēcdzemdību</w:t>
                  </w:r>
                  <w:r w:rsidRPr="00535D66">
                    <w:rPr>
                      <w:rFonts w:ascii="Times New Roman" w:eastAsia="Times New Roman" w:hAnsi="Times New Roman" w:cs="Times New Roman"/>
                      <w:sz w:val="18"/>
                      <w:szCs w:val="18"/>
                      <w:lang w:eastAsia="lv-LV"/>
                    </w:rPr>
                    <w:t xml:space="preserve"> periodā, kas varēs saņemt zāles 70 dienas pēc dzemdībām, līdzšinējo 42 dienu vietā</w:t>
                  </w:r>
                </w:p>
              </w:tc>
              <w:tc>
                <w:tcPr>
                  <w:tcW w:w="131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60FC36A8"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46C9AE9C"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423C7FDF" w14:textId="77777777">
                  <w:pPr>
                    <w:spacing w:after="0" w:line="240" w:lineRule="auto"/>
                    <w:rPr>
                      <w:rFonts w:ascii="Times New Roman" w:eastAsia="Times New Roman" w:hAnsi="Times New Roman" w:cs="Times New Roman"/>
                      <w:sz w:val="18"/>
                      <w:szCs w:val="18"/>
                      <w:lang w:eastAsia="lv-LV"/>
                    </w:rPr>
                  </w:pPr>
                </w:p>
              </w:tc>
            </w:tr>
            <w:tr w14:paraId="47AE2E42" w14:textId="77777777" w:rsidTr="00F841CC">
              <w:tblPrEx>
                <w:tblW w:w="7721" w:type="dxa"/>
                <w:tblLayout w:type="fixed"/>
                <w:tblLook w:val="04A0"/>
              </w:tblPrEx>
              <w:trPr>
                <w:trHeight w:val="300"/>
              </w:trPr>
              <w:tc>
                <w:tcPr>
                  <w:tcW w:w="426" w:type="dxa"/>
                  <w:tcBorders>
                    <w:top w:val="nil"/>
                    <w:left w:val="single" w:sz="4" w:space="0" w:color="auto"/>
                    <w:bottom w:val="single" w:sz="4" w:space="0" w:color="auto"/>
                    <w:right w:val="nil"/>
                  </w:tcBorders>
                  <w:shd w:val="clear" w:color="auto" w:fill="F2F2F2" w:themeFill="background1" w:themeFillShade="F2"/>
                  <w:noWrap/>
                  <w:vAlign w:val="center"/>
                  <w:hideMark/>
                </w:tcPr>
                <w:p w:rsidR="002941F5" w:rsidRPr="00535D66" w:rsidP="00F841CC" w14:paraId="45796651"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w:t>
                  </w:r>
                </w:p>
              </w:tc>
              <w:tc>
                <w:tcPr>
                  <w:tcW w:w="31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535D66" w:rsidP="00F841CC" w14:paraId="5D56FFB9"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42 dienas</w:t>
                  </w:r>
                </w:p>
              </w:tc>
              <w:tc>
                <w:tcPr>
                  <w:tcW w:w="1317"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6D9D554A"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47DDE61A"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26D154C7"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xml:space="preserve">4 </w:t>
                  </w:r>
                  <w:r>
                    <w:rPr>
                      <w:rFonts w:ascii="Times New Roman" w:eastAsia="Times New Roman" w:hAnsi="Times New Roman" w:cs="Times New Roman"/>
                      <w:sz w:val="18"/>
                      <w:szCs w:val="18"/>
                      <w:lang w:eastAsia="lv-LV"/>
                    </w:rPr>
                    <w:t>181</w:t>
                  </w:r>
                </w:p>
              </w:tc>
            </w:tr>
            <w:tr w14:paraId="67B810CC" w14:textId="77777777" w:rsidTr="00F841CC">
              <w:tblPrEx>
                <w:tblW w:w="7721" w:type="dxa"/>
                <w:tblLayout w:type="fixed"/>
                <w:tblLook w:val="04A0"/>
              </w:tblPrEx>
              <w:trPr>
                <w:trHeight w:val="300"/>
              </w:trPr>
              <w:tc>
                <w:tcPr>
                  <w:tcW w:w="426" w:type="dxa"/>
                  <w:tcBorders>
                    <w:top w:val="nil"/>
                    <w:left w:val="single" w:sz="4" w:space="0" w:color="auto"/>
                    <w:bottom w:val="single" w:sz="4" w:space="0" w:color="auto"/>
                    <w:right w:val="nil"/>
                  </w:tcBorders>
                  <w:shd w:val="clear" w:color="auto" w:fill="F2F2F2" w:themeFill="background1" w:themeFillShade="F2"/>
                  <w:noWrap/>
                  <w:vAlign w:val="center"/>
                  <w:hideMark/>
                </w:tcPr>
                <w:p w:rsidR="002941F5" w:rsidRPr="00535D66" w:rsidP="00F841CC" w14:paraId="00317D43"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 </w:t>
                  </w:r>
                </w:p>
              </w:tc>
              <w:tc>
                <w:tcPr>
                  <w:tcW w:w="31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535D66" w:rsidP="00F841CC" w14:paraId="059F1A4E" w14:textId="77777777">
                  <w:pPr>
                    <w:spacing w:after="0" w:line="240" w:lineRule="auto"/>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70 dienas</w:t>
                  </w:r>
                </w:p>
              </w:tc>
              <w:tc>
                <w:tcPr>
                  <w:tcW w:w="1317"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43C0E732"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257</w:t>
                  </w:r>
                </w:p>
              </w:tc>
              <w:tc>
                <w:tcPr>
                  <w:tcW w:w="142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535D66" w:rsidP="00F841CC" w14:paraId="5A724E9A" w14:textId="77777777">
                  <w:pPr>
                    <w:spacing w:after="0" w:line="240" w:lineRule="auto"/>
                    <w:jc w:val="center"/>
                    <w:rPr>
                      <w:rFonts w:ascii="Times New Roman" w:eastAsia="Times New Roman" w:hAnsi="Times New Roman" w:cs="Times New Roman"/>
                      <w:sz w:val="18"/>
                      <w:szCs w:val="18"/>
                      <w:lang w:eastAsia="lv-LV"/>
                    </w:rPr>
                  </w:pPr>
                  <w:r w:rsidRPr="00535D66">
                    <w:rPr>
                      <w:rFonts w:ascii="Times New Roman" w:eastAsia="Times New Roman" w:hAnsi="Times New Roman" w:cs="Times New Roman"/>
                      <w:sz w:val="18"/>
                      <w:szCs w:val="18"/>
                      <w:lang w:eastAsia="lv-LV"/>
                    </w:rPr>
                    <w:t>0.39</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6E3E510B" w14:textId="7777777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6 969</w:t>
                  </w:r>
                </w:p>
              </w:tc>
            </w:tr>
            <w:tr w14:paraId="678AD6FF" w14:textId="77777777" w:rsidTr="00F841CC">
              <w:tblPrEx>
                <w:tblW w:w="7721" w:type="dxa"/>
                <w:tblLayout w:type="fixed"/>
                <w:tblLook w:val="04A0"/>
              </w:tblPrEx>
              <w:trPr>
                <w:trHeight w:val="420"/>
              </w:trPr>
              <w:tc>
                <w:tcPr>
                  <w:tcW w:w="6360"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2941F5" w:rsidRPr="00535D66" w:rsidP="00F841CC" w14:paraId="1B69616A" w14:textId="77777777">
                  <w:pPr>
                    <w:spacing w:after="0" w:line="240" w:lineRule="auto"/>
                    <w:rPr>
                      <w:rFonts w:ascii="Times New Roman" w:eastAsia="Times New Roman" w:hAnsi="Times New Roman" w:cs="Times New Roman"/>
                      <w:color w:val="000000"/>
                      <w:sz w:val="18"/>
                      <w:szCs w:val="18"/>
                      <w:lang w:eastAsia="lv-LV"/>
                    </w:rPr>
                  </w:pPr>
                  <w:r w:rsidRPr="00535D66">
                    <w:rPr>
                      <w:rFonts w:ascii="Times New Roman" w:eastAsia="Times New Roman" w:hAnsi="Times New Roman" w:cs="Times New Roman"/>
                      <w:color w:val="000000"/>
                      <w:sz w:val="18"/>
                      <w:szCs w:val="18"/>
                      <w:lang w:eastAsia="lv-LV"/>
                    </w:rPr>
                    <w:t xml:space="preserve">Kopā papildus nepieciešamais finansējums, </w:t>
                  </w:r>
                  <w:r w:rsidRPr="00535D66">
                    <w:rPr>
                      <w:rFonts w:ascii="Times New Roman" w:eastAsia="Times New Roman" w:hAnsi="Times New Roman" w:cs="Times New Roman"/>
                      <w:i/>
                      <w:iCs/>
                      <w:color w:val="000000"/>
                      <w:sz w:val="18"/>
                      <w:szCs w:val="18"/>
                      <w:lang w:eastAsia="lv-LV"/>
                    </w:rPr>
                    <w:t>euro</w:t>
                  </w:r>
                  <w:r w:rsidRPr="00535D66">
                    <w:rPr>
                      <w:rFonts w:ascii="Times New Roman" w:eastAsia="Times New Roman" w:hAnsi="Times New Roman" w:cs="Times New Roman"/>
                      <w:i/>
                      <w:iCs/>
                      <w:color w:val="000000"/>
                      <w:sz w:val="18"/>
                      <w:szCs w:val="18"/>
                      <w:lang w:eastAsia="lv-LV"/>
                    </w:rPr>
                    <w:t>:</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535D66" w:rsidP="00F841CC" w14:paraId="34CAEA4A" w14:textId="7777777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2 788</w:t>
                  </w:r>
                </w:p>
              </w:tc>
            </w:tr>
          </w:tbl>
          <w:p w:rsidR="002941F5" w:rsidP="00F841CC" w14:paraId="5466E4BB" w14:textId="77777777">
            <w:pPr>
              <w:widowControl w:val="0"/>
              <w:spacing w:after="0" w:line="240" w:lineRule="auto"/>
              <w:jc w:val="both"/>
              <w:rPr>
                <w:rFonts w:ascii="Times New Roman" w:eastAsia="Times New Roman" w:hAnsi="Times New Roman" w:cs="Times New Roman"/>
                <w:sz w:val="24"/>
                <w:szCs w:val="24"/>
                <w:u w:val="single"/>
                <w:lang w:eastAsia="lv-LV"/>
              </w:rPr>
            </w:pPr>
          </w:p>
          <w:p w:rsidR="002941F5" w:rsidRPr="00455B94" w:rsidP="00F841CC" w14:paraId="0A61A996" w14:textId="77777777">
            <w:pPr>
              <w:pStyle w:val="ListParagraph"/>
              <w:widowControl w:val="0"/>
              <w:spacing w:after="0" w:line="240" w:lineRule="auto"/>
              <w:ind w:left="8" w:firstLine="283"/>
              <w:jc w:val="both"/>
              <w:rPr>
                <w:rFonts w:ascii="Times New Roman" w:eastAsia="Times New Roman" w:hAnsi="Times New Roman" w:cs="Times New Roman"/>
                <w:sz w:val="24"/>
                <w:szCs w:val="24"/>
                <w:shd w:val="clear" w:color="auto" w:fill="FFFFFF"/>
                <w:lang w:eastAsia="lv-LV" w:bidi="lv-LV"/>
              </w:rPr>
            </w:pPr>
            <w:r w:rsidRPr="009536A7">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elpošanas sistēmas slimībām </w:t>
            </w:r>
            <w:r w:rsidRPr="009536A7">
              <w:rPr>
                <w:rFonts w:ascii="Times New Roman" w:eastAsia="Times New Roman" w:hAnsi="Times New Roman" w:cs="Times New Roman"/>
                <w:b/>
                <w:iCs/>
                <w:sz w:val="24"/>
                <w:szCs w:val="24"/>
                <w:lang w:eastAsia="lv-LV"/>
              </w:rPr>
              <w:t xml:space="preserve">7 919 </w:t>
            </w:r>
            <w:r w:rsidRPr="009536A7">
              <w:rPr>
                <w:rFonts w:ascii="Times New Roman" w:eastAsia="Times New Roman" w:hAnsi="Times New Roman" w:cs="Times New Roman"/>
                <w:b/>
                <w:i/>
                <w:iCs/>
                <w:sz w:val="24"/>
                <w:szCs w:val="24"/>
                <w:lang w:eastAsia="lv-LV"/>
              </w:rPr>
              <w:t>euro</w:t>
            </w:r>
            <w:r>
              <w:rPr>
                <w:rFonts w:ascii="Times New Roman" w:eastAsia="Times New Roman" w:hAnsi="Times New Roman" w:cs="Times New Roman"/>
                <w:iCs/>
                <w:sz w:val="24"/>
                <w:szCs w:val="24"/>
                <w:lang w:eastAsia="lv-LV"/>
              </w:rPr>
              <w:t xml:space="preserve"> apmērā, skat., tabulu Nr.7</w:t>
            </w:r>
            <w:r w:rsidRPr="00455B94">
              <w:rPr>
                <w:rFonts w:ascii="Times New Roman" w:eastAsia="Times New Roman" w:hAnsi="Times New Roman" w:cs="Times New Roman"/>
                <w:iCs/>
                <w:sz w:val="24"/>
                <w:szCs w:val="24"/>
                <w:lang w:eastAsia="lv-LV"/>
              </w:rPr>
              <w:t xml:space="preserve">. Iepriekšminētais pasākums tiks īstenots veicot apropriācijas pārdali no </w:t>
            </w:r>
            <w:r w:rsidRPr="00455B94">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uz apakšprogrammu 33.03.00 “</w:t>
            </w:r>
            <w:r w:rsidRPr="00455B94">
              <w:rPr>
                <w:rFonts w:ascii="Times New Roman" w:hAnsi="Times New Roman" w:cs="Times New Roman"/>
                <w:sz w:val="24"/>
                <w:szCs w:val="24"/>
              </w:rPr>
              <w:t>Kompensējamo medikamentu un materiālu apmaksāšana</w:t>
            </w:r>
            <w:r w:rsidRPr="00455B94">
              <w:rPr>
                <w:rFonts w:ascii="Times New Roman" w:eastAsia="Times New Roman" w:hAnsi="Times New Roman" w:cs="Times New Roman"/>
                <w:sz w:val="24"/>
                <w:szCs w:val="24"/>
                <w:shd w:val="clear" w:color="auto" w:fill="FFFFFF"/>
                <w:lang w:eastAsia="lv-LV" w:bidi="lv-LV"/>
              </w:rPr>
              <w:t>”.</w:t>
            </w:r>
          </w:p>
          <w:p w:rsidR="002941F5" w:rsidRPr="00F75604" w:rsidP="00F841CC" w14:paraId="5FB39630"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Nr.7</w:t>
            </w:r>
          </w:p>
          <w:tbl>
            <w:tblPr>
              <w:tblW w:w="7751" w:type="dxa"/>
              <w:tblLayout w:type="fixed"/>
              <w:tblLook w:val="04A0"/>
            </w:tblPr>
            <w:tblGrid>
              <w:gridCol w:w="532"/>
              <w:gridCol w:w="2992"/>
              <w:gridCol w:w="1421"/>
              <w:gridCol w:w="1270"/>
              <w:gridCol w:w="1536"/>
            </w:tblGrid>
            <w:tr w14:paraId="5C466193" w14:textId="77777777" w:rsidTr="00F841CC">
              <w:tblPrEx>
                <w:tblW w:w="7751" w:type="dxa"/>
                <w:tblLayout w:type="fixed"/>
                <w:tblLook w:val="04A0"/>
              </w:tblPrEx>
              <w:trPr>
                <w:trHeight w:val="1035"/>
              </w:trPr>
              <w:tc>
                <w:tcPr>
                  <w:tcW w:w="3524"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550103" w:rsidP="00F841CC" w14:paraId="0795A035" w14:textId="77777777">
                  <w:pPr>
                    <w:spacing w:after="0" w:line="240" w:lineRule="auto"/>
                    <w:jc w:val="center"/>
                    <w:rPr>
                      <w:rFonts w:ascii="Times New Roman" w:eastAsia="Times New Roman" w:hAnsi="Times New Roman" w:cs="Times New Roman"/>
                      <w:b/>
                      <w:bCs/>
                      <w:sz w:val="16"/>
                      <w:szCs w:val="16"/>
                      <w:lang w:eastAsia="lv-LV"/>
                    </w:rPr>
                  </w:pPr>
                  <w:r w:rsidRPr="00550103">
                    <w:rPr>
                      <w:rFonts w:ascii="Times New Roman" w:eastAsia="Times New Roman" w:hAnsi="Times New Roman" w:cs="Times New Roman"/>
                      <w:b/>
                      <w:bCs/>
                      <w:sz w:val="16"/>
                      <w:szCs w:val="16"/>
                      <w:lang w:eastAsia="lv-LV"/>
                    </w:rPr>
                    <w:t> </w:t>
                  </w:r>
                </w:p>
              </w:tc>
              <w:tc>
                <w:tcPr>
                  <w:tcW w:w="1421"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122FD2E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Unikālo pacientu skaits 2017. gadā</w:t>
                  </w:r>
                </w:p>
              </w:tc>
              <w:tc>
                <w:tcPr>
                  <w:tcW w:w="1270"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4FBA532A"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Vidējās izmaksas uz 1 pacientu, </w:t>
                  </w:r>
                  <w:r w:rsidRPr="00550103">
                    <w:rPr>
                      <w:rFonts w:ascii="Times New Roman" w:eastAsia="Times New Roman" w:hAnsi="Times New Roman" w:cs="Times New Roman"/>
                      <w:i/>
                      <w:iCs/>
                      <w:sz w:val="16"/>
                      <w:szCs w:val="16"/>
                      <w:lang w:eastAsia="lv-LV"/>
                    </w:rPr>
                    <w:t>euro</w:t>
                  </w:r>
                </w:p>
              </w:tc>
              <w:tc>
                <w:tcPr>
                  <w:tcW w:w="1536"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3A154009"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Prognozētais nepieciešamais papildus</w:t>
                  </w:r>
                  <w:r w:rsidRPr="00550103">
                    <w:rPr>
                      <w:rFonts w:ascii="Times New Roman" w:eastAsia="Times New Roman" w:hAnsi="Times New Roman" w:cs="Times New Roman"/>
                      <w:sz w:val="16"/>
                      <w:szCs w:val="16"/>
                      <w:lang w:eastAsia="lv-LV"/>
                    </w:rPr>
                    <w:br/>
                  </w:r>
                  <w:r w:rsidRPr="00550103">
                    <w:rPr>
                      <w:rFonts w:ascii="Times New Roman" w:eastAsia="Times New Roman" w:hAnsi="Times New Roman" w:cs="Times New Roman"/>
                      <w:sz w:val="16"/>
                      <w:szCs w:val="16"/>
                      <w:lang w:eastAsia="lv-LV"/>
                    </w:rPr>
                    <w:t>finansējums,</w:t>
                  </w:r>
                  <w:r w:rsidRPr="00550103">
                    <w:rPr>
                      <w:rFonts w:ascii="Times New Roman" w:eastAsia="Times New Roman" w:hAnsi="Times New Roman" w:cs="Times New Roman"/>
                      <w:i/>
                      <w:iCs/>
                      <w:sz w:val="16"/>
                      <w:szCs w:val="16"/>
                      <w:lang w:eastAsia="lv-LV"/>
                    </w:rPr>
                    <w:t>euro</w:t>
                  </w:r>
                  <w:r w:rsidRPr="00550103">
                    <w:rPr>
                      <w:rFonts w:ascii="Times New Roman" w:eastAsia="Times New Roman" w:hAnsi="Times New Roman" w:cs="Times New Roman"/>
                      <w:sz w:val="16"/>
                      <w:szCs w:val="16"/>
                      <w:lang w:eastAsia="lv-LV"/>
                    </w:rPr>
                    <w:t xml:space="preserve"> gadā</w:t>
                  </w:r>
                </w:p>
              </w:tc>
            </w:tr>
            <w:tr w14:paraId="32B1AD90" w14:textId="77777777" w:rsidTr="00F841CC">
              <w:tblPrEx>
                <w:tblW w:w="7751" w:type="dxa"/>
                <w:tblLayout w:type="fixed"/>
                <w:tblLook w:val="04A0"/>
              </w:tblPrEx>
              <w:trPr>
                <w:trHeight w:val="735"/>
              </w:trPr>
              <w:tc>
                <w:tcPr>
                  <w:tcW w:w="352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131A291C"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Hipersenitivitātes</w:t>
                  </w:r>
                  <w:r w:rsidRPr="00550103">
                    <w:rPr>
                      <w:rFonts w:ascii="Times New Roman" w:eastAsia="Times New Roman" w:hAnsi="Times New Roman" w:cs="Times New Roman"/>
                      <w:i/>
                      <w:iCs/>
                      <w:sz w:val="16"/>
                      <w:szCs w:val="16"/>
                      <w:lang w:eastAsia="lv-LV"/>
                    </w:rPr>
                    <w:t xml:space="preserve"> pneimonīts</w:t>
                  </w:r>
                  <w:r w:rsidRPr="00550103">
                    <w:rPr>
                      <w:rFonts w:ascii="Times New Roman" w:eastAsia="Times New Roman" w:hAnsi="Times New Roman" w:cs="Times New Roman"/>
                      <w:sz w:val="16"/>
                      <w:szCs w:val="16"/>
                      <w:lang w:eastAsia="lv-LV"/>
                    </w:rPr>
                    <w:t>, ko izraisījuši organiski putekļi (J67)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6DA7CF71"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59CE0BB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0A3B05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360</w:t>
                  </w:r>
                </w:p>
              </w:tc>
            </w:tr>
            <w:tr w14:paraId="0E135002" w14:textId="77777777" w:rsidTr="00F841CC">
              <w:tblPrEx>
                <w:tblW w:w="7751" w:type="dxa"/>
                <w:tblLayout w:type="fixed"/>
                <w:tblLook w:val="04A0"/>
              </w:tblPrEx>
              <w:trPr>
                <w:trHeight w:val="213"/>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655C359E"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1D81D31B"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88C6B1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DF4C7EA"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14.40</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2A63A32"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360</w:t>
                  </w:r>
                </w:p>
              </w:tc>
            </w:tr>
            <w:tr w14:paraId="5B3DBCBF" w14:textId="77777777" w:rsidTr="00F841CC">
              <w:tblPrEx>
                <w:tblW w:w="7751" w:type="dxa"/>
                <w:tblLayout w:type="fixed"/>
                <w:tblLook w:val="04A0"/>
              </w:tblPrEx>
              <w:trPr>
                <w:trHeight w:val="13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15F106EA"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5AA2FC99"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9C15F4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A705379"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28.80</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23F236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720</w:t>
                  </w:r>
                </w:p>
              </w:tc>
            </w:tr>
            <w:tr w14:paraId="7CE52F66" w14:textId="77777777" w:rsidTr="00F841CC">
              <w:tblPrEx>
                <w:tblW w:w="7751" w:type="dxa"/>
                <w:tblLayout w:type="fixed"/>
                <w:tblLook w:val="04A0"/>
              </w:tblPrEx>
              <w:trPr>
                <w:trHeight w:val="645"/>
              </w:trPr>
              <w:tc>
                <w:tcPr>
                  <w:tcW w:w="352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6A7ECA2B"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 xml:space="preserve">Citas </w:t>
                  </w:r>
                  <w:r w:rsidRPr="00550103">
                    <w:rPr>
                      <w:rFonts w:ascii="Times New Roman" w:eastAsia="Times New Roman" w:hAnsi="Times New Roman" w:cs="Times New Roman"/>
                      <w:i/>
                      <w:iCs/>
                      <w:sz w:val="16"/>
                      <w:szCs w:val="16"/>
                      <w:lang w:eastAsia="lv-LV"/>
                    </w:rPr>
                    <w:t>intersticiālas</w:t>
                  </w:r>
                  <w:r w:rsidRPr="00550103">
                    <w:rPr>
                      <w:rFonts w:ascii="Times New Roman" w:eastAsia="Times New Roman" w:hAnsi="Times New Roman" w:cs="Times New Roman"/>
                      <w:i/>
                      <w:iCs/>
                      <w:sz w:val="16"/>
                      <w:szCs w:val="16"/>
                      <w:lang w:eastAsia="lv-LV"/>
                    </w:rPr>
                    <w:t xml:space="preserve"> plaušu slimības</w:t>
                  </w:r>
                  <w:r w:rsidRPr="00550103">
                    <w:rPr>
                      <w:rFonts w:ascii="Times New Roman" w:eastAsia="Times New Roman" w:hAnsi="Times New Roman" w:cs="Times New Roman"/>
                      <w:sz w:val="16"/>
                      <w:szCs w:val="16"/>
                      <w:lang w:eastAsia="lv-LV"/>
                    </w:rPr>
                    <w:t xml:space="preserve"> (J84)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1D1ECB36"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1668632"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537131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4 318</w:t>
                  </w:r>
                </w:p>
              </w:tc>
            </w:tr>
            <w:tr w14:paraId="7D1AC9FE" w14:textId="77777777" w:rsidTr="00F841CC">
              <w:tblPrEx>
                <w:tblW w:w="7751" w:type="dxa"/>
                <w:tblLayout w:type="fixed"/>
                <w:tblLook w:val="04A0"/>
              </w:tblPrEx>
              <w:trPr>
                <w:trHeight w:val="10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7F586386"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7CEEF51A"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763DD629"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D4DDC81"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47.98</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6F11133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4 318</w:t>
                  </w:r>
                </w:p>
              </w:tc>
            </w:tr>
            <w:tr w14:paraId="30E2BB0B" w14:textId="77777777" w:rsidTr="00F841CC">
              <w:tblPrEx>
                <w:tblW w:w="7751" w:type="dxa"/>
                <w:tblLayout w:type="fixed"/>
                <w:tblLook w:val="04A0"/>
              </w:tblPrEx>
              <w:trPr>
                <w:trHeight w:val="176"/>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07C40B4A"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06F1CCA9"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05451A68"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712C54C"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95.96</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627D352"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8 636</w:t>
                  </w:r>
                </w:p>
              </w:tc>
            </w:tr>
            <w:tr w14:paraId="73776B83" w14:textId="77777777" w:rsidTr="00F841CC">
              <w:tblPrEx>
                <w:tblW w:w="7751" w:type="dxa"/>
                <w:tblLayout w:type="fixed"/>
                <w:tblLook w:val="04A0"/>
              </w:tblPrEx>
              <w:trPr>
                <w:trHeight w:val="570"/>
              </w:trPr>
              <w:tc>
                <w:tcPr>
                  <w:tcW w:w="352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052E6F10"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Sarkoidoze</w:t>
                  </w:r>
                  <w:r w:rsidRPr="00550103">
                    <w:rPr>
                      <w:rFonts w:ascii="Times New Roman" w:eastAsia="Times New Roman" w:hAnsi="Times New Roman" w:cs="Times New Roman"/>
                      <w:sz w:val="16"/>
                      <w:szCs w:val="16"/>
                      <w:lang w:eastAsia="lv-LV"/>
                    </w:rPr>
                    <w:t xml:space="preserve"> (D86)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61677906"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99ACE91"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22F38664"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3 241</w:t>
                  </w:r>
                </w:p>
              </w:tc>
            </w:tr>
            <w:tr w14:paraId="552EC4FF" w14:textId="77777777" w:rsidTr="00F841CC">
              <w:tblPrEx>
                <w:tblW w:w="7751" w:type="dxa"/>
                <w:tblLayout w:type="fixed"/>
                <w:tblLook w:val="04A0"/>
              </w:tblPrEx>
              <w:trPr>
                <w:trHeight w:val="87"/>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476481D7"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75D5FBAE"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2D25359A"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0786244C"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26.35</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02B38CC"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3 241</w:t>
                  </w:r>
                </w:p>
              </w:tc>
            </w:tr>
            <w:tr w14:paraId="2C476D58" w14:textId="77777777" w:rsidTr="00F841CC">
              <w:tblPrEx>
                <w:tblW w:w="7751" w:type="dxa"/>
                <w:tblLayout w:type="fixed"/>
                <w:tblLook w:val="04A0"/>
              </w:tblPrEx>
              <w:trPr>
                <w:trHeight w:val="161"/>
              </w:trPr>
              <w:tc>
                <w:tcPr>
                  <w:tcW w:w="532"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7E485123"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2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375D9823"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CA24A4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907B420"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52.70</w:t>
                  </w:r>
                </w:p>
              </w:tc>
              <w:tc>
                <w:tcPr>
                  <w:tcW w:w="1536"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795E38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6 482</w:t>
                  </w:r>
                </w:p>
              </w:tc>
            </w:tr>
            <w:tr w14:paraId="78173923" w14:textId="77777777" w:rsidTr="00F841CC">
              <w:tblPrEx>
                <w:tblW w:w="7751" w:type="dxa"/>
                <w:tblLayout w:type="fixed"/>
                <w:tblLook w:val="04A0"/>
              </w:tblPrEx>
              <w:trPr>
                <w:trHeight w:val="300"/>
              </w:trPr>
              <w:tc>
                <w:tcPr>
                  <w:tcW w:w="62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2941F5" w:rsidRPr="00550103" w:rsidP="00F841CC" w14:paraId="4B3A89A2" w14:textId="77777777">
                  <w:pPr>
                    <w:spacing w:after="0" w:line="240" w:lineRule="auto"/>
                    <w:rPr>
                      <w:rFonts w:ascii="Times New Roman" w:eastAsia="Times New Roman" w:hAnsi="Times New Roman" w:cs="Times New Roman"/>
                      <w:color w:val="000000"/>
                      <w:sz w:val="16"/>
                      <w:szCs w:val="16"/>
                      <w:lang w:eastAsia="lv-LV"/>
                    </w:rPr>
                  </w:pPr>
                  <w:r w:rsidRPr="00550103">
                    <w:rPr>
                      <w:rFonts w:ascii="Times New Roman" w:eastAsia="Times New Roman" w:hAnsi="Times New Roman" w:cs="Times New Roman"/>
                      <w:color w:val="000000"/>
                      <w:sz w:val="16"/>
                      <w:szCs w:val="16"/>
                      <w:lang w:eastAsia="lv-LV"/>
                    </w:rPr>
                    <w:t xml:space="preserve">Kopā, </w:t>
                  </w:r>
                  <w:r w:rsidRPr="00550103">
                    <w:rPr>
                      <w:rFonts w:ascii="Times New Roman" w:eastAsia="Times New Roman" w:hAnsi="Times New Roman" w:cs="Times New Roman"/>
                      <w:i/>
                      <w:color w:val="000000"/>
                      <w:sz w:val="16"/>
                      <w:szCs w:val="16"/>
                      <w:lang w:eastAsia="lv-LV"/>
                    </w:rPr>
                    <w:t>euro</w:t>
                  </w:r>
                  <w:r w:rsidRPr="00550103">
                    <w:rPr>
                      <w:rFonts w:ascii="Times New Roman" w:eastAsia="Times New Roman" w:hAnsi="Times New Roman" w:cs="Times New Roman"/>
                      <w:color w:val="000000"/>
                      <w:sz w:val="16"/>
                      <w:szCs w:val="16"/>
                      <w:lang w:eastAsia="lv-LV"/>
                    </w:rPr>
                    <w:t>:</w:t>
                  </w:r>
                </w:p>
              </w:tc>
              <w:tc>
                <w:tcPr>
                  <w:tcW w:w="1536" w:type="dxa"/>
                  <w:tcBorders>
                    <w:top w:val="nil"/>
                    <w:left w:val="nil"/>
                    <w:bottom w:val="single" w:sz="4" w:space="0" w:color="auto"/>
                    <w:right w:val="single" w:sz="4" w:space="0" w:color="auto"/>
                  </w:tcBorders>
                  <w:shd w:val="clear" w:color="auto" w:fill="E7E6E6" w:themeFill="background2"/>
                  <w:noWrap/>
                  <w:vAlign w:val="bottom"/>
                  <w:hideMark/>
                </w:tcPr>
                <w:p w:rsidR="002941F5" w:rsidRPr="00293273" w:rsidP="00F841CC" w14:paraId="1FBEDC54" w14:textId="77777777">
                  <w:pPr>
                    <w:spacing w:after="0" w:line="240" w:lineRule="auto"/>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            </w:t>
                  </w:r>
                  <w:r w:rsidRPr="00293273">
                    <w:rPr>
                      <w:rFonts w:ascii="Times New Roman" w:eastAsia="Times New Roman" w:hAnsi="Times New Roman" w:cs="Times New Roman"/>
                      <w:b/>
                      <w:bCs/>
                      <w:color w:val="000000"/>
                      <w:sz w:val="16"/>
                      <w:szCs w:val="16"/>
                      <w:lang w:eastAsia="lv-LV"/>
                    </w:rPr>
                    <w:t>7919</w:t>
                  </w:r>
                </w:p>
              </w:tc>
            </w:tr>
          </w:tbl>
          <w:p w:rsidR="002941F5" w:rsidP="00F841CC" w14:paraId="2DF7DD84" w14:textId="77777777">
            <w:pPr>
              <w:spacing w:after="0" w:line="240" w:lineRule="auto"/>
              <w:jc w:val="both"/>
              <w:rPr>
                <w:rFonts w:ascii="Times New Roman" w:eastAsia="Times New Roman" w:hAnsi="Times New Roman" w:cs="Times New Roman"/>
                <w:iCs/>
                <w:sz w:val="24"/>
                <w:szCs w:val="24"/>
                <w:lang w:eastAsia="lv-LV"/>
              </w:rPr>
            </w:pPr>
          </w:p>
          <w:p w:rsidR="002941F5" w:rsidRPr="00BE2C47" w:rsidP="00F841CC" w14:paraId="18F9D6B7" w14:textId="77777777">
            <w:pPr>
              <w:widowControl w:val="0"/>
              <w:spacing w:after="0" w:line="240" w:lineRule="auto"/>
              <w:ind w:firstLine="291"/>
              <w:jc w:val="both"/>
              <w:rPr>
                <w:rFonts w:ascii="Times New Roman" w:eastAsia="Times New Roman" w:hAnsi="Times New Roman" w:cs="Times New Roman"/>
                <w:sz w:val="24"/>
                <w:szCs w:val="24"/>
                <w:shd w:val="clear" w:color="auto" w:fill="FFFFFF"/>
                <w:lang w:eastAsia="lv-LV" w:bidi="lv-LV"/>
              </w:rPr>
            </w:pPr>
            <w:r w:rsidRPr="00756B4E">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retām slimībām </w:t>
            </w:r>
            <w:r w:rsidRPr="00756B4E">
              <w:rPr>
                <w:rFonts w:ascii="Times New Roman" w:eastAsia="Times New Roman" w:hAnsi="Times New Roman" w:cs="Times New Roman"/>
                <w:b/>
                <w:iCs/>
                <w:sz w:val="24"/>
                <w:szCs w:val="24"/>
                <w:lang w:eastAsia="lv-LV"/>
              </w:rPr>
              <w:t>43</w:t>
            </w:r>
            <w:r>
              <w:rPr>
                <w:rFonts w:ascii="Times New Roman" w:eastAsia="Times New Roman" w:hAnsi="Times New Roman" w:cs="Times New Roman"/>
                <w:b/>
                <w:iCs/>
                <w:sz w:val="24"/>
                <w:szCs w:val="24"/>
                <w:lang w:eastAsia="lv-LV"/>
              </w:rPr>
              <w:t> </w:t>
            </w:r>
            <w:r w:rsidRPr="00756B4E">
              <w:rPr>
                <w:rFonts w:ascii="Times New Roman" w:eastAsia="Times New Roman" w:hAnsi="Times New Roman" w:cs="Times New Roman"/>
                <w:b/>
                <w:iCs/>
                <w:sz w:val="24"/>
                <w:szCs w:val="24"/>
                <w:lang w:eastAsia="lv-LV"/>
              </w:rPr>
              <w:t>624</w:t>
            </w:r>
            <w:r>
              <w:rPr>
                <w:rFonts w:ascii="Times New Roman" w:eastAsia="Times New Roman" w:hAnsi="Times New Roman" w:cs="Times New Roman"/>
                <w:b/>
                <w:iCs/>
                <w:sz w:val="24"/>
                <w:szCs w:val="24"/>
                <w:lang w:eastAsia="lv-LV"/>
              </w:rPr>
              <w:t xml:space="preserve"> </w:t>
            </w:r>
            <w:r w:rsidRPr="00756B4E">
              <w:rPr>
                <w:rFonts w:ascii="Times New Roman" w:eastAsia="Times New Roman" w:hAnsi="Times New Roman" w:cs="Times New Roman"/>
                <w:b/>
                <w:i/>
                <w:iCs/>
                <w:sz w:val="24"/>
                <w:szCs w:val="24"/>
                <w:lang w:eastAsia="lv-LV"/>
              </w:rPr>
              <w:t>euro</w:t>
            </w:r>
            <w:r>
              <w:rPr>
                <w:rFonts w:ascii="Times New Roman" w:eastAsia="Times New Roman" w:hAnsi="Times New Roman" w:cs="Times New Roman"/>
                <w:iCs/>
                <w:sz w:val="24"/>
                <w:szCs w:val="24"/>
                <w:lang w:eastAsia="lv-LV"/>
              </w:rPr>
              <w:t xml:space="preserve"> apmērā, skat., tabulu Nr.8</w:t>
            </w:r>
            <w:r w:rsidRPr="00756B4E">
              <w:rPr>
                <w:rFonts w:ascii="Times New Roman" w:eastAsia="Times New Roman" w:hAnsi="Times New Roman" w:cs="Times New Roman"/>
                <w:iCs/>
                <w:sz w:val="24"/>
                <w:szCs w:val="24"/>
                <w:lang w:eastAsia="lv-LV"/>
              </w:rPr>
              <w:t xml:space="preserve">. Iepriekšminētais pasākums tiks īstenots veicot apropriācijas pārdali no </w:t>
            </w:r>
            <w:r w:rsidRPr="00756B4E">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uz apakšprogrammu 33.03.00 “</w:t>
            </w:r>
            <w:r w:rsidRPr="00756B4E">
              <w:rPr>
                <w:rFonts w:ascii="Times New Roman" w:hAnsi="Times New Roman" w:cs="Times New Roman"/>
                <w:sz w:val="24"/>
                <w:szCs w:val="24"/>
              </w:rPr>
              <w:t>Kompensējamo medikamentu un materiālu apmaksāšana</w:t>
            </w:r>
            <w:r w:rsidRPr="00756B4E">
              <w:rPr>
                <w:rFonts w:ascii="Times New Roman" w:eastAsia="Times New Roman" w:hAnsi="Times New Roman" w:cs="Times New Roman"/>
                <w:sz w:val="24"/>
                <w:szCs w:val="24"/>
                <w:shd w:val="clear" w:color="auto" w:fill="FFFFFF"/>
                <w:lang w:eastAsia="lv-LV" w:bidi="lv-LV"/>
              </w:rPr>
              <w:t>”.</w:t>
            </w:r>
          </w:p>
          <w:p w:rsidR="002941F5" w:rsidRPr="00756B4E" w:rsidP="00F841CC" w14:paraId="43AEE214"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rsidR="002941F5" w:rsidRPr="000363A3" w:rsidP="00F841CC" w14:paraId="2723EA91"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Nr.8</w:t>
            </w:r>
          </w:p>
          <w:tbl>
            <w:tblPr>
              <w:tblW w:w="7711" w:type="dxa"/>
              <w:tblLayout w:type="fixed"/>
              <w:tblLook w:val="04A0"/>
            </w:tblPr>
            <w:tblGrid>
              <w:gridCol w:w="497"/>
              <w:gridCol w:w="3877"/>
              <w:gridCol w:w="851"/>
              <w:gridCol w:w="1041"/>
              <w:gridCol w:w="1445"/>
            </w:tblGrid>
            <w:tr w14:paraId="59FC0DAA" w14:textId="77777777" w:rsidTr="00F841CC">
              <w:tblPrEx>
                <w:tblW w:w="7711" w:type="dxa"/>
                <w:tblLayout w:type="fixed"/>
                <w:tblLook w:val="04A0"/>
              </w:tblPrEx>
              <w:trPr>
                <w:trHeight w:val="960"/>
              </w:trPr>
              <w:tc>
                <w:tcPr>
                  <w:tcW w:w="4374"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2941F5" w:rsidRPr="00550103" w:rsidP="00F841CC" w14:paraId="27EA733A" w14:textId="77777777">
                  <w:pPr>
                    <w:spacing w:after="0" w:line="240" w:lineRule="auto"/>
                    <w:jc w:val="center"/>
                    <w:rPr>
                      <w:rFonts w:ascii="Times New Roman" w:eastAsia="Times New Roman" w:hAnsi="Times New Roman" w:cs="Times New Roman"/>
                      <w:b/>
                      <w:bCs/>
                      <w:sz w:val="16"/>
                      <w:szCs w:val="16"/>
                      <w:lang w:eastAsia="lv-LV"/>
                    </w:rPr>
                  </w:pPr>
                  <w:r w:rsidRPr="00550103">
                    <w:rPr>
                      <w:rFonts w:ascii="Times New Roman" w:eastAsia="Times New Roman" w:hAnsi="Times New Roman" w:cs="Times New Roman"/>
                      <w:b/>
                      <w:bCs/>
                      <w:sz w:val="16"/>
                      <w:szCs w:val="16"/>
                      <w:lang w:eastAsia="lv-LV"/>
                    </w:rPr>
                    <w:t> </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68533489"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Unikālo pacientu skaits 2017. gadā</w:t>
                  </w:r>
                </w:p>
              </w:tc>
              <w:tc>
                <w:tcPr>
                  <w:tcW w:w="1041"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5B135C0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Vidējās izmaksas uz 1 pacientu, </w:t>
                  </w:r>
                  <w:r w:rsidRPr="00550103">
                    <w:rPr>
                      <w:rFonts w:ascii="Times New Roman" w:eastAsia="Times New Roman" w:hAnsi="Times New Roman" w:cs="Times New Roman"/>
                      <w:i/>
                      <w:iCs/>
                      <w:sz w:val="16"/>
                      <w:szCs w:val="16"/>
                      <w:lang w:eastAsia="lv-LV"/>
                    </w:rPr>
                    <w:t>euro</w:t>
                  </w:r>
                </w:p>
              </w:tc>
              <w:tc>
                <w:tcPr>
                  <w:tcW w:w="1445" w:type="dxa"/>
                  <w:tcBorders>
                    <w:top w:val="single" w:sz="4" w:space="0" w:color="auto"/>
                    <w:left w:val="nil"/>
                    <w:bottom w:val="single" w:sz="4" w:space="0" w:color="auto"/>
                    <w:right w:val="single" w:sz="4" w:space="0" w:color="auto"/>
                  </w:tcBorders>
                  <w:shd w:val="clear" w:color="auto" w:fill="FFC000"/>
                  <w:vAlign w:val="center"/>
                  <w:hideMark/>
                </w:tcPr>
                <w:p w:rsidR="002941F5" w:rsidRPr="00550103" w:rsidP="00F841CC" w14:paraId="10BDBCA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Prognozētais nepieciešamais </w:t>
                  </w:r>
                  <w:r w:rsidRPr="00550103">
                    <w:rPr>
                      <w:rFonts w:ascii="Times New Roman" w:eastAsia="Times New Roman" w:hAnsi="Times New Roman" w:cs="Times New Roman"/>
                      <w:sz w:val="16"/>
                      <w:szCs w:val="16"/>
                      <w:lang w:eastAsia="lv-LV"/>
                    </w:rPr>
                    <w:br/>
                    <w:t xml:space="preserve">finansējums, </w:t>
                  </w:r>
                  <w:r w:rsidRPr="00550103">
                    <w:rPr>
                      <w:rFonts w:ascii="Times New Roman" w:eastAsia="Times New Roman" w:hAnsi="Times New Roman" w:cs="Times New Roman"/>
                      <w:i/>
                      <w:iCs/>
                      <w:sz w:val="16"/>
                      <w:szCs w:val="16"/>
                      <w:lang w:eastAsia="lv-LV"/>
                    </w:rPr>
                    <w:t>euro</w:t>
                  </w:r>
                  <w:r w:rsidRPr="00550103">
                    <w:rPr>
                      <w:rFonts w:ascii="Times New Roman" w:eastAsia="Times New Roman" w:hAnsi="Times New Roman" w:cs="Times New Roman"/>
                      <w:sz w:val="16"/>
                      <w:szCs w:val="16"/>
                      <w:lang w:eastAsia="lv-LV"/>
                    </w:rPr>
                    <w:t>gadā</w:t>
                  </w:r>
                </w:p>
              </w:tc>
            </w:tr>
            <w:tr w14:paraId="3A4EFF36" w14:textId="77777777" w:rsidTr="00F841CC">
              <w:tblPrEx>
                <w:tblW w:w="7711" w:type="dxa"/>
                <w:tblLayout w:type="fixed"/>
                <w:tblLook w:val="04A0"/>
              </w:tblPrEx>
              <w:trPr>
                <w:trHeight w:val="513"/>
              </w:trPr>
              <w:tc>
                <w:tcPr>
                  <w:tcW w:w="437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35A52446"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Motorā neirona slimībai</w:t>
                  </w:r>
                  <w:r w:rsidRPr="00550103">
                    <w:rPr>
                      <w:rFonts w:ascii="Times New Roman" w:eastAsia="Times New Roman" w:hAnsi="Times New Roman" w:cs="Times New Roman"/>
                      <w:sz w:val="16"/>
                      <w:szCs w:val="16"/>
                      <w:lang w:eastAsia="lv-LV"/>
                    </w:rPr>
                    <w:t xml:space="preserve"> (G12.2) no 50% uz 100%</w:t>
                  </w:r>
                </w:p>
              </w:tc>
              <w:tc>
                <w:tcPr>
                  <w:tcW w:w="85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1B6D7264"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54</w:t>
                  </w:r>
                </w:p>
              </w:tc>
              <w:tc>
                <w:tcPr>
                  <w:tcW w:w="104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50CA1B74"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748C02A9"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35 048</w:t>
                  </w:r>
                </w:p>
              </w:tc>
            </w:tr>
            <w:tr w14:paraId="0DEAD184" w14:textId="77777777" w:rsidTr="00F841CC">
              <w:tblPrEx>
                <w:tblW w:w="7711" w:type="dxa"/>
                <w:tblLayout w:type="fixed"/>
                <w:tblLook w:val="04A0"/>
              </w:tblPrEx>
              <w:trPr>
                <w:trHeight w:val="199"/>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03A1912A"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684AA3DD"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27D4A8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54</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6BA1C0F6"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649.05</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77490FB"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35 048</w:t>
                  </w:r>
                </w:p>
              </w:tc>
            </w:tr>
            <w:tr w14:paraId="4A5EE5C1" w14:textId="77777777" w:rsidTr="00F841CC">
              <w:tblPrEx>
                <w:tblW w:w="7711" w:type="dxa"/>
                <w:tblLayout w:type="fixed"/>
                <w:tblLook w:val="04A0"/>
              </w:tblPrEx>
              <w:trPr>
                <w:trHeight w:val="131"/>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047470C0"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02162748"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26EDAB1B"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54</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06C9FC4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1 298.09</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0DDF4B78"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70 097</w:t>
                  </w:r>
                </w:p>
              </w:tc>
            </w:tr>
            <w:tr w14:paraId="6BFB70EC" w14:textId="77777777" w:rsidTr="00F841CC">
              <w:tblPrEx>
                <w:tblW w:w="7711" w:type="dxa"/>
                <w:tblLayout w:type="fixed"/>
                <w:tblLook w:val="04A0"/>
              </w:tblPrEx>
              <w:trPr>
                <w:trHeight w:val="427"/>
              </w:trPr>
              <w:tc>
                <w:tcPr>
                  <w:tcW w:w="437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35A0E891"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Hantingtona</w:t>
                  </w:r>
                  <w:r w:rsidRPr="00550103">
                    <w:rPr>
                      <w:rFonts w:ascii="Times New Roman" w:eastAsia="Times New Roman" w:hAnsi="Times New Roman" w:cs="Times New Roman"/>
                      <w:i/>
                      <w:iCs/>
                      <w:sz w:val="16"/>
                      <w:szCs w:val="16"/>
                      <w:lang w:eastAsia="lv-LV"/>
                    </w:rPr>
                    <w:t xml:space="preserve"> horejai </w:t>
                  </w:r>
                  <w:r w:rsidRPr="00550103">
                    <w:rPr>
                      <w:rFonts w:ascii="Times New Roman" w:eastAsia="Times New Roman" w:hAnsi="Times New Roman" w:cs="Times New Roman"/>
                      <w:sz w:val="16"/>
                      <w:szCs w:val="16"/>
                      <w:lang w:eastAsia="lv-LV"/>
                    </w:rPr>
                    <w:t>(G10) no 50% uz 100%</w:t>
                  </w:r>
                </w:p>
              </w:tc>
              <w:tc>
                <w:tcPr>
                  <w:tcW w:w="85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7906D924"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22</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6C52B7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2520878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1 094</w:t>
                  </w:r>
                </w:p>
              </w:tc>
            </w:tr>
            <w:tr w14:paraId="1E1FF408" w14:textId="77777777" w:rsidTr="00F841CC">
              <w:tblPrEx>
                <w:tblW w:w="7711" w:type="dxa"/>
                <w:tblLayout w:type="fixed"/>
                <w:tblLook w:val="04A0"/>
              </w:tblPrEx>
              <w:trPr>
                <w:trHeight w:val="271"/>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282800C0"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21B198B3"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53BC16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22</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078477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49.73</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15B7EE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1 094</w:t>
                  </w:r>
                </w:p>
              </w:tc>
            </w:tr>
            <w:tr w14:paraId="6530F813" w14:textId="77777777" w:rsidTr="00F841CC">
              <w:tblPrEx>
                <w:tblW w:w="7711" w:type="dxa"/>
                <w:tblLayout w:type="fixed"/>
                <w:tblLook w:val="04A0"/>
              </w:tblPrEx>
              <w:trPr>
                <w:trHeight w:val="133"/>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4AE18C68"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49D43FC8"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6E9FB8D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22</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0083F4F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99.45</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615A6DB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2 188</w:t>
                  </w:r>
                </w:p>
              </w:tc>
            </w:tr>
            <w:tr w14:paraId="754FEDCE" w14:textId="77777777" w:rsidTr="00F841CC">
              <w:tblPrEx>
                <w:tblW w:w="7711" w:type="dxa"/>
                <w:tblLayout w:type="fixed"/>
                <w:tblLook w:val="04A0"/>
              </w:tblPrEx>
              <w:trPr>
                <w:trHeight w:val="497"/>
              </w:trPr>
              <w:tc>
                <w:tcPr>
                  <w:tcW w:w="437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rsidR="002941F5" w:rsidRPr="00550103" w:rsidP="00F841CC" w14:paraId="22A9E558"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xml:space="preserve">Kompensācijas apmēra palielināšana </w:t>
                  </w:r>
                  <w:r w:rsidRPr="00550103">
                    <w:rPr>
                      <w:rFonts w:ascii="Times New Roman" w:eastAsia="Times New Roman" w:hAnsi="Times New Roman" w:cs="Times New Roman"/>
                      <w:i/>
                      <w:iCs/>
                      <w:sz w:val="16"/>
                      <w:szCs w:val="16"/>
                      <w:lang w:eastAsia="lv-LV"/>
                    </w:rPr>
                    <w:t>Vara vielmaiņas traucējumiem</w:t>
                  </w:r>
                  <w:r>
                    <w:rPr>
                      <w:rFonts w:ascii="Times New Roman" w:eastAsia="Times New Roman" w:hAnsi="Times New Roman" w:cs="Times New Roman"/>
                      <w:sz w:val="16"/>
                      <w:szCs w:val="16"/>
                      <w:lang w:eastAsia="lv-LV"/>
                    </w:rPr>
                    <w:t xml:space="preserve"> (E83</w:t>
                  </w:r>
                  <w:r w:rsidRPr="00550103">
                    <w:rPr>
                      <w:rFonts w:ascii="Times New Roman" w:eastAsia="Times New Roman" w:hAnsi="Times New Roman" w:cs="Times New Roman"/>
                      <w:sz w:val="16"/>
                      <w:szCs w:val="16"/>
                      <w:lang w:eastAsia="lv-LV"/>
                    </w:rPr>
                    <w:t>) no 75% uz 100%</w:t>
                  </w:r>
                </w:p>
              </w:tc>
              <w:tc>
                <w:tcPr>
                  <w:tcW w:w="851" w:type="dxa"/>
                  <w:tcBorders>
                    <w:top w:val="nil"/>
                    <w:left w:val="nil"/>
                    <w:bottom w:val="single" w:sz="4" w:space="0" w:color="auto"/>
                    <w:right w:val="single" w:sz="4" w:space="0" w:color="auto"/>
                  </w:tcBorders>
                  <w:shd w:val="clear" w:color="auto" w:fill="E7E6E6" w:themeFill="background2"/>
                  <w:vAlign w:val="center"/>
                  <w:hideMark/>
                </w:tcPr>
                <w:p w:rsidR="002941F5" w:rsidRPr="00550103" w:rsidP="00F841CC" w14:paraId="6AD01EC8"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56</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D39D93D"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F4FD94B"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7 482</w:t>
                  </w:r>
                </w:p>
              </w:tc>
            </w:tr>
            <w:tr w14:paraId="5561F12F" w14:textId="77777777" w:rsidTr="00F841CC">
              <w:tblPrEx>
                <w:tblW w:w="7711" w:type="dxa"/>
                <w:tblLayout w:type="fixed"/>
                <w:tblLook w:val="04A0"/>
              </w:tblPrEx>
              <w:trPr>
                <w:trHeight w:val="232"/>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1662F6B1"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6D9EABB4"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75%</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7B2E1C90"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30AAA0A"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677.57</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B2A0080"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4 743</w:t>
                  </w:r>
                </w:p>
              </w:tc>
            </w:tr>
            <w:tr w14:paraId="42539904" w14:textId="77777777" w:rsidTr="00F841CC">
              <w:tblPrEx>
                <w:tblW w:w="7711" w:type="dxa"/>
                <w:tblLayout w:type="fixed"/>
                <w:tblLook w:val="04A0"/>
              </w:tblPrEx>
              <w:trPr>
                <w:trHeight w:val="149"/>
              </w:trPr>
              <w:tc>
                <w:tcPr>
                  <w:tcW w:w="497" w:type="dxa"/>
                  <w:tcBorders>
                    <w:top w:val="nil"/>
                    <w:left w:val="single" w:sz="4" w:space="0" w:color="auto"/>
                    <w:bottom w:val="single" w:sz="4" w:space="0" w:color="auto"/>
                    <w:right w:val="nil"/>
                  </w:tcBorders>
                  <w:shd w:val="clear" w:color="auto" w:fill="E7E6E6" w:themeFill="background2"/>
                  <w:noWrap/>
                  <w:vAlign w:val="center"/>
                  <w:hideMark/>
                </w:tcPr>
                <w:p w:rsidR="002941F5" w:rsidRPr="00550103" w:rsidP="00F841CC" w14:paraId="296E8B3E"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941F5" w:rsidRPr="00550103" w:rsidP="00F841CC" w14:paraId="10E083F9"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0338EA6"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24F429B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903.43</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5F0CF75"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6 324</w:t>
                  </w:r>
                </w:p>
              </w:tc>
            </w:tr>
            <w:tr w14:paraId="5504E568" w14:textId="77777777" w:rsidTr="00F841CC">
              <w:tblPrEx>
                <w:tblW w:w="7711" w:type="dxa"/>
                <w:tblLayout w:type="fixed"/>
                <w:tblLook w:val="04A0"/>
              </w:tblPrEx>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2941F5" w:rsidRPr="00550103" w:rsidP="00F841CC" w14:paraId="1C21FC4E"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ED90B9C"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75%</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79F4041"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49</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4370DC9F"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361.31</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5BCCA5E3"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17 704</w:t>
                  </w:r>
                </w:p>
              </w:tc>
            </w:tr>
            <w:tr w14:paraId="122A1481" w14:textId="77777777" w:rsidTr="00F841CC">
              <w:tblPrEx>
                <w:tblW w:w="7711" w:type="dxa"/>
                <w:tblLayout w:type="fixed"/>
                <w:tblLook w:val="04A0"/>
              </w:tblPrEx>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2941F5" w:rsidRPr="00550103" w:rsidP="00F841CC" w14:paraId="37E1AEDC"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 </w:t>
                  </w:r>
                </w:p>
              </w:tc>
              <w:tc>
                <w:tcPr>
                  <w:tcW w:w="3877"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67FDECDC" w14:textId="77777777">
                  <w:pPr>
                    <w:spacing w:after="0" w:line="240" w:lineRule="auto"/>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100%</w:t>
                  </w:r>
                </w:p>
              </w:tc>
              <w:tc>
                <w:tcPr>
                  <w:tcW w:w="85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1374A3F1"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49</w:t>
                  </w:r>
                </w:p>
              </w:tc>
              <w:tc>
                <w:tcPr>
                  <w:tcW w:w="1041"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7CC21D3A"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481.74</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3DE8419E" w14:textId="77777777">
                  <w:pPr>
                    <w:spacing w:after="0" w:line="240" w:lineRule="auto"/>
                    <w:jc w:val="center"/>
                    <w:rPr>
                      <w:rFonts w:ascii="Times New Roman" w:eastAsia="Times New Roman" w:hAnsi="Times New Roman" w:cs="Times New Roman"/>
                      <w:sz w:val="16"/>
                      <w:szCs w:val="16"/>
                      <w:lang w:eastAsia="lv-LV"/>
                    </w:rPr>
                  </w:pPr>
                  <w:r w:rsidRPr="00550103">
                    <w:rPr>
                      <w:rFonts w:ascii="Times New Roman" w:eastAsia="Times New Roman" w:hAnsi="Times New Roman" w:cs="Times New Roman"/>
                      <w:sz w:val="16"/>
                      <w:szCs w:val="16"/>
                      <w:lang w:eastAsia="lv-LV"/>
                    </w:rPr>
                    <w:t>23 605</w:t>
                  </w:r>
                </w:p>
              </w:tc>
            </w:tr>
            <w:tr w14:paraId="22FCCE4A" w14:textId="77777777" w:rsidTr="00F841CC">
              <w:tblPrEx>
                <w:tblW w:w="7711" w:type="dxa"/>
                <w:tblLayout w:type="fixed"/>
                <w:tblLook w:val="04A0"/>
              </w:tblPrEx>
              <w:trPr>
                <w:trHeight w:val="300"/>
              </w:trPr>
              <w:tc>
                <w:tcPr>
                  <w:tcW w:w="6266"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rsidR="002941F5" w:rsidRPr="00550103" w:rsidP="00F841CC" w14:paraId="736164FD" w14:textId="77777777">
                  <w:pPr>
                    <w:spacing w:after="0" w:line="240" w:lineRule="auto"/>
                    <w:rPr>
                      <w:rFonts w:ascii="Times New Roman" w:eastAsia="Times New Roman" w:hAnsi="Times New Roman" w:cs="Times New Roman"/>
                      <w:color w:val="000000"/>
                      <w:sz w:val="16"/>
                      <w:szCs w:val="16"/>
                      <w:lang w:eastAsia="lv-LV"/>
                    </w:rPr>
                  </w:pPr>
                  <w:r w:rsidRPr="00550103">
                    <w:rPr>
                      <w:rFonts w:ascii="Times New Roman" w:eastAsia="Times New Roman" w:hAnsi="Times New Roman" w:cs="Times New Roman"/>
                      <w:color w:val="000000"/>
                      <w:sz w:val="16"/>
                      <w:szCs w:val="16"/>
                      <w:lang w:eastAsia="lv-LV"/>
                    </w:rPr>
                    <w:t xml:space="preserve">Kopā, </w:t>
                  </w:r>
                  <w:r w:rsidRPr="00550103">
                    <w:rPr>
                      <w:rFonts w:ascii="Times New Roman" w:eastAsia="Times New Roman" w:hAnsi="Times New Roman" w:cs="Times New Roman"/>
                      <w:i/>
                      <w:iCs/>
                      <w:color w:val="000000"/>
                      <w:sz w:val="16"/>
                      <w:szCs w:val="16"/>
                      <w:lang w:eastAsia="lv-LV"/>
                    </w:rPr>
                    <w:t>euro</w:t>
                  </w:r>
                  <w:r w:rsidRPr="00550103">
                    <w:rPr>
                      <w:rFonts w:ascii="Times New Roman" w:eastAsia="Times New Roman" w:hAnsi="Times New Roman" w:cs="Times New Roman"/>
                      <w:i/>
                      <w:iCs/>
                      <w:color w:val="000000"/>
                      <w:sz w:val="16"/>
                      <w:szCs w:val="16"/>
                      <w:lang w:eastAsia="lv-LV"/>
                    </w:rPr>
                    <w:t>:</w:t>
                  </w:r>
                </w:p>
              </w:tc>
              <w:tc>
                <w:tcPr>
                  <w:tcW w:w="1445" w:type="dxa"/>
                  <w:tcBorders>
                    <w:top w:val="nil"/>
                    <w:left w:val="nil"/>
                    <w:bottom w:val="single" w:sz="4" w:space="0" w:color="auto"/>
                    <w:right w:val="single" w:sz="4" w:space="0" w:color="auto"/>
                  </w:tcBorders>
                  <w:shd w:val="clear" w:color="auto" w:fill="E7E6E6" w:themeFill="background2"/>
                  <w:noWrap/>
                  <w:vAlign w:val="center"/>
                  <w:hideMark/>
                </w:tcPr>
                <w:p w:rsidR="002941F5" w:rsidRPr="00550103" w:rsidP="00F841CC" w14:paraId="7A6C2CBA" w14:textId="77777777">
                  <w:pPr>
                    <w:spacing w:after="0" w:line="240" w:lineRule="auto"/>
                    <w:jc w:val="center"/>
                    <w:rPr>
                      <w:rFonts w:ascii="Times New Roman" w:eastAsia="Times New Roman" w:hAnsi="Times New Roman" w:cs="Times New Roman"/>
                      <w:b/>
                      <w:bCs/>
                      <w:color w:val="000000"/>
                      <w:sz w:val="16"/>
                      <w:szCs w:val="16"/>
                      <w:lang w:eastAsia="lv-LV"/>
                    </w:rPr>
                  </w:pPr>
                  <w:r w:rsidRPr="00550103">
                    <w:rPr>
                      <w:rFonts w:ascii="Times New Roman" w:eastAsia="Times New Roman" w:hAnsi="Times New Roman" w:cs="Times New Roman"/>
                      <w:b/>
                      <w:bCs/>
                      <w:color w:val="000000"/>
                      <w:sz w:val="16"/>
                      <w:szCs w:val="16"/>
                      <w:lang w:eastAsia="lv-LV"/>
                    </w:rPr>
                    <w:t>43 624</w:t>
                  </w:r>
                </w:p>
              </w:tc>
            </w:tr>
          </w:tbl>
          <w:p w:rsidR="002941F5" w:rsidP="00F841CC" w14:paraId="5782A3F4"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2941F5" w:rsidRPr="002941F5" w:rsidP="002941F5" w14:paraId="49D8B4E3" w14:textId="77777777">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Noteikumu projekts paredz veselības aprūpes pakalpojumu pieejamības uzlabošanu – individuālo pacientu nodrošinājumu ar nepieciešamo terapiju caur kompensējamo zāļu sarakstu </w:t>
            </w:r>
            <w:r>
              <w:rPr>
                <w:rFonts w:ascii="Times New Roman" w:eastAsia="Times New Roman" w:hAnsi="Times New Roman" w:cs="Times New Roman"/>
                <w:b/>
                <w:sz w:val="24"/>
                <w:szCs w:val="24"/>
                <w:lang w:eastAsia="lv-LV"/>
              </w:rPr>
              <w:t xml:space="preserve">2 234 854 </w:t>
            </w:r>
            <w:r w:rsidRPr="00EC1016">
              <w:rPr>
                <w:rFonts w:ascii="Times New Roman" w:eastAsia="Times New Roman" w:hAnsi="Times New Roman" w:cs="Times New Roman"/>
                <w:b/>
                <w:i/>
                <w:sz w:val="24"/>
                <w:szCs w:val="24"/>
                <w:lang w:eastAsia="lv-LV"/>
              </w:rPr>
              <w:t>euro</w:t>
            </w:r>
            <w:r>
              <w:rPr>
                <w:rFonts w:ascii="Times New Roman" w:eastAsia="Times New Roman" w:hAnsi="Times New Roman" w:cs="Times New Roman"/>
                <w:sz w:val="24"/>
                <w:szCs w:val="24"/>
                <w:lang w:eastAsia="lv-LV"/>
              </w:rPr>
              <w:t xml:space="preserve"> apmērā, </w:t>
            </w:r>
            <w:r>
              <w:rPr>
                <w:rFonts w:ascii="Times New Roman" w:eastAsia="Times New Roman" w:hAnsi="Times New Roman" w:cs="Times New Roman"/>
                <w:sz w:val="24"/>
                <w:szCs w:val="24"/>
                <w:shd w:val="clear" w:color="auto" w:fill="FFFFFF"/>
                <w:lang w:eastAsia="lv-LV" w:bidi="lv-LV"/>
              </w:rPr>
              <w:t>skat., tabulu Nr.9. Iepriekšminētais pasākums tiks īstenots apakšprogrammas 33.03.00 „Kompensējamo medikamentu un materiālu apmaksāšana” ietvaros.</w:t>
            </w:r>
          </w:p>
          <w:p w:rsidR="002941F5" w:rsidP="00F841CC" w14:paraId="19A03BDD" w14:textId="77777777">
            <w:pPr>
              <w:widowControl w:val="0"/>
              <w:spacing w:after="0" w:line="240" w:lineRule="auto"/>
              <w:jc w:val="right"/>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i/>
                <w:iCs/>
                <w:sz w:val="24"/>
                <w:szCs w:val="24"/>
                <w:lang w:eastAsia="lv-LV"/>
              </w:rPr>
              <w:t>Tabula Nr.9</w:t>
            </w:r>
          </w:p>
          <w:tbl>
            <w:tblPr>
              <w:tblW w:w="7289" w:type="dxa"/>
              <w:tblInd w:w="111" w:type="dxa"/>
              <w:tblLayout w:type="fixed"/>
              <w:tblLook w:val="04A0"/>
            </w:tblPr>
            <w:tblGrid>
              <w:gridCol w:w="1072"/>
              <w:gridCol w:w="1200"/>
              <w:gridCol w:w="1483"/>
              <w:gridCol w:w="1107"/>
              <w:gridCol w:w="940"/>
              <w:gridCol w:w="1487"/>
            </w:tblGrid>
            <w:tr w14:paraId="38269F85" w14:textId="77777777" w:rsidTr="00F841CC">
              <w:tblPrEx>
                <w:tblW w:w="7289" w:type="dxa"/>
                <w:tblInd w:w="111" w:type="dxa"/>
                <w:tblLayout w:type="fixed"/>
                <w:tblLook w:val="04A0"/>
              </w:tblPrEx>
              <w:trPr>
                <w:trHeight w:val="510"/>
              </w:trPr>
              <w:tc>
                <w:tcPr>
                  <w:tcW w:w="7289" w:type="dxa"/>
                  <w:gridSpan w:val="6"/>
                  <w:tcBorders>
                    <w:top w:val="nil"/>
                    <w:left w:val="nil"/>
                    <w:bottom w:val="nil"/>
                    <w:right w:val="nil"/>
                  </w:tcBorders>
                  <w:shd w:val="clear" w:color="auto" w:fill="auto"/>
                  <w:vAlign w:val="center"/>
                  <w:hideMark/>
                </w:tcPr>
                <w:p w:rsidR="002941F5" w:rsidRPr="003A0408" w:rsidP="00F841CC" w14:paraId="33254722" w14:textId="77777777">
                  <w:pPr>
                    <w:spacing w:after="0" w:line="240" w:lineRule="auto"/>
                    <w:jc w:val="center"/>
                    <w:rPr>
                      <w:rFonts w:ascii="Times New Roman" w:eastAsia="Times New Roman" w:hAnsi="Times New Roman" w:cs="Times New Roman"/>
                      <w:color w:val="000000"/>
                      <w:sz w:val="20"/>
                      <w:szCs w:val="20"/>
                      <w:lang w:eastAsia="lv-LV"/>
                    </w:rPr>
                  </w:pPr>
                  <w:r w:rsidRPr="003A0408">
                    <w:rPr>
                      <w:rFonts w:ascii="Times New Roman" w:eastAsia="Times New Roman" w:hAnsi="Times New Roman" w:cs="Times New Roman"/>
                      <w:color w:val="000000"/>
                      <w:sz w:val="20"/>
                      <w:szCs w:val="20"/>
                      <w:lang w:eastAsia="lv-LV"/>
                    </w:rPr>
                    <w:t>Veselības aprūpes pakalpojumu pieejamības uzlabošanai – individuālo pacientu</w:t>
                  </w:r>
                  <w:r>
                    <w:rPr>
                      <w:rFonts w:ascii="Times New Roman" w:eastAsia="Times New Roman" w:hAnsi="Times New Roman" w:cs="Times New Roman"/>
                      <w:color w:val="000000"/>
                      <w:sz w:val="20"/>
                      <w:szCs w:val="20"/>
                      <w:lang w:eastAsia="lv-LV"/>
                    </w:rPr>
                    <w:t xml:space="preserve"> </w:t>
                  </w:r>
                  <w:r w:rsidRPr="003A0408">
                    <w:rPr>
                      <w:rFonts w:ascii="Times New Roman" w:eastAsia="Times New Roman" w:hAnsi="Times New Roman" w:cs="Times New Roman"/>
                      <w:color w:val="000000"/>
                      <w:sz w:val="20"/>
                      <w:szCs w:val="20"/>
                      <w:lang w:eastAsia="lv-LV"/>
                    </w:rPr>
                    <w:t>nodrošinājums</w:t>
                  </w:r>
                  <w:r>
                    <w:rPr>
                      <w:rFonts w:ascii="Times New Roman" w:eastAsia="Times New Roman" w:hAnsi="Times New Roman" w:cs="Times New Roman"/>
                      <w:color w:val="000000"/>
                      <w:sz w:val="20"/>
                      <w:szCs w:val="20"/>
                      <w:lang w:eastAsia="lv-LV"/>
                    </w:rPr>
                    <w:t xml:space="preserve"> ar nepieciešamo terapiju caur k</w:t>
                  </w:r>
                  <w:r w:rsidRPr="003A0408">
                    <w:rPr>
                      <w:rFonts w:ascii="Times New Roman" w:eastAsia="Times New Roman" w:hAnsi="Times New Roman" w:cs="Times New Roman"/>
                      <w:color w:val="000000"/>
                      <w:sz w:val="20"/>
                      <w:szCs w:val="20"/>
                      <w:lang w:eastAsia="lv-LV"/>
                    </w:rPr>
                    <w:t>ompensējamo zāļu sarakstu</w:t>
                  </w:r>
                </w:p>
              </w:tc>
            </w:tr>
            <w:tr w14:paraId="3EC053E0" w14:textId="77777777" w:rsidTr="00F841CC">
              <w:tblPrEx>
                <w:tblW w:w="7289" w:type="dxa"/>
                <w:tblInd w:w="111" w:type="dxa"/>
                <w:tblLayout w:type="fixed"/>
                <w:tblLook w:val="04A0"/>
              </w:tblPrEx>
              <w:trPr>
                <w:trHeight w:val="1140"/>
              </w:trPr>
              <w:tc>
                <w:tcPr>
                  <w:tcW w:w="107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941F5" w:rsidRPr="00327B8F" w:rsidP="00F841CC" w14:paraId="3CC285B0"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Diagnoze</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0D8F78A6"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Kompensācijas apmērs, plānotais</w:t>
                  </w:r>
                </w:p>
              </w:tc>
              <w:tc>
                <w:tcPr>
                  <w:tcW w:w="1483"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54142543"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Individuāli kompensētie medikamenti</w:t>
                  </w:r>
                </w:p>
              </w:tc>
              <w:tc>
                <w:tcPr>
                  <w:tcW w:w="1107"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23E65495"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Unikālo pacientu skaits 2017. gadā, kas saņēmuši </w:t>
                  </w:r>
                  <w:r w:rsidRPr="00327B8F">
                    <w:rPr>
                      <w:rFonts w:ascii="Times New Roman" w:eastAsia="Times New Roman" w:hAnsi="Times New Roman" w:cs="Times New Roman"/>
                      <w:color w:val="000000"/>
                      <w:sz w:val="16"/>
                      <w:szCs w:val="16"/>
                      <w:lang w:eastAsia="lv-LV"/>
                    </w:rPr>
                    <w:t>individ</w:t>
                  </w:r>
                  <w:r w:rsidRPr="00327B8F">
                    <w:rPr>
                      <w:rFonts w:ascii="Times New Roman" w:eastAsia="Times New Roman" w:hAnsi="Times New Roman" w:cs="Times New Roman"/>
                      <w:color w:val="000000"/>
                      <w:sz w:val="16"/>
                      <w:szCs w:val="16"/>
                      <w:lang w:eastAsia="lv-LV"/>
                    </w:rPr>
                    <w:t>. kompensāciju</w:t>
                  </w:r>
                </w:p>
              </w:tc>
              <w:tc>
                <w:tcPr>
                  <w:tcW w:w="940"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5647986B"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Vidējās izmaksas 1 pacientam gadā, </w:t>
                  </w:r>
                  <w:r w:rsidRPr="00327B8F">
                    <w:rPr>
                      <w:rFonts w:ascii="Times New Roman" w:eastAsia="Times New Roman" w:hAnsi="Times New Roman" w:cs="Times New Roman"/>
                      <w:i/>
                      <w:iCs/>
                      <w:color w:val="000000"/>
                      <w:sz w:val="16"/>
                      <w:szCs w:val="16"/>
                      <w:lang w:eastAsia="lv-LV"/>
                    </w:rPr>
                    <w:t>euro</w:t>
                  </w:r>
                </w:p>
              </w:tc>
              <w:tc>
                <w:tcPr>
                  <w:tcW w:w="1428" w:type="dxa"/>
                  <w:tcBorders>
                    <w:top w:val="single" w:sz="4" w:space="0" w:color="auto"/>
                    <w:left w:val="nil"/>
                    <w:bottom w:val="single" w:sz="4" w:space="0" w:color="auto"/>
                    <w:right w:val="single" w:sz="4" w:space="0" w:color="auto"/>
                  </w:tcBorders>
                  <w:shd w:val="clear" w:color="000000" w:fill="FFC000"/>
                  <w:vAlign w:val="center"/>
                  <w:hideMark/>
                </w:tcPr>
                <w:p w:rsidR="002941F5" w:rsidRPr="00327B8F" w:rsidP="00F841CC" w14:paraId="13AF14DE" w14:textId="77777777">
                  <w:pPr>
                    <w:spacing w:after="0" w:line="240" w:lineRule="auto"/>
                    <w:jc w:val="center"/>
                    <w:rPr>
                      <w:rFonts w:ascii="Times New Roman" w:eastAsia="Times New Roman" w:hAnsi="Times New Roman" w:cs="Times New Roman"/>
                      <w:color w:val="000000"/>
                      <w:sz w:val="16"/>
                      <w:szCs w:val="16"/>
                      <w:lang w:eastAsia="lv-LV"/>
                    </w:rPr>
                  </w:pPr>
                  <w:r w:rsidRPr="00327B8F">
                    <w:rPr>
                      <w:rFonts w:ascii="Times New Roman" w:eastAsia="Times New Roman" w:hAnsi="Times New Roman" w:cs="Times New Roman"/>
                      <w:color w:val="000000"/>
                      <w:sz w:val="16"/>
                      <w:szCs w:val="16"/>
                      <w:lang w:eastAsia="lv-LV"/>
                    </w:rPr>
                    <w:t xml:space="preserve">Prognozētais nepieciešamais </w:t>
                  </w:r>
                  <w:r w:rsidRPr="00327B8F">
                    <w:rPr>
                      <w:rFonts w:ascii="Times New Roman" w:eastAsia="Times New Roman" w:hAnsi="Times New Roman" w:cs="Times New Roman"/>
                      <w:color w:val="000000"/>
                      <w:sz w:val="16"/>
                      <w:szCs w:val="16"/>
                      <w:lang w:eastAsia="lv-LV"/>
                    </w:rPr>
                    <w:br/>
                    <w:t xml:space="preserve">finansējums, </w:t>
                  </w:r>
                  <w:r w:rsidRPr="00327B8F">
                    <w:rPr>
                      <w:rFonts w:ascii="Times New Roman" w:eastAsia="Times New Roman" w:hAnsi="Times New Roman" w:cs="Times New Roman"/>
                      <w:color w:val="000000"/>
                      <w:sz w:val="16"/>
                      <w:szCs w:val="16"/>
                      <w:lang w:eastAsia="lv-LV"/>
                    </w:rPr>
                    <w:t>euro</w:t>
                  </w:r>
                  <w:r w:rsidRPr="00327B8F">
                    <w:rPr>
                      <w:rFonts w:ascii="Times New Roman" w:eastAsia="Times New Roman" w:hAnsi="Times New Roman" w:cs="Times New Roman"/>
                      <w:color w:val="000000"/>
                      <w:sz w:val="16"/>
                      <w:szCs w:val="16"/>
                      <w:lang w:eastAsia="lv-LV"/>
                    </w:rPr>
                    <w:t xml:space="preserve"> gadā</w:t>
                  </w:r>
                </w:p>
              </w:tc>
            </w:tr>
            <w:tr w14:paraId="01F0AB44" w14:textId="77777777" w:rsidTr="00F841CC">
              <w:tblPrEx>
                <w:tblW w:w="7289" w:type="dxa"/>
                <w:tblInd w:w="111" w:type="dxa"/>
                <w:tblLayout w:type="fixed"/>
                <w:tblLook w:val="04A0"/>
              </w:tblPrEx>
              <w:trPr>
                <w:trHeight w:val="317"/>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35EA04C"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Pulmonālā</w:t>
                  </w:r>
                  <w:r w:rsidRPr="00327B8F">
                    <w:rPr>
                      <w:rFonts w:ascii="Times New Roman" w:eastAsia="Times New Roman" w:hAnsi="Times New Roman" w:cs="Times New Roman"/>
                      <w:sz w:val="16"/>
                      <w:szCs w:val="16"/>
                      <w:lang w:eastAsia="lv-LV"/>
                    </w:rPr>
                    <w:t xml:space="preserve"> hipertensija (Primāra plaušu hipertensija I27.0)</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038815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62C6B8A6"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BosentanumAmbrisentanum</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CA6B48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211</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2268CBC1"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8 766</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95D78D1"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1 </w:t>
                  </w:r>
                  <w:r>
                    <w:rPr>
                      <w:rFonts w:ascii="Times New Roman" w:eastAsia="Times New Roman" w:hAnsi="Times New Roman" w:cs="Times New Roman"/>
                      <w:sz w:val="16"/>
                      <w:szCs w:val="16"/>
                      <w:lang w:eastAsia="lv-LV"/>
                    </w:rPr>
                    <w:t>849 626</w:t>
                  </w:r>
                </w:p>
              </w:tc>
            </w:tr>
            <w:tr w14:paraId="5F685712" w14:textId="77777777" w:rsidTr="00F841CC">
              <w:tblPrEx>
                <w:tblW w:w="7289" w:type="dxa"/>
                <w:tblInd w:w="111" w:type="dxa"/>
                <w:tblLayout w:type="fixed"/>
                <w:tblLook w:val="04A0"/>
              </w:tblPrEx>
              <w:trPr>
                <w:trHeight w:val="265"/>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8E7122B"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3B0B386"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CE3D31E"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Sildenafilum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B27005F"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2463633"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A99F567" w14:textId="77777777">
                  <w:pPr>
                    <w:spacing w:after="0" w:line="240" w:lineRule="auto"/>
                    <w:rPr>
                      <w:rFonts w:ascii="Times New Roman" w:eastAsia="Times New Roman" w:hAnsi="Times New Roman" w:cs="Times New Roman"/>
                      <w:sz w:val="16"/>
                      <w:szCs w:val="16"/>
                      <w:lang w:eastAsia="lv-LV"/>
                    </w:rPr>
                  </w:pPr>
                </w:p>
              </w:tc>
            </w:tr>
            <w:tr w14:paraId="3B0CDDDA" w14:textId="77777777" w:rsidTr="00F841CC">
              <w:tblPrEx>
                <w:tblW w:w="7289" w:type="dxa"/>
                <w:tblInd w:w="111" w:type="dxa"/>
                <w:tblLayout w:type="fixed"/>
                <w:tblLook w:val="04A0"/>
              </w:tblPrEx>
              <w:trPr>
                <w:trHeight w:val="283"/>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40E13889"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B42C84C"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6C0ACDFE"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Riociguatum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58D86ED"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517E2377"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F235F53" w14:textId="77777777">
                  <w:pPr>
                    <w:spacing w:after="0" w:line="240" w:lineRule="auto"/>
                    <w:rPr>
                      <w:rFonts w:ascii="Times New Roman" w:eastAsia="Times New Roman" w:hAnsi="Times New Roman" w:cs="Times New Roman"/>
                      <w:sz w:val="16"/>
                      <w:szCs w:val="16"/>
                      <w:lang w:eastAsia="lv-LV"/>
                    </w:rPr>
                  </w:pPr>
                </w:p>
              </w:tc>
            </w:tr>
            <w:tr w14:paraId="5B945AE1" w14:textId="77777777" w:rsidTr="00F841CC">
              <w:tblPrEx>
                <w:tblW w:w="7289" w:type="dxa"/>
                <w:tblInd w:w="111" w:type="dxa"/>
                <w:tblLayout w:type="fixed"/>
                <w:tblLook w:val="04A0"/>
              </w:tblPrEx>
              <w:trPr>
                <w:trHeight w:val="503"/>
              </w:trPr>
              <w:tc>
                <w:tcPr>
                  <w:tcW w:w="1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7A7C0D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Aknu </w:t>
                  </w:r>
                  <w:r w:rsidRPr="00327B8F">
                    <w:rPr>
                      <w:rFonts w:ascii="Times New Roman" w:eastAsia="Times New Roman" w:hAnsi="Times New Roman" w:cs="Times New Roman"/>
                      <w:sz w:val="16"/>
                      <w:szCs w:val="16"/>
                      <w:lang w:eastAsia="lv-LV"/>
                    </w:rPr>
                    <w:t>ehinokokoze</w:t>
                  </w:r>
                  <w:r w:rsidRPr="00327B8F">
                    <w:rPr>
                      <w:rFonts w:ascii="Times New Roman" w:eastAsia="Times New Roman" w:hAnsi="Times New Roman" w:cs="Times New Roman"/>
                      <w:sz w:val="16"/>
                      <w:szCs w:val="16"/>
                      <w:lang w:eastAsia="lv-LV"/>
                    </w:rPr>
                    <w:t xml:space="preserve"> (B67); </w:t>
                  </w:r>
                  <w:r w:rsidRPr="00327B8F">
                    <w:rPr>
                      <w:rFonts w:ascii="Times New Roman" w:eastAsia="Times New Roman" w:hAnsi="Times New Roman" w:cs="Times New Roman"/>
                      <w:sz w:val="16"/>
                      <w:szCs w:val="16"/>
                      <w:lang w:eastAsia="lv-LV"/>
                    </w:rPr>
                    <w:t>Cisticerkoze</w:t>
                  </w:r>
                  <w:r w:rsidRPr="00327B8F">
                    <w:rPr>
                      <w:rFonts w:ascii="Times New Roman" w:eastAsia="Times New Roman" w:hAnsi="Times New Roman" w:cs="Times New Roman"/>
                      <w:sz w:val="16"/>
                      <w:szCs w:val="16"/>
                      <w:lang w:eastAsia="lv-LV"/>
                    </w:rPr>
                    <w:t xml:space="preserve"> (B69)</w:t>
                  </w:r>
                </w:p>
              </w:tc>
              <w:tc>
                <w:tcPr>
                  <w:tcW w:w="120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799E17B3"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1002A55"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Albendazolum</w:t>
                  </w:r>
                </w:p>
              </w:tc>
              <w:tc>
                <w:tcPr>
                  <w:tcW w:w="110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3E64E5E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68</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327B8F" w:rsidP="00F841CC" w14:paraId="3FD4C5C1"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686</w:t>
                  </w:r>
                </w:p>
              </w:tc>
              <w:tc>
                <w:tcPr>
                  <w:tcW w:w="1428"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60B35A19"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46 648</w:t>
                  </w:r>
                </w:p>
              </w:tc>
            </w:tr>
            <w:tr w14:paraId="59905796" w14:textId="77777777" w:rsidTr="00F841CC">
              <w:tblPrEx>
                <w:tblW w:w="7289" w:type="dxa"/>
                <w:tblInd w:w="111" w:type="dxa"/>
                <w:tblLayout w:type="fixed"/>
                <w:tblLook w:val="04A0"/>
              </w:tblPrEx>
              <w:trPr>
                <w:trHeight w:val="450"/>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56F55DC"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Osteogenesisimperfecta</w:t>
                  </w:r>
                  <w:r w:rsidRPr="00327B8F">
                    <w:rPr>
                      <w:rFonts w:ascii="Times New Roman" w:eastAsia="Times New Roman" w:hAnsi="Times New Roman" w:cs="Times New Roman"/>
                      <w:sz w:val="16"/>
                      <w:szCs w:val="16"/>
                      <w:lang w:eastAsia="lv-LV"/>
                    </w:rPr>
                    <w:t xml:space="preserve"> (Q78.0)</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7B3DB6E1"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099DCD67"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Natriialendronatum</w:t>
                  </w:r>
                  <w:r w:rsidRPr="00327B8F">
                    <w:rPr>
                      <w:rFonts w:ascii="Times New Roman" w:eastAsia="Times New Roman" w:hAnsi="Times New Roman" w:cs="Times New Roman"/>
                      <w:sz w:val="16"/>
                      <w:szCs w:val="16"/>
                      <w:lang w:eastAsia="lv-LV"/>
                    </w:rPr>
                    <w:t xml:space="preserve">/ </w:t>
                  </w:r>
                  <w:r w:rsidRPr="00327B8F">
                    <w:rPr>
                      <w:rFonts w:ascii="Times New Roman" w:eastAsia="Times New Roman" w:hAnsi="Times New Roman" w:cs="Times New Roman"/>
                      <w:sz w:val="16"/>
                      <w:szCs w:val="16"/>
                      <w:lang w:eastAsia="lv-LV"/>
                    </w:rPr>
                    <w:t>Cholecalciferolum</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5DD9F0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8</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222B2C6F"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128</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D546414"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1 024</w:t>
                  </w:r>
                </w:p>
              </w:tc>
            </w:tr>
            <w:tr w14:paraId="4710B554" w14:textId="77777777" w:rsidTr="00F841CC">
              <w:tblPrEx>
                <w:tblW w:w="7289" w:type="dxa"/>
                <w:tblInd w:w="111" w:type="dxa"/>
                <w:tblLayout w:type="fixed"/>
                <w:tblLook w:val="04A0"/>
              </w:tblPrEx>
              <w:trPr>
                <w:trHeight w:val="315"/>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17D0D4E"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5742DD3"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550EABE0"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Acidumzoledronicum</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EE4A15E"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140F69B2"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E567D46" w14:textId="77777777">
                  <w:pPr>
                    <w:spacing w:after="0" w:line="240" w:lineRule="auto"/>
                    <w:rPr>
                      <w:rFonts w:ascii="Times New Roman" w:eastAsia="Times New Roman" w:hAnsi="Times New Roman" w:cs="Times New Roman"/>
                      <w:sz w:val="16"/>
                      <w:szCs w:val="16"/>
                      <w:lang w:eastAsia="lv-LV"/>
                    </w:rPr>
                  </w:pPr>
                </w:p>
              </w:tc>
            </w:tr>
            <w:tr w14:paraId="3A349F4B" w14:textId="77777777" w:rsidTr="00F841CC">
              <w:tblPrEx>
                <w:tblW w:w="7289" w:type="dxa"/>
                <w:tblInd w:w="111" w:type="dxa"/>
                <w:tblLayout w:type="fixed"/>
                <w:tblLook w:val="04A0"/>
              </w:tblPrEx>
              <w:trPr>
                <w:trHeight w:val="450"/>
              </w:trPr>
              <w:tc>
                <w:tcPr>
                  <w:tcW w:w="107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7093B9E"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Imūndeficīts (D82, D83, D84)</w:t>
                  </w:r>
                </w:p>
              </w:tc>
              <w:tc>
                <w:tcPr>
                  <w:tcW w:w="12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8411003"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23102759"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Immunoglobulinumhumanumnormale</w:t>
                  </w:r>
                </w:p>
              </w:tc>
              <w:tc>
                <w:tcPr>
                  <w:tcW w:w="110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3DC2362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28</w:t>
                  </w:r>
                </w:p>
              </w:tc>
              <w:tc>
                <w:tcPr>
                  <w:tcW w:w="94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941F5" w:rsidRPr="00327B8F" w:rsidP="00F841CC" w14:paraId="5EA4788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9 576</w:t>
                  </w:r>
                </w:p>
              </w:tc>
              <w:tc>
                <w:tcPr>
                  <w:tcW w:w="142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6B1486E"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268 128</w:t>
                  </w:r>
                </w:p>
              </w:tc>
            </w:tr>
            <w:tr w14:paraId="1EEFB2DA" w14:textId="77777777" w:rsidTr="00F841CC">
              <w:tblPrEx>
                <w:tblW w:w="7289" w:type="dxa"/>
                <w:tblInd w:w="111" w:type="dxa"/>
                <w:tblLayout w:type="fixed"/>
                <w:tblLook w:val="04A0"/>
              </w:tblPrEx>
              <w:trPr>
                <w:trHeight w:val="259"/>
              </w:trPr>
              <w:tc>
                <w:tcPr>
                  <w:tcW w:w="107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0FCFD957" w14:textId="77777777">
                  <w:pPr>
                    <w:spacing w:after="0" w:line="240" w:lineRule="auto"/>
                    <w:rPr>
                      <w:rFonts w:ascii="Times New Roman" w:eastAsia="Times New Roman" w:hAnsi="Times New Roman" w:cs="Times New Roman"/>
                      <w:sz w:val="16"/>
                      <w:szCs w:val="16"/>
                      <w:lang w:eastAsia="lv-LV"/>
                    </w:rPr>
                  </w:pPr>
                </w:p>
              </w:tc>
              <w:tc>
                <w:tcPr>
                  <w:tcW w:w="12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33D190F5" w14:textId="77777777">
                  <w:pPr>
                    <w:spacing w:after="0" w:line="240" w:lineRule="auto"/>
                    <w:rPr>
                      <w:rFonts w:ascii="Times New Roman" w:eastAsia="Times New Roman" w:hAnsi="Times New Roman" w:cs="Times New Roman"/>
                      <w:sz w:val="16"/>
                      <w:szCs w:val="16"/>
                      <w:lang w:eastAsia="lv-LV"/>
                    </w:rPr>
                  </w:pP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09B2E33F"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Conestatum</w:t>
                  </w:r>
                  <w:r w:rsidRPr="00327B8F">
                    <w:rPr>
                      <w:rFonts w:ascii="Times New Roman" w:eastAsia="Times New Roman" w:hAnsi="Times New Roman" w:cs="Times New Roman"/>
                      <w:sz w:val="16"/>
                      <w:szCs w:val="16"/>
                      <w:lang w:eastAsia="lv-LV"/>
                    </w:rPr>
                    <w:t xml:space="preserve"> alfa</w:t>
                  </w:r>
                </w:p>
              </w:tc>
              <w:tc>
                <w:tcPr>
                  <w:tcW w:w="110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EC48C01" w14:textId="77777777">
                  <w:pPr>
                    <w:spacing w:after="0" w:line="240" w:lineRule="auto"/>
                    <w:rPr>
                      <w:rFonts w:ascii="Times New Roman" w:eastAsia="Times New Roman" w:hAnsi="Times New Roman" w:cs="Times New Roman"/>
                      <w:sz w:val="16"/>
                      <w:szCs w:val="16"/>
                      <w:lang w:eastAsia="lv-LV"/>
                    </w:rPr>
                  </w:pPr>
                </w:p>
              </w:tc>
              <w:tc>
                <w:tcPr>
                  <w:tcW w:w="94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453BCAF8" w14:textId="77777777">
                  <w:pPr>
                    <w:spacing w:after="0" w:line="240" w:lineRule="auto"/>
                    <w:rPr>
                      <w:rFonts w:ascii="Times New Roman" w:eastAsia="Times New Roman" w:hAnsi="Times New Roman" w:cs="Times New Roman"/>
                      <w:sz w:val="16"/>
                      <w:szCs w:val="16"/>
                      <w:lang w:eastAsia="lv-LV"/>
                    </w:rPr>
                  </w:pPr>
                </w:p>
              </w:tc>
              <w:tc>
                <w:tcPr>
                  <w:tcW w:w="142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21E6664F" w14:textId="77777777">
                  <w:pPr>
                    <w:spacing w:after="0" w:line="240" w:lineRule="auto"/>
                    <w:rPr>
                      <w:rFonts w:ascii="Times New Roman" w:eastAsia="Times New Roman" w:hAnsi="Times New Roman" w:cs="Times New Roman"/>
                      <w:sz w:val="16"/>
                      <w:szCs w:val="16"/>
                      <w:lang w:eastAsia="lv-LV"/>
                    </w:rPr>
                  </w:pPr>
                </w:p>
              </w:tc>
            </w:tr>
            <w:tr w14:paraId="077ADC3F" w14:textId="77777777" w:rsidTr="00F841CC">
              <w:tblPrEx>
                <w:tblW w:w="7289" w:type="dxa"/>
                <w:tblInd w:w="111" w:type="dxa"/>
                <w:tblLayout w:type="fixed"/>
                <w:tblLook w:val="04A0"/>
              </w:tblPrEx>
              <w:trPr>
                <w:trHeight w:val="774"/>
              </w:trPr>
              <w:tc>
                <w:tcPr>
                  <w:tcW w:w="1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327B8F" w:rsidP="00F841CC" w14:paraId="6CAD19FA"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 xml:space="preserve">Hroniska nātrene; hroniski </w:t>
                  </w:r>
                  <w:r w:rsidRPr="00327B8F">
                    <w:rPr>
                      <w:rFonts w:ascii="Times New Roman" w:eastAsia="Times New Roman" w:hAnsi="Times New Roman" w:cs="Times New Roman"/>
                      <w:sz w:val="16"/>
                      <w:szCs w:val="16"/>
                      <w:lang w:eastAsia="lv-LV"/>
                    </w:rPr>
                    <w:t>recidivējoša</w:t>
                  </w:r>
                  <w:r w:rsidRPr="00327B8F">
                    <w:rPr>
                      <w:rFonts w:ascii="Times New Roman" w:eastAsia="Times New Roman" w:hAnsi="Times New Roman" w:cs="Times New Roman"/>
                      <w:sz w:val="16"/>
                      <w:szCs w:val="16"/>
                      <w:lang w:eastAsia="lv-LV"/>
                    </w:rPr>
                    <w:t xml:space="preserve"> nātrene  (L50.8)</w:t>
                  </w:r>
                </w:p>
              </w:tc>
              <w:tc>
                <w:tcPr>
                  <w:tcW w:w="1200"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47CA8248"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100%</w:t>
                  </w:r>
                </w:p>
              </w:tc>
              <w:tc>
                <w:tcPr>
                  <w:tcW w:w="1483"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3EF4E4BD"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Omalizumabum</w:t>
                  </w:r>
                </w:p>
              </w:tc>
              <w:tc>
                <w:tcPr>
                  <w:tcW w:w="1107"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53F805AB"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17</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327B8F" w:rsidP="00F841CC" w14:paraId="6CFE573F" w14:textId="77777777">
                  <w:pPr>
                    <w:spacing w:after="0" w:line="240" w:lineRule="auto"/>
                    <w:jc w:val="center"/>
                    <w:rPr>
                      <w:rFonts w:ascii="Times New Roman" w:eastAsia="Times New Roman" w:hAnsi="Times New Roman" w:cs="Times New Roman"/>
                      <w:sz w:val="16"/>
                      <w:szCs w:val="16"/>
                      <w:lang w:eastAsia="lv-LV"/>
                    </w:rPr>
                  </w:pPr>
                  <w:r w:rsidRPr="00327B8F">
                    <w:rPr>
                      <w:rFonts w:ascii="Times New Roman" w:eastAsia="Times New Roman" w:hAnsi="Times New Roman" w:cs="Times New Roman"/>
                      <w:sz w:val="16"/>
                      <w:szCs w:val="16"/>
                      <w:lang w:eastAsia="lv-LV"/>
                    </w:rPr>
                    <w:t>4 084</w:t>
                  </w:r>
                </w:p>
              </w:tc>
              <w:tc>
                <w:tcPr>
                  <w:tcW w:w="1428" w:type="dxa"/>
                  <w:tcBorders>
                    <w:top w:val="nil"/>
                    <w:left w:val="nil"/>
                    <w:bottom w:val="single" w:sz="4" w:space="0" w:color="auto"/>
                    <w:right w:val="single" w:sz="4" w:space="0" w:color="auto"/>
                  </w:tcBorders>
                  <w:shd w:val="clear" w:color="auto" w:fill="F2F2F2" w:themeFill="background1" w:themeFillShade="F2"/>
                  <w:vAlign w:val="center"/>
                  <w:hideMark/>
                </w:tcPr>
                <w:p w:rsidR="002941F5" w:rsidRPr="00327B8F" w:rsidP="00F841CC" w14:paraId="7465FBD4" w14:textId="7777777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69 428</w:t>
                  </w:r>
                </w:p>
              </w:tc>
            </w:tr>
            <w:tr w14:paraId="4369E9B3" w14:textId="77777777" w:rsidTr="00F841CC">
              <w:tblPrEx>
                <w:tblW w:w="7289" w:type="dxa"/>
                <w:tblInd w:w="111" w:type="dxa"/>
                <w:tblLayout w:type="fixed"/>
                <w:tblLook w:val="04A0"/>
              </w:tblPrEx>
              <w:trPr>
                <w:trHeight w:val="300"/>
              </w:trPr>
              <w:tc>
                <w:tcPr>
                  <w:tcW w:w="58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941F5" w:rsidRPr="00327B8F" w:rsidP="00F841CC" w14:paraId="0F60037A" w14:textId="77777777">
                  <w:pPr>
                    <w:spacing w:after="0" w:line="240" w:lineRule="auto"/>
                    <w:rPr>
                      <w:rFonts w:ascii="Times New Roman" w:eastAsia="Times New Roman" w:hAnsi="Times New Roman" w:cs="Times New Roman"/>
                      <w:sz w:val="18"/>
                      <w:szCs w:val="18"/>
                      <w:lang w:eastAsia="lv-LV"/>
                    </w:rPr>
                  </w:pPr>
                  <w:r w:rsidRPr="00327B8F">
                    <w:rPr>
                      <w:rFonts w:ascii="Times New Roman" w:eastAsia="Times New Roman" w:hAnsi="Times New Roman" w:cs="Times New Roman"/>
                      <w:sz w:val="18"/>
                      <w:szCs w:val="18"/>
                      <w:lang w:eastAsia="lv-LV"/>
                    </w:rPr>
                    <w:t xml:space="preserve">Kopā, </w:t>
                  </w:r>
                  <w:r w:rsidRPr="00327B8F">
                    <w:rPr>
                      <w:rFonts w:ascii="Times New Roman" w:eastAsia="Times New Roman" w:hAnsi="Times New Roman" w:cs="Times New Roman"/>
                      <w:i/>
                      <w:iCs/>
                      <w:sz w:val="18"/>
                      <w:szCs w:val="18"/>
                      <w:lang w:eastAsia="lv-LV"/>
                    </w:rPr>
                    <w:t>euro</w:t>
                  </w:r>
                  <w:r w:rsidRPr="00327B8F">
                    <w:rPr>
                      <w:rFonts w:ascii="Times New Roman" w:eastAsia="Times New Roman" w:hAnsi="Times New Roman" w:cs="Times New Roman"/>
                      <w:sz w:val="18"/>
                      <w:szCs w:val="18"/>
                      <w:lang w:eastAsia="lv-LV"/>
                    </w:rPr>
                    <w:t>:</w:t>
                  </w:r>
                </w:p>
              </w:tc>
              <w:tc>
                <w:tcPr>
                  <w:tcW w:w="1428" w:type="dxa"/>
                  <w:tcBorders>
                    <w:top w:val="nil"/>
                    <w:left w:val="nil"/>
                    <w:bottom w:val="single" w:sz="4" w:space="0" w:color="auto"/>
                    <w:right w:val="single" w:sz="4" w:space="0" w:color="auto"/>
                  </w:tcBorders>
                  <w:shd w:val="clear" w:color="auto" w:fill="F2F2F2" w:themeFill="background1" w:themeFillShade="F2"/>
                  <w:noWrap/>
                  <w:vAlign w:val="bottom"/>
                  <w:hideMark/>
                </w:tcPr>
                <w:p w:rsidR="002941F5" w:rsidRPr="00327B8F" w:rsidP="00F841CC" w14:paraId="717227B3"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2 234 854</w:t>
                  </w:r>
                </w:p>
              </w:tc>
            </w:tr>
          </w:tbl>
          <w:p w:rsidR="002941F5" w:rsidP="00F841CC" w14:paraId="5137529D" w14:textId="77777777">
            <w:pPr>
              <w:widowControl w:val="0"/>
              <w:spacing w:after="0" w:line="240" w:lineRule="auto"/>
              <w:jc w:val="both"/>
              <w:rPr>
                <w:rFonts w:ascii="Times New Roman" w:eastAsia="Times New Roman" w:hAnsi="Times New Roman" w:cs="Times New Roman"/>
                <w:sz w:val="24"/>
                <w:szCs w:val="24"/>
                <w:lang w:eastAsia="lv-LV"/>
              </w:rPr>
            </w:pPr>
          </w:p>
          <w:p w:rsidR="002941F5" w:rsidP="00F841CC" w14:paraId="52694207"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r w:rsidRPr="00D16F63">
              <w:rPr>
                <w:rFonts w:ascii="Times New Roman" w:hAnsi="Times New Roman" w:cs="Times New Roman"/>
                <w:sz w:val="24"/>
                <w:szCs w:val="24"/>
              </w:rPr>
              <w:t xml:space="preserve">Noteikumu projekts paredz nodrošināt kompensējamos medikamentus </w:t>
            </w:r>
            <w:r w:rsidRPr="00D16F63">
              <w:rPr>
                <w:rFonts w:ascii="Times New Roman" w:hAnsi="Times New Roman" w:cs="Times New Roman"/>
                <w:sz w:val="24"/>
                <w:szCs w:val="24"/>
              </w:rPr>
              <w:t xml:space="preserve">ambulatorai lietošanai pēc plaušu transplantācijas, radot ietekmi  </w:t>
            </w:r>
            <w:r>
              <w:rPr>
                <w:rFonts w:ascii="Times New Roman" w:hAnsi="Times New Roman" w:cs="Times New Roman"/>
                <w:b/>
                <w:sz w:val="24"/>
                <w:szCs w:val="24"/>
              </w:rPr>
              <w:t>76</w:t>
            </w:r>
            <w:r w:rsidRPr="00D16F63">
              <w:rPr>
                <w:rFonts w:ascii="Times New Roman" w:hAnsi="Times New Roman" w:cs="Times New Roman"/>
                <w:b/>
                <w:sz w:val="24"/>
                <w:szCs w:val="24"/>
              </w:rPr>
              <w:t xml:space="preserve"> 000 </w:t>
            </w:r>
            <w:r w:rsidRPr="000F4B3D">
              <w:rPr>
                <w:rFonts w:ascii="Times New Roman" w:hAnsi="Times New Roman" w:cs="Times New Roman"/>
                <w:b/>
                <w:i/>
                <w:sz w:val="24"/>
                <w:szCs w:val="24"/>
              </w:rPr>
              <w:t>euro</w:t>
            </w:r>
            <w:r>
              <w:rPr>
                <w:rFonts w:ascii="Times New Roman" w:hAnsi="Times New Roman" w:cs="Times New Roman"/>
                <w:sz w:val="24"/>
                <w:szCs w:val="24"/>
              </w:rPr>
              <w:t>, skat. tabulu Nr.10.</w:t>
            </w:r>
            <w:r w:rsidRPr="00D16F63">
              <w:rPr>
                <w:rFonts w:ascii="Times New Roman" w:hAnsi="Times New Roman" w:cs="Times New Roman"/>
                <w:sz w:val="24"/>
                <w:szCs w:val="24"/>
              </w:rPr>
              <w:t xml:space="preserve"> Iepriekšminētais pasākums tiks īstenots</w:t>
            </w:r>
            <w:r>
              <w:rPr>
                <w:rFonts w:ascii="Times New Roman" w:hAnsi="Times New Roman" w:cs="Times New Roman"/>
                <w:sz w:val="24"/>
                <w:szCs w:val="24"/>
              </w:rPr>
              <w:t xml:space="preserve"> veicot apropriācijas pārdali no</w:t>
            </w:r>
            <w:r w:rsidRPr="00D16F63">
              <w:rPr>
                <w:rFonts w:ascii="Times New Roman" w:hAnsi="Times New Roman" w:cs="Times New Roman"/>
                <w:sz w:val="24"/>
                <w:szCs w:val="24"/>
              </w:rPr>
              <w:t xml:space="preserve"> </w:t>
            </w:r>
            <w:r w:rsidRPr="00D16F63">
              <w:rPr>
                <w:rFonts w:ascii="Times New Roman" w:eastAsia="Times New Roman" w:hAnsi="Times New Roman" w:cs="Times New Roman"/>
                <w:sz w:val="24"/>
                <w:szCs w:val="24"/>
                <w:shd w:val="clear" w:color="auto" w:fill="FFFFFF"/>
                <w:lang w:eastAsia="lv-LV" w:bidi="lv-LV"/>
              </w:rPr>
              <w:t>apakšprogrammas 33.18.00 “Plānveida stacionāro veselības aprūpes paka</w:t>
            </w:r>
            <w:r>
              <w:rPr>
                <w:rFonts w:ascii="Times New Roman" w:eastAsia="Times New Roman" w:hAnsi="Times New Roman" w:cs="Times New Roman"/>
                <w:sz w:val="24"/>
                <w:szCs w:val="24"/>
                <w:shd w:val="clear" w:color="auto" w:fill="FFFFFF"/>
                <w:lang w:eastAsia="lv-LV" w:bidi="lv-LV"/>
              </w:rPr>
              <w:t>lpojumu nodrošināšana” ietvaros uz apakšprogrammu 33.03.00 „Kompensējamo medikamentu un materiālu apmaksāšana”.</w:t>
            </w:r>
          </w:p>
          <w:p w:rsidR="002941F5" w:rsidP="00F841CC" w14:paraId="2B16DD16"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p>
          <w:p w:rsidR="002941F5" w:rsidP="00F841CC" w14:paraId="272C66F7"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p>
          <w:p w:rsidR="002941F5" w:rsidRPr="00953F53" w:rsidP="00F841CC" w14:paraId="6D76E0A1"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Nr.10</w:t>
            </w:r>
          </w:p>
          <w:tbl>
            <w:tblPr>
              <w:tblW w:w="7721" w:type="dxa"/>
              <w:tblLayout w:type="fixed"/>
              <w:tblLook w:val="04A0"/>
            </w:tblPr>
            <w:tblGrid>
              <w:gridCol w:w="4658"/>
              <w:gridCol w:w="1340"/>
              <w:gridCol w:w="848"/>
              <w:gridCol w:w="875"/>
            </w:tblGrid>
            <w:tr w14:paraId="6E5D1AD4" w14:textId="77777777" w:rsidTr="00F841CC">
              <w:tblPrEx>
                <w:tblW w:w="7721" w:type="dxa"/>
                <w:tblLayout w:type="fixed"/>
                <w:tblLook w:val="04A0"/>
              </w:tblPrEx>
              <w:trPr>
                <w:trHeight w:val="680"/>
              </w:trPr>
              <w:tc>
                <w:tcPr>
                  <w:tcW w:w="465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41F5" w:rsidRPr="00D16F63" w:rsidP="00F841CC" w14:paraId="04946499" w14:textId="77777777">
                  <w:pPr>
                    <w:spacing w:after="0" w:line="240" w:lineRule="auto"/>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 </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4BE3E878"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Vidējās izmaksas vienam plaušu transplantācijas pacientam</w:t>
                  </w:r>
                </w:p>
              </w:tc>
              <w:tc>
                <w:tcPr>
                  <w:tcW w:w="848"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015A27DA"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Pacientu skaits</w:t>
                  </w:r>
                </w:p>
              </w:tc>
              <w:tc>
                <w:tcPr>
                  <w:tcW w:w="875"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7AB78B04"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Izmaksas kopā 2019</w:t>
                  </w:r>
                  <w:r w:rsidRPr="00D16F63">
                    <w:rPr>
                      <w:rFonts w:ascii="Times New Roman" w:eastAsia="Times New Roman" w:hAnsi="Times New Roman" w:cs="Times New Roman"/>
                      <w:color w:val="000000"/>
                      <w:sz w:val="16"/>
                      <w:szCs w:val="16"/>
                      <w:lang w:eastAsia="lv-LV"/>
                    </w:rPr>
                    <w:t>.g.</w:t>
                  </w:r>
                </w:p>
              </w:tc>
            </w:tr>
            <w:tr w14:paraId="057A9BDB" w14:textId="77777777" w:rsidTr="00F841CC">
              <w:tblPrEx>
                <w:tblW w:w="7721" w:type="dxa"/>
                <w:tblLayout w:type="fixed"/>
                <w:tblLook w:val="04A0"/>
              </w:tblPrEx>
              <w:trPr>
                <w:trHeight w:val="548"/>
              </w:trPr>
              <w:tc>
                <w:tcPr>
                  <w:tcW w:w="465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D16F63" w:rsidP="00F841CC" w14:paraId="04DB1E7F"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Kompensējamie medikamenti ambulatorai lietošanai pēc plaušu transplantācijas</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652D9BC4"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19 000</w:t>
                  </w:r>
                </w:p>
              </w:tc>
              <w:tc>
                <w:tcPr>
                  <w:tcW w:w="848"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21BD9FCC"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w:t>
                  </w:r>
                </w:p>
              </w:tc>
              <w:tc>
                <w:tcPr>
                  <w:tcW w:w="875"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02A816AD"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76</w:t>
                  </w:r>
                  <w:r w:rsidRPr="00D16F63">
                    <w:rPr>
                      <w:rFonts w:ascii="Times New Roman" w:eastAsia="Times New Roman" w:hAnsi="Times New Roman" w:cs="Times New Roman"/>
                      <w:color w:val="000000"/>
                      <w:sz w:val="16"/>
                      <w:szCs w:val="16"/>
                      <w:lang w:eastAsia="lv-LV"/>
                    </w:rPr>
                    <w:t xml:space="preserve"> 000</w:t>
                  </w:r>
                </w:p>
              </w:tc>
            </w:tr>
          </w:tbl>
          <w:p w:rsidR="002941F5" w:rsidP="00F841CC" w14:paraId="4BB9CC18" w14:textId="77777777">
            <w:pPr>
              <w:widowControl w:val="0"/>
              <w:spacing w:after="0" w:line="240" w:lineRule="auto"/>
              <w:jc w:val="both"/>
              <w:rPr>
                <w:rFonts w:ascii="Times New Roman" w:eastAsia="Times New Roman" w:hAnsi="Times New Roman" w:cs="Times New Roman"/>
                <w:sz w:val="24"/>
                <w:szCs w:val="24"/>
                <w:lang w:eastAsia="lv-LV"/>
              </w:rPr>
            </w:pPr>
          </w:p>
          <w:p w:rsidR="002941F5" w:rsidRPr="00A55CFD" w:rsidP="00F841CC" w14:paraId="31D793A5"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A55CFD">
              <w:rPr>
                <w:rFonts w:ascii="Times New Roman" w:eastAsia="Times New Roman" w:hAnsi="Times New Roman" w:cs="Times New Roman"/>
                <w:sz w:val="24"/>
                <w:szCs w:val="24"/>
                <w:shd w:val="clear" w:color="auto" w:fill="FFFFFF"/>
                <w:lang w:eastAsia="lv-LV" w:bidi="lv-LV"/>
              </w:rPr>
              <w:t xml:space="preserve">     Kopējais </w:t>
            </w:r>
            <w:r>
              <w:rPr>
                <w:rFonts w:ascii="Times New Roman" w:eastAsia="Times New Roman" w:hAnsi="Times New Roman" w:cs="Times New Roman"/>
                <w:sz w:val="24"/>
                <w:szCs w:val="24"/>
                <w:shd w:val="clear" w:color="auto" w:fill="FFFFFF"/>
                <w:lang w:eastAsia="lv-LV" w:bidi="lv-LV"/>
              </w:rPr>
              <w:t>finansējums 2019.gadā</w:t>
            </w:r>
            <w:r w:rsidRPr="00A55CFD">
              <w:rPr>
                <w:rFonts w:ascii="Times New Roman" w:eastAsia="Times New Roman" w:hAnsi="Times New Roman" w:cs="Times New Roman"/>
                <w:sz w:val="24"/>
                <w:szCs w:val="24"/>
                <w:shd w:val="clear" w:color="auto" w:fill="FFFFFF"/>
                <w:lang w:eastAsia="lv-LV" w:bidi="lv-LV"/>
              </w:rPr>
              <w:t>,</w:t>
            </w:r>
            <w:r>
              <w:rPr>
                <w:rFonts w:ascii="Times New Roman" w:eastAsia="Times New Roman" w:hAnsi="Times New Roman" w:cs="Times New Roman"/>
                <w:sz w:val="24"/>
                <w:szCs w:val="24"/>
                <w:shd w:val="clear" w:color="auto" w:fill="FFFFFF"/>
                <w:lang w:eastAsia="lv-LV" w:bidi="lv-LV"/>
              </w:rPr>
              <w:t xml:space="preserve"> lai īstenotu noteikumu projektā paredzētos pasākumus</w:t>
            </w:r>
            <w:r w:rsidRPr="00A55CFD">
              <w:rPr>
                <w:rFonts w:ascii="Times New Roman" w:eastAsia="Times New Roman" w:hAnsi="Times New Roman" w:cs="Times New Roman"/>
                <w:sz w:val="24"/>
                <w:szCs w:val="24"/>
                <w:shd w:val="clear" w:color="auto" w:fill="FFFFFF"/>
                <w:lang w:eastAsia="lv-LV" w:bidi="lv-LV"/>
              </w:rPr>
              <w:t xml:space="preserve"> ir </w:t>
            </w:r>
            <w:r w:rsidRPr="002939AC">
              <w:rPr>
                <w:rFonts w:ascii="Times New Roman" w:eastAsia="Times New Roman" w:hAnsi="Times New Roman" w:cs="Times New Roman"/>
                <w:b/>
                <w:sz w:val="24"/>
                <w:szCs w:val="24"/>
                <w:shd w:val="clear" w:color="auto" w:fill="FFFFFF"/>
                <w:lang w:eastAsia="lv-LV" w:bidi="lv-LV"/>
              </w:rPr>
              <w:t>2 36</w:t>
            </w:r>
            <w:r>
              <w:rPr>
                <w:rFonts w:ascii="Times New Roman" w:eastAsia="Times New Roman" w:hAnsi="Times New Roman" w:cs="Times New Roman"/>
                <w:b/>
                <w:sz w:val="24"/>
                <w:szCs w:val="24"/>
                <w:shd w:val="clear" w:color="auto" w:fill="FFFFFF"/>
                <w:lang w:eastAsia="lv-LV" w:bidi="lv-LV"/>
              </w:rPr>
              <w:t>5 185</w:t>
            </w:r>
            <w:r w:rsidRPr="002939AC">
              <w:rPr>
                <w:rFonts w:ascii="Times New Roman" w:eastAsia="Times New Roman" w:hAnsi="Times New Roman" w:cs="Times New Roman"/>
                <w:b/>
                <w:sz w:val="24"/>
                <w:szCs w:val="24"/>
                <w:shd w:val="clear" w:color="auto" w:fill="FFFFFF"/>
                <w:lang w:eastAsia="lv-LV" w:bidi="lv-LV"/>
              </w:rPr>
              <w:t xml:space="preserve"> </w:t>
            </w:r>
            <w:r w:rsidRPr="002939AC">
              <w:rPr>
                <w:rFonts w:ascii="Times New Roman" w:eastAsia="Times New Roman" w:hAnsi="Times New Roman" w:cs="Times New Roman"/>
                <w:b/>
                <w:i/>
                <w:sz w:val="24"/>
                <w:szCs w:val="24"/>
                <w:shd w:val="clear" w:color="auto" w:fill="FFFFFF"/>
                <w:lang w:eastAsia="lv-LV" w:bidi="lv-LV"/>
              </w:rPr>
              <w:t>euro</w:t>
            </w:r>
            <w:r w:rsidRPr="00A55CFD">
              <w:rPr>
                <w:rFonts w:ascii="Times New Roman" w:eastAsia="Times New Roman" w:hAnsi="Times New Roman" w:cs="Times New Roman"/>
                <w:b/>
                <w:i/>
                <w:sz w:val="24"/>
                <w:szCs w:val="24"/>
                <w:shd w:val="clear" w:color="auto" w:fill="FFFFFF"/>
                <w:lang w:eastAsia="lv-LV" w:bidi="lv-LV"/>
              </w:rPr>
              <w:t>.</w:t>
            </w:r>
          </w:p>
          <w:p w:rsidR="002941F5" w:rsidP="00F841CC" w14:paraId="3647F0D1" w14:textId="77777777">
            <w:pPr>
              <w:widowControl w:val="0"/>
              <w:spacing w:after="0" w:line="240" w:lineRule="auto"/>
              <w:jc w:val="both"/>
              <w:rPr>
                <w:rFonts w:ascii="Times New Roman" w:eastAsia="Times New Roman" w:hAnsi="Times New Roman" w:cs="Times New Roman"/>
                <w:sz w:val="24"/>
                <w:szCs w:val="24"/>
                <w:lang w:eastAsia="lv-LV"/>
              </w:rPr>
            </w:pPr>
          </w:p>
          <w:p w:rsidR="002941F5" w:rsidP="00F841CC" w14:paraId="00EE4D88" w14:textId="77777777">
            <w:pPr>
              <w:widowControl w:val="0"/>
              <w:spacing w:after="0" w:line="240" w:lineRule="auto"/>
              <w:jc w:val="both"/>
              <w:rPr>
                <w:rFonts w:ascii="Times New Roman" w:eastAsia="Times New Roman" w:hAnsi="Times New Roman" w:cs="Times New Roman"/>
                <w:sz w:val="24"/>
                <w:szCs w:val="24"/>
                <w:lang w:eastAsia="lv-LV"/>
              </w:rPr>
            </w:pPr>
          </w:p>
          <w:p w:rsidR="002941F5" w:rsidP="00F841CC" w14:paraId="51211872" w14:textId="77777777">
            <w:pPr>
              <w:widowControl w:val="0"/>
              <w:spacing w:after="0" w:line="240" w:lineRule="auto"/>
              <w:jc w:val="both"/>
              <w:rPr>
                <w:rFonts w:ascii="Times New Roman" w:eastAsia="Times New Roman" w:hAnsi="Times New Roman" w:cs="Times New Roman"/>
                <w:b/>
                <w:i/>
                <w:sz w:val="24"/>
                <w:szCs w:val="24"/>
                <w:u w:val="single"/>
                <w:lang w:eastAsia="lv-LV"/>
              </w:rPr>
            </w:pPr>
            <w:r>
              <w:rPr>
                <w:rFonts w:ascii="Times New Roman" w:eastAsia="Times New Roman" w:hAnsi="Times New Roman" w:cs="Times New Roman"/>
                <w:b/>
                <w:i/>
                <w:sz w:val="24"/>
                <w:szCs w:val="24"/>
                <w:u w:val="single"/>
                <w:lang w:eastAsia="lv-LV"/>
              </w:rPr>
              <w:t>Ietekme 2020.gadā</w:t>
            </w:r>
          </w:p>
          <w:p w:rsidR="002941F5" w:rsidP="00F841CC" w14:paraId="7DB3B689"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r>
              <w:rPr>
                <w:rFonts w:ascii="Times New Roman" w:hAnsi="Times New Roman" w:cs="Times New Roman"/>
                <w:sz w:val="24"/>
                <w:szCs w:val="24"/>
              </w:rPr>
              <w:t xml:space="preserve">Salīdzinot ar ietekmi 2019.gadam, izmaiņas ir tikai pie kompensējamiem medikamentiem plaušu transplantācijai. </w:t>
            </w:r>
            <w:r w:rsidRPr="00D16F63">
              <w:rPr>
                <w:rFonts w:ascii="Times New Roman" w:hAnsi="Times New Roman" w:cs="Times New Roman"/>
                <w:sz w:val="24"/>
                <w:szCs w:val="24"/>
              </w:rPr>
              <w:t xml:space="preserve">Noteikumu projekts paredz nodrošināt kompensējamos medikamentus ambulatorai lietošanai pēc plaušu transplantācijas, radot ietekmi </w:t>
            </w:r>
            <w:r>
              <w:rPr>
                <w:rFonts w:ascii="Times New Roman" w:hAnsi="Times New Roman" w:cs="Times New Roman"/>
                <w:b/>
                <w:sz w:val="24"/>
                <w:szCs w:val="24"/>
              </w:rPr>
              <w:t>133</w:t>
            </w:r>
            <w:r w:rsidRPr="00D16F63">
              <w:rPr>
                <w:rFonts w:ascii="Times New Roman" w:hAnsi="Times New Roman" w:cs="Times New Roman"/>
                <w:b/>
                <w:sz w:val="24"/>
                <w:szCs w:val="24"/>
              </w:rPr>
              <w:t xml:space="preserve"> 000 </w:t>
            </w:r>
            <w:r w:rsidRPr="00D16F63">
              <w:rPr>
                <w:rFonts w:ascii="Times New Roman" w:hAnsi="Times New Roman" w:cs="Times New Roman"/>
                <w:b/>
                <w:sz w:val="24"/>
                <w:szCs w:val="24"/>
              </w:rPr>
              <w:t>euro</w:t>
            </w:r>
            <w:r>
              <w:rPr>
                <w:rFonts w:ascii="Times New Roman" w:hAnsi="Times New Roman" w:cs="Times New Roman"/>
                <w:sz w:val="24"/>
                <w:szCs w:val="24"/>
              </w:rPr>
              <w:t xml:space="preserve">, skat., tabulu Nr.12. </w:t>
            </w:r>
            <w:r w:rsidRPr="00D16F63">
              <w:rPr>
                <w:rFonts w:ascii="Times New Roman" w:hAnsi="Times New Roman" w:cs="Times New Roman"/>
                <w:sz w:val="24"/>
                <w:szCs w:val="24"/>
              </w:rPr>
              <w:t xml:space="preserve"> Iepriekšminētais pasākums tiks īstenots</w:t>
            </w:r>
            <w:r>
              <w:rPr>
                <w:rFonts w:ascii="Times New Roman" w:hAnsi="Times New Roman" w:cs="Times New Roman"/>
                <w:sz w:val="24"/>
                <w:szCs w:val="24"/>
              </w:rPr>
              <w:t xml:space="preserve"> veicot apropriācijas pārdali no</w:t>
            </w:r>
            <w:r w:rsidRPr="00D16F63">
              <w:rPr>
                <w:rFonts w:ascii="Times New Roman" w:hAnsi="Times New Roman" w:cs="Times New Roman"/>
                <w:sz w:val="24"/>
                <w:szCs w:val="24"/>
              </w:rPr>
              <w:t xml:space="preserve"> </w:t>
            </w:r>
            <w:r w:rsidRPr="00D16F63">
              <w:rPr>
                <w:rFonts w:ascii="Times New Roman" w:eastAsia="Times New Roman" w:hAnsi="Times New Roman" w:cs="Times New Roman"/>
                <w:sz w:val="24"/>
                <w:szCs w:val="24"/>
                <w:shd w:val="clear" w:color="auto" w:fill="FFFFFF"/>
                <w:lang w:eastAsia="lv-LV" w:bidi="lv-LV"/>
              </w:rPr>
              <w:t>apakšprogrammas 33.18.00 “Plānveida stacionāro veselības aprūpes paka</w:t>
            </w:r>
            <w:r>
              <w:rPr>
                <w:rFonts w:ascii="Times New Roman" w:eastAsia="Times New Roman" w:hAnsi="Times New Roman" w:cs="Times New Roman"/>
                <w:sz w:val="24"/>
                <w:szCs w:val="24"/>
                <w:shd w:val="clear" w:color="auto" w:fill="FFFFFF"/>
                <w:lang w:eastAsia="lv-LV" w:bidi="lv-LV"/>
              </w:rPr>
              <w:t>lpojumu nodrošināšana” ietvaros uz apakšprogrammu 33.03.00 „Kompensējamo medikamentu un materiālu apmaksāšana”.</w:t>
            </w:r>
          </w:p>
          <w:p w:rsidR="002941F5" w:rsidP="00F841CC" w14:paraId="726EAB5D"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p>
          <w:p w:rsidR="002941F5" w:rsidRPr="00953F53" w:rsidP="00F841CC" w14:paraId="1AB109E5"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Nr.12</w:t>
            </w:r>
          </w:p>
          <w:tbl>
            <w:tblPr>
              <w:tblW w:w="7721" w:type="dxa"/>
              <w:tblLayout w:type="fixed"/>
              <w:tblLook w:val="04A0"/>
            </w:tblPr>
            <w:tblGrid>
              <w:gridCol w:w="4795"/>
              <w:gridCol w:w="1139"/>
              <w:gridCol w:w="838"/>
              <w:gridCol w:w="949"/>
            </w:tblGrid>
            <w:tr w14:paraId="52B5B2F5" w14:textId="77777777" w:rsidTr="00F841CC">
              <w:tblPrEx>
                <w:tblW w:w="7721" w:type="dxa"/>
                <w:tblLayout w:type="fixed"/>
                <w:tblLook w:val="04A0"/>
              </w:tblPrEx>
              <w:trPr>
                <w:trHeight w:val="680"/>
              </w:trPr>
              <w:tc>
                <w:tcPr>
                  <w:tcW w:w="479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41F5" w:rsidRPr="00D16F63" w:rsidP="00F841CC" w14:paraId="14D55A74" w14:textId="77777777">
                  <w:pPr>
                    <w:spacing w:after="0" w:line="240" w:lineRule="auto"/>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 </w:t>
                  </w:r>
                </w:p>
              </w:tc>
              <w:tc>
                <w:tcPr>
                  <w:tcW w:w="1139"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57FBD9D3"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Vidējās izmaksas vienam plaušu transplantācijas pacientam</w:t>
                  </w:r>
                </w:p>
              </w:tc>
              <w:tc>
                <w:tcPr>
                  <w:tcW w:w="838"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73E04AA4"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Pacientu skaits</w:t>
                  </w:r>
                </w:p>
              </w:tc>
              <w:tc>
                <w:tcPr>
                  <w:tcW w:w="949"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7E9C715B"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Izmaksas kopā 2020</w:t>
                  </w:r>
                  <w:r w:rsidRPr="00D16F63">
                    <w:rPr>
                      <w:rFonts w:ascii="Times New Roman" w:eastAsia="Times New Roman" w:hAnsi="Times New Roman" w:cs="Times New Roman"/>
                      <w:color w:val="000000"/>
                      <w:sz w:val="16"/>
                      <w:szCs w:val="16"/>
                      <w:lang w:eastAsia="lv-LV"/>
                    </w:rPr>
                    <w:t>.g.</w:t>
                  </w:r>
                </w:p>
              </w:tc>
            </w:tr>
            <w:tr w14:paraId="628D9708" w14:textId="77777777" w:rsidTr="00F841CC">
              <w:tblPrEx>
                <w:tblW w:w="7721" w:type="dxa"/>
                <w:tblLayout w:type="fixed"/>
                <w:tblLook w:val="04A0"/>
              </w:tblPrEx>
              <w:trPr>
                <w:trHeight w:val="548"/>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D16F63" w:rsidP="00F841CC" w14:paraId="1F9F476F"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Kompensējamie medikamenti ambulatorai lietošanai pēc plaušu transplantācijas</w:t>
                  </w:r>
                </w:p>
              </w:tc>
              <w:tc>
                <w:tcPr>
                  <w:tcW w:w="1139"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3C842C6A"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19 000</w:t>
                  </w:r>
                </w:p>
              </w:tc>
              <w:tc>
                <w:tcPr>
                  <w:tcW w:w="838"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35A8B61A"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w:t>
                  </w:r>
                </w:p>
              </w:tc>
              <w:tc>
                <w:tcPr>
                  <w:tcW w:w="949"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245EC3E3"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133</w:t>
                  </w:r>
                  <w:r w:rsidRPr="00D16F63">
                    <w:rPr>
                      <w:rFonts w:ascii="Times New Roman" w:eastAsia="Times New Roman" w:hAnsi="Times New Roman" w:cs="Times New Roman"/>
                      <w:color w:val="000000"/>
                      <w:sz w:val="16"/>
                      <w:szCs w:val="16"/>
                      <w:lang w:eastAsia="lv-LV"/>
                    </w:rPr>
                    <w:t xml:space="preserve"> 000</w:t>
                  </w:r>
                </w:p>
              </w:tc>
            </w:tr>
          </w:tbl>
          <w:p w:rsidR="002941F5" w:rsidP="00F841CC" w14:paraId="6CE7F741" w14:textId="77777777">
            <w:pPr>
              <w:pStyle w:val="xmsonormal"/>
              <w:shd w:val="clear" w:color="auto" w:fill="FFFFFF"/>
              <w:spacing w:before="0" w:beforeAutospacing="0" w:after="0" w:afterAutospacing="0"/>
              <w:jc w:val="both"/>
            </w:pPr>
          </w:p>
          <w:p w:rsidR="002941F5" w:rsidRPr="002939AC" w:rsidP="00F841CC" w14:paraId="1A05614A"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A55CFD">
              <w:rPr>
                <w:rFonts w:ascii="Times New Roman" w:eastAsia="Times New Roman" w:hAnsi="Times New Roman" w:cs="Times New Roman"/>
                <w:sz w:val="24"/>
                <w:szCs w:val="24"/>
                <w:shd w:val="clear" w:color="auto" w:fill="FFFFFF"/>
                <w:lang w:eastAsia="lv-LV" w:bidi="lv-LV"/>
              </w:rPr>
              <w:t xml:space="preserve">Kopējais </w:t>
            </w:r>
            <w:r>
              <w:rPr>
                <w:rFonts w:ascii="Times New Roman" w:eastAsia="Times New Roman" w:hAnsi="Times New Roman" w:cs="Times New Roman"/>
                <w:sz w:val="24"/>
                <w:szCs w:val="24"/>
                <w:shd w:val="clear" w:color="auto" w:fill="FFFFFF"/>
                <w:lang w:eastAsia="lv-LV" w:bidi="lv-LV"/>
              </w:rPr>
              <w:t>finansējums 2020.gadā</w:t>
            </w:r>
            <w:r w:rsidRPr="00A55CFD">
              <w:rPr>
                <w:rFonts w:ascii="Times New Roman" w:eastAsia="Times New Roman" w:hAnsi="Times New Roman" w:cs="Times New Roman"/>
                <w:sz w:val="24"/>
                <w:szCs w:val="24"/>
                <w:shd w:val="clear" w:color="auto" w:fill="FFFFFF"/>
                <w:lang w:eastAsia="lv-LV" w:bidi="lv-LV"/>
              </w:rPr>
              <w:t>,</w:t>
            </w:r>
            <w:r>
              <w:rPr>
                <w:rFonts w:ascii="Times New Roman" w:eastAsia="Times New Roman" w:hAnsi="Times New Roman" w:cs="Times New Roman"/>
                <w:sz w:val="24"/>
                <w:szCs w:val="24"/>
                <w:shd w:val="clear" w:color="auto" w:fill="FFFFFF"/>
                <w:lang w:eastAsia="lv-LV" w:bidi="lv-LV"/>
              </w:rPr>
              <w:t xml:space="preserve"> lai īstenotu noteikumu projektā paredzētos pasākumus</w:t>
            </w:r>
            <w:r w:rsidRPr="00A55CFD">
              <w:rPr>
                <w:rFonts w:ascii="Times New Roman" w:eastAsia="Times New Roman" w:hAnsi="Times New Roman" w:cs="Times New Roman"/>
                <w:sz w:val="24"/>
                <w:szCs w:val="24"/>
                <w:shd w:val="clear" w:color="auto" w:fill="FFFFFF"/>
                <w:lang w:eastAsia="lv-LV" w:bidi="lv-LV"/>
              </w:rPr>
              <w:t xml:space="preserve"> </w:t>
            </w:r>
            <w:r w:rsidRPr="002939AC">
              <w:rPr>
                <w:rFonts w:ascii="Times New Roman" w:eastAsia="Times New Roman" w:hAnsi="Times New Roman" w:cs="Times New Roman"/>
                <w:sz w:val="24"/>
                <w:szCs w:val="24"/>
                <w:shd w:val="clear" w:color="auto" w:fill="FFFFFF"/>
                <w:lang w:eastAsia="lv-LV" w:bidi="lv-LV"/>
              </w:rPr>
              <w:t xml:space="preserve">ir </w:t>
            </w:r>
            <w:r w:rsidRPr="002939AC">
              <w:rPr>
                <w:rFonts w:ascii="Times New Roman" w:eastAsia="Times New Roman" w:hAnsi="Times New Roman" w:cs="Times New Roman"/>
                <w:b/>
                <w:sz w:val="24"/>
                <w:szCs w:val="24"/>
                <w:shd w:val="clear" w:color="auto" w:fill="FFFFFF"/>
                <w:lang w:eastAsia="lv-LV" w:bidi="lv-LV"/>
              </w:rPr>
              <w:t>2 4</w:t>
            </w:r>
            <w:r>
              <w:rPr>
                <w:rFonts w:ascii="Times New Roman" w:eastAsia="Times New Roman" w:hAnsi="Times New Roman" w:cs="Times New Roman"/>
                <w:b/>
                <w:sz w:val="24"/>
                <w:szCs w:val="24"/>
                <w:shd w:val="clear" w:color="auto" w:fill="FFFFFF"/>
                <w:lang w:eastAsia="lv-LV" w:bidi="lv-LV"/>
              </w:rPr>
              <w:t>22 185</w:t>
            </w:r>
            <w:r w:rsidRPr="002939AC">
              <w:rPr>
                <w:rFonts w:ascii="Times New Roman" w:eastAsia="Times New Roman" w:hAnsi="Times New Roman" w:cs="Times New Roman"/>
                <w:b/>
                <w:sz w:val="24"/>
                <w:szCs w:val="24"/>
                <w:shd w:val="clear" w:color="auto" w:fill="FFFFFF"/>
                <w:lang w:eastAsia="lv-LV" w:bidi="lv-LV"/>
              </w:rPr>
              <w:t xml:space="preserve"> </w:t>
            </w:r>
            <w:r w:rsidRPr="002939AC">
              <w:rPr>
                <w:rFonts w:ascii="Times New Roman" w:eastAsia="Times New Roman" w:hAnsi="Times New Roman" w:cs="Times New Roman"/>
                <w:b/>
                <w:i/>
                <w:sz w:val="24"/>
                <w:szCs w:val="24"/>
                <w:shd w:val="clear" w:color="auto" w:fill="FFFFFF"/>
                <w:lang w:eastAsia="lv-LV" w:bidi="lv-LV"/>
              </w:rPr>
              <w:t>euro</w:t>
            </w:r>
            <w:r w:rsidRPr="002939AC">
              <w:rPr>
                <w:rFonts w:ascii="Times New Roman" w:eastAsia="Times New Roman" w:hAnsi="Times New Roman" w:cs="Times New Roman"/>
                <w:i/>
                <w:sz w:val="24"/>
                <w:szCs w:val="24"/>
                <w:shd w:val="clear" w:color="auto" w:fill="FFFFFF"/>
                <w:lang w:eastAsia="lv-LV" w:bidi="lv-LV"/>
              </w:rPr>
              <w:t>.</w:t>
            </w:r>
          </w:p>
          <w:p w:rsidR="002941F5" w:rsidRPr="002939AC" w:rsidP="00F841CC" w14:paraId="5B722448" w14:textId="77777777">
            <w:pPr>
              <w:pStyle w:val="xmsonormal"/>
              <w:shd w:val="clear" w:color="auto" w:fill="FFFFFF"/>
              <w:spacing w:before="0" w:beforeAutospacing="0" w:after="0" w:afterAutospacing="0"/>
              <w:jc w:val="both"/>
            </w:pPr>
          </w:p>
          <w:p w:rsidR="002941F5" w:rsidP="00F841CC" w14:paraId="44E6B42D" w14:textId="77777777">
            <w:pPr>
              <w:widowControl w:val="0"/>
              <w:spacing w:after="0" w:line="240" w:lineRule="auto"/>
              <w:jc w:val="both"/>
              <w:rPr>
                <w:rFonts w:ascii="Times New Roman" w:eastAsia="Times New Roman" w:hAnsi="Times New Roman" w:cs="Times New Roman"/>
                <w:b/>
                <w:i/>
                <w:sz w:val="24"/>
                <w:szCs w:val="24"/>
                <w:u w:val="single"/>
                <w:lang w:eastAsia="lv-LV"/>
              </w:rPr>
            </w:pPr>
            <w:r>
              <w:rPr>
                <w:rFonts w:ascii="Times New Roman" w:eastAsia="Times New Roman" w:hAnsi="Times New Roman" w:cs="Times New Roman"/>
                <w:b/>
                <w:i/>
                <w:sz w:val="24"/>
                <w:szCs w:val="24"/>
                <w:u w:val="single"/>
                <w:lang w:eastAsia="lv-LV"/>
              </w:rPr>
              <w:t>Ietekme 2021.gadā</w:t>
            </w:r>
          </w:p>
          <w:p w:rsidR="002941F5" w:rsidP="00F841CC" w14:paraId="619AE9E7"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r>
              <w:rPr>
                <w:rFonts w:ascii="Times New Roman" w:hAnsi="Times New Roman" w:cs="Times New Roman"/>
                <w:sz w:val="24"/>
                <w:szCs w:val="24"/>
              </w:rPr>
              <w:t xml:space="preserve">Salīdzinot ar ietekmi 2019.gadam, izmaiņas ir tikai pie kompensējamiem medikamentiem plaušu transplantācijai. </w:t>
            </w:r>
            <w:r w:rsidRPr="00D16F63">
              <w:rPr>
                <w:rFonts w:ascii="Times New Roman" w:hAnsi="Times New Roman" w:cs="Times New Roman"/>
                <w:sz w:val="24"/>
                <w:szCs w:val="24"/>
              </w:rPr>
              <w:t xml:space="preserve">Noteikumu projekts paredz nodrošināt kompensējamos medikamentus ambulatorai lietošanai pēc plaušu transplantācijas, radot ietekmi </w:t>
            </w:r>
            <w:r>
              <w:rPr>
                <w:rFonts w:ascii="Times New Roman" w:hAnsi="Times New Roman" w:cs="Times New Roman"/>
                <w:b/>
                <w:sz w:val="24"/>
                <w:szCs w:val="24"/>
              </w:rPr>
              <w:t>190</w:t>
            </w:r>
            <w:r w:rsidRPr="00D16F63">
              <w:rPr>
                <w:rFonts w:ascii="Times New Roman" w:hAnsi="Times New Roman" w:cs="Times New Roman"/>
                <w:b/>
                <w:sz w:val="24"/>
                <w:szCs w:val="24"/>
              </w:rPr>
              <w:t xml:space="preserve"> 000 </w:t>
            </w:r>
            <w:r w:rsidRPr="00D16F63">
              <w:rPr>
                <w:rFonts w:ascii="Times New Roman" w:hAnsi="Times New Roman" w:cs="Times New Roman"/>
                <w:b/>
                <w:sz w:val="24"/>
                <w:szCs w:val="24"/>
              </w:rPr>
              <w:t>euro</w:t>
            </w:r>
            <w:r>
              <w:rPr>
                <w:rFonts w:ascii="Times New Roman" w:hAnsi="Times New Roman" w:cs="Times New Roman"/>
                <w:sz w:val="24"/>
                <w:szCs w:val="24"/>
              </w:rPr>
              <w:t>, skat., tabulu Nr.13.</w:t>
            </w:r>
            <w:r w:rsidRPr="00D16F63">
              <w:rPr>
                <w:rFonts w:ascii="Times New Roman" w:hAnsi="Times New Roman" w:cs="Times New Roman"/>
                <w:sz w:val="24"/>
                <w:szCs w:val="24"/>
              </w:rPr>
              <w:t xml:space="preserve"> Iepriekšminētais pasākums tiks īstenots</w:t>
            </w:r>
            <w:r>
              <w:rPr>
                <w:rFonts w:ascii="Times New Roman" w:hAnsi="Times New Roman" w:cs="Times New Roman"/>
                <w:sz w:val="24"/>
                <w:szCs w:val="24"/>
              </w:rPr>
              <w:t xml:space="preserve"> veicot apropriācijas pārdali no</w:t>
            </w:r>
            <w:r w:rsidRPr="00D16F63">
              <w:rPr>
                <w:rFonts w:ascii="Times New Roman" w:hAnsi="Times New Roman" w:cs="Times New Roman"/>
                <w:sz w:val="24"/>
                <w:szCs w:val="24"/>
              </w:rPr>
              <w:t xml:space="preserve"> </w:t>
            </w:r>
            <w:r w:rsidRPr="00D16F63">
              <w:rPr>
                <w:rFonts w:ascii="Times New Roman" w:eastAsia="Times New Roman" w:hAnsi="Times New Roman" w:cs="Times New Roman"/>
                <w:sz w:val="24"/>
                <w:szCs w:val="24"/>
                <w:shd w:val="clear" w:color="auto" w:fill="FFFFFF"/>
                <w:lang w:eastAsia="lv-LV" w:bidi="lv-LV"/>
              </w:rPr>
              <w:t>apakšprogrammas 33.18.00 “Plānveida stacionāro veselības aprūpes paka</w:t>
            </w:r>
            <w:r>
              <w:rPr>
                <w:rFonts w:ascii="Times New Roman" w:eastAsia="Times New Roman" w:hAnsi="Times New Roman" w:cs="Times New Roman"/>
                <w:sz w:val="24"/>
                <w:szCs w:val="24"/>
                <w:shd w:val="clear" w:color="auto" w:fill="FFFFFF"/>
                <w:lang w:eastAsia="lv-LV" w:bidi="lv-LV"/>
              </w:rPr>
              <w:t>lpojumu nodrošināšana” ietvaros uz apakšprogrammu 33.03.00 „Kompensējamo medikamentu un materiālu apmaksāšana”.</w:t>
            </w:r>
          </w:p>
          <w:p w:rsidR="002941F5" w:rsidP="00F841CC" w14:paraId="0F0C2EAB" w14:textId="77777777">
            <w:pPr>
              <w:pStyle w:val="ListParagraph"/>
              <w:widowControl w:val="0"/>
              <w:spacing w:after="0" w:line="240" w:lineRule="auto"/>
              <w:ind w:left="96"/>
              <w:jc w:val="both"/>
              <w:rPr>
                <w:rFonts w:ascii="Times New Roman" w:eastAsia="Times New Roman" w:hAnsi="Times New Roman" w:cs="Times New Roman"/>
                <w:sz w:val="24"/>
                <w:szCs w:val="24"/>
                <w:shd w:val="clear" w:color="auto" w:fill="FFFFFF"/>
                <w:lang w:eastAsia="lv-LV" w:bidi="lv-LV"/>
              </w:rPr>
            </w:pPr>
          </w:p>
          <w:p w:rsidR="002941F5" w:rsidRPr="00953F53" w:rsidP="00F841CC" w14:paraId="6167113D" w14:textId="77777777">
            <w:pPr>
              <w:spacing w:after="0" w:line="240" w:lineRule="auto"/>
              <w:ind w:left="58"/>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Tabula Nr.13</w:t>
            </w:r>
          </w:p>
          <w:tbl>
            <w:tblPr>
              <w:tblW w:w="7721" w:type="dxa"/>
              <w:tblLayout w:type="fixed"/>
              <w:tblLook w:val="04A0"/>
            </w:tblPr>
            <w:tblGrid>
              <w:gridCol w:w="4502"/>
              <w:gridCol w:w="1276"/>
              <w:gridCol w:w="985"/>
              <w:gridCol w:w="958"/>
            </w:tblGrid>
            <w:tr w14:paraId="6C8E9BD8" w14:textId="77777777" w:rsidTr="00F841CC">
              <w:tblPrEx>
                <w:tblW w:w="7721" w:type="dxa"/>
                <w:tblLayout w:type="fixed"/>
                <w:tblLook w:val="04A0"/>
              </w:tblPrEx>
              <w:trPr>
                <w:trHeight w:val="680"/>
              </w:trPr>
              <w:tc>
                <w:tcPr>
                  <w:tcW w:w="45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41F5" w:rsidRPr="00D16F63" w:rsidP="00F841CC" w14:paraId="4A0D3710" w14:textId="77777777">
                  <w:pPr>
                    <w:spacing w:after="0" w:line="240" w:lineRule="auto"/>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 </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78063BD9"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Vidējās izmaksas vienam plaušu transplantācijas pacientam</w:t>
                  </w:r>
                </w:p>
              </w:tc>
              <w:tc>
                <w:tcPr>
                  <w:tcW w:w="985"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2232E846"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Pacientu skaits</w:t>
                  </w:r>
                </w:p>
              </w:tc>
              <w:tc>
                <w:tcPr>
                  <w:tcW w:w="958" w:type="dxa"/>
                  <w:tcBorders>
                    <w:top w:val="single" w:sz="4" w:space="0" w:color="auto"/>
                    <w:left w:val="nil"/>
                    <w:bottom w:val="single" w:sz="4" w:space="0" w:color="auto"/>
                    <w:right w:val="single" w:sz="4" w:space="0" w:color="auto"/>
                  </w:tcBorders>
                  <w:shd w:val="clear" w:color="000000" w:fill="FFC000"/>
                  <w:vAlign w:val="center"/>
                  <w:hideMark/>
                </w:tcPr>
                <w:p w:rsidR="002941F5" w:rsidRPr="00D16F63" w:rsidP="00F841CC" w14:paraId="16058366"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Izmaksas kopā 2021</w:t>
                  </w:r>
                  <w:r w:rsidRPr="00D16F63">
                    <w:rPr>
                      <w:rFonts w:ascii="Times New Roman" w:eastAsia="Times New Roman" w:hAnsi="Times New Roman" w:cs="Times New Roman"/>
                      <w:color w:val="000000"/>
                      <w:sz w:val="16"/>
                      <w:szCs w:val="16"/>
                      <w:lang w:eastAsia="lv-LV"/>
                    </w:rPr>
                    <w:t>.g.</w:t>
                  </w:r>
                </w:p>
              </w:tc>
            </w:tr>
            <w:tr w14:paraId="47C5BCBA" w14:textId="77777777" w:rsidTr="00F841CC">
              <w:tblPrEx>
                <w:tblW w:w="7721" w:type="dxa"/>
                <w:tblLayout w:type="fixed"/>
                <w:tblLook w:val="04A0"/>
              </w:tblPrEx>
              <w:trPr>
                <w:trHeight w:val="548"/>
              </w:trPr>
              <w:tc>
                <w:tcPr>
                  <w:tcW w:w="450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941F5" w:rsidRPr="00D16F63" w:rsidP="00F841CC" w14:paraId="35FDABB9"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Kompensējamie medikamenti ambulatorai lietošanai pēc plaušu transplantācijas</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5FB1B498" w14:textId="77777777">
                  <w:pPr>
                    <w:spacing w:after="0" w:line="240" w:lineRule="auto"/>
                    <w:jc w:val="center"/>
                    <w:rPr>
                      <w:rFonts w:ascii="Times New Roman" w:eastAsia="Times New Roman" w:hAnsi="Times New Roman" w:cs="Times New Roman"/>
                      <w:color w:val="000000"/>
                      <w:sz w:val="16"/>
                      <w:szCs w:val="16"/>
                      <w:lang w:eastAsia="lv-LV"/>
                    </w:rPr>
                  </w:pPr>
                  <w:r w:rsidRPr="00D16F63">
                    <w:rPr>
                      <w:rFonts w:ascii="Times New Roman" w:eastAsia="Times New Roman" w:hAnsi="Times New Roman" w:cs="Times New Roman"/>
                      <w:color w:val="000000"/>
                      <w:sz w:val="16"/>
                      <w:szCs w:val="16"/>
                      <w:lang w:eastAsia="lv-LV"/>
                    </w:rPr>
                    <w:t>19 000</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3F6A03A2"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rsidR="002941F5" w:rsidRPr="00D16F63" w:rsidP="00F841CC" w14:paraId="611A4494" w14:textId="77777777">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190</w:t>
                  </w:r>
                  <w:r w:rsidRPr="00D16F63">
                    <w:rPr>
                      <w:rFonts w:ascii="Times New Roman" w:eastAsia="Times New Roman" w:hAnsi="Times New Roman" w:cs="Times New Roman"/>
                      <w:color w:val="000000"/>
                      <w:sz w:val="16"/>
                      <w:szCs w:val="16"/>
                      <w:lang w:eastAsia="lv-LV"/>
                    </w:rPr>
                    <w:t xml:space="preserve"> 000</w:t>
                  </w:r>
                </w:p>
              </w:tc>
            </w:tr>
          </w:tbl>
          <w:p w:rsidR="002941F5" w:rsidP="00F841CC" w14:paraId="07E6190B" w14:textId="77777777">
            <w:pPr>
              <w:widowControl w:val="0"/>
              <w:spacing w:after="0" w:line="240" w:lineRule="auto"/>
              <w:jc w:val="both"/>
              <w:rPr>
                <w:rFonts w:ascii="Times New Roman" w:eastAsia="Times New Roman" w:hAnsi="Times New Roman" w:cs="Times New Roman"/>
                <w:sz w:val="24"/>
                <w:szCs w:val="24"/>
                <w:lang w:eastAsia="lv-LV"/>
              </w:rPr>
            </w:pPr>
          </w:p>
          <w:p w:rsidR="002941F5" w:rsidRPr="006E3BAE" w:rsidP="00F841CC" w14:paraId="215B7CEF" w14:textId="7777777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A55CFD">
              <w:rPr>
                <w:rFonts w:ascii="Times New Roman" w:eastAsia="Times New Roman" w:hAnsi="Times New Roman" w:cs="Times New Roman"/>
                <w:sz w:val="24"/>
                <w:szCs w:val="24"/>
                <w:shd w:val="clear" w:color="auto" w:fill="FFFFFF"/>
                <w:lang w:eastAsia="lv-LV" w:bidi="lv-LV"/>
              </w:rPr>
              <w:t xml:space="preserve">Kopējais </w:t>
            </w:r>
            <w:r>
              <w:rPr>
                <w:rFonts w:ascii="Times New Roman" w:eastAsia="Times New Roman" w:hAnsi="Times New Roman" w:cs="Times New Roman"/>
                <w:sz w:val="24"/>
                <w:szCs w:val="24"/>
                <w:shd w:val="clear" w:color="auto" w:fill="FFFFFF"/>
                <w:lang w:eastAsia="lv-LV" w:bidi="lv-LV"/>
              </w:rPr>
              <w:t>finansējums 2021.gadā</w:t>
            </w:r>
            <w:r w:rsidRPr="00A55CFD">
              <w:rPr>
                <w:rFonts w:ascii="Times New Roman" w:eastAsia="Times New Roman" w:hAnsi="Times New Roman" w:cs="Times New Roman"/>
                <w:sz w:val="24"/>
                <w:szCs w:val="24"/>
                <w:shd w:val="clear" w:color="auto" w:fill="FFFFFF"/>
                <w:lang w:eastAsia="lv-LV" w:bidi="lv-LV"/>
              </w:rPr>
              <w:t>,</w:t>
            </w:r>
            <w:r>
              <w:rPr>
                <w:rFonts w:ascii="Times New Roman" w:eastAsia="Times New Roman" w:hAnsi="Times New Roman" w:cs="Times New Roman"/>
                <w:sz w:val="24"/>
                <w:szCs w:val="24"/>
                <w:shd w:val="clear" w:color="auto" w:fill="FFFFFF"/>
                <w:lang w:eastAsia="lv-LV" w:bidi="lv-LV"/>
              </w:rPr>
              <w:t xml:space="preserve"> lai īstenotu noteikumu projektā paredzētos pasākumus</w:t>
            </w:r>
            <w:r w:rsidRPr="00A55CFD">
              <w:rPr>
                <w:rFonts w:ascii="Times New Roman" w:eastAsia="Times New Roman" w:hAnsi="Times New Roman" w:cs="Times New Roman"/>
                <w:sz w:val="24"/>
                <w:szCs w:val="24"/>
                <w:shd w:val="clear" w:color="auto" w:fill="FFFFFF"/>
                <w:lang w:eastAsia="lv-LV" w:bidi="lv-LV"/>
              </w:rPr>
              <w:t xml:space="preserve"> ir </w:t>
            </w:r>
            <w:r w:rsidRPr="006E3BAE">
              <w:rPr>
                <w:rFonts w:ascii="Times New Roman" w:eastAsia="Times New Roman" w:hAnsi="Times New Roman" w:cs="Times New Roman"/>
                <w:b/>
                <w:sz w:val="24"/>
                <w:szCs w:val="24"/>
                <w:shd w:val="clear" w:color="auto" w:fill="FFFFFF"/>
                <w:lang w:eastAsia="lv-LV" w:bidi="lv-LV"/>
              </w:rPr>
              <w:t>2 4</w:t>
            </w:r>
            <w:r>
              <w:rPr>
                <w:rFonts w:ascii="Times New Roman" w:eastAsia="Times New Roman" w:hAnsi="Times New Roman" w:cs="Times New Roman"/>
                <w:b/>
                <w:sz w:val="24"/>
                <w:szCs w:val="24"/>
                <w:shd w:val="clear" w:color="auto" w:fill="FFFFFF"/>
                <w:lang w:eastAsia="lv-LV" w:bidi="lv-LV"/>
              </w:rPr>
              <w:t xml:space="preserve">79 185 </w:t>
            </w:r>
            <w:r w:rsidRPr="006E3BAE">
              <w:rPr>
                <w:rFonts w:ascii="Times New Roman" w:eastAsia="Times New Roman" w:hAnsi="Times New Roman" w:cs="Times New Roman"/>
                <w:b/>
                <w:i/>
                <w:sz w:val="24"/>
                <w:szCs w:val="24"/>
                <w:shd w:val="clear" w:color="auto" w:fill="FFFFFF"/>
                <w:lang w:eastAsia="lv-LV" w:bidi="lv-LV"/>
              </w:rPr>
              <w:t>euro</w:t>
            </w:r>
            <w:r w:rsidRPr="006E3BAE">
              <w:rPr>
                <w:rFonts w:ascii="Times New Roman" w:eastAsia="Times New Roman" w:hAnsi="Times New Roman" w:cs="Times New Roman"/>
                <w:b/>
                <w:i/>
                <w:sz w:val="24"/>
                <w:szCs w:val="24"/>
                <w:shd w:val="clear" w:color="auto" w:fill="FFFFFF"/>
                <w:lang w:eastAsia="lv-LV" w:bidi="lv-LV"/>
              </w:rPr>
              <w:t>.</w:t>
            </w:r>
          </w:p>
          <w:p w:rsidR="002941F5" w:rsidP="00F841CC" w14:paraId="4DD4B0AB" w14:textId="77777777">
            <w:pPr>
              <w:widowControl w:val="0"/>
              <w:spacing w:after="0" w:line="240" w:lineRule="auto"/>
              <w:jc w:val="both"/>
              <w:rPr>
                <w:rFonts w:ascii="Times New Roman" w:eastAsia="Times New Roman" w:hAnsi="Times New Roman" w:cs="Times New Roman"/>
                <w:sz w:val="24"/>
                <w:szCs w:val="24"/>
                <w:lang w:eastAsia="lv-LV"/>
              </w:rPr>
            </w:pPr>
          </w:p>
          <w:p w:rsidR="002941F5" w:rsidRPr="00B06B8A" w:rsidP="00F841CC" w14:paraId="738A73C6" w14:textId="77777777">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    </w:t>
            </w:r>
            <w:r w:rsidRPr="00B06B8A">
              <w:rPr>
                <w:rFonts w:ascii="Times New Roman" w:eastAsia="Times New Roman" w:hAnsi="Times New Roman" w:cs="Times New Roman"/>
                <w:noProof/>
                <w:sz w:val="24"/>
                <w:szCs w:val="24"/>
                <w:lang w:eastAsia="lv-LV"/>
              </w:rPr>
              <w:t>Veselības ministrija iesniegs Finanšu ministrijā  priekšlikumus par  Veselības ministrijas pamatbudžeta  bāzes izdevumu  2019. -2021.gadam precizēšanu.</w:t>
            </w:r>
          </w:p>
          <w:p w:rsidR="002941F5" w:rsidRPr="00CF43EF" w:rsidP="00F841CC" w14:paraId="21886319" w14:textId="77777777">
            <w:pPr>
              <w:spacing w:after="0" w:line="240" w:lineRule="auto"/>
              <w:ind w:firstLine="261"/>
              <w:jc w:val="both"/>
              <w:rPr>
                <w:rFonts w:ascii="Times New Roman" w:eastAsia="Times New Roman" w:hAnsi="Times New Roman" w:cs="Times New Roman"/>
                <w:noProof/>
                <w:sz w:val="24"/>
                <w:szCs w:val="24"/>
                <w:lang w:eastAsia="lv-LV"/>
              </w:rPr>
            </w:pPr>
            <w:r w:rsidRPr="00CF43EF">
              <w:rPr>
                <w:rFonts w:ascii="Times New Roman" w:eastAsia="Times New Roman" w:hAnsi="Times New Roman" w:cs="Times New Roman"/>
                <w:noProof/>
                <w:sz w:val="24"/>
                <w:szCs w:val="24"/>
                <w:lang w:eastAsia="lv-LV"/>
              </w:rPr>
              <w:t xml:space="preserve">2019.gada ietvaros tiks veikta apropriācijas pārdale 127 543 </w:t>
            </w:r>
            <w:r w:rsidRPr="00CF43EF">
              <w:rPr>
                <w:rFonts w:ascii="Times New Roman" w:eastAsia="Times New Roman" w:hAnsi="Times New Roman" w:cs="Times New Roman"/>
                <w:i/>
                <w:noProof/>
                <w:sz w:val="24"/>
                <w:szCs w:val="24"/>
                <w:lang w:eastAsia="lv-LV"/>
              </w:rPr>
              <w:t>euro</w:t>
            </w:r>
            <w:r w:rsidRPr="00CF43EF">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un materiālu apmaksāšana".</w:t>
            </w:r>
          </w:p>
          <w:p w:rsidR="002941F5" w:rsidRPr="00CF43EF" w:rsidP="00F841CC" w14:paraId="084E8CC7" w14:textId="77777777">
            <w:pPr>
              <w:spacing w:after="0" w:line="240" w:lineRule="auto"/>
              <w:ind w:firstLine="261"/>
              <w:jc w:val="both"/>
              <w:rPr>
                <w:rFonts w:ascii="Times New Roman" w:eastAsia="Times New Roman" w:hAnsi="Times New Roman" w:cs="Times New Roman"/>
                <w:noProof/>
                <w:sz w:val="24"/>
                <w:szCs w:val="24"/>
                <w:lang w:eastAsia="lv-LV"/>
              </w:rPr>
            </w:pPr>
            <w:r w:rsidRPr="00CF43EF">
              <w:rPr>
                <w:rFonts w:ascii="Times New Roman" w:eastAsia="Times New Roman" w:hAnsi="Times New Roman" w:cs="Times New Roman"/>
                <w:noProof/>
                <w:sz w:val="24"/>
                <w:szCs w:val="24"/>
                <w:lang w:eastAsia="lv-LV"/>
              </w:rPr>
              <w:t xml:space="preserve">2020.gada ietvaros tiks veikta apropriācijas pārdale 184 543 </w:t>
            </w:r>
            <w:r w:rsidRPr="00CF43EF">
              <w:rPr>
                <w:rFonts w:ascii="Times New Roman" w:eastAsia="Times New Roman" w:hAnsi="Times New Roman" w:cs="Times New Roman"/>
                <w:i/>
                <w:noProof/>
                <w:sz w:val="24"/>
                <w:szCs w:val="24"/>
                <w:lang w:eastAsia="lv-LV"/>
              </w:rPr>
              <w:t>euro</w:t>
            </w:r>
            <w:r w:rsidRPr="00CF43EF">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un materiālu apmaksāšana".</w:t>
            </w:r>
          </w:p>
          <w:p w:rsidR="002941F5" w:rsidRPr="00E50BBD" w:rsidP="00F841CC" w14:paraId="487B67D6" w14:textId="77777777">
            <w:pPr>
              <w:spacing w:after="0" w:line="240" w:lineRule="auto"/>
              <w:ind w:firstLine="261"/>
              <w:jc w:val="both"/>
              <w:rPr>
                <w:rFonts w:ascii="Times New Roman" w:eastAsia="Times New Roman" w:hAnsi="Times New Roman" w:cs="Times New Roman"/>
                <w:noProof/>
                <w:sz w:val="24"/>
                <w:szCs w:val="24"/>
                <w:lang w:eastAsia="lv-LV"/>
              </w:rPr>
            </w:pPr>
            <w:r w:rsidRPr="00CF43EF">
              <w:rPr>
                <w:rFonts w:ascii="Times New Roman" w:eastAsia="Times New Roman" w:hAnsi="Times New Roman" w:cs="Times New Roman"/>
                <w:noProof/>
                <w:sz w:val="24"/>
                <w:szCs w:val="24"/>
                <w:lang w:eastAsia="lv-LV"/>
              </w:rPr>
              <w:t xml:space="preserve">2021.gada ietvaros tiks veikta apropriācijas pārdale 241 543 </w:t>
            </w:r>
            <w:r w:rsidRPr="00CF43EF">
              <w:rPr>
                <w:rFonts w:ascii="Times New Roman" w:eastAsia="Times New Roman" w:hAnsi="Times New Roman" w:cs="Times New Roman"/>
                <w:i/>
                <w:noProof/>
                <w:sz w:val="24"/>
                <w:szCs w:val="24"/>
                <w:lang w:eastAsia="lv-LV"/>
              </w:rPr>
              <w:t>euro</w:t>
            </w:r>
            <w:r w:rsidRPr="00CF43EF">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un materiālu apmaksāšana".</w:t>
            </w:r>
          </w:p>
        </w:tc>
      </w:tr>
      <w:tr w14:paraId="1D69886C"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tcPr>
          <w:p w:rsidR="002941F5" w:rsidRPr="00BC2758" w:rsidP="00F841CC" w14:paraId="052542B2" w14:textId="77777777">
            <w:pPr>
              <w:spacing w:after="0" w:line="240" w:lineRule="auto"/>
              <w:rPr>
                <w:rFonts w:ascii="Times New Roman" w:eastAsia="Times New Roman" w:hAnsi="Times New Roman" w:cs="Times New Roman"/>
                <w:iCs/>
                <w:sz w:val="24"/>
                <w:szCs w:val="24"/>
                <w:lang w:eastAsia="lv-LV"/>
              </w:rPr>
            </w:pPr>
          </w:p>
        </w:tc>
        <w:tc>
          <w:tcPr>
            <w:tcW w:w="4258" w:type="pct"/>
            <w:gridSpan w:val="8"/>
            <w:vMerge/>
            <w:tcBorders>
              <w:top w:val="outset" w:sz="6" w:space="0" w:color="auto"/>
              <w:left w:val="outset" w:sz="6" w:space="0" w:color="auto"/>
              <w:bottom w:val="outset" w:sz="6" w:space="0" w:color="auto"/>
              <w:right w:val="outset" w:sz="6" w:space="0" w:color="auto"/>
            </w:tcBorders>
            <w:vAlign w:val="center"/>
          </w:tcPr>
          <w:p w:rsidR="002941F5" w:rsidRPr="000663D3" w:rsidP="00F841CC" w14:paraId="017C6CE0" w14:textId="77777777">
            <w:pPr>
              <w:widowControl w:val="0"/>
              <w:spacing w:after="0" w:line="240" w:lineRule="auto"/>
              <w:ind w:firstLine="298"/>
              <w:jc w:val="both"/>
              <w:rPr>
                <w:rFonts w:ascii="Times New Roman" w:eastAsia="Times New Roman" w:hAnsi="Times New Roman" w:cs="Times New Roman"/>
                <w:noProof/>
                <w:sz w:val="24"/>
                <w:szCs w:val="24"/>
                <w:lang w:eastAsia="lv-LV"/>
              </w:rPr>
            </w:pPr>
          </w:p>
        </w:tc>
      </w:tr>
      <w:tr w14:paraId="1069F087"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74A34FC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6.1. detalizēts ieņēmumu aprēķins</w:t>
            </w:r>
          </w:p>
        </w:tc>
        <w:tc>
          <w:tcPr>
            <w:tcW w:w="4258" w:type="pct"/>
            <w:gridSpan w:val="8"/>
            <w:vMerge/>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38397C7F" w14:textId="77777777">
            <w:pPr>
              <w:spacing w:after="0" w:line="240" w:lineRule="auto"/>
              <w:rPr>
                <w:rFonts w:ascii="Times New Roman" w:eastAsia="Times New Roman" w:hAnsi="Times New Roman" w:cs="Times New Roman"/>
                <w:iCs/>
                <w:sz w:val="24"/>
                <w:szCs w:val="24"/>
                <w:lang w:eastAsia="lv-LV"/>
              </w:rPr>
            </w:pPr>
          </w:p>
        </w:tc>
      </w:tr>
      <w:tr w14:paraId="375AD861"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4B3D1D18"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6.2. detalizēts izdevumu aprēķins</w:t>
            </w:r>
          </w:p>
        </w:tc>
        <w:tc>
          <w:tcPr>
            <w:tcW w:w="4258" w:type="pct"/>
            <w:gridSpan w:val="8"/>
            <w:vMerge/>
            <w:tcBorders>
              <w:top w:val="outset" w:sz="6" w:space="0" w:color="auto"/>
              <w:left w:val="outset" w:sz="6" w:space="0" w:color="auto"/>
              <w:bottom w:val="outset" w:sz="6" w:space="0" w:color="auto"/>
              <w:right w:val="outset" w:sz="6" w:space="0" w:color="auto"/>
            </w:tcBorders>
            <w:vAlign w:val="center"/>
            <w:hideMark/>
          </w:tcPr>
          <w:p w:rsidR="002941F5" w:rsidRPr="00BC2758" w:rsidP="00F841CC" w14:paraId="02920873" w14:textId="77777777">
            <w:pPr>
              <w:spacing w:after="0" w:line="240" w:lineRule="auto"/>
              <w:rPr>
                <w:rFonts w:ascii="Times New Roman" w:eastAsia="Times New Roman" w:hAnsi="Times New Roman" w:cs="Times New Roman"/>
                <w:iCs/>
                <w:sz w:val="24"/>
                <w:szCs w:val="24"/>
                <w:lang w:eastAsia="lv-LV"/>
              </w:rPr>
            </w:pPr>
          </w:p>
        </w:tc>
      </w:tr>
      <w:tr w14:paraId="0E9C6336"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332BC859"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 Amata vietu skaita izmaiņas</w:t>
            </w:r>
          </w:p>
        </w:tc>
        <w:tc>
          <w:tcPr>
            <w:tcW w:w="4258" w:type="pct"/>
            <w:gridSpan w:val="8"/>
            <w:tcBorders>
              <w:top w:val="outset" w:sz="6" w:space="0" w:color="auto"/>
              <w:left w:val="outset" w:sz="6" w:space="0" w:color="auto"/>
              <w:bottom w:val="outset" w:sz="6" w:space="0" w:color="auto"/>
              <w:right w:val="outset" w:sz="6" w:space="0" w:color="auto"/>
            </w:tcBorders>
            <w:hideMark/>
          </w:tcPr>
          <w:p w:rsidR="002941F5" w:rsidRPr="00BC2758" w:rsidP="00F841CC" w14:paraId="31B1D74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Nav</w:t>
            </w:r>
          </w:p>
        </w:tc>
      </w:tr>
      <w:tr w14:paraId="2EDE42DD" w14:textId="77777777" w:rsidTr="00F841CC">
        <w:tblPrEx>
          <w:tblW w:w="5000" w:type="pct"/>
          <w:tblCellSpacing w:w="15" w:type="dxa"/>
          <w:tblLayout w:type="fixed"/>
          <w:tblCellMar>
            <w:top w:w="30" w:type="dxa"/>
            <w:left w:w="30" w:type="dxa"/>
            <w:bottom w:w="30" w:type="dxa"/>
            <w:right w:w="30" w:type="dxa"/>
          </w:tblCellMar>
          <w:tblLook w:val="04A0"/>
        </w:tblPrEx>
        <w:trPr>
          <w:gridAfter w:val="1"/>
          <w:wAfter w:w="2" w:type="dxa"/>
          <w:tblCellSpacing w:w="15" w:type="dxa"/>
        </w:trPr>
        <w:tc>
          <w:tcPr>
            <w:tcW w:w="673" w:type="pct"/>
            <w:tcBorders>
              <w:top w:val="outset" w:sz="6" w:space="0" w:color="auto"/>
              <w:left w:val="outset" w:sz="6" w:space="0" w:color="auto"/>
              <w:bottom w:val="outset" w:sz="6" w:space="0" w:color="auto"/>
              <w:right w:val="outset" w:sz="6" w:space="0" w:color="auto"/>
            </w:tcBorders>
            <w:hideMark/>
          </w:tcPr>
          <w:p w:rsidR="002941F5" w:rsidRPr="00BC2758" w:rsidP="00F841CC" w14:paraId="2096CCB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 Cita informācija</w:t>
            </w:r>
          </w:p>
        </w:tc>
        <w:tc>
          <w:tcPr>
            <w:tcW w:w="4258" w:type="pct"/>
            <w:gridSpan w:val="8"/>
            <w:tcBorders>
              <w:top w:val="outset" w:sz="6" w:space="0" w:color="auto"/>
              <w:left w:val="outset" w:sz="6" w:space="0" w:color="auto"/>
              <w:bottom w:val="outset" w:sz="6" w:space="0" w:color="auto"/>
              <w:right w:val="outset" w:sz="6" w:space="0" w:color="auto"/>
            </w:tcBorders>
            <w:hideMark/>
          </w:tcPr>
          <w:p w:rsidR="002941F5" w:rsidRPr="00B94D13" w:rsidP="00F841CC" w14:paraId="54391207" w14:textId="77777777">
            <w:pPr>
              <w:spacing w:after="0" w:line="240" w:lineRule="auto"/>
              <w:ind w:firstLine="284"/>
              <w:contextualSpacing/>
              <w:jc w:val="both"/>
              <w:rPr>
                <w:rFonts w:ascii="Times New Roman" w:eastAsia="Times New Roman" w:hAnsi="Times New Roman" w:cs="Times New Roman"/>
                <w:sz w:val="24"/>
                <w:szCs w:val="24"/>
                <w:lang w:eastAsia="lv-LV"/>
              </w:rPr>
            </w:pPr>
            <w:r w:rsidRPr="00B94D13">
              <w:rPr>
                <w:rFonts w:ascii="Times New Roman" w:eastAsia="Times New Roman" w:hAnsi="Times New Roman" w:cs="Times New Roman"/>
                <w:sz w:val="24"/>
                <w:szCs w:val="24"/>
                <w:lang w:eastAsia="lv-LV"/>
              </w:rPr>
              <w:t xml:space="preserve">Plānotos pasākumus plānots realizēt Veselības ministrijai piešķirto valsts budžeta līdzekļu ietvaros. </w:t>
            </w:r>
          </w:p>
          <w:p w:rsidR="002941F5" w:rsidRPr="00B768D7" w:rsidP="00F841CC" w14:paraId="2C756631" w14:textId="77777777">
            <w:pPr>
              <w:spacing w:after="0" w:line="240" w:lineRule="auto"/>
              <w:ind w:firstLine="284"/>
              <w:contextualSpacing/>
              <w:jc w:val="both"/>
              <w:rPr>
                <w:rFonts w:ascii="Times New Roman" w:eastAsia="Times New Roman" w:hAnsi="Times New Roman" w:cs="Times New Roman"/>
                <w:sz w:val="24"/>
                <w:szCs w:val="24"/>
                <w:lang w:eastAsia="lv-LV"/>
              </w:rPr>
            </w:pPr>
          </w:p>
        </w:tc>
      </w:tr>
    </w:tbl>
    <w:p w:rsidR="00E5323B" w:rsidRPr="00BC2758" w:rsidP="00E5323B" w14:paraId="1FB7E2B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43A128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6C8061F0"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IV. Tiesību akta projekta ietekme uz spēkā esošo tiesību normu sistēmu</w:t>
            </w:r>
          </w:p>
        </w:tc>
      </w:tr>
      <w:tr w14:paraId="06816CA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7E56" w:rsidRPr="00027E56" w:rsidP="00027E56" w14:paraId="12E56C89" w14:textId="7777777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BC2758" w:rsidP="00E5323B" w14:paraId="2E332FCB"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7C29B3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7CBD5DC0"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24BA46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43D6" w:rsidRPr="00BC2758" w:rsidP="00A943D6" w14:paraId="4FCA632D" w14:textId="77777777">
            <w:pPr>
              <w:spacing w:after="0" w:line="240" w:lineRule="auto"/>
              <w:jc w:val="center"/>
              <w:rPr>
                <w:rFonts w:ascii="Times New Roman" w:eastAsia="Times New Roman" w:hAnsi="Times New Roman" w:cs="Times New Roman"/>
                <w:bCs/>
                <w:iCs/>
                <w:sz w:val="24"/>
                <w:szCs w:val="24"/>
                <w:lang w:eastAsia="lv-LV"/>
              </w:rPr>
            </w:pPr>
            <w:r w:rsidRPr="00BC2758">
              <w:rPr>
                <w:rFonts w:ascii="Times New Roman" w:eastAsia="Times New Roman" w:hAnsi="Times New Roman" w:cs="Times New Roman"/>
                <w:bCs/>
                <w:iCs/>
                <w:sz w:val="24"/>
                <w:szCs w:val="24"/>
                <w:lang w:eastAsia="lv-LV"/>
              </w:rPr>
              <w:t>Projekts šo jomu neskar</w:t>
            </w:r>
          </w:p>
        </w:tc>
      </w:tr>
    </w:tbl>
    <w:p w:rsidR="00E5323B" w:rsidRPr="00BC2758" w:rsidP="00E5323B" w14:paraId="4AEE718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78"/>
        <w:gridCol w:w="1813"/>
        <w:gridCol w:w="6964"/>
      </w:tblGrid>
      <w:tr w14:paraId="737130EB" w14:textId="77777777" w:rsidTr="00B126E2">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3885789F"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 Sabiedrības līdzdalība un komunikācijas aktivitātes</w:t>
            </w:r>
          </w:p>
        </w:tc>
      </w:tr>
      <w:tr w14:paraId="619B8013" w14:textId="77777777" w:rsidTr="00B126E2">
        <w:tblPrEx>
          <w:tblW w:w="5000" w:type="pct"/>
          <w:tblCellSpacing w:w="15" w:type="dxa"/>
          <w:tblLayout w:type="fixed"/>
          <w:tblCellMar>
            <w:top w:w="30" w:type="dxa"/>
            <w:left w:w="30" w:type="dxa"/>
            <w:bottom w:w="30" w:type="dxa"/>
            <w:right w:w="30" w:type="dxa"/>
          </w:tblCellMar>
          <w:tblLook w:val="04A0"/>
        </w:tblPrEx>
        <w:trPr>
          <w:tblCellSpacing w:w="15" w:type="dxa"/>
        </w:trPr>
        <w:tc>
          <w:tcPr>
            <w:tcW w:w="130" w:type="pct"/>
            <w:tcBorders>
              <w:top w:val="outset" w:sz="6" w:space="0" w:color="auto"/>
              <w:left w:val="outset" w:sz="6" w:space="0" w:color="auto"/>
              <w:bottom w:val="outset" w:sz="6" w:space="0" w:color="auto"/>
              <w:right w:val="outset" w:sz="6" w:space="0" w:color="auto"/>
            </w:tcBorders>
            <w:hideMark/>
          </w:tcPr>
          <w:p w:rsidR="003D16CC" w:rsidRPr="00BC2758" w:rsidP="003D16CC" w14:paraId="586E9A4F"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998" w:type="pct"/>
            <w:tcBorders>
              <w:top w:val="outset" w:sz="6" w:space="0" w:color="auto"/>
              <w:left w:val="outset" w:sz="6" w:space="0" w:color="auto"/>
              <w:bottom w:val="outset" w:sz="6" w:space="0" w:color="auto"/>
              <w:right w:val="outset" w:sz="6" w:space="0" w:color="auto"/>
            </w:tcBorders>
            <w:hideMark/>
          </w:tcPr>
          <w:p w:rsidR="003D16CC" w:rsidRPr="00BC2758" w:rsidP="003D16CC" w14:paraId="2622BB1E"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805" w:type="pct"/>
            <w:tcBorders>
              <w:top w:val="outset" w:sz="6" w:space="0" w:color="auto"/>
              <w:left w:val="outset" w:sz="6" w:space="0" w:color="auto"/>
              <w:bottom w:val="outset" w:sz="6" w:space="0" w:color="auto"/>
              <w:right w:val="outset" w:sz="6" w:space="0" w:color="auto"/>
            </w:tcBorders>
            <w:hideMark/>
          </w:tcPr>
          <w:p w:rsidR="001636DF" w:rsidP="006C02F1" w14:paraId="1D712F63"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007F331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26.</w:t>
            </w:r>
            <w:r w:rsidR="007F331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aprīlī notika preses konference</w:t>
            </w:r>
            <w:r w:rsidR="00F8009A">
              <w:rPr>
                <w:rFonts w:ascii="Times New Roman" w:eastAsia="Times New Roman" w:hAnsi="Times New Roman" w:cs="Times New Roman"/>
                <w:iCs/>
                <w:sz w:val="24"/>
                <w:szCs w:val="24"/>
                <w:lang w:eastAsia="lv-LV"/>
              </w:rPr>
              <w:t xml:space="preserve">, kurai sekoja preses </w:t>
            </w:r>
            <w:r w:rsidR="00F8009A">
              <w:rPr>
                <w:rFonts w:ascii="Times New Roman" w:eastAsia="Times New Roman" w:hAnsi="Times New Roman" w:cs="Times New Roman"/>
                <w:iCs/>
                <w:sz w:val="24"/>
                <w:szCs w:val="24"/>
                <w:lang w:eastAsia="lv-LV"/>
              </w:rPr>
              <w:t>relīze</w:t>
            </w:r>
            <w:r w:rsidR="00F8009A">
              <w:rPr>
                <w:rFonts w:ascii="Times New Roman" w:eastAsia="Times New Roman" w:hAnsi="Times New Roman" w:cs="Times New Roman"/>
                <w:iCs/>
                <w:sz w:val="24"/>
                <w:szCs w:val="24"/>
                <w:lang w:eastAsia="lv-LV"/>
              </w:rPr>
              <w:t xml:space="preserve"> VM tīmekļa vietnē.</w:t>
            </w:r>
          </w:p>
          <w:p w:rsidR="00B126E2" w:rsidP="006C02F1" w14:paraId="1A33B95E"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007F331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14.</w:t>
            </w:r>
            <w:r w:rsidR="007F331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jūnijā VM tīmekļa vietnē ievietota informācija par izsludināto noteikumu projektu.</w:t>
            </w:r>
          </w:p>
          <w:p w:rsidR="006C02F1" w:rsidP="003D16CC" w14:paraId="4D5AFACD" w14:textId="77777777">
            <w:pPr>
              <w:spacing w:after="0" w:line="240" w:lineRule="auto"/>
              <w:jc w:val="both"/>
              <w:rPr>
                <w:rFonts w:ascii="Times New Roman" w:eastAsia="Times New Roman" w:hAnsi="Times New Roman" w:cs="Times New Roman"/>
                <w:iCs/>
                <w:sz w:val="24"/>
                <w:szCs w:val="24"/>
                <w:lang w:eastAsia="lv-LV"/>
              </w:rPr>
            </w:pPr>
          </w:p>
          <w:p w:rsidR="003D16CC" w:rsidRPr="00BC2758" w:rsidP="003D16CC" w14:paraId="36547865" w14:textId="77777777">
            <w:pPr>
              <w:spacing w:after="0" w:line="240" w:lineRule="auto"/>
              <w:jc w:val="both"/>
              <w:rPr>
                <w:rFonts w:ascii="Times New Roman" w:eastAsia="Times New Roman" w:hAnsi="Times New Roman" w:cs="Times New Roman"/>
                <w:iCs/>
                <w:sz w:val="24"/>
                <w:szCs w:val="24"/>
                <w:lang w:eastAsia="lv-LV"/>
              </w:rPr>
            </w:pPr>
          </w:p>
        </w:tc>
      </w:tr>
      <w:tr w14:paraId="663A1F6F" w14:textId="77777777" w:rsidTr="00B126E2">
        <w:tblPrEx>
          <w:tblW w:w="5000" w:type="pct"/>
          <w:tblCellSpacing w:w="15" w:type="dxa"/>
          <w:tblLayout w:type="fixed"/>
          <w:tblCellMar>
            <w:top w:w="30" w:type="dxa"/>
            <w:left w:w="30" w:type="dxa"/>
            <w:bottom w:w="30" w:type="dxa"/>
            <w:right w:w="30" w:type="dxa"/>
          </w:tblCellMar>
          <w:tblLook w:val="04A0"/>
        </w:tblPrEx>
        <w:trPr>
          <w:tblCellSpacing w:w="15" w:type="dxa"/>
        </w:trPr>
        <w:tc>
          <w:tcPr>
            <w:tcW w:w="130" w:type="pct"/>
            <w:tcBorders>
              <w:top w:val="outset" w:sz="6" w:space="0" w:color="auto"/>
              <w:left w:val="outset" w:sz="6" w:space="0" w:color="auto"/>
              <w:bottom w:val="outset" w:sz="6" w:space="0" w:color="auto"/>
              <w:right w:val="outset" w:sz="6" w:space="0" w:color="auto"/>
            </w:tcBorders>
            <w:hideMark/>
          </w:tcPr>
          <w:p w:rsidR="003D16CC" w:rsidRPr="00BC2758" w:rsidP="003D16CC" w14:paraId="258D3A6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998" w:type="pct"/>
            <w:tcBorders>
              <w:top w:val="outset" w:sz="6" w:space="0" w:color="auto"/>
              <w:left w:val="outset" w:sz="6" w:space="0" w:color="auto"/>
              <w:bottom w:val="outset" w:sz="6" w:space="0" w:color="auto"/>
              <w:right w:val="outset" w:sz="6" w:space="0" w:color="auto"/>
            </w:tcBorders>
            <w:hideMark/>
          </w:tcPr>
          <w:p w:rsidR="003D16CC" w:rsidRPr="00BC2758" w:rsidP="003D16CC" w14:paraId="3605A781"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 projekta izstrādē</w:t>
            </w:r>
          </w:p>
        </w:tc>
        <w:tc>
          <w:tcPr>
            <w:tcW w:w="3805" w:type="pct"/>
            <w:tcBorders>
              <w:top w:val="outset" w:sz="6" w:space="0" w:color="auto"/>
              <w:left w:val="outset" w:sz="6" w:space="0" w:color="auto"/>
              <w:bottom w:val="outset" w:sz="6" w:space="0" w:color="auto"/>
              <w:right w:val="outset" w:sz="6" w:space="0" w:color="auto"/>
            </w:tcBorders>
            <w:hideMark/>
          </w:tcPr>
          <w:p w:rsidR="00B126E2" w:rsidP="003D16CC" w14:paraId="11F7DAE7"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Izstrādājot projektu, izskatīti priekšlikumi, kas saņemti no veselības aprūpes speciālistiem (priekšlikumi par diagnožu iekļaušanu un kompensācijas apmēra maiņu no Latvijas </w:t>
            </w:r>
            <w:r>
              <w:rPr>
                <w:rFonts w:ascii="Times New Roman" w:eastAsia="Times New Roman" w:hAnsi="Times New Roman" w:cs="Times New Roman"/>
                <w:iCs/>
                <w:sz w:val="24"/>
                <w:szCs w:val="24"/>
                <w:lang w:eastAsia="lv-LV"/>
              </w:rPr>
              <w:t>Infektologu</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hepatologu</w:t>
            </w:r>
            <w:r>
              <w:rPr>
                <w:rFonts w:ascii="Times New Roman" w:eastAsia="Times New Roman" w:hAnsi="Times New Roman" w:cs="Times New Roman"/>
                <w:iCs/>
                <w:sz w:val="24"/>
                <w:szCs w:val="24"/>
                <w:lang w:eastAsia="lv-LV"/>
              </w:rPr>
              <w:t xml:space="preserve"> un HIV/AIDS speciālistu asociācijas un Reto slimību koordinācijas centra) un zāļu ražotāju nevalstiskajām organizācijām (Starptautisko inovatīvo farmaceitisko firmu asociācijas un Biofarmaceitisko zāļu ražotāju asociācijas Latvijā priekšlikumi attiecībā uz cenas pielīdzināšanu bioloģiskas izcelsmes zāļu gadījumā; zāļu </w:t>
            </w:r>
            <w:r>
              <w:rPr>
                <w:rFonts w:ascii="Times New Roman" w:eastAsia="Times New Roman" w:hAnsi="Times New Roman" w:cs="Times New Roman"/>
                <w:iCs/>
                <w:sz w:val="24"/>
                <w:szCs w:val="24"/>
                <w:lang w:eastAsia="lv-LV"/>
              </w:rPr>
              <w:t>farmakoekonomisko</w:t>
            </w:r>
            <w:r>
              <w:rPr>
                <w:rFonts w:ascii="Times New Roman" w:eastAsia="Times New Roman" w:hAnsi="Times New Roman" w:cs="Times New Roman"/>
                <w:iCs/>
                <w:sz w:val="24"/>
                <w:szCs w:val="24"/>
                <w:lang w:eastAsia="lv-LV"/>
              </w:rPr>
              <w:t xml:space="preserve"> novērtēšanu, kom</w:t>
            </w:r>
            <w:r w:rsidR="007F3312">
              <w:rPr>
                <w:rFonts w:ascii="Times New Roman" w:eastAsia="Times New Roman" w:hAnsi="Times New Roman" w:cs="Times New Roman"/>
                <w:iCs/>
                <w:sz w:val="24"/>
                <w:szCs w:val="24"/>
                <w:lang w:eastAsia="lv-LV"/>
              </w:rPr>
              <w:t>pensācijas apmēra palielināšanu.</w:t>
            </w:r>
          </w:p>
          <w:p w:rsidR="007F3312" w:rsidP="003D16CC" w14:paraId="6C959DFE" w14:textId="77777777">
            <w:pPr>
              <w:spacing w:after="0" w:line="240" w:lineRule="auto"/>
              <w:jc w:val="both"/>
              <w:rPr>
                <w:rFonts w:ascii="Times New Roman" w:eastAsia="Times New Roman" w:hAnsi="Times New Roman" w:cs="Times New Roman"/>
                <w:iCs/>
                <w:sz w:val="24"/>
                <w:szCs w:val="24"/>
                <w:lang w:eastAsia="lv-LV"/>
              </w:rPr>
            </w:pPr>
          </w:p>
          <w:p w:rsidR="00B126E2" w:rsidRPr="00BC2758" w:rsidP="003D16CC" w14:paraId="42DAFD7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gada 26. aprīlī</w:t>
            </w:r>
            <w:r w:rsidR="00F8009A">
              <w:rPr>
                <w:rFonts w:ascii="Times New Roman" w:eastAsia="Times New Roman" w:hAnsi="Times New Roman" w:cs="Times New Roman"/>
                <w:iCs/>
                <w:sz w:val="24"/>
                <w:szCs w:val="24"/>
                <w:lang w:eastAsia="lv-LV"/>
              </w:rPr>
              <w:t xml:space="preserve"> VM tīmekļa vietnē tika ievietota informācija par sabiedrisko</w:t>
            </w:r>
            <w:r>
              <w:rPr>
                <w:rFonts w:ascii="Times New Roman" w:eastAsia="Times New Roman" w:hAnsi="Times New Roman" w:cs="Times New Roman"/>
                <w:iCs/>
                <w:sz w:val="24"/>
                <w:szCs w:val="24"/>
                <w:lang w:eastAsia="lv-LV"/>
              </w:rPr>
              <w:t> </w:t>
            </w:r>
            <w:r w:rsidR="00F8009A">
              <w:rPr>
                <w:rFonts w:ascii="Times New Roman" w:eastAsia="Times New Roman" w:hAnsi="Times New Roman" w:cs="Times New Roman"/>
                <w:iCs/>
                <w:sz w:val="24"/>
                <w:szCs w:val="24"/>
                <w:lang w:eastAsia="lv-LV"/>
              </w:rPr>
              <w:t>apspriedi (</w:t>
            </w:r>
            <w:r>
              <w:fldChar w:fldCharType="begin"/>
            </w:r>
            <w:r>
              <w:instrText xml:space="preserve"> HYPERLINK "http://www.vm.gov.lv/lv/aktualitates/sabiedribas_lidzdaliba/sabiedriska_apspriede/" </w:instrText>
            </w:r>
            <w:r>
              <w:fldChar w:fldCharType="separate"/>
            </w:r>
            <w:r w:rsidRPr="000B545E">
              <w:rPr>
                <w:rStyle w:val="Hyperlink"/>
                <w:rFonts w:ascii="Times New Roman" w:eastAsia="Times New Roman" w:hAnsi="Times New Roman" w:cs="Times New Roman"/>
                <w:sz w:val="24"/>
                <w:szCs w:val="24"/>
                <w:lang w:eastAsia="lv-LV"/>
              </w:rPr>
              <w:t>http://www.vm.gov.lv/lv/aktualitates/sabiedribas_lidzdaliba/sabiedriska_apspriede/</w:t>
            </w:r>
            <w:r>
              <w:fldChar w:fldCharType="end"/>
            </w:r>
            <w:r w:rsidR="00F8009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kas notika </w:t>
            </w:r>
            <w:r>
              <w:rPr>
                <w:rFonts w:ascii="Times New Roman" w:eastAsia="Times New Roman" w:hAnsi="Times New Roman" w:cs="Times New Roman"/>
                <w:iCs/>
                <w:sz w:val="24"/>
                <w:szCs w:val="24"/>
                <w:lang w:eastAsia="lv-LV"/>
              </w:rPr>
              <w:t>2018.</w:t>
            </w:r>
            <w:r>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10.</w:t>
            </w:r>
            <w:r>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maijā</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Pārstāvētā</w:t>
            </w:r>
            <w:r>
              <w:rPr>
                <w:rFonts w:ascii="Times New Roman" w:eastAsia="Times New Roman" w:hAnsi="Times New Roman" w:cs="Times New Roman"/>
                <w:iCs/>
                <w:sz w:val="24"/>
                <w:szCs w:val="24"/>
                <w:lang w:eastAsia="lv-LV"/>
              </w:rPr>
              <w:t xml:space="preserve">s organizācijas: “Veselības projekti Latvijai”, Rīgas pilsētas Latgales priekšpilsētas pensionāru apvienība, Rīgas pensionāru savienība, Rīgas pilsētas Kurzemes priekšpilsētas pensionāru apvienība, SUSTENTO, </w:t>
            </w:r>
            <w:r>
              <w:rPr>
                <w:rFonts w:ascii="Times New Roman" w:eastAsia="Times New Roman" w:hAnsi="Times New Roman" w:cs="Times New Roman"/>
                <w:iCs/>
                <w:sz w:val="24"/>
                <w:szCs w:val="24"/>
                <w:lang w:eastAsia="lv-LV"/>
              </w:rPr>
              <w:t>Pulmonālās</w:t>
            </w:r>
            <w:r>
              <w:rPr>
                <w:rFonts w:ascii="Times New Roman" w:eastAsia="Times New Roman" w:hAnsi="Times New Roman" w:cs="Times New Roman"/>
                <w:iCs/>
                <w:sz w:val="24"/>
                <w:szCs w:val="24"/>
                <w:lang w:eastAsia="lv-LV"/>
              </w:rPr>
              <w:t xml:space="preserve"> hipertensijas biedrība, Reto slimību alianse, Latvijas Farmaceitu biedrība, Latvijas Brīvo farmaceitu apvienība, Aptieku attīstības biedrība, Aptieku īpašnieku asociācija, Starptautisko inovatīvo farmaceitisko firmu asociācija, Latvijas </w:t>
            </w:r>
            <w:r>
              <w:rPr>
                <w:rFonts w:ascii="Times New Roman" w:eastAsia="Times New Roman" w:hAnsi="Times New Roman" w:cs="Times New Roman"/>
                <w:iCs/>
                <w:sz w:val="24"/>
                <w:szCs w:val="24"/>
                <w:lang w:eastAsia="lv-LV"/>
              </w:rPr>
              <w:t>Patentbrīvo</w:t>
            </w:r>
            <w:r>
              <w:rPr>
                <w:rFonts w:ascii="Times New Roman" w:eastAsia="Times New Roman" w:hAnsi="Times New Roman" w:cs="Times New Roman"/>
                <w:iCs/>
                <w:sz w:val="24"/>
                <w:szCs w:val="24"/>
                <w:lang w:eastAsia="lv-LV"/>
              </w:rPr>
              <w:t xml:space="preserve"> medikamentu asociācija, Biofarmaceitisko zāļu ražotāju asociācija Latvijā.</w:t>
            </w:r>
          </w:p>
        </w:tc>
      </w:tr>
      <w:tr w14:paraId="350F3B50" w14:textId="77777777" w:rsidTr="00B126E2">
        <w:tblPrEx>
          <w:tblW w:w="5000" w:type="pct"/>
          <w:tblCellSpacing w:w="15" w:type="dxa"/>
          <w:tblLayout w:type="fixed"/>
          <w:tblCellMar>
            <w:top w:w="30" w:type="dxa"/>
            <w:left w:w="30" w:type="dxa"/>
            <w:bottom w:w="30" w:type="dxa"/>
            <w:right w:w="30" w:type="dxa"/>
          </w:tblCellMar>
          <w:tblLook w:val="04A0"/>
        </w:tblPrEx>
        <w:trPr>
          <w:tblCellSpacing w:w="15" w:type="dxa"/>
        </w:trPr>
        <w:tc>
          <w:tcPr>
            <w:tcW w:w="130" w:type="pct"/>
            <w:tcBorders>
              <w:top w:val="outset" w:sz="6" w:space="0" w:color="auto"/>
              <w:left w:val="outset" w:sz="6" w:space="0" w:color="auto"/>
              <w:bottom w:val="outset" w:sz="6" w:space="0" w:color="auto"/>
              <w:right w:val="outset" w:sz="6" w:space="0" w:color="auto"/>
            </w:tcBorders>
            <w:hideMark/>
          </w:tcPr>
          <w:p w:rsidR="003D16CC" w:rsidRPr="00BC2758" w:rsidP="003D16CC" w14:paraId="5ED4CC6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998" w:type="pct"/>
            <w:tcBorders>
              <w:top w:val="outset" w:sz="6" w:space="0" w:color="auto"/>
              <w:left w:val="outset" w:sz="6" w:space="0" w:color="auto"/>
              <w:bottom w:val="outset" w:sz="6" w:space="0" w:color="auto"/>
              <w:right w:val="outset" w:sz="6" w:space="0" w:color="auto"/>
            </w:tcBorders>
            <w:hideMark/>
          </w:tcPr>
          <w:p w:rsidR="003D16CC" w:rsidRPr="00BC2758" w:rsidP="003D16CC" w14:paraId="24B3490A"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līdzdalības rezultāti</w:t>
            </w:r>
          </w:p>
        </w:tc>
        <w:tc>
          <w:tcPr>
            <w:tcW w:w="3805" w:type="pct"/>
            <w:tcBorders>
              <w:top w:val="outset" w:sz="6" w:space="0" w:color="auto"/>
              <w:left w:val="outset" w:sz="6" w:space="0" w:color="auto"/>
              <w:bottom w:val="outset" w:sz="6" w:space="0" w:color="auto"/>
              <w:right w:val="outset" w:sz="6" w:space="0" w:color="auto"/>
            </w:tcBorders>
            <w:hideMark/>
          </w:tcPr>
          <w:p w:rsidR="003D16CC" w:rsidRPr="00BC2758" w:rsidP="003D16CC" w14:paraId="0D05DD8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pārstāvji snieguši konceptuāl</w:t>
            </w:r>
            <w:r w:rsidR="007F3312">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atbalstu noteikumu projekta virzībai. Plašāka diskusija izvērtās par t.s. “cenu koridora” ieviešanu, kur zāļu ražotāju pārstāvji nepiekrita VM definētajai cenu starpībai (100%) un iesniedza savu variantu (100% vai 0,14 eiro dienā, piemērojot lielāko). Atkārtotas saskaņošanas un sarunu ceļā tika rasts kompromiss</w:t>
            </w:r>
            <w:r w:rsidR="007F3312">
              <w:rPr>
                <w:rFonts w:ascii="Times New Roman" w:eastAsia="Times New Roman" w:hAnsi="Times New Roman" w:cs="Times New Roman"/>
                <w:iCs/>
                <w:sz w:val="24"/>
                <w:szCs w:val="24"/>
                <w:lang w:eastAsia="lv-LV"/>
              </w:rPr>
              <w:t xml:space="preserve"> ar zāļu ražotājiem, kam savukārt nepiekrīt biedrība “Veselības projekti Latvijai” un pensionāru organizācijas. Visi viennozīmīgi atbalsta jaunu diagnožu iekļaušanu un kompensācijas apmēra palielināšanu. Garākas diskusijas izvērtās ar zāļu ražotājiem par jaunajām prasībām </w:t>
            </w:r>
            <w:r w:rsidR="007F3312">
              <w:rPr>
                <w:rFonts w:ascii="Times New Roman" w:eastAsia="Times New Roman" w:hAnsi="Times New Roman" w:cs="Times New Roman"/>
                <w:iCs/>
                <w:sz w:val="24"/>
                <w:szCs w:val="24"/>
                <w:lang w:eastAsia="lv-LV"/>
              </w:rPr>
              <w:t>farmakoekonomiskā</w:t>
            </w:r>
            <w:r w:rsidR="007F3312">
              <w:rPr>
                <w:rFonts w:ascii="Times New Roman" w:eastAsia="Times New Roman" w:hAnsi="Times New Roman" w:cs="Times New Roman"/>
                <w:iCs/>
                <w:sz w:val="24"/>
                <w:szCs w:val="24"/>
                <w:lang w:eastAsia="lv-LV"/>
              </w:rPr>
              <w:t xml:space="preserve"> aprēķina veikšanai, tādēļ normas iekļautas, nosakot pārejas laiku.</w:t>
            </w:r>
            <w:r w:rsidR="00FE7247">
              <w:rPr>
                <w:rFonts w:ascii="Times New Roman" w:eastAsia="Times New Roman" w:hAnsi="Times New Roman" w:cs="Times New Roman"/>
                <w:iCs/>
                <w:sz w:val="24"/>
                <w:szCs w:val="24"/>
                <w:lang w:eastAsia="lv-LV"/>
              </w:rPr>
              <w:t xml:space="preserve"> Jautājumi radās sakarā ar KZS biežāku pārskatīšanu, kas gan visumā vērtēts pozitīvi, jo nodrošina iespējas laikus pielīdzināt cenas, samazinot izdevumus par kompensējamām zālēm. Problēmas, kas varētu rasties aptiekām iespējams risināt ar savlaicīgu informēšanu par izmaiņām.</w:t>
            </w:r>
            <w:r>
              <w:rPr>
                <w:rFonts w:ascii="Times New Roman" w:eastAsia="Times New Roman" w:hAnsi="Times New Roman" w:cs="Times New Roman"/>
                <w:iCs/>
                <w:sz w:val="24"/>
                <w:szCs w:val="24"/>
                <w:lang w:eastAsia="lv-LV"/>
              </w:rPr>
              <w:t xml:space="preserve"> </w:t>
            </w:r>
          </w:p>
        </w:tc>
      </w:tr>
      <w:tr w14:paraId="7D38613D" w14:textId="77777777" w:rsidTr="00B126E2">
        <w:tblPrEx>
          <w:tblW w:w="5000" w:type="pct"/>
          <w:tblCellSpacing w:w="15" w:type="dxa"/>
          <w:tblLayout w:type="fixed"/>
          <w:tblCellMar>
            <w:top w:w="30" w:type="dxa"/>
            <w:left w:w="30" w:type="dxa"/>
            <w:bottom w:w="30" w:type="dxa"/>
            <w:right w:w="30" w:type="dxa"/>
          </w:tblCellMar>
          <w:tblLook w:val="04A0"/>
        </w:tblPrEx>
        <w:trPr>
          <w:tblCellSpacing w:w="15" w:type="dxa"/>
        </w:trPr>
        <w:tc>
          <w:tcPr>
            <w:tcW w:w="130" w:type="pct"/>
            <w:tcBorders>
              <w:top w:val="outset" w:sz="6" w:space="0" w:color="auto"/>
              <w:left w:val="outset" w:sz="6" w:space="0" w:color="auto"/>
              <w:bottom w:val="outset" w:sz="6" w:space="0" w:color="auto"/>
              <w:right w:val="outset" w:sz="6" w:space="0" w:color="auto"/>
            </w:tcBorders>
            <w:hideMark/>
          </w:tcPr>
          <w:p w:rsidR="00655F2C" w:rsidRPr="00BC2758" w:rsidP="00E5323B" w14:paraId="24632E4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998" w:type="pct"/>
            <w:tcBorders>
              <w:top w:val="outset" w:sz="6" w:space="0" w:color="auto"/>
              <w:left w:val="outset" w:sz="6" w:space="0" w:color="auto"/>
              <w:bottom w:val="outset" w:sz="6" w:space="0" w:color="auto"/>
              <w:right w:val="outset" w:sz="6" w:space="0" w:color="auto"/>
            </w:tcBorders>
            <w:hideMark/>
          </w:tcPr>
          <w:p w:rsidR="00E5323B" w:rsidRPr="00BC2758" w:rsidP="00E5323B" w14:paraId="0BF4095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rsidR="00E5323B" w:rsidRPr="00BC2758" w:rsidP="00E5323B" w14:paraId="2C16AEB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2758" w:rsidP="00E5323B" w14:paraId="76F7500D"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4CB1B3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P="00E5323B" w14:paraId="08C6FC56" w14:textId="77777777">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714F8E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P="00E5323B" w14:paraId="0EE04B74"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P="00E5323B" w14:paraId="4DBB4A47"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P="00E5323B" w14:paraId="251D54E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NVD</w:t>
            </w:r>
            <w:r w:rsidR="00FE7247">
              <w:rPr>
                <w:rFonts w:ascii="Times New Roman" w:eastAsia="Times New Roman" w:hAnsi="Times New Roman" w:cs="Times New Roman"/>
                <w:iCs/>
                <w:sz w:val="24"/>
                <w:szCs w:val="24"/>
                <w:lang w:eastAsia="lv-LV"/>
              </w:rPr>
              <w:t>, ZVA</w:t>
            </w:r>
          </w:p>
        </w:tc>
      </w:tr>
      <w:tr w14:paraId="5951EA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P="00E5323B" w14:paraId="140816B5"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P="00E5323B" w14:paraId="155BDCEC"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izpildes ietekme uz pārvaldes funkcijām un institucionālo struktūru.</w:t>
            </w:r>
            <w:r w:rsidRPr="00BC2758">
              <w:rPr>
                <w:rFonts w:ascii="Times New Roman" w:eastAsia="Times New Roman" w:hAnsi="Times New Roman" w:cs="Times New Roman"/>
                <w:iCs/>
                <w:sz w:val="24"/>
                <w:szCs w:val="24"/>
                <w:lang w:eastAsia="lv-LV"/>
              </w:rPr>
              <w:br/>
              <w:t xml:space="preserve">Jaunu institūciju izveide, esošu institūciju likvidācija </w:t>
            </w:r>
            <w:r w:rsidRPr="00BC2758">
              <w:rPr>
                <w:rFonts w:ascii="Times New Roman" w:eastAsia="Times New Roman" w:hAnsi="Times New Roman" w:cs="Times New Roman"/>
                <w:iCs/>
                <w:sz w:val="24"/>
                <w:szCs w:val="24"/>
                <w:lang w:eastAsia="lv-LV"/>
              </w:rPr>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P="00E5323B" w14:paraId="003701E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48E5EA1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P="00E5323B" w14:paraId="36904963"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P="00E5323B" w14:paraId="585C28D0" w14:textId="77777777">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P="00E5323B" w14:paraId="6296A93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BC2758" w:rsidP="00894C55" w14:paraId="3753132F" w14:textId="77777777">
      <w:pPr>
        <w:spacing w:after="0" w:line="240" w:lineRule="auto"/>
        <w:rPr>
          <w:rFonts w:ascii="Times New Roman" w:hAnsi="Times New Roman" w:cs="Times New Roman"/>
          <w:sz w:val="28"/>
          <w:szCs w:val="28"/>
        </w:rPr>
      </w:pPr>
    </w:p>
    <w:p w:rsidR="00376DAE" w:rsidP="00894C55" w14:paraId="0913B1D8" w14:textId="77777777">
      <w:pPr>
        <w:tabs>
          <w:tab w:val="left" w:pos="6237"/>
        </w:tabs>
        <w:spacing w:after="0" w:line="240" w:lineRule="auto"/>
        <w:ind w:firstLine="720"/>
        <w:rPr>
          <w:rFonts w:ascii="Times New Roman" w:hAnsi="Times New Roman" w:cs="Times New Roman"/>
          <w:sz w:val="28"/>
          <w:szCs w:val="28"/>
        </w:rPr>
      </w:pPr>
    </w:p>
    <w:p w:rsidR="00376DAE" w:rsidP="00894C55" w14:paraId="539A4EAF" w14:textId="77777777">
      <w:pPr>
        <w:tabs>
          <w:tab w:val="left" w:pos="6237"/>
        </w:tabs>
        <w:spacing w:after="0" w:line="240" w:lineRule="auto"/>
        <w:ind w:firstLine="720"/>
        <w:rPr>
          <w:rFonts w:ascii="Times New Roman" w:hAnsi="Times New Roman" w:cs="Times New Roman"/>
          <w:sz w:val="28"/>
          <w:szCs w:val="28"/>
        </w:rPr>
      </w:pPr>
    </w:p>
    <w:p w:rsidR="00376DAE" w:rsidP="00894C55" w14:paraId="61C977A6" w14:textId="77777777">
      <w:pPr>
        <w:tabs>
          <w:tab w:val="left" w:pos="6237"/>
        </w:tabs>
        <w:spacing w:after="0" w:line="240" w:lineRule="auto"/>
        <w:ind w:firstLine="720"/>
        <w:rPr>
          <w:rFonts w:ascii="Times New Roman" w:hAnsi="Times New Roman" w:cs="Times New Roman"/>
          <w:sz w:val="28"/>
          <w:szCs w:val="28"/>
        </w:rPr>
      </w:pPr>
    </w:p>
    <w:p w:rsidR="00894C55" w:rsidRPr="00BC2758" w:rsidP="00376DAE" w14:paraId="0900009D" w14:textId="77777777">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sidRPr="00BC2758">
        <w:rPr>
          <w:rFonts w:ascii="Times New Roman" w:hAnsi="Times New Roman" w:cs="Times New Roman"/>
          <w:sz w:val="28"/>
          <w:szCs w:val="28"/>
        </w:rPr>
        <w:tab/>
      </w:r>
      <w:r w:rsidR="00376DAE">
        <w:rPr>
          <w:rFonts w:ascii="Times New Roman" w:hAnsi="Times New Roman" w:cs="Times New Roman"/>
          <w:sz w:val="28"/>
          <w:szCs w:val="28"/>
        </w:rPr>
        <w:tab/>
      </w:r>
      <w:r w:rsidR="00376DAE">
        <w:rPr>
          <w:rFonts w:ascii="Times New Roman" w:hAnsi="Times New Roman" w:cs="Times New Roman"/>
          <w:sz w:val="28"/>
          <w:szCs w:val="28"/>
        </w:rPr>
        <w:tab/>
      </w:r>
      <w:r>
        <w:rPr>
          <w:rFonts w:ascii="Times New Roman" w:hAnsi="Times New Roman" w:cs="Times New Roman"/>
          <w:sz w:val="28"/>
          <w:szCs w:val="28"/>
        </w:rPr>
        <w:t>A.Čakša</w:t>
      </w:r>
    </w:p>
    <w:p w:rsidR="00894C55" w:rsidRPr="00BC2758" w:rsidP="00894C55" w14:paraId="60242A53" w14:textId="77777777">
      <w:pPr>
        <w:spacing w:after="0" w:line="240" w:lineRule="auto"/>
        <w:ind w:firstLine="720"/>
        <w:rPr>
          <w:rFonts w:ascii="Times New Roman" w:hAnsi="Times New Roman" w:cs="Times New Roman"/>
          <w:sz w:val="28"/>
          <w:szCs w:val="28"/>
        </w:rPr>
      </w:pPr>
    </w:p>
    <w:p w:rsidR="00894C55" w:rsidRPr="00BC2758" w:rsidP="00894C55" w14:paraId="6678A132" w14:textId="77777777">
      <w:pPr>
        <w:spacing w:after="0" w:line="240" w:lineRule="auto"/>
        <w:ind w:firstLine="720"/>
        <w:rPr>
          <w:rFonts w:ascii="Times New Roman" w:hAnsi="Times New Roman" w:cs="Times New Roman"/>
          <w:sz w:val="28"/>
          <w:szCs w:val="28"/>
        </w:rPr>
      </w:pPr>
    </w:p>
    <w:p w:rsidR="002941F5" w:rsidP="00894C55" w14:paraId="3CCCDC59" w14:textId="77777777">
      <w:pPr>
        <w:tabs>
          <w:tab w:val="left" w:pos="6237"/>
        </w:tabs>
        <w:spacing w:after="0" w:line="240" w:lineRule="auto"/>
        <w:rPr>
          <w:rFonts w:ascii="Times New Roman" w:hAnsi="Times New Roman" w:cs="Times New Roman"/>
        </w:rPr>
      </w:pPr>
    </w:p>
    <w:p w:rsidR="002941F5" w:rsidP="00894C55" w14:paraId="1A2E0C5D" w14:textId="77777777">
      <w:pPr>
        <w:tabs>
          <w:tab w:val="left" w:pos="6237"/>
        </w:tabs>
        <w:spacing w:after="0" w:line="240" w:lineRule="auto"/>
        <w:rPr>
          <w:rFonts w:ascii="Times New Roman" w:hAnsi="Times New Roman" w:cs="Times New Roman"/>
        </w:rPr>
      </w:pPr>
    </w:p>
    <w:p w:rsidR="002941F5" w:rsidP="00894C55" w14:paraId="739D10F1" w14:textId="77777777">
      <w:pPr>
        <w:tabs>
          <w:tab w:val="left" w:pos="6237"/>
        </w:tabs>
        <w:spacing w:after="0" w:line="240" w:lineRule="auto"/>
        <w:rPr>
          <w:rFonts w:ascii="Times New Roman" w:hAnsi="Times New Roman" w:cs="Times New Roman"/>
        </w:rPr>
      </w:pPr>
    </w:p>
    <w:p w:rsidR="002941F5" w:rsidP="00894C55" w14:paraId="6B9FE07D" w14:textId="77777777">
      <w:pPr>
        <w:tabs>
          <w:tab w:val="left" w:pos="6237"/>
        </w:tabs>
        <w:spacing w:after="0" w:line="240" w:lineRule="auto"/>
        <w:rPr>
          <w:rFonts w:ascii="Times New Roman" w:hAnsi="Times New Roman" w:cs="Times New Roman"/>
        </w:rPr>
      </w:pPr>
    </w:p>
    <w:p w:rsidR="00376DAE" w:rsidP="00894C55" w14:paraId="6F740DD3" w14:textId="77777777">
      <w:pPr>
        <w:tabs>
          <w:tab w:val="left" w:pos="6237"/>
        </w:tabs>
        <w:spacing w:after="0" w:line="240" w:lineRule="auto"/>
        <w:rPr>
          <w:rFonts w:ascii="Times New Roman" w:hAnsi="Times New Roman" w:cs="Times New Roman"/>
        </w:rPr>
      </w:pPr>
    </w:p>
    <w:p w:rsidR="00376DAE" w:rsidP="00894C55" w14:paraId="52433F94" w14:textId="77777777">
      <w:pPr>
        <w:tabs>
          <w:tab w:val="left" w:pos="6237"/>
        </w:tabs>
        <w:spacing w:after="0" w:line="240" w:lineRule="auto"/>
        <w:rPr>
          <w:rFonts w:ascii="Times New Roman" w:hAnsi="Times New Roman" w:cs="Times New Roman"/>
        </w:rPr>
      </w:pPr>
    </w:p>
    <w:p w:rsidR="00376DAE" w:rsidP="00894C55" w14:paraId="78EAE834" w14:textId="77777777">
      <w:pPr>
        <w:tabs>
          <w:tab w:val="left" w:pos="6237"/>
        </w:tabs>
        <w:spacing w:after="0" w:line="240" w:lineRule="auto"/>
        <w:rPr>
          <w:rFonts w:ascii="Times New Roman" w:hAnsi="Times New Roman" w:cs="Times New Roman"/>
        </w:rPr>
      </w:pPr>
    </w:p>
    <w:p w:rsidR="00894C55" w:rsidRPr="004E0DEF" w:rsidP="00894C55" w14:paraId="66DB121E" w14:textId="77777777">
      <w:pPr>
        <w:tabs>
          <w:tab w:val="left" w:pos="6237"/>
        </w:tabs>
        <w:spacing w:after="0" w:line="240" w:lineRule="auto"/>
        <w:rPr>
          <w:rFonts w:ascii="Times New Roman" w:hAnsi="Times New Roman" w:cs="Times New Roman"/>
        </w:rPr>
      </w:pPr>
      <w:r w:rsidRPr="004E0DEF">
        <w:rPr>
          <w:rFonts w:ascii="Times New Roman" w:hAnsi="Times New Roman" w:cs="Times New Roman"/>
        </w:rPr>
        <w:t>Brūvere</w:t>
      </w:r>
      <w:r w:rsidRPr="004E0DEF" w:rsidR="00A821BA">
        <w:rPr>
          <w:rFonts w:ascii="Times New Roman" w:hAnsi="Times New Roman" w:cs="Times New Roman"/>
        </w:rPr>
        <w:t xml:space="preserve"> </w:t>
      </w:r>
      <w:r w:rsidRPr="004E0DEF">
        <w:rPr>
          <w:rFonts w:ascii="Times New Roman" w:hAnsi="Times New Roman" w:cs="Times New Roman"/>
        </w:rPr>
        <w:t>67876191</w:t>
      </w:r>
    </w:p>
    <w:p w:rsidR="00894C55" w:rsidRPr="004E0DEF" w:rsidP="00894C55" w14:paraId="7D52F338" w14:textId="77777777">
      <w:pPr>
        <w:tabs>
          <w:tab w:val="left" w:pos="6237"/>
        </w:tabs>
        <w:spacing w:after="0" w:line="240" w:lineRule="auto"/>
        <w:rPr>
          <w:rFonts w:ascii="Times New Roman" w:hAnsi="Times New Roman" w:cs="Times New Roman"/>
        </w:rPr>
      </w:pPr>
      <w:r w:rsidRPr="004E0DEF">
        <w:rPr>
          <w:rFonts w:ascii="Times New Roman" w:hAnsi="Times New Roman" w:cs="Times New Roman"/>
        </w:rPr>
        <w:t>kristina.bruvere</w:t>
      </w:r>
      <w:r w:rsidRPr="004E0DEF">
        <w:rPr>
          <w:rFonts w:ascii="Times New Roman" w:hAnsi="Times New Roman" w:cs="Times New Roman"/>
        </w:rPr>
        <w:t>@</w:t>
      </w:r>
      <w:r w:rsidRPr="004E0DEF">
        <w:rPr>
          <w:rFonts w:ascii="Times New Roman" w:hAnsi="Times New Roman" w:cs="Times New Roman"/>
        </w:rPr>
        <w:t>vm</w:t>
      </w:r>
      <w:r w:rsidRPr="004E0DEF">
        <w:rPr>
          <w:rFonts w:ascii="Times New Roman" w:hAnsi="Times New Roman" w:cs="Times New Roman"/>
        </w:rPr>
        <w:t>.gov.lv</w:t>
      </w:r>
      <w:bookmarkStart w:id="3" w:name="_GoBack"/>
      <w:bookmarkEnd w:id="3"/>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1CC" w:rsidRPr="002F0193" w:rsidP="002F0193" w14:paraId="4BAF9066" w14:textId="77777777">
    <w:pPr>
      <w:pStyle w:val="Footer"/>
    </w:pPr>
    <w:r w:rsidRPr="002F0193">
      <w:rPr>
        <w:rFonts w:ascii="Times New Roman" w:hAnsi="Times New Roman" w:cs="Times New Roman"/>
        <w:sz w:val="20"/>
        <w:szCs w:val="20"/>
      </w:rPr>
      <w:t>VManot_020818_vss_593_prec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1CC" w:rsidRPr="007371BE" w:rsidP="007371BE" w14:paraId="1E4A8DF5" w14:textId="77777777">
    <w:pPr>
      <w:pStyle w:val="Footer"/>
    </w:pPr>
    <w:bookmarkStart w:id="4" w:name="_Hlk520791654"/>
    <w:bookmarkStart w:id="5" w:name="_Hlk520791655"/>
    <w:r w:rsidRPr="007371BE">
      <w:rPr>
        <w:rFonts w:ascii="Times New Roman" w:hAnsi="Times New Roman" w:cs="Times New Roman"/>
        <w:sz w:val="20"/>
        <w:szCs w:val="20"/>
      </w:rPr>
      <w:t>VManot_</w:t>
    </w:r>
    <w:r>
      <w:rPr>
        <w:rFonts w:ascii="Times New Roman" w:hAnsi="Times New Roman" w:cs="Times New Roman"/>
        <w:sz w:val="20"/>
        <w:szCs w:val="20"/>
      </w:rPr>
      <w:t>020818</w:t>
    </w:r>
    <w:r w:rsidRPr="007371BE">
      <w:rPr>
        <w:rFonts w:ascii="Times New Roman" w:hAnsi="Times New Roman" w:cs="Times New Roman"/>
        <w:sz w:val="20"/>
        <w:szCs w:val="20"/>
      </w:rPr>
      <w:t>_vss_593</w:t>
    </w:r>
    <w:bookmarkEnd w:id="4"/>
    <w:bookmarkEnd w:id="5"/>
    <w:r>
      <w:rPr>
        <w:rFonts w:ascii="Times New Roman" w:hAnsi="Times New Roman" w:cs="Times New Roman"/>
        <w:sz w:val="20"/>
        <w:szCs w:val="20"/>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41CC" w:rsidP="00894C55" w14:paraId="1D50FDB8" w14:textId="77777777">
      <w:pPr>
        <w:spacing w:after="0" w:line="240" w:lineRule="auto"/>
      </w:pPr>
      <w:r>
        <w:separator/>
      </w:r>
    </w:p>
  </w:footnote>
  <w:footnote w:type="continuationSeparator" w:id="1">
    <w:p w:rsidR="00F841CC" w:rsidP="00894C55" w14:paraId="07D133B2" w14:textId="77777777">
      <w:pPr>
        <w:spacing w:after="0" w:line="240" w:lineRule="auto"/>
      </w:pPr>
      <w:r>
        <w:continuationSeparator/>
      </w:r>
    </w:p>
  </w:footnote>
  <w:footnote w:id="2">
    <w:p w:rsidR="00F841CC" w:rsidP="008971DA" w14:paraId="6AE84FD8" w14:textId="77777777">
      <w:pPr>
        <w:pStyle w:val="FootnoteText"/>
        <w:jc w:val="both"/>
      </w:pPr>
      <w:r>
        <w:rPr>
          <w:rStyle w:val="FootnoteReference"/>
        </w:rPr>
        <w:footnoteRef/>
      </w:r>
      <w:r>
        <w:t xml:space="preserve"> </w:t>
      </w:r>
      <w:r w:rsidRPr="008971DA">
        <w:t>Ministru kabineta 2007.gada 26.jūnija noteikumi Nr.416 “Zāļu izplatīšanas un kvalitātes kontroles kārtība” un Ministru kabineta 2010.gada 23.marta noteikumi Nr.288 “Aptieku darbības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6481272"/>
      <w:docPartObj>
        <w:docPartGallery w:val="Page Numbers (Top of Page)"/>
        <w:docPartUnique/>
      </w:docPartObj>
    </w:sdtPr>
    <w:sdtEndPr>
      <w:rPr>
        <w:rFonts w:ascii="Times New Roman" w:hAnsi="Times New Roman" w:cs="Times New Roman"/>
        <w:noProof/>
        <w:sz w:val="24"/>
        <w:szCs w:val="20"/>
      </w:rPr>
    </w:sdtEndPr>
    <w:sdtContent>
      <w:p w:rsidR="00F841CC" w:rsidRPr="00C25B49" w14:paraId="2A97EA4F"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C7C4E"/>
    <w:multiLevelType w:val="hybridMultilevel"/>
    <w:tmpl w:val="5BE86798"/>
    <w:lvl w:ilvl="0">
      <w:start w:val="1"/>
      <w:numFmt w:val="decimal"/>
      <w:lvlText w:val="%1)"/>
      <w:lvlJc w:val="left"/>
      <w:pPr>
        <w:ind w:left="843" w:hanging="360"/>
      </w:pPr>
      <w:rPr>
        <w:rFonts w:hint="default"/>
      </w:rPr>
    </w:lvl>
    <w:lvl w:ilvl="1" w:tentative="1">
      <w:start w:val="1"/>
      <w:numFmt w:val="lowerLetter"/>
      <w:lvlText w:val="%2."/>
      <w:lvlJc w:val="left"/>
      <w:pPr>
        <w:ind w:left="1563" w:hanging="360"/>
      </w:pPr>
    </w:lvl>
    <w:lvl w:ilvl="2" w:tentative="1">
      <w:start w:val="1"/>
      <w:numFmt w:val="lowerRoman"/>
      <w:lvlText w:val="%3."/>
      <w:lvlJc w:val="right"/>
      <w:pPr>
        <w:ind w:left="2283" w:hanging="180"/>
      </w:pPr>
    </w:lvl>
    <w:lvl w:ilvl="3" w:tentative="1">
      <w:start w:val="1"/>
      <w:numFmt w:val="decimal"/>
      <w:lvlText w:val="%4."/>
      <w:lvlJc w:val="left"/>
      <w:pPr>
        <w:ind w:left="3003" w:hanging="360"/>
      </w:pPr>
    </w:lvl>
    <w:lvl w:ilvl="4" w:tentative="1">
      <w:start w:val="1"/>
      <w:numFmt w:val="lowerLetter"/>
      <w:lvlText w:val="%5."/>
      <w:lvlJc w:val="left"/>
      <w:pPr>
        <w:ind w:left="3723" w:hanging="360"/>
      </w:pPr>
    </w:lvl>
    <w:lvl w:ilvl="5" w:tentative="1">
      <w:start w:val="1"/>
      <w:numFmt w:val="lowerRoman"/>
      <w:lvlText w:val="%6."/>
      <w:lvlJc w:val="right"/>
      <w:pPr>
        <w:ind w:left="4443" w:hanging="180"/>
      </w:pPr>
    </w:lvl>
    <w:lvl w:ilvl="6" w:tentative="1">
      <w:start w:val="1"/>
      <w:numFmt w:val="decimal"/>
      <w:lvlText w:val="%7."/>
      <w:lvlJc w:val="left"/>
      <w:pPr>
        <w:ind w:left="5163" w:hanging="360"/>
      </w:pPr>
    </w:lvl>
    <w:lvl w:ilvl="7" w:tentative="1">
      <w:start w:val="1"/>
      <w:numFmt w:val="lowerLetter"/>
      <w:lvlText w:val="%8."/>
      <w:lvlJc w:val="left"/>
      <w:pPr>
        <w:ind w:left="5883" w:hanging="360"/>
      </w:pPr>
    </w:lvl>
    <w:lvl w:ilvl="8" w:tentative="1">
      <w:start w:val="1"/>
      <w:numFmt w:val="lowerRoman"/>
      <w:lvlText w:val="%9."/>
      <w:lvlJc w:val="right"/>
      <w:pPr>
        <w:ind w:left="6603" w:hanging="180"/>
      </w:pPr>
    </w:lvl>
  </w:abstractNum>
  <w:abstractNum w:abstractNumId="1" w15:restartNumberingAfterBreak="1">
    <w:nsid w:val="0B5D1D00"/>
    <w:multiLevelType w:val="hybridMultilevel"/>
    <w:tmpl w:val="065C720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507E4"/>
    <w:multiLevelType w:val="hybridMultilevel"/>
    <w:tmpl w:val="CC824ADA"/>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8D24A65"/>
    <w:multiLevelType w:val="hybridMultilevel"/>
    <w:tmpl w:val="C1264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0224213"/>
    <w:multiLevelType w:val="hybridMultilevel"/>
    <w:tmpl w:val="4D2E6356"/>
    <w:lvl w:ilvl="0">
      <w:start w:val="1"/>
      <w:numFmt w:val="decimal"/>
      <w:lvlText w:val="%1)"/>
      <w:lvlJc w:val="left"/>
      <w:pPr>
        <w:ind w:left="418" w:hanging="360"/>
      </w:pPr>
      <w:rPr>
        <w:rFonts w:hint="default"/>
      </w:rPr>
    </w:lvl>
    <w:lvl w:ilvl="1" w:tentative="1">
      <w:start w:val="1"/>
      <w:numFmt w:val="lowerLetter"/>
      <w:lvlText w:val="%2."/>
      <w:lvlJc w:val="left"/>
      <w:pPr>
        <w:ind w:left="1138" w:hanging="360"/>
      </w:pPr>
    </w:lvl>
    <w:lvl w:ilvl="2" w:tentative="1">
      <w:start w:val="1"/>
      <w:numFmt w:val="lowerRoman"/>
      <w:lvlText w:val="%3."/>
      <w:lvlJc w:val="right"/>
      <w:pPr>
        <w:ind w:left="1858" w:hanging="180"/>
      </w:pPr>
    </w:lvl>
    <w:lvl w:ilvl="3" w:tentative="1">
      <w:start w:val="1"/>
      <w:numFmt w:val="decimal"/>
      <w:lvlText w:val="%4."/>
      <w:lvlJc w:val="left"/>
      <w:pPr>
        <w:ind w:left="2578" w:hanging="360"/>
      </w:pPr>
    </w:lvl>
    <w:lvl w:ilvl="4" w:tentative="1">
      <w:start w:val="1"/>
      <w:numFmt w:val="lowerLetter"/>
      <w:lvlText w:val="%5."/>
      <w:lvlJc w:val="left"/>
      <w:pPr>
        <w:ind w:left="3298" w:hanging="360"/>
      </w:pPr>
    </w:lvl>
    <w:lvl w:ilvl="5" w:tentative="1">
      <w:start w:val="1"/>
      <w:numFmt w:val="lowerRoman"/>
      <w:lvlText w:val="%6."/>
      <w:lvlJc w:val="right"/>
      <w:pPr>
        <w:ind w:left="4018" w:hanging="180"/>
      </w:pPr>
    </w:lvl>
    <w:lvl w:ilvl="6" w:tentative="1">
      <w:start w:val="1"/>
      <w:numFmt w:val="decimal"/>
      <w:lvlText w:val="%7."/>
      <w:lvlJc w:val="left"/>
      <w:pPr>
        <w:ind w:left="4738" w:hanging="360"/>
      </w:pPr>
    </w:lvl>
    <w:lvl w:ilvl="7" w:tentative="1">
      <w:start w:val="1"/>
      <w:numFmt w:val="lowerLetter"/>
      <w:lvlText w:val="%8."/>
      <w:lvlJc w:val="left"/>
      <w:pPr>
        <w:ind w:left="5458" w:hanging="360"/>
      </w:pPr>
    </w:lvl>
    <w:lvl w:ilvl="8" w:tentative="1">
      <w:start w:val="1"/>
      <w:numFmt w:val="lowerRoman"/>
      <w:lvlText w:val="%9."/>
      <w:lvlJc w:val="right"/>
      <w:pPr>
        <w:ind w:left="6178" w:hanging="180"/>
      </w:pPr>
    </w:lvl>
  </w:abstractNum>
  <w:abstractNum w:abstractNumId="5" w15:restartNumberingAfterBreak="1">
    <w:nsid w:val="391D47C8"/>
    <w:multiLevelType w:val="hybridMultilevel"/>
    <w:tmpl w:val="2BB6599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3125721"/>
    <w:multiLevelType w:val="hybridMultilevel"/>
    <w:tmpl w:val="CA222AAE"/>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F44305D"/>
    <w:multiLevelType w:val="hybridMultilevel"/>
    <w:tmpl w:val="2BB6599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5703EF0"/>
    <w:multiLevelType w:val="hybridMultilevel"/>
    <w:tmpl w:val="6F209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9786006"/>
    <w:multiLevelType w:val="hybridMultilevel"/>
    <w:tmpl w:val="3FFE56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D076A57"/>
    <w:multiLevelType w:val="hybridMultilevel"/>
    <w:tmpl w:val="FAFAE2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9D24A4A"/>
    <w:multiLevelType w:val="hybridMultilevel"/>
    <w:tmpl w:val="2BB6599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7A8167B6"/>
    <w:multiLevelType w:val="hybridMultilevel"/>
    <w:tmpl w:val="825C6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10"/>
  </w:num>
  <w:num w:numId="6">
    <w:abstractNumId w:val="6"/>
  </w:num>
  <w:num w:numId="7">
    <w:abstractNumId w:val="9"/>
  </w:num>
  <w:num w:numId="8">
    <w:abstractNumId w:val="1"/>
  </w:num>
  <w:num w:numId="9">
    <w:abstractNumId w:val="3"/>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39"/>
    <w:rsid w:val="00011282"/>
    <w:rsid w:val="00024D8B"/>
    <w:rsid w:val="00027E56"/>
    <w:rsid w:val="00034D21"/>
    <w:rsid w:val="000352EC"/>
    <w:rsid w:val="000363A3"/>
    <w:rsid w:val="000374A3"/>
    <w:rsid w:val="00037FB1"/>
    <w:rsid w:val="00041DCB"/>
    <w:rsid w:val="00044FA0"/>
    <w:rsid w:val="00055EAD"/>
    <w:rsid w:val="0005622F"/>
    <w:rsid w:val="00056289"/>
    <w:rsid w:val="0006383B"/>
    <w:rsid w:val="000663D3"/>
    <w:rsid w:val="000744AB"/>
    <w:rsid w:val="00075281"/>
    <w:rsid w:val="00081F9E"/>
    <w:rsid w:val="00095758"/>
    <w:rsid w:val="00096376"/>
    <w:rsid w:val="000A1CBC"/>
    <w:rsid w:val="000A2163"/>
    <w:rsid w:val="000A27A3"/>
    <w:rsid w:val="000B22EF"/>
    <w:rsid w:val="000B545E"/>
    <w:rsid w:val="000C2DCE"/>
    <w:rsid w:val="000C4CDC"/>
    <w:rsid w:val="000D412E"/>
    <w:rsid w:val="000F2CA3"/>
    <w:rsid w:val="000F3035"/>
    <w:rsid w:val="000F4B3D"/>
    <w:rsid w:val="000F4FB9"/>
    <w:rsid w:val="00101D7E"/>
    <w:rsid w:val="00110AC4"/>
    <w:rsid w:val="00111236"/>
    <w:rsid w:val="00112693"/>
    <w:rsid w:val="001141E6"/>
    <w:rsid w:val="0012550A"/>
    <w:rsid w:val="0012624D"/>
    <w:rsid w:val="001346DE"/>
    <w:rsid w:val="00134E18"/>
    <w:rsid w:val="0014432F"/>
    <w:rsid w:val="00156BBB"/>
    <w:rsid w:val="00156FA9"/>
    <w:rsid w:val="00163475"/>
    <w:rsid w:val="001636DF"/>
    <w:rsid w:val="00173173"/>
    <w:rsid w:val="001731D1"/>
    <w:rsid w:val="00177168"/>
    <w:rsid w:val="001840BC"/>
    <w:rsid w:val="00194FB0"/>
    <w:rsid w:val="001968F5"/>
    <w:rsid w:val="00196A2C"/>
    <w:rsid w:val="001A48A0"/>
    <w:rsid w:val="001B6790"/>
    <w:rsid w:val="001D2120"/>
    <w:rsid w:val="001D3E43"/>
    <w:rsid w:val="00221216"/>
    <w:rsid w:val="002266B5"/>
    <w:rsid w:val="00227732"/>
    <w:rsid w:val="00230CCB"/>
    <w:rsid w:val="00237D93"/>
    <w:rsid w:val="00241C40"/>
    <w:rsid w:val="00243426"/>
    <w:rsid w:val="002443DA"/>
    <w:rsid w:val="00245108"/>
    <w:rsid w:val="00246C7C"/>
    <w:rsid w:val="0025159A"/>
    <w:rsid w:val="00251D64"/>
    <w:rsid w:val="002552DA"/>
    <w:rsid w:val="002553B5"/>
    <w:rsid w:val="00255DDF"/>
    <w:rsid w:val="002661BD"/>
    <w:rsid w:val="00282523"/>
    <w:rsid w:val="002923C9"/>
    <w:rsid w:val="00292479"/>
    <w:rsid w:val="00293273"/>
    <w:rsid w:val="002939AC"/>
    <w:rsid w:val="002941F5"/>
    <w:rsid w:val="00295988"/>
    <w:rsid w:val="00295F69"/>
    <w:rsid w:val="002A1FD9"/>
    <w:rsid w:val="002A70F6"/>
    <w:rsid w:val="002C0B7B"/>
    <w:rsid w:val="002C2B8E"/>
    <w:rsid w:val="002D1B34"/>
    <w:rsid w:val="002D290C"/>
    <w:rsid w:val="002D30CD"/>
    <w:rsid w:val="002D47AB"/>
    <w:rsid w:val="002E0B07"/>
    <w:rsid w:val="002E1C05"/>
    <w:rsid w:val="002E3896"/>
    <w:rsid w:val="002E50AD"/>
    <w:rsid w:val="002F0193"/>
    <w:rsid w:val="002F6BF4"/>
    <w:rsid w:val="00304086"/>
    <w:rsid w:val="00306485"/>
    <w:rsid w:val="003077D3"/>
    <w:rsid w:val="003131D2"/>
    <w:rsid w:val="003133F9"/>
    <w:rsid w:val="0031559D"/>
    <w:rsid w:val="003164D2"/>
    <w:rsid w:val="00320FC4"/>
    <w:rsid w:val="00327B8F"/>
    <w:rsid w:val="0033060A"/>
    <w:rsid w:val="00331883"/>
    <w:rsid w:val="003357A5"/>
    <w:rsid w:val="00340877"/>
    <w:rsid w:val="00350526"/>
    <w:rsid w:val="00350B50"/>
    <w:rsid w:val="0035603C"/>
    <w:rsid w:val="003578C6"/>
    <w:rsid w:val="003636A9"/>
    <w:rsid w:val="00363BA1"/>
    <w:rsid w:val="00365ADD"/>
    <w:rsid w:val="0037119B"/>
    <w:rsid w:val="003727ED"/>
    <w:rsid w:val="003730F4"/>
    <w:rsid w:val="0037471A"/>
    <w:rsid w:val="00376DAE"/>
    <w:rsid w:val="003775DC"/>
    <w:rsid w:val="00380C7C"/>
    <w:rsid w:val="0038177A"/>
    <w:rsid w:val="0038227D"/>
    <w:rsid w:val="0038435B"/>
    <w:rsid w:val="0038583D"/>
    <w:rsid w:val="003862A9"/>
    <w:rsid w:val="00392B57"/>
    <w:rsid w:val="00397B9F"/>
    <w:rsid w:val="003A0408"/>
    <w:rsid w:val="003A0744"/>
    <w:rsid w:val="003A5C40"/>
    <w:rsid w:val="003B0BF9"/>
    <w:rsid w:val="003B666B"/>
    <w:rsid w:val="003C67ED"/>
    <w:rsid w:val="003D0D12"/>
    <w:rsid w:val="003D0E12"/>
    <w:rsid w:val="003D16CC"/>
    <w:rsid w:val="003E0791"/>
    <w:rsid w:val="003E1D98"/>
    <w:rsid w:val="003E2319"/>
    <w:rsid w:val="003F05BA"/>
    <w:rsid w:val="003F28AC"/>
    <w:rsid w:val="003F719A"/>
    <w:rsid w:val="00406ABF"/>
    <w:rsid w:val="00407FC1"/>
    <w:rsid w:val="00412348"/>
    <w:rsid w:val="00413481"/>
    <w:rsid w:val="00426A96"/>
    <w:rsid w:val="00427AE3"/>
    <w:rsid w:val="00430DAB"/>
    <w:rsid w:val="00434D1F"/>
    <w:rsid w:val="00435B09"/>
    <w:rsid w:val="00441280"/>
    <w:rsid w:val="00441D4E"/>
    <w:rsid w:val="00441DEB"/>
    <w:rsid w:val="004454FE"/>
    <w:rsid w:val="00450F9C"/>
    <w:rsid w:val="004536EC"/>
    <w:rsid w:val="00454CE8"/>
    <w:rsid w:val="00455B94"/>
    <w:rsid w:val="00456B50"/>
    <w:rsid w:val="00456E40"/>
    <w:rsid w:val="00457D34"/>
    <w:rsid w:val="00463306"/>
    <w:rsid w:val="00464AD8"/>
    <w:rsid w:val="00464B75"/>
    <w:rsid w:val="00471F27"/>
    <w:rsid w:val="00473EB3"/>
    <w:rsid w:val="00475794"/>
    <w:rsid w:val="00482A9D"/>
    <w:rsid w:val="00495F55"/>
    <w:rsid w:val="0049789F"/>
    <w:rsid w:val="004A4633"/>
    <w:rsid w:val="004D4280"/>
    <w:rsid w:val="004D5B16"/>
    <w:rsid w:val="004D5B50"/>
    <w:rsid w:val="004D77EB"/>
    <w:rsid w:val="004E0DEF"/>
    <w:rsid w:val="004E239A"/>
    <w:rsid w:val="004E2496"/>
    <w:rsid w:val="004E34FB"/>
    <w:rsid w:val="0050178F"/>
    <w:rsid w:val="00507A0F"/>
    <w:rsid w:val="00513DBE"/>
    <w:rsid w:val="00525B2A"/>
    <w:rsid w:val="00527571"/>
    <w:rsid w:val="005338AD"/>
    <w:rsid w:val="00535D66"/>
    <w:rsid w:val="005361CA"/>
    <w:rsid w:val="0054083C"/>
    <w:rsid w:val="00543E93"/>
    <w:rsid w:val="00550103"/>
    <w:rsid w:val="00563131"/>
    <w:rsid w:val="00564750"/>
    <w:rsid w:val="00572F8A"/>
    <w:rsid w:val="0057652F"/>
    <w:rsid w:val="00576CEF"/>
    <w:rsid w:val="005809AD"/>
    <w:rsid w:val="005820C6"/>
    <w:rsid w:val="00587EDB"/>
    <w:rsid w:val="00595B86"/>
    <w:rsid w:val="00596557"/>
    <w:rsid w:val="005A2385"/>
    <w:rsid w:val="005A7485"/>
    <w:rsid w:val="005B0D81"/>
    <w:rsid w:val="005B2DFE"/>
    <w:rsid w:val="005B308F"/>
    <w:rsid w:val="005C77D3"/>
    <w:rsid w:val="005C77F6"/>
    <w:rsid w:val="005D6937"/>
    <w:rsid w:val="005D7B55"/>
    <w:rsid w:val="005F3403"/>
    <w:rsid w:val="005F4957"/>
    <w:rsid w:val="005F69C1"/>
    <w:rsid w:val="005F6D91"/>
    <w:rsid w:val="00603A1D"/>
    <w:rsid w:val="00605E6D"/>
    <w:rsid w:val="00606288"/>
    <w:rsid w:val="006077DE"/>
    <w:rsid w:val="0061326D"/>
    <w:rsid w:val="00614000"/>
    <w:rsid w:val="0061497B"/>
    <w:rsid w:val="0061748F"/>
    <w:rsid w:val="00621EB9"/>
    <w:rsid w:val="0062375B"/>
    <w:rsid w:val="00630E0A"/>
    <w:rsid w:val="0063114B"/>
    <w:rsid w:val="00635722"/>
    <w:rsid w:val="00637099"/>
    <w:rsid w:val="00637EF8"/>
    <w:rsid w:val="006514F6"/>
    <w:rsid w:val="00655F2C"/>
    <w:rsid w:val="00656A4E"/>
    <w:rsid w:val="00660E0F"/>
    <w:rsid w:val="00672E5B"/>
    <w:rsid w:val="00674374"/>
    <w:rsid w:val="00683C78"/>
    <w:rsid w:val="006A3B68"/>
    <w:rsid w:val="006B008C"/>
    <w:rsid w:val="006B1B4A"/>
    <w:rsid w:val="006C02F1"/>
    <w:rsid w:val="006C129A"/>
    <w:rsid w:val="006C36A4"/>
    <w:rsid w:val="006C3F73"/>
    <w:rsid w:val="006C7B25"/>
    <w:rsid w:val="006D0DFC"/>
    <w:rsid w:val="006D4090"/>
    <w:rsid w:val="006D6980"/>
    <w:rsid w:val="006D7789"/>
    <w:rsid w:val="006E1081"/>
    <w:rsid w:val="006E3BAE"/>
    <w:rsid w:val="006E41D2"/>
    <w:rsid w:val="006E7558"/>
    <w:rsid w:val="006E7E1F"/>
    <w:rsid w:val="006F01A7"/>
    <w:rsid w:val="006F03CF"/>
    <w:rsid w:val="006F4AC9"/>
    <w:rsid w:val="006F4D60"/>
    <w:rsid w:val="00700C19"/>
    <w:rsid w:val="00702049"/>
    <w:rsid w:val="0070222E"/>
    <w:rsid w:val="00704DC4"/>
    <w:rsid w:val="00707FA7"/>
    <w:rsid w:val="00714848"/>
    <w:rsid w:val="00715DE1"/>
    <w:rsid w:val="007171EC"/>
    <w:rsid w:val="00720585"/>
    <w:rsid w:val="00721260"/>
    <w:rsid w:val="0072798D"/>
    <w:rsid w:val="00735C3E"/>
    <w:rsid w:val="00736A21"/>
    <w:rsid w:val="007371BE"/>
    <w:rsid w:val="00737624"/>
    <w:rsid w:val="007401E7"/>
    <w:rsid w:val="00740E37"/>
    <w:rsid w:val="0074685D"/>
    <w:rsid w:val="007469AE"/>
    <w:rsid w:val="007473C8"/>
    <w:rsid w:val="00747598"/>
    <w:rsid w:val="007540BD"/>
    <w:rsid w:val="00756B4E"/>
    <w:rsid w:val="00760EA4"/>
    <w:rsid w:val="007731E8"/>
    <w:rsid w:val="00773AF6"/>
    <w:rsid w:val="00774672"/>
    <w:rsid w:val="00787CEC"/>
    <w:rsid w:val="00795F71"/>
    <w:rsid w:val="00797673"/>
    <w:rsid w:val="007A0E40"/>
    <w:rsid w:val="007A3256"/>
    <w:rsid w:val="007B5BA2"/>
    <w:rsid w:val="007C04F9"/>
    <w:rsid w:val="007C529B"/>
    <w:rsid w:val="007C7246"/>
    <w:rsid w:val="007D3E3C"/>
    <w:rsid w:val="007E0706"/>
    <w:rsid w:val="007E3F3E"/>
    <w:rsid w:val="007E5E23"/>
    <w:rsid w:val="007E5F7A"/>
    <w:rsid w:val="007E6FFB"/>
    <w:rsid w:val="007E73AB"/>
    <w:rsid w:val="007F0295"/>
    <w:rsid w:val="007F3312"/>
    <w:rsid w:val="00802A13"/>
    <w:rsid w:val="00816C11"/>
    <w:rsid w:val="0081734F"/>
    <w:rsid w:val="00817988"/>
    <w:rsid w:val="00820266"/>
    <w:rsid w:val="00827DCC"/>
    <w:rsid w:val="00833211"/>
    <w:rsid w:val="00836B14"/>
    <w:rsid w:val="008413DF"/>
    <w:rsid w:val="00843829"/>
    <w:rsid w:val="00846CF0"/>
    <w:rsid w:val="00847825"/>
    <w:rsid w:val="00853110"/>
    <w:rsid w:val="00854478"/>
    <w:rsid w:val="0085587E"/>
    <w:rsid w:val="00862A06"/>
    <w:rsid w:val="0086370A"/>
    <w:rsid w:val="00864743"/>
    <w:rsid w:val="008648E0"/>
    <w:rsid w:val="00867526"/>
    <w:rsid w:val="00872691"/>
    <w:rsid w:val="00874C4F"/>
    <w:rsid w:val="00875108"/>
    <w:rsid w:val="00882088"/>
    <w:rsid w:val="008945C0"/>
    <w:rsid w:val="00894C55"/>
    <w:rsid w:val="00895093"/>
    <w:rsid w:val="008971DA"/>
    <w:rsid w:val="008A0D3A"/>
    <w:rsid w:val="008A4459"/>
    <w:rsid w:val="008A51B0"/>
    <w:rsid w:val="008A61A7"/>
    <w:rsid w:val="008B58CD"/>
    <w:rsid w:val="008B7A7E"/>
    <w:rsid w:val="008C5D8B"/>
    <w:rsid w:val="008D4A8B"/>
    <w:rsid w:val="008D531E"/>
    <w:rsid w:val="008E170E"/>
    <w:rsid w:val="008E3F78"/>
    <w:rsid w:val="00904943"/>
    <w:rsid w:val="009055C7"/>
    <w:rsid w:val="009064FA"/>
    <w:rsid w:val="00907468"/>
    <w:rsid w:val="00912440"/>
    <w:rsid w:val="00913165"/>
    <w:rsid w:val="00923AE5"/>
    <w:rsid w:val="00923B83"/>
    <w:rsid w:val="00924C7C"/>
    <w:rsid w:val="00925B35"/>
    <w:rsid w:val="0092678B"/>
    <w:rsid w:val="00926DBD"/>
    <w:rsid w:val="00927256"/>
    <w:rsid w:val="009304AD"/>
    <w:rsid w:val="00941EDC"/>
    <w:rsid w:val="009431E0"/>
    <w:rsid w:val="00944628"/>
    <w:rsid w:val="00946833"/>
    <w:rsid w:val="00950D82"/>
    <w:rsid w:val="00951BFA"/>
    <w:rsid w:val="009536A7"/>
    <w:rsid w:val="00953C9B"/>
    <w:rsid w:val="00953F53"/>
    <w:rsid w:val="00955BD8"/>
    <w:rsid w:val="009565D7"/>
    <w:rsid w:val="009627FA"/>
    <w:rsid w:val="00963881"/>
    <w:rsid w:val="009658C6"/>
    <w:rsid w:val="00972D23"/>
    <w:rsid w:val="00982CA3"/>
    <w:rsid w:val="009830A7"/>
    <w:rsid w:val="009840F9"/>
    <w:rsid w:val="00993EA8"/>
    <w:rsid w:val="00996FDF"/>
    <w:rsid w:val="009A06C6"/>
    <w:rsid w:val="009A2654"/>
    <w:rsid w:val="009A30AC"/>
    <w:rsid w:val="009A6BD4"/>
    <w:rsid w:val="009B5D55"/>
    <w:rsid w:val="009B6F4B"/>
    <w:rsid w:val="009D0FD3"/>
    <w:rsid w:val="009D2080"/>
    <w:rsid w:val="009D399B"/>
    <w:rsid w:val="009D79D5"/>
    <w:rsid w:val="009E0257"/>
    <w:rsid w:val="009E588A"/>
    <w:rsid w:val="009F2B9F"/>
    <w:rsid w:val="009F640B"/>
    <w:rsid w:val="00A033B7"/>
    <w:rsid w:val="00A0388E"/>
    <w:rsid w:val="00A03D6A"/>
    <w:rsid w:val="00A10FC3"/>
    <w:rsid w:val="00A16730"/>
    <w:rsid w:val="00A17601"/>
    <w:rsid w:val="00A23B30"/>
    <w:rsid w:val="00A24139"/>
    <w:rsid w:val="00A252DA"/>
    <w:rsid w:val="00A32F17"/>
    <w:rsid w:val="00A40858"/>
    <w:rsid w:val="00A41C68"/>
    <w:rsid w:val="00A55CFD"/>
    <w:rsid w:val="00A6073E"/>
    <w:rsid w:val="00A64D82"/>
    <w:rsid w:val="00A64FAE"/>
    <w:rsid w:val="00A65199"/>
    <w:rsid w:val="00A662A2"/>
    <w:rsid w:val="00A71D18"/>
    <w:rsid w:val="00A73061"/>
    <w:rsid w:val="00A74E89"/>
    <w:rsid w:val="00A77E2F"/>
    <w:rsid w:val="00A77EBB"/>
    <w:rsid w:val="00A8174C"/>
    <w:rsid w:val="00A821BA"/>
    <w:rsid w:val="00A83621"/>
    <w:rsid w:val="00A91FA4"/>
    <w:rsid w:val="00A93BE0"/>
    <w:rsid w:val="00A943D6"/>
    <w:rsid w:val="00A97BEC"/>
    <w:rsid w:val="00AA0A35"/>
    <w:rsid w:val="00AA19A3"/>
    <w:rsid w:val="00AA4B0E"/>
    <w:rsid w:val="00AA4F23"/>
    <w:rsid w:val="00AB4336"/>
    <w:rsid w:val="00AB7320"/>
    <w:rsid w:val="00AC010A"/>
    <w:rsid w:val="00AC29C5"/>
    <w:rsid w:val="00AC2C3D"/>
    <w:rsid w:val="00AC38AE"/>
    <w:rsid w:val="00AC6555"/>
    <w:rsid w:val="00AC6F62"/>
    <w:rsid w:val="00AD2741"/>
    <w:rsid w:val="00AD610A"/>
    <w:rsid w:val="00AE1135"/>
    <w:rsid w:val="00AE4436"/>
    <w:rsid w:val="00AE5567"/>
    <w:rsid w:val="00AE5C13"/>
    <w:rsid w:val="00AE5CAF"/>
    <w:rsid w:val="00AF1239"/>
    <w:rsid w:val="00AF357F"/>
    <w:rsid w:val="00AF37EB"/>
    <w:rsid w:val="00AF7D31"/>
    <w:rsid w:val="00B006DF"/>
    <w:rsid w:val="00B02A8D"/>
    <w:rsid w:val="00B06B8A"/>
    <w:rsid w:val="00B126E2"/>
    <w:rsid w:val="00B16480"/>
    <w:rsid w:val="00B2165C"/>
    <w:rsid w:val="00B21A39"/>
    <w:rsid w:val="00B26ACC"/>
    <w:rsid w:val="00B3004B"/>
    <w:rsid w:val="00B32642"/>
    <w:rsid w:val="00B34677"/>
    <w:rsid w:val="00B34D56"/>
    <w:rsid w:val="00B50E7E"/>
    <w:rsid w:val="00B55E1D"/>
    <w:rsid w:val="00B57485"/>
    <w:rsid w:val="00B67FDD"/>
    <w:rsid w:val="00B74477"/>
    <w:rsid w:val="00B768D7"/>
    <w:rsid w:val="00B774B3"/>
    <w:rsid w:val="00B82B02"/>
    <w:rsid w:val="00B82CC9"/>
    <w:rsid w:val="00B85161"/>
    <w:rsid w:val="00B863A8"/>
    <w:rsid w:val="00B86576"/>
    <w:rsid w:val="00B86FA5"/>
    <w:rsid w:val="00B87892"/>
    <w:rsid w:val="00B90587"/>
    <w:rsid w:val="00B926E2"/>
    <w:rsid w:val="00B94D13"/>
    <w:rsid w:val="00BA0559"/>
    <w:rsid w:val="00BA20AA"/>
    <w:rsid w:val="00BA48E5"/>
    <w:rsid w:val="00BC0178"/>
    <w:rsid w:val="00BC2758"/>
    <w:rsid w:val="00BC584B"/>
    <w:rsid w:val="00BC720E"/>
    <w:rsid w:val="00BC7CF7"/>
    <w:rsid w:val="00BD4425"/>
    <w:rsid w:val="00BE2C47"/>
    <w:rsid w:val="00BE2DF8"/>
    <w:rsid w:val="00BE4652"/>
    <w:rsid w:val="00BF112D"/>
    <w:rsid w:val="00BF4F08"/>
    <w:rsid w:val="00C02817"/>
    <w:rsid w:val="00C14319"/>
    <w:rsid w:val="00C22FA3"/>
    <w:rsid w:val="00C25B49"/>
    <w:rsid w:val="00C2616A"/>
    <w:rsid w:val="00C324FD"/>
    <w:rsid w:val="00C329BC"/>
    <w:rsid w:val="00C33CDE"/>
    <w:rsid w:val="00C400AB"/>
    <w:rsid w:val="00C41171"/>
    <w:rsid w:val="00C411C0"/>
    <w:rsid w:val="00C51D96"/>
    <w:rsid w:val="00C54DC8"/>
    <w:rsid w:val="00C564A3"/>
    <w:rsid w:val="00C60451"/>
    <w:rsid w:val="00C628CB"/>
    <w:rsid w:val="00C670A2"/>
    <w:rsid w:val="00C734B8"/>
    <w:rsid w:val="00C812CE"/>
    <w:rsid w:val="00C97D45"/>
    <w:rsid w:val="00CB700D"/>
    <w:rsid w:val="00CC0D2D"/>
    <w:rsid w:val="00CC17BF"/>
    <w:rsid w:val="00CC2395"/>
    <w:rsid w:val="00CC46A5"/>
    <w:rsid w:val="00CC5B60"/>
    <w:rsid w:val="00CD53C8"/>
    <w:rsid w:val="00CD608A"/>
    <w:rsid w:val="00CE2AF7"/>
    <w:rsid w:val="00CE5657"/>
    <w:rsid w:val="00CE6332"/>
    <w:rsid w:val="00CF30C4"/>
    <w:rsid w:val="00CF3C3F"/>
    <w:rsid w:val="00CF3EFA"/>
    <w:rsid w:val="00CF43EF"/>
    <w:rsid w:val="00D05958"/>
    <w:rsid w:val="00D10711"/>
    <w:rsid w:val="00D12E6B"/>
    <w:rsid w:val="00D133F8"/>
    <w:rsid w:val="00D1441B"/>
    <w:rsid w:val="00D14A3E"/>
    <w:rsid w:val="00D16F63"/>
    <w:rsid w:val="00D17739"/>
    <w:rsid w:val="00D219B0"/>
    <w:rsid w:val="00D26B98"/>
    <w:rsid w:val="00D27FF7"/>
    <w:rsid w:val="00D404FC"/>
    <w:rsid w:val="00D406D7"/>
    <w:rsid w:val="00D564D3"/>
    <w:rsid w:val="00D60D1A"/>
    <w:rsid w:val="00D62073"/>
    <w:rsid w:val="00D63AED"/>
    <w:rsid w:val="00D64590"/>
    <w:rsid w:val="00D70C6B"/>
    <w:rsid w:val="00D8599C"/>
    <w:rsid w:val="00D877B6"/>
    <w:rsid w:val="00D91097"/>
    <w:rsid w:val="00DA4659"/>
    <w:rsid w:val="00DB1351"/>
    <w:rsid w:val="00DC4A48"/>
    <w:rsid w:val="00DD361D"/>
    <w:rsid w:val="00DD3D4A"/>
    <w:rsid w:val="00DE4BB5"/>
    <w:rsid w:val="00DE7BBD"/>
    <w:rsid w:val="00DF51D4"/>
    <w:rsid w:val="00E004A5"/>
    <w:rsid w:val="00E0062A"/>
    <w:rsid w:val="00E05040"/>
    <w:rsid w:val="00E05E3F"/>
    <w:rsid w:val="00E12549"/>
    <w:rsid w:val="00E13E2C"/>
    <w:rsid w:val="00E15C65"/>
    <w:rsid w:val="00E26398"/>
    <w:rsid w:val="00E3033C"/>
    <w:rsid w:val="00E31C29"/>
    <w:rsid w:val="00E32CDC"/>
    <w:rsid w:val="00E34477"/>
    <w:rsid w:val="00E34752"/>
    <w:rsid w:val="00E34BF3"/>
    <w:rsid w:val="00E3698A"/>
    <w:rsid w:val="00E3716B"/>
    <w:rsid w:val="00E376AC"/>
    <w:rsid w:val="00E408A7"/>
    <w:rsid w:val="00E40FC7"/>
    <w:rsid w:val="00E50BBD"/>
    <w:rsid w:val="00E5323B"/>
    <w:rsid w:val="00E61144"/>
    <w:rsid w:val="00E62954"/>
    <w:rsid w:val="00E62E09"/>
    <w:rsid w:val="00E67E4D"/>
    <w:rsid w:val="00E72F6E"/>
    <w:rsid w:val="00E752A5"/>
    <w:rsid w:val="00E83C5C"/>
    <w:rsid w:val="00E8749E"/>
    <w:rsid w:val="00E90C01"/>
    <w:rsid w:val="00E95DDF"/>
    <w:rsid w:val="00E9645F"/>
    <w:rsid w:val="00EA2719"/>
    <w:rsid w:val="00EA486E"/>
    <w:rsid w:val="00EB149F"/>
    <w:rsid w:val="00EB3B82"/>
    <w:rsid w:val="00EC1016"/>
    <w:rsid w:val="00EC381B"/>
    <w:rsid w:val="00EC7079"/>
    <w:rsid w:val="00ED237D"/>
    <w:rsid w:val="00ED4296"/>
    <w:rsid w:val="00ED5D59"/>
    <w:rsid w:val="00EE58C6"/>
    <w:rsid w:val="00EE7B73"/>
    <w:rsid w:val="00EF1380"/>
    <w:rsid w:val="00EF1954"/>
    <w:rsid w:val="00EF25D6"/>
    <w:rsid w:val="00F02069"/>
    <w:rsid w:val="00F047EE"/>
    <w:rsid w:val="00F14CB2"/>
    <w:rsid w:val="00F17BB6"/>
    <w:rsid w:val="00F2412D"/>
    <w:rsid w:val="00F249C6"/>
    <w:rsid w:val="00F303B7"/>
    <w:rsid w:val="00F35FE9"/>
    <w:rsid w:val="00F37945"/>
    <w:rsid w:val="00F40FBD"/>
    <w:rsid w:val="00F44EF0"/>
    <w:rsid w:val="00F45329"/>
    <w:rsid w:val="00F45C4A"/>
    <w:rsid w:val="00F57B0C"/>
    <w:rsid w:val="00F619F0"/>
    <w:rsid w:val="00F64966"/>
    <w:rsid w:val="00F656EE"/>
    <w:rsid w:val="00F713F6"/>
    <w:rsid w:val="00F75604"/>
    <w:rsid w:val="00F770DC"/>
    <w:rsid w:val="00F77B77"/>
    <w:rsid w:val="00F8009A"/>
    <w:rsid w:val="00F81FDA"/>
    <w:rsid w:val="00F841CC"/>
    <w:rsid w:val="00F84705"/>
    <w:rsid w:val="00F9066F"/>
    <w:rsid w:val="00FA0FD0"/>
    <w:rsid w:val="00FA6D75"/>
    <w:rsid w:val="00FA7BA7"/>
    <w:rsid w:val="00FB1B85"/>
    <w:rsid w:val="00FB2E97"/>
    <w:rsid w:val="00FB56A3"/>
    <w:rsid w:val="00FC0B7B"/>
    <w:rsid w:val="00FC75A3"/>
    <w:rsid w:val="00FD1137"/>
    <w:rsid w:val="00FD413F"/>
    <w:rsid w:val="00FD73AB"/>
    <w:rsid w:val="00FE629A"/>
    <w:rsid w:val="00FE7247"/>
    <w:rsid w:val="00FE789A"/>
    <w:rsid w:val="00FF1B54"/>
    <w:rsid w:val="00FF552E"/>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03ABD448-06B8-4971-A62B-EF19B68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2798D"/>
    <w:rPr>
      <w:sz w:val="16"/>
      <w:szCs w:val="16"/>
    </w:rPr>
  </w:style>
  <w:style w:type="paragraph" w:styleId="CommentText">
    <w:name w:val="annotation text"/>
    <w:basedOn w:val="Normal"/>
    <w:link w:val="CommentTextChar"/>
    <w:uiPriority w:val="99"/>
    <w:semiHidden/>
    <w:unhideWhenUsed/>
    <w:rsid w:val="0072798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798D"/>
    <w:rPr>
      <w:sz w:val="20"/>
      <w:szCs w:val="20"/>
    </w:rPr>
  </w:style>
  <w:style w:type="paragraph" w:styleId="ListParagraph">
    <w:name w:val="List Paragraph"/>
    <w:basedOn w:val="Normal"/>
    <w:uiPriority w:val="34"/>
    <w:qFormat/>
    <w:rsid w:val="00FB56A3"/>
    <w:pPr>
      <w:ind w:left="720"/>
      <w:contextualSpacing/>
    </w:pPr>
  </w:style>
  <w:style w:type="paragraph" w:customStyle="1" w:styleId="xmsonormal">
    <w:name w:val="x_msonormal"/>
    <w:basedOn w:val="Normal"/>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DA"/>
    <w:rPr>
      <w:sz w:val="20"/>
      <w:szCs w:val="20"/>
    </w:rPr>
  </w:style>
  <w:style w:type="character" w:styleId="FootnoteReference">
    <w:name w:val="footnote reference"/>
    <w:basedOn w:val="DefaultParagraphFont"/>
    <w:uiPriority w:val="99"/>
    <w:semiHidden/>
    <w:unhideWhenUsed/>
    <w:rsid w:val="008971DA"/>
    <w:rPr>
      <w:vertAlign w:val="superscript"/>
    </w:rPr>
  </w:style>
  <w:style w:type="character" w:customStyle="1" w:styleId="UnresolvedMention">
    <w:name w:val="Unresolved Mention"/>
    <w:basedOn w:val="DefaultParagraphFont"/>
    <w:uiPriority w:val="99"/>
    <w:semiHidden/>
    <w:unhideWhenUsed/>
    <w:rsid w:val="00B12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EEFC-E047-498B-AEA8-2BBFC1CB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29321</Words>
  <Characters>16714</Characters>
  <Application>Microsoft Office Word</Application>
  <DocSecurity>0</DocSecurity>
  <Lines>139</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Kristīna Brūvere</cp:lastModifiedBy>
  <cp:revision>5</cp:revision>
  <cp:lastPrinted>2018-07-11T13:14:00Z</cp:lastPrinted>
  <dcterms:created xsi:type="dcterms:W3CDTF">2018-08-02T11:30:00Z</dcterms:created>
  <dcterms:modified xsi:type="dcterms:W3CDTF">2018-08-02T13:32:00Z</dcterms:modified>
</cp:coreProperties>
</file>