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0853D" w14:textId="77777777" w:rsidR="00856079" w:rsidRPr="009232AB" w:rsidRDefault="00856079" w:rsidP="00856079">
      <w:pPr>
        <w:keepNext/>
        <w:jc w:val="center"/>
        <w:outlineLvl w:val="1"/>
        <w:rPr>
          <w:b/>
          <w:bCs/>
          <w:iCs/>
          <w:sz w:val="28"/>
        </w:rPr>
      </w:pPr>
      <w:bookmarkStart w:id="0" w:name="OLE_LINK6"/>
      <w:bookmarkStart w:id="1" w:name="OLE_LINK7"/>
      <w:r w:rsidRPr="009232AB">
        <w:rPr>
          <w:b/>
          <w:bCs/>
          <w:iCs/>
          <w:sz w:val="28"/>
        </w:rPr>
        <w:t xml:space="preserve">Ministru kabineta noteikumu projekta </w:t>
      </w:r>
    </w:p>
    <w:p w14:paraId="2D041F7F" w14:textId="77777777" w:rsidR="00F5342E" w:rsidRPr="009232AB" w:rsidRDefault="0008058D" w:rsidP="00A34620">
      <w:pPr>
        <w:jc w:val="center"/>
        <w:rPr>
          <w:b/>
          <w:bCs/>
          <w:sz w:val="28"/>
        </w:rPr>
      </w:pPr>
      <w:r w:rsidRPr="0008058D">
        <w:rPr>
          <w:b/>
          <w:bCs/>
          <w:sz w:val="28"/>
        </w:rPr>
        <w:t>“Grozījumi Ministru kabineta 2017. gada 16. augusta noteikumos Nr. 485 “Valsts un Eiropas Savienības atbalsta piešķiršanas, administrēšanas un uzraudzības kārtība augļu, dārzeņu un piena piegādei izglītības iestādēm””</w:t>
      </w:r>
      <w:r w:rsidR="00F5342E" w:rsidRPr="009232AB">
        <w:rPr>
          <w:b/>
          <w:bCs/>
          <w:sz w:val="28"/>
        </w:rPr>
        <w:t xml:space="preserve"> </w:t>
      </w:r>
    </w:p>
    <w:p w14:paraId="123916AB" w14:textId="77777777" w:rsidR="00856079" w:rsidRPr="009232AB" w:rsidRDefault="00856079" w:rsidP="00953E8D">
      <w:pPr>
        <w:jc w:val="center"/>
        <w:rPr>
          <w:b/>
          <w:sz w:val="28"/>
          <w:lang w:eastAsia="en-US"/>
        </w:rPr>
      </w:pPr>
      <w:r w:rsidRPr="009232AB">
        <w:rPr>
          <w:b/>
          <w:sz w:val="28"/>
          <w:lang w:eastAsia="en-US"/>
        </w:rPr>
        <w:t>sākotnējās ietekmes novērtējuma ziņojums (anotācija</w:t>
      </w:r>
      <w:bookmarkEnd w:id="0"/>
      <w:bookmarkEnd w:id="1"/>
      <w:r w:rsidRPr="009232AB">
        <w:rPr>
          <w:b/>
          <w:sz w:val="28"/>
          <w:lang w:eastAsia="en-US"/>
        </w:rPr>
        <w:t>)</w:t>
      </w:r>
    </w:p>
    <w:p w14:paraId="33275532" w14:textId="77777777" w:rsidR="00882958" w:rsidRPr="00C935F7" w:rsidRDefault="00882958" w:rsidP="00953E8D">
      <w:pPr>
        <w:jc w:val="center"/>
        <w:rPr>
          <w:b/>
          <w:lang w:eastAsia="en-US"/>
        </w:rPr>
      </w:pPr>
    </w:p>
    <w:tbl>
      <w:tblPr>
        <w:tblW w:w="4918" w:type="pct"/>
        <w:tblInd w:w="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03"/>
        <w:gridCol w:w="4603"/>
      </w:tblGrid>
      <w:tr w:rsidR="000C13C6" w:rsidRPr="004C094F" w14:paraId="124C6DC2" w14:textId="77777777" w:rsidTr="000C13C6">
        <w:tc>
          <w:tcPr>
            <w:tcW w:w="0" w:type="auto"/>
            <w:gridSpan w:val="2"/>
            <w:tcBorders>
              <w:top w:val="single" w:sz="6" w:space="0" w:color="auto"/>
              <w:left w:val="single" w:sz="6" w:space="0" w:color="auto"/>
              <w:bottom w:val="outset" w:sz="6" w:space="0" w:color="000000"/>
              <w:right w:val="single" w:sz="6" w:space="0" w:color="auto"/>
            </w:tcBorders>
            <w:vAlign w:val="center"/>
          </w:tcPr>
          <w:p w14:paraId="06FC260D" w14:textId="77777777" w:rsidR="000C13C6" w:rsidRPr="004C094F" w:rsidRDefault="000C13C6" w:rsidP="005F4748">
            <w:pPr>
              <w:jc w:val="center"/>
              <w:rPr>
                <w:b/>
                <w:bCs/>
                <w:color w:val="000000"/>
              </w:rPr>
            </w:pPr>
            <w:r w:rsidRPr="008D6FF8">
              <w:rPr>
                <w:b/>
                <w:bCs/>
                <w:color w:val="000000"/>
              </w:rPr>
              <w:t>Tiesību akta projekta anotācijas kopsavilkums</w:t>
            </w:r>
          </w:p>
        </w:tc>
      </w:tr>
      <w:tr w:rsidR="000C13C6" w:rsidRPr="004C094F" w14:paraId="0157579B" w14:textId="77777777" w:rsidTr="00B15D31">
        <w:trPr>
          <w:trHeight w:val="406"/>
        </w:trPr>
        <w:tc>
          <w:tcPr>
            <w:tcW w:w="2416" w:type="pct"/>
            <w:tcBorders>
              <w:top w:val="outset" w:sz="6" w:space="0" w:color="000000"/>
              <w:left w:val="outset" w:sz="6" w:space="0" w:color="000000"/>
              <w:bottom w:val="single" w:sz="4" w:space="0" w:color="auto"/>
              <w:right w:val="outset" w:sz="6" w:space="0" w:color="000000"/>
            </w:tcBorders>
          </w:tcPr>
          <w:p w14:paraId="191B6553" w14:textId="77777777" w:rsidR="000C13C6" w:rsidRPr="004C094F" w:rsidRDefault="000C13C6" w:rsidP="005F4748">
            <w:pPr>
              <w:rPr>
                <w:color w:val="000000"/>
              </w:rPr>
            </w:pPr>
            <w:r w:rsidRPr="00241978">
              <w:rPr>
                <w:iCs/>
              </w:rPr>
              <w:t>Mērķis, risinājums un projekta spēkā stāšanās laiks (500 zīmes bez atstarpēm)</w:t>
            </w:r>
          </w:p>
        </w:tc>
        <w:tc>
          <w:tcPr>
            <w:tcW w:w="2584" w:type="pct"/>
            <w:tcBorders>
              <w:top w:val="outset" w:sz="6" w:space="0" w:color="000000"/>
              <w:left w:val="outset" w:sz="6" w:space="0" w:color="000000"/>
              <w:bottom w:val="outset" w:sz="6" w:space="0" w:color="000000"/>
              <w:right w:val="outset" w:sz="6" w:space="0" w:color="000000"/>
            </w:tcBorders>
          </w:tcPr>
          <w:p w14:paraId="595E5FDF" w14:textId="33E85F5B" w:rsidR="000E289C" w:rsidRDefault="000E289C" w:rsidP="000E289C">
            <w:pPr>
              <w:jc w:val="both"/>
              <w:rPr>
                <w:iCs/>
              </w:rPr>
            </w:pPr>
            <w:r w:rsidRPr="00797A21">
              <w:rPr>
                <w:iCs/>
              </w:rPr>
              <w:t xml:space="preserve">Noteikumu projekts paredz grozīt nosacījumus </w:t>
            </w:r>
            <w:r>
              <w:rPr>
                <w:iCs/>
              </w:rPr>
              <w:t>Eiropas Savienības normatīvajos aktos noteiktās atbalsta programmas skolu apgādei ar augļiem, dārzeņiem un pienu (turpmāk – atbalsta programma) ieviešanai Latvijā, novēršot atbalsta programmas pirmajā darbības gadā (2017./2018. mācību gad</w:t>
            </w:r>
            <w:r w:rsidR="004F16FE">
              <w:rPr>
                <w:iCs/>
              </w:rPr>
              <w:t>ā</w:t>
            </w:r>
            <w:r>
              <w:rPr>
                <w:iCs/>
              </w:rPr>
              <w:t xml:space="preserve">) konstatētās nepilnības, kas mazināja atbalsta programmas pievilcību un interesi par programmu. </w:t>
            </w:r>
          </w:p>
          <w:p w14:paraId="1490D59A" w14:textId="77777777" w:rsidR="000E289C" w:rsidRPr="00DE3C03" w:rsidRDefault="000E289C" w:rsidP="000E289C">
            <w:pPr>
              <w:jc w:val="both"/>
              <w:rPr>
                <w:iCs/>
              </w:rPr>
            </w:pPr>
            <w:r>
              <w:rPr>
                <w:iCs/>
              </w:rPr>
              <w:t xml:space="preserve">Noteikumu projekts arī precizē atsevišķu atbalsta programmas nosacījumu piemērošanu, lai atbalsta programmā iesaistītajām personām nodrošinātu nepārprotamus un skaidrus noteikumus. </w:t>
            </w:r>
          </w:p>
          <w:p w14:paraId="7AD96728" w14:textId="678A4E0D" w:rsidR="00367F87" w:rsidRPr="000E289C" w:rsidRDefault="000E289C" w:rsidP="000E289C">
            <w:pPr>
              <w:jc w:val="both"/>
            </w:pPr>
            <w:r w:rsidRPr="00DE3C03">
              <w:rPr>
                <w:iCs/>
              </w:rPr>
              <w:t>P</w:t>
            </w:r>
            <w:r w:rsidRPr="00797A21">
              <w:t>aredzēts, ka noteikumu projekts stāsies spēkā pēc tā pieņemšanas.</w:t>
            </w:r>
          </w:p>
        </w:tc>
      </w:tr>
    </w:tbl>
    <w:p w14:paraId="0EC88258" w14:textId="77777777" w:rsidR="000C13C6" w:rsidRDefault="000C13C6" w:rsidP="00953E8D">
      <w:pPr>
        <w:jc w:val="center"/>
        <w:rPr>
          <w:sz w:val="28"/>
          <w:szCs w:val="28"/>
          <w:lang w:eastAsia="en-US"/>
        </w:rPr>
      </w:pPr>
    </w:p>
    <w:p w14:paraId="3D3D23D1" w14:textId="77777777" w:rsidR="000C13C6" w:rsidRPr="005B5AC4" w:rsidRDefault="000C13C6"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5AB63A46"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D93D098"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21A717FF" w14:textId="77777777" w:rsidTr="000C13C6">
        <w:tc>
          <w:tcPr>
            <w:tcW w:w="231" w:type="pct"/>
            <w:tcBorders>
              <w:top w:val="outset" w:sz="6" w:space="0" w:color="000000"/>
              <w:left w:val="outset" w:sz="6" w:space="0" w:color="000000"/>
              <w:bottom w:val="outset" w:sz="6" w:space="0" w:color="000000"/>
              <w:right w:val="outset" w:sz="6" w:space="0" w:color="000000"/>
            </w:tcBorders>
          </w:tcPr>
          <w:p w14:paraId="1BE66E5E"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single" w:sz="4" w:space="0" w:color="auto"/>
              <w:right w:val="outset" w:sz="6" w:space="0" w:color="000000"/>
            </w:tcBorders>
          </w:tcPr>
          <w:p w14:paraId="7224C4F1"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440F7FD0" w14:textId="60FDF9D4" w:rsidR="009232AB" w:rsidRPr="004C094F" w:rsidRDefault="001C07BF" w:rsidP="00172BCD">
            <w:pPr>
              <w:rPr>
                <w:color w:val="000000"/>
              </w:rPr>
            </w:pPr>
            <w:r>
              <w:rPr>
                <w:iCs/>
                <w:color w:val="000000" w:themeColor="text1"/>
              </w:rPr>
              <w:t>Noteikum</w:t>
            </w:r>
            <w:r w:rsidR="00196B61">
              <w:rPr>
                <w:iCs/>
                <w:color w:val="000000" w:themeColor="text1"/>
              </w:rPr>
              <w:t>u</w:t>
            </w:r>
            <w:r>
              <w:rPr>
                <w:iCs/>
                <w:color w:val="000000" w:themeColor="text1"/>
              </w:rPr>
              <w:t xml:space="preserve"> projekts sagatavots atbilstoši </w:t>
            </w:r>
            <w:r w:rsidR="00874625" w:rsidRPr="00512ABB">
              <w:rPr>
                <w:iCs/>
                <w:color w:val="000000" w:themeColor="text1"/>
              </w:rPr>
              <w:t>Lauksaimniecības un</w:t>
            </w:r>
            <w:r w:rsidR="004C6E9E" w:rsidRPr="00512ABB">
              <w:rPr>
                <w:iCs/>
                <w:color w:val="000000" w:themeColor="text1"/>
              </w:rPr>
              <w:t xml:space="preserve"> </w:t>
            </w:r>
            <w:r w:rsidR="00874625" w:rsidRPr="00512ABB">
              <w:rPr>
                <w:iCs/>
                <w:color w:val="000000" w:themeColor="text1"/>
              </w:rPr>
              <w:t xml:space="preserve">lauku attīstības likuma </w:t>
            </w:r>
            <w:r>
              <w:rPr>
                <w:iCs/>
                <w:color w:val="000000" w:themeColor="text1"/>
              </w:rPr>
              <w:t>5. panta ceturtajai</w:t>
            </w:r>
            <w:r w:rsidR="00811B7F" w:rsidRPr="00811B7F">
              <w:rPr>
                <w:iCs/>
                <w:color w:val="000000" w:themeColor="text1"/>
              </w:rPr>
              <w:t xml:space="preserve"> </w:t>
            </w:r>
            <w:r w:rsidR="0008058D">
              <w:rPr>
                <w:iCs/>
                <w:color w:val="000000" w:themeColor="text1"/>
              </w:rPr>
              <w:t xml:space="preserve">un septītajai </w:t>
            </w:r>
            <w:r w:rsidR="00811B7F" w:rsidRPr="00811B7F">
              <w:rPr>
                <w:iCs/>
                <w:color w:val="000000" w:themeColor="text1"/>
              </w:rPr>
              <w:t>daļ</w:t>
            </w:r>
            <w:r>
              <w:rPr>
                <w:iCs/>
                <w:color w:val="000000" w:themeColor="text1"/>
              </w:rPr>
              <w:t>ai.</w:t>
            </w:r>
          </w:p>
        </w:tc>
      </w:tr>
      <w:tr w:rsidR="0030341E" w:rsidRPr="004C094F" w14:paraId="072849BB" w14:textId="77777777" w:rsidTr="000C13C6">
        <w:trPr>
          <w:trHeight w:val="806"/>
        </w:trPr>
        <w:tc>
          <w:tcPr>
            <w:tcW w:w="231" w:type="pct"/>
            <w:tcBorders>
              <w:top w:val="outset" w:sz="6" w:space="0" w:color="000000"/>
              <w:left w:val="outset" w:sz="6" w:space="0" w:color="000000"/>
              <w:bottom w:val="outset" w:sz="6" w:space="0" w:color="000000"/>
              <w:right w:val="single" w:sz="4" w:space="0" w:color="auto"/>
            </w:tcBorders>
          </w:tcPr>
          <w:p w14:paraId="2250456A" w14:textId="77777777" w:rsidR="0030341E" w:rsidRPr="004C094F" w:rsidRDefault="0030341E" w:rsidP="0030341E">
            <w:pPr>
              <w:rPr>
                <w:color w:val="000000"/>
              </w:rPr>
            </w:pPr>
            <w:r w:rsidRPr="004C094F">
              <w:rPr>
                <w:color w:val="000000"/>
              </w:rPr>
              <w:t>2.</w:t>
            </w:r>
          </w:p>
        </w:tc>
        <w:tc>
          <w:tcPr>
            <w:tcW w:w="1017" w:type="pct"/>
            <w:tcBorders>
              <w:top w:val="single" w:sz="4" w:space="0" w:color="auto"/>
              <w:left w:val="single" w:sz="4" w:space="0" w:color="auto"/>
              <w:bottom w:val="single" w:sz="4" w:space="0" w:color="auto"/>
              <w:right w:val="single" w:sz="4" w:space="0" w:color="auto"/>
            </w:tcBorders>
          </w:tcPr>
          <w:p w14:paraId="7C83BAB0"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649DE134" w14:textId="77777777" w:rsidR="00424D38" w:rsidRPr="00424D38" w:rsidRDefault="00424D38" w:rsidP="00424D38"/>
          <w:p w14:paraId="17D57E0E" w14:textId="77777777" w:rsidR="00424D38" w:rsidRPr="00424D38" w:rsidRDefault="00424D38" w:rsidP="00424D38"/>
          <w:p w14:paraId="7451A3B8" w14:textId="77777777" w:rsidR="00424D38" w:rsidRPr="00424D38" w:rsidRDefault="00424D38" w:rsidP="00424D38"/>
          <w:p w14:paraId="7B02B25E" w14:textId="77777777" w:rsidR="00424D38" w:rsidRPr="00424D38" w:rsidRDefault="00424D38" w:rsidP="00424D38"/>
          <w:p w14:paraId="3181A8F9" w14:textId="77777777" w:rsidR="00424D38" w:rsidRPr="00424D38" w:rsidRDefault="00424D38" w:rsidP="00424D38"/>
          <w:p w14:paraId="563C36CA" w14:textId="77777777" w:rsidR="00424D38" w:rsidRPr="00424D38" w:rsidRDefault="00424D38" w:rsidP="00424D38"/>
          <w:p w14:paraId="5F0ED785" w14:textId="77777777" w:rsidR="00424D38" w:rsidRPr="00424D38" w:rsidRDefault="00424D38" w:rsidP="00424D38"/>
          <w:p w14:paraId="576EF7FC" w14:textId="77777777" w:rsidR="00424D38" w:rsidRPr="00424D38" w:rsidRDefault="00424D38" w:rsidP="00424D38"/>
          <w:p w14:paraId="572C6340" w14:textId="77777777" w:rsidR="00424D38" w:rsidRPr="00424D38" w:rsidRDefault="00424D38" w:rsidP="00424D38"/>
          <w:p w14:paraId="5CE86CE2" w14:textId="77777777" w:rsidR="00424D38" w:rsidRPr="00424D38" w:rsidRDefault="00424D38" w:rsidP="00424D38"/>
          <w:p w14:paraId="5BA603C0" w14:textId="77777777" w:rsidR="00424D38" w:rsidRPr="00424D38" w:rsidRDefault="00424D38" w:rsidP="00424D38"/>
          <w:p w14:paraId="0AEABAF0" w14:textId="77777777" w:rsidR="00424D38" w:rsidRPr="00424D38" w:rsidRDefault="00424D38" w:rsidP="00424D38"/>
          <w:p w14:paraId="6A124906" w14:textId="77777777" w:rsidR="00424D38" w:rsidRPr="00424D38" w:rsidRDefault="00424D38" w:rsidP="00424D38"/>
          <w:p w14:paraId="5A886217" w14:textId="77777777" w:rsidR="0030341E" w:rsidRPr="00424D38" w:rsidRDefault="0030341E"/>
        </w:tc>
        <w:tc>
          <w:tcPr>
            <w:tcW w:w="3752" w:type="pct"/>
            <w:tcBorders>
              <w:top w:val="outset" w:sz="6" w:space="0" w:color="000000"/>
              <w:left w:val="single" w:sz="4" w:space="0" w:color="auto"/>
              <w:bottom w:val="outset" w:sz="6" w:space="0" w:color="000000"/>
              <w:right w:val="outset" w:sz="6" w:space="0" w:color="000000"/>
            </w:tcBorders>
          </w:tcPr>
          <w:p w14:paraId="3D27F04F" w14:textId="4E123101" w:rsidR="009232AB" w:rsidRPr="00353435" w:rsidRDefault="00B00865" w:rsidP="00D92941">
            <w:pPr>
              <w:ind w:right="142"/>
              <w:jc w:val="both"/>
              <w:rPr>
                <w:iCs/>
              </w:rPr>
            </w:pPr>
            <w:r w:rsidRPr="00353435">
              <w:rPr>
                <w:iCs/>
              </w:rPr>
              <w:lastRenderedPageBreak/>
              <w:t xml:space="preserve">Ar </w:t>
            </w:r>
            <w:r w:rsidR="00D92941" w:rsidRPr="00353435">
              <w:rPr>
                <w:iCs/>
              </w:rPr>
              <w:t>Ministru kabineta 2017. gada 16. augusta noteikum</w:t>
            </w:r>
            <w:r w:rsidRPr="00353435">
              <w:rPr>
                <w:iCs/>
              </w:rPr>
              <w:t>iem</w:t>
            </w:r>
            <w:r w:rsidR="00D92941" w:rsidRPr="00353435">
              <w:rPr>
                <w:iCs/>
              </w:rPr>
              <w:t xml:space="preserve"> Nr. 485 “Valsts un Eiropas Savienības atbalsta piešķiršanas, administrēšanas un uzraudzības kārtība augļu, dārzeņu un piena piegādei izglītības iestādēm” (turpmāk – noteikumi Nr.485) Latvijā </w:t>
            </w:r>
            <w:r w:rsidRPr="00353435">
              <w:rPr>
                <w:iCs/>
              </w:rPr>
              <w:t xml:space="preserve">ir </w:t>
            </w:r>
            <w:r w:rsidR="00D92941" w:rsidRPr="00353435">
              <w:rPr>
                <w:iCs/>
              </w:rPr>
              <w:t>ievie</w:t>
            </w:r>
            <w:r w:rsidRPr="00353435">
              <w:rPr>
                <w:iCs/>
              </w:rPr>
              <w:t>sta</w:t>
            </w:r>
            <w:r w:rsidR="00D92941" w:rsidRPr="00353435">
              <w:rPr>
                <w:iCs/>
              </w:rPr>
              <w:t xml:space="preserve"> Eiropas Savienības normatīvajos aktos noteikt</w:t>
            </w:r>
            <w:r w:rsidRPr="00353435">
              <w:rPr>
                <w:iCs/>
              </w:rPr>
              <w:t>ā</w:t>
            </w:r>
            <w:r w:rsidR="00D92941" w:rsidRPr="00353435">
              <w:rPr>
                <w:iCs/>
              </w:rPr>
              <w:t xml:space="preserve"> atbalsta programm</w:t>
            </w:r>
            <w:r w:rsidRPr="00353435">
              <w:rPr>
                <w:iCs/>
              </w:rPr>
              <w:t>a</w:t>
            </w:r>
            <w:r w:rsidR="00D92941" w:rsidRPr="00353435">
              <w:rPr>
                <w:iCs/>
              </w:rPr>
              <w:t xml:space="preserve"> skolu apgādei ar augļiem, dārzeņiem un pienu (turpmāk – atbalsta programma). </w:t>
            </w:r>
          </w:p>
          <w:p w14:paraId="403AEC61" w14:textId="77777777" w:rsidR="00B45D5F" w:rsidRPr="00353435" w:rsidRDefault="00D92941" w:rsidP="00D92941">
            <w:pPr>
              <w:ind w:right="142"/>
              <w:jc w:val="both"/>
              <w:rPr>
                <w:iCs/>
              </w:rPr>
            </w:pPr>
            <w:r w:rsidRPr="00353435">
              <w:rPr>
                <w:iCs/>
              </w:rPr>
              <w:t>Atbalsta programma Eiropas Savienībā un Latvijā sāka darboties no 2017./2018. mācību gada, aizstājot līdzšinējās programmas “Skolas piens” un “Augļi skolai”.</w:t>
            </w:r>
            <w:r w:rsidR="00B45D5F" w:rsidRPr="00353435">
              <w:rPr>
                <w:iCs/>
              </w:rPr>
              <w:t xml:space="preserve"> </w:t>
            </w:r>
          </w:p>
          <w:p w14:paraId="044015F4" w14:textId="22427CF5" w:rsidR="00B45D5F" w:rsidRPr="00353435" w:rsidRDefault="00367F87" w:rsidP="00D92941">
            <w:pPr>
              <w:ind w:right="142"/>
              <w:jc w:val="both"/>
              <w:rPr>
                <w:iCs/>
              </w:rPr>
            </w:pPr>
            <w:r w:rsidRPr="00353435">
              <w:rPr>
                <w:iCs/>
              </w:rPr>
              <w:t>Ņ</w:t>
            </w:r>
            <w:r w:rsidR="00B45D5F" w:rsidRPr="00353435">
              <w:rPr>
                <w:iCs/>
              </w:rPr>
              <w:t xml:space="preserve">emot vērā </w:t>
            </w:r>
            <w:r w:rsidR="00B00865" w:rsidRPr="00353435">
              <w:rPr>
                <w:iCs/>
              </w:rPr>
              <w:t xml:space="preserve">pieredzi </w:t>
            </w:r>
            <w:r w:rsidR="00B45D5F" w:rsidRPr="00353435">
              <w:rPr>
                <w:iCs/>
              </w:rPr>
              <w:t>atbalsta programmas darbības pirm</w:t>
            </w:r>
            <w:r w:rsidR="00B00865" w:rsidRPr="00353435">
              <w:rPr>
                <w:iCs/>
              </w:rPr>
              <w:t>ajā</w:t>
            </w:r>
            <w:r w:rsidR="00B45D5F" w:rsidRPr="00353435">
              <w:rPr>
                <w:iCs/>
              </w:rPr>
              <w:t xml:space="preserve"> gad</w:t>
            </w:r>
            <w:r w:rsidR="00B00865" w:rsidRPr="00353435">
              <w:rPr>
                <w:iCs/>
              </w:rPr>
              <w:t>ā</w:t>
            </w:r>
            <w:r w:rsidR="00B45D5F" w:rsidRPr="00353435">
              <w:rPr>
                <w:iCs/>
              </w:rPr>
              <w:t>, iesaistītās personas (atbalsta pretendenti, izglītības iestādes, produktu ražotāji) ir norādījuš</w:t>
            </w:r>
            <w:r w:rsidR="00C3193B" w:rsidRPr="00353435">
              <w:rPr>
                <w:iCs/>
              </w:rPr>
              <w:t>as</w:t>
            </w:r>
            <w:r w:rsidR="00B45D5F" w:rsidRPr="00353435">
              <w:rPr>
                <w:iCs/>
              </w:rPr>
              <w:t xml:space="preserve"> uz </w:t>
            </w:r>
            <w:r w:rsidR="00B00865" w:rsidRPr="00353435">
              <w:rPr>
                <w:iCs/>
              </w:rPr>
              <w:t>vairākām</w:t>
            </w:r>
            <w:r w:rsidR="00C3193B" w:rsidRPr="00353435">
              <w:rPr>
                <w:iCs/>
              </w:rPr>
              <w:t xml:space="preserve"> </w:t>
            </w:r>
            <w:r w:rsidR="00B45D5F" w:rsidRPr="00353435">
              <w:rPr>
                <w:iCs/>
              </w:rPr>
              <w:t>nepilnībām atbalsta programmas nosacījumos</w:t>
            </w:r>
            <w:r w:rsidR="00C3193B" w:rsidRPr="00353435">
              <w:rPr>
                <w:iCs/>
              </w:rPr>
              <w:t>, kas mazina atbalsta pretendentu un piena pārstrādes uzņēmumu interesi iesaistīties programmā.</w:t>
            </w:r>
            <w:r w:rsidR="00B45D5F" w:rsidRPr="00353435">
              <w:rPr>
                <w:iCs/>
              </w:rPr>
              <w:t xml:space="preserve"> </w:t>
            </w:r>
          </w:p>
          <w:p w14:paraId="2996EE56" w14:textId="73B52D52" w:rsidR="00D92941" w:rsidRPr="00353435" w:rsidRDefault="00B45D5F" w:rsidP="00D92941">
            <w:pPr>
              <w:ind w:right="142"/>
              <w:jc w:val="both"/>
              <w:rPr>
                <w:iCs/>
              </w:rPr>
            </w:pPr>
            <w:r w:rsidRPr="00353435">
              <w:rPr>
                <w:iCs/>
              </w:rPr>
              <w:t>Noteikumu projekts paredz novērst šīs nepilnības</w:t>
            </w:r>
            <w:r w:rsidR="00C3193B" w:rsidRPr="00353435">
              <w:rPr>
                <w:iCs/>
              </w:rPr>
              <w:t xml:space="preserve">, lai </w:t>
            </w:r>
            <w:r w:rsidR="00B00865" w:rsidRPr="00353435">
              <w:rPr>
                <w:iCs/>
              </w:rPr>
              <w:t xml:space="preserve">saglabātu </w:t>
            </w:r>
            <w:r w:rsidR="00C3193B" w:rsidRPr="00353435">
              <w:rPr>
                <w:iCs/>
              </w:rPr>
              <w:t>interesi par dalību programmā, tā pēc iespējas arī veicinot tālāku programmas pa</w:t>
            </w:r>
            <w:r w:rsidR="00B00865" w:rsidRPr="00353435">
              <w:rPr>
                <w:iCs/>
              </w:rPr>
              <w:t>plaš</w:t>
            </w:r>
            <w:r w:rsidR="00C3193B" w:rsidRPr="00353435">
              <w:rPr>
                <w:iCs/>
              </w:rPr>
              <w:t>ināšanos</w:t>
            </w:r>
            <w:r w:rsidR="00B00865" w:rsidRPr="00353435">
              <w:rPr>
                <w:iCs/>
              </w:rPr>
              <w:t xml:space="preserve"> un</w:t>
            </w:r>
            <w:r w:rsidR="00C3193B" w:rsidRPr="00353435">
              <w:rPr>
                <w:iCs/>
              </w:rPr>
              <w:t xml:space="preserve"> iesaistot vairāk izglītības iestāžu, īpaši attālos novados.</w:t>
            </w:r>
            <w:r w:rsidRPr="00353435">
              <w:rPr>
                <w:iCs/>
              </w:rPr>
              <w:t xml:space="preserve"> </w:t>
            </w:r>
          </w:p>
          <w:p w14:paraId="1E4211AA" w14:textId="12C71CFF" w:rsidR="00B45D5F" w:rsidRPr="00353435" w:rsidRDefault="002E1DB5" w:rsidP="00D92941">
            <w:pPr>
              <w:ind w:right="142"/>
              <w:jc w:val="both"/>
              <w:rPr>
                <w:iCs/>
              </w:rPr>
            </w:pPr>
            <w:r w:rsidRPr="00353435">
              <w:rPr>
                <w:iCs/>
              </w:rPr>
              <w:t>1.</w:t>
            </w:r>
            <w:r w:rsidR="00B00865" w:rsidRPr="00353435">
              <w:rPr>
                <w:iCs/>
              </w:rPr>
              <w:t xml:space="preserve"> </w:t>
            </w:r>
            <w:r w:rsidR="00367F87" w:rsidRPr="00353435">
              <w:rPr>
                <w:iCs/>
              </w:rPr>
              <w:t>N</w:t>
            </w:r>
            <w:r w:rsidR="00B45D5F" w:rsidRPr="00353435">
              <w:rPr>
                <w:iCs/>
              </w:rPr>
              <w:t xml:space="preserve">oteikumu projekts paredz </w:t>
            </w:r>
            <w:r w:rsidR="00C3193B" w:rsidRPr="00353435">
              <w:rPr>
                <w:iCs/>
              </w:rPr>
              <w:t xml:space="preserve">mainīt atbalsta likmes piena izdalei. Pašlaik noteikumu Nr. 485 19. un 20. punkts nosaka atbalsta likmes </w:t>
            </w:r>
            <w:r w:rsidR="00C3193B" w:rsidRPr="00353435">
              <w:rPr>
                <w:iCs/>
              </w:rPr>
              <w:lastRenderedPageBreak/>
              <w:t xml:space="preserve">aprēķināšanas kārtību piena izdalei, paredzot, ka atbalsta likmi veido noteikumu Nr. 485 5. pielikuma 2. punktā noteiktās nemainīgās daļas un mainīgā daļa, kas vienāda ar valsts vidējo svaigpiena iepirkuma cenu mēnesī, par kuru iesniegts atbalsta iesniegums. Šāda atbalsta likmes aprēķināšanas kārtība ļauj nodrošināt </w:t>
            </w:r>
            <w:r w:rsidR="00B00865" w:rsidRPr="00353435">
              <w:rPr>
                <w:iCs/>
              </w:rPr>
              <w:t>cieš</w:t>
            </w:r>
            <w:r w:rsidR="00C3193B" w:rsidRPr="00353435">
              <w:rPr>
                <w:iCs/>
              </w:rPr>
              <w:t>u atbalsta piesaisti faktiskai tirgus situācijai un izvairī</w:t>
            </w:r>
            <w:r w:rsidR="00B00865" w:rsidRPr="00353435">
              <w:rPr>
                <w:iCs/>
              </w:rPr>
              <w:t>ties</w:t>
            </w:r>
            <w:r w:rsidR="00C3193B" w:rsidRPr="00353435">
              <w:rPr>
                <w:iCs/>
              </w:rPr>
              <w:t xml:space="preserve"> no </w:t>
            </w:r>
            <w:proofErr w:type="spellStart"/>
            <w:r w:rsidR="00C3193B" w:rsidRPr="00353435">
              <w:rPr>
                <w:iCs/>
              </w:rPr>
              <w:t>pārkompensācijas</w:t>
            </w:r>
            <w:proofErr w:type="spellEnd"/>
            <w:r w:rsidR="00C3193B" w:rsidRPr="00353435">
              <w:rPr>
                <w:iCs/>
              </w:rPr>
              <w:t xml:space="preserve">, jo atbalsta likmes ir mainīgas, </w:t>
            </w:r>
            <w:r w:rsidR="00B00865" w:rsidRPr="00353435">
              <w:rPr>
                <w:iCs/>
              </w:rPr>
              <w:t>atkarīgas no</w:t>
            </w:r>
            <w:r w:rsidR="00C3193B" w:rsidRPr="00353435">
              <w:rPr>
                <w:iCs/>
              </w:rPr>
              <w:t xml:space="preserve"> tirgus cenu sezonāl</w:t>
            </w:r>
            <w:r w:rsidR="00B00865" w:rsidRPr="00353435">
              <w:rPr>
                <w:iCs/>
              </w:rPr>
              <w:t>ās</w:t>
            </w:r>
            <w:r w:rsidR="00C3193B" w:rsidRPr="00353435">
              <w:rPr>
                <w:iCs/>
              </w:rPr>
              <w:t xml:space="preserve"> un strukturāl</w:t>
            </w:r>
            <w:r w:rsidR="00B00865" w:rsidRPr="00353435">
              <w:rPr>
                <w:iCs/>
              </w:rPr>
              <w:t>ās dinamikas</w:t>
            </w:r>
            <w:r w:rsidR="00C3193B" w:rsidRPr="00353435">
              <w:rPr>
                <w:iCs/>
              </w:rPr>
              <w:t xml:space="preserve"> gada </w:t>
            </w:r>
            <w:r w:rsidR="00B00865" w:rsidRPr="00353435">
              <w:rPr>
                <w:iCs/>
              </w:rPr>
              <w:t>laikā</w:t>
            </w:r>
            <w:r w:rsidR="00C3193B" w:rsidRPr="00353435">
              <w:rPr>
                <w:iCs/>
              </w:rPr>
              <w:t>. Tomēr vienlaikus šāda atbalsta likmes aprēķināšanas kārtība neļauj atbalsta pretendentiem pilnvērtīgi sekot līdzi tiem piešķirto apgādes tiesību izlieto</w:t>
            </w:r>
            <w:r w:rsidR="000B7626" w:rsidRPr="00353435">
              <w:rPr>
                <w:iCs/>
              </w:rPr>
              <w:t xml:space="preserve">šanai, </w:t>
            </w:r>
            <w:r w:rsidR="00B00865" w:rsidRPr="00353435">
              <w:rPr>
                <w:iCs/>
              </w:rPr>
              <w:t>jo</w:t>
            </w:r>
            <w:r w:rsidR="000B7626" w:rsidRPr="00353435">
              <w:rPr>
                <w:iCs/>
              </w:rPr>
              <w:t xml:space="preserve"> valsts vidējā svaigpiena iepirkuma cena par mēnesi</w:t>
            </w:r>
            <w:r w:rsidR="00B00865" w:rsidRPr="00353435">
              <w:rPr>
                <w:iCs/>
              </w:rPr>
              <w:t>,</w:t>
            </w:r>
            <w:r w:rsidR="000B7626" w:rsidRPr="00353435">
              <w:rPr>
                <w:iCs/>
              </w:rPr>
              <w:t xml:space="preserve"> kurā tiek </w:t>
            </w:r>
            <w:r w:rsidR="00B00865" w:rsidRPr="00353435">
              <w:rPr>
                <w:iCs/>
              </w:rPr>
              <w:t xml:space="preserve">piegādāti </w:t>
            </w:r>
            <w:r w:rsidR="000B7626" w:rsidRPr="00353435">
              <w:rPr>
                <w:iCs/>
              </w:rPr>
              <w:t>produkt</w:t>
            </w:r>
            <w:r w:rsidR="00B00865" w:rsidRPr="00353435">
              <w:rPr>
                <w:iCs/>
              </w:rPr>
              <w:t>i</w:t>
            </w:r>
            <w:r w:rsidR="003B676A" w:rsidRPr="00353435">
              <w:rPr>
                <w:iCs/>
              </w:rPr>
              <w:t>, tiek aprēķināta līdz nākamā mēneša piecpadsmitajam datumam saskaņā ar noteikumu Nr. 485 20.</w:t>
            </w:r>
            <w:r w:rsidR="00B00865" w:rsidRPr="00353435">
              <w:rPr>
                <w:iCs/>
              </w:rPr>
              <w:t> </w:t>
            </w:r>
            <w:r w:rsidR="003B676A" w:rsidRPr="00353435">
              <w:rPr>
                <w:iCs/>
              </w:rPr>
              <w:t xml:space="preserve">punktu. Tādējādi atbalsta pretendentiem ir apgrūtināta finanšu plūsmas un produktu piegādes plānošana un </w:t>
            </w:r>
            <w:r w:rsidR="00B00865" w:rsidRPr="00353435">
              <w:rPr>
                <w:iCs/>
              </w:rPr>
              <w:t>dažkārt</w:t>
            </w:r>
            <w:r w:rsidR="003B676A" w:rsidRPr="00353435">
              <w:rPr>
                <w:iCs/>
              </w:rPr>
              <w:t xml:space="preserve"> atbalsta programmas darbības gaitā </w:t>
            </w:r>
            <w:r w:rsidR="00B00865" w:rsidRPr="00353435">
              <w:rPr>
                <w:iCs/>
              </w:rPr>
              <w:t xml:space="preserve">ir </w:t>
            </w:r>
            <w:r w:rsidR="003B676A" w:rsidRPr="00353435">
              <w:rPr>
                <w:iCs/>
              </w:rPr>
              <w:t>veidoj</w:t>
            </w:r>
            <w:r w:rsidR="00B00865" w:rsidRPr="00353435">
              <w:rPr>
                <w:iCs/>
              </w:rPr>
              <w:t>ušā</w:t>
            </w:r>
            <w:r w:rsidR="003B676A" w:rsidRPr="00353435">
              <w:rPr>
                <w:iCs/>
              </w:rPr>
              <w:t>s situācijas, kad produktu izdales pēdējā mēnesī atbalsta pretendentu pieprasītais atbalsta apmērs jau pārsniedza pieejamo apgādes tiesību apmēru.</w:t>
            </w:r>
          </w:p>
          <w:p w14:paraId="67AC77FA" w14:textId="749EE405" w:rsidR="00CB4162" w:rsidRPr="00353435" w:rsidRDefault="00CB4162" w:rsidP="00D92941">
            <w:pPr>
              <w:ind w:right="142"/>
              <w:jc w:val="both"/>
              <w:rPr>
                <w:iCs/>
              </w:rPr>
            </w:pPr>
            <w:r w:rsidRPr="00353435">
              <w:rPr>
                <w:iCs/>
              </w:rPr>
              <w:t>Lai uzlabotu plānošanas iespēju atbalsta pretendentiem</w:t>
            </w:r>
            <w:r w:rsidR="000C13C6" w:rsidRPr="00353435">
              <w:rPr>
                <w:iCs/>
              </w:rPr>
              <w:t xml:space="preserve"> un padarītu atbalsta nosacījumus vairāk prognozējamus</w:t>
            </w:r>
            <w:r w:rsidRPr="00353435">
              <w:rPr>
                <w:iCs/>
              </w:rPr>
              <w:t>, noteikumu projekts paredz</w:t>
            </w:r>
            <w:r w:rsidR="000C13C6" w:rsidRPr="00353435">
              <w:rPr>
                <w:iCs/>
              </w:rPr>
              <w:t xml:space="preserve"> turpmāk</w:t>
            </w:r>
            <w:r w:rsidRPr="00353435">
              <w:rPr>
                <w:iCs/>
              </w:rPr>
              <w:t xml:space="preserve"> noteikt nemainīgas</w:t>
            </w:r>
            <w:r w:rsidR="000C13C6" w:rsidRPr="00353435">
              <w:rPr>
                <w:iCs/>
              </w:rPr>
              <w:t xml:space="preserve"> atbalsta likmes piena izdalei, likmi izveidojot kā summu no noteikumu Nr. 485 5. pielikuma 2.</w:t>
            </w:r>
            <w:r w:rsidR="00B00865" w:rsidRPr="00353435">
              <w:rPr>
                <w:iCs/>
              </w:rPr>
              <w:t> </w:t>
            </w:r>
            <w:r w:rsidR="000C13C6" w:rsidRPr="00353435">
              <w:rPr>
                <w:iCs/>
              </w:rPr>
              <w:t>punktā šobrīd noteiktajām likmes nemainīgajām daļām</w:t>
            </w:r>
            <w:r w:rsidR="008A45BA" w:rsidRPr="00353435">
              <w:rPr>
                <w:iCs/>
              </w:rPr>
              <w:t xml:space="preserve"> un</w:t>
            </w:r>
            <w:r w:rsidR="00144224" w:rsidRPr="00353435">
              <w:rPr>
                <w:iCs/>
              </w:rPr>
              <w:t xml:space="preserve"> konstanta</w:t>
            </w:r>
            <w:r w:rsidR="008A45BA" w:rsidRPr="00353435">
              <w:rPr>
                <w:iCs/>
              </w:rPr>
              <w:t xml:space="preserve"> lieluma 0,31</w:t>
            </w:r>
            <w:r w:rsidR="00C05C2E" w:rsidRPr="00353435">
              <w:rPr>
                <w:iCs/>
              </w:rPr>
              <w:t>9</w:t>
            </w:r>
            <w:r w:rsidR="008A45BA" w:rsidRPr="00353435">
              <w:rPr>
                <w:iCs/>
              </w:rPr>
              <w:t xml:space="preserve"> </w:t>
            </w:r>
            <w:proofErr w:type="spellStart"/>
            <w:r w:rsidR="008A45BA" w:rsidRPr="00353435">
              <w:rPr>
                <w:i/>
                <w:iCs/>
              </w:rPr>
              <w:t>euro</w:t>
            </w:r>
            <w:proofErr w:type="spellEnd"/>
            <w:r w:rsidR="004F16FE">
              <w:rPr>
                <w:iCs/>
              </w:rPr>
              <w:t xml:space="preserve"> par </w:t>
            </w:r>
            <w:r w:rsidR="008A45BA" w:rsidRPr="00353435">
              <w:rPr>
                <w:iCs/>
              </w:rPr>
              <w:t xml:space="preserve">litru, kas atbilst </w:t>
            </w:r>
            <w:r w:rsidR="00B00865" w:rsidRPr="00353435">
              <w:rPr>
                <w:iCs/>
              </w:rPr>
              <w:t>vidējai trīs</w:t>
            </w:r>
            <w:r w:rsidR="008A45BA" w:rsidRPr="00353435">
              <w:rPr>
                <w:iCs/>
              </w:rPr>
              <w:t xml:space="preserve"> gadu svaigpiena iepirkuma cenai tajos piena pārstrādes uzņēmumos, kuru produkcija saskaņā ar Lauku atbalsta dienesta (turpmāk – LAD) datiem 2017./2018. mācību gadā tika izplatīta atbalsta programmā</w:t>
            </w:r>
            <w:r w:rsidR="000C13C6" w:rsidRPr="00353435">
              <w:rPr>
                <w:iCs/>
              </w:rPr>
              <w:t xml:space="preserve">. </w:t>
            </w:r>
            <w:r w:rsidR="008A45BA" w:rsidRPr="00353435">
              <w:rPr>
                <w:iCs/>
              </w:rPr>
              <w:t>Laikposms, kurā tiek vērtēta attiecīgo uzņēmumu svaigpiena iepirkuma cena</w:t>
            </w:r>
            <w:r w:rsidR="00144224" w:rsidRPr="00353435">
              <w:rPr>
                <w:iCs/>
              </w:rPr>
              <w:t>,</w:t>
            </w:r>
            <w:r w:rsidR="008A45BA" w:rsidRPr="00353435">
              <w:rPr>
                <w:iCs/>
              </w:rPr>
              <w:t xml:space="preserve"> ir:</w:t>
            </w:r>
          </w:p>
          <w:p w14:paraId="5E83AE20" w14:textId="139DC612" w:rsidR="00B93370" w:rsidRPr="00353435" w:rsidRDefault="00B93370" w:rsidP="00B93370">
            <w:pPr>
              <w:pStyle w:val="Sarakstarindkopa"/>
              <w:numPr>
                <w:ilvl w:val="0"/>
                <w:numId w:val="28"/>
              </w:numPr>
              <w:ind w:right="142"/>
              <w:jc w:val="both"/>
              <w:rPr>
                <w:iCs/>
              </w:rPr>
            </w:pPr>
            <w:r w:rsidRPr="00353435">
              <w:rPr>
                <w:iCs/>
              </w:rPr>
              <w:t>2013. gada oktobris–2014. gada maijs;</w:t>
            </w:r>
          </w:p>
          <w:p w14:paraId="7CBBE893" w14:textId="57111584" w:rsidR="00B93370" w:rsidRPr="00353435" w:rsidRDefault="00B93370" w:rsidP="00B93370">
            <w:pPr>
              <w:pStyle w:val="Sarakstarindkopa"/>
              <w:numPr>
                <w:ilvl w:val="0"/>
                <w:numId w:val="28"/>
              </w:numPr>
              <w:ind w:right="142"/>
              <w:jc w:val="both"/>
              <w:rPr>
                <w:iCs/>
              </w:rPr>
            </w:pPr>
            <w:r w:rsidRPr="00353435">
              <w:rPr>
                <w:iCs/>
              </w:rPr>
              <w:t>2016. gada oktobris–2017. gada maijs;</w:t>
            </w:r>
          </w:p>
          <w:p w14:paraId="4FD63F45" w14:textId="75F807D3" w:rsidR="00B93370" w:rsidRPr="00353435" w:rsidRDefault="00B93370" w:rsidP="00B93370">
            <w:pPr>
              <w:pStyle w:val="Sarakstarindkopa"/>
              <w:numPr>
                <w:ilvl w:val="0"/>
                <w:numId w:val="28"/>
              </w:numPr>
              <w:ind w:right="142"/>
              <w:jc w:val="both"/>
              <w:rPr>
                <w:iCs/>
              </w:rPr>
            </w:pPr>
            <w:r w:rsidRPr="00353435">
              <w:rPr>
                <w:iCs/>
              </w:rPr>
              <w:t xml:space="preserve">2017. gada oktobris–2018. gada maijs. </w:t>
            </w:r>
          </w:p>
          <w:p w14:paraId="69461B3F" w14:textId="46BA8602" w:rsidR="00144224" w:rsidRPr="00353435" w:rsidRDefault="00B00865" w:rsidP="00144224">
            <w:pPr>
              <w:ind w:right="142"/>
              <w:jc w:val="both"/>
              <w:rPr>
                <w:iCs/>
              </w:rPr>
            </w:pPr>
            <w:r w:rsidRPr="00353435">
              <w:rPr>
                <w:iCs/>
              </w:rPr>
              <w:t>Š</w:t>
            </w:r>
            <w:r w:rsidR="002B5297" w:rsidRPr="00353435">
              <w:rPr>
                <w:iCs/>
              </w:rPr>
              <w:t>i</w:t>
            </w:r>
            <w:r w:rsidRPr="00353435">
              <w:rPr>
                <w:iCs/>
              </w:rPr>
              <w:t>s</w:t>
            </w:r>
            <w:r w:rsidR="00E867F8" w:rsidRPr="00353435">
              <w:rPr>
                <w:iCs/>
              </w:rPr>
              <w:t xml:space="preserve"> laikposms atbalsta likmes noteikšanā ir izvēlēts, jo aptver </w:t>
            </w:r>
            <w:r w:rsidR="008A45BA" w:rsidRPr="00353435">
              <w:rPr>
                <w:iCs/>
              </w:rPr>
              <w:t xml:space="preserve">noteikumu Nr. 485 5. punktā noteikto piena izdales periodu vispārējās izglītības iestāžu mācību gada </w:t>
            </w:r>
            <w:r w:rsidRPr="00353435">
              <w:rPr>
                <w:iCs/>
              </w:rPr>
              <w:t>laikā</w:t>
            </w:r>
            <w:r w:rsidR="008A45BA" w:rsidRPr="00353435">
              <w:rPr>
                <w:iCs/>
              </w:rPr>
              <w:t xml:space="preserve"> </w:t>
            </w:r>
            <w:r w:rsidRPr="00353435">
              <w:rPr>
                <w:iCs/>
              </w:rPr>
              <w:t>trijos</w:t>
            </w:r>
            <w:r w:rsidR="008A45BA" w:rsidRPr="00353435">
              <w:rPr>
                <w:iCs/>
              </w:rPr>
              <w:t xml:space="preserve"> gad</w:t>
            </w:r>
            <w:r w:rsidRPr="00353435">
              <w:rPr>
                <w:iCs/>
              </w:rPr>
              <w:t>os, tāpēc</w:t>
            </w:r>
            <w:r w:rsidR="00E867F8" w:rsidRPr="00353435">
              <w:rPr>
                <w:iCs/>
              </w:rPr>
              <w:t xml:space="preserve"> ir pietiekami </w:t>
            </w:r>
            <w:r w:rsidR="008A45BA" w:rsidRPr="00353435">
              <w:rPr>
                <w:iCs/>
              </w:rPr>
              <w:t>objektīvs un ietver dažādu</w:t>
            </w:r>
            <w:r w:rsidR="00E867F8" w:rsidRPr="00353435">
              <w:rPr>
                <w:iCs/>
              </w:rPr>
              <w:t xml:space="preserve"> cenu svārstību periodus. </w:t>
            </w:r>
            <w:r w:rsidR="00144224" w:rsidRPr="00353435">
              <w:rPr>
                <w:iCs/>
              </w:rPr>
              <w:t xml:space="preserve">Tādējādi var uzskatīt, ka šādas svaigpiena vidējās iepirkuma cenas izmantošana joprojām nodrošinās </w:t>
            </w:r>
            <w:r w:rsidR="008B0BAF" w:rsidRPr="00353435">
              <w:rPr>
                <w:iCs/>
              </w:rPr>
              <w:t>pieti</w:t>
            </w:r>
            <w:r w:rsidR="005F4748" w:rsidRPr="00353435">
              <w:rPr>
                <w:iCs/>
              </w:rPr>
              <w:t>e</w:t>
            </w:r>
            <w:r w:rsidR="008B0BAF" w:rsidRPr="00353435">
              <w:rPr>
                <w:iCs/>
              </w:rPr>
              <w:t xml:space="preserve">kamu </w:t>
            </w:r>
            <w:r w:rsidR="00144224" w:rsidRPr="00353435">
              <w:rPr>
                <w:iCs/>
              </w:rPr>
              <w:t xml:space="preserve">atbalsta piesaisti faktiskai tirgus situācijai, kā arī </w:t>
            </w:r>
            <w:r w:rsidRPr="00353435">
              <w:rPr>
                <w:iCs/>
              </w:rPr>
              <w:t xml:space="preserve">ļaus </w:t>
            </w:r>
            <w:r w:rsidR="00144224" w:rsidRPr="00353435">
              <w:rPr>
                <w:iCs/>
              </w:rPr>
              <w:t xml:space="preserve">izvairīties no </w:t>
            </w:r>
            <w:proofErr w:type="spellStart"/>
            <w:r w:rsidR="00144224" w:rsidRPr="00353435">
              <w:rPr>
                <w:iCs/>
              </w:rPr>
              <w:t>pārkompensācijas</w:t>
            </w:r>
            <w:proofErr w:type="spellEnd"/>
            <w:r w:rsidR="00144224" w:rsidRPr="00353435">
              <w:rPr>
                <w:iCs/>
              </w:rPr>
              <w:t xml:space="preserve"> mācību gada </w:t>
            </w:r>
            <w:r w:rsidRPr="00353435">
              <w:rPr>
                <w:iCs/>
              </w:rPr>
              <w:t>laik</w:t>
            </w:r>
            <w:r w:rsidR="00144224" w:rsidRPr="00353435">
              <w:rPr>
                <w:iCs/>
              </w:rPr>
              <w:t>ā</w:t>
            </w:r>
            <w:r w:rsidRPr="00353435">
              <w:rPr>
                <w:iCs/>
              </w:rPr>
              <w:t>.</w:t>
            </w:r>
            <w:r w:rsidR="00144224" w:rsidRPr="00353435">
              <w:rPr>
                <w:iCs/>
              </w:rPr>
              <w:t xml:space="preserve"> (</w:t>
            </w:r>
            <w:r w:rsidRPr="00353435">
              <w:rPr>
                <w:iCs/>
              </w:rPr>
              <w:t>J</w:t>
            </w:r>
            <w:r w:rsidR="00144224" w:rsidRPr="00353435">
              <w:rPr>
                <w:iCs/>
              </w:rPr>
              <w:t>āņem vērā, ka piena iepirkuma cenu tendence gada laikā ir svārstīga, ar augstākām cenām rudens un ziemas periodā un zemākām cenām pavasarī un vasarā, taču gadā kopumā svārstību efekts izlīdzinās</w:t>
            </w:r>
            <w:r w:rsidRPr="00353435">
              <w:rPr>
                <w:iCs/>
              </w:rPr>
              <w:t>.</w:t>
            </w:r>
            <w:r w:rsidR="00144224" w:rsidRPr="00353435">
              <w:rPr>
                <w:iCs/>
              </w:rPr>
              <w:t>)</w:t>
            </w:r>
          </w:p>
          <w:p w14:paraId="41903048" w14:textId="1B4780D5" w:rsidR="00144224" w:rsidRPr="00353435" w:rsidRDefault="00144224" w:rsidP="00B93370">
            <w:pPr>
              <w:ind w:right="142"/>
              <w:jc w:val="both"/>
              <w:rPr>
                <w:iCs/>
              </w:rPr>
            </w:pPr>
            <w:r w:rsidRPr="00353435">
              <w:rPr>
                <w:iCs/>
              </w:rPr>
              <w:t>Jā</w:t>
            </w:r>
            <w:r w:rsidR="00B00865" w:rsidRPr="00353435">
              <w:rPr>
                <w:iCs/>
              </w:rPr>
              <w:t>piebilst</w:t>
            </w:r>
            <w:r w:rsidRPr="00353435">
              <w:rPr>
                <w:iCs/>
              </w:rPr>
              <w:t>, ka, ņemot vērā Krievijas Federācijas 2014. gada augustā ieviestā importa embargo izraisīto svaigpiena iepirkuma cenu nepārt</w:t>
            </w:r>
            <w:r w:rsidR="005F4748" w:rsidRPr="00353435">
              <w:rPr>
                <w:iCs/>
              </w:rPr>
              <w:t>r</w:t>
            </w:r>
            <w:r w:rsidRPr="00353435">
              <w:rPr>
                <w:iCs/>
              </w:rPr>
              <w:t xml:space="preserve">aukto lejupslīdi no 2014. gada augusta līdz 2016. gada jūnijam, </w:t>
            </w:r>
            <w:r w:rsidR="00B00865" w:rsidRPr="00353435">
              <w:rPr>
                <w:iCs/>
              </w:rPr>
              <w:t>šis</w:t>
            </w:r>
            <w:r w:rsidRPr="00353435">
              <w:rPr>
                <w:iCs/>
              </w:rPr>
              <w:t xml:space="preserve"> laikposms netiek ietverts vidējās svaigpiena iepirkuma cenas aprēķinā atbalsta programmas vajadzībām.</w:t>
            </w:r>
          </w:p>
          <w:p w14:paraId="5398FF50" w14:textId="4D32D538" w:rsidR="00A16211" w:rsidRPr="00353435" w:rsidRDefault="009A4743" w:rsidP="00B93370">
            <w:pPr>
              <w:ind w:right="142"/>
              <w:jc w:val="both"/>
              <w:rPr>
                <w:iCs/>
              </w:rPr>
            </w:pPr>
            <w:r w:rsidRPr="00353435">
              <w:rPr>
                <w:iCs/>
              </w:rPr>
              <w:t xml:space="preserve">Vienlaikus </w:t>
            </w:r>
            <w:r w:rsidR="00B00865" w:rsidRPr="00353435">
              <w:rPr>
                <w:iCs/>
              </w:rPr>
              <w:t xml:space="preserve">no noteikumiem Nr. 485 </w:t>
            </w:r>
            <w:r w:rsidRPr="00353435">
              <w:rPr>
                <w:iCs/>
              </w:rPr>
              <w:t>svītro</w:t>
            </w:r>
            <w:r w:rsidR="00B00865" w:rsidRPr="00353435">
              <w:rPr>
                <w:iCs/>
              </w:rPr>
              <w:t>jams</w:t>
            </w:r>
            <w:r w:rsidRPr="00353435">
              <w:rPr>
                <w:iCs/>
              </w:rPr>
              <w:t xml:space="preserve"> arī 10.6.apakšpunkt</w:t>
            </w:r>
            <w:r w:rsidR="00B00865" w:rsidRPr="00353435">
              <w:rPr>
                <w:iCs/>
              </w:rPr>
              <w:t>s</w:t>
            </w:r>
            <w:r w:rsidRPr="00353435">
              <w:rPr>
                <w:iCs/>
              </w:rPr>
              <w:t>, jo svaigpiena ikmēneša iepirkuma cenas vairs netiks izmantotas atbalsta likmes noteikšanā.</w:t>
            </w:r>
          </w:p>
          <w:p w14:paraId="2F879301" w14:textId="09ACA224" w:rsidR="00A372E3" w:rsidRPr="00353435" w:rsidRDefault="00B22201" w:rsidP="00B93370">
            <w:pPr>
              <w:ind w:right="142"/>
              <w:jc w:val="both"/>
              <w:rPr>
                <w:iCs/>
              </w:rPr>
            </w:pPr>
            <w:r w:rsidRPr="00353435">
              <w:rPr>
                <w:iCs/>
              </w:rPr>
              <w:lastRenderedPageBreak/>
              <w:t>Atbalsta likmju noteikšanas kārtības maiņa neietekmēs atbalsta programmas bud</w:t>
            </w:r>
            <w:r w:rsidR="00A16211" w:rsidRPr="00353435">
              <w:rPr>
                <w:iCs/>
              </w:rPr>
              <w:t>žetu, kas piešķirts ar noteikumiem Nr. 485, jo</w:t>
            </w:r>
            <w:r w:rsidRPr="00353435">
              <w:rPr>
                <w:iCs/>
              </w:rPr>
              <w:t xml:space="preserve"> produktu piegāde notiek</w:t>
            </w:r>
            <w:r w:rsidR="00B00865" w:rsidRPr="00353435">
              <w:rPr>
                <w:iCs/>
              </w:rPr>
              <w:t>,</w:t>
            </w:r>
            <w:r w:rsidRPr="00353435">
              <w:rPr>
                <w:iCs/>
              </w:rPr>
              <w:t xml:space="preserve"> atbalsta pretendentam </w:t>
            </w:r>
            <w:r w:rsidR="00B00865" w:rsidRPr="00353435">
              <w:rPr>
                <w:iCs/>
              </w:rPr>
              <w:t xml:space="preserve">īstenojot </w:t>
            </w:r>
            <w:r w:rsidRPr="00353435">
              <w:rPr>
                <w:iCs/>
              </w:rPr>
              <w:t>piešķirt</w:t>
            </w:r>
            <w:r w:rsidR="00B00865" w:rsidRPr="00353435">
              <w:rPr>
                <w:iCs/>
              </w:rPr>
              <w:t>ās</w:t>
            </w:r>
            <w:r w:rsidRPr="00353435">
              <w:rPr>
                <w:iCs/>
              </w:rPr>
              <w:t xml:space="preserve"> apgādes tiesīb</w:t>
            </w:r>
            <w:r w:rsidR="00B00865" w:rsidRPr="00353435">
              <w:rPr>
                <w:iCs/>
              </w:rPr>
              <w:t>a</w:t>
            </w:r>
            <w:r w:rsidRPr="00353435">
              <w:rPr>
                <w:iCs/>
              </w:rPr>
              <w:t xml:space="preserve">s, un apgādes tiesību aprēķināšana saskaņā ar noteikumu Nr. 485 13. punktu nav saistīta ar atbalsta likmi. </w:t>
            </w:r>
            <w:r w:rsidR="00A16211" w:rsidRPr="00353435">
              <w:rPr>
                <w:iCs/>
              </w:rPr>
              <w:t xml:space="preserve">Tomēr atbalsta likmju noteikšanas kārtības maiņa var </w:t>
            </w:r>
            <w:r w:rsidR="00F7062D" w:rsidRPr="00353435">
              <w:rPr>
                <w:iCs/>
              </w:rPr>
              <w:t xml:space="preserve">minimāli samazināt kopējo </w:t>
            </w:r>
            <w:r w:rsidR="00A16211" w:rsidRPr="00353435">
              <w:rPr>
                <w:iCs/>
              </w:rPr>
              <w:t>atbalsta p</w:t>
            </w:r>
            <w:r w:rsidR="00F7062D" w:rsidRPr="00353435">
              <w:rPr>
                <w:iCs/>
              </w:rPr>
              <w:t xml:space="preserve">rogrammā piegādātā piena apjomu, </w:t>
            </w:r>
            <w:r w:rsidR="00B00865" w:rsidRPr="00353435">
              <w:rPr>
                <w:iCs/>
              </w:rPr>
              <w:t>tāpēc</w:t>
            </w:r>
            <w:r w:rsidR="00F7062D" w:rsidRPr="00353435">
              <w:rPr>
                <w:iCs/>
              </w:rPr>
              <w:t xml:space="preserve"> ka</w:t>
            </w:r>
            <w:r w:rsidR="00B00865" w:rsidRPr="00353435">
              <w:rPr>
                <w:iCs/>
              </w:rPr>
              <w:t>,</w:t>
            </w:r>
            <w:r w:rsidR="00F7062D" w:rsidRPr="00353435">
              <w:rPr>
                <w:iCs/>
              </w:rPr>
              <w:t xml:space="preserve"> p</w:t>
            </w:r>
            <w:r w:rsidR="00B00865" w:rsidRPr="00353435">
              <w:rPr>
                <w:iCs/>
              </w:rPr>
              <w:t>astāvot</w:t>
            </w:r>
            <w:r w:rsidR="00F7062D" w:rsidRPr="00353435">
              <w:rPr>
                <w:iCs/>
              </w:rPr>
              <w:t xml:space="preserve"> nemainīga</w:t>
            </w:r>
            <w:r w:rsidR="00B00865" w:rsidRPr="00353435">
              <w:rPr>
                <w:iCs/>
              </w:rPr>
              <w:t>i</w:t>
            </w:r>
            <w:r w:rsidR="00F7062D" w:rsidRPr="00353435">
              <w:rPr>
                <w:iCs/>
              </w:rPr>
              <w:t xml:space="preserve"> atbalsta likme</w:t>
            </w:r>
            <w:r w:rsidR="00B00865" w:rsidRPr="00353435">
              <w:rPr>
                <w:iCs/>
              </w:rPr>
              <w:t>i,</w:t>
            </w:r>
            <w:r w:rsidR="00F7062D" w:rsidRPr="00353435">
              <w:rPr>
                <w:iCs/>
              </w:rPr>
              <w:t xml:space="preserve"> apgādes tiesību apmērs var tikt </w:t>
            </w:r>
            <w:r w:rsidR="00B00865" w:rsidRPr="00353435">
              <w:rPr>
                <w:iCs/>
              </w:rPr>
              <w:t>izmanto</w:t>
            </w:r>
            <w:r w:rsidR="00F7062D" w:rsidRPr="00353435">
              <w:rPr>
                <w:iCs/>
              </w:rPr>
              <w:t xml:space="preserve">ts </w:t>
            </w:r>
            <w:r w:rsidR="00B00865" w:rsidRPr="00353435">
              <w:rPr>
                <w:iCs/>
              </w:rPr>
              <w:t>ag</w:t>
            </w:r>
            <w:r w:rsidR="00F7062D" w:rsidRPr="00353435">
              <w:rPr>
                <w:iCs/>
              </w:rPr>
              <w:t>rāk</w:t>
            </w:r>
            <w:r w:rsidR="00B00865" w:rsidRPr="00353435">
              <w:rPr>
                <w:iCs/>
              </w:rPr>
              <w:t>.</w:t>
            </w:r>
            <w:r w:rsidR="00F7062D" w:rsidRPr="00353435">
              <w:rPr>
                <w:iCs/>
              </w:rPr>
              <w:t xml:space="preserve"> (</w:t>
            </w:r>
            <w:r w:rsidR="00B00865" w:rsidRPr="00353435">
              <w:rPr>
                <w:iCs/>
              </w:rPr>
              <w:t>Pašlaik</w:t>
            </w:r>
            <w:r w:rsidR="00F7062D" w:rsidRPr="00353435">
              <w:rPr>
                <w:iCs/>
              </w:rPr>
              <w:t xml:space="preserve"> mēnešos, kad piena iepirkuma cenas pazeminās, apgādes tiesību </w:t>
            </w:r>
            <w:r w:rsidR="00B00865" w:rsidRPr="00353435">
              <w:rPr>
                <w:iCs/>
              </w:rPr>
              <w:t>izmantošanā</w:t>
            </w:r>
            <w:r w:rsidR="00F7062D" w:rsidRPr="00353435">
              <w:rPr>
                <w:iCs/>
              </w:rPr>
              <w:t xml:space="preserve"> veidojas </w:t>
            </w:r>
            <w:r w:rsidR="00B00865" w:rsidRPr="00353435">
              <w:rPr>
                <w:iCs/>
              </w:rPr>
              <w:t>noteikta</w:t>
            </w:r>
            <w:r w:rsidR="00F7062D" w:rsidRPr="00353435">
              <w:rPr>
                <w:iCs/>
              </w:rPr>
              <w:t xml:space="preserve"> rezerve salīdzin</w:t>
            </w:r>
            <w:r w:rsidR="00B00865" w:rsidRPr="00353435">
              <w:rPr>
                <w:iCs/>
              </w:rPr>
              <w:t>ājumā</w:t>
            </w:r>
            <w:r w:rsidR="00F7062D" w:rsidRPr="00353435">
              <w:rPr>
                <w:iCs/>
              </w:rPr>
              <w:t xml:space="preserve"> ar mēnešiem, k</w:t>
            </w:r>
            <w:r w:rsidR="00B00865" w:rsidRPr="00353435">
              <w:rPr>
                <w:iCs/>
              </w:rPr>
              <w:t>ad</w:t>
            </w:r>
            <w:r w:rsidR="00F7062D" w:rsidRPr="00353435">
              <w:rPr>
                <w:iCs/>
              </w:rPr>
              <w:t xml:space="preserve"> svaigpiena iepirkuma cenas p</w:t>
            </w:r>
            <w:r w:rsidR="00B00865" w:rsidRPr="00353435">
              <w:rPr>
                <w:iCs/>
              </w:rPr>
              <w:t>alielinās</w:t>
            </w:r>
            <w:r w:rsidR="004F16FE">
              <w:rPr>
                <w:iCs/>
              </w:rPr>
              <w:t>.</w:t>
            </w:r>
            <w:r w:rsidR="00F7062D" w:rsidRPr="00353435">
              <w:rPr>
                <w:iCs/>
              </w:rPr>
              <w:t>) Zemkopības ministrijas aprē</w:t>
            </w:r>
            <w:r w:rsidR="00A372E3" w:rsidRPr="00353435">
              <w:rPr>
                <w:iCs/>
              </w:rPr>
              <w:t>ķini</w:t>
            </w:r>
            <w:r w:rsidR="00ED5C7D" w:rsidRPr="00353435">
              <w:rPr>
                <w:iCs/>
              </w:rPr>
              <w:t xml:space="preserve"> (1. tabula)</w:t>
            </w:r>
            <w:r w:rsidR="00A372E3" w:rsidRPr="00353435">
              <w:rPr>
                <w:iCs/>
              </w:rPr>
              <w:t xml:space="preserve">, kas </w:t>
            </w:r>
            <w:r w:rsidR="00B00865" w:rsidRPr="00353435">
              <w:rPr>
                <w:iCs/>
              </w:rPr>
              <w:t>izdarī</w:t>
            </w:r>
            <w:r w:rsidR="00A372E3" w:rsidRPr="00353435">
              <w:rPr>
                <w:iCs/>
              </w:rPr>
              <w:t xml:space="preserve">ti, izmantojot </w:t>
            </w:r>
            <w:r w:rsidR="00F7062D" w:rsidRPr="00353435">
              <w:rPr>
                <w:iCs/>
              </w:rPr>
              <w:t>L</w:t>
            </w:r>
            <w:r w:rsidR="00ED5C7D" w:rsidRPr="00353435">
              <w:rPr>
                <w:iCs/>
              </w:rPr>
              <w:t>AD</w:t>
            </w:r>
            <w:r w:rsidR="00F7062D" w:rsidRPr="00353435">
              <w:rPr>
                <w:iCs/>
              </w:rPr>
              <w:t xml:space="preserve"> dat</w:t>
            </w:r>
            <w:r w:rsidR="00A372E3" w:rsidRPr="00353435">
              <w:rPr>
                <w:iCs/>
              </w:rPr>
              <w:t>us</w:t>
            </w:r>
            <w:r w:rsidR="00F7062D" w:rsidRPr="00353435">
              <w:rPr>
                <w:iCs/>
              </w:rPr>
              <w:t xml:space="preserve"> par programmā iesaistīto izglītojamo skaitu 2017./2018. mācību gadā un Lauksaimniecības datu centra dat</w:t>
            </w:r>
            <w:r w:rsidR="00A372E3" w:rsidRPr="00353435">
              <w:rPr>
                <w:iCs/>
              </w:rPr>
              <w:t>us</w:t>
            </w:r>
            <w:r w:rsidR="00F7062D" w:rsidRPr="00353435">
              <w:rPr>
                <w:iCs/>
              </w:rPr>
              <w:t xml:space="preserve"> par svaigpiena iepirkuma vidējām cenām</w:t>
            </w:r>
            <w:r w:rsidR="00A372E3" w:rsidRPr="00353435">
              <w:rPr>
                <w:iCs/>
              </w:rPr>
              <w:t xml:space="preserve"> iepriekšminētajos laikposmos</w:t>
            </w:r>
            <w:r w:rsidR="004F16FE">
              <w:rPr>
                <w:iCs/>
              </w:rPr>
              <w:t>,</w:t>
            </w:r>
            <w:r w:rsidR="00A372E3" w:rsidRPr="00353435">
              <w:rPr>
                <w:iCs/>
              </w:rPr>
              <w:t xml:space="preserve"> liecina, ka atbalsta likmes izmaiņas vienam programmā iesaistītajam izglītojamam piegādātā piena daudzumu samazina tikai par </w:t>
            </w:r>
            <w:r w:rsidR="00B00865" w:rsidRPr="00353435">
              <w:rPr>
                <w:iCs/>
              </w:rPr>
              <w:t>vienu</w:t>
            </w:r>
            <w:r w:rsidR="009B1949" w:rsidRPr="00353435">
              <w:rPr>
                <w:iCs/>
              </w:rPr>
              <w:t xml:space="preserve"> porcij</w:t>
            </w:r>
            <w:r w:rsidR="00ED5C7D" w:rsidRPr="00353435">
              <w:rPr>
                <w:iCs/>
              </w:rPr>
              <w:t>u</w:t>
            </w:r>
            <w:r w:rsidR="004F16FE" w:rsidRPr="00353435">
              <w:rPr>
                <w:iCs/>
              </w:rPr>
              <w:t xml:space="preserve"> </w:t>
            </w:r>
            <w:r w:rsidR="004F16FE">
              <w:rPr>
                <w:iCs/>
              </w:rPr>
              <w:t>(</w:t>
            </w:r>
            <w:r w:rsidR="004F16FE" w:rsidRPr="00353435">
              <w:rPr>
                <w:iCs/>
              </w:rPr>
              <w:t>vidēji viena porcija ir 200 ml)</w:t>
            </w:r>
            <w:r w:rsidR="00ED5C7D" w:rsidRPr="00353435">
              <w:rPr>
                <w:iCs/>
              </w:rPr>
              <w:t xml:space="preserve">, t.i., </w:t>
            </w:r>
            <w:r w:rsidR="00B00865" w:rsidRPr="00353435">
              <w:rPr>
                <w:iCs/>
              </w:rPr>
              <w:t>vienu</w:t>
            </w:r>
            <w:r w:rsidR="00ED5C7D" w:rsidRPr="00353435">
              <w:rPr>
                <w:iCs/>
              </w:rPr>
              <w:t xml:space="preserve"> izdales dienu</w:t>
            </w:r>
            <w:r w:rsidR="004F16FE">
              <w:rPr>
                <w:iCs/>
              </w:rPr>
              <w:t xml:space="preserve"> </w:t>
            </w:r>
            <w:r w:rsidR="00ED5C7D" w:rsidRPr="00353435">
              <w:rPr>
                <w:iCs/>
              </w:rPr>
              <w:t>visā izdales periodā. Šādu ietekmi var uzskatīt par nebūtisku</w:t>
            </w:r>
            <w:r w:rsidR="009B1949" w:rsidRPr="00353435">
              <w:rPr>
                <w:iCs/>
              </w:rPr>
              <w:t xml:space="preserve">. </w:t>
            </w:r>
            <w:r w:rsidR="00A372E3" w:rsidRPr="00353435">
              <w:rPr>
                <w:iCs/>
              </w:rPr>
              <w:t xml:space="preserve">Aprēķinos nav ņemtas vērā likmju atšķirības atkarībā no izdalāmā piena tilpuma (fasējuma) un piena kvalitātes (bioloģiskais vai pārējais), kā arī šāda piena īpatsvars kopējā piegādājamā piena apjomā. </w:t>
            </w:r>
          </w:p>
          <w:p w14:paraId="7F1F5943" w14:textId="77777777" w:rsidR="00ED5C7D" w:rsidRPr="00353435" w:rsidRDefault="00ED5C7D" w:rsidP="00ED5C7D">
            <w:pPr>
              <w:ind w:right="142"/>
              <w:jc w:val="right"/>
              <w:rPr>
                <w:iCs/>
              </w:rPr>
            </w:pPr>
            <w:r w:rsidRPr="00353435">
              <w:rPr>
                <w:iCs/>
              </w:rPr>
              <w:t xml:space="preserve">1. tabula </w:t>
            </w:r>
          </w:p>
          <w:p w14:paraId="70B05F9D" w14:textId="73AAC8A8" w:rsidR="00ED5C7D" w:rsidRPr="00353435" w:rsidRDefault="00F365A5" w:rsidP="00ED5C7D">
            <w:pPr>
              <w:ind w:right="142"/>
              <w:jc w:val="center"/>
              <w:rPr>
                <w:i/>
                <w:iCs/>
              </w:rPr>
            </w:pPr>
            <w:r w:rsidRPr="00353435">
              <w:rPr>
                <w:iCs/>
              </w:rPr>
              <w:t>Piena izdalei piemērojamo a</w:t>
            </w:r>
            <w:r w:rsidR="00ED5C7D" w:rsidRPr="00353435">
              <w:rPr>
                <w:iCs/>
              </w:rPr>
              <w:t xml:space="preserve">tbalsta likmju izmaiņu ietekme </w:t>
            </w:r>
            <w:r w:rsidR="00C05C2E" w:rsidRPr="00353435">
              <w:rPr>
                <w:iCs/>
              </w:rPr>
              <w:t xml:space="preserve">uz porciju skaitu </w:t>
            </w:r>
            <w:r w:rsidRPr="00353435">
              <w:rPr>
                <w:iCs/>
              </w:rPr>
              <w:t>vienam</w:t>
            </w:r>
            <w:r w:rsidR="00C05C2E" w:rsidRPr="00353435">
              <w:rPr>
                <w:iCs/>
              </w:rPr>
              <w:t xml:space="preserve"> izglītojamam </w:t>
            </w:r>
            <w:r w:rsidR="00ED5C7D" w:rsidRPr="00353435">
              <w:rPr>
                <w:iCs/>
              </w:rPr>
              <w:t>izdales periodā</w:t>
            </w:r>
            <w:r w:rsidR="00627AE6" w:rsidRPr="00353435">
              <w:rPr>
                <w:iCs/>
              </w:rPr>
              <w:t xml:space="preserve"> </w:t>
            </w:r>
            <w:r w:rsidR="00627AE6" w:rsidRPr="00353435">
              <w:rPr>
                <w:i/>
                <w:iCs/>
              </w:rPr>
              <w:t>(pēc 2017./2018. rādītājiem)</w:t>
            </w:r>
          </w:p>
          <w:tbl>
            <w:tblPr>
              <w:tblStyle w:val="Reatabula"/>
              <w:tblW w:w="0" w:type="auto"/>
              <w:tblLook w:val="04A0" w:firstRow="1" w:lastRow="0" w:firstColumn="1" w:lastColumn="0" w:noHBand="0" w:noVBand="1"/>
            </w:tblPr>
            <w:tblGrid>
              <w:gridCol w:w="3386"/>
              <w:gridCol w:w="1620"/>
              <w:gridCol w:w="1710"/>
            </w:tblGrid>
            <w:tr w:rsidR="00ED5C7D" w:rsidRPr="00353435" w14:paraId="4A8A7D96" w14:textId="77777777" w:rsidTr="00627AE6">
              <w:tc>
                <w:tcPr>
                  <w:tcW w:w="3386" w:type="dxa"/>
                </w:tcPr>
                <w:p w14:paraId="3951090A" w14:textId="77777777" w:rsidR="00ED5C7D" w:rsidRPr="00353435" w:rsidRDefault="00ED5C7D" w:rsidP="00B93370">
                  <w:pPr>
                    <w:ind w:right="142"/>
                    <w:jc w:val="both"/>
                    <w:rPr>
                      <w:iCs/>
                    </w:rPr>
                  </w:pPr>
                </w:p>
              </w:tc>
              <w:tc>
                <w:tcPr>
                  <w:tcW w:w="1620" w:type="dxa"/>
                </w:tcPr>
                <w:p w14:paraId="74D499F9" w14:textId="77777777" w:rsidR="00ED5C7D" w:rsidRPr="00353435" w:rsidRDefault="00627AE6" w:rsidP="00C05C2E">
                  <w:pPr>
                    <w:ind w:right="142"/>
                    <w:jc w:val="center"/>
                    <w:rPr>
                      <w:iCs/>
                    </w:rPr>
                  </w:pPr>
                  <w:r w:rsidRPr="00353435">
                    <w:rPr>
                      <w:iCs/>
                    </w:rPr>
                    <w:t>Esošais scenārijs</w:t>
                  </w:r>
                  <w:r w:rsidR="00411D2C" w:rsidRPr="00353435">
                    <w:rPr>
                      <w:iCs/>
                    </w:rPr>
                    <w:t>*</w:t>
                  </w:r>
                </w:p>
              </w:tc>
              <w:tc>
                <w:tcPr>
                  <w:tcW w:w="1710" w:type="dxa"/>
                </w:tcPr>
                <w:p w14:paraId="1B23E164" w14:textId="77777777" w:rsidR="00ED5C7D" w:rsidRPr="00353435" w:rsidRDefault="00627AE6" w:rsidP="00C05C2E">
                  <w:pPr>
                    <w:ind w:right="142"/>
                    <w:jc w:val="center"/>
                    <w:rPr>
                      <w:iCs/>
                    </w:rPr>
                  </w:pPr>
                  <w:r w:rsidRPr="00353435">
                    <w:rPr>
                      <w:iCs/>
                    </w:rPr>
                    <w:t>Jaunais scenārijs</w:t>
                  </w:r>
                  <w:r w:rsidR="00411D2C" w:rsidRPr="00353435">
                    <w:rPr>
                      <w:iCs/>
                    </w:rPr>
                    <w:t>**</w:t>
                  </w:r>
                </w:p>
              </w:tc>
            </w:tr>
            <w:tr w:rsidR="00ED5C7D" w:rsidRPr="00353435" w14:paraId="4A9A7788" w14:textId="77777777" w:rsidTr="00C05C2E">
              <w:tc>
                <w:tcPr>
                  <w:tcW w:w="3386" w:type="dxa"/>
                </w:tcPr>
                <w:p w14:paraId="3E00CF8A" w14:textId="77777777" w:rsidR="00ED5C7D" w:rsidRPr="00353435" w:rsidRDefault="00ED5C7D" w:rsidP="00B93370">
                  <w:pPr>
                    <w:ind w:right="142"/>
                    <w:jc w:val="both"/>
                    <w:rPr>
                      <w:iCs/>
                    </w:rPr>
                  </w:pPr>
                  <w:r w:rsidRPr="00353435">
                    <w:rPr>
                      <w:iCs/>
                    </w:rPr>
                    <w:t>Aploksne piena izdalei, EUR</w:t>
                  </w:r>
                </w:p>
              </w:tc>
              <w:tc>
                <w:tcPr>
                  <w:tcW w:w="1620" w:type="dxa"/>
                  <w:vAlign w:val="center"/>
                </w:tcPr>
                <w:p w14:paraId="4026B820" w14:textId="77777777" w:rsidR="00ED5C7D" w:rsidRPr="00353435" w:rsidRDefault="00ED5C7D" w:rsidP="00C05C2E">
                  <w:pPr>
                    <w:ind w:right="142"/>
                    <w:jc w:val="center"/>
                    <w:rPr>
                      <w:iCs/>
                    </w:rPr>
                  </w:pPr>
                  <w:r w:rsidRPr="00353435">
                    <w:rPr>
                      <w:iCs/>
                    </w:rPr>
                    <w:t>2</w:t>
                  </w:r>
                  <w:r w:rsidR="00627AE6" w:rsidRPr="00353435">
                    <w:rPr>
                      <w:iCs/>
                    </w:rPr>
                    <w:t xml:space="preserve"> </w:t>
                  </w:r>
                  <w:r w:rsidRPr="00353435">
                    <w:rPr>
                      <w:iCs/>
                    </w:rPr>
                    <w:t>861</w:t>
                  </w:r>
                  <w:r w:rsidR="00627AE6" w:rsidRPr="00353435">
                    <w:rPr>
                      <w:iCs/>
                    </w:rPr>
                    <w:t xml:space="preserve"> </w:t>
                  </w:r>
                  <w:r w:rsidRPr="00353435">
                    <w:rPr>
                      <w:iCs/>
                    </w:rPr>
                    <w:t>535</w:t>
                  </w:r>
                </w:p>
              </w:tc>
              <w:tc>
                <w:tcPr>
                  <w:tcW w:w="1710" w:type="dxa"/>
                  <w:vAlign w:val="center"/>
                </w:tcPr>
                <w:p w14:paraId="2872790C" w14:textId="77777777" w:rsidR="00ED5C7D" w:rsidRPr="00353435" w:rsidRDefault="00ED5C7D" w:rsidP="00C05C2E">
                  <w:pPr>
                    <w:ind w:right="142"/>
                    <w:jc w:val="center"/>
                    <w:rPr>
                      <w:iCs/>
                    </w:rPr>
                  </w:pPr>
                  <w:r w:rsidRPr="00353435">
                    <w:rPr>
                      <w:iCs/>
                    </w:rPr>
                    <w:t>2</w:t>
                  </w:r>
                  <w:r w:rsidR="00627AE6" w:rsidRPr="00353435">
                    <w:rPr>
                      <w:iCs/>
                    </w:rPr>
                    <w:t xml:space="preserve"> </w:t>
                  </w:r>
                  <w:r w:rsidRPr="00353435">
                    <w:rPr>
                      <w:iCs/>
                    </w:rPr>
                    <w:t>861</w:t>
                  </w:r>
                  <w:r w:rsidR="00627AE6" w:rsidRPr="00353435">
                    <w:rPr>
                      <w:iCs/>
                    </w:rPr>
                    <w:t xml:space="preserve"> </w:t>
                  </w:r>
                  <w:r w:rsidRPr="00353435">
                    <w:rPr>
                      <w:iCs/>
                    </w:rPr>
                    <w:t>535</w:t>
                  </w:r>
                </w:p>
              </w:tc>
            </w:tr>
            <w:tr w:rsidR="00ED5C7D" w:rsidRPr="00353435" w14:paraId="31CE14B2" w14:textId="77777777" w:rsidTr="00C05C2E">
              <w:tc>
                <w:tcPr>
                  <w:tcW w:w="3386" w:type="dxa"/>
                </w:tcPr>
                <w:p w14:paraId="22E882C3" w14:textId="77777777" w:rsidR="00ED5C7D" w:rsidRPr="00353435" w:rsidRDefault="00ED5C7D" w:rsidP="00B93370">
                  <w:pPr>
                    <w:ind w:right="142"/>
                    <w:jc w:val="both"/>
                    <w:rPr>
                      <w:iCs/>
                    </w:rPr>
                  </w:pPr>
                  <w:r w:rsidRPr="00353435">
                    <w:rPr>
                      <w:iCs/>
                    </w:rPr>
                    <w:t>Izglītojamo skaits programmā</w:t>
                  </w:r>
                </w:p>
              </w:tc>
              <w:tc>
                <w:tcPr>
                  <w:tcW w:w="1620" w:type="dxa"/>
                  <w:vAlign w:val="center"/>
                </w:tcPr>
                <w:p w14:paraId="4CED2AF6" w14:textId="77777777" w:rsidR="00ED5C7D" w:rsidRPr="00353435" w:rsidRDefault="00ED5C7D" w:rsidP="00C05C2E">
                  <w:pPr>
                    <w:ind w:right="142"/>
                    <w:jc w:val="center"/>
                    <w:rPr>
                      <w:iCs/>
                    </w:rPr>
                  </w:pPr>
                  <w:r w:rsidRPr="00353435">
                    <w:rPr>
                      <w:iCs/>
                    </w:rPr>
                    <w:t>229 617</w:t>
                  </w:r>
                </w:p>
              </w:tc>
              <w:tc>
                <w:tcPr>
                  <w:tcW w:w="1710" w:type="dxa"/>
                  <w:vAlign w:val="center"/>
                </w:tcPr>
                <w:p w14:paraId="4195FB14" w14:textId="77777777" w:rsidR="00ED5C7D" w:rsidRPr="00353435" w:rsidRDefault="00ED5C7D" w:rsidP="00C05C2E">
                  <w:pPr>
                    <w:ind w:right="142"/>
                    <w:jc w:val="center"/>
                    <w:rPr>
                      <w:iCs/>
                    </w:rPr>
                  </w:pPr>
                  <w:r w:rsidRPr="00353435">
                    <w:rPr>
                      <w:iCs/>
                    </w:rPr>
                    <w:t>229 617</w:t>
                  </w:r>
                </w:p>
              </w:tc>
            </w:tr>
            <w:tr w:rsidR="00627AE6" w:rsidRPr="00353435" w14:paraId="21391FBC" w14:textId="77777777" w:rsidTr="00C05C2E">
              <w:tc>
                <w:tcPr>
                  <w:tcW w:w="3386" w:type="dxa"/>
                </w:tcPr>
                <w:p w14:paraId="49FCAFC1" w14:textId="77777777" w:rsidR="00627AE6" w:rsidRPr="00353435" w:rsidRDefault="00627AE6" w:rsidP="00627AE6">
                  <w:pPr>
                    <w:ind w:right="142"/>
                    <w:jc w:val="both"/>
                    <w:rPr>
                      <w:iCs/>
                    </w:rPr>
                  </w:pPr>
                  <w:r w:rsidRPr="00353435">
                    <w:rPr>
                      <w:iCs/>
                    </w:rPr>
                    <w:t>Porcijas vidējais lielums, litri</w:t>
                  </w:r>
                </w:p>
              </w:tc>
              <w:tc>
                <w:tcPr>
                  <w:tcW w:w="1620" w:type="dxa"/>
                  <w:vAlign w:val="center"/>
                </w:tcPr>
                <w:p w14:paraId="7DEF56B3" w14:textId="77777777" w:rsidR="00627AE6" w:rsidRPr="00353435" w:rsidRDefault="00627AE6" w:rsidP="00C05C2E">
                  <w:pPr>
                    <w:ind w:right="142"/>
                    <w:jc w:val="center"/>
                    <w:rPr>
                      <w:iCs/>
                    </w:rPr>
                  </w:pPr>
                  <w:r w:rsidRPr="00353435">
                    <w:rPr>
                      <w:iCs/>
                    </w:rPr>
                    <w:t>0,20</w:t>
                  </w:r>
                </w:p>
              </w:tc>
              <w:tc>
                <w:tcPr>
                  <w:tcW w:w="1710" w:type="dxa"/>
                  <w:vAlign w:val="center"/>
                </w:tcPr>
                <w:p w14:paraId="61DE1E31" w14:textId="77777777" w:rsidR="00627AE6" w:rsidRPr="00353435" w:rsidRDefault="00627AE6" w:rsidP="00C05C2E">
                  <w:pPr>
                    <w:ind w:right="142"/>
                    <w:jc w:val="center"/>
                    <w:rPr>
                      <w:iCs/>
                    </w:rPr>
                  </w:pPr>
                  <w:r w:rsidRPr="00353435">
                    <w:rPr>
                      <w:iCs/>
                    </w:rPr>
                    <w:t>0,20</w:t>
                  </w:r>
                </w:p>
              </w:tc>
            </w:tr>
            <w:tr w:rsidR="00ED5C7D" w:rsidRPr="00353435" w14:paraId="2ACE7371" w14:textId="77777777" w:rsidTr="00C05C2E">
              <w:tc>
                <w:tcPr>
                  <w:tcW w:w="3386" w:type="dxa"/>
                </w:tcPr>
                <w:p w14:paraId="27833249" w14:textId="3ED4EBE3" w:rsidR="00ED5C7D" w:rsidRPr="00353435" w:rsidRDefault="00ED5C7D" w:rsidP="00627AE6">
                  <w:pPr>
                    <w:ind w:right="142"/>
                    <w:jc w:val="both"/>
                    <w:rPr>
                      <w:iCs/>
                    </w:rPr>
                  </w:pPr>
                  <w:r w:rsidRPr="00353435">
                    <w:rPr>
                      <w:iCs/>
                    </w:rPr>
                    <w:t xml:space="preserve">Vidējā svaigpiena iepirkuma cena valstī laikā no 2017. </w:t>
                  </w:r>
                  <w:r w:rsidR="00627AE6" w:rsidRPr="00353435">
                    <w:rPr>
                      <w:iCs/>
                    </w:rPr>
                    <w:t>g</w:t>
                  </w:r>
                  <w:r w:rsidRPr="00353435">
                    <w:rPr>
                      <w:iCs/>
                    </w:rPr>
                    <w:t>ada oktob</w:t>
                  </w:r>
                  <w:r w:rsidR="00627AE6" w:rsidRPr="00353435">
                    <w:rPr>
                      <w:iCs/>
                    </w:rPr>
                    <w:t>r</w:t>
                  </w:r>
                  <w:r w:rsidRPr="00353435">
                    <w:rPr>
                      <w:iCs/>
                    </w:rPr>
                    <w:t xml:space="preserve">a līdz 2018. </w:t>
                  </w:r>
                  <w:r w:rsidR="00627AE6" w:rsidRPr="00353435">
                    <w:rPr>
                      <w:iCs/>
                    </w:rPr>
                    <w:t>g</w:t>
                  </w:r>
                  <w:r w:rsidRPr="00353435">
                    <w:rPr>
                      <w:iCs/>
                    </w:rPr>
                    <w:t xml:space="preserve">ada maijam, </w:t>
                  </w:r>
                  <w:proofErr w:type="spellStart"/>
                  <w:r w:rsidRPr="00353435">
                    <w:rPr>
                      <w:i/>
                      <w:iCs/>
                    </w:rPr>
                    <w:t>euro</w:t>
                  </w:r>
                  <w:proofErr w:type="spellEnd"/>
                  <w:r w:rsidR="004F16FE">
                    <w:rPr>
                      <w:iCs/>
                    </w:rPr>
                    <w:t xml:space="preserve"> par </w:t>
                  </w:r>
                  <w:r w:rsidR="00627AE6" w:rsidRPr="00353435">
                    <w:rPr>
                      <w:iCs/>
                    </w:rPr>
                    <w:t>litru</w:t>
                  </w:r>
                </w:p>
              </w:tc>
              <w:tc>
                <w:tcPr>
                  <w:tcW w:w="1620" w:type="dxa"/>
                  <w:vAlign w:val="center"/>
                </w:tcPr>
                <w:p w14:paraId="6F2CDCD4" w14:textId="77777777" w:rsidR="00ED5C7D" w:rsidRPr="00353435" w:rsidRDefault="00627AE6" w:rsidP="00C05C2E">
                  <w:pPr>
                    <w:ind w:right="142"/>
                    <w:jc w:val="center"/>
                    <w:rPr>
                      <w:iCs/>
                    </w:rPr>
                  </w:pPr>
                  <w:r w:rsidRPr="00353435">
                    <w:rPr>
                      <w:iCs/>
                    </w:rPr>
                    <w:t xml:space="preserve">0,307 </w:t>
                  </w:r>
                  <w:r w:rsidR="00C05C2E" w:rsidRPr="00353435">
                    <w:rPr>
                      <w:iCs/>
                    </w:rPr>
                    <w:t>(</w:t>
                  </w:r>
                  <w:r w:rsidR="00C05C2E" w:rsidRPr="00353435">
                    <w:rPr>
                      <w:i/>
                      <w:iCs/>
                    </w:rPr>
                    <w:t>mainīga pa mēnešiem</w:t>
                  </w:r>
                  <w:r w:rsidR="00C05C2E" w:rsidRPr="00353435">
                    <w:rPr>
                      <w:iCs/>
                    </w:rPr>
                    <w:t>)</w:t>
                  </w:r>
                </w:p>
              </w:tc>
              <w:tc>
                <w:tcPr>
                  <w:tcW w:w="1710" w:type="dxa"/>
                  <w:vAlign w:val="center"/>
                </w:tcPr>
                <w:p w14:paraId="2720A7B4" w14:textId="77777777" w:rsidR="00ED5C7D" w:rsidRPr="00353435" w:rsidRDefault="00C05C2E" w:rsidP="00C05C2E">
                  <w:pPr>
                    <w:ind w:right="142"/>
                    <w:jc w:val="center"/>
                    <w:rPr>
                      <w:iCs/>
                    </w:rPr>
                  </w:pPr>
                  <w:r w:rsidRPr="00353435">
                    <w:rPr>
                      <w:iCs/>
                    </w:rPr>
                    <w:t>n</w:t>
                  </w:r>
                  <w:r w:rsidR="00627AE6" w:rsidRPr="00353435">
                    <w:rPr>
                      <w:iCs/>
                    </w:rPr>
                    <w:t>av attiecināms</w:t>
                  </w:r>
                </w:p>
              </w:tc>
            </w:tr>
            <w:tr w:rsidR="00627AE6" w:rsidRPr="00353435" w14:paraId="5A19F4BB" w14:textId="77777777" w:rsidTr="00C05C2E">
              <w:tc>
                <w:tcPr>
                  <w:tcW w:w="3386" w:type="dxa"/>
                </w:tcPr>
                <w:p w14:paraId="4D2F81BA" w14:textId="096A2EC5" w:rsidR="00627AE6" w:rsidRPr="00353435" w:rsidRDefault="00627AE6" w:rsidP="00B93370">
                  <w:pPr>
                    <w:ind w:right="142"/>
                    <w:jc w:val="both"/>
                    <w:rPr>
                      <w:iCs/>
                    </w:rPr>
                  </w:pPr>
                  <w:r w:rsidRPr="00353435">
                    <w:rPr>
                      <w:iCs/>
                    </w:rPr>
                    <w:t xml:space="preserve">Vidējā svaigpiena iepirkuma cena programmā iesaistītiem uzņēmumiem </w:t>
                  </w:r>
                  <w:r w:rsidR="00F365A5" w:rsidRPr="00353435">
                    <w:rPr>
                      <w:iCs/>
                    </w:rPr>
                    <w:t>trīs</w:t>
                  </w:r>
                  <w:r w:rsidRPr="00353435">
                    <w:rPr>
                      <w:iCs/>
                    </w:rPr>
                    <w:t xml:space="preserve"> gadu laikposmā, </w:t>
                  </w:r>
                  <w:proofErr w:type="spellStart"/>
                  <w:r w:rsidRPr="00353435">
                    <w:rPr>
                      <w:i/>
                      <w:iCs/>
                    </w:rPr>
                    <w:t>euro</w:t>
                  </w:r>
                  <w:proofErr w:type="spellEnd"/>
                  <w:r w:rsidR="004F16FE">
                    <w:rPr>
                      <w:i/>
                      <w:iCs/>
                    </w:rPr>
                    <w:t xml:space="preserve"> </w:t>
                  </w:r>
                  <w:r w:rsidR="004F16FE">
                    <w:rPr>
                      <w:iCs/>
                    </w:rPr>
                    <w:t xml:space="preserve">par </w:t>
                  </w:r>
                  <w:r w:rsidRPr="00353435">
                    <w:rPr>
                      <w:iCs/>
                    </w:rPr>
                    <w:t>litru</w:t>
                  </w:r>
                </w:p>
              </w:tc>
              <w:tc>
                <w:tcPr>
                  <w:tcW w:w="1620" w:type="dxa"/>
                  <w:vAlign w:val="center"/>
                </w:tcPr>
                <w:p w14:paraId="3290A7F2" w14:textId="77777777" w:rsidR="00627AE6" w:rsidRPr="00353435" w:rsidRDefault="00C05C2E" w:rsidP="00C05C2E">
                  <w:pPr>
                    <w:ind w:right="142"/>
                    <w:jc w:val="center"/>
                    <w:rPr>
                      <w:iCs/>
                    </w:rPr>
                  </w:pPr>
                  <w:r w:rsidRPr="00353435">
                    <w:rPr>
                      <w:iCs/>
                    </w:rPr>
                    <w:t>n</w:t>
                  </w:r>
                  <w:r w:rsidR="00627AE6" w:rsidRPr="00353435">
                    <w:rPr>
                      <w:iCs/>
                    </w:rPr>
                    <w:t>av attiecināms</w:t>
                  </w:r>
                </w:p>
              </w:tc>
              <w:tc>
                <w:tcPr>
                  <w:tcW w:w="1710" w:type="dxa"/>
                  <w:vAlign w:val="center"/>
                </w:tcPr>
                <w:p w14:paraId="7287AD8D" w14:textId="77777777" w:rsidR="00627AE6" w:rsidRPr="00353435" w:rsidRDefault="00627AE6" w:rsidP="00C05C2E">
                  <w:pPr>
                    <w:ind w:right="142"/>
                    <w:jc w:val="center"/>
                    <w:rPr>
                      <w:iCs/>
                    </w:rPr>
                  </w:pPr>
                  <w:r w:rsidRPr="00353435">
                    <w:rPr>
                      <w:iCs/>
                    </w:rPr>
                    <w:t>0,31</w:t>
                  </w:r>
                  <w:r w:rsidR="00C05C2E" w:rsidRPr="00353435">
                    <w:rPr>
                      <w:iCs/>
                    </w:rPr>
                    <w:t>9</w:t>
                  </w:r>
                </w:p>
              </w:tc>
            </w:tr>
            <w:tr w:rsidR="00627AE6" w:rsidRPr="00353435" w14:paraId="6AF7FCEB" w14:textId="77777777" w:rsidTr="00C05C2E">
              <w:tc>
                <w:tcPr>
                  <w:tcW w:w="3386" w:type="dxa"/>
                </w:tcPr>
                <w:p w14:paraId="30CE832D" w14:textId="49910419" w:rsidR="00627AE6" w:rsidRPr="00353435" w:rsidRDefault="00627AE6" w:rsidP="00C05C2E">
                  <w:pPr>
                    <w:ind w:right="142"/>
                    <w:jc w:val="both"/>
                    <w:rPr>
                      <w:iCs/>
                    </w:rPr>
                  </w:pPr>
                  <w:r w:rsidRPr="00353435">
                    <w:rPr>
                      <w:iCs/>
                    </w:rPr>
                    <w:t xml:space="preserve">Atbalsta likmes nemainīgā daļa (vidēji </w:t>
                  </w:r>
                  <w:r w:rsidR="00C05C2E" w:rsidRPr="00353435">
                    <w:rPr>
                      <w:iCs/>
                    </w:rPr>
                    <w:t>pa</w:t>
                  </w:r>
                  <w:r w:rsidRPr="00353435">
                    <w:rPr>
                      <w:iCs/>
                    </w:rPr>
                    <w:t xml:space="preserve"> visiem piena veidiem), </w:t>
                  </w:r>
                  <w:proofErr w:type="spellStart"/>
                  <w:r w:rsidRPr="00353435">
                    <w:rPr>
                      <w:i/>
                      <w:iCs/>
                    </w:rPr>
                    <w:t>euro</w:t>
                  </w:r>
                  <w:proofErr w:type="spellEnd"/>
                  <w:r w:rsidR="004F16FE">
                    <w:rPr>
                      <w:i/>
                      <w:iCs/>
                    </w:rPr>
                    <w:t xml:space="preserve"> </w:t>
                  </w:r>
                  <w:r w:rsidR="004F16FE">
                    <w:rPr>
                      <w:iCs/>
                    </w:rPr>
                    <w:t xml:space="preserve">par </w:t>
                  </w:r>
                  <w:r w:rsidRPr="00353435">
                    <w:rPr>
                      <w:iCs/>
                    </w:rPr>
                    <w:t>litru</w:t>
                  </w:r>
                </w:p>
              </w:tc>
              <w:tc>
                <w:tcPr>
                  <w:tcW w:w="1620" w:type="dxa"/>
                  <w:vAlign w:val="center"/>
                </w:tcPr>
                <w:p w14:paraId="7D8B15A2" w14:textId="77777777" w:rsidR="00627AE6" w:rsidRPr="00353435" w:rsidRDefault="00627AE6" w:rsidP="00C05C2E">
                  <w:pPr>
                    <w:ind w:right="142"/>
                    <w:jc w:val="center"/>
                    <w:rPr>
                      <w:iCs/>
                    </w:rPr>
                  </w:pPr>
                  <w:r w:rsidRPr="00353435">
                    <w:rPr>
                      <w:iCs/>
                    </w:rPr>
                    <w:t>0,515</w:t>
                  </w:r>
                </w:p>
              </w:tc>
              <w:tc>
                <w:tcPr>
                  <w:tcW w:w="1710" w:type="dxa"/>
                  <w:vAlign w:val="center"/>
                </w:tcPr>
                <w:p w14:paraId="5BC9E235" w14:textId="77777777" w:rsidR="00627AE6" w:rsidRPr="00353435" w:rsidRDefault="00627AE6" w:rsidP="00C05C2E">
                  <w:pPr>
                    <w:ind w:right="142"/>
                    <w:jc w:val="center"/>
                    <w:rPr>
                      <w:iCs/>
                    </w:rPr>
                  </w:pPr>
                  <w:r w:rsidRPr="00353435">
                    <w:rPr>
                      <w:iCs/>
                    </w:rPr>
                    <w:t>0,515</w:t>
                  </w:r>
                </w:p>
              </w:tc>
            </w:tr>
            <w:tr w:rsidR="00627AE6" w:rsidRPr="00353435" w14:paraId="5CAE86A1" w14:textId="77777777" w:rsidTr="00C05C2E">
              <w:tc>
                <w:tcPr>
                  <w:tcW w:w="3386" w:type="dxa"/>
                </w:tcPr>
                <w:p w14:paraId="46AEB244" w14:textId="5B570653" w:rsidR="00627AE6" w:rsidRPr="00353435" w:rsidRDefault="00627AE6" w:rsidP="00AC4E19">
                  <w:pPr>
                    <w:ind w:right="142"/>
                    <w:jc w:val="both"/>
                    <w:rPr>
                      <w:iCs/>
                    </w:rPr>
                  </w:pPr>
                  <w:r w:rsidRPr="00353435">
                    <w:rPr>
                      <w:iCs/>
                    </w:rPr>
                    <w:t xml:space="preserve">Kopējā atbalsta likme </w:t>
                  </w:r>
                  <w:proofErr w:type="spellStart"/>
                  <w:r w:rsidRPr="00353435">
                    <w:rPr>
                      <w:i/>
                      <w:iCs/>
                    </w:rPr>
                    <w:t>euro</w:t>
                  </w:r>
                  <w:proofErr w:type="spellEnd"/>
                  <w:r w:rsidR="004F16FE">
                    <w:rPr>
                      <w:iCs/>
                    </w:rPr>
                    <w:t xml:space="preserve"> par </w:t>
                  </w:r>
                  <w:r w:rsidR="00AC4E19" w:rsidRPr="00353435">
                    <w:rPr>
                      <w:iCs/>
                    </w:rPr>
                    <w:t>litru</w:t>
                  </w:r>
                  <w:r w:rsidR="00C05C2E" w:rsidRPr="00353435">
                    <w:rPr>
                      <w:iCs/>
                    </w:rPr>
                    <w:t xml:space="preserve"> </w:t>
                  </w:r>
                  <w:r w:rsidR="00411D2C" w:rsidRPr="00353435">
                    <w:rPr>
                      <w:iCs/>
                    </w:rPr>
                    <w:t>(</w:t>
                  </w:r>
                  <w:r w:rsidR="00411D2C" w:rsidRPr="00353435">
                    <w:rPr>
                      <w:i/>
                      <w:iCs/>
                    </w:rPr>
                    <w:t>svaigpiena iepirkuma cena + likmes nemainīgā daļa</w:t>
                  </w:r>
                  <w:r w:rsidR="00411D2C" w:rsidRPr="00353435">
                    <w:rPr>
                      <w:iCs/>
                    </w:rPr>
                    <w:t xml:space="preserve">) </w:t>
                  </w:r>
                </w:p>
              </w:tc>
              <w:tc>
                <w:tcPr>
                  <w:tcW w:w="1620" w:type="dxa"/>
                  <w:vAlign w:val="center"/>
                </w:tcPr>
                <w:p w14:paraId="36F9ADF3" w14:textId="77777777" w:rsidR="00627AE6" w:rsidRPr="00353435" w:rsidRDefault="00C05C2E" w:rsidP="00C05C2E">
                  <w:pPr>
                    <w:ind w:right="142"/>
                    <w:jc w:val="center"/>
                    <w:rPr>
                      <w:iCs/>
                    </w:rPr>
                  </w:pPr>
                  <w:r w:rsidRPr="00353435">
                    <w:rPr>
                      <w:iCs/>
                    </w:rPr>
                    <w:t>0,822 (</w:t>
                  </w:r>
                  <w:r w:rsidRPr="00353435">
                    <w:rPr>
                      <w:i/>
                      <w:iCs/>
                    </w:rPr>
                    <w:t>mainīga pa mēnešiem, sekojot iepirkuma cenai</w:t>
                  </w:r>
                  <w:r w:rsidRPr="00353435">
                    <w:rPr>
                      <w:iCs/>
                    </w:rPr>
                    <w:t>)</w:t>
                  </w:r>
                </w:p>
              </w:tc>
              <w:tc>
                <w:tcPr>
                  <w:tcW w:w="1710" w:type="dxa"/>
                  <w:vAlign w:val="center"/>
                </w:tcPr>
                <w:p w14:paraId="2393158D" w14:textId="77777777" w:rsidR="00627AE6" w:rsidRPr="00353435" w:rsidRDefault="00C05C2E" w:rsidP="00C05C2E">
                  <w:pPr>
                    <w:ind w:right="142"/>
                    <w:jc w:val="center"/>
                    <w:rPr>
                      <w:iCs/>
                    </w:rPr>
                  </w:pPr>
                  <w:r w:rsidRPr="00353435">
                    <w:rPr>
                      <w:iCs/>
                    </w:rPr>
                    <w:t>0,834</w:t>
                  </w:r>
                </w:p>
              </w:tc>
            </w:tr>
            <w:tr w:rsidR="00627AE6" w:rsidRPr="00353435" w14:paraId="2DFB8C3B" w14:textId="77777777" w:rsidTr="00C05C2E">
              <w:tc>
                <w:tcPr>
                  <w:tcW w:w="3386" w:type="dxa"/>
                </w:tcPr>
                <w:p w14:paraId="2E6FC879" w14:textId="40643BED" w:rsidR="00627AE6" w:rsidRPr="00353435" w:rsidRDefault="00C05C2E" w:rsidP="00C05C2E">
                  <w:pPr>
                    <w:ind w:right="142"/>
                    <w:jc w:val="both"/>
                    <w:rPr>
                      <w:iCs/>
                    </w:rPr>
                  </w:pPr>
                  <w:r w:rsidRPr="00353435">
                    <w:rPr>
                      <w:iCs/>
                    </w:rPr>
                    <w:t xml:space="preserve">Iespējamais porciju skaits </w:t>
                  </w:r>
                  <w:r w:rsidR="00F365A5" w:rsidRPr="00353435">
                    <w:rPr>
                      <w:iCs/>
                    </w:rPr>
                    <w:t>vienam</w:t>
                  </w:r>
                  <w:r w:rsidRPr="00353435">
                    <w:rPr>
                      <w:iCs/>
                    </w:rPr>
                    <w:t xml:space="preserve"> izglītojamam izdales periodā (</w:t>
                  </w:r>
                  <w:r w:rsidRPr="00353435">
                    <w:rPr>
                      <w:i/>
                      <w:iCs/>
                    </w:rPr>
                    <w:t xml:space="preserve">aploksne : atbalsta </w:t>
                  </w:r>
                  <w:r w:rsidRPr="00353435">
                    <w:rPr>
                      <w:i/>
                      <w:iCs/>
                    </w:rPr>
                    <w:lastRenderedPageBreak/>
                    <w:t>likme : izglītojamo skaits : porcijas lielums</w:t>
                  </w:r>
                  <w:r w:rsidRPr="00353435">
                    <w:rPr>
                      <w:iCs/>
                    </w:rPr>
                    <w:t>)</w:t>
                  </w:r>
                </w:p>
              </w:tc>
              <w:tc>
                <w:tcPr>
                  <w:tcW w:w="1620" w:type="dxa"/>
                  <w:vAlign w:val="center"/>
                </w:tcPr>
                <w:p w14:paraId="116A98B6" w14:textId="77777777" w:rsidR="00627AE6" w:rsidRPr="00353435" w:rsidRDefault="00C05C2E" w:rsidP="00C05C2E">
                  <w:pPr>
                    <w:ind w:right="142"/>
                    <w:jc w:val="center"/>
                    <w:rPr>
                      <w:iCs/>
                    </w:rPr>
                  </w:pPr>
                  <w:r w:rsidRPr="00353435">
                    <w:rPr>
                      <w:iCs/>
                    </w:rPr>
                    <w:lastRenderedPageBreak/>
                    <w:t>75,82</w:t>
                  </w:r>
                </w:p>
              </w:tc>
              <w:tc>
                <w:tcPr>
                  <w:tcW w:w="1710" w:type="dxa"/>
                  <w:vAlign w:val="center"/>
                </w:tcPr>
                <w:p w14:paraId="41712DEC" w14:textId="77777777" w:rsidR="00627AE6" w:rsidRPr="00353435" w:rsidRDefault="00C05C2E" w:rsidP="00C05C2E">
                  <w:pPr>
                    <w:ind w:right="142"/>
                    <w:jc w:val="center"/>
                    <w:rPr>
                      <w:iCs/>
                    </w:rPr>
                  </w:pPr>
                  <w:r w:rsidRPr="00353435">
                    <w:rPr>
                      <w:iCs/>
                    </w:rPr>
                    <w:t>74,67</w:t>
                  </w:r>
                </w:p>
              </w:tc>
            </w:tr>
            <w:tr w:rsidR="00C05C2E" w:rsidRPr="00353435" w14:paraId="054FB076" w14:textId="77777777" w:rsidTr="00C05C2E">
              <w:tc>
                <w:tcPr>
                  <w:tcW w:w="3386" w:type="dxa"/>
                </w:tcPr>
                <w:p w14:paraId="263F7094" w14:textId="605BBE8C" w:rsidR="00C05C2E" w:rsidRPr="00353435" w:rsidRDefault="00C05C2E" w:rsidP="00C05C2E">
                  <w:pPr>
                    <w:ind w:right="142"/>
                    <w:jc w:val="both"/>
                    <w:rPr>
                      <w:iCs/>
                    </w:rPr>
                  </w:pPr>
                  <w:r w:rsidRPr="00353435">
                    <w:rPr>
                      <w:iCs/>
                    </w:rPr>
                    <w:t xml:space="preserve">Ietekme uz porciju skaitu </w:t>
                  </w:r>
                  <w:r w:rsidR="00F365A5" w:rsidRPr="00353435">
                    <w:rPr>
                      <w:iCs/>
                    </w:rPr>
                    <w:t>vienam</w:t>
                  </w:r>
                  <w:r w:rsidRPr="00353435">
                    <w:rPr>
                      <w:iCs/>
                    </w:rPr>
                    <w:t xml:space="preserve"> izglītojamam</w:t>
                  </w:r>
                </w:p>
              </w:tc>
              <w:tc>
                <w:tcPr>
                  <w:tcW w:w="1620" w:type="dxa"/>
                  <w:vAlign w:val="center"/>
                </w:tcPr>
                <w:p w14:paraId="6ACE99A2" w14:textId="77777777" w:rsidR="00C05C2E" w:rsidRPr="00353435" w:rsidRDefault="00C05C2E" w:rsidP="00C05C2E">
                  <w:pPr>
                    <w:ind w:right="142"/>
                    <w:jc w:val="center"/>
                    <w:rPr>
                      <w:iCs/>
                    </w:rPr>
                  </w:pPr>
                  <w:r w:rsidRPr="00353435">
                    <w:rPr>
                      <w:iCs/>
                    </w:rPr>
                    <w:t>nav attiecināms</w:t>
                  </w:r>
                </w:p>
              </w:tc>
              <w:tc>
                <w:tcPr>
                  <w:tcW w:w="1710" w:type="dxa"/>
                  <w:vAlign w:val="center"/>
                </w:tcPr>
                <w:p w14:paraId="12E8BAB7" w14:textId="3AA9FDB1" w:rsidR="00C05C2E" w:rsidRPr="00353435" w:rsidRDefault="00F365A5" w:rsidP="00C05C2E">
                  <w:pPr>
                    <w:ind w:right="142"/>
                    <w:jc w:val="center"/>
                    <w:rPr>
                      <w:iCs/>
                    </w:rPr>
                  </w:pPr>
                  <w:r w:rsidRPr="00353435">
                    <w:rPr>
                      <w:iCs/>
                    </w:rPr>
                    <w:t>–</w:t>
                  </w:r>
                  <w:r w:rsidR="00C05C2E" w:rsidRPr="00353435">
                    <w:rPr>
                      <w:iCs/>
                    </w:rPr>
                    <w:t xml:space="preserve"> 1,14</w:t>
                  </w:r>
                </w:p>
              </w:tc>
            </w:tr>
          </w:tbl>
          <w:p w14:paraId="5D315843" w14:textId="26763A4E" w:rsidR="00ED5C7D" w:rsidRPr="00353435" w:rsidRDefault="00411D2C" w:rsidP="00B93370">
            <w:pPr>
              <w:ind w:right="142"/>
              <w:jc w:val="both"/>
              <w:rPr>
                <w:i/>
                <w:iCs/>
              </w:rPr>
            </w:pPr>
            <w:r w:rsidRPr="00353435">
              <w:rPr>
                <w:i/>
                <w:iCs/>
              </w:rPr>
              <w:t>Skaidrojumi</w:t>
            </w:r>
            <w:r w:rsidR="00F365A5" w:rsidRPr="00353435">
              <w:rPr>
                <w:i/>
                <w:iCs/>
              </w:rPr>
              <w:t>.</w:t>
            </w:r>
          </w:p>
          <w:p w14:paraId="4913E16C" w14:textId="6B46C127" w:rsidR="00411D2C" w:rsidRPr="00353435" w:rsidRDefault="00411D2C" w:rsidP="00B93370">
            <w:pPr>
              <w:ind w:right="142"/>
              <w:jc w:val="both"/>
              <w:rPr>
                <w:i/>
                <w:iCs/>
              </w:rPr>
            </w:pPr>
            <w:r w:rsidRPr="00353435">
              <w:rPr>
                <w:i/>
                <w:iCs/>
              </w:rPr>
              <w:t xml:space="preserve">* </w:t>
            </w:r>
            <w:r w:rsidR="00F365A5" w:rsidRPr="00353435">
              <w:rPr>
                <w:i/>
                <w:iCs/>
              </w:rPr>
              <w:t>E</w:t>
            </w:r>
            <w:r w:rsidRPr="00353435">
              <w:rPr>
                <w:i/>
                <w:iCs/>
              </w:rPr>
              <w:t xml:space="preserve">sošais scenārijs atspoguļo aprēķinus par atbalsta programmas faktisko iespējamo </w:t>
            </w:r>
            <w:r w:rsidR="00F365A5" w:rsidRPr="00353435">
              <w:rPr>
                <w:i/>
                <w:iCs/>
              </w:rPr>
              <w:t>īstenošanu</w:t>
            </w:r>
            <w:r w:rsidRPr="00353435">
              <w:rPr>
                <w:i/>
                <w:iCs/>
              </w:rPr>
              <w:t xml:space="preserve"> 2017./2018. mācību gadā, pieņemot, ka visā izdales periodā bija nemainīga svaigpiena iepirkuma cena un visa veida pienam tika piemērota vidēja nemainīgā atbalsta likmes daļa</w:t>
            </w:r>
            <w:r w:rsidR="00F365A5" w:rsidRPr="00353435">
              <w:rPr>
                <w:i/>
                <w:iCs/>
              </w:rPr>
              <w:t>.</w:t>
            </w:r>
          </w:p>
          <w:p w14:paraId="1ABBD955" w14:textId="35414A5E" w:rsidR="00411D2C" w:rsidRPr="00353435" w:rsidRDefault="00411D2C" w:rsidP="00B93370">
            <w:pPr>
              <w:ind w:right="142"/>
              <w:jc w:val="both"/>
              <w:rPr>
                <w:i/>
                <w:iCs/>
              </w:rPr>
            </w:pPr>
            <w:r w:rsidRPr="00353435">
              <w:rPr>
                <w:i/>
                <w:iCs/>
              </w:rPr>
              <w:t xml:space="preserve">** </w:t>
            </w:r>
            <w:r w:rsidR="00F365A5" w:rsidRPr="00353435">
              <w:rPr>
                <w:i/>
                <w:iCs/>
              </w:rPr>
              <w:t>J</w:t>
            </w:r>
            <w:r w:rsidRPr="00353435">
              <w:rPr>
                <w:i/>
                <w:iCs/>
              </w:rPr>
              <w:t xml:space="preserve">aunais scenārijs atspoguļo aprēķinus par atbalsta programmas iespējamo </w:t>
            </w:r>
            <w:r w:rsidR="00F365A5" w:rsidRPr="00353435">
              <w:rPr>
                <w:i/>
                <w:iCs/>
              </w:rPr>
              <w:t>īstenošanu</w:t>
            </w:r>
            <w:r w:rsidRPr="00353435">
              <w:rPr>
                <w:i/>
                <w:iCs/>
              </w:rPr>
              <w:t xml:space="preserve"> 2017./2018. mācību gadā</w:t>
            </w:r>
            <w:r w:rsidR="00F365A5" w:rsidRPr="00353435">
              <w:rPr>
                <w:i/>
                <w:iCs/>
              </w:rPr>
              <w:t>, ja pastāv</w:t>
            </w:r>
            <w:r w:rsidRPr="00353435">
              <w:rPr>
                <w:i/>
                <w:iCs/>
              </w:rPr>
              <w:t xml:space="preserve"> nemainīga atbalsta likme, pieņemot, ka </w:t>
            </w:r>
            <w:r w:rsidR="004F16FE">
              <w:rPr>
                <w:i/>
                <w:iCs/>
              </w:rPr>
              <w:t>jebkura</w:t>
            </w:r>
            <w:r w:rsidRPr="00353435">
              <w:rPr>
                <w:i/>
                <w:iCs/>
              </w:rPr>
              <w:t xml:space="preserve"> veid</w:t>
            </w:r>
            <w:r w:rsidR="004F16FE">
              <w:rPr>
                <w:i/>
                <w:iCs/>
              </w:rPr>
              <w:t>a</w:t>
            </w:r>
            <w:r w:rsidRPr="00353435">
              <w:rPr>
                <w:i/>
                <w:iCs/>
              </w:rPr>
              <w:t xml:space="preserve"> pienam tiek piemērota vienāda atbalsta likme.</w:t>
            </w:r>
          </w:p>
          <w:p w14:paraId="505C66B1" w14:textId="4C2D2CE4" w:rsidR="002E1DB5" w:rsidRPr="00353435" w:rsidRDefault="002E1DB5" w:rsidP="00B93370">
            <w:pPr>
              <w:ind w:right="142"/>
              <w:jc w:val="both"/>
              <w:rPr>
                <w:iCs/>
              </w:rPr>
            </w:pPr>
            <w:r w:rsidRPr="00353435">
              <w:rPr>
                <w:iCs/>
              </w:rPr>
              <w:t xml:space="preserve">2. Noteikumu projekts paredz </w:t>
            </w:r>
            <w:r w:rsidR="00F365A5" w:rsidRPr="00353435">
              <w:rPr>
                <w:iCs/>
              </w:rPr>
              <w:t xml:space="preserve">arī </w:t>
            </w:r>
            <w:r w:rsidRPr="00353435">
              <w:rPr>
                <w:iCs/>
              </w:rPr>
              <w:t>turpmāk noteikt vienād</w:t>
            </w:r>
            <w:r w:rsidR="004F13C2" w:rsidRPr="00353435">
              <w:rPr>
                <w:iCs/>
              </w:rPr>
              <w:t>u</w:t>
            </w:r>
            <w:r w:rsidRPr="00353435">
              <w:rPr>
                <w:iCs/>
              </w:rPr>
              <w:t xml:space="preserve"> izdales periodu gan pienam, gan augļiem, dārzeņiem un asorti. Līdz šim noteikumu Nr. 485 5. punkts noteica, ka augļu, dārzeņu un asorti izdales periods sākas novembrī, bet pienam – oktobrī. Tā kā atbalsta programmā iesaistītie augļu un dārzeņu ražotāji ir norādījuši, ka var nodrošināt atbalsta programmas nosacījumiem atbilstošus produktus jau no oktobra, ir nepieciešams izdarīt attiecīgus grozījumus. </w:t>
            </w:r>
          </w:p>
          <w:p w14:paraId="03DC7616" w14:textId="7C1FF1E7" w:rsidR="00401C21" w:rsidRPr="00353435" w:rsidRDefault="002E1DB5" w:rsidP="00B93370">
            <w:pPr>
              <w:ind w:right="142"/>
              <w:jc w:val="both"/>
              <w:rPr>
                <w:iCs/>
              </w:rPr>
            </w:pPr>
            <w:r w:rsidRPr="00353435">
              <w:rPr>
                <w:iCs/>
              </w:rPr>
              <w:t xml:space="preserve">3. </w:t>
            </w:r>
            <w:r w:rsidR="00F365A5" w:rsidRPr="00353435">
              <w:rPr>
                <w:iCs/>
              </w:rPr>
              <w:t>Reizē</w:t>
            </w:r>
            <w:r w:rsidR="00401C21" w:rsidRPr="00353435">
              <w:rPr>
                <w:iCs/>
              </w:rPr>
              <w:t xml:space="preserve"> ar vienāda izdales perioda noteikšanu noteikumu projekts arī paredz noteikt vienādus nosacījumus atbalsta priekšfinansējuma saņemšanai. </w:t>
            </w:r>
          </w:p>
          <w:p w14:paraId="3BAADF0B" w14:textId="299F6DE7" w:rsidR="00263D41" w:rsidRPr="00353435" w:rsidRDefault="00401C21" w:rsidP="00B93370">
            <w:pPr>
              <w:ind w:right="142"/>
              <w:jc w:val="both"/>
              <w:rPr>
                <w:iCs/>
              </w:rPr>
            </w:pPr>
            <w:r w:rsidRPr="00353435">
              <w:rPr>
                <w:iCs/>
              </w:rPr>
              <w:t xml:space="preserve">4. </w:t>
            </w:r>
            <w:r w:rsidR="004F16FE">
              <w:rPr>
                <w:iCs/>
              </w:rPr>
              <w:t>Tāpat noteikumu projekts paredz iespēju atbalsta pretendentam, ja tas līdz kārtējā mācību gada beigām plāno neizmantot visu tam piešķirto apgādes tiesību apmēru, nodot visas vai daļu no tam piešķirtām neizmantotajām apgādes tiesībām par attiecīgo izglītības iestādi citam atbalsta pretendentam. Projektā noteikts, ka apgādes tiesību nodošana ir spēkā no dienas, kad atbalsta pretendents ir iesniedzis LAD pilnīgu informāciju par programmā piegādātajiem un izdalītajiem produktiem līdz apgādes tiesību nodošanas dienai. LAD aprēķinās citam atbalsta pretendentam nododamo apgādes tiesību apmēru, no atbalsta pretendentam, kurš nodod apgādes tiesības, piešķirtā apgādes tiesību apmēra atņemot līdz apgādes tiesību nodošanai izmantoto apgādes tiesību apmēru. Tādējādi atbalsta pretendents, kas nodod apgādes tiesības par attiecīgo izglītības iestādi, no apgādes tiesību nodošanas dienas pārtrauc produktu piegādi šai izglītības iestādei, pamatojoties uz noteikumu Nr. 485 12. punktu.</w:t>
            </w:r>
            <w:r w:rsidR="00BB6B88" w:rsidRPr="00353435">
              <w:rPr>
                <w:iCs/>
              </w:rPr>
              <w:t xml:space="preserve"> </w:t>
            </w:r>
            <w:r w:rsidR="004F16FE">
              <w:rPr>
                <w:iCs/>
              </w:rPr>
              <w:t>Pārrēķināto apgādes tiesību apmēru LAD apstiprina ar lēmumu un par pieņemto lēmumu informē abus atbalsta pretendentus. Apgādes tiesību nodošana un apgādes tiesību apmēra pārrēķins neietekmē atbalsta aprēķināšanu un izmaksāšanu par produktiem, kas piegādāti līdz apgādes tiesību nodošanai. Pēc apgādes tiesību nodošanas abiem pretendentiem ir spēkā pārrēķinātais apgādes tiesību apmērs, un atbilstoši tiem tiek piegādāti produkti, kā arī pieprasīts un saņemts atbalsts</w:t>
            </w:r>
            <w:r w:rsidR="004E6EBD" w:rsidRPr="00353435">
              <w:rPr>
                <w:iCs/>
              </w:rPr>
              <w:t>.</w:t>
            </w:r>
          </w:p>
          <w:p w14:paraId="6F5C5953" w14:textId="510673A0" w:rsidR="00B534A7" w:rsidRPr="00353435" w:rsidRDefault="00B534A7" w:rsidP="00B93370">
            <w:pPr>
              <w:ind w:right="142"/>
              <w:jc w:val="both"/>
              <w:rPr>
                <w:iCs/>
              </w:rPr>
            </w:pPr>
            <w:r w:rsidRPr="00353435">
              <w:rPr>
                <w:iCs/>
              </w:rPr>
              <w:t>Attiecībā uz apgādes tiesību nodošanu projekta 3. punktā izteiktais noteikumu Nr. 485 17.</w:t>
            </w:r>
            <w:r w:rsidRPr="00353435">
              <w:rPr>
                <w:iCs/>
                <w:vertAlign w:val="superscript"/>
              </w:rPr>
              <w:t>2</w:t>
            </w:r>
            <w:r w:rsidRPr="00353435">
              <w:rPr>
                <w:iCs/>
              </w:rPr>
              <w:t xml:space="preserve"> punkts ietver atsauci uz noteikumu Nr. 485 17.</w:t>
            </w:r>
            <w:r w:rsidRPr="00353435">
              <w:rPr>
                <w:iCs/>
                <w:vertAlign w:val="superscript"/>
              </w:rPr>
              <w:t>1</w:t>
            </w:r>
            <w:r w:rsidRPr="00353435">
              <w:rPr>
                <w:iCs/>
              </w:rPr>
              <w:t>1 un 17.</w:t>
            </w:r>
            <w:r w:rsidRPr="00353435">
              <w:rPr>
                <w:iCs/>
                <w:vertAlign w:val="superscript"/>
              </w:rPr>
              <w:t>1</w:t>
            </w:r>
            <w:r w:rsidRPr="00353435">
              <w:rPr>
                <w:iCs/>
              </w:rPr>
              <w:t xml:space="preserve">2 apakšpunktu, kuros ietvertas atsauces uz tālākiem noteikumu Nr. 485 punktiem. Šajā gadījumā Zemkopības ministrija </w:t>
            </w:r>
            <w:r w:rsidRPr="00353435">
              <w:rPr>
                <w:iCs/>
              </w:rPr>
              <w:lastRenderedPageBreak/>
              <w:t>uzskata, ka tiešu atsauču uz minētajiem tālākiem noteikumu Nr. 485 punktiem lietošana radītu neskaidrus un maldinošus nosacījumus atbalsta pretendentiem. Proti:</w:t>
            </w:r>
          </w:p>
          <w:p w14:paraId="7A7EA9BE" w14:textId="0068EAA0" w:rsidR="00B534A7" w:rsidRPr="00353435" w:rsidRDefault="00B534A7" w:rsidP="004F16FE">
            <w:pPr>
              <w:ind w:left="254" w:right="142"/>
              <w:jc w:val="both"/>
            </w:pPr>
            <w:r w:rsidRPr="00353435">
              <w:t xml:space="preserve">4.1. </w:t>
            </w:r>
            <w:r w:rsidR="004F16FE">
              <w:t xml:space="preserve">Saskaņā ar Komisijas 2016. gada </w:t>
            </w:r>
            <w:proofErr w:type="gramStart"/>
            <w:r w:rsidR="004F16FE">
              <w:t>3.novembra</w:t>
            </w:r>
            <w:proofErr w:type="gramEnd"/>
            <w:r w:rsidR="004F16FE">
              <w:t xml:space="preserve"> īstenošanas regulas (ES) 2017/39 par to, kā Eiropas Parlamenta un Padomes Regulu (ES) Nr. 1308/2013 piemērot attiecībā uz Savienības atbalstu izglītības iestāžu apgādei ar augļiem un dārzeņiem, banāniem un pienu (turpmāk – Regula 2017/39) 4. panta 1., 2. un 3. punktu, kā arī noteikumu Nr. 485 34.1. apakšpunktu atbalsta pretendents iesniegumu atbalsta saņemšanai iesniedz par katru izdales perioda mēnesi. Savukārt saskaņā ar Regulas 2017/39 4. panta 4. punktu iesniegumu atbalsta saņemšanai par kārtējo izdales perioda mēnesi atbalsta pretendents var iesniegt trīs mēnešu laikā no attiecīgā izdales mēneša beigām;</w:t>
            </w:r>
            <w:r w:rsidRPr="00353435">
              <w:t xml:space="preserve"> </w:t>
            </w:r>
          </w:p>
          <w:p w14:paraId="6842D921" w14:textId="429C4EDE" w:rsidR="00B534A7" w:rsidRPr="00353435" w:rsidRDefault="00B534A7" w:rsidP="00B534A7">
            <w:pPr>
              <w:ind w:left="254" w:right="142"/>
              <w:jc w:val="both"/>
            </w:pPr>
            <w:r w:rsidRPr="00353435">
              <w:t xml:space="preserve">4.2. </w:t>
            </w:r>
            <w:r w:rsidR="004F16FE">
              <w:t>Regulas 2017/39 4. panta 2. punkts un 6. punkts nosaka, kura apliecinoša informācija un dokumenti ir jāpievieno atbalsta iesniegumam, un šie nosacījumi Latvijā tiek ieviesti ar noteikumu Nr. 485 34.2., 34.3., 34.4. un 34.5. apakšpunktu;</w:t>
            </w:r>
            <w:r w:rsidRPr="00353435">
              <w:t xml:space="preserve"> </w:t>
            </w:r>
          </w:p>
          <w:p w14:paraId="6790B19C" w14:textId="3702B853" w:rsidR="00B534A7" w:rsidRPr="00353435" w:rsidRDefault="00B534A7" w:rsidP="00B534A7">
            <w:pPr>
              <w:ind w:left="254" w:right="142"/>
              <w:jc w:val="both"/>
            </w:pPr>
            <w:r w:rsidRPr="00353435">
              <w:t xml:space="preserve">4.3. </w:t>
            </w:r>
            <w:r w:rsidR="004F16FE">
              <w:t xml:space="preserve">ņemot vērā pamatojuma 1. un 2. punktā minētos normatīvo aktu nosacījumus, </w:t>
            </w:r>
            <w:r w:rsidR="004F16FE" w:rsidRPr="004F16FE">
              <w:t>atbalsta pretendents brīdī, kad tas nolemj nodot apgādes tiesības citam atbalsta pretendentam, var nebūt iesniedzis iesniegumu atbalsta saņemšanai par periodu līdz pat trīs mēnešiem. Tādējādi Lauku atbalsta dienesta rīcībā par šo laikposmu nav informācijas, kas ļautu aprēķināt izmantoto apgādes tiesību apmēru un citam atbalsta pretendentam nododamo apgādes tiesību apmēru;</w:t>
            </w:r>
          </w:p>
          <w:p w14:paraId="34FA99B8" w14:textId="7E662224" w:rsidR="00B534A7" w:rsidRPr="00353435" w:rsidRDefault="00B534A7" w:rsidP="00B534A7">
            <w:pPr>
              <w:ind w:left="254" w:right="142"/>
              <w:jc w:val="both"/>
            </w:pPr>
            <w:r w:rsidRPr="00353435">
              <w:t xml:space="preserve">4.4. </w:t>
            </w:r>
            <w:r w:rsidR="004F16FE">
              <w:t>norādām, ka apgādes tiesību nodošana ir paredzēta kā ārpuskārtas gadījums, ja atbalsta pretendents neplāno izmantot tam piešķirtās apgādes tiesības pilnā apmērā. Lēmumu par apgādes tiesību nodošanu atbalsta pretendents var pieņemt jebkurā brīdī;</w:t>
            </w:r>
          </w:p>
          <w:p w14:paraId="0CE7FED7" w14:textId="73C51F1B" w:rsidR="00B534A7" w:rsidRPr="00353435" w:rsidRDefault="00B534A7" w:rsidP="00B534A7">
            <w:pPr>
              <w:ind w:left="254" w:right="142"/>
              <w:jc w:val="both"/>
            </w:pPr>
            <w:r w:rsidRPr="00353435">
              <w:t xml:space="preserve">4.5. </w:t>
            </w:r>
            <w:r w:rsidR="004F16FE" w:rsidRPr="004F16FE">
              <w:t>lai Lauku atbalsta dienests varētu veikt apgādes tiesību pārrēķinu un būtu iespējama apgādes tiesību nodošana citam atbalsta pretendentam, ir nepieciešams, lai atbalsta pretendents, kurš nodod apgādes tiesības, nodošanas brīdī iesniegtu pilnīgu informāciju</w:t>
            </w:r>
            <w:r w:rsidR="004F16FE">
              <w:t xml:space="preserve"> par veiktajām piegādēm un norēķiniem par tām no pēdējā atbalsta iesnieguma līdz apgādes tiesību nodošanai;</w:t>
            </w:r>
            <w:r w:rsidRPr="00353435">
              <w:t xml:space="preserve"> </w:t>
            </w:r>
          </w:p>
          <w:p w14:paraId="3B282D29" w14:textId="0BC33CD8" w:rsidR="00B534A7" w:rsidRPr="00353435" w:rsidRDefault="00B534A7" w:rsidP="00B534A7">
            <w:pPr>
              <w:ind w:left="254" w:right="142"/>
              <w:jc w:val="both"/>
            </w:pPr>
            <w:r w:rsidRPr="00353435">
              <w:t xml:space="preserve">4.6. </w:t>
            </w:r>
            <w:r w:rsidR="004F16FE" w:rsidRPr="004F16FE">
              <w:t>tādēļ 3. punktā izteiktais noteikumu Nr. 485 17.</w:t>
            </w:r>
            <w:r w:rsidR="004F16FE" w:rsidRPr="004F16FE">
              <w:rPr>
                <w:vertAlign w:val="superscript"/>
              </w:rPr>
              <w:t>1</w:t>
            </w:r>
            <w:r w:rsidR="004F16FE" w:rsidRPr="004F16FE">
              <w:t>1 apakšpunkts paredz, ka apgādes tiesību nodošanas gadījumā atbalsta iesniegums ir iesniedzams par citu laikposmu, nekā noteikts noteikumu Nr. 485 34.1.</w:t>
            </w:r>
            <w:r w:rsidR="004F16FE">
              <w:t>a</w:t>
            </w:r>
            <w:r w:rsidR="004F16FE" w:rsidRPr="004F16FE">
              <w:t xml:space="preserve">pakšpunktā. </w:t>
            </w:r>
            <w:r w:rsidR="004F16FE">
              <w:t xml:space="preserve">Šis laikposms var būt </w:t>
            </w:r>
            <w:r w:rsidR="001E1ABF">
              <w:t xml:space="preserve">arī </w:t>
            </w:r>
            <w:r w:rsidR="004F16FE">
              <w:t xml:space="preserve">ilgāks </w:t>
            </w:r>
            <w:r w:rsidR="004F16FE" w:rsidRPr="0095598B">
              <w:t>par vienu izdales perioda mēnesi.</w:t>
            </w:r>
          </w:p>
          <w:p w14:paraId="0F595A6F" w14:textId="09108F3E" w:rsidR="00B534A7" w:rsidRPr="00353435" w:rsidRDefault="00B534A7" w:rsidP="00B534A7">
            <w:pPr>
              <w:ind w:left="254" w:right="142"/>
              <w:jc w:val="both"/>
            </w:pPr>
            <w:r w:rsidRPr="00353435">
              <w:t xml:space="preserve">4.7. </w:t>
            </w:r>
            <w:r w:rsidR="004F16FE">
              <w:t>attiecībā uz atbalsta pretendentu, kas pārņem apgādes tiesības, projekta 3. punktā izteiktais noteikumu Nr. 485 17.</w:t>
            </w:r>
            <w:r w:rsidR="004F16FE">
              <w:rPr>
                <w:vertAlign w:val="superscript"/>
              </w:rPr>
              <w:t>1</w:t>
            </w:r>
            <w:r w:rsidR="004F16FE">
              <w:t>2 apakšpunkts paredz, ka tam jāiesniedz noteikumu Nr. 485 9.1.2. apakšpunktā minētais iesniegums dalībai programmā kārtējā mājību gadā, tostarp informācija par piegādājamiem produktiem un to ražotāju un informācija par izglītības iestādi, kurai tiks piegādāti produkti. Apgādes tiesību nodošanas gadījumā tā būs izglītības iestāde, uz kuru citam atbalsta pretendentam piešķirtās apgādes tiesības pārņem otrs atbalsta pretendents;</w:t>
            </w:r>
            <w:r w:rsidRPr="00353435">
              <w:t xml:space="preserve"> </w:t>
            </w:r>
          </w:p>
          <w:p w14:paraId="71EF144F" w14:textId="6C3D2673" w:rsidR="00B534A7" w:rsidRPr="00353435" w:rsidRDefault="00B534A7" w:rsidP="00B534A7">
            <w:pPr>
              <w:ind w:left="254" w:right="142"/>
              <w:jc w:val="both"/>
            </w:pPr>
            <w:r w:rsidRPr="00353435">
              <w:lastRenderedPageBreak/>
              <w:t xml:space="preserve">4.8. </w:t>
            </w:r>
            <w:r w:rsidR="004F16FE">
              <w:t>taču noteikumu Nr. 485 9.1. apakšpunktā noteikts, ka iesniegums dalībai programmā kārtējā mācību gadā Lauku atbalsta dienestā jāiesniedz līdz kārtējā gada 10. septembrim vai piecu darbdienu laikā pēc paziņojuma par pieejamu finansējumu publicēšanas;</w:t>
            </w:r>
            <w:r w:rsidRPr="00353435">
              <w:t xml:space="preserve"> </w:t>
            </w:r>
          </w:p>
          <w:p w14:paraId="7F8E93B1" w14:textId="00F9033E" w:rsidR="00B534A7" w:rsidRPr="004F16FE" w:rsidRDefault="00B534A7" w:rsidP="00B534A7">
            <w:pPr>
              <w:ind w:left="254" w:right="142"/>
              <w:jc w:val="both"/>
              <w:rPr>
                <w:iCs/>
              </w:rPr>
            </w:pPr>
            <w:r w:rsidRPr="00353435">
              <w:t xml:space="preserve">4.9. </w:t>
            </w:r>
            <w:r w:rsidR="004F16FE">
              <w:t>tā kā</w:t>
            </w:r>
            <w:r w:rsidR="004F16FE" w:rsidRPr="0095598B">
              <w:t xml:space="preserve"> apgādes tiesīb</w:t>
            </w:r>
            <w:r w:rsidR="004F16FE">
              <w:t>as</w:t>
            </w:r>
            <w:r w:rsidR="004F16FE" w:rsidRPr="0095598B">
              <w:t xml:space="preserve"> </w:t>
            </w:r>
            <w:r w:rsidR="004F16FE">
              <w:t xml:space="preserve">var nodot (pārņemt) </w:t>
            </w:r>
            <w:r w:rsidR="004F16FE" w:rsidRPr="0095598B">
              <w:t>jebkurā brīdī izdales periodā,</w:t>
            </w:r>
            <w:r w:rsidR="004F16FE" w:rsidRPr="0095598B">
              <w:rPr>
                <w:b/>
              </w:rPr>
              <w:t xml:space="preserve"> </w:t>
            </w:r>
            <w:r w:rsidR="004F16FE" w:rsidRPr="004F16FE">
              <w:t>projekta 3. punktā izteiktais noteikumu Nr. 485 17.</w:t>
            </w:r>
            <w:r w:rsidR="004F16FE" w:rsidRPr="004F16FE">
              <w:rPr>
                <w:vertAlign w:val="superscript"/>
              </w:rPr>
              <w:t>1</w:t>
            </w:r>
            <w:r w:rsidR="004F16FE" w:rsidRPr="004F16FE">
              <w:t>2 apakšpunkts paredz citu iesnieguma iesniegšanas kārtību dalībai programmā nekā noteikumu Nr. 485 9.1. apakšpunkts.</w:t>
            </w:r>
          </w:p>
          <w:p w14:paraId="2963DA42" w14:textId="77777777" w:rsidR="006A4A8F" w:rsidRDefault="00401C21" w:rsidP="006A4A8F">
            <w:pPr>
              <w:ind w:right="142"/>
              <w:jc w:val="both"/>
              <w:rPr>
                <w:iCs/>
              </w:rPr>
            </w:pPr>
            <w:r w:rsidRPr="00353435">
              <w:rPr>
                <w:iCs/>
              </w:rPr>
              <w:t>5</w:t>
            </w:r>
            <w:r w:rsidR="002E1DB5" w:rsidRPr="00353435">
              <w:rPr>
                <w:iCs/>
              </w:rPr>
              <w:t xml:space="preserve">. </w:t>
            </w:r>
            <w:r w:rsidR="006A4A8F">
              <w:rPr>
                <w:iCs/>
              </w:rPr>
              <w:t>Noteikumu projekts arī tehniski precizē sankciju piemērošanu noteikumu Nr. 485 18. punktā, nosakot, ka apgādes tiesību izmantošanu nosaka par katru atbalsta pretendenta apgādājamo izglītības iestādi. Šāds regulējums nepieciešams, lai:</w:t>
            </w:r>
          </w:p>
          <w:p w14:paraId="0A16F9BE" w14:textId="2E29C8AF" w:rsidR="005F18A1" w:rsidRPr="00353435" w:rsidRDefault="006A4A8F" w:rsidP="00B93370">
            <w:pPr>
              <w:ind w:right="142"/>
              <w:jc w:val="both"/>
              <w:rPr>
                <w:iCs/>
              </w:rPr>
            </w:pPr>
            <w:r>
              <w:rPr>
                <w:iCs/>
              </w:rPr>
              <w:t>a) padarītu skaidrāku apgādes tiesību piemērošanu, jo noteikumu Nr. 485 11. punkts arī paredz, ka apgādes tiesības atbalsta pretendentam tiek piešķirtas par katru atsevišķu izglītības iestādi;</w:t>
            </w:r>
          </w:p>
          <w:p w14:paraId="74CCB7CB" w14:textId="27AB757C" w:rsidR="00401C21" w:rsidRPr="00353435" w:rsidRDefault="00E26D5B" w:rsidP="00B93370">
            <w:pPr>
              <w:ind w:right="142"/>
              <w:jc w:val="both"/>
              <w:rPr>
                <w:iCs/>
              </w:rPr>
            </w:pPr>
            <w:r>
              <w:rPr>
                <w:iCs/>
              </w:rPr>
              <w:t>b</w:t>
            </w:r>
            <w:r w:rsidR="006A4A8F">
              <w:rPr>
                <w:iCs/>
              </w:rPr>
              <w:t>) lai nodrošinātu pēc iespējas pilnīgāku pieejamā finansējuma izmantošanu un augstāku programmas rezultatīvo rādītāju sasniegšanu, ņemot vērā, ka katru izglītības iestādes apgādi ar vienu produktu grupu mācību gadā nodrošina tikai viens atbalsta pretendents. Viens atbalsta pretendents var apkalpot vairākas izglītības iestādes, un katrā no tām var būt krasi atšķirīgs izglītojamo skaits, tāpēc arī apgādes tiesību apmērs starp šīm izglītības iestādēm var būt krasi atšķirīgs. Tādējādi, neapgūstot tam piešķirtās apgādes tiesībās par mazākām izglītības iestādēm, atbalsta pretendents joprojām var sasniegt augstus tam piešķirto visu apgādes tiesību kopsummas rādītājus uz salīdzinoši lielāko izglītības iestāžu rēķina. Turklāt var veidoties situācijas, kad atbalsta pretendents izdales periodā ilgstoši nepiegādā produktus vienai vai vairākām izglītības iestādei, par kurām tam piešķirtas apgādes tiesības, un nenodod apgādes tiesības citam atbalsta pretendentam vai neatsakās no tām, tādējādi veicinot atbalsta programmai pieejamā finansējuma nepilnīgu izmantošanu un nenodrošinot programmas īstenošanu attiecīgajās izglītības iestādēs. Tādēļ ir korekti apgādes tiesību apguves apmēru vērtēt par katru izglītības iestādi atsevišķi, nevis par visām atbalsta pretendenta apgādā</w:t>
            </w:r>
            <w:r>
              <w:rPr>
                <w:iCs/>
              </w:rPr>
              <w:t>jamām izglītības iestādēm kopā;</w:t>
            </w:r>
          </w:p>
          <w:p w14:paraId="09C935F9" w14:textId="6C5ADAB0" w:rsidR="009B1949" w:rsidRPr="00353435" w:rsidRDefault="00401C21" w:rsidP="001E1ABF">
            <w:pPr>
              <w:ind w:right="142"/>
              <w:jc w:val="both"/>
              <w:rPr>
                <w:iCs/>
              </w:rPr>
            </w:pPr>
            <w:r w:rsidRPr="00353435">
              <w:rPr>
                <w:iCs/>
              </w:rPr>
              <w:t xml:space="preserve">7. </w:t>
            </w:r>
            <w:r w:rsidR="0044065C" w:rsidRPr="001E1ABF">
              <w:rPr>
                <w:iCs/>
              </w:rPr>
              <w:t xml:space="preserve">Noteikumu projekts paredz, ka </w:t>
            </w:r>
            <w:r w:rsidR="00F365A5" w:rsidRPr="001E1ABF">
              <w:rPr>
                <w:iCs/>
              </w:rPr>
              <w:t>grozījumi</w:t>
            </w:r>
            <w:r w:rsidR="0044065C" w:rsidRPr="001E1ABF">
              <w:rPr>
                <w:iCs/>
              </w:rPr>
              <w:t xml:space="preserve"> netiek piemērot</w:t>
            </w:r>
            <w:r w:rsidR="00F365A5" w:rsidRPr="001E1ABF">
              <w:rPr>
                <w:iCs/>
              </w:rPr>
              <w:t>i</w:t>
            </w:r>
            <w:r w:rsidR="0044065C" w:rsidRPr="001E1ABF">
              <w:rPr>
                <w:iCs/>
              </w:rPr>
              <w:t xml:space="preserve"> attiecībā uz atbalsta programmas īstenošanu (produktu piegādi, atbalsta iesniegumu un tiem pievienojamo dokumentu iesniegšanu, atbalsta aprēķināšanu un izmaksāšanu, sankciju piemērošanu) 2017./2018. mācību gadā. Šāds nosacījums nepieciešams</w:t>
            </w:r>
            <w:r w:rsidR="00F365A5" w:rsidRPr="001E1ABF">
              <w:rPr>
                <w:iCs/>
              </w:rPr>
              <w:t xml:space="preserve"> tāpēc</w:t>
            </w:r>
            <w:r w:rsidR="0044065C" w:rsidRPr="001E1ABF">
              <w:rPr>
                <w:iCs/>
              </w:rPr>
              <w:t xml:space="preserve">, ka atbalsta iesniegumus var iesniegt </w:t>
            </w:r>
            <w:r w:rsidR="00F365A5" w:rsidRPr="001E1ABF">
              <w:rPr>
                <w:iCs/>
              </w:rPr>
              <w:t>trīs</w:t>
            </w:r>
            <w:r w:rsidR="0044065C" w:rsidRPr="001E1ABF">
              <w:rPr>
                <w:iCs/>
              </w:rPr>
              <w:t xml:space="preserve"> mēnešu laikā pēc produktu izdales mēneša beigām, kā arī LAD atbalsta izmaksāšanas termiņš ir </w:t>
            </w:r>
            <w:r w:rsidR="00F365A5" w:rsidRPr="001E1ABF">
              <w:rPr>
                <w:iCs/>
              </w:rPr>
              <w:t>trīs</w:t>
            </w:r>
            <w:r w:rsidR="0044065C" w:rsidRPr="001E1ABF">
              <w:rPr>
                <w:iCs/>
              </w:rPr>
              <w:t xml:space="preserve"> mēneši no atbalsta iesnieguma saņemšanas dienas. Tādējādi veidojas situācijas, kad, sākoties nākamajam mācību gadam, vēl tiek </w:t>
            </w:r>
            <w:r w:rsidR="001E1ABF">
              <w:rPr>
                <w:iCs/>
              </w:rPr>
              <w:t>administrēts</w:t>
            </w:r>
            <w:r w:rsidR="001E1ABF" w:rsidRPr="001E1ABF">
              <w:rPr>
                <w:iCs/>
              </w:rPr>
              <w:t xml:space="preserve"> </w:t>
            </w:r>
            <w:r w:rsidR="0044065C" w:rsidRPr="001E1ABF">
              <w:rPr>
                <w:iCs/>
              </w:rPr>
              <w:t>atbalst</w:t>
            </w:r>
            <w:r w:rsidR="001E1ABF">
              <w:rPr>
                <w:iCs/>
              </w:rPr>
              <w:t>s</w:t>
            </w:r>
            <w:r w:rsidR="0044065C" w:rsidRPr="001E1ABF">
              <w:rPr>
                <w:iCs/>
              </w:rPr>
              <w:t xml:space="preserve"> par iepriekšējo mācību gadu. Šādās situācijās ir jāpiemēro atbalsta nosacījumi, k</w:t>
            </w:r>
            <w:r w:rsidR="00F365A5" w:rsidRPr="001E1ABF">
              <w:rPr>
                <w:iCs/>
              </w:rPr>
              <w:t>as</w:t>
            </w:r>
            <w:r w:rsidR="0044065C" w:rsidRPr="001E1ABF">
              <w:rPr>
                <w:iCs/>
              </w:rPr>
              <w:t xml:space="preserve"> bija spēkā mēnesī, kad tika piegādāti produkti.</w:t>
            </w:r>
          </w:p>
        </w:tc>
      </w:tr>
      <w:tr w:rsidR="0030341E" w:rsidRPr="004C094F" w14:paraId="5186966F" w14:textId="77777777" w:rsidTr="000C13C6">
        <w:tc>
          <w:tcPr>
            <w:tcW w:w="231" w:type="pct"/>
            <w:tcBorders>
              <w:top w:val="outset" w:sz="6" w:space="0" w:color="000000"/>
              <w:left w:val="outset" w:sz="6" w:space="0" w:color="000000"/>
              <w:bottom w:val="outset" w:sz="6" w:space="0" w:color="000000"/>
              <w:right w:val="outset" w:sz="6" w:space="0" w:color="000000"/>
            </w:tcBorders>
          </w:tcPr>
          <w:p w14:paraId="2FA14E38" w14:textId="1BC4F3F3"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single" w:sz="4" w:space="0" w:color="auto"/>
              <w:left w:val="outset" w:sz="6" w:space="0" w:color="000000"/>
              <w:bottom w:val="outset" w:sz="6" w:space="0" w:color="000000"/>
              <w:right w:val="outset" w:sz="6" w:space="0" w:color="000000"/>
            </w:tcBorders>
          </w:tcPr>
          <w:p w14:paraId="5A429887"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w:t>
            </w:r>
            <w:r w:rsidR="00F47D5E">
              <w:rPr>
                <w:color w:val="000000"/>
              </w:rPr>
              <w:lastRenderedPageBreak/>
              <w:t>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47E2593F" w14:textId="74848446" w:rsidR="0030341E" w:rsidRPr="004C094F" w:rsidRDefault="00CB248D" w:rsidP="00811B7F">
            <w:pPr>
              <w:jc w:val="both"/>
              <w:rPr>
                <w:color w:val="000000"/>
              </w:rPr>
            </w:pPr>
            <w:r>
              <w:lastRenderedPageBreak/>
              <w:t>Zemkopības ministrija</w:t>
            </w:r>
            <w:r w:rsidR="001E1ABF">
              <w:t xml:space="preserve"> un</w:t>
            </w:r>
            <w:r>
              <w:t xml:space="preserve"> </w:t>
            </w:r>
            <w:r w:rsidR="008B1560">
              <w:t>LAD</w:t>
            </w:r>
            <w:r w:rsidR="00037CD7">
              <w:t xml:space="preserve"> </w:t>
            </w:r>
          </w:p>
        </w:tc>
      </w:tr>
      <w:tr w:rsidR="00114052" w:rsidRPr="004C094F" w14:paraId="67D839CB" w14:textId="77777777" w:rsidTr="003760E0">
        <w:tc>
          <w:tcPr>
            <w:tcW w:w="231" w:type="pct"/>
            <w:tcBorders>
              <w:top w:val="outset" w:sz="6" w:space="0" w:color="000000"/>
              <w:left w:val="outset" w:sz="6" w:space="0" w:color="000000"/>
              <w:bottom w:val="outset" w:sz="6" w:space="0" w:color="000000"/>
              <w:right w:val="outset" w:sz="6" w:space="0" w:color="000000"/>
            </w:tcBorders>
          </w:tcPr>
          <w:p w14:paraId="33460448"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201EFD79"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5FEED117" w14:textId="77777777" w:rsidR="0052358E" w:rsidRPr="004C094F" w:rsidRDefault="00826C2E" w:rsidP="001F66D1">
            <w:pPr>
              <w:jc w:val="both"/>
              <w:rPr>
                <w:color w:val="000000"/>
              </w:rPr>
            </w:pPr>
            <w:r>
              <w:rPr>
                <w:color w:val="000000"/>
              </w:rPr>
              <w:t>Nav.</w:t>
            </w:r>
          </w:p>
        </w:tc>
      </w:tr>
    </w:tbl>
    <w:p w14:paraId="6D2E03CD"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0B27B958"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1954AE42"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60ADEB46"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13AC6B9C" w14:textId="77777777" w:rsidTr="001A7910">
        <w:tc>
          <w:tcPr>
            <w:tcW w:w="314" w:type="dxa"/>
            <w:tcBorders>
              <w:top w:val="outset" w:sz="6" w:space="0" w:color="000000"/>
              <w:left w:val="outset" w:sz="6" w:space="0" w:color="000000"/>
              <w:bottom w:val="outset" w:sz="6" w:space="0" w:color="000000"/>
              <w:right w:val="outset" w:sz="6" w:space="0" w:color="000000"/>
            </w:tcBorders>
          </w:tcPr>
          <w:p w14:paraId="0DFE2170"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69558F91" w14:textId="77777777" w:rsidR="00115550" w:rsidRPr="004C094F" w:rsidRDefault="001A7349" w:rsidP="00F84B9B">
            <w:pPr>
              <w:rPr>
                <w:color w:val="000000"/>
              </w:rPr>
            </w:pPr>
            <w:r w:rsidRPr="004C094F">
              <w:rPr>
                <w:color w:val="000000"/>
              </w:rPr>
              <w:t xml:space="preserve">Sabiedrības mērķgrupas, kuras tiesiskais </w:t>
            </w:r>
            <w:r w:rsidR="009577F5">
              <w:rPr>
                <w:color w:val="000000"/>
              </w:rPr>
              <w:t xml:space="preserve">regulējums ietekmē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12718B44" w14:textId="77777777" w:rsidR="00E867F8" w:rsidRDefault="00C64635" w:rsidP="00C64635">
            <w:pPr>
              <w:jc w:val="both"/>
            </w:pPr>
            <w:r>
              <w:t xml:space="preserve">Sabiedrības mērķgrupa, ko tiesiskais regulējums </w:t>
            </w:r>
            <w:r w:rsidR="00E867F8">
              <w:t xml:space="preserve">tieši </w:t>
            </w:r>
            <w:r>
              <w:t>ietekmēs, ir</w:t>
            </w:r>
            <w:r w:rsidR="00E867F8">
              <w:t>:</w:t>
            </w:r>
          </w:p>
          <w:p w14:paraId="28F85E29" w14:textId="53859F73" w:rsidR="00C64635" w:rsidRDefault="00C64635" w:rsidP="00E867F8">
            <w:pPr>
              <w:pStyle w:val="Sarakstarindkopa"/>
              <w:numPr>
                <w:ilvl w:val="0"/>
                <w:numId w:val="29"/>
              </w:numPr>
              <w:jc w:val="both"/>
            </w:pPr>
            <w:r>
              <w:t xml:space="preserve">atbalsta pretendenti, kas atbalsta programmā nodrošina </w:t>
            </w:r>
            <w:r w:rsidR="004E66A5">
              <w:t xml:space="preserve">produktu piegādi </w:t>
            </w:r>
            <w:r w:rsidR="00411D2C">
              <w:t>un izdalīšanu, tostarp p</w:t>
            </w:r>
            <w:r w:rsidR="004E66A5">
              <w:t>roduktu ražotāji</w:t>
            </w:r>
            <w:r w:rsidR="009A4743">
              <w:t>. Pēc Lauku atbalsta dienesta tīmekļvietnē publicētās informācijas, 2017./2018. mācību gadā dalībai programmā bija apstiprināti 167 atbalsta pretendenti</w:t>
            </w:r>
            <w:r w:rsidR="00E867F8">
              <w:t>;</w:t>
            </w:r>
          </w:p>
          <w:p w14:paraId="5B41160C" w14:textId="4B626A32" w:rsidR="00E867F8" w:rsidRDefault="004E66A5" w:rsidP="00E867F8">
            <w:pPr>
              <w:pStyle w:val="Sarakstarindkopa"/>
              <w:numPr>
                <w:ilvl w:val="0"/>
                <w:numId w:val="29"/>
              </w:numPr>
              <w:jc w:val="both"/>
            </w:pPr>
            <w:r>
              <w:t>produktu ražotāji</w:t>
            </w:r>
            <w:r w:rsidR="004F13C2">
              <w:t>,</w:t>
            </w:r>
            <w:r w:rsidR="00E867F8">
              <w:t xml:space="preserve"> </w:t>
            </w:r>
            <w:r>
              <w:t xml:space="preserve">kuru </w:t>
            </w:r>
            <w:r w:rsidR="00E867F8">
              <w:t>produkcijas izdalīšanu atbalsta programmā nodrošina atbalsta pretendenti.</w:t>
            </w:r>
          </w:p>
          <w:p w14:paraId="6AF7AB50" w14:textId="77777777" w:rsidR="00E867F8" w:rsidRDefault="00E867F8" w:rsidP="00C64635">
            <w:pPr>
              <w:jc w:val="both"/>
            </w:pPr>
          </w:p>
          <w:p w14:paraId="3A741DEA" w14:textId="3DCF192F" w:rsidR="009232AB" w:rsidRPr="003E42A1" w:rsidRDefault="00C64635">
            <w:pPr>
              <w:jc w:val="both"/>
              <w:rPr>
                <w:bCs/>
              </w:rPr>
            </w:pPr>
            <w:r>
              <w:t xml:space="preserve">Tāpat </w:t>
            </w:r>
            <w:r w:rsidR="00E867F8">
              <w:t>tiesiskajam regulējumam var būt netieša ietekme uz atbalsta programmas mērķauditoriju – izglītojamiem pirmsskolas izglītības iestādēs un vispārējās izglītības iestāžu 1.</w:t>
            </w:r>
            <w:r w:rsidR="00F365A5">
              <w:t>–</w:t>
            </w:r>
            <w:r w:rsidR="00E867F8">
              <w:t>9. klasē, ja turpmākos mācību gados atbalsta programmā iesaistī</w:t>
            </w:r>
            <w:r w:rsidR="000F4FAA">
              <w:t>sies izglītības iestādes, k</w:t>
            </w:r>
            <w:r w:rsidR="00F365A5">
              <w:t>a</w:t>
            </w:r>
            <w:r w:rsidR="000F4FAA">
              <w:t xml:space="preserve">s programmā </w:t>
            </w:r>
            <w:r w:rsidR="00F365A5">
              <w:t xml:space="preserve">pagaidām </w:t>
            </w:r>
            <w:r w:rsidR="000F4FAA">
              <w:t xml:space="preserve">neiesaistās. </w:t>
            </w:r>
            <w:r w:rsidR="001E1ABF">
              <w:t>Pēc</w:t>
            </w:r>
            <w:r w:rsidR="000F4FAA">
              <w:t xml:space="preserve"> L</w:t>
            </w:r>
            <w:r w:rsidR="00411D2C">
              <w:t>AD</w:t>
            </w:r>
            <w:r w:rsidR="000F4FAA">
              <w:t xml:space="preserve"> atbalsta dienesta provizoriskajiem datiem par programmas rezultatīvajiem rādītājiem</w:t>
            </w:r>
            <w:r w:rsidR="001E1ABF">
              <w:t>,</w:t>
            </w:r>
            <w:r w:rsidR="000F4FAA">
              <w:t xml:space="preserve"> 2017./2018. mācību gadā atbalsta programmā pienu saņēma 83,3% no visiem mērķauditorijas izglītojamiem.</w:t>
            </w:r>
          </w:p>
        </w:tc>
      </w:tr>
      <w:tr w:rsidR="0069761D" w:rsidRPr="004C094F" w14:paraId="73A3D130"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8A8EBBB"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63683747"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301D9089" w14:textId="77777777" w:rsidR="00046156" w:rsidRDefault="00046156" w:rsidP="00862E38">
            <w:pPr>
              <w:jc w:val="both"/>
            </w:pPr>
            <w:r>
              <w:t>N</w:t>
            </w:r>
            <w:r w:rsidR="006D1404" w:rsidRPr="00492FD2">
              <w:t xml:space="preserve">oteikumu </w:t>
            </w:r>
            <w:r>
              <w:t xml:space="preserve">projektā ietvertās normas attiecībā uz atbalsta likmes noteikšanu piena izdalei </w:t>
            </w:r>
            <w:r w:rsidRPr="00492FD2">
              <w:t>nerada papildu informācijas sniegšanas pienākumu</w:t>
            </w:r>
            <w:r>
              <w:t xml:space="preserve"> un </w:t>
            </w:r>
            <w:r w:rsidRPr="00492FD2">
              <w:t>neveido administratīvo slo</w:t>
            </w:r>
            <w:r>
              <w:t>gu.</w:t>
            </w:r>
          </w:p>
          <w:p w14:paraId="793EA744" w14:textId="2BDDF548" w:rsidR="00862E38" w:rsidRPr="00E26601" w:rsidRDefault="00046156">
            <w:pPr>
              <w:jc w:val="both"/>
            </w:pPr>
            <w:r>
              <w:t xml:space="preserve">Noteikumu projektā ietvertās normas attiecībā uz apgādes tiesību nodošanu paredz </w:t>
            </w:r>
            <w:r w:rsidR="00773675">
              <w:t>informācijas sniegšanas pienākumu, ja atbalsta pretendents vēlas nodot tam piešķirtās apgādes tiesības citam atbalsta pretendentam</w:t>
            </w:r>
            <w:r w:rsidR="00F365A5">
              <w:t>,</w:t>
            </w:r>
            <w:r w:rsidR="00773675">
              <w:t xml:space="preserve"> </w:t>
            </w:r>
            <w:r w:rsidR="00F365A5">
              <w:t>t</w:t>
            </w:r>
            <w:r w:rsidR="00B66475">
              <w:t>aču p</w:t>
            </w:r>
            <w:r w:rsidR="00773675">
              <w:t>recīzu šād</w:t>
            </w:r>
            <w:r w:rsidR="00F365A5">
              <w:t>u</w:t>
            </w:r>
            <w:r w:rsidR="00773675">
              <w:t xml:space="preserve"> gadījum</w:t>
            </w:r>
            <w:r w:rsidR="00F365A5">
              <w:t>u</w:t>
            </w:r>
            <w:r w:rsidR="00773675">
              <w:t xml:space="preserve"> </w:t>
            </w:r>
            <w:r w:rsidR="00F365A5">
              <w:t xml:space="preserve">skaitu </w:t>
            </w:r>
            <w:r w:rsidR="00773675">
              <w:t>n</w:t>
            </w:r>
            <w:r w:rsidR="00F365A5">
              <w:t>av iespējams</w:t>
            </w:r>
            <w:r w:rsidR="00773675">
              <w:t xml:space="preserve"> paredzēt</w:t>
            </w:r>
            <w:r w:rsidR="00694EB4">
              <w:t>.</w:t>
            </w:r>
            <w:r w:rsidR="00B66475">
              <w:t xml:space="preserve"> </w:t>
            </w:r>
          </w:p>
        </w:tc>
      </w:tr>
      <w:tr w:rsidR="0069761D" w:rsidRPr="004C094F" w14:paraId="1E99A168" w14:textId="77777777" w:rsidTr="001A7910">
        <w:tc>
          <w:tcPr>
            <w:tcW w:w="314" w:type="dxa"/>
            <w:tcBorders>
              <w:top w:val="outset" w:sz="6" w:space="0" w:color="000000"/>
              <w:left w:val="outset" w:sz="6" w:space="0" w:color="000000"/>
              <w:bottom w:val="outset" w:sz="6" w:space="0" w:color="000000"/>
              <w:right w:val="outset" w:sz="6" w:space="0" w:color="000000"/>
            </w:tcBorders>
          </w:tcPr>
          <w:p w14:paraId="6E9D1772"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1B9957BE"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64C7DA14" w14:textId="0B6FE6DC" w:rsidR="00B62024" w:rsidRDefault="00F365A5" w:rsidP="003354DE">
            <w:pPr>
              <w:pStyle w:val="naiskr"/>
              <w:spacing w:before="0" w:after="0"/>
              <w:ind w:right="129"/>
              <w:jc w:val="both"/>
            </w:pPr>
            <w:r>
              <w:t>Pamatojo</w:t>
            </w:r>
            <w:r w:rsidR="00B66475">
              <w:t xml:space="preserve">ties uz tabulas 2. punktā minēto informāciju, tiks pieņemts, ka viena mācību gada laikā apgādes tiesību nodošanas iespēju izmantos </w:t>
            </w:r>
            <w:r>
              <w:t>pieci</w:t>
            </w:r>
            <w:r w:rsidR="00B66475">
              <w:t xml:space="preserve"> atbalsta pretendenti</w:t>
            </w:r>
            <w:r w:rsidR="00694EB4">
              <w:t xml:space="preserve">. Šiem atbalsta pretendentiem jāsagatavo un jāiesniedz LAD informācija par piegādātajiem un izdalītajiem produktiem par visu periodu, ko līdz apgādes tiesību nodošanai neaptver pēdējais iesniegtais iesniegums atbalsta saņemšanai. </w:t>
            </w:r>
          </w:p>
          <w:p w14:paraId="62062B19" w14:textId="77777777" w:rsidR="00694EB4" w:rsidRDefault="00694EB4" w:rsidP="00694EB4">
            <w:pPr>
              <w:pStyle w:val="naiskr"/>
              <w:ind w:right="129"/>
              <w:jc w:val="both"/>
            </w:pPr>
            <w:r>
              <w:t>Pēc Centrālās Statistikas pārvaldes datiem, vienas stundas darbaspēka izmaksas 2017. gada 1. ceturksnī bija:</w:t>
            </w:r>
          </w:p>
          <w:p w14:paraId="21B04543" w14:textId="77777777" w:rsidR="00694EB4" w:rsidRDefault="00694EB4" w:rsidP="00627617">
            <w:pPr>
              <w:pStyle w:val="naiskr"/>
              <w:numPr>
                <w:ilvl w:val="0"/>
                <w:numId w:val="30"/>
              </w:numPr>
              <w:spacing w:before="0" w:after="120"/>
              <w:ind w:left="714" w:right="130" w:hanging="357"/>
              <w:jc w:val="both"/>
            </w:pPr>
            <w:r>
              <w:t xml:space="preserve">augkopībā un lopkopībā – 7,10 </w:t>
            </w:r>
            <w:proofErr w:type="spellStart"/>
            <w:r w:rsidRPr="00694EB4">
              <w:rPr>
                <w:i/>
              </w:rPr>
              <w:t>euro</w:t>
            </w:r>
            <w:proofErr w:type="spellEnd"/>
            <w:r>
              <w:t>;</w:t>
            </w:r>
          </w:p>
          <w:p w14:paraId="025DD364" w14:textId="77777777" w:rsidR="00694EB4" w:rsidRDefault="00694EB4" w:rsidP="00627617">
            <w:pPr>
              <w:pStyle w:val="naiskr"/>
              <w:numPr>
                <w:ilvl w:val="0"/>
                <w:numId w:val="30"/>
              </w:numPr>
              <w:spacing w:before="0" w:after="120"/>
              <w:ind w:left="714" w:right="130" w:hanging="357"/>
              <w:jc w:val="both"/>
            </w:pPr>
            <w:r>
              <w:t xml:space="preserve">pārtikas produktu ražošanā – 6,85 </w:t>
            </w:r>
            <w:proofErr w:type="spellStart"/>
            <w:r w:rsidRPr="00694EB4">
              <w:rPr>
                <w:i/>
              </w:rPr>
              <w:t>euro</w:t>
            </w:r>
            <w:proofErr w:type="spellEnd"/>
            <w:r>
              <w:t>;</w:t>
            </w:r>
          </w:p>
          <w:p w14:paraId="648351B5" w14:textId="77777777" w:rsidR="00694EB4" w:rsidRDefault="00694EB4" w:rsidP="00627617">
            <w:pPr>
              <w:pStyle w:val="naiskr"/>
              <w:numPr>
                <w:ilvl w:val="0"/>
                <w:numId w:val="30"/>
              </w:numPr>
              <w:spacing w:before="0" w:after="120"/>
              <w:ind w:left="714" w:right="130" w:hanging="357"/>
              <w:jc w:val="both"/>
            </w:pPr>
            <w:r>
              <w:t xml:space="preserve">valsts pārvaldē – 9,97 </w:t>
            </w:r>
            <w:proofErr w:type="spellStart"/>
            <w:r w:rsidRPr="00694EB4">
              <w:rPr>
                <w:i/>
              </w:rPr>
              <w:t>euro</w:t>
            </w:r>
            <w:proofErr w:type="spellEnd"/>
            <w:r>
              <w:t>.</w:t>
            </w:r>
          </w:p>
          <w:p w14:paraId="1CE2774F" w14:textId="77777777" w:rsidR="00694EB4" w:rsidRDefault="00694EB4" w:rsidP="003354DE">
            <w:pPr>
              <w:pStyle w:val="naiskr"/>
              <w:spacing w:before="0" w:after="0"/>
              <w:ind w:right="129"/>
              <w:jc w:val="both"/>
            </w:pPr>
          </w:p>
          <w:p w14:paraId="3707C10E" w14:textId="77777777" w:rsidR="00694EB4" w:rsidRDefault="00627617" w:rsidP="003354DE">
            <w:pPr>
              <w:pStyle w:val="naiskr"/>
              <w:spacing w:before="0" w:after="0"/>
              <w:ind w:right="129"/>
              <w:jc w:val="both"/>
            </w:pPr>
            <w:r>
              <w:lastRenderedPageBreak/>
              <w:t xml:space="preserve">Attiecībā uz atbalsta pretendentiem aprēķinos izmanto aritmētisko vidējo rādītāju starp darbaspēka izmaksām augkopībā un lopkopībā un pārtikas produktu ražošanā, t.i., 6,98 </w:t>
            </w:r>
            <w:proofErr w:type="spellStart"/>
            <w:r w:rsidRPr="00627617">
              <w:rPr>
                <w:i/>
              </w:rPr>
              <w:t>euro</w:t>
            </w:r>
            <w:proofErr w:type="spellEnd"/>
            <w:r>
              <w:t xml:space="preserve">. </w:t>
            </w:r>
          </w:p>
          <w:p w14:paraId="3F860822" w14:textId="5EF84622" w:rsidR="00627617" w:rsidRDefault="00627617" w:rsidP="003354DE">
            <w:pPr>
              <w:pStyle w:val="naiskr"/>
              <w:spacing w:before="0" w:after="0"/>
              <w:ind w:right="129"/>
              <w:jc w:val="both"/>
            </w:pPr>
            <w:r>
              <w:t xml:space="preserve">Tiek pieņemts, ka apgādes tiesību nodošanai </w:t>
            </w:r>
            <w:r w:rsidR="004F13C2">
              <w:t xml:space="preserve">(un pārņemšanai) </w:t>
            </w:r>
            <w:r>
              <w:t xml:space="preserve">nepieciešamās informācijas sagatavošana un iesniegšana aizņem </w:t>
            </w:r>
            <w:r w:rsidR="00F365A5">
              <w:t>divas</w:t>
            </w:r>
            <w:r>
              <w:t xml:space="preserve"> stundas. </w:t>
            </w:r>
          </w:p>
          <w:p w14:paraId="13F2D639" w14:textId="34F63D60" w:rsidR="00627617" w:rsidRDefault="00627617" w:rsidP="003354DE">
            <w:pPr>
              <w:pStyle w:val="naiskr"/>
              <w:spacing w:before="0" w:after="0"/>
              <w:ind w:right="129"/>
              <w:jc w:val="both"/>
            </w:pPr>
            <w:r>
              <w:t>Tiek pieņemts, ka viena šāda iesnieguma</w:t>
            </w:r>
            <w:r w:rsidR="004F13C2">
              <w:t xml:space="preserve"> un tam pievienoto dokumentu</w:t>
            </w:r>
            <w:r>
              <w:t xml:space="preserve"> apstrāde LAD aizņem </w:t>
            </w:r>
            <w:r w:rsidR="002F1E4F">
              <w:t xml:space="preserve">5 </w:t>
            </w:r>
            <w:r>
              <w:t>stundas.</w:t>
            </w:r>
          </w:p>
          <w:p w14:paraId="66110253" w14:textId="77777777" w:rsidR="009232AB" w:rsidRPr="00627617" w:rsidRDefault="00627617" w:rsidP="003354DE">
            <w:pPr>
              <w:pStyle w:val="naiskr"/>
              <w:spacing w:before="0" w:after="0"/>
              <w:ind w:right="129"/>
              <w:jc w:val="both"/>
            </w:pPr>
            <w:r w:rsidRPr="00627617">
              <w:t>Tādējādi noteikumu projekta radītās administratīvās izmaksas gadā ir šādas:</w:t>
            </w:r>
          </w:p>
          <w:p w14:paraId="35931E24" w14:textId="4D05F471" w:rsidR="00D4398E" w:rsidRPr="00D4398E" w:rsidRDefault="00D4398E" w:rsidP="00D4398E">
            <w:pPr>
              <w:pStyle w:val="naiskr"/>
              <w:spacing w:before="0" w:after="0"/>
              <w:ind w:right="129"/>
            </w:pPr>
            <w:r w:rsidRPr="00D4398E">
              <w:t xml:space="preserve">1) </w:t>
            </w:r>
            <w:r w:rsidR="001E1ABF">
              <w:t>a</w:t>
            </w:r>
            <w:r w:rsidRPr="00D4398E">
              <w:t>tbalsta pretendentiem:</w:t>
            </w:r>
          </w:p>
          <w:p w14:paraId="67F82BCF" w14:textId="77777777" w:rsidR="00627617" w:rsidRDefault="00627617" w:rsidP="00D4398E">
            <w:pPr>
              <w:pStyle w:val="naiskr"/>
              <w:spacing w:before="0" w:after="0"/>
              <w:ind w:right="129"/>
              <w:jc w:val="center"/>
              <w:rPr>
                <w:b/>
              </w:rPr>
            </w:pPr>
            <w:r w:rsidRPr="00D4398E">
              <w:rPr>
                <w:b/>
              </w:rPr>
              <w:t xml:space="preserve">1 iesniegums * 5 reizes* 2 stundas* 6,98 </w:t>
            </w:r>
            <w:proofErr w:type="spellStart"/>
            <w:r w:rsidRPr="00854BD9">
              <w:rPr>
                <w:b/>
                <w:i/>
              </w:rPr>
              <w:t>euro</w:t>
            </w:r>
            <w:proofErr w:type="spellEnd"/>
            <w:r w:rsidR="00D4398E" w:rsidRPr="00D4398E">
              <w:rPr>
                <w:b/>
              </w:rPr>
              <w:t xml:space="preserve"> = 69,8</w:t>
            </w:r>
            <w:r w:rsidR="00D4398E">
              <w:rPr>
                <w:b/>
              </w:rPr>
              <w:t>0</w:t>
            </w:r>
            <w:r w:rsidR="00D4398E" w:rsidRPr="00D4398E">
              <w:rPr>
                <w:b/>
              </w:rPr>
              <w:t xml:space="preserve"> </w:t>
            </w:r>
            <w:proofErr w:type="spellStart"/>
            <w:r w:rsidR="00D4398E" w:rsidRPr="00D4398E">
              <w:rPr>
                <w:b/>
                <w:i/>
              </w:rPr>
              <w:t>euro</w:t>
            </w:r>
            <w:proofErr w:type="spellEnd"/>
            <w:r w:rsidR="00D4398E">
              <w:rPr>
                <w:b/>
                <w:i/>
              </w:rPr>
              <w:t>;</w:t>
            </w:r>
          </w:p>
          <w:p w14:paraId="36B59125" w14:textId="77777777" w:rsidR="00D4398E" w:rsidRPr="00D4398E" w:rsidRDefault="00D4398E" w:rsidP="00D4398E">
            <w:pPr>
              <w:pStyle w:val="naiskr"/>
              <w:spacing w:before="0" w:after="0"/>
              <w:ind w:right="129"/>
              <w:jc w:val="both"/>
            </w:pPr>
            <w:r w:rsidRPr="00D4398E">
              <w:t>2) LAD:</w:t>
            </w:r>
          </w:p>
          <w:p w14:paraId="5BFB5ED8" w14:textId="5D21CA2F" w:rsidR="00D4398E" w:rsidRDefault="00D4398E" w:rsidP="002B5297">
            <w:pPr>
              <w:pStyle w:val="naiskr"/>
              <w:spacing w:before="0" w:after="0"/>
              <w:ind w:right="129"/>
              <w:jc w:val="center"/>
            </w:pPr>
            <w:r w:rsidRPr="00D4398E">
              <w:rPr>
                <w:b/>
              </w:rPr>
              <w:t xml:space="preserve">1 iesniegums * 5 reizes* </w:t>
            </w:r>
            <w:r w:rsidR="002F1E4F">
              <w:rPr>
                <w:b/>
              </w:rPr>
              <w:t>5</w:t>
            </w:r>
            <w:r w:rsidR="002F1E4F" w:rsidRPr="00D4398E">
              <w:rPr>
                <w:b/>
              </w:rPr>
              <w:t xml:space="preserve"> </w:t>
            </w:r>
            <w:r w:rsidRPr="00D4398E">
              <w:rPr>
                <w:b/>
              </w:rPr>
              <w:t xml:space="preserve">stundas* </w:t>
            </w:r>
            <w:r>
              <w:rPr>
                <w:b/>
              </w:rPr>
              <w:t>9,97</w:t>
            </w:r>
            <w:r w:rsidRPr="00D4398E">
              <w:rPr>
                <w:b/>
              </w:rPr>
              <w:t xml:space="preserve"> </w:t>
            </w:r>
            <w:proofErr w:type="spellStart"/>
            <w:r w:rsidRPr="00854BD9">
              <w:rPr>
                <w:b/>
                <w:i/>
              </w:rPr>
              <w:t>euro</w:t>
            </w:r>
            <w:proofErr w:type="spellEnd"/>
            <w:r w:rsidRPr="00D4398E">
              <w:rPr>
                <w:b/>
              </w:rPr>
              <w:t xml:space="preserve"> = </w:t>
            </w:r>
            <w:r w:rsidR="002B5297">
              <w:rPr>
                <w:b/>
              </w:rPr>
              <w:t>249</w:t>
            </w:r>
            <w:r w:rsidR="004F13C2">
              <w:rPr>
                <w:b/>
              </w:rPr>
              <w:t>,</w:t>
            </w:r>
            <w:r w:rsidR="002B5297">
              <w:rPr>
                <w:b/>
              </w:rPr>
              <w:t>25</w:t>
            </w:r>
            <w:r w:rsidR="002B5297" w:rsidRPr="00D4398E">
              <w:rPr>
                <w:b/>
              </w:rPr>
              <w:t xml:space="preserve"> </w:t>
            </w:r>
            <w:proofErr w:type="spellStart"/>
            <w:r w:rsidRPr="00D4398E">
              <w:rPr>
                <w:b/>
                <w:i/>
              </w:rPr>
              <w:t>euro</w:t>
            </w:r>
            <w:proofErr w:type="spellEnd"/>
            <w:r>
              <w:rPr>
                <w:b/>
                <w:i/>
              </w:rPr>
              <w:t>;</w:t>
            </w:r>
          </w:p>
          <w:p w14:paraId="20ACC1F5" w14:textId="787F811E" w:rsidR="00D4398E" w:rsidRPr="00D4398E" w:rsidRDefault="00D4398E" w:rsidP="00D4398E">
            <w:pPr>
              <w:pStyle w:val="naiskr"/>
              <w:spacing w:before="0" w:after="0"/>
              <w:ind w:right="129"/>
              <w:jc w:val="both"/>
              <w:rPr>
                <w:b/>
                <w:color w:val="FF0000"/>
                <w:highlight w:val="yellow"/>
              </w:rPr>
            </w:pPr>
            <w:r w:rsidRPr="00D4398E">
              <w:t>3)</w:t>
            </w:r>
            <w:r>
              <w:rPr>
                <w:b/>
              </w:rPr>
              <w:t xml:space="preserve"> </w:t>
            </w:r>
            <w:r w:rsidR="001E1ABF">
              <w:t>k</w:t>
            </w:r>
            <w:r w:rsidRPr="00D4398E">
              <w:t>opā:</w:t>
            </w:r>
            <w:r>
              <w:rPr>
                <w:b/>
              </w:rPr>
              <w:t xml:space="preserve"> </w:t>
            </w:r>
            <w:r w:rsidR="002B5297">
              <w:rPr>
                <w:b/>
              </w:rPr>
              <w:t>319</w:t>
            </w:r>
            <w:r w:rsidR="004F13C2">
              <w:rPr>
                <w:b/>
              </w:rPr>
              <w:t>,</w:t>
            </w:r>
            <w:r w:rsidR="002B5297">
              <w:rPr>
                <w:b/>
              </w:rPr>
              <w:t xml:space="preserve">05 </w:t>
            </w:r>
            <w:proofErr w:type="spellStart"/>
            <w:r w:rsidRPr="00D4398E">
              <w:rPr>
                <w:b/>
                <w:i/>
              </w:rPr>
              <w:t>euro</w:t>
            </w:r>
            <w:proofErr w:type="spellEnd"/>
            <w:r>
              <w:rPr>
                <w:b/>
              </w:rPr>
              <w:t>.</w:t>
            </w:r>
          </w:p>
        </w:tc>
      </w:tr>
      <w:tr w:rsidR="00F47D5E" w:rsidRPr="004C094F" w14:paraId="0B717CCB"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06D1DE9D" w14:textId="77777777" w:rsidR="00F47D5E" w:rsidRPr="004C094F" w:rsidRDefault="00F47D5E" w:rsidP="0069761D">
            <w:pPr>
              <w:rPr>
                <w:color w:val="000000"/>
              </w:rPr>
            </w:pPr>
            <w:r>
              <w:rPr>
                <w:color w:val="000000"/>
              </w:rPr>
              <w:lastRenderedPageBreak/>
              <w:t>4.</w:t>
            </w:r>
          </w:p>
        </w:tc>
        <w:tc>
          <w:tcPr>
            <w:tcW w:w="2036" w:type="dxa"/>
            <w:tcBorders>
              <w:top w:val="outset" w:sz="6" w:space="0" w:color="000000"/>
              <w:left w:val="outset" w:sz="6" w:space="0" w:color="000000"/>
              <w:bottom w:val="outset" w:sz="6" w:space="0" w:color="000000"/>
              <w:right w:val="outset" w:sz="6" w:space="0" w:color="000000"/>
            </w:tcBorders>
          </w:tcPr>
          <w:p w14:paraId="3C55D99E"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448A5F29" w14:textId="77777777" w:rsidR="006D1404" w:rsidRPr="004C094F" w:rsidRDefault="003354DE" w:rsidP="006D1404">
            <w:pPr>
              <w:jc w:val="both"/>
              <w:rPr>
                <w:color w:val="000000"/>
              </w:rPr>
            </w:pPr>
            <w:r>
              <w:rPr>
                <w:color w:val="000000"/>
              </w:rPr>
              <w:t>No</w:t>
            </w:r>
            <w:r w:rsidRPr="003354DE">
              <w:rPr>
                <w:color w:val="000000"/>
              </w:rPr>
              <w:t>teikumu projekt</w:t>
            </w:r>
            <w:r w:rsidR="006D1404">
              <w:rPr>
                <w:color w:val="000000"/>
              </w:rPr>
              <w:t>s šo jomu neskar.</w:t>
            </w:r>
          </w:p>
        </w:tc>
      </w:tr>
      <w:tr w:rsidR="0069761D" w:rsidRPr="004C094F" w14:paraId="233A56D5"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1BCD2382"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27D7E8B4"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2106F6E4" w14:textId="77777777" w:rsidR="0069761D" w:rsidRPr="004C094F" w:rsidRDefault="00C21AFF" w:rsidP="0069761D">
            <w:pPr>
              <w:rPr>
                <w:color w:val="000000"/>
              </w:rPr>
            </w:pPr>
            <w:r>
              <w:rPr>
                <w:color w:val="000000"/>
              </w:rPr>
              <w:t>Nav.</w:t>
            </w:r>
          </w:p>
        </w:tc>
      </w:tr>
    </w:tbl>
    <w:p w14:paraId="1021E03B" w14:textId="77777777" w:rsidR="00993F89" w:rsidRDefault="00993F89" w:rsidP="009E31BC">
      <w:pPr>
        <w:rPr>
          <w:color w:val="000000"/>
        </w:rPr>
      </w:pPr>
    </w:p>
    <w:tbl>
      <w:tblPr>
        <w:tblStyle w:val="Reatabula"/>
        <w:tblW w:w="5081" w:type="pct"/>
        <w:tblInd w:w="-147" w:type="dxa"/>
        <w:tblLayout w:type="fixed"/>
        <w:tblLook w:val="04A0" w:firstRow="1" w:lastRow="0" w:firstColumn="1" w:lastColumn="0" w:noHBand="0" w:noVBand="1"/>
      </w:tblPr>
      <w:tblGrid>
        <w:gridCol w:w="9208"/>
      </w:tblGrid>
      <w:tr w:rsidR="00972C84" w:rsidRPr="00972C84" w14:paraId="713E40E6" w14:textId="77777777" w:rsidTr="00210CDF">
        <w:tc>
          <w:tcPr>
            <w:tcW w:w="9208" w:type="dxa"/>
            <w:hideMark/>
          </w:tcPr>
          <w:p w14:paraId="7EA3E968"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B22201" w:rsidRPr="00972C84" w14:paraId="270155EA" w14:textId="77777777" w:rsidTr="00210CDF">
        <w:tc>
          <w:tcPr>
            <w:tcW w:w="9208" w:type="dxa"/>
          </w:tcPr>
          <w:p w14:paraId="7C4CBD26" w14:textId="77777777" w:rsidR="00B22201" w:rsidRPr="00972C84" w:rsidRDefault="00A16211" w:rsidP="00A16211">
            <w:pPr>
              <w:jc w:val="center"/>
              <w:rPr>
                <w:iCs/>
              </w:rPr>
            </w:pPr>
            <w:r>
              <w:rPr>
                <w:color w:val="000000"/>
              </w:rPr>
              <w:t>No</w:t>
            </w:r>
            <w:r w:rsidRPr="003354DE">
              <w:rPr>
                <w:color w:val="000000"/>
              </w:rPr>
              <w:t>teikumu projekt</w:t>
            </w:r>
            <w:r>
              <w:rPr>
                <w:color w:val="000000"/>
              </w:rPr>
              <w:t>s šo jomu neskar.</w:t>
            </w:r>
          </w:p>
        </w:tc>
      </w:tr>
    </w:tbl>
    <w:p w14:paraId="7949B644" w14:textId="77777777" w:rsidR="00972C84" w:rsidRDefault="00972C84" w:rsidP="009E31BC">
      <w:pPr>
        <w:rPr>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061312" w14:paraId="50F4AEE4" w14:textId="77777777" w:rsidTr="00210CDF">
        <w:trPr>
          <w:jc w:val="center"/>
        </w:trPr>
        <w:tc>
          <w:tcPr>
            <w:tcW w:w="9356" w:type="dxa"/>
          </w:tcPr>
          <w:p w14:paraId="1BE23AC1" w14:textId="77777777" w:rsidR="00B74F4C" w:rsidRPr="003905DC" w:rsidRDefault="00B74F4C" w:rsidP="008614B5">
            <w:pPr>
              <w:pStyle w:val="naisnod"/>
              <w:spacing w:before="0" w:after="0"/>
            </w:pPr>
            <w:r w:rsidRPr="003905DC">
              <w:t>IV. Tiesību akta projekta ietekme uz spēkā esošo tiesību normu sistēmu</w:t>
            </w:r>
          </w:p>
        </w:tc>
      </w:tr>
      <w:tr w:rsidR="00A372E3" w:rsidRPr="00061312" w14:paraId="7DD2935D" w14:textId="77777777" w:rsidTr="00210CDF">
        <w:trPr>
          <w:jc w:val="center"/>
        </w:trPr>
        <w:tc>
          <w:tcPr>
            <w:tcW w:w="9356" w:type="dxa"/>
          </w:tcPr>
          <w:p w14:paraId="55E6442F" w14:textId="77777777" w:rsidR="00A372E3" w:rsidRDefault="00A372E3" w:rsidP="00A372E3">
            <w:pPr>
              <w:pStyle w:val="naiskr"/>
              <w:tabs>
                <w:tab w:val="left" w:pos="2628"/>
              </w:tabs>
              <w:spacing w:before="0" w:after="0"/>
              <w:jc w:val="center"/>
            </w:pPr>
            <w:r>
              <w:rPr>
                <w:color w:val="000000"/>
              </w:rPr>
              <w:t>No</w:t>
            </w:r>
            <w:r w:rsidRPr="003354DE">
              <w:rPr>
                <w:color w:val="000000"/>
              </w:rPr>
              <w:t>teikumu projekt</w:t>
            </w:r>
            <w:r>
              <w:rPr>
                <w:color w:val="000000"/>
              </w:rPr>
              <w:t>s šo jomu neskar.</w:t>
            </w:r>
          </w:p>
        </w:tc>
      </w:tr>
    </w:tbl>
    <w:p w14:paraId="126C6441" w14:textId="77777777" w:rsidR="00B74F4C" w:rsidRPr="003B78CD" w:rsidRDefault="00B74F4C" w:rsidP="005B5AC4">
      <w:pPr>
        <w:pStyle w:val="tvhtml"/>
        <w:shd w:val="clear" w:color="auto" w:fill="FFFFFF"/>
        <w:spacing w:before="0" w:beforeAutospacing="0" w:after="0" w:afterAutospacing="0"/>
        <w:rPr>
          <w:i/>
        </w:rPr>
      </w:pPr>
    </w:p>
    <w:tbl>
      <w:tblPr>
        <w:tblW w:w="5083"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6"/>
        <w:gridCol w:w="3260"/>
        <w:gridCol w:w="5519"/>
      </w:tblGrid>
      <w:tr w:rsidR="001A28EB" w:rsidRPr="002B04C6" w14:paraId="5F8FD92A" w14:textId="77777777" w:rsidTr="00A372E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EC2B1"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74750C" w:rsidRPr="0074750C" w14:paraId="73D66866" w14:textId="77777777" w:rsidTr="0074750C">
        <w:tc>
          <w:tcPr>
            <w:tcW w:w="2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323E3E" w14:textId="05A282EB" w:rsidR="0074750C" w:rsidRPr="0074750C" w:rsidRDefault="0074750C" w:rsidP="00306098">
            <w:pPr>
              <w:pStyle w:val="tvhtml"/>
              <w:spacing w:line="293" w:lineRule="atLeast"/>
              <w:jc w:val="center"/>
              <w:rPr>
                <w:bCs/>
              </w:rPr>
            </w:pPr>
            <w:r w:rsidRPr="0074750C">
              <w:rPr>
                <w:bCs/>
              </w:rPr>
              <w:t>1.</w:t>
            </w:r>
          </w:p>
        </w:tc>
        <w:tc>
          <w:tcPr>
            <w:tcW w:w="17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736FA5" w14:textId="42607687" w:rsidR="0074750C" w:rsidRPr="0074750C" w:rsidRDefault="0074750C" w:rsidP="0074750C">
            <w:pPr>
              <w:pStyle w:val="tvhtml"/>
              <w:spacing w:line="293" w:lineRule="atLeast"/>
              <w:rPr>
                <w:bCs/>
              </w:rPr>
            </w:pPr>
            <w:r w:rsidRPr="007B6ACF">
              <w:t>Saistības pret Eiropas Savienību</w:t>
            </w:r>
          </w:p>
        </w:tc>
        <w:tc>
          <w:tcPr>
            <w:tcW w:w="29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36A14A" w14:textId="4E895595" w:rsidR="0074750C" w:rsidRPr="0074750C" w:rsidRDefault="0074750C" w:rsidP="0074750C">
            <w:pPr>
              <w:pStyle w:val="tvhtml"/>
              <w:spacing w:line="293" w:lineRule="atLeast"/>
              <w:jc w:val="both"/>
              <w:rPr>
                <w:bCs/>
              </w:rPr>
            </w:pPr>
            <w:r>
              <w:t>Eiropas Parlamenta un Padomes 2013. gada 17.</w:t>
            </w:r>
            <w:r w:rsidR="001E1ABF">
              <w:t> </w:t>
            </w:r>
            <w:r>
              <w:t xml:space="preserve">decembra regula (ES) Nr. 1308/2013, ar ko izveido lauksaimniecības produktu tirgu kopīgu organizāciju un atceļ Padomes Regulas (EEK) Nr. 922/72, (EEK) Nr. 234/79, (EK) Nr. 1037/2001 un (EK) Nr. 1234/2007 </w:t>
            </w:r>
            <w:proofErr w:type="gramStart"/>
            <w:r>
              <w:t>(</w:t>
            </w:r>
            <w:proofErr w:type="gramEnd"/>
            <w:r>
              <w:t>turpmāk – Regula 1308/2013)</w:t>
            </w:r>
          </w:p>
        </w:tc>
      </w:tr>
      <w:tr w:rsidR="0074750C" w:rsidRPr="0074750C" w14:paraId="0A4803F8" w14:textId="77777777" w:rsidTr="0074750C">
        <w:tc>
          <w:tcPr>
            <w:tcW w:w="2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8EED1A" w14:textId="468530C3" w:rsidR="0074750C" w:rsidRPr="0074750C" w:rsidRDefault="0074750C" w:rsidP="00306098">
            <w:pPr>
              <w:pStyle w:val="tvhtml"/>
              <w:spacing w:line="293" w:lineRule="atLeast"/>
              <w:jc w:val="center"/>
              <w:rPr>
                <w:bCs/>
              </w:rPr>
            </w:pPr>
            <w:r w:rsidRPr="0074750C">
              <w:rPr>
                <w:bCs/>
              </w:rPr>
              <w:t>2.</w:t>
            </w:r>
          </w:p>
        </w:tc>
        <w:tc>
          <w:tcPr>
            <w:tcW w:w="17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408AA9" w14:textId="25A910E7" w:rsidR="0074750C" w:rsidRPr="0074750C" w:rsidRDefault="0074750C" w:rsidP="0074750C">
            <w:pPr>
              <w:pStyle w:val="tvhtml"/>
              <w:spacing w:line="293" w:lineRule="atLeast"/>
              <w:rPr>
                <w:bCs/>
              </w:rPr>
            </w:pPr>
            <w:r w:rsidRPr="007B6ACF">
              <w:t>Citas starptautiskās saistības</w:t>
            </w:r>
          </w:p>
        </w:tc>
        <w:tc>
          <w:tcPr>
            <w:tcW w:w="29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143BD5" w14:textId="2F85A42E" w:rsidR="0074750C" w:rsidRPr="0074750C" w:rsidRDefault="0074750C" w:rsidP="0074750C">
            <w:pPr>
              <w:pStyle w:val="tvhtml"/>
              <w:spacing w:line="293" w:lineRule="atLeast"/>
              <w:jc w:val="both"/>
              <w:rPr>
                <w:bCs/>
              </w:rPr>
            </w:pPr>
            <w:r w:rsidRPr="007B6ACF">
              <w:t>Projekts šo jomu neskar.</w:t>
            </w:r>
          </w:p>
        </w:tc>
      </w:tr>
      <w:tr w:rsidR="0074750C" w:rsidRPr="0074750C" w14:paraId="4C7004E9" w14:textId="77777777" w:rsidTr="0074750C">
        <w:tc>
          <w:tcPr>
            <w:tcW w:w="2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ED1F4" w14:textId="7EAC75F0" w:rsidR="0074750C" w:rsidRPr="0074750C" w:rsidRDefault="0074750C" w:rsidP="00306098">
            <w:pPr>
              <w:pStyle w:val="tvhtml"/>
              <w:spacing w:line="293" w:lineRule="atLeast"/>
              <w:jc w:val="center"/>
              <w:rPr>
                <w:bCs/>
              </w:rPr>
            </w:pPr>
            <w:r w:rsidRPr="0074750C">
              <w:rPr>
                <w:bCs/>
              </w:rPr>
              <w:t>3.</w:t>
            </w:r>
          </w:p>
        </w:tc>
        <w:tc>
          <w:tcPr>
            <w:tcW w:w="17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29DD66" w14:textId="1D130D0C" w:rsidR="0074750C" w:rsidRPr="0074750C" w:rsidRDefault="0074750C" w:rsidP="0074750C">
            <w:pPr>
              <w:pStyle w:val="tvhtml"/>
              <w:spacing w:line="293" w:lineRule="atLeast"/>
              <w:rPr>
                <w:bCs/>
              </w:rPr>
            </w:pPr>
            <w:r w:rsidRPr="007B6ACF">
              <w:t>Cita informācija</w:t>
            </w:r>
          </w:p>
        </w:tc>
        <w:tc>
          <w:tcPr>
            <w:tcW w:w="29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1F5797" w14:textId="7EE839E1" w:rsidR="0074750C" w:rsidRPr="0074750C" w:rsidRDefault="0074750C" w:rsidP="0074750C">
            <w:pPr>
              <w:pStyle w:val="tvhtml"/>
              <w:spacing w:line="293" w:lineRule="atLeast"/>
              <w:rPr>
                <w:bCs/>
              </w:rPr>
            </w:pPr>
            <w:r>
              <w:rPr>
                <w:bCs/>
              </w:rPr>
              <w:t>Nav.</w:t>
            </w:r>
          </w:p>
        </w:tc>
      </w:tr>
    </w:tbl>
    <w:p w14:paraId="67348BAA" w14:textId="77777777" w:rsidR="00C318BB"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8"/>
        <w:gridCol w:w="221"/>
        <w:gridCol w:w="1606"/>
        <w:gridCol w:w="1271"/>
        <w:gridCol w:w="1273"/>
        <w:gridCol w:w="2797"/>
      </w:tblGrid>
      <w:tr w:rsidR="004E6EBD" w:rsidRPr="00623FFE" w14:paraId="5768159D" w14:textId="77777777" w:rsidTr="004E6EBD">
        <w:trPr>
          <w:jc w:val="center"/>
        </w:trPr>
        <w:tc>
          <w:tcPr>
            <w:tcW w:w="9456" w:type="dxa"/>
            <w:gridSpan w:val="6"/>
            <w:tcBorders>
              <w:top w:val="single" w:sz="4" w:space="0" w:color="auto"/>
              <w:left w:val="single" w:sz="4" w:space="0" w:color="auto"/>
              <w:bottom w:val="single" w:sz="4" w:space="0" w:color="auto"/>
              <w:right w:val="single" w:sz="4" w:space="0" w:color="auto"/>
            </w:tcBorders>
          </w:tcPr>
          <w:p w14:paraId="1204A62F" w14:textId="77777777" w:rsidR="004E6EBD" w:rsidRPr="004E6EBD" w:rsidRDefault="004E6EBD" w:rsidP="004E6EBD">
            <w:pPr>
              <w:pStyle w:val="naisnod"/>
              <w:spacing w:before="0" w:after="0"/>
              <w:ind w:left="57" w:right="57"/>
            </w:pPr>
            <w:r w:rsidRPr="003B78CD">
              <w:t>1.tabula</w:t>
            </w:r>
            <w:r w:rsidRPr="003B78CD">
              <w:br/>
              <w:t>Tiesību akta projekta atbilstība ES tiesību aktiem</w:t>
            </w:r>
          </w:p>
        </w:tc>
      </w:tr>
      <w:tr w:rsidR="004E6EBD" w:rsidRPr="00001BD6" w14:paraId="3F12BF38"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hideMark/>
          </w:tcPr>
          <w:p w14:paraId="4F121F3F" w14:textId="77777777" w:rsidR="004E6EBD" w:rsidRPr="003B78CD" w:rsidRDefault="004E6EBD" w:rsidP="001747B9">
            <w:r w:rsidRPr="003B78CD">
              <w:t>Attiecīgā ES tiesību akta datums, numurs un nosaukums</w:t>
            </w:r>
          </w:p>
        </w:tc>
        <w:tc>
          <w:tcPr>
            <w:tcW w:w="6947" w:type="dxa"/>
            <w:gridSpan w:val="4"/>
            <w:tcBorders>
              <w:top w:val="outset" w:sz="6" w:space="0" w:color="414142"/>
              <w:left w:val="outset" w:sz="6" w:space="0" w:color="414142"/>
              <w:bottom w:val="outset" w:sz="6" w:space="0" w:color="414142"/>
              <w:right w:val="outset" w:sz="6" w:space="0" w:color="414142"/>
            </w:tcBorders>
            <w:hideMark/>
          </w:tcPr>
          <w:p w14:paraId="05458D5B" w14:textId="77777777" w:rsidR="004E6EBD" w:rsidRDefault="004E6EBD" w:rsidP="001747B9">
            <w:pPr>
              <w:widowControl w:val="0"/>
              <w:tabs>
                <w:tab w:val="left" w:pos="3280"/>
              </w:tabs>
              <w:jc w:val="both"/>
            </w:pPr>
            <w:r w:rsidRPr="008F77A9">
              <w:t>ES tiesību akti, no kuriem izriet saistības:</w:t>
            </w:r>
          </w:p>
          <w:p w14:paraId="16AD37E7" w14:textId="77777777" w:rsidR="00A14604" w:rsidRDefault="00A14604" w:rsidP="00A14604">
            <w:pPr>
              <w:jc w:val="both"/>
            </w:pPr>
          </w:p>
          <w:p w14:paraId="0B791477" w14:textId="3FF6D75B" w:rsidR="004E6EBD" w:rsidRPr="00A14604" w:rsidRDefault="00A14604" w:rsidP="00A14604">
            <w:pPr>
              <w:jc w:val="both"/>
            </w:pPr>
            <w:r>
              <w:t>Regula 1308/2013</w:t>
            </w:r>
          </w:p>
        </w:tc>
      </w:tr>
      <w:tr w:rsidR="004E6EBD" w:rsidRPr="003B78CD" w14:paraId="40375969"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vAlign w:val="center"/>
            <w:hideMark/>
          </w:tcPr>
          <w:p w14:paraId="4D3EA4B4" w14:textId="77777777" w:rsidR="004E6EBD" w:rsidRPr="003B78CD" w:rsidRDefault="004E6EBD" w:rsidP="001747B9">
            <w:pPr>
              <w:pStyle w:val="tvhtml"/>
              <w:spacing w:line="293" w:lineRule="atLeast"/>
              <w:jc w:val="center"/>
            </w:pPr>
            <w:r w:rsidRPr="003B78CD">
              <w:t>A</w:t>
            </w:r>
          </w:p>
        </w:tc>
        <w:tc>
          <w:tcPr>
            <w:tcW w:w="1606" w:type="dxa"/>
            <w:tcBorders>
              <w:top w:val="outset" w:sz="6" w:space="0" w:color="414142"/>
              <w:left w:val="outset" w:sz="6" w:space="0" w:color="414142"/>
              <w:bottom w:val="outset" w:sz="6" w:space="0" w:color="414142"/>
              <w:right w:val="outset" w:sz="6" w:space="0" w:color="414142"/>
            </w:tcBorders>
            <w:vAlign w:val="center"/>
            <w:hideMark/>
          </w:tcPr>
          <w:p w14:paraId="774173AA" w14:textId="77777777" w:rsidR="004E6EBD" w:rsidRPr="003B78CD" w:rsidRDefault="004E6EBD" w:rsidP="001747B9">
            <w:pPr>
              <w:pStyle w:val="tvhtml"/>
              <w:spacing w:line="293" w:lineRule="atLeast"/>
              <w:jc w:val="center"/>
            </w:pPr>
            <w:r w:rsidRPr="003B78CD">
              <w:t>B</w:t>
            </w:r>
          </w:p>
        </w:tc>
        <w:tc>
          <w:tcPr>
            <w:tcW w:w="2544" w:type="dxa"/>
            <w:gridSpan w:val="2"/>
            <w:tcBorders>
              <w:top w:val="outset" w:sz="6" w:space="0" w:color="414142"/>
              <w:left w:val="outset" w:sz="6" w:space="0" w:color="414142"/>
              <w:bottom w:val="outset" w:sz="6" w:space="0" w:color="414142"/>
              <w:right w:val="outset" w:sz="6" w:space="0" w:color="414142"/>
            </w:tcBorders>
            <w:vAlign w:val="center"/>
            <w:hideMark/>
          </w:tcPr>
          <w:p w14:paraId="24FF3EA4" w14:textId="77777777" w:rsidR="004E6EBD" w:rsidRPr="003B78CD" w:rsidRDefault="004E6EBD" w:rsidP="001747B9">
            <w:pPr>
              <w:pStyle w:val="tvhtml"/>
              <w:spacing w:line="293" w:lineRule="atLeast"/>
              <w:jc w:val="center"/>
            </w:pPr>
            <w:r w:rsidRPr="003B78CD">
              <w:t>C</w:t>
            </w:r>
          </w:p>
        </w:tc>
        <w:tc>
          <w:tcPr>
            <w:tcW w:w="2797" w:type="dxa"/>
            <w:tcBorders>
              <w:top w:val="outset" w:sz="6" w:space="0" w:color="414142"/>
              <w:left w:val="outset" w:sz="6" w:space="0" w:color="414142"/>
              <w:bottom w:val="outset" w:sz="6" w:space="0" w:color="414142"/>
              <w:right w:val="outset" w:sz="6" w:space="0" w:color="414142"/>
            </w:tcBorders>
            <w:vAlign w:val="center"/>
            <w:hideMark/>
          </w:tcPr>
          <w:p w14:paraId="6F12D30C" w14:textId="77777777" w:rsidR="004E6EBD" w:rsidRPr="003B78CD" w:rsidRDefault="004E6EBD" w:rsidP="001747B9">
            <w:pPr>
              <w:pStyle w:val="tvhtml"/>
              <w:spacing w:line="293" w:lineRule="atLeast"/>
              <w:jc w:val="center"/>
            </w:pPr>
            <w:r w:rsidRPr="003B78CD">
              <w:t>D</w:t>
            </w:r>
          </w:p>
        </w:tc>
      </w:tr>
      <w:tr w:rsidR="004E6EBD" w:rsidRPr="00623FFE" w14:paraId="53A01F72"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hideMark/>
          </w:tcPr>
          <w:p w14:paraId="266DFA45" w14:textId="77777777" w:rsidR="004E6EBD" w:rsidRPr="003B78CD" w:rsidRDefault="004E6EBD" w:rsidP="001747B9">
            <w:r w:rsidRPr="003B78CD">
              <w:t>Attiecīgā ES tiesību akta panta numurs (uzskaitot katru tiesību akta vienību – pantu, daļu, punktu, apakšpunktu)</w:t>
            </w:r>
          </w:p>
        </w:tc>
        <w:tc>
          <w:tcPr>
            <w:tcW w:w="1606" w:type="dxa"/>
            <w:tcBorders>
              <w:top w:val="outset" w:sz="6" w:space="0" w:color="414142"/>
              <w:left w:val="outset" w:sz="6" w:space="0" w:color="414142"/>
              <w:bottom w:val="outset" w:sz="6" w:space="0" w:color="414142"/>
              <w:right w:val="outset" w:sz="6" w:space="0" w:color="414142"/>
            </w:tcBorders>
            <w:hideMark/>
          </w:tcPr>
          <w:p w14:paraId="6426FCD6" w14:textId="77777777" w:rsidR="004E6EBD" w:rsidRPr="003B78CD" w:rsidRDefault="004E6EBD" w:rsidP="001747B9">
            <w:r w:rsidRPr="003B78CD">
              <w:t xml:space="preserve">Projekta vienība, kas pārņem vai ievieš katru šīs tabulas A ailē </w:t>
            </w:r>
            <w:r w:rsidRPr="003B78CD">
              <w:lastRenderedPageBreak/>
              <w:t>minēto ES tiesību akta vienību, vai tiesību akts, kur attiecīgā ES tiesību akta vienība pārņemta vai ieviesta</w:t>
            </w:r>
          </w:p>
        </w:tc>
        <w:tc>
          <w:tcPr>
            <w:tcW w:w="2544" w:type="dxa"/>
            <w:gridSpan w:val="2"/>
            <w:tcBorders>
              <w:top w:val="outset" w:sz="6" w:space="0" w:color="414142"/>
              <w:left w:val="outset" w:sz="6" w:space="0" w:color="414142"/>
              <w:bottom w:val="outset" w:sz="6" w:space="0" w:color="414142"/>
              <w:right w:val="outset" w:sz="6" w:space="0" w:color="414142"/>
            </w:tcBorders>
            <w:hideMark/>
          </w:tcPr>
          <w:p w14:paraId="46BE7A6E" w14:textId="77777777" w:rsidR="004E6EBD" w:rsidRPr="003B78CD" w:rsidRDefault="004E6EBD" w:rsidP="001747B9">
            <w:r w:rsidRPr="003B78CD">
              <w:lastRenderedPageBreak/>
              <w:t xml:space="preserve">Informācija par to, vai šīs tabulas A ailē minētās ES tiesību akta vienības tiek pārņemtas vai </w:t>
            </w:r>
            <w:r w:rsidRPr="003B78CD">
              <w:lastRenderedPageBreak/>
              <w:t>ieviestas pilnībā vai daļēji.</w:t>
            </w:r>
          </w:p>
          <w:p w14:paraId="146B9BE4" w14:textId="77777777" w:rsidR="004E6EBD" w:rsidRPr="003B78CD" w:rsidRDefault="004E6EBD" w:rsidP="001747B9">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7F4829B4" w14:textId="77777777" w:rsidR="004E6EBD" w:rsidRPr="003B78CD" w:rsidRDefault="004E6EBD" w:rsidP="001747B9">
            <w:pPr>
              <w:pStyle w:val="tvhtml"/>
              <w:spacing w:line="293" w:lineRule="atLeast"/>
            </w:pPr>
            <w:r w:rsidRPr="003B78CD">
              <w:t>Norāda institūciju, kas ir atbildīga par šo saistību izpildi pilnībā</w:t>
            </w:r>
          </w:p>
        </w:tc>
        <w:tc>
          <w:tcPr>
            <w:tcW w:w="2797" w:type="dxa"/>
            <w:tcBorders>
              <w:top w:val="outset" w:sz="6" w:space="0" w:color="414142"/>
              <w:left w:val="outset" w:sz="6" w:space="0" w:color="414142"/>
              <w:bottom w:val="outset" w:sz="6" w:space="0" w:color="414142"/>
              <w:right w:val="outset" w:sz="6" w:space="0" w:color="414142"/>
            </w:tcBorders>
            <w:hideMark/>
          </w:tcPr>
          <w:p w14:paraId="0E74E138" w14:textId="77777777" w:rsidR="004E6EBD" w:rsidRPr="003B78CD" w:rsidRDefault="004E6EBD" w:rsidP="001747B9">
            <w:r w:rsidRPr="003B78CD">
              <w:lastRenderedPageBreak/>
              <w:t xml:space="preserve">Informācija par to, vai šīs tabulas B ailē minētās projekta vienības paredz stingrākas prasības nekā šīs </w:t>
            </w:r>
            <w:r w:rsidRPr="003B78CD">
              <w:lastRenderedPageBreak/>
              <w:t>tabulas A ailē minētās ES tiesību akta vienības.</w:t>
            </w:r>
          </w:p>
          <w:p w14:paraId="34F0DA84" w14:textId="77777777" w:rsidR="004E6EBD" w:rsidRPr="003B78CD" w:rsidRDefault="004E6EBD" w:rsidP="001747B9">
            <w:pPr>
              <w:pStyle w:val="tvhtml"/>
              <w:spacing w:line="293" w:lineRule="atLeast"/>
            </w:pPr>
            <w:r w:rsidRPr="003B78CD">
              <w:t>Ja projekts satur stingrākas prasības nekā attiecīgais ES tiesību akts, norāda pamatojumu un samērīgumu.</w:t>
            </w:r>
          </w:p>
          <w:p w14:paraId="16FBC423" w14:textId="77777777" w:rsidR="004E6EBD" w:rsidRPr="003B78CD" w:rsidRDefault="004E6EBD" w:rsidP="001747B9">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4E6EBD" w:rsidRPr="00623FFE" w14:paraId="13A80522"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tcPr>
          <w:p w14:paraId="69927C2F" w14:textId="14768F18" w:rsidR="004E6EBD" w:rsidRPr="00EC72BD" w:rsidRDefault="004E6EBD" w:rsidP="001747B9">
            <w:r>
              <w:lastRenderedPageBreak/>
              <w:t xml:space="preserve">Regulas </w:t>
            </w:r>
            <w:r w:rsidR="00A14604">
              <w:t xml:space="preserve">1308/2013 23. panta 1.punkta “b” apakšpunkts </w:t>
            </w:r>
          </w:p>
        </w:tc>
        <w:tc>
          <w:tcPr>
            <w:tcW w:w="1606" w:type="dxa"/>
            <w:tcBorders>
              <w:top w:val="outset" w:sz="6" w:space="0" w:color="414142"/>
              <w:left w:val="outset" w:sz="6" w:space="0" w:color="414142"/>
              <w:bottom w:val="outset" w:sz="6" w:space="0" w:color="414142"/>
              <w:right w:val="outset" w:sz="6" w:space="0" w:color="414142"/>
            </w:tcBorders>
          </w:tcPr>
          <w:p w14:paraId="33B3104F" w14:textId="08D4CC6E" w:rsidR="004E6EBD" w:rsidRPr="00EC72BD" w:rsidRDefault="00A14604" w:rsidP="001747B9">
            <w:r>
              <w:t>1</w:t>
            </w:r>
            <w:r w:rsidR="004E6EBD">
              <w:t>.</w:t>
            </w:r>
            <w:r>
              <w:t>, 5., 9., 10. un 11.</w:t>
            </w:r>
            <w:r w:rsidR="004E6EBD">
              <w:t xml:space="preserve"> punkts</w:t>
            </w:r>
          </w:p>
        </w:tc>
        <w:tc>
          <w:tcPr>
            <w:tcW w:w="2544" w:type="dxa"/>
            <w:gridSpan w:val="2"/>
            <w:tcBorders>
              <w:top w:val="outset" w:sz="6" w:space="0" w:color="414142"/>
              <w:left w:val="outset" w:sz="6" w:space="0" w:color="414142"/>
              <w:bottom w:val="outset" w:sz="6" w:space="0" w:color="414142"/>
              <w:right w:val="outset" w:sz="6" w:space="0" w:color="414142"/>
            </w:tcBorders>
          </w:tcPr>
          <w:p w14:paraId="77857C7D" w14:textId="77777777" w:rsidR="004E6EBD" w:rsidRPr="00EC72BD" w:rsidRDefault="004E6EBD" w:rsidP="001747B9">
            <w:r w:rsidRPr="00EC72BD">
              <w:t>Ieviests pilnībā.</w:t>
            </w:r>
          </w:p>
        </w:tc>
        <w:tc>
          <w:tcPr>
            <w:tcW w:w="2797" w:type="dxa"/>
            <w:tcBorders>
              <w:top w:val="outset" w:sz="6" w:space="0" w:color="414142"/>
              <w:left w:val="outset" w:sz="6" w:space="0" w:color="414142"/>
              <w:bottom w:val="outset" w:sz="6" w:space="0" w:color="414142"/>
              <w:right w:val="outset" w:sz="6" w:space="0" w:color="414142"/>
            </w:tcBorders>
          </w:tcPr>
          <w:p w14:paraId="5705C6CA" w14:textId="77777777" w:rsidR="004E6EBD" w:rsidRPr="00EC72BD" w:rsidRDefault="004E6EBD" w:rsidP="001747B9">
            <w:r w:rsidRPr="00EC72BD">
              <w:t>Netiek noteiktas stingrākas prasības.</w:t>
            </w:r>
          </w:p>
        </w:tc>
      </w:tr>
      <w:tr w:rsidR="004E6EBD" w:rsidRPr="003B78CD" w14:paraId="49B080CC"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hideMark/>
          </w:tcPr>
          <w:p w14:paraId="004A9CF3" w14:textId="77777777" w:rsidR="004E6EBD" w:rsidRPr="003B78CD" w:rsidRDefault="004E6EBD" w:rsidP="001747B9">
            <w:r w:rsidRPr="003B78CD">
              <w:t>Kā ir izmantota ES tiesību aktā paredzētā rīcības brīvība dalībvalstij pārņemt vai ieviest noteiktas ES tiesību akta normas?</w:t>
            </w:r>
            <w:r w:rsidRPr="003B78CD">
              <w:br/>
              <w:t>Kādēļ?</w:t>
            </w:r>
          </w:p>
        </w:tc>
        <w:tc>
          <w:tcPr>
            <w:tcW w:w="6947" w:type="dxa"/>
            <w:gridSpan w:val="4"/>
            <w:tcBorders>
              <w:top w:val="outset" w:sz="6" w:space="0" w:color="414142"/>
              <w:left w:val="outset" w:sz="6" w:space="0" w:color="414142"/>
              <w:bottom w:val="outset" w:sz="6" w:space="0" w:color="414142"/>
              <w:right w:val="outset" w:sz="6" w:space="0" w:color="414142"/>
            </w:tcBorders>
          </w:tcPr>
          <w:p w14:paraId="7A0FC2C9" w14:textId="41B2DF3E" w:rsidR="004E6EBD" w:rsidRPr="003B78CD" w:rsidRDefault="00A14604" w:rsidP="001747B9">
            <w:pPr>
              <w:jc w:val="both"/>
            </w:pPr>
            <w:r>
              <w:t>Projekts šo jomu neskar.</w:t>
            </w:r>
          </w:p>
        </w:tc>
      </w:tr>
      <w:tr w:rsidR="004E6EBD" w:rsidRPr="003B78CD" w14:paraId="38854ECB"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hideMark/>
          </w:tcPr>
          <w:p w14:paraId="1349DB9E" w14:textId="77777777" w:rsidR="004E6EBD" w:rsidRPr="003B78CD" w:rsidRDefault="004E6EBD" w:rsidP="001747B9">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4"/>
            <w:tcBorders>
              <w:top w:val="outset" w:sz="6" w:space="0" w:color="414142"/>
              <w:left w:val="outset" w:sz="6" w:space="0" w:color="414142"/>
              <w:bottom w:val="outset" w:sz="6" w:space="0" w:color="414142"/>
              <w:right w:val="outset" w:sz="6" w:space="0" w:color="414142"/>
            </w:tcBorders>
          </w:tcPr>
          <w:p w14:paraId="05416326" w14:textId="68AFF765" w:rsidR="004E6EBD" w:rsidRPr="003B78CD" w:rsidRDefault="00A14604" w:rsidP="001747B9">
            <w:pPr>
              <w:jc w:val="both"/>
            </w:pPr>
            <w:r>
              <w:t>Projekts šo jomu neskar.</w:t>
            </w:r>
          </w:p>
        </w:tc>
      </w:tr>
      <w:tr w:rsidR="004E6EBD" w:rsidRPr="003B78CD" w14:paraId="3E8FE495"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509" w:type="dxa"/>
            <w:gridSpan w:val="2"/>
            <w:tcBorders>
              <w:top w:val="outset" w:sz="6" w:space="0" w:color="414142"/>
              <w:left w:val="outset" w:sz="6" w:space="0" w:color="414142"/>
              <w:bottom w:val="outset" w:sz="6" w:space="0" w:color="414142"/>
              <w:right w:val="outset" w:sz="6" w:space="0" w:color="414142"/>
            </w:tcBorders>
            <w:hideMark/>
          </w:tcPr>
          <w:p w14:paraId="6D2C9F1B" w14:textId="77777777" w:rsidR="004E6EBD" w:rsidRPr="003B78CD" w:rsidRDefault="004E6EBD" w:rsidP="001747B9">
            <w:r w:rsidRPr="003B78CD">
              <w:t>Cita informācija</w:t>
            </w:r>
          </w:p>
        </w:tc>
        <w:tc>
          <w:tcPr>
            <w:tcW w:w="6947" w:type="dxa"/>
            <w:gridSpan w:val="4"/>
            <w:tcBorders>
              <w:top w:val="outset" w:sz="6" w:space="0" w:color="414142"/>
              <w:left w:val="outset" w:sz="6" w:space="0" w:color="414142"/>
              <w:bottom w:val="outset" w:sz="6" w:space="0" w:color="414142"/>
              <w:right w:val="outset" w:sz="6" w:space="0" w:color="414142"/>
            </w:tcBorders>
            <w:hideMark/>
          </w:tcPr>
          <w:p w14:paraId="63E0B515" w14:textId="77777777" w:rsidR="004E6EBD" w:rsidRPr="003B78CD" w:rsidRDefault="004E6EBD" w:rsidP="001747B9">
            <w:pPr>
              <w:pStyle w:val="tvhtml"/>
              <w:spacing w:line="293" w:lineRule="atLeast"/>
            </w:pPr>
            <w:r>
              <w:t xml:space="preserve">Nav. </w:t>
            </w:r>
          </w:p>
        </w:tc>
      </w:tr>
      <w:tr w:rsidR="004E6EBD" w:rsidRPr="003B78CD" w14:paraId="27E6A265"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9456" w:type="dxa"/>
            <w:gridSpan w:val="6"/>
            <w:tcBorders>
              <w:top w:val="outset" w:sz="6" w:space="0" w:color="414142"/>
              <w:left w:val="outset" w:sz="6" w:space="0" w:color="414142"/>
              <w:bottom w:val="outset" w:sz="6" w:space="0" w:color="414142"/>
              <w:right w:val="outset" w:sz="6" w:space="0" w:color="414142"/>
            </w:tcBorders>
            <w:vAlign w:val="center"/>
            <w:hideMark/>
          </w:tcPr>
          <w:p w14:paraId="31410EEF" w14:textId="77777777" w:rsidR="004E6EBD" w:rsidRPr="003B78CD" w:rsidRDefault="004E6EBD" w:rsidP="001747B9">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4E6EBD" w:rsidRPr="003B78CD" w14:paraId="73E33D00"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vAlign w:val="center"/>
            <w:hideMark/>
          </w:tcPr>
          <w:p w14:paraId="55F0BFAD" w14:textId="77777777" w:rsidR="004E6EBD" w:rsidRPr="003B78CD" w:rsidRDefault="004E6EBD" w:rsidP="001747B9">
            <w:r w:rsidRPr="003B78CD">
              <w:t xml:space="preserve">Attiecīgā starptautiskā tiesību akta vai starptautiskas </w:t>
            </w:r>
            <w:r w:rsidRPr="003B78CD">
              <w:lastRenderedPageBreak/>
              <w:t>institūcijas vai organizācijas dokumenta (turpmāk – starptautiskais dokuments) datums, numurs un nosaukums</w:t>
            </w:r>
          </w:p>
        </w:tc>
        <w:tc>
          <w:tcPr>
            <w:tcW w:w="7168" w:type="dxa"/>
            <w:gridSpan w:val="5"/>
            <w:tcBorders>
              <w:top w:val="outset" w:sz="6" w:space="0" w:color="414142"/>
              <w:left w:val="outset" w:sz="6" w:space="0" w:color="414142"/>
              <w:bottom w:val="outset" w:sz="6" w:space="0" w:color="414142"/>
              <w:right w:val="outset" w:sz="6" w:space="0" w:color="414142"/>
            </w:tcBorders>
            <w:hideMark/>
          </w:tcPr>
          <w:p w14:paraId="0FF63887" w14:textId="77777777" w:rsidR="004E6EBD" w:rsidRPr="003B78CD" w:rsidRDefault="004E6EBD" w:rsidP="001747B9">
            <w:r w:rsidRPr="003B78CD">
              <w:lastRenderedPageBreak/>
              <w:t>Projekts šo jomu neskar.</w:t>
            </w:r>
          </w:p>
        </w:tc>
      </w:tr>
      <w:tr w:rsidR="004E6EBD" w:rsidRPr="003B78CD" w14:paraId="5DDED62D"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vAlign w:val="center"/>
            <w:hideMark/>
          </w:tcPr>
          <w:p w14:paraId="6FA81E69" w14:textId="77777777" w:rsidR="004E6EBD" w:rsidRPr="003B78CD" w:rsidRDefault="004E6EBD" w:rsidP="001747B9">
            <w:pPr>
              <w:pStyle w:val="tvhtml"/>
              <w:spacing w:line="293" w:lineRule="atLeast"/>
              <w:jc w:val="center"/>
            </w:pPr>
            <w:r w:rsidRPr="003B78CD">
              <w:t>A</w:t>
            </w:r>
          </w:p>
        </w:tc>
        <w:tc>
          <w:tcPr>
            <w:tcW w:w="3098" w:type="dxa"/>
            <w:gridSpan w:val="3"/>
            <w:tcBorders>
              <w:top w:val="outset" w:sz="6" w:space="0" w:color="414142"/>
              <w:left w:val="outset" w:sz="6" w:space="0" w:color="414142"/>
              <w:bottom w:val="outset" w:sz="6" w:space="0" w:color="414142"/>
              <w:right w:val="outset" w:sz="6" w:space="0" w:color="414142"/>
            </w:tcBorders>
            <w:vAlign w:val="center"/>
            <w:hideMark/>
          </w:tcPr>
          <w:p w14:paraId="1FA39443" w14:textId="77777777" w:rsidR="004E6EBD" w:rsidRPr="003B78CD" w:rsidRDefault="004E6EBD" w:rsidP="001747B9">
            <w:pPr>
              <w:pStyle w:val="tvhtml"/>
              <w:spacing w:line="293" w:lineRule="atLeast"/>
              <w:jc w:val="center"/>
            </w:pPr>
            <w:r w:rsidRPr="003B78CD">
              <w:t>B</w:t>
            </w:r>
          </w:p>
        </w:tc>
        <w:tc>
          <w:tcPr>
            <w:tcW w:w="4070" w:type="dxa"/>
            <w:gridSpan w:val="2"/>
            <w:tcBorders>
              <w:top w:val="outset" w:sz="6" w:space="0" w:color="414142"/>
              <w:left w:val="outset" w:sz="6" w:space="0" w:color="414142"/>
              <w:bottom w:val="outset" w:sz="6" w:space="0" w:color="414142"/>
              <w:right w:val="outset" w:sz="6" w:space="0" w:color="414142"/>
            </w:tcBorders>
            <w:vAlign w:val="center"/>
            <w:hideMark/>
          </w:tcPr>
          <w:p w14:paraId="617B9A64" w14:textId="77777777" w:rsidR="004E6EBD" w:rsidRPr="003B78CD" w:rsidRDefault="004E6EBD" w:rsidP="001747B9">
            <w:pPr>
              <w:pStyle w:val="tvhtml"/>
              <w:spacing w:line="293" w:lineRule="atLeast"/>
              <w:jc w:val="center"/>
            </w:pPr>
            <w:r w:rsidRPr="003B78CD">
              <w:t>C</w:t>
            </w:r>
          </w:p>
        </w:tc>
      </w:tr>
      <w:tr w:rsidR="004E6EBD" w:rsidRPr="00623FFE" w14:paraId="19EF2E8E"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hideMark/>
          </w:tcPr>
          <w:p w14:paraId="48CB731C" w14:textId="77777777" w:rsidR="004E6EBD" w:rsidRPr="003B78CD" w:rsidRDefault="004E6EBD" w:rsidP="001747B9">
            <w:r w:rsidRPr="003B78CD">
              <w:t>Starptautiskās saistības (pēc būtības), kas izriet no norādītā starptautiskā dokumenta.</w:t>
            </w:r>
          </w:p>
          <w:p w14:paraId="400BCF31" w14:textId="77777777" w:rsidR="004E6EBD" w:rsidRPr="003B78CD" w:rsidRDefault="004E6EBD" w:rsidP="001747B9">
            <w:pPr>
              <w:pStyle w:val="tvhtml"/>
              <w:spacing w:line="293" w:lineRule="atLeast"/>
            </w:pPr>
            <w:r w:rsidRPr="003B78CD">
              <w:t>Konkrēti veicamie pasākumi vai uzdevumi, kas nepieciešami šo starptautisko saistību izpildei</w:t>
            </w:r>
          </w:p>
        </w:tc>
        <w:tc>
          <w:tcPr>
            <w:tcW w:w="3098" w:type="dxa"/>
            <w:gridSpan w:val="3"/>
            <w:tcBorders>
              <w:top w:val="outset" w:sz="6" w:space="0" w:color="414142"/>
              <w:left w:val="outset" w:sz="6" w:space="0" w:color="414142"/>
              <w:bottom w:val="outset" w:sz="6" w:space="0" w:color="414142"/>
              <w:right w:val="outset" w:sz="6" w:space="0" w:color="414142"/>
            </w:tcBorders>
            <w:hideMark/>
          </w:tcPr>
          <w:p w14:paraId="2018525C" w14:textId="77777777" w:rsidR="004E6EBD" w:rsidRPr="003B78CD" w:rsidRDefault="004E6EBD" w:rsidP="001747B9">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070" w:type="dxa"/>
            <w:gridSpan w:val="2"/>
            <w:tcBorders>
              <w:top w:val="outset" w:sz="6" w:space="0" w:color="414142"/>
              <w:left w:val="outset" w:sz="6" w:space="0" w:color="414142"/>
              <w:bottom w:val="outset" w:sz="6" w:space="0" w:color="414142"/>
              <w:right w:val="outset" w:sz="6" w:space="0" w:color="414142"/>
            </w:tcBorders>
            <w:hideMark/>
          </w:tcPr>
          <w:p w14:paraId="601C58CE" w14:textId="77777777" w:rsidR="004E6EBD" w:rsidRPr="003B78CD" w:rsidRDefault="004E6EBD" w:rsidP="001747B9">
            <w:r w:rsidRPr="003B78CD">
              <w:t>Informācija par to vai starptautiskās saistības, kas minētas šīs tabulas A ailē, tiek izpildītas pilnībā vai daļēji.</w:t>
            </w:r>
          </w:p>
          <w:p w14:paraId="3A87B851" w14:textId="77777777" w:rsidR="004E6EBD" w:rsidRPr="003B78CD" w:rsidRDefault="004E6EBD" w:rsidP="001747B9">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14:paraId="03B6E155" w14:textId="77777777" w:rsidR="004E6EBD" w:rsidRPr="003B78CD" w:rsidRDefault="004E6EBD" w:rsidP="001747B9">
            <w:pPr>
              <w:pStyle w:val="tvhtml"/>
              <w:spacing w:line="293" w:lineRule="atLeast"/>
            </w:pPr>
            <w:r w:rsidRPr="003B78CD">
              <w:t>Norāda institūciju, kas ir atbildīga par šo saistību izpildi pilnībā</w:t>
            </w:r>
          </w:p>
        </w:tc>
      </w:tr>
      <w:tr w:rsidR="004E6EBD" w:rsidRPr="003B78CD" w14:paraId="52C568E5"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hideMark/>
          </w:tcPr>
          <w:p w14:paraId="07D9CBAA" w14:textId="77777777" w:rsidR="004E6EBD" w:rsidRPr="00042031" w:rsidRDefault="004E6EBD" w:rsidP="001747B9">
            <w:r w:rsidRPr="00042031">
              <w:t>Projekts šo jomu neskar.</w:t>
            </w:r>
          </w:p>
        </w:tc>
        <w:tc>
          <w:tcPr>
            <w:tcW w:w="3098" w:type="dxa"/>
            <w:gridSpan w:val="3"/>
            <w:tcBorders>
              <w:top w:val="outset" w:sz="6" w:space="0" w:color="414142"/>
              <w:left w:val="outset" w:sz="6" w:space="0" w:color="414142"/>
              <w:bottom w:val="outset" w:sz="6" w:space="0" w:color="414142"/>
              <w:right w:val="outset" w:sz="6" w:space="0" w:color="414142"/>
            </w:tcBorders>
            <w:hideMark/>
          </w:tcPr>
          <w:p w14:paraId="4966F693" w14:textId="77777777" w:rsidR="004E6EBD" w:rsidRPr="00042031" w:rsidRDefault="004E6EBD" w:rsidP="001747B9">
            <w:r w:rsidRPr="00042031">
              <w:t>Projekts šo jomu neskar.</w:t>
            </w:r>
          </w:p>
        </w:tc>
        <w:tc>
          <w:tcPr>
            <w:tcW w:w="4070" w:type="dxa"/>
            <w:gridSpan w:val="2"/>
            <w:tcBorders>
              <w:top w:val="outset" w:sz="6" w:space="0" w:color="414142"/>
              <w:left w:val="outset" w:sz="6" w:space="0" w:color="414142"/>
              <w:bottom w:val="outset" w:sz="6" w:space="0" w:color="414142"/>
              <w:right w:val="outset" w:sz="6" w:space="0" w:color="414142"/>
            </w:tcBorders>
            <w:hideMark/>
          </w:tcPr>
          <w:p w14:paraId="0E0E39A0" w14:textId="77777777" w:rsidR="004E6EBD" w:rsidRPr="00042031" w:rsidRDefault="004E6EBD" w:rsidP="001747B9">
            <w:r w:rsidRPr="00042031">
              <w:t>Projekts šo jomu neskar.</w:t>
            </w:r>
          </w:p>
        </w:tc>
      </w:tr>
      <w:tr w:rsidR="004E6EBD" w:rsidRPr="003B78CD" w14:paraId="3B08C9B7"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hideMark/>
          </w:tcPr>
          <w:p w14:paraId="7A55F4C0" w14:textId="77777777" w:rsidR="004E6EBD" w:rsidRPr="00042031" w:rsidRDefault="004E6EBD" w:rsidP="001747B9">
            <w:r w:rsidRPr="00042031">
              <w:t>Vai starptautiskajā dokumentā paredzētās saistības nav pretrunā ar jau esošajām Latvijas Republikas starptautiskajām saistībām</w:t>
            </w:r>
          </w:p>
        </w:tc>
        <w:tc>
          <w:tcPr>
            <w:tcW w:w="7168" w:type="dxa"/>
            <w:gridSpan w:val="5"/>
            <w:tcBorders>
              <w:top w:val="outset" w:sz="6" w:space="0" w:color="414142"/>
              <w:left w:val="outset" w:sz="6" w:space="0" w:color="414142"/>
              <w:bottom w:val="outset" w:sz="6" w:space="0" w:color="414142"/>
              <w:right w:val="outset" w:sz="6" w:space="0" w:color="414142"/>
            </w:tcBorders>
            <w:hideMark/>
          </w:tcPr>
          <w:p w14:paraId="4E9B689A" w14:textId="77777777" w:rsidR="004E6EBD" w:rsidRPr="00042031" w:rsidRDefault="004E6EBD" w:rsidP="001747B9">
            <w:r w:rsidRPr="00042031">
              <w:t>Projekts šo jomu neskar.</w:t>
            </w:r>
          </w:p>
        </w:tc>
      </w:tr>
      <w:tr w:rsidR="004E6EBD" w:rsidRPr="003B78CD" w14:paraId="79542675" w14:textId="77777777" w:rsidTr="00A1460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288" w:type="dxa"/>
            <w:tcBorders>
              <w:top w:val="outset" w:sz="6" w:space="0" w:color="414142"/>
              <w:left w:val="outset" w:sz="6" w:space="0" w:color="414142"/>
              <w:bottom w:val="outset" w:sz="6" w:space="0" w:color="414142"/>
              <w:right w:val="outset" w:sz="6" w:space="0" w:color="414142"/>
            </w:tcBorders>
            <w:hideMark/>
          </w:tcPr>
          <w:p w14:paraId="5B2F4F4A" w14:textId="77777777" w:rsidR="004E6EBD" w:rsidRPr="00042031" w:rsidRDefault="004E6EBD" w:rsidP="001747B9">
            <w:r w:rsidRPr="00042031">
              <w:t>Cita informācija</w:t>
            </w:r>
          </w:p>
        </w:tc>
        <w:tc>
          <w:tcPr>
            <w:tcW w:w="7168" w:type="dxa"/>
            <w:gridSpan w:val="5"/>
            <w:tcBorders>
              <w:top w:val="outset" w:sz="6" w:space="0" w:color="414142"/>
              <w:left w:val="outset" w:sz="6" w:space="0" w:color="414142"/>
              <w:bottom w:val="outset" w:sz="6" w:space="0" w:color="414142"/>
              <w:right w:val="outset" w:sz="6" w:space="0" w:color="414142"/>
            </w:tcBorders>
            <w:hideMark/>
          </w:tcPr>
          <w:p w14:paraId="4101B39B" w14:textId="77777777" w:rsidR="004E6EBD" w:rsidRPr="00042031" w:rsidRDefault="004E6EBD" w:rsidP="001747B9">
            <w:pPr>
              <w:pStyle w:val="tvhtml"/>
              <w:spacing w:line="293" w:lineRule="atLeast"/>
            </w:pPr>
            <w:r w:rsidRPr="00042031">
              <w:t>Nav.</w:t>
            </w:r>
          </w:p>
        </w:tc>
      </w:tr>
    </w:tbl>
    <w:p w14:paraId="66B34CEF" w14:textId="77777777" w:rsidR="00A14604" w:rsidRDefault="00A14604"/>
    <w:p w14:paraId="079B56C7" w14:textId="77777777" w:rsidR="00A14604" w:rsidRDefault="00A14604"/>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14:paraId="3504D26C" w14:textId="77777777" w:rsidTr="004E6EBD">
        <w:trPr>
          <w:jc w:val="center"/>
        </w:trPr>
        <w:tc>
          <w:tcPr>
            <w:tcW w:w="9456" w:type="dxa"/>
            <w:gridSpan w:val="5"/>
          </w:tcPr>
          <w:p w14:paraId="65DEF25D"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35AA18FB" w14:textId="77777777" w:rsidTr="004E6EBD">
        <w:trPr>
          <w:trHeight w:val="553"/>
          <w:jc w:val="center"/>
        </w:trPr>
        <w:tc>
          <w:tcPr>
            <w:tcW w:w="438" w:type="dxa"/>
          </w:tcPr>
          <w:p w14:paraId="15093DA6"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14:paraId="1E8EB690"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tcPr>
          <w:p w14:paraId="63FE810F" w14:textId="0194AA3E" w:rsidR="0088394F" w:rsidRPr="00E67DD9" w:rsidRDefault="00251B63" w:rsidP="004612FC">
            <w:pPr>
              <w:pStyle w:val="naiskr"/>
              <w:spacing w:before="0" w:after="0"/>
              <w:ind w:right="57"/>
              <w:jc w:val="both"/>
            </w:pPr>
            <w:r w:rsidRPr="00251B63">
              <w:t>Sabiedrības līdzdalība nodrošināta atbilstoši Ministru kabineta 2009. gada 25. augusta noteikumiem Nr. 970 “Sabiedrības līdzdalības kārtība attīstības plānošanas procesā”. Ieinteresētajām personām ir tiesības izteikt viedokli un sniegt rakstiskus priekšlikumus.</w:t>
            </w:r>
          </w:p>
        </w:tc>
      </w:tr>
      <w:tr w:rsidR="00263FFC" w:rsidRPr="00085B89" w14:paraId="2D53AAF5" w14:textId="77777777" w:rsidTr="004E6EBD">
        <w:trPr>
          <w:trHeight w:val="487"/>
          <w:jc w:val="center"/>
        </w:trPr>
        <w:tc>
          <w:tcPr>
            <w:tcW w:w="491" w:type="dxa"/>
            <w:gridSpan w:val="2"/>
          </w:tcPr>
          <w:p w14:paraId="598D2AAD" w14:textId="77777777" w:rsidR="00263FFC" w:rsidRPr="00085B89" w:rsidRDefault="00263FFC" w:rsidP="00306098">
            <w:pPr>
              <w:pStyle w:val="naiskr"/>
              <w:spacing w:before="0" w:after="0"/>
              <w:ind w:left="57" w:right="57"/>
              <w:rPr>
                <w:bCs/>
              </w:rPr>
            </w:pPr>
            <w:r w:rsidRPr="00085B89">
              <w:rPr>
                <w:bCs/>
              </w:rPr>
              <w:t>2.</w:t>
            </w:r>
          </w:p>
        </w:tc>
        <w:tc>
          <w:tcPr>
            <w:tcW w:w="4025" w:type="dxa"/>
            <w:gridSpan w:val="2"/>
          </w:tcPr>
          <w:p w14:paraId="17AB125B"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18EBE8EE" w14:textId="0B1EEFFF" w:rsidR="00263FFC" w:rsidRPr="00617747" w:rsidRDefault="00251B63" w:rsidP="00251B63">
            <w:pPr>
              <w:pStyle w:val="naiskr"/>
              <w:spacing w:before="0" w:after="0"/>
              <w:ind w:left="57" w:right="57"/>
              <w:jc w:val="both"/>
            </w:pPr>
            <w:r>
              <w:t>Noteikumu projekts 2018. gada 10. jūlijā tika nosūtīts izvērtēšanai un viedokļa sniegšanai lauksaimnieku nevalstiskajām organizācijām (Lauksaimnieku organizāciju sadarbības padomei, Latvijas Piensaimnieku centrālajai savienībai, Latvijas Augļkopju asociācijai, biedrībai “Latvijas dārznieks”), Latvijas Izglītības iestāžu ēdinātāju asociācijai un Latvijas Pašvaldību savienībai.</w:t>
            </w:r>
          </w:p>
        </w:tc>
      </w:tr>
      <w:tr w:rsidR="00DB25B9" w:rsidRPr="00343022" w14:paraId="3B7AB55C" w14:textId="77777777" w:rsidTr="004E6EBD">
        <w:trPr>
          <w:trHeight w:val="375"/>
          <w:jc w:val="center"/>
        </w:trPr>
        <w:tc>
          <w:tcPr>
            <w:tcW w:w="511" w:type="dxa"/>
            <w:gridSpan w:val="3"/>
          </w:tcPr>
          <w:p w14:paraId="7DD25131" w14:textId="77777777" w:rsidR="00DB25B9" w:rsidRPr="00085B89" w:rsidRDefault="00DB25B9" w:rsidP="00DB25B9">
            <w:pPr>
              <w:pStyle w:val="naiskr"/>
              <w:spacing w:before="0" w:after="0"/>
              <w:ind w:left="57" w:right="57"/>
              <w:rPr>
                <w:bCs/>
              </w:rPr>
            </w:pPr>
            <w:r w:rsidRPr="00085B89">
              <w:rPr>
                <w:bCs/>
              </w:rPr>
              <w:t>3.</w:t>
            </w:r>
          </w:p>
        </w:tc>
        <w:tc>
          <w:tcPr>
            <w:tcW w:w="4005" w:type="dxa"/>
          </w:tcPr>
          <w:p w14:paraId="0881BCFD"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743BF6DF" w14:textId="02F26783" w:rsidR="00DB25B9" w:rsidRPr="00435BE4" w:rsidRDefault="00CB248D" w:rsidP="00C83EBE">
            <w:pPr>
              <w:pStyle w:val="naiskr"/>
              <w:spacing w:before="0" w:after="0"/>
              <w:ind w:right="57"/>
              <w:jc w:val="both"/>
            </w:pPr>
            <w:r w:rsidRPr="00435BE4">
              <w:t xml:space="preserve">Lauksaimnieku nevalstiskās organizācijas, Latvijas izglītības iestāžu ēdinātāju asociācija un </w:t>
            </w:r>
            <w:r w:rsidRPr="00435BE4">
              <w:lastRenderedPageBreak/>
              <w:t xml:space="preserve">Latvijas Pašvaldību savienība nav </w:t>
            </w:r>
            <w:r w:rsidR="00C83EBE" w:rsidRPr="00435BE4">
              <w:t>paudušas</w:t>
            </w:r>
            <w:r w:rsidRPr="00435BE4">
              <w:t xml:space="preserve"> iebildumus pret projekta apstiprināšanu.</w:t>
            </w:r>
          </w:p>
        </w:tc>
      </w:tr>
      <w:tr w:rsidR="00DB25B9" w:rsidRPr="00343022" w14:paraId="4C21E13C" w14:textId="77777777" w:rsidTr="004E6EBD">
        <w:trPr>
          <w:trHeight w:val="476"/>
          <w:jc w:val="center"/>
        </w:trPr>
        <w:tc>
          <w:tcPr>
            <w:tcW w:w="511" w:type="dxa"/>
            <w:gridSpan w:val="3"/>
          </w:tcPr>
          <w:p w14:paraId="6D8C5712" w14:textId="77777777" w:rsidR="00DB25B9" w:rsidRPr="00085B89" w:rsidRDefault="00647D6D" w:rsidP="00DB25B9">
            <w:pPr>
              <w:pStyle w:val="naiskr"/>
              <w:spacing w:before="0" w:after="0"/>
              <w:ind w:left="57" w:right="57"/>
              <w:rPr>
                <w:bCs/>
              </w:rPr>
            </w:pPr>
            <w:r>
              <w:rPr>
                <w:bCs/>
              </w:rPr>
              <w:lastRenderedPageBreak/>
              <w:t>4</w:t>
            </w:r>
            <w:r w:rsidR="00DB25B9" w:rsidRPr="00085B89">
              <w:rPr>
                <w:bCs/>
              </w:rPr>
              <w:t>.</w:t>
            </w:r>
          </w:p>
        </w:tc>
        <w:tc>
          <w:tcPr>
            <w:tcW w:w="4005" w:type="dxa"/>
          </w:tcPr>
          <w:p w14:paraId="3BF546C6" w14:textId="77777777" w:rsidR="00DB25B9" w:rsidRPr="00042031" w:rsidRDefault="00DB25B9" w:rsidP="00DB25B9">
            <w:pPr>
              <w:pStyle w:val="naiskr"/>
              <w:spacing w:before="0" w:after="0"/>
              <w:ind w:left="57" w:right="57"/>
            </w:pPr>
            <w:r w:rsidRPr="00042031">
              <w:t>Cita informācija</w:t>
            </w:r>
          </w:p>
          <w:p w14:paraId="4BA8EFDF" w14:textId="77777777" w:rsidR="00DB25B9" w:rsidRPr="00042031" w:rsidRDefault="00DB25B9" w:rsidP="00DB25B9">
            <w:pPr>
              <w:pStyle w:val="naiskr"/>
              <w:spacing w:before="0" w:after="0"/>
              <w:ind w:left="57" w:right="57"/>
            </w:pPr>
          </w:p>
        </w:tc>
        <w:tc>
          <w:tcPr>
            <w:tcW w:w="4940" w:type="dxa"/>
          </w:tcPr>
          <w:p w14:paraId="2B0724F7"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4ACA9BE7"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7BEAB73F" w14:textId="77777777" w:rsidTr="00263FFC">
        <w:tc>
          <w:tcPr>
            <w:tcW w:w="9356" w:type="dxa"/>
            <w:gridSpan w:val="3"/>
            <w:tcBorders>
              <w:top w:val="single" w:sz="4" w:space="0" w:color="auto"/>
            </w:tcBorders>
          </w:tcPr>
          <w:p w14:paraId="59CBD657"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403514E8" w14:textId="77777777" w:rsidTr="00263FFC">
        <w:trPr>
          <w:trHeight w:val="427"/>
        </w:trPr>
        <w:tc>
          <w:tcPr>
            <w:tcW w:w="568" w:type="dxa"/>
          </w:tcPr>
          <w:p w14:paraId="7684DE73"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6256D7A3"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389B7DC7" w14:textId="77777777" w:rsidR="00263FFC" w:rsidRPr="00811B7F" w:rsidRDefault="00444688" w:rsidP="00811B7F">
            <w:pPr>
              <w:pStyle w:val="naisnod"/>
              <w:spacing w:before="0" w:after="0"/>
              <w:ind w:left="57" w:right="57"/>
              <w:jc w:val="both"/>
              <w:rPr>
                <w:b w:val="0"/>
                <w:highlight w:val="yellow"/>
              </w:rPr>
            </w:pPr>
            <w:r w:rsidRPr="00042031">
              <w:rPr>
                <w:b w:val="0"/>
              </w:rPr>
              <w:t>LAD</w:t>
            </w:r>
          </w:p>
        </w:tc>
      </w:tr>
      <w:tr w:rsidR="00263FFC" w:rsidRPr="00343022" w14:paraId="3888B759" w14:textId="77777777" w:rsidTr="00263FFC">
        <w:trPr>
          <w:trHeight w:val="463"/>
        </w:trPr>
        <w:tc>
          <w:tcPr>
            <w:tcW w:w="568" w:type="dxa"/>
          </w:tcPr>
          <w:p w14:paraId="4F6FEB69"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13A700E6"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14:paraId="08DA44A9" w14:textId="77777777" w:rsidR="00263FFC" w:rsidRPr="00042031" w:rsidRDefault="00042031" w:rsidP="00042031">
            <w:pPr>
              <w:pStyle w:val="naisnod"/>
              <w:spacing w:before="0" w:after="0"/>
              <w:ind w:left="57" w:right="57"/>
              <w:jc w:val="both"/>
              <w:rPr>
                <w:b w:val="0"/>
              </w:rPr>
            </w:pPr>
            <w:r w:rsidRPr="00042031">
              <w:rPr>
                <w:b w:val="0"/>
              </w:rPr>
              <w:t>Noteikuma projekts šo jomu neskar.</w:t>
            </w:r>
          </w:p>
        </w:tc>
      </w:tr>
      <w:tr w:rsidR="00263FFC" w:rsidRPr="00343022" w14:paraId="4702CD28" w14:textId="77777777" w:rsidTr="00263FFC">
        <w:trPr>
          <w:trHeight w:val="476"/>
        </w:trPr>
        <w:tc>
          <w:tcPr>
            <w:tcW w:w="568" w:type="dxa"/>
          </w:tcPr>
          <w:p w14:paraId="6FEEB4C2" w14:textId="77777777" w:rsidR="00263FFC" w:rsidRPr="00085B89" w:rsidRDefault="00647D6D" w:rsidP="00306098">
            <w:pPr>
              <w:pStyle w:val="naiskr"/>
              <w:spacing w:before="0" w:after="0"/>
              <w:ind w:left="57" w:right="57"/>
            </w:pPr>
            <w:r>
              <w:t>3</w:t>
            </w:r>
            <w:r w:rsidR="00263FFC" w:rsidRPr="00085B89">
              <w:t>.</w:t>
            </w:r>
          </w:p>
        </w:tc>
        <w:tc>
          <w:tcPr>
            <w:tcW w:w="4961" w:type="dxa"/>
          </w:tcPr>
          <w:p w14:paraId="3399781B" w14:textId="77777777" w:rsidR="00263FFC" w:rsidRPr="00085B89" w:rsidRDefault="00263FFC" w:rsidP="00306098">
            <w:pPr>
              <w:pStyle w:val="naiskr"/>
              <w:spacing w:before="0" w:after="0"/>
              <w:ind w:left="57" w:right="57"/>
            </w:pPr>
            <w:r w:rsidRPr="00085B89">
              <w:t>Cita informācija</w:t>
            </w:r>
          </w:p>
        </w:tc>
        <w:tc>
          <w:tcPr>
            <w:tcW w:w="3827" w:type="dxa"/>
          </w:tcPr>
          <w:p w14:paraId="21A16094" w14:textId="77777777" w:rsidR="00263FFC" w:rsidRPr="00042031" w:rsidRDefault="00263FFC" w:rsidP="00306098">
            <w:pPr>
              <w:pStyle w:val="naiskr"/>
              <w:spacing w:before="0" w:after="0"/>
              <w:ind w:left="57" w:right="57"/>
            </w:pPr>
            <w:r w:rsidRPr="00042031">
              <w:t>Nav</w:t>
            </w:r>
            <w:r w:rsidR="005C0E2A" w:rsidRPr="00042031">
              <w:t>.</w:t>
            </w:r>
          </w:p>
        </w:tc>
      </w:tr>
    </w:tbl>
    <w:p w14:paraId="518544A2" w14:textId="77777777" w:rsidR="002D0400" w:rsidRPr="009232AB" w:rsidRDefault="002D0400" w:rsidP="006B3C54">
      <w:pPr>
        <w:jc w:val="both"/>
        <w:rPr>
          <w:sz w:val="28"/>
        </w:rPr>
      </w:pPr>
    </w:p>
    <w:p w14:paraId="00A6D12C" w14:textId="77777777" w:rsidR="00D30C05" w:rsidRPr="009232AB" w:rsidRDefault="00D30C05" w:rsidP="00B346D7">
      <w:pPr>
        <w:pStyle w:val="naisf"/>
        <w:tabs>
          <w:tab w:val="left" w:pos="6840"/>
        </w:tabs>
        <w:spacing w:before="0" w:after="0"/>
        <w:ind w:firstLine="0"/>
        <w:rPr>
          <w:sz w:val="28"/>
          <w:szCs w:val="28"/>
        </w:rPr>
      </w:pPr>
    </w:p>
    <w:p w14:paraId="1AB3420E" w14:textId="77777777" w:rsidR="009232AB" w:rsidRPr="009232AB" w:rsidRDefault="009232AB" w:rsidP="009232AB">
      <w:pPr>
        <w:pStyle w:val="naisf"/>
        <w:tabs>
          <w:tab w:val="left" w:pos="6840"/>
        </w:tabs>
        <w:spacing w:before="0" w:after="0"/>
        <w:ind w:firstLine="720"/>
        <w:rPr>
          <w:sz w:val="28"/>
          <w:szCs w:val="28"/>
        </w:rPr>
      </w:pPr>
    </w:p>
    <w:p w14:paraId="69F9C7FC" w14:textId="783A6925" w:rsidR="00263FFC" w:rsidRDefault="005C208D" w:rsidP="009232AB">
      <w:pPr>
        <w:pStyle w:val="naisf"/>
        <w:tabs>
          <w:tab w:val="left" w:pos="6840"/>
        </w:tabs>
        <w:spacing w:before="0" w:after="0"/>
        <w:ind w:firstLine="720"/>
        <w:rPr>
          <w:sz w:val="28"/>
          <w:szCs w:val="28"/>
        </w:rPr>
      </w:pPr>
      <w:r w:rsidRPr="005B5AC4">
        <w:rPr>
          <w:sz w:val="28"/>
          <w:szCs w:val="28"/>
        </w:rPr>
        <w:t>Zemkopības ministrs</w:t>
      </w:r>
      <w:r w:rsidR="00F06809" w:rsidRPr="005B5AC4">
        <w:rPr>
          <w:sz w:val="28"/>
          <w:szCs w:val="28"/>
        </w:rPr>
        <w:t xml:space="preserve"> </w:t>
      </w:r>
      <w:r w:rsidR="00273CFE" w:rsidRPr="005B5AC4">
        <w:rPr>
          <w:sz w:val="28"/>
          <w:szCs w:val="28"/>
        </w:rPr>
        <w:tab/>
      </w:r>
      <w:r w:rsidR="008F56E0">
        <w:rPr>
          <w:sz w:val="28"/>
          <w:szCs w:val="28"/>
        </w:rPr>
        <w:tab/>
      </w:r>
      <w:bookmarkStart w:id="2" w:name="_GoBack"/>
      <w:bookmarkEnd w:id="2"/>
      <w:r w:rsidR="00D30C05" w:rsidRPr="005B5AC4">
        <w:rPr>
          <w:sz w:val="28"/>
          <w:szCs w:val="28"/>
        </w:rPr>
        <w:t>J</w:t>
      </w:r>
      <w:r w:rsidR="00647D6D">
        <w:rPr>
          <w:sz w:val="28"/>
          <w:szCs w:val="28"/>
        </w:rPr>
        <w:t>ānis</w:t>
      </w:r>
      <w:r w:rsidRPr="005B5AC4">
        <w:rPr>
          <w:sz w:val="28"/>
          <w:szCs w:val="28"/>
        </w:rPr>
        <w:t xml:space="preserve"> Dūklavs</w:t>
      </w:r>
    </w:p>
    <w:p w14:paraId="2E79FD08" w14:textId="77777777" w:rsidR="00F47D5E" w:rsidRDefault="00F47D5E" w:rsidP="009232AB">
      <w:pPr>
        <w:pStyle w:val="naisf"/>
        <w:tabs>
          <w:tab w:val="left" w:pos="6840"/>
        </w:tabs>
        <w:spacing w:before="0" w:after="0"/>
        <w:ind w:firstLine="720"/>
        <w:rPr>
          <w:sz w:val="28"/>
          <w:szCs w:val="28"/>
        </w:rPr>
      </w:pPr>
    </w:p>
    <w:p w14:paraId="18ECDC0C" w14:textId="77777777" w:rsidR="009232AB" w:rsidRDefault="009232AB" w:rsidP="009232AB">
      <w:pPr>
        <w:pStyle w:val="naisf"/>
        <w:tabs>
          <w:tab w:val="left" w:pos="6840"/>
        </w:tabs>
        <w:spacing w:before="0" w:after="0"/>
        <w:ind w:firstLine="720"/>
        <w:rPr>
          <w:sz w:val="28"/>
          <w:szCs w:val="28"/>
        </w:rPr>
      </w:pPr>
    </w:p>
    <w:p w14:paraId="2D78A258" w14:textId="77777777" w:rsidR="00B57C14" w:rsidRDefault="00B57C14" w:rsidP="00263FFC">
      <w:pPr>
        <w:jc w:val="both"/>
        <w:rPr>
          <w:sz w:val="20"/>
          <w:szCs w:val="20"/>
        </w:rPr>
      </w:pPr>
    </w:p>
    <w:p w14:paraId="07F8CAC9" w14:textId="77777777" w:rsidR="009F6C07" w:rsidRDefault="009F6C07" w:rsidP="00263FFC">
      <w:pPr>
        <w:jc w:val="both"/>
        <w:rPr>
          <w:sz w:val="20"/>
          <w:szCs w:val="20"/>
        </w:rPr>
      </w:pPr>
    </w:p>
    <w:p w14:paraId="6E883910" w14:textId="77777777" w:rsidR="00D30C05" w:rsidRDefault="00D30C05" w:rsidP="00263FFC">
      <w:pPr>
        <w:jc w:val="both"/>
        <w:rPr>
          <w:sz w:val="20"/>
          <w:szCs w:val="20"/>
        </w:rPr>
      </w:pPr>
    </w:p>
    <w:p w14:paraId="7B0215EB" w14:textId="77777777" w:rsidR="009E67B3" w:rsidRDefault="009E67B3" w:rsidP="00263FFC">
      <w:pPr>
        <w:jc w:val="both"/>
        <w:rPr>
          <w:sz w:val="20"/>
          <w:szCs w:val="20"/>
        </w:rPr>
      </w:pPr>
    </w:p>
    <w:p w14:paraId="1A0FC2FF" w14:textId="77777777" w:rsidR="009E67B3" w:rsidRDefault="009E67B3" w:rsidP="00263FFC">
      <w:pPr>
        <w:jc w:val="both"/>
        <w:rPr>
          <w:sz w:val="20"/>
          <w:szCs w:val="20"/>
        </w:rPr>
      </w:pPr>
    </w:p>
    <w:p w14:paraId="69B87665" w14:textId="77777777" w:rsidR="009E67B3" w:rsidRDefault="009E67B3" w:rsidP="00263FFC">
      <w:pPr>
        <w:jc w:val="both"/>
        <w:rPr>
          <w:sz w:val="20"/>
          <w:szCs w:val="20"/>
        </w:rPr>
      </w:pPr>
    </w:p>
    <w:p w14:paraId="64A2DEA6" w14:textId="77777777" w:rsidR="009E67B3" w:rsidRDefault="009E67B3" w:rsidP="00263FFC">
      <w:pPr>
        <w:jc w:val="both"/>
        <w:rPr>
          <w:sz w:val="20"/>
          <w:szCs w:val="20"/>
        </w:rPr>
      </w:pPr>
    </w:p>
    <w:p w14:paraId="57447DF7" w14:textId="77777777" w:rsidR="009232AB" w:rsidRDefault="009232AB" w:rsidP="00263FFC">
      <w:pPr>
        <w:jc w:val="both"/>
        <w:rPr>
          <w:sz w:val="20"/>
          <w:szCs w:val="20"/>
        </w:rPr>
      </w:pPr>
    </w:p>
    <w:p w14:paraId="79A149A3" w14:textId="77777777" w:rsidR="009E67B3" w:rsidRDefault="009E67B3" w:rsidP="00263FFC">
      <w:pPr>
        <w:jc w:val="both"/>
        <w:rPr>
          <w:sz w:val="20"/>
          <w:szCs w:val="20"/>
        </w:rPr>
      </w:pPr>
    </w:p>
    <w:p w14:paraId="3FED1022" w14:textId="77777777" w:rsidR="00E31A9E" w:rsidRDefault="00E31A9E" w:rsidP="005B5AC4">
      <w:pPr>
        <w:jc w:val="both"/>
      </w:pPr>
    </w:p>
    <w:p w14:paraId="0490B070" w14:textId="77777777" w:rsidR="00E31A9E" w:rsidRDefault="00E31A9E" w:rsidP="005B5AC4">
      <w:pPr>
        <w:jc w:val="both"/>
      </w:pPr>
    </w:p>
    <w:p w14:paraId="3DCD6220" w14:textId="77777777" w:rsidR="00E31A9E" w:rsidRDefault="00E31A9E" w:rsidP="005B5AC4">
      <w:pPr>
        <w:jc w:val="both"/>
      </w:pPr>
    </w:p>
    <w:p w14:paraId="0B3A2A43" w14:textId="77777777" w:rsidR="00E31A9E" w:rsidRDefault="00E31A9E" w:rsidP="005B5AC4">
      <w:pPr>
        <w:jc w:val="both"/>
      </w:pPr>
    </w:p>
    <w:p w14:paraId="51740E80" w14:textId="77777777" w:rsidR="00E31A9E" w:rsidRDefault="00E31A9E" w:rsidP="005B5AC4">
      <w:pPr>
        <w:jc w:val="both"/>
      </w:pPr>
    </w:p>
    <w:p w14:paraId="6C5D2D3F" w14:textId="77777777" w:rsidR="00E31A9E" w:rsidRDefault="00E31A9E" w:rsidP="005B5AC4">
      <w:pPr>
        <w:jc w:val="both"/>
      </w:pPr>
    </w:p>
    <w:p w14:paraId="4D9DC78A" w14:textId="77777777" w:rsidR="00E31A9E" w:rsidRDefault="00E31A9E" w:rsidP="005B5AC4">
      <w:pPr>
        <w:jc w:val="both"/>
      </w:pPr>
    </w:p>
    <w:p w14:paraId="38FCEA80" w14:textId="77777777" w:rsidR="00E31A9E" w:rsidRDefault="00E31A9E" w:rsidP="005B5AC4">
      <w:pPr>
        <w:jc w:val="both"/>
      </w:pPr>
    </w:p>
    <w:p w14:paraId="59BD0385" w14:textId="77777777" w:rsidR="00E31A9E" w:rsidRDefault="00E31A9E" w:rsidP="005B5AC4">
      <w:pPr>
        <w:jc w:val="both"/>
      </w:pPr>
    </w:p>
    <w:p w14:paraId="433CE90C" w14:textId="77777777" w:rsidR="00E31A9E" w:rsidRDefault="00E31A9E" w:rsidP="005B5AC4">
      <w:pPr>
        <w:jc w:val="both"/>
      </w:pPr>
    </w:p>
    <w:p w14:paraId="12C54223" w14:textId="77777777" w:rsidR="00E31A9E" w:rsidRDefault="00E31A9E" w:rsidP="005B5AC4">
      <w:pPr>
        <w:jc w:val="both"/>
      </w:pPr>
    </w:p>
    <w:p w14:paraId="3486E4D9" w14:textId="77777777" w:rsidR="00E31A9E" w:rsidRDefault="00E31A9E" w:rsidP="005B5AC4">
      <w:pPr>
        <w:jc w:val="both"/>
      </w:pPr>
    </w:p>
    <w:p w14:paraId="36063226" w14:textId="77777777" w:rsidR="00E31A9E" w:rsidRDefault="00E31A9E" w:rsidP="005B5AC4">
      <w:pPr>
        <w:jc w:val="both"/>
      </w:pPr>
    </w:p>
    <w:p w14:paraId="3B92FB69" w14:textId="77777777" w:rsidR="00217F73" w:rsidRPr="005B5AC4" w:rsidRDefault="0008058D" w:rsidP="005B5AC4">
      <w:pPr>
        <w:jc w:val="both"/>
      </w:pPr>
      <w:r>
        <w:t>Orlova</w:t>
      </w:r>
      <w:r w:rsidR="00217F73" w:rsidRPr="005B5AC4">
        <w:t xml:space="preserve"> </w:t>
      </w:r>
      <w:r w:rsidR="00D30C05" w:rsidRPr="005B5AC4">
        <w:t>67027</w:t>
      </w:r>
      <w:r>
        <w:t>37</w:t>
      </w:r>
      <w:r w:rsidR="009577F5">
        <w:t>6</w:t>
      </w:r>
    </w:p>
    <w:p w14:paraId="10C3B51A" w14:textId="77777777" w:rsidR="00263FFC" w:rsidRPr="005B5AC4" w:rsidRDefault="0008058D" w:rsidP="005B5AC4">
      <w:pPr>
        <w:jc w:val="both"/>
      </w:pPr>
      <w:r>
        <w:t>Inga.Orlova</w:t>
      </w:r>
      <w:r w:rsidR="00263FFC" w:rsidRPr="005B5AC4">
        <w:t>@zm.gov.lv</w:t>
      </w:r>
    </w:p>
    <w:sectPr w:rsidR="00263FFC" w:rsidRPr="005B5AC4" w:rsidSect="009624FD">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BE2DB" w14:textId="77777777" w:rsidR="00914CD8" w:rsidRDefault="00914CD8">
      <w:r>
        <w:separator/>
      </w:r>
    </w:p>
  </w:endnote>
  <w:endnote w:type="continuationSeparator" w:id="0">
    <w:p w14:paraId="253D485A" w14:textId="77777777" w:rsidR="00914CD8" w:rsidRDefault="0091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BB60" w14:textId="4D653D4A" w:rsidR="00263D41" w:rsidRPr="00E31A9E" w:rsidRDefault="00E31A9E" w:rsidP="00E31A9E">
    <w:pPr>
      <w:pStyle w:val="Kjene"/>
    </w:pPr>
    <w:r w:rsidRPr="00E31A9E">
      <w:rPr>
        <w:sz w:val="20"/>
        <w:szCs w:val="20"/>
      </w:rPr>
      <w:t>ZManot_080818_pienaugl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8E4B" w14:textId="1A9CCEC9" w:rsidR="00263D41" w:rsidRPr="00E31A9E" w:rsidRDefault="00E31A9E" w:rsidP="00E31A9E">
    <w:pPr>
      <w:pStyle w:val="Kjene"/>
    </w:pPr>
    <w:r w:rsidRPr="00E31A9E">
      <w:rPr>
        <w:sz w:val="20"/>
        <w:szCs w:val="20"/>
      </w:rPr>
      <w:t>ZManot_080818_pienaugl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969C" w14:textId="77777777" w:rsidR="00914CD8" w:rsidRDefault="00914CD8">
      <w:r>
        <w:separator/>
      </w:r>
    </w:p>
  </w:footnote>
  <w:footnote w:type="continuationSeparator" w:id="0">
    <w:p w14:paraId="4CEA93DA" w14:textId="77777777" w:rsidR="00914CD8" w:rsidRDefault="0091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003D" w14:textId="77777777" w:rsidR="00263D41" w:rsidRDefault="000D4580" w:rsidP="0030341E">
    <w:pPr>
      <w:pStyle w:val="Galvene"/>
      <w:framePr w:wrap="around" w:vAnchor="text" w:hAnchor="margin" w:xAlign="center" w:y="1"/>
      <w:rPr>
        <w:rStyle w:val="Lappusesnumurs"/>
      </w:rPr>
    </w:pPr>
    <w:r>
      <w:rPr>
        <w:rStyle w:val="Lappusesnumurs"/>
      </w:rPr>
      <w:fldChar w:fldCharType="begin"/>
    </w:r>
    <w:r w:rsidR="00263D41">
      <w:rPr>
        <w:rStyle w:val="Lappusesnumurs"/>
      </w:rPr>
      <w:instrText xml:space="preserve">PAGE  </w:instrText>
    </w:r>
    <w:r>
      <w:rPr>
        <w:rStyle w:val="Lappusesnumurs"/>
      </w:rPr>
      <w:fldChar w:fldCharType="separate"/>
    </w:r>
    <w:r w:rsidR="00263D41">
      <w:rPr>
        <w:rStyle w:val="Lappusesnumurs"/>
        <w:noProof/>
      </w:rPr>
      <w:t>10</w:t>
    </w:r>
    <w:r>
      <w:rPr>
        <w:rStyle w:val="Lappusesnumurs"/>
      </w:rPr>
      <w:fldChar w:fldCharType="end"/>
    </w:r>
  </w:p>
  <w:p w14:paraId="6F41D037" w14:textId="77777777" w:rsidR="00263D41" w:rsidRDefault="00263D4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3FC1" w14:textId="7B1A2441" w:rsidR="00263D41" w:rsidRDefault="000D4580" w:rsidP="0030341E">
    <w:pPr>
      <w:pStyle w:val="Galvene"/>
      <w:framePr w:wrap="around" w:vAnchor="text" w:hAnchor="margin" w:xAlign="center" w:y="1"/>
      <w:rPr>
        <w:rStyle w:val="Lappusesnumurs"/>
      </w:rPr>
    </w:pPr>
    <w:r>
      <w:rPr>
        <w:rStyle w:val="Lappusesnumurs"/>
      </w:rPr>
      <w:fldChar w:fldCharType="begin"/>
    </w:r>
    <w:r w:rsidR="00263D41">
      <w:rPr>
        <w:rStyle w:val="Lappusesnumurs"/>
      </w:rPr>
      <w:instrText xml:space="preserve">PAGE  </w:instrText>
    </w:r>
    <w:r>
      <w:rPr>
        <w:rStyle w:val="Lappusesnumurs"/>
      </w:rPr>
      <w:fldChar w:fldCharType="separate"/>
    </w:r>
    <w:r w:rsidR="008F56E0">
      <w:rPr>
        <w:rStyle w:val="Lappusesnumurs"/>
        <w:noProof/>
      </w:rPr>
      <w:t>10</w:t>
    </w:r>
    <w:r>
      <w:rPr>
        <w:rStyle w:val="Lappusesnumurs"/>
      </w:rPr>
      <w:fldChar w:fldCharType="end"/>
    </w:r>
  </w:p>
  <w:p w14:paraId="0BC6A596" w14:textId="77777777" w:rsidR="00263D41" w:rsidRDefault="00263D41"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F49213B"/>
    <w:multiLevelType w:val="hybridMultilevel"/>
    <w:tmpl w:val="0FA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DE6DBB"/>
    <w:multiLevelType w:val="hybridMultilevel"/>
    <w:tmpl w:val="DF2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C5988"/>
    <w:multiLevelType w:val="hybridMultilevel"/>
    <w:tmpl w:val="F190B7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6"/>
  </w:num>
  <w:num w:numId="4">
    <w:abstractNumId w:val="9"/>
  </w:num>
  <w:num w:numId="5">
    <w:abstractNumId w:val="18"/>
  </w:num>
  <w:num w:numId="6">
    <w:abstractNumId w:val="5"/>
  </w:num>
  <w:num w:numId="7">
    <w:abstractNumId w:val="0"/>
  </w:num>
  <w:num w:numId="8">
    <w:abstractNumId w:val="1"/>
  </w:num>
  <w:num w:numId="9">
    <w:abstractNumId w:val="25"/>
  </w:num>
  <w:num w:numId="10">
    <w:abstractNumId w:val="8"/>
  </w:num>
  <w:num w:numId="11">
    <w:abstractNumId w:val="21"/>
  </w:num>
  <w:num w:numId="12">
    <w:abstractNumId w:val="19"/>
  </w:num>
  <w:num w:numId="13">
    <w:abstractNumId w:val="3"/>
  </w:num>
  <w:num w:numId="14">
    <w:abstractNumId w:val="26"/>
  </w:num>
  <w:num w:numId="15">
    <w:abstractNumId w:val="14"/>
  </w:num>
  <w:num w:numId="16">
    <w:abstractNumId w:val="4"/>
  </w:num>
  <w:num w:numId="17">
    <w:abstractNumId w:val="2"/>
  </w:num>
  <w:num w:numId="18">
    <w:abstractNumId w:val="12"/>
  </w:num>
  <w:num w:numId="19">
    <w:abstractNumId w:val="10"/>
  </w:num>
  <w:num w:numId="20">
    <w:abstractNumId w:val="17"/>
  </w:num>
  <w:num w:numId="21">
    <w:abstractNumId w:val="13"/>
  </w:num>
  <w:num w:numId="22">
    <w:abstractNumId w:val="11"/>
  </w:num>
  <w:num w:numId="23">
    <w:abstractNumId w:val="28"/>
  </w:num>
  <w:num w:numId="24">
    <w:abstractNumId w:val="7"/>
  </w:num>
  <w:num w:numId="25">
    <w:abstractNumId w:val="29"/>
  </w:num>
  <w:num w:numId="26">
    <w:abstractNumId w:val="16"/>
  </w:num>
  <w:num w:numId="27">
    <w:abstractNumId w:val="24"/>
  </w:num>
  <w:num w:numId="28">
    <w:abstractNumId w:val="15"/>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104A"/>
    <w:rsid w:val="00042031"/>
    <w:rsid w:val="000422EE"/>
    <w:rsid w:val="00043CB1"/>
    <w:rsid w:val="00046156"/>
    <w:rsid w:val="000473F7"/>
    <w:rsid w:val="00050F54"/>
    <w:rsid w:val="00051106"/>
    <w:rsid w:val="0005143C"/>
    <w:rsid w:val="00056D70"/>
    <w:rsid w:val="00060888"/>
    <w:rsid w:val="00060A47"/>
    <w:rsid w:val="00062822"/>
    <w:rsid w:val="0006534F"/>
    <w:rsid w:val="00066E0A"/>
    <w:rsid w:val="0007047A"/>
    <w:rsid w:val="00070FB4"/>
    <w:rsid w:val="00071884"/>
    <w:rsid w:val="00071CD0"/>
    <w:rsid w:val="00072B20"/>
    <w:rsid w:val="00073270"/>
    <w:rsid w:val="00073464"/>
    <w:rsid w:val="0007788D"/>
    <w:rsid w:val="00077938"/>
    <w:rsid w:val="0008058D"/>
    <w:rsid w:val="00084359"/>
    <w:rsid w:val="0008488A"/>
    <w:rsid w:val="00085B89"/>
    <w:rsid w:val="00090302"/>
    <w:rsid w:val="00091258"/>
    <w:rsid w:val="00092C64"/>
    <w:rsid w:val="00092DF0"/>
    <w:rsid w:val="00093D7B"/>
    <w:rsid w:val="000A13FA"/>
    <w:rsid w:val="000A2211"/>
    <w:rsid w:val="000A359D"/>
    <w:rsid w:val="000A3B97"/>
    <w:rsid w:val="000A46CA"/>
    <w:rsid w:val="000A6067"/>
    <w:rsid w:val="000B1AB1"/>
    <w:rsid w:val="000B26AC"/>
    <w:rsid w:val="000B3F6E"/>
    <w:rsid w:val="000B4538"/>
    <w:rsid w:val="000B4607"/>
    <w:rsid w:val="000B59CB"/>
    <w:rsid w:val="000B6DF1"/>
    <w:rsid w:val="000B7626"/>
    <w:rsid w:val="000C0EDB"/>
    <w:rsid w:val="000C13C6"/>
    <w:rsid w:val="000C230C"/>
    <w:rsid w:val="000C32EA"/>
    <w:rsid w:val="000C37C7"/>
    <w:rsid w:val="000C37D8"/>
    <w:rsid w:val="000C5FBC"/>
    <w:rsid w:val="000D0DB8"/>
    <w:rsid w:val="000D163F"/>
    <w:rsid w:val="000D2C4F"/>
    <w:rsid w:val="000D320A"/>
    <w:rsid w:val="000D35F4"/>
    <w:rsid w:val="000D41F8"/>
    <w:rsid w:val="000D4580"/>
    <w:rsid w:val="000D5549"/>
    <w:rsid w:val="000D650D"/>
    <w:rsid w:val="000D7C74"/>
    <w:rsid w:val="000E1AC8"/>
    <w:rsid w:val="000E2092"/>
    <w:rsid w:val="000E289C"/>
    <w:rsid w:val="000E31DC"/>
    <w:rsid w:val="000E4457"/>
    <w:rsid w:val="000E6F4B"/>
    <w:rsid w:val="000E7BB7"/>
    <w:rsid w:val="000F0876"/>
    <w:rsid w:val="000F35FE"/>
    <w:rsid w:val="000F3C86"/>
    <w:rsid w:val="000F3DBD"/>
    <w:rsid w:val="000F4FAA"/>
    <w:rsid w:val="000F5E59"/>
    <w:rsid w:val="000F6A6D"/>
    <w:rsid w:val="001029C5"/>
    <w:rsid w:val="001032E7"/>
    <w:rsid w:val="00103B63"/>
    <w:rsid w:val="00110173"/>
    <w:rsid w:val="001114E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4224"/>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913AA"/>
    <w:rsid w:val="00191859"/>
    <w:rsid w:val="00192FA8"/>
    <w:rsid w:val="00196B61"/>
    <w:rsid w:val="001973AF"/>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5276"/>
    <w:rsid w:val="001C5BD5"/>
    <w:rsid w:val="001C7CCC"/>
    <w:rsid w:val="001D0C1C"/>
    <w:rsid w:val="001D2285"/>
    <w:rsid w:val="001D315D"/>
    <w:rsid w:val="001D6C4F"/>
    <w:rsid w:val="001D6E4F"/>
    <w:rsid w:val="001E11D4"/>
    <w:rsid w:val="001E167B"/>
    <w:rsid w:val="001E19E2"/>
    <w:rsid w:val="001E1ABF"/>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E8"/>
    <w:rsid w:val="00204494"/>
    <w:rsid w:val="002047D6"/>
    <w:rsid w:val="00205B93"/>
    <w:rsid w:val="00206050"/>
    <w:rsid w:val="00206332"/>
    <w:rsid w:val="00207018"/>
    <w:rsid w:val="00210CDF"/>
    <w:rsid w:val="002123C8"/>
    <w:rsid w:val="0021395B"/>
    <w:rsid w:val="0021417A"/>
    <w:rsid w:val="00214E56"/>
    <w:rsid w:val="00216AE2"/>
    <w:rsid w:val="00217F73"/>
    <w:rsid w:val="00221638"/>
    <w:rsid w:val="00223974"/>
    <w:rsid w:val="002249BA"/>
    <w:rsid w:val="0022722B"/>
    <w:rsid w:val="00231B9D"/>
    <w:rsid w:val="00232A10"/>
    <w:rsid w:val="00233815"/>
    <w:rsid w:val="00234C65"/>
    <w:rsid w:val="00235098"/>
    <w:rsid w:val="0023772E"/>
    <w:rsid w:val="0024097C"/>
    <w:rsid w:val="00241978"/>
    <w:rsid w:val="00242189"/>
    <w:rsid w:val="00243419"/>
    <w:rsid w:val="002436CE"/>
    <w:rsid w:val="00244669"/>
    <w:rsid w:val="00244732"/>
    <w:rsid w:val="00245A40"/>
    <w:rsid w:val="002460AD"/>
    <w:rsid w:val="00250DA9"/>
    <w:rsid w:val="00251B63"/>
    <w:rsid w:val="00254327"/>
    <w:rsid w:val="0025436E"/>
    <w:rsid w:val="00255889"/>
    <w:rsid w:val="002564A2"/>
    <w:rsid w:val="00260591"/>
    <w:rsid w:val="002610BC"/>
    <w:rsid w:val="00262614"/>
    <w:rsid w:val="00263889"/>
    <w:rsid w:val="00263D41"/>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4D7F"/>
    <w:rsid w:val="00295BFE"/>
    <w:rsid w:val="002A0105"/>
    <w:rsid w:val="002A0761"/>
    <w:rsid w:val="002A2CC4"/>
    <w:rsid w:val="002A33C1"/>
    <w:rsid w:val="002A3505"/>
    <w:rsid w:val="002A4549"/>
    <w:rsid w:val="002B09F4"/>
    <w:rsid w:val="002B3ACF"/>
    <w:rsid w:val="002B40DD"/>
    <w:rsid w:val="002B438C"/>
    <w:rsid w:val="002B5297"/>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1DB5"/>
    <w:rsid w:val="002E23C4"/>
    <w:rsid w:val="002E45DE"/>
    <w:rsid w:val="002F0CDC"/>
    <w:rsid w:val="002F1E4F"/>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4DE"/>
    <w:rsid w:val="003526F4"/>
    <w:rsid w:val="00353435"/>
    <w:rsid w:val="003547BA"/>
    <w:rsid w:val="003547DD"/>
    <w:rsid w:val="003558B0"/>
    <w:rsid w:val="00357B69"/>
    <w:rsid w:val="00360508"/>
    <w:rsid w:val="003614B3"/>
    <w:rsid w:val="00364C53"/>
    <w:rsid w:val="00367F87"/>
    <w:rsid w:val="00370243"/>
    <w:rsid w:val="0037123F"/>
    <w:rsid w:val="003733C7"/>
    <w:rsid w:val="00373605"/>
    <w:rsid w:val="003760E0"/>
    <w:rsid w:val="003800A3"/>
    <w:rsid w:val="0038157D"/>
    <w:rsid w:val="003826CD"/>
    <w:rsid w:val="00382D86"/>
    <w:rsid w:val="003848A9"/>
    <w:rsid w:val="0038507B"/>
    <w:rsid w:val="00385916"/>
    <w:rsid w:val="003868F7"/>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6A"/>
    <w:rsid w:val="003B678D"/>
    <w:rsid w:val="003C2229"/>
    <w:rsid w:val="003C3340"/>
    <w:rsid w:val="003C4B70"/>
    <w:rsid w:val="003C5A60"/>
    <w:rsid w:val="003D1AA2"/>
    <w:rsid w:val="003D1E06"/>
    <w:rsid w:val="003D6883"/>
    <w:rsid w:val="003D761D"/>
    <w:rsid w:val="003D7A75"/>
    <w:rsid w:val="003E34FE"/>
    <w:rsid w:val="003E3849"/>
    <w:rsid w:val="003E42A1"/>
    <w:rsid w:val="003E7DAA"/>
    <w:rsid w:val="003F1515"/>
    <w:rsid w:val="003F2FD3"/>
    <w:rsid w:val="003F3E5B"/>
    <w:rsid w:val="003F427C"/>
    <w:rsid w:val="003F42CA"/>
    <w:rsid w:val="003F5986"/>
    <w:rsid w:val="00401C21"/>
    <w:rsid w:val="004054BD"/>
    <w:rsid w:val="00405DE9"/>
    <w:rsid w:val="00406090"/>
    <w:rsid w:val="00406FBA"/>
    <w:rsid w:val="00411D2C"/>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BE4"/>
    <w:rsid w:val="00435C79"/>
    <w:rsid w:val="00436122"/>
    <w:rsid w:val="00437470"/>
    <w:rsid w:val="0044065C"/>
    <w:rsid w:val="00441985"/>
    <w:rsid w:val="00441CE8"/>
    <w:rsid w:val="00444688"/>
    <w:rsid w:val="00445211"/>
    <w:rsid w:val="004455E3"/>
    <w:rsid w:val="00446E89"/>
    <w:rsid w:val="00446F7F"/>
    <w:rsid w:val="004474D0"/>
    <w:rsid w:val="00454CB9"/>
    <w:rsid w:val="00456037"/>
    <w:rsid w:val="004600E8"/>
    <w:rsid w:val="004612FC"/>
    <w:rsid w:val="00466E3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FD5"/>
    <w:rsid w:val="004962CF"/>
    <w:rsid w:val="004A0B46"/>
    <w:rsid w:val="004A1528"/>
    <w:rsid w:val="004A2CC2"/>
    <w:rsid w:val="004A377D"/>
    <w:rsid w:val="004A46AE"/>
    <w:rsid w:val="004A6317"/>
    <w:rsid w:val="004A6460"/>
    <w:rsid w:val="004B0D14"/>
    <w:rsid w:val="004B1167"/>
    <w:rsid w:val="004B2129"/>
    <w:rsid w:val="004B352C"/>
    <w:rsid w:val="004B5BD2"/>
    <w:rsid w:val="004C094F"/>
    <w:rsid w:val="004C115B"/>
    <w:rsid w:val="004C59A6"/>
    <w:rsid w:val="004C5ECD"/>
    <w:rsid w:val="004C6E9E"/>
    <w:rsid w:val="004C7674"/>
    <w:rsid w:val="004D0CA0"/>
    <w:rsid w:val="004D132D"/>
    <w:rsid w:val="004D1BC6"/>
    <w:rsid w:val="004D3A7E"/>
    <w:rsid w:val="004D3CCF"/>
    <w:rsid w:val="004D7E9B"/>
    <w:rsid w:val="004E17E3"/>
    <w:rsid w:val="004E17F1"/>
    <w:rsid w:val="004E1CA7"/>
    <w:rsid w:val="004E4342"/>
    <w:rsid w:val="004E6664"/>
    <w:rsid w:val="004E66A5"/>
    <w:rsid w:val="004E6EBD"/>
    <w:rsid w:val="004F077E"/>
    <w:rsid w:val="004F13C2"/>
    <w:rsid w:val="004F16FE"/>
    <w:rsid w:val="004F3D66"/>
    <w:rsid w:val="004F50A7"/>
    <w:rsid w:val="00500F6A"/>
    <w:rsid w:val="00500FFC"/>
    <w:rsid w:val="00501475"/>
    <w:rsid w:val="0050280C"/>
    <w:rsid w:val="00504080"/>
    <w:rsid w:val="00505353"/>
    <w:rsid w:val="005055FE"/>
    <w:rsid w:val="00507AD7"/>
    <w:rsid w:val="00507DB7"/>
    <w:rsid w:val="00512ABB"/>
    <w:rsid w:val="00513124"/>
    <w:rsid w:val="005140B7"/>
    <w:rsid w:val="00514A95"/>
    <w:rsid w:val="00515496"/>
    <w:rsid w:val="005161D0"/>
    <w:rsid w:val="005175E3"/>
    <w:rsid w:val="00517BBF"/>
    <w:rsid w:val="00521C3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2038"/>
    <w:rsid w:val="005538BC"/>
    <w:rsid w:val="00553E28"/>
    <w:rsid w:val="0055446B"/>
    <w:rsid w:val="00560B3F"/>
    <w:rsid w:val="0056398B"/>
    <w:rsid w:val="00563C16"/>
    <w:rsid w:val="005641E8"/>
    <w:rsid w:val="00564B0C"/>
    <w:rsid w:val="00564D72"/>
    <w:rsid w:val="0056729A"/>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2A1"/>
    <w:rsid w:val="005D06C3"/>
    <w:rsid w:val="005D294C"/>
    <w:rsid w:val="005D3048"/>
    <w:rsid w:val="005D48A9"/>
    <w:rsid w:val="005E39AC"/>
    <w:rsid w:val="005E3C39"/>
    <w:rsid w:val="005E42CD"/>
    <w:rsid w:val="005E5D4A"/>
    <w:rsid w:val="005E638D"/>
    <w:rsid w:val="005E6774"/>
    <w:rsid w:val="005E7345"/>
    <w:rsid w:val="005F18A1"/>
    <w:rsid w:val="005F2AAF"/>
    <w:rsid w:val="005F2BF0"/>
    <w:rsid w:val="005F2CFA"/>
    <w:rsid w:val="005F35AE"/>
    <w:rsid w:val="005F4748"/>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706"/>
    <w:rsid w:val="00623C95"/>
    <w:rsid w:val="00623D2A"/>
    <w:rsid w:val="00624C39"/>
    <w:rsid w:val="00625D72"/>
    <w:rsid w:val="00627617"/>
    <w:rsid w:val="00627AE6"/>
    <w:rsid w:val="00631837"/>
    <w:rsid w:val="00632FD0"/>
    <w:rsid w:val="0063554C"/>
    <w:rsid w:val="00635963"/>
    <w:rsid w:val="0063775E"/>
    <w:rsid w:val="00637FBF"/>
    <w:rsid w:val="006407A9"/>
    <w:rsid w:val="00641112"/>
    <w:rsid w:val="0064253C"/>
    <w:rsid w:val="00643603"/>
    <w:rsid w:val="0064635B"/>
    <w:rsid w:val="00647D6D"/>
    <w:rsid w:val="006504F9"/>
    <w:rsid w:val="006511EE"/>
    <w:rsid w:val="00653A6A"/>
    <w:rsid w:val="00653CBF"/>
    <w:rsid w:val="00655EB2"/>
    <w:rsid w:val="00660A46"/>
    <w:rsid w:val="00661BC9"/>
    <w:rsid w:val="00662EFB"/>
    <w:rsid w:val="006633C1"/>
    <w:rsid w:val="00663ECC"/>
    <w:rsid w:val="00664BBD"/>
    <w:rsid w:val="006652A4"/>
    <w:rsid w:val="0066639B"/>
    <w:rsid w:val="0066766E"/>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4EB4"/>
    <w:rsid w:val="0069761D"/>
    <w:rsid w:val="006A0D3E"/>
    <w:rsid w:val="006A2D89"/>
    <w:rsid w:val="006A3A31"/>
    <w:rsid w:val="006A3CE6"/>
    <w:rsid w:val="006A4A8F"/>
    <w:rsid w:val="006A6B6F"/>
    <w:rsid w:val="006A6C84"/>
    <w:rsid w:val="006A6D9F"/>
    <w:rsid w:val="006B0BF4"/>
    <w:rsid w:val="006B1114"/>
    <w:rsid w:val="006B1453"/>
    <w:rsid w:val="006B197E"/>
    <w:rsid w:val="006B3C54"/>
    <w:rsid w:val="006B50F2"/>
    <w:rsid w:val="006B59A5"/>
    <w:rsid w:val="006B59EE"/>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CE9"/>
    <w:rsid w:val="00700398"/>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2C63"/>
    <w:rsid w:val="00733A3F"/>
    <w:rsid w:val="00736EF5"/>
    <w:rsid w:val="00737986"/>
    <w:rsid w:val="00740964"/>
    <w:rsid w:val="00741112"/>
    <w:rsid w:val="00743601"/>
    <w:rsid w:val="0074750C"/>
    <w:rsid w:val="00747D34"/>
    <w:rsid w:val="00750413"/>
    <w:rsid w:val="007513D2"/>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675"/>
    <w:rsid w:val="00773DB4"/>
    <w:rsid w:val="00774982"/>
    <w:rsid w:val="00774E25"/>
    <w:rsid w:val="00775DD1"/>
    <w:rsid w:val="007762A8"/>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4BD9"/>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94F"/>
    <w:rsid w:val="00883D0F"/>
    <w:rsid w:val="00885371"/>
    <w:rsid w:val="00885B5F"/>
    <w:rsid w:val="00887520"/>
    <w:rsid w:val="0089203E"/>
    <w:rsid w:val="008929C5"/>
    <w:rsid w:val="00893136"/>
    <w:rsid w:val="00894637"/>
    <w:rsid w:val="008956E6"/>
    <w:rsid w:val="00897D57"/>
    <w:rsid w:val="00897ECC"/>
    <w:rsid w:val="008A0B5F"/>
    <w:rsid w:val="008A0E9F"/>
    <w:rsid w:val="008A1C7C"/>
    <w:rsid w:val="008A1EAA"/>
    <w:rsid w:val="008A3D95"/>
    <w:rsid w:val="008A45BA"/>
    <w:rsid w:val="008A5706"/>
    <w:rsid w:val="008A570F"/>
    <w:rsid w:val="008A57F2"/>
    <w:rsid w:val="008A57F8"/>
    <w:rsid w:val="008A619D"/>
    <w:rsid w:val="008A6726"/>
    <w:rsid w:val="008A678C"/>
    <w:rsid w:val="008A67D0"/>
    <w:rsid w:val="008A7FEC"/>
    <w:rsid w:val="008B0BAF"/>
    <w:rsid w:val="008B1560"/>
    <w:rsid w:val="008B258C"/>
    <w:rsid w:val="008B4D9E"/>
    <w:rsid w:val="008B5603"/>
    <w:rsid w:val="008B5DCB"/>
    <w:rsid w:val="008B6871"/>
    <w:rsid w:val="008B6F5B"/>
    <w:rsid w:val="008C1F38"/>
    <w:rsid w:val="008C5336"/>
    <w:rsid w:val="008C5690"/>
    <w:rsid w:val="008D0185"/>
    <w:rsid w:val="008D1B71"/>
    <w:rsid w:val="008D2B21"/>
    <w:rsid w:val="008D56A6"/>
    <w:rsid w:val="008D6FF8"/>
    <w:rsid w:val="008E0C00"/>
    <w:rsid w:val="008E198D"/>
    <w:rsid w:val="008E24BC"/>
    <w:rsid w:val="008E32A1"/>
    <w:rsid w:val="008E4062"/>
    <w:rsid w:val="008F13E3"/>
    <w:rsid w:val="008F2297"/>
    <w:rsid w:val="008F56E0"/>
    <w:rsid w:val="008F7088"/>
    <w:rsid w:val="00901073"/>
    <w:rsid w:val="00901458"/>
    <w:rsid w:val="009061A0"/>
    <w:rsid w:val="00906967"/>
    <w:rsid w:val="009106F7"/>
    <w:rsid w:val="00913B5A"/>
    <w:rsid w:val="00914CD8"/>
    <w:rsid w:val="00921F6F"/>
    <w:rsid w:val="009232AB"/>
    <w:rsid w:val="00924A11"/>
    <w:rsid w:val="00926517"/>
    <w:rsid w:val="009274C3"/>
    <w:rsid w:val="00930C7F"/>
    <w:rsid w:val="00931354"/>
    <w:rsid w:val="00932E56"/>
    <w:rsid w:val="00933A70"/>
    <w:rsid w:val="009343F9"/>
    <w:rsid w:val="00934D05"/>
    <w:rsid w:val="00936CD1"/>
    <w:rsid w:val="00944AA2"/>
    <w:rsid w:val="00945ADB"/>
    <w:rsid w:val="00947D60"/>
    <w:rsid w:val="00947ED0"/>
    <w:rsid w:val="00952ACE"/>
    <w:rsid w:val="00952F4F"/>
    <w:rsid w:val="00953E8D"/>
    <w:rsid w:val="00954F15"/>
    <w:rsid w:val="00954F24"/>
    <w:rsid w:val="0095542F"/>
    <w:rsid w:val="00956DDA"/>
    <w:rsid w:val="00956F0D"/>
    <w:rsid w:val="009574B0"/>
    <w:rsid w:val="009577F5"/>
    <w:rsid w:val="009578A4"/>
    <w:rsid w:val="009624FD"/>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743"/>
    <w:rsid w:val="009A4F8A"/>
    <w:rsid w:val="009B0ED7"/>
    <w:rsid w:val="009B1949"/>
    <w:rsid w:val="009B6BA5"/>
    <w:rsid w:val="009C3AD2"/>
    <w:rsid w:val="009D1AB5"/>
    <w:rsid w:val="009D23C6"/>
    <w:rsid w:val="009D3309"/>
    <w:rsid w:val="009D4770"/>
    <w:rsid w:val="009D7632"/>
    <w:rsid w:val="009E12EA"/>
    <w:rsid w:val="009E31BC"/>
    <w:rsid w:val="009E40E2"/>
    <w:rsid w:val="009E4785"/>
    <w:rsid w:val="009E4845"/>
    <w:rsid w:val="009E5179"/>
    <w:rsid w:val="009E67B3"/>
    <w:rsid w:val="009F3724"/>
    <w:rsid w:val="009F4772"/>
    <w:rsid w:val="009F6C07"/>
    <w:rsid w:val="009F7D8C"/>
    <w:rsid w:val="009F7FDD"/>
    <w:rsid w:val="00A006B5"/>
    <w:rsid w:val="00A03411"/>
    <w:rsid w:val="00A05A84"/>
    <w:rsid w:val="00A068A8"/>
    <w:rsid w:val="00A10BF2"/>
    <w:rsid w:val="00A11196"/>
    <w:rsid w:val="00A14604"/>
    <w:rsid w:val="00A16211"/>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C80"/>
    <w:rsid w:val="00A372E3"/>
    <w:rsid w:val="00A41B4D"/>
    <w:rsid w:val="00A41CAD"/>
    <w:rsid w:val="00A45A0C"/>
    <w:rsid w:val="00A50202"/>
    <w:rsid w:val="00A5168C"/>
    <w:rsid w:val="00A520E5"/>
    <w:rsid w:val="00A52F59"/>
    <w:rsid w:val="00A543E9"/>
    <w:rsid w:val="00A56621"/>
    <w:rsid w:val="00A57760"/>
    <w:rsid w:val="00A60249"/>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EB9"/>
    <w:rsid w:val="00A96FC5"/>
    <w:rsid w:val="00A9776F"/>
    <w:rsid w:val="00A97927"/>
    <w:rsid w:val="00AA0182"/>
    <w:rsid w:val="00AA25CF"/>
    <w:rsid w:val="00AA6C4E"/>
    <w:rsid w:val="00AB065B"/>
    <w:rsid w:val="00AB09D7"/>
    <w:rsid w:val="00AB0F94"/>
    <w:rsid w:val="00AB1E0A"/>
    <w:rsid w:val="00AB26C1"/>
    <w:rsid w:val="00AB296B"/>
    <w:rsid w:val="00AB2ABA"/>
    <w:rsid w:val="00AB40C2"/>
    <w:rsid w:val="00AB7E9F"/>
    <w:rsid w:val="00AC035A"/>
    <w:rsid w:val="00AC0AEE"/>
    <w:rsid w:val="00AC288C"/>
    <w:rsid w:val="00AC29FB"/>
    <w:rsid w:val="00AC38EF"/>
    <w:rsid w:val="00AC4E19"/>
    <w:rsid w:val="00AD0E27"/>
    <w:rsid w:val="00AD1E35"/>
    <w:rsid w:val="00AD519F"/>
    <w:rsid w:val="00AD5222"/>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0865"/>
    <w:rsid w:val="00B01FF6"/>
    <w:rsid w:val="00B0346D"/>
    <w:rsid w:val="00B04199"/>
    <w:rsid w:val="00B0459D"/>
    <w:rsid w:val="00B0609D"/>
    <w:rsid w:val="00B06266"/>
    <w:rsid w:val="00B06856"/>
    <w:rsid w:val="00B106DA"/>
    <w:rsid w:val="00B1226B"/>
    <w:rsid w:val="00B1459F"/>
    <w:rsid w:val="00B153BB"/>
    <w:rsid w:val="00B15487"/>
    <w:rsid w:val="00B15D31"/>
    <w:rsid w:val="00B202F4"/>
    <w:rsid w:val="00B21F3D"/>
    <w:rsid w:val="00B22201"/>
    <w:rsid w:val="00B224DC"/>
    <w:rsid w:val="00B22884"/>
    <w:rsid w:val="00B267A6"/>
    <w:rsid w:val="00B3029E"/>
    <w:rsid w:val="00B30645"/>
    <w:rsid w:val="00B306A3"/>
    <w:rsid w:val="00B30FD0"/>
    <w:rsid w:val="00B32E97"/>
    <w:rsid w:val="00B33114"/>
    <w:rsid w:val="00B331BD"/>
    <w:rsid w:val="00B33356"/>
    <w:rsid w:val="00B33AFD"/>
    <w:rsid w:val="00B346D7"/>
    <w:rsid w:val="00B3542E"/>
    <w:rsid w:val="00B369D3"/>
    <w:rsid w:val="00B416A2"/>
    <w:rsid w:val="00B417E8"/>
    <w:rsid w:val="00B42F08"/>
    <w:rsid w:val="00B43701"/>
    <w:rsid w:val="00B43A60"/>
    <w:rsid w:val="00B43A84"/>
    <w:rsid w:val="00B45D5F"/>
    <w:rsid w:val="00B46D49"/>
    <w:rsid w:val="00B470B0"/>
    <w:rsid w:val="00B534A7"/>
    <w:rsid w:val="00B5372D"/>
    <w:rsid w:val="00B547D0"/>
    <w:rsid w:val="00B576F3"/>
    <w:rsid w:val="00B57C14"/>
    <w:rsid w:val="00B608D1"/>
    <w:rsid w:val="00B60E0A"/>
    <w:rsid w:val="00B62024"/>
    <w:rsid w:val="00B622A5"/>
    <w:rsid w:val="00B64C9C"/>
    <w:rsid w:val="00B66475"/>
    <w:rsid w:val="00B66785"/>
    <w:rsid w:val="00B71B86"/>
    <w:rsid w:val="00B7335D"/>
    <w:rsid w:val="00B739DC"/>
    <w:rsid w:val="00B7445A"/>
    <w:rsid w:val="00B74F4C"/>
    <w:rsid w:val="00B77FE9"/>
    <w:rsid w:val="00B81995"/>
    <w:rsid w:val="00B8241B"/>
    <w:rsid w:val="00B82681"/>
    <w:rsid w:val="00B826C7"/>
    <w:rsid w:val="00B82802"/>
    <w:rsid w:val="00B87814"/>
    <w:rsid w:val="00B924B0"/>
    <w:rsid w:val="00B93370"/>
    <w:rsid w:val="00B95DB1"/>
    <w:rsid w:val="00BA2904"/>
    <w:rsid w:val="00BA3F97"/>
    <w:rsid w:val="00BA460C"/>
    <w:rsid w:val="00BA52DC"/>
    <w:rsid w:val="00BA52F1"/>
    <w:rsid w:val="00BA6B2D"/>
    <w:rsid w:val="00BB021A"/>
    <w:rsid w:val="00BB0905"/>
    <w:rsid w:val="00BB0961"/>
    <w:rsid w:val="00BB1CBE"/>
    <w:rsid w:val="00BB3AF9"/>
    <w:rsid w:val="00BB68AD"/>
    <w:rsid w:val="00BB6B02"/>
    <w:rsid w:val="00BB6B88"/>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9AC"/>
    <w:rsid w:val="00BF6416"/>
    <w:rsid w:val="00BF651D"/>
    <w:rsid w:val="00BF6E5B"/>
    <w:rsid w:val="00BF7912"/>
    <w:rsid w:val="00C006C6"/>
    <w:rsid w:val="00C00836"/>
    <w:rsid w:val="00C013EE"/>
    <w:rsid w:val="00C01C76"/>
    <w:rsid w:val="00C01D88"/>
    <w:rsid w:val="00C0287F"/>
    <w:rsid w:val="00C049A7"/>
    <w:rsid w:val="00C04C37"/>
    <w:rsid w:val="00C05C2E"/>
    <w:rsid w:val="00C10085"/>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193B"/>
    <w:rsid w:val="00C34764"/>
    <w:rsid w:val="00C3771B"/>
    <w:rsid w:val="00C42E9E"/>
    <w:rsid w:val="00C460E4"/>
    <w:rsid w:val="00C47130"/>
    <w:rsid w:val="00C4759B"/>
    <w:rsid w:val="00C50488"/>
    <w:rsid w:val="00C526B9"/>
    <w:rsid w:val="00C56375"/>
    <w:rsid w:val="00C57374"/>
    <w:rsid w:val="00C576A7"/>
    <w:rsid w:val="00C61F58"/>
    <w:rsid w:val="00C63412"/>
    <w:rsid w:val="00C63C9B"/>
    <w:rsid w:val="00C64635"/>
    <w:rsid w:val="00C64791"/>
    <w:rsid w:val="00C67394"/>
    <w:rsid w:val="00C67735"/>
    <w:rsid w:val="00C70897"/>
    <w:rsid w:val="00C7512A"/>
    <w:rsid w:val="00C75B4D"/>
    <w:rsid w:val="00C75F1A"/>
    <w:rsid w:val="00C75F7D"/>
    <w:rsid w:val="00C76F10"/>
    <w:rsid w:val="00C77CF6"/>
    <w:rsid w:val="00C8176F"/>
    <w:rsid w:val="00C81CDB"/>
    <w:rsid w:val="00C82191"/>
    <w:rsid w:val="00C83EBE"/>
    <w:rsid w:val="00C859D3"/>
    <w:rsid w:val="00C92F0C"/>
    <w:rsid w:val="00C93266"/>
    <w:rsid w:val="00C935F7"/>
    <w:rsid w:val="00CA28AF"/>
    <w:rsid w:val="00CA717A"/>
    <w:rsid w:val="00CA7D54"/>
    <w:rsid w:val="00CB0753"/>
    <w:rsid w:val="00CB1692"/>
    <w:rsid w:val="00CB248D"/>
    <w:rsid w:val="00CB2ED4"/>
    <w:rsid w:val="00CB3168"/>
    <w:rsid w:val="00CB3EE5"/>
    <w:rsid w:val="00CB4162"/>
    <w:rsid w:val="00CB44B3"/>
    <w:rsid w:val="00CB5719"/>
    <w:rsid w:val="00CB6209"/>
    <w:rsid w:val="00CB62DF"/>
    <w:rsid w:val="00CC028F"/>
    <w:rsid w:val="00CC090A"/>
    <w:rsid w:val="00CC53F0"/>
    <w:rsid w:val="00CD045A"/>
    <w:rsid w:val="00CD0E0F"/>
    <w:rsid w:val="00CD159D"/>
    <w:rsid w:val="00CD1961"/>
    <w:rsid w:val="00CD2812"/>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9A5"/>
    <w:rsid w:val="00D12B4A"/>
    <w:rsid w:val="00D13F9C"/>
    <w:rsid w:val="00D145FB"/>
    <w:rsid w:val="00D148E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398E"/>
    <w:rsid w:val="00D44734"/>
    <w:rsid w:val="00D44C75"/>
    <w:rsid w:val="00D451E3"/>
    <w:rsid w:val="00D45736"/>
    <w:rsid w:val="00D46291"/>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602"/>
    <w:rsid w:val="00D73C2A"/>
    <w:rsid w:val="00D74204"/>
    <w:rsid w:val="00D76565"/>
    <w:rsid w:val="00D83937"/>
    <w:rsid w:val="00D84054"/>
    <w:rsid w:val="00D84EB7"/>
    <w:rsid w:val="00D85162"/>
    <w:rsid w:val="00D8570D"/>
    <w:rsid w:val="00D85FA3"/>
    <w:rsid w:val="00D86A84"/>
    <w:rsid w:val="00D904FA"/>
    <w:rsid w:val="00D906DA"/>
    <w:rsid w:val="00D92941"/>
    <w:rsid w:val="00D93FC0"/>
    <w:rsid w:val="00D94C2F"/>
    <w:rsid w:val="00D964CA"/>
    <w:rsid w:val="00DA02DC"/>
    <w:rsid w:val="00DA0E02"/>
    <w:rsid w:val="00DA1508"/>
    <w:rsid w:val="00DA3D85"/>
    <w:rsid w:val="00DA51AD"/>
    <w:rsid w:val="00DA78A0"/>
    <w:rsid w:val="00DB0AE3"/>
    <w:rsid w:val="00DB25B9"/>
    <w:rsid w:val="00DB3796"/>
    <w:rsid w:val="00DB6DEA"/>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FA0"/>
    <w:rsid w:val="00E13F51"/>
    <w:rsid w:val="00E2149C"/>
    <w:rsid w:val="00E218A8"/>
    <w:rsid w:val="00E23E28"/>
    <w:rsid w:val="00E25070"/>
    <w:rsid w:val="00E26064"/>
    <w:rsid w:val="00E26248"/>
    <w:rsid w:val="00E26601"/>
    <w:rsid w:val="00E26D5B"/>
    <w:rsid w:val="00E270AF"/>
    <w:rsid w:val="00E272CE"/>
    <w:rsid w:val="00E27510"/>
    <w:rsid w:val="00E30B16"/>
    <w:rsid w:val="00E31A9E"/>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DD9"/>
    <w:rsid w:val="00E67E80"/>
    <w:rsid w:val="00E70762"/>
    <w:rsid w:val="00E72B51"/>
    <w:rsid w:val="00E745D5"/>
    <w:rsid w:val="00E7532F"/>
    <w:rsid w:val="00E755CA"/>
    <w:rsid w:val="00E77030"/>
    <w:rsid w:val="00E8101D"/>
    <w:rsid w:val="00E8150A"/>
    <w:rsid w:val="00E83068"/>
    <w:rsid w:val="00E834DC"/>
    <w:rsid w:val="00E85A0C"/>
    <w:rsid w:val="00E867F8"/>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5C7D"/>
    <w:rsid w:val="00ED655C"/>
    <w:rsid w:val="00ED6BF9"/>
    <w:rsid w:val="00ED7725"/>
    <w:rsid w:val="00ED787A"/>
    <w:rsid w:val="00EE14F6"/>
    <w:rsid w:val="00EE29C4"/>
    <w:rsid w:val="00EE3242"/>
    <w:rsid w:val="00EE43E2"/>
    <w:rsid w:val="00EE550C"/>
    <w:rsid w:val="00EE71FD"/>
    <w:rsid w:val="00EE7C78"/>
    <w:rsid w:val="00EF014A"/>
    <w:rsid w:val="00EF22CC"/>
    <w:rsid w:val="00EF6762"/>
    <w:rsid w:val="00EF6B64"/>
    <w:rsid w:val="00F017C0"/>
    <w:rsid w:val="00F01FE6"/>
    <w:rsid w:val="00F06809"/>
    <w:rsid w:val="00F100A7"/>
    <w:rsid w:val="00F11356"/>
    <w:rsid w:val="00F11970"/>
    <w:rsid w:val="00F13C08"/>
    <w:rsid w:val="00F15778"/>
    <w:rsid w:val="00F16606"/>
    <w:rsid w:val="00F265B2"/>
    <w:rsid w:val="00F27E54"/>
    <w:rsid w:val="00F3015A"/>
    <w:rsid w:val="00F30EFA"/>
    <w:rsid w:val="00F33460"/>
    <w:rsid w:val="00F35487"/>
    <w:rsid w:val="00F365A5"/>
    <w:rsid w:val="00F37D05"/>
    <w:rsid w:val="00F40B0E"/>
    <w:rsid w:val="00F410B4"/>
    <w:rsid w:val="00F41146"/>
    <w:rsid w:val="00F44BDA"/>
    <w:rsid w:val="00F465C3"/>
    <w:rsid w:val="00F47D5E"/>
    <w:rsid w:val="00F50C41"/>
    <w:rsid w:val="00F5342E"/>
    <w:rsid w:val="00F542E0"/>
    <w:rsid w:val="00F616D3"/>
    <w:rsid w:val="00F621A9"/>
    <w:rsid w:val="00F65B2E"/>
    <w:rsid w:val="00F7062D"/>
    <w:rsid w:val="00F72296"/>
    <w:rsid w:val="00F724A2"/>
    <w:rsid w:val="00F7597D"/>
    <w:rsid w:val="00F7796B"/>
    <w:rsid w:val="00F82229"/>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0A14"/>
    <w:rsid w:val="00FC3525"/>
    <w:rsid w:val="00FC541F"/>
    <w:rsid w:val="00FC65F1"/>
    <w:rsid w:val="00FD179A"/>
    <w:rsid w:val="00FD1883"/>
    <w:rsid w:val="00FD535E"/>
    <w:rsid w:val="00FD748B"/>
    <w:rsid w:val="00FE26FE"/>
    <w:rsid w:val="00FE2901"/>
    <w:rsid w:val="00FE48AE"/>
    <w:rsid w:val="00FE6BD7"/>
    <w:rsid w:val="00FE755A"/>
    <w:rsid w:val="00FF2114"/>
    <w:rsid w:val="00FF25E0"/>
    <w:rsid w:val="00FF3A20"/>
    <w:rsid w:val="00FF4F0C"/>
    <w:rsid w:val="00FF50D2"/>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4EEADD"/>
  <w15:docId w15:val="{78C9EC28-3BFC-496E-98AB-3C36858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rPr>
  </w:style>
  <w:style w:type="character" w:customStyle="1" w:styleId="Pamattekstaatkpe2Rakstz">
    <w:name w:val="Pamatteksta atkāpe 2 Rakstz."/>
    <w:basedOn w:val="Noklusjumarindkopasfonts"/>
    <w:link w:val="Pamattekstaatkpe2"/>
    <w:rsid w:val="003A3D6B"/>
    <w:rPr>
      <w:sz w:val="24"/>
      <w:szCs w:val="24"/>
      <w:lang w:val="en-GB"/>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2F3C-35A6-4C99-BB46-09ABA9F0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22545</Characters>
  <Application>Microsoft Office Word</Application>
  <DocSecurity>0</DocSecurity>
  <Lines>187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16. augusta noteikumos Nr. 485 “Valsts un Eiropas Savienības atbalsta piešķiršanas, administrēšanas un uzraudzības kārtība augļu, dārzeņu un piena piegādei izglītības iestādēm””</vt:lpstr>
      <vt:lpstr>“Grozījumi Ministru kabineta 2017. gada 16. augusta noteikumos Nr. 485 “Valsts un Eiropas Savienības atbalsta piešķiršanas, administrēšanas un uzraudzības kārtība augļu, dārzeņu un piena piegādei izglītības iestādēm””</vt:lpstr>
    </vt:vector>
  </TitlesOfParts>
  <Company>Zemkopības ministrija</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16. augusta noteikumos Nr. 485 “Valsts un Eiropas Savienības atbalsta piešķiršanas, administrēšanas un uzraudzības kārtība augļu, dārzeņu un piena piegādei izglītības iestādēm””</dc:title>
  <dc:subject>Anotācija</dc:subject>
  <dc:creator>Inga Orlova</dc:creator>
  <cp:keywords/>
  <dc:description>Inga.Orlova@zm.gov.lv_x000d_
67027376</dc:description>
  <cp:lastModifiedBy>Sanita Žagare</cp:lastModifiedBy>
  <cp:revision>6</cp:revision>
  <cp:lastPrinted>2017-03-09T07:20:00Z</cp:lastPrinted>
  <dcterms:created xsi:type="dcterms:W3CDTF">2018-08-08T06:29:00Z</dcterms:created>
  <dcterms:modified xsi:type="dcterms:W3CDTF">2018-08-08T06:46:00Z</dcterms:modified>
</cp:coreProperties>
</file>