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16" w:rsidRPr="00C60311" w:rsidRDefault="00482A16" w:rsidP="00482A16">
      <w:pPr>
        <w:jc w:val="center"/>
        <w:rPr>
          <w:b/>
          <w:sz w:val="28"/>
        </w:rPr>
      </w:pPr>
      <w:r w:rsidRPr="00C60311">
        <w:rPr>
          <w:b/>
          <w:sz w:val="28"/>
        </w:rPr>
        <w:t xml:space="preserve">Likumprojekta „Par Pamatnolīguma par partnerību un sadarbību starp Eiropas Savienību un tās dalībvalstīm, no vienas puses, un Malaizijas </w:t>
      </w:r>
      <w:r w:rsidRPr="003C33C8">
        <w:rPr>
          <w:b/>
          <w:sz w:val="28"/>
        </w:rPr>
        <w:t>valdību</w:t>
      </w:r>
      <w:r w:rsidRPr="00C60311">
        <w:rPr>
          <w:b/>
          <w:sz w:val="28"/>
        </w:rPr>
        <w:t>, no otras puses” sākotnējās ietekmes novērtējuma ziņojums (anotācija)</w:t>
      </w:r>
    </w:p>
    <w:p w:rsidR="00482A16" w:rsidRPr="00BB6B70" w:rsidRDefault="00482A16" w:rsidP="00482A16">
      <w:pPr>
        <w:rPr>
          <w:b/>
          <w:bCs/>
          <w:sz w:val="28"/>
          <w:szCs w:val="28"/>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5572"/>
      </w:tblGrid>
      <w:tr w:rsidR="00482A16" w:rsidRPr="00BB6B70" w:rsidTr="00C45C87">
        <w:tc>
          <w:tcPr>
            <w:tcW w:w="0" w:type="auto"/>
            <w:gridSpan w:val="2"/>
            <w:shd w:val="clear" w:color="auto" w:fill="auto"/>
            <w:hideMark/>
          </w:tcPr>
          <w:p w:rsidR="00482A16" w:rsidRPr="00BB6B70" w:rsidRDefault="00482A16" w:rsidP="00C45C87">
            <w:pPr>
              <w:rPr>
                <w:b/>
                <w:bCs/>
                <w:iCs/>
                <w:color w:val="0D0D0D"/>
                <w:lang w:eastAsia="lv-LV"/>
              </w:rPr>
            </w:pPr>
            <w:r w:rsidRPr="00BB6B70">
              <w:rPr>
                <w:b/>
                <w:bCs/>
                <w:iCs/>
                <w:color w:val="0D0D0D"/>
                <w:lang w:eastAsia="lv-LV"/>
              </w:rPr>
              <w:t>Tiesību akta projekta anotācijas kopsavilkums</w:t>
            </w:r>
          </w:p>
        </w:tc>
      </w:tr>
      <w:tr w:rsidR="00482A16" w:rsidRPr="003C4B54" w:rsidTr="00C45C87">
        <w:tc>
          <w:tcPr>
            <w:tcW w:w="1980" w:type="pct"/>
            <w:shd w:val="clear" w:color="auto" w:fill="auto"/>
            <w:hideMark/>
          </w:tcPr>
          <w:p w:rsidR="00482A16" w:rsidRPr="00BB6B70" w:rsidRDefault="00482A16" w:rsidP="00C45C87">
            <w:pPr>
              <w:rPr>
                <w:iCs/>
                <w:color w:val="0D0D0D"/>
                <w:lang w:eastAsia="lv-LV"/>
              </w:rPr>
            </w:pPr>
            <w:r w:rsidRPr="00BB6B70">
              <w:rPr>
                <w:iCs/>
                <w:color w:val="0D0D0D"/>
                <w:lang w:eastAsia="lv-LV"/>
              </w:rPr>
              <w:t>Mērķis, risinājums un projekta spēkā stāšanās laiks (500 zīmes bez atstarpēm)</w:t>
            </w:r>
          </w:p>
        </w:tc>
        <w:tc>
          <w:tcPr>
            <w:tcW w:w="2971" w:type="pct"/>
            <w:shd w:val="clear" w:color="auto" w:fill="auto"/>
            <w:hideMark/>
          </w:tcPr>
          <w:p w:rsidR="00482A16" w:rsidRPr="003C4B54" w:rsidRDefault="00BB6B70" w:rsidP="00C45C87">
            <w:pPr>
              <w:rPr>
                <w:iCs/>
                <w:color w:val="0D0D0D"/>
                <w:lang w:eastAsia="lv-LV"/>
              </w:rPr>
            </w:pPr>
            <w:r w:rsidRPr="00BB6B70">
              <w:rPr>
                <w:iCs/>
                <w:color w:val="0D0D0D"/>
                <w:lang w:eastAsia="lv-LV"/>
              </w:rPr>
              <w:t>Nav attiecināms</w:t>
            </w:r>
          </w:p>
        </w:tc>
      </w:tr>
    </w:tbl>
    <w:p w:rsidR="00482A16" w:rsidRPr="0010273B" w:rsidRDefault="00482A16" w:rsidP="00482A16">
      <w:pPr>
        <w:rPr>
          <w:b/>
          <w:bCs/>
          <w:sz w:val="28"/>
          <w:szCs w:val="28"/>
          <w:highlight w:val="lightGray"/>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729"/>
        <w:gridCol w:w="6102"/>
      </w:tblGrid>
      <w:tr w:rsidR="00482A16" w:rsidRPr="0010273B" w:rsidTr="00C45C87">
        <w:tc>
          <w:tcPr>
            <w:tcW w:w="9287" w:type="dxa"/>
            <w:gridSpan w:val="3"/>
            <w:hideMark/>
          </w:tcPr>
          <w:p w:rsidR="00482A16" w:rsidRPr="0010273B" w:rsidRDefault="00482A16" w:rsidP="00C45C87">
            <w:pPr>
              <w:rPr>
                <w:highlight w:val="lightGray"/>
                <w:lang w:eastAsia="lv-LV"/>
              </w:rPr>
            </w:pPr>
            <w:r w:rsidRPr="0061620B">
              <w:rPr>
                <w:b/>
                <w:bCs/>
                <w:lang w:eastAsia="lv-LV"/>
              </w:rPr>
              <w:t>I. Tiesību akta projekta izstrādes nepieciešamība</w:t>
            </w:r>
          </w:p>
        </w:tc>
      </w:tr>
      <w:tr w:rsidR="00482A16" w:rsidRPr="0010273B" w:rsidTr="00C45C87">
        <w:trPr>
          <w:trHeight w:val="630"/>
        </w:trPr>
        <w:tc>
          <w:tcPr>
            <w:tcW w:w="0" w:type="auto"/>
            <w:hideMark/>
          </w:tcPr>
          <w:p w:rsidR="00482A16" w:rsidRPr="0061620B" w:rsidRDefault="00482A16" w:rsidP="00C45C87">
            <w:pPr>
              <w:rPr>
                <w:lang w:eastAsia="lv-LV"/>
              </w:rPr>
            </w:pPr>
            <w:r w:rsidRPr="0061620B">
              <w:rPr>
                <w:lang w:eastAsia="lv-LV"/>
              </w:rPr>
              <w:t> 1.</w:t>
            </w:r>
          </w:p>
        </w:tc>
        <w:tc>
          <w:tcPr>
            <w:tcW w:w="0" w:type="auto"/>
            <w:hideMark/>
          </w:tcPr>
          <w:p w:rsidR="00482A16" w:rsidRPr="0061620B" w:rsidRDefault="00482A16" w:rsidP="00C45C87">
            <w:pPr>
              <w:rPr>
                <w:lang w:eastAsia="lv-LV"/>
              </w:rPr>
            </w:pPr>
            <w:r w:rsidRPr="0061620B">
              <w:rPr>
                <w:lang w:eastAsia="lv-LV"/>
              </w:rPr>
              <w:t>Pamatojums</w:t>
            </w:r>
          </w:p>
        </w:tc>
        <w:tc>
          <w:tcPr>
            <w:tcW w:w="0" w:type="auto"/>
            <w:shd w:val="clear" w:color="auto" w:fill="auto"/>
            <w:hideMark/>
          </w:tcPr>
          <w:p w:rsidR="00482A16" w:rsidRDefault="00482A16" w:rsidP="00C45C87">
            <w:pPr>
              <w:pStyle w:val="BodyText2"/>
              <w:spacing w:before="80" w:after="80"/>
              <w:rPr>
                <w:sz w:val="24"/>
                <w:szCs w:val="24"/>
              </w:rPr>
            </w:pPr>
            <w:r w:rsidRPr="00891C67">
              <w:rPr>
                <w:sz w:val="24"/>
                <w:szCs w:val="24"/>
              </w:rPr>
              <w:t xml:space="preserve">Likumprojekts izstrādāts, lai saskaņā ar likuma „Par Latvijas Republikas starptautiskajiem līgumiem” 7. un 8. pantu apstiprinātu Pamatnolīgumu </w:t>
            </w:r>
            <w:r w:rsidRPr="003C33C8">
              <w:rPr>
                <w:sz w:val="24"/>
                <w:szCs w:val="24"/>
              </w:rPr>
              <w:t xml:space="preserve">par partnerību un sadarbību </w:t>
            </w:r>
            <w:r w:rsidRPr="00891C67">
              <w:rPr>
                <w:sz w:val="24"/>
                <w:szCs w:val="24"/>
              </w:rPr>
              <w:t xml:space="preserve">starp Eiropas Savienību un tās dalībvalstīm, no vienas puses, un </w:t>
            </w:r>
            <w:r>
              <w:rPr>
                <w:sz w:val="24"/>
                <w:szCs w:val="24"/>
              </w:rPr>
              <w:t>Malaizijas valdību</w:t>
            </w:r>
            <w:r w:rsidRPr="00891C67">
              <w:rPr>
                <w:sz w:val="24"/>
                <w:szCs w:val="24"/>
              </w:rPr>
              <w:t>, no otras puses (turpmāk – Nolīgums).</w:t>
            </w:r>
          </w:p>
          <w:p w:rsidR="00482A16" w:rsidRPr="00891C67" w:rsidRDefault="00482A16" w:rsidP="00C45C87">
            <w:pPr>
              <w:pStyle w:val="BodyText2"/>
              <w:spacing w:before="80" w:after="80"/>
              <w:rPr>
                <w:highlight w:val="lightGray"/>
              </w:rPr>
            </w:pPr>
            <w:r w:rsidRPr="006F01CD">
              <w:rPr>
                <w:sz w:val="24"/>
                <w:szCs w:val="24"/>
              </w:rPr>
              <w:t>Latvijas interesēs ir veicināt ekonomiskās un politiskās attiecības</w:t>
            </w:r>
            <w:r>
              <w:rPr>
                <w:sz w:val="24"/>
                <w:szCs w:val="24"/>
              </w:rPr>
              <w:t>,</w:t>
            </w:r>
            <w:r w:rsidRPr="006F01CD">
              <w:rPr>
                <w:sz w:val="24"/>
                <w:szCs w:val="24"/>
              </w:rPr>
              <w:t xml:space="preserve"> pamatojoties uz Deklarācijas par Māra Kučinska vadītā Ministru kabineta iecerēto darbību sadaļu </w:t>
            </w:r>
            <w:r>
              <w:rPr>
                <w:sz w:val="24"/>
                <w:szCs w:val="24"/>
              </w:rPr>
              <w:t>“</w:t>
            </w:r>
            <w:r w:rsidRPr="006F01CD">
              <w:rPr>
                <w:sz w:val="24"/>
                <w:szCs w:val="24"/>
              </w:rPr>
              <w:t xml:space="preserve">Latvijas starptautiskā integrācija un ārpolitiskā rīcība valsts drošības garantēšanai, ekonomiskās izaugsmes veicināšanai un resursu piesaistei Latvijas tautsaimniecībai”, par valsts konkurētspējas un ilgtspējīgas attīstības sekmēšanu, īstenojot efektīvu un vienotu ārējo ekonomisko politiku, kā arī aizstāvēt ārējās ekonomiskās intereses un aktīvi atbalstīt Latvijas uzņēmumu nostiprināšanos gan tradicionālajās partnervalstīs, gan arī jaunajos eksporta tirgos, </w:t>
            </w:r>
            <w:r w:rsidRPr="006F01CD">
              <w:rPr>
                <w:sz w:val="23"/>
                <w:szCs w:val="23"/>
              </w:rPr>
              <w:t>veidojot ciešākas attiecības ar jaunajiem ekonomiskās izaugsmes līderiem.</w:t>
            </w:r>
          </w:p>
        </w:tc>
      </w:tr>
      <w:tr w:rsidR="00482A16" w:rsidRPr="0010273B" w:rsidTr="00C45C87">
        <w:trPr>
          <w:trHeight w:val="472"/>
        </w:trPr>
        <w:tc>
          <w:tcPr>
            <w:tcW w:w="0" w:type="auto"/>
            <w:hideMark/>
          </w:tcPr>
          <w:p w:rsidR="00482A16" w:rsidRPr="0061620B" w:rsidRDefault="00482A16" w:rsidP="00C45C87">
            <w:pPr>
              <w:rPr>
                <w:lang w:eastAsia="lv-LV"/>
              </w:rPr>
            </w:pPr>
            <w:r w:rsidRPr="0061620B">
              <w:rPr>
                <w:lang w:eastAsia="lv-LV"/>
              </w:rPr>
              <w:t> 2.</w:t>
            </w:r>
          </w:p>
        </w:tc>
        <w:tc>
          <w:tcPr>
            <w:tcW w:w="0" w:type="auto"/>
            <w:hideMark/>
          </w:tcPr>
          <w:p w:rsidR="00482A16" w:rsidRPr="0061620B" w:rsidRDefault="00482A16" w:rsidP="00C45C87">
            <w:pPr>
              <w:rPr>
                <w:lang w:eastAsia="lv-LV"/>
              </w:rPr>
            </w:pPr>
            <w:r w:rsidRPr="0061620B">
              <w:rPr>
                <w:lang w:eastAsia="lv-LV"/>
              </w:rPr>
              <w:t>Pašreizējā situācija un problēmas, kuru risināšanai tiesību akta projekts izstrādāts, tiesiskā regulējuma mērķis un būtība</w:t>
            </w:r>
          </w:p>
        </w:tc>
        <w:tc>
          <w:tcPr>
            <w:tcW w:w="0" w:type="auto"/>
            <w:hideMark/>
          </w:tcPr>
          <w:p w:rsidR="00482A16" w:rsidRDefault="00482A16" w:rsidP="00C45C87">
            <w:pPr>
              <w:jc w:val="both"/>
            </w:pPr>
            <w:r>
              <w:t xml:space="preserve">Eiropas Savienības (turpmāk – ES) un </w:t>
            </w:r>
            <w:r w:rsidRPr="00E06910">
              <w:t xml:space="preserve">Malaizijas sadarbība tiek īstenota 1980.gadā noslēgtā Sadarbības līguma starp Eiropas Ekonomisko kopienu un Dienvidaustrumu Āzijas valstu apvienības (turpmāk tekstā – ASEAN) dalībvalstīm ietvaros. </w:t>
            </w:r>
          </w:p>
          <w:p w:rsidR="00482A16" w:rsidRDefault="00482A16" w:rsidP="00C45C87">
            <w:pPr>
              <w:jc w:val="both"/>
            </w:pPr>
            <w:r>
              <w:t xml:space="preserve">2004.gada novembrī Eiropas Komisija pilnvaroja Eiropas Padomi uzsākt sarunas par </w:t>
            </w:r>
            <w:r w:rsidRPr="00E06910">
              <w:t>ES-Malaizijas pamatnolīguma par visaptverošu partnerību un sadarbību noslēgšanu</w:t>
            </w:r>
            <w:r>
              <w:t xml:space="preserve">. </w:t>
            </w:r>
          </w:p>
          <w:p w:rsidR="00482A16" w:rsidRPr="003B1223" w:rsidRDefault="00482A16" w:rsidP="00C45C87">
            <w:pPr>
              <w:jc w:val="both"/>
            </w:pPr>
            <w:r w:rsidRPr="009B7BDE">
              <w:rPr>
                <w:lang w:val="de-DE"/>
              </w:rPr>
              <w:t>Sarunas tika uzsāktas 2010.gada beigās.</w:t>
            </w:r>
            <w:r>
              <w:rPr>
                <w:lang w:val="de-DE"/>
              </w:rPr>
              <w:t xml:space="preserve"> </w:t>
            </w:r>
            <w:r w:rsidRPr="00E06910">
              <w:t xml:space="preserve">Paralēli </w:t>
            </w:r>
            <w:r>
              <w:t>N</w:t>
            </w:r>
            <w:r w:rsidRPr="00E06910">
              <w:t xml:space="preserve">olīguma sarunām tika uzsāktas sarunas par Brīvās tirdzniecības līguma noslēgšanu starp ES un Malaiziju. Pamatnolīguma noslēgšana ir priekšnoteikums, lai noslēgtu Brīvās </w:t>
            </w:r>
            <w:r w:rsidRPr="00384435">
              <w:t>tirdzniecības līgumu.</w:t>
            </w:r>
          </w:p>
          <w:p w:rsidR="00482A16" w:rsidRDefault="00482A16" w:rsidP="00C45C87">
            <w:pPr>
              <w:jc w:val="both"/>
              <w:rPr>
                <w:noProof/>
              </w:rPr>
            </w:pPr>
            <w:r>
              <w:rPr>
                <w:noProof/>
              </w:rPr>
              <w:t>ES-Malaizijas Pamat</w:t>
            </w:r>
            <w:r w:rsidRPr="00384435">
              <w:rPr>
                <w:noProof/>
              </w:rPr>
              <w:t xml:space="preserve">nolīguma sarunas tika noslēgtas 2015.gada </w:t>
            </w:r>
            <w:r>
              <w:rPr>
                <w:noProof/>
              </w:rPr>
              <w:t>8</w:t>
            </w:r>
            <w:r w:rsidRPr="00384435">
              <w:rPr>
                <w:noProof/>
              </w:rPr>
              <w:t xml:space="preserve">.decembrī pēc sarunu 11.kārtas. Nolīgums tika parafēts 2016.gada 6.aprīlī </w:t>
            </w:r>
            <w:r>
              <w:rPr>
                <w:noProof/>
              </w:rPr>
              <w:t xml:space="preserve">Putradžajā, Malaizijā. </w:t>
            </w:r>
          </w:p>
          <w:p w:rsidR="00482A16" w:rsidRPr="00E02AEF" w:rsidRDefault="00482A16" w:rsidP="00C45C87">
            <w:pPr>
              <w:jc w:val="both"/>
              <w:rPr>
                <w:noProof/>
              </w:rPr>
            </w:pPr>
            <w:r w:rsidRPr="001A1186">
              <w:rPr>
                <w:noProof/>
              </w:rPr>
              <w:t xml:space="preserve">2016. gada 5. augustā Augstā pārstāve ārlietās un Eiropas Komisija iesniedza Padomei kopīgus priekšlikumus Padomes lēmumiem par nolīguma parakstīšanu un noslēgšanu kā nolīgumu starp Eiropas Savienību un </w:t>
            </w:r>
            <w:r w:rsidRPr="001A1186">
              <w:rPr>
                <w:noProof/>
              </w:rPr>
              <w:lastRenderedPageBreak/>
              <w:t>Malaiziju (tikai ES kompetence).</w:t>
            </w:r>
            <w:r>
              <w:rPr>
                <w:noProof/>
              </w:rPr>
              <w:t xml:space="preserve"> Vienojoties par nolīguma būtību dalībvalstis tomēr vienprātīgi uzskatīja, ka nolīgumam jābūt jaukta tipa nolīgumam (ES un dalībvalstu kompetences). </w:t>
            </w:r>
            <w:r w:rsidRPr="00E02AEF">
              <w:rPr>
                <w:noProof/>
              </w:rPr>
              <w:t>Pastāvīgo pārstāvju komiteja oficiāli apstiprināja šo nostāju 2017. gada 17. martā. Vienlaikus tika panākta vienošanās arī ar Malaizijas pusi par nolīguma rakstura maiņu.</w:t>
            </w:r>
          </w:p>
          <w:p w:rsidR="00482A16" w:rsidRDefault="00482A16" w:rsidP="00C45C87">
            <w:pPr>
              <w:jc w:val="both"/>
              <w:rPr>
                <w:noProof/>
              </w:rPr>
            </w:pPr>
            <w:r>
              <w:rPr>
                <w:color w:val="222222"/>
              </w:rPr>
              <w:t>Nolīgums ir pirmais divpusējais nolīgums starp ES un Malaiziju un aizstāj pašreizējo tiesisko regulējumu 1980. gada Sadarbības nolīgumam starp Eiropas Ekonomikas kopienu un Dienvidaustrumāzijas valstu asociācijas dalībvalstīm.</w:t>
            </w:r>
          </w:p>
          <w:p w:rsidR="00482A16" w:rsidRDefault="00482A16" w:rsidP="00C45C87">
            <w:pPr>
              <w:jc w:val="both"/>
              <w:rPr>
                <w:noProof/>
              </w:rPr>
            </w:pPr>
            <w:r>
              <w:rPr>
                <w:color w:val="222222"/>
              </w:rPr>
              <w:t>Nolīgums ietver juridiski saistošas ​​saistības, kas ir ES ārpolitikas pamatā, tostarp cilvēktiesību, neizplatīšanas, pretterorisma, Starptautiskās krimināltiesas, migrācijas un nodokļu jomā.</w:t>
            </w:r>
          </w:p>
          <w:p w:rsidR="00482A16" w:rsidRPr="00EB1E34" w:rsidRDefault="00482A16" w:rsidP="00C45C87">
            <w:pPr>
              <w:jc w:val="both"/>
              <w:rPr>
                <w:noProof/>
              </w:rPr>
            </w:pPr>
            <w:r w:rsidRPr="00594A8D">
              <w:rPr>
                <w:noProof/>
              </w:rPr>
              <w:t>Nol</w:t>
            </w:r>
            <w:r>
              <w:rPr>
                <w:noProof/>
              </w:rPr>
              <w:t>īgums</w:t>
            </w:r>
            <w:r w:rsidRPr="00594A8D">
              <w:rPr>
                <w:noProof/>
              </w:rPr>
              <w:t xml:space="preserve"> ievērojami paplašina sadarbības iespējas ekonomikas un tirdzniecības jomās, kā arī tieslietās un iekšlietās. </w:t>
            </w:r>
            <w:r>
              <w:rPr>
                <w:noProof/>
              </w:rPr>
              <w:t>Tas s</w:t>
            </w:r>
            <w:r w:rsidRPr="00594A8D">
              <w:rPr>
                <w:noProof/>
              </w:rPr>
              <w:t xml:space="preserve">tiprina sadarbību tādās jomās kā cilvēktiesības, masu iznīcināšanas ieroču neizplatīšana, terorisma apkarošana, korupcijas un organizētās noziedzības apkarošana, tirdzniecība, migrācija, vide, enerģētika, klimata pārmaiņas, transports, zinātne un tehnoloģijas, nodarbinātība </w:t>
            </w:r>
            <w:r w:rsidRPr="00EB1E34">
              <w:rPr>
                <w:noProof/>
              </w:rPr>
              <w:t xml:space="preserve">un sociālās lietas, izglītība, lauksaimniecība, kultūra utt. </w:t>
            </w:r>
          </w:p>
          <w:p w:rsidR="00482A16" w:rsidRPr="00EB1E34" w:rsidRDefault="00482A16" w:rsidP="00C45C87">
            <w:pPr>
              <w:jc w:val="both"/>
              <w:rPr>
                <w:noProof/>
                <w:highlight w:val="yellow"/>
              </w:rPr>
            </w:pPr>
            <w:r w:rsidRPr="00EB1E34">
              <w:rPr>
                <w:noProof/>
              </w:rPr>
              <w:t xml:space="preserve">Nolīgums ietver arī noteikumus, kas aizsargā ES finanšu intereses, savukārt nolīguma tirdzniecības sadarbības sadaļa sekmēs sarunu procesā esošā </w:t>
            </w:r>
            <w:r>
              <w:rPr>
                <w:noProof/>
              </w:rPr>
              <w:t xml:space="preserve">ES-Malaizijas </w:t>
            </w:r>
            <w:r w:rsidRPr="00EB1E34">
              <w:rPr>
                <w:noProof/>
              </w:rPr>
              <w:t>brīvās tirdzniecības nolīguma noslēgšanu.</w:t>
            </w:r>
          </w:p>
          <w:p w:rsidR="00482A16" w:rsidRDefault="00482A16" w:rsidP="00C45C87">
            <w:pPr>
              <w:jc w:val="both"/>
              <w:rPr>
                <w:noProof/>
                <w:highlight w:val="lightGray"/>
              </w:rPr>
            </w:pPr>
            <w:r w:rsidRPr="00733C5D">
              <w:rPr>
                <w:rFonts w:eastAsia="Calibri"/>
                <w:noProof/>
                <w:szCs w:val="20"/>
                <w:lang w:eastAsia="en-GB"/>
              </w:rPr>
              <w:t xml:space="preserve">Nolīgums ar </w:t>
            </w:r>
            <w:r>
              <w:rPr>
                <w:rFonts w:eastAsia="Calibri"/>
                <w:noProof/>
                <w:szCs w:val="20"/>
                <w:lang w:eastAsia="en-GB"/>
              </w:rPr>
              <w:t>Malaiziju</w:t>
            </w:r>
            <w:r w:rsidRPr="00733C5D">
              <w:rPr>
                <w:rFonts w:eastAsia="Calibri"/>
                <w:noProof/>
                <w:szCs w:val="20"/>
                <w:lang w:eastAsia="en-GB"/>
              </w:rPr>
              <w:t xml:space="preserve"> ir </w:t>
            </w:r>
            <w:r>
              <w:rPr>
                <w:rFonts w:eastAsia="Calibri"/>
                <w:noProof/>
                <w:szCs w:val="20"/>
                <w:lang w:eastAsia="en-GB"/>
              </w:rPr>
              <w:t>nozīmīgs</w:t>
            </w:r>
            <w:r w:rsidRPr="00733C5D">
              <w:rPr>
                <w:rFonts w:eastAsia="Calibri"/>
                <w:noProof/>
                <w:szCs w:val="20"/>
                <w:lang w:eastAsia="en-GB"/>
              </w:rPr>
              <w:t xml:space="preserve"> solis ceļā uz uzlabotu ES politisko un ekonomisko iesaisti Dienvidaustrumāzijā.</w:t>
            </w:r>
            <w:r>
              <w:rPr>
                <w:rFonts w:eastAsia="Calibri"/>
                <w:noProof/>
                <w:szCs w:val="20"/>
                <w:lang w:eastAsia="en-GB"/>
              </w:rPr>
              <w:t xml:space="preserve"> Tas ir balstīts uz tādām kopīgām vērtībām kā demokrātija un cilvēktiesības un sekmēs politisko, reģionālo un globālo sadarbību starp diviem līdzīgi domājošiem partneriem.</w:t>
            </w:r>
          </w:p>
          <w:p w:rsidR="00482A16" w:rsidRPr="00EB1E34" w:rsidRDefault="00482A16" w:rsidP="00C45C87">
            <w:pPr>
              <w:jc w:val="both"/>
              <w:rPr>
                <w:noProof/>
                <w:highlight w:val="lightGray"/>
              </w:rPr>
            </w:pPr>
            <w:r>
              <w:rPr>
                <w:color w:val="222222"/>
              </w:rPr>
              <w:t>Partnerības un sadarbības nolīguma īstenošana radīs praktiskus ieguvumus abām pusēm, veidojot pamatu plašāku ES politisko un ekonomisko interešu veicināšanai.</w:t>
            </w:r>
          </w:p>
          <w:p w:rsidR="00482A16" w:rsidRPr="003872E8" w:rsidRDefault="00482A16" w:rsidP="00C45C87">
            <w:pPr>
              <w:jc w:val="both"/>
              <w:rPr>
                <w:noProof/>
                <w:highlight w:val="lightGray"/>
              </w:rPr>
            </w:pPr>
            <w:r w:rsidRPr="00733C5D">
              <w:rPr>
                <w:rFonts w:eastAsia="Calibri"/>
                <w:noProof/>
                <w:szCs w:val="20"/>
                <w:lang w:eastAsia="en-GB"/>
              </w:rPr>
              <w:t xml:space="preserve">Nolīgums būs arī pamats Latvijas efektīvākai divpusējai iesaistei ar </w:t>
            </w:r>
            <w:r>
              <w:rPr>
                <w:rFonts w:eastAsia="Calibri"/>
                <w:noProof/>
                <w:szCs w:val="20"/>
                <w:lang w:eastAsia="en-GB"/>
              </w:rPr>
              <w:t>Malaiziju</w:t>
            </w:r>
            <w:r w:rsidRPr="00733C5D">
              <w:rPr>
                <w:rFonts w:eastAsia="Calibri"/>
                <w:noProof/>
                <w:szCs w:val="20"/>
                <w:lang w:eastAsia="en-GB"/>
              </w:rPr>
              <w:t xml:space="preserve">, stiprinot politisko dialogu un uzlabojot sadarbību </w:t>
            </w:r>
            <w:r>
              <w:rPr>
                <w:rFonts w:eastAsia="Calibri"/>
                <w:noProof/>
                <w:szCs w:val="20"/>
                <w:lang w:eastAsia="en-GB"/>
              </w:rPr>
              <w:t>Nolīgumā iekļautajās</w:t>
            </w:r>
            <w:r w:rsidRPr="00733C5D">
              <w:rPr>
                <w:rFonts w:eastAsia="Calibri"/>
                <w:noProof/>
                <w:szCs w:val="20"/>
                <w:lang w:eastAsia="en-GB"/>
              </w:rPr>
              <w:t xml:space="preserve"> jomās.</w:t>
            </w:r>
            <w:r w:rsidRPr="00733C5D">
              <w:rPr>
                <w:rFonts w:eastAsia="Calibri"/>
                <w:noProof/>
                <w:color w:val="000000"/>
                <w:szCs w:val="20"/>
                <w:lang w:eastAsia="en-GB"/>
              </w:rPr>
              <w:t xml:space="preserve"> </w:t>
            </w:r>
          </w:p>
          <w:p w:rsidR="00482A16" w:rsidRDefault="00482A16" w:rsidP="00C45C87">
            <w:pPr>
              <w:jc w:val="both"/>
            </w:pPr>
            <w:r w:rsidRPr="000D57AE">
              <w:rPr>
                <w:rFonts w:eastAsia="Calibri"/>
                <w:noProof/>
                <w:szCs w:val="20"/>
                <w:lang w:eastAsia="en-GB"/>
              </w:rPr>
              <w:t>Nolīgumā tiek izskatīti arī jautājumi saistībā ar tiesisko</w:t>
            </w:r>
            <w:r w:rsidRPr="000D57AE">
              <w:rPr>
                <w:noProof/>
              </w:rPr>
              <w:t xml:space="preserve"> </w:t>
            </w:r>
            <w:r w:rsidRPr="000D57AE">
              <w:rPr>
                <w:rFonts w:eastAsia="Calibri"/>
                <w:noProof/>
                <w:szCs w:val="20"/>
                <w:lang w:eastAsia="en-GB"/>
              </w:rPr>
              <w:t xml:space="preserve">sadarbību, personas datu aizsardzību, migrāciju, nelikumīgi iegūtu līdzekļu legalizēšanas un terorisma finansēšanuas apkarošanu, cīņu pret organizēto noziedzību un korupciju. </w:t>
            </w:r>
            <w:r w:rsidRPr="00D05531">
              <w:t xml:space="preserve">Nolīgums </w:t>
            </w:r>
            <w:r w:rsidRPr="006913B1">
              <w:t>ietver arī vispārīgus principus attiecībā uz tirdzniecības un ieguldījumu jomas sadarbības veicināšanu. Tas ietver arī sadarbību tūrisma veicināšanā</w:t>
            </w:r>
            <w:r>
              <w:t xml:space="preserve">, kultūrā, izglītībā, zinātnē, tehnoloģiju un inovācijas jomā. </w:t>
            </w:r>
          </w:p>
          <w:p w:rsidR="00482A16" w:rsidRPr="00F84749" w:rsidRDefault="00482A16" w:rsidP="00C45C87">
            <w:pPr>
              <w:jc w:val="both"/>
              <w:rPr>
                <w:rFonts w:eastAsia="Calibri"/>
                <w:noProof/>
                <w:szCs w:val="20"/>
                <w:lang w:eastAsia="en-GB" w:bidi="lv-LV"/>
              </w:rPr>
            </w:pPr>
            <w:r>
              <w:rPr>
                <w:color w:val="222222"/>
              </w:rPr>
              <w:t xml:space="preserve">Nolīgums paredz izveidot Apvienoto komiteju, ko viedos Pušu atbilstīgi augsta līmeņa pārstāvji, kuru uzdevumi būs nodrošināt šī nolīguma pareizu darbību un īstenošanu, noteikt prioritātes saistībā ar nolīguma mērķiem, sniegt ieteikumus šā nolīguma mērķu veicināšanai, vajadzības </w:t>
            </w:r>
            <w:r>
              <w:rPr>
                <w:color w:val="222222"/>
              </w:rPr>
              <w:lastRenderedPageBreak/>
              <w:t xml:space="preserve">gadījumā risināt nolīguma </w:t>
            </w:r>
            <w:r w:rsidRPr="00427E92">
              <w:rPr>
                <w:rFonts w:eastAsia="Calibri"/>
                <w:noProof/>
                <w:szCs w:val="20"/>
                <w:lang w:eastAsia="en-GB" w:bidi="lv-LV"/>
              </w:rPr>
              <w:t xml:space="preserve">interpretācijas, īstenošanas vai piemērošanas atšķirības saskaņā ar 53. pantu, pārbaudīt visu informāciju par saistību neizpildi, ko iesniegusi kāda no Pusēm, un apspriesties ar otru Pusi, lai saskaņā ar 53. pantu rastu izlīguma ceļā panāktu un abām Pusēm pieņemamu risinājumu, </w:t>
            </w:r>
            <w:r w:rsidRPr="00F84749">
              <w:rPr>
                <w:rFonts w:eastAsia="Calibri"/>
                <w:noProof/>
                <w:szCs w:val="20"/>
                <w:lang w:eastAsia="en-GB" w:bidi="lv-LV"/>
              </w:rPr>
              <w:t>kā arī pārraudzīt 52. panta 2. punktā minēto konkrēto nolīgumu īstenošanu.</w:t>
            </w:r>
          </w:p>
          <w:p w:rsidR="00482A16" w:rsidRPr="00F84749" w:rsidRDefault="00482A16" w:rsidP="00C45C87">
            <w:pPr>
              <w:jc w:val="both"/>
              <w:rPr>
                <w:rFonts w:eastAsia="Calibri"/>
                <w:noProof/>
                <w:szCs w:val="20"/>
                <w:lang w:eastAsia="en-GB"/>
              </w:rPr>
            </w:pPr>
            <w:r w:rsidRPr="00F84749">
              <w:rPr>
                <w:color w:val="222222"/>
              </w:rPr>
              <w:t xml:space="preserve">Nolīgums paredz, ka </w:t>
            </w:r>
            <w:r w:rsidRPr="00F84749">
              <w:rPr>
                <w:rFonts w:eastAsia="Calibri"/>
                <w:noProof/>
                <w:szCs w:val="20"/>
                <w:lang w:eastAsia="en-GB" w:bidi="lv-LV"/>
              </w:rPr>
              <w:t>Apvienotā komitejas sanāksmes notiks ne retāk kā reizi divos gados, pārmaiņus Malaizijā un Briselē.</w:t>
            </w:r>
          </w:p>
          <w:p w:rsidR="00482A16" w:rsidRPr="00D528FC" w:rsidRDefault="00482A16" w:rsidP="00C45C87">
            <w:pPr>
              <w:jc w:val="both"/>
              <w:rPr>
                <w:rFonts w:eastAsia="Calibri"/>
                <w:noProof/>
                <w:szCs w:val="20"/>
                <w:lang w:eastAsia="en-GB"/>
              </w:rPr>
            </w:pPr>
            <w:r w:rsidRPr="00F84749">
              <w:rPr>
                <w:rFonts w:eastAsia="Calibri"/>
                <w:noProof/>
                <w:szCs w:val="20"/>
                <w:lang w:eastAsia="en-GB"/>
              </w:rPr>
              <w:t xml:space="preserve">Saskaņā ar nolīguma 58.pantu nolīgums stājas spēkā </w:t>
            </w:r>
            <w:r w:rsidRPr="00F84749">
              <w:rPr>
                <w:rFonts w:eastAsia="Calibri"/>
                <w:noProof/>
                <w:szCs w:val="20"/>
                <w:lang w:eastAsia="en-GB" w:bidi="lv-LV"/>
              </w:rPr>
              <w:t xml:space="preserve">spēkā otrā mēneša pirmajā dienā pēc dienas, kad pēdējā no Pusēm paziņo otrai Pusei par šim mērķim vajadzīgo juridisko procedūru pabeigšanu. Nolīgums ir spēkā piecus gadus. Tas tiks automātiski pagarināts uz turpmākiem viena gada termiņiem, ja vien kāda no Pusēm sešus mēnešus pirms nākamā viena gada termiņa rakstiski nepaziņo otrai Pusei par savu nodomu nepagarināt šo nolīgumu. Nolīgumu var izbeigt viena Puse ar rakstisku paziņojumu, kas iesniegts otrai Pusei. Izbeigšana stājas spēkā sešus mēnešus pēc tam, kad </w:t>
            </w:r>
            <w:r w:rsidRPr="00D528FC">
              <w:rPr>
                <w:rFonts w:eastAsia="Calibri"/>
                <w:noProof/>
                <w:szCs w:val="20"/>
                <w:lang w:eastAsia="en-GB" w:bidi="lv-LV"/>
              </w:rPr>
              <w:t>otra Puse ir saņēmusi paziņojumu.</w:t>
            </w:r>
          </w:p>
          <w:p w:rsidR="00482A16" w:rsidRPr="00D528FC" w:rsidRDefault="00482A16" w:rsidP="00C45C87">
            <w:pPr>
              <w:jc w:val="both"/>
              <w:rPr>
                <w:lang w:eastAsia="lv-LV"/>
              </w:rPr>
            </w:pPr>
            <w:r w:rsidRPr="00D528FC">
              <w:rPr>
                <w:lang w:eastAsia="lv-LV"/>
              </w:rPr>
              <w:t>Ņemot vērā, ka Nolīgums ir jauktais starptautiskais nolīgums, kurš satur gan ES, gan dalībvalstu kompetencē esošos jautājumus, ir nepieciešama šī Nolīguma apstiprināšana visās dalībvalstīs, kā arī Padomē.</w:t>
            </w:r>
          </w:p>
          <w:p w:rsidR="00482A16" w:rsidRPr="00EF24E2" w:rsidRDefault="00482A16" w:rsidP="00C45C87">
            <w:pPr>
              <w:jc w:val="both"/>
            </w:pPr>
            <w:r w:rsidRPr="00EF24E2">
              <w:t xml:space="preserve">Nolīgums tiks parakstīts visās ES dalībvalstu valodās un būs vienlīdz autentisks visās šajās valodās. </w:t>
            </w:r>
          </w:p>
          <w:p w:rsidR="00482A16" w:rsidRPr="00EF24E2" w:rsidRDefault="00482A16" w:rsidP="00C45C87">
            <w:pPr>
              <w:jc w:val="both"/>
              <w:rPr>
                <w:lang w:eastAsia="lv-LV"/>
              </w:rPr>
            </w:pPr>
            <w:r w:rsidRPr="00EF24E2">
              <w:rPr>
                <w:lang w:eastAsia="lv-LV"/>
              </w:rPr>
              <w:t>Līguma parakstīšana un vēlāk noslēgšana no ES puses notiks pamatojoties uz attiecīgajiem Padomes lēmumiem.</w:t>
            </w:r>
          </w:p>
          <w:p w:rsidR="00482A16" w:rsidRPr="0010273B" w:rsidRDefault="00482A16" w:rsidP="00C45C87">
            <w:pPr>
              <w:jc w:val="both"/>
              <w:rPr>
                <w:rFonts w:eastAsia="Calibri"/>
                <w:highlight w:val="lightGray"/>
              </w:rPr>
            </w:pPr>
            <w:r w:rsidRPr="00EF24E2">
              <w:t>Nolīguma parakstīšanas ceremonija plānota 2018. gada oktobrī Āzijas-Eiropas (ASEM) samita laikā Briselē, Beļģijā. Lai sekmētu parakstīšanas procesu, Padome aicina dalībvalstis parakstīt Nolīgumu vēl pirms parakstīšanas ceremonijas. No Latvijas puses Nolīgumu ir pilnvarota parakstīt Latvijas Ārkārtējā un pilnvarotā vēstniece ES Sanita Pavļuta-Deslandes.</w:t>
            </w:r>
          </w:p>
        </w:tc>
      </w:tr>
      <w:tr w:rsidR="00482A16" w:rsidRPr="0010273B" w:rsidTr="00C45C87">
        <w:trPr>
          <w:trHeight w:val="289"/>
        </w:trPr>
        <w:tc>
          <w:tcPr>
            <w:tcW w:w="0" w:type="auto"/>
            <w:hideMark/>
          </w:tcPr>
          <w:p w:rsidR="00482A16" w:rsidRPr="0061620B" w:rsidRDefault="00482A16" w:rsidP="00C45C87">
            <w:pPr>
              <w:rPr>
                <w:lang w:eastAsia="lv-LV"/>
              </w:rPr>
            </w:pPr>
            <w:r w:rsidRPr="0061620B">
              <w:rPr>
                <w:lang w:eastAsia="lv-LV"/>
              </w:rPr>
              <w:lastRenderedPageBreak/>
              <w:t> 3.</w:t>
            </w:r>
          </w:p>
        </w:tc>
        <w:tc>
          <w:tcPr>
            <w:tcW w:w="0" w:type="auto"/>
            <w:hideMark/>
          </w:tcPr>
          <w:p w:rsidR="00482A16" w:rsidRPr="0061620B" w:rsidRDefault="00482A16" w:rsidP="00C45C87">
            <w:pPr>
              <w:rPr>
                <w:lang w:eastAsia="lv-LV"/>
              </w:rPr>
            </w:pPr>
            <w:r w:rsidRPr="0061620B">
              <w:rPr>
                <w:lang w:eastAsia="lv-LV"/>
              </w:rPr>
              <w:t>Projekta izstrādē iesaistītās institūcijas</w:t>
            </w:r>
          </w:p>
        </w:tc>
        <w:tc>
          <w:tcPr>
            <w:tcW w:w="0" w:type="auto"/>
            <w:hideMark/>
          </w:tcPr>
          <w:p w:rsidR="00482A16" w:rsidRPr="0010273B" w:rsidRDefault="00482A16" w:rsidP="00C45C87">
            <w:pPr>
              <w:spacing w:before="120" w:after="120"/>
              <w:jc w:val="both"/>
              <w:rPr>
                <w:highlight w:val="lightGray"/>
                <w:lang w:eastAsia="lv-LV"/>
              </w:rPr>
            </w:pPr>
            <w:r w:rsidRPr="00F464B5">
              <w:t xml:space="preserve">Ārlietu ministrija </w:t>
            </w:r>
          </w:p>
        </w:tc>
      </w:tr>
      <w:tr w:rsidR="00482A16" w:rsidRPr="0010273B" w:rsidTr="00C45C87">
        <w:tc>
          <w:tcPr>
            <w:tcW w:w="0" w:type="auto"/>
            <w:hideMark/>
          </w:tcPr>
          <w:p w:rsidR="00482A16" w:rsidRPr="0061620B" w:rsidRDefault="00482A16" w:rsidP="00C45C87">
            <w:pPr>
              <w:rPr>
                <w:lang w:eastAsia="lv-LV"/>
              </w:rPr>
            </w:pPr>
            <w:r w:rsidRPr="0061620B">
              <w:rPr>
                <w:lang w:eastAsia="lv-LV"/>
              </w:rPr>
              <w:t> 4.</w:t>
            </w:r>
          </w:p>
        </w:tc>
        <w:tc>
          <w:tcPr>
            <w:tcW w:w="0" w:type="auto"/>
            <w:hideMark/>
          </w:tcPr>
          <w:p w:rsidR="00482A16" w:rsidRPr="0061620B" w:rsidRDefault="00482A16" w:rsidP="00C45C87">
            <w:pPr>
              <w:rPr>
                <w:lang w:eastAsia="lv-LV"/>
              </w:rPr>
            </w:pPr>
            <w:r w:rsidRPr="0061620B">
              <w:rPr>
                <w:lang w:eastAsia="lv-LV"/>
              </w:rPr>
              <w:t>Cita informācija</w:t>
            </w:r>
          </w:p>
        </w:tc>
        <w:tc>
          <w:tcPr>
            <w:tcW w:w="0" w:type="auto"/>
            <w:hideMark/>
          </w:tcPr>
          <w:p w:rsidR="00482A16" w:rsidRPr="0010273B" w:rsidRDefault="00482A16" w:rsidP="00C45C87">
            <w:pPr>
              <w:spacing w:before="120" w:after="120"/>
              <w:jc w:val="both"/>
              <w:rPr>
                <w:highlight w:val="lightGray"/>
                <w:lang w:eastAsia="lv-LV"/>
              </w:rPr>
            </w:pPr>
            <w:r w:rsidRPr="00705C8C">
              <w:t>Nav</w:t>
            </w:r>
          </w:p>
        </w:tc>
      </w:tr>
    </w:tbl>
    <w:p w:rsidR="00482A16" w:rsidRPr="0010273B" w:rsidRDefault="00482A16" w:rsidP="00482A16">
      <w:pPr>
        <w:rPr>
          <w:highlight w:val="lightGra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864"/>
        <w:gridCol w:w="5967"/>
      </w:tblGrid>
      <w:tr w:rsidR="00482A16" w:rsidRPr="0010273B" w:rsidTr="00C45C87">
        <w:tc>
          <w:tcPr>
            <w:tcW w:w="0" w:type="auto"/>
            <w:gridSpan w:val="3"/>
            <w:hideMark/>
          </w:tcPr>
          <w:p w:rsidR="00482A16" w:rsidRPr="00705C8C" w:rsidRDefault="00482A16" w:rsidP="00C45C87">
            <w:pPr>
              <w:rPr>
                <w:b/>
                <w:lang w:eastAsia="lv-LV"/>
              </w:rPr>
            </w:pPr>
            <w:r w:rsidRPr="00705C8C">
              <w:rPr>
                <w:lang w:eastAsia="lv-LV"/>
              </w:rPr>
              <w:t> </w:t>
            </w:r>
            <w:r w:rsidRPr="00705C8C">
              <w:rPr>
                <w:b/>
                <w:lang w:eastAsia="lv-LV"/>
              </w:rPr>
              <w:t xml:space="preserve">II. Tiesību akta projekta ietekme uz sabiedrību, </w:t>
            </w:r>
            <w:r w:rsidRPr="00705C8C">
              <w:rPr>
                <w:b/>
                <w:bCs/>
                <w:lang w:eastAsia="lv-LV"/>
              </w:rPr>
              <w:t>tautsaimniecības attīstību un administratīvo slogu</w:t>
            </w:r>
          </w:p>
        </w:tc>
      </w:tr>
      <w:tr w:rsidR="00482A16" w:rsidRPr="0010273B" w:rsidTr="00C45C87">
        <w:trPr>
          <w:trHeight w:val="467"/>
        </w:trPr>
        <w:tc>
          <w:tcPr>
            <w:tcW w:w="0" w:type="auto"/>
            <w:hideMark/>
          </w:tcPr>
          <w:p w:rsidR="00482A16" w:rsidRPr="00705C8C" w:rsidRDefault="00482A16" w:rsidP="00C45C87">
            <w:pPr>
              <w:rPr>
                <w:lang w:eastAsia="lv-LV"/>
              </w:rPr>
            </w:pPr>
            <w:r w:rsidRPr="00705C8C">
              <w:rPr>
                <w:lang w:eastAsia="lv-LV"/>
              </w:rPr>
              <w:t> 1.</w:t>
            </w:r>
          </w:p>
        </w:tc>
        <w:tc>
          <w:tcPr>
            <w:tcW w:w="2771" w:type="dxa"/>
            <w:hideMark/>
          </w:tcPr>
          <w:p w:rsidR="00482A16" w:rsidRPr="00705C8C" w:rsidRDefault="00482A16" w:rsidP="00C45C87">
            <w:pPr>
              <w:rPr>
                <w:lang w:eastAsia="lv-LV"/>
              </w:rPr>
            </w:pPr>
            <w:r w:rsidRPr="00705C8C">
              <w:t>Sabiedrības mērķgrupas, kuras tiesiskais regulējums ietekmē vai varētu ietekmēt</w:t>
            </w:r>
          </w:p>
        </w:tc>
        <w:tc>
          <w:tcPr>
            <w:tcW w:w="6060" w:type="dxa"/>
            <w:hideMark/>
          </w:tcPr>
          <w:p w:rsidR="00482A16" w:rsidRPr="00705C8C" w:rsidRDefault="00482A16" w:rsidP="00C45C87">
            <w:pPr>
              <w:spacing w:before="120" w:after="120"/>
              <w:jc w:val="both"/>
              <w:rPr>
                <w:lang w:eastAsia="lv-LV"/>
              </w:rPr>
            </w:pPr>
            <w:r w:rsidRPr="00705C8C">
              <w:rPr>
                <w:lang w:eastAsia="lv-LV"/>
              </w:rPr>
              <w:t xml:space="preserve">Nolīgums veidos jaunu un visaptverošu līgumtiesisko pamatu ES attiecībām ar </w:t>
            </w:r>
            <w:r>
              <w:rPr>
                <w:lang w:eastAsia="lv-LV"/>
              </w:rPr>
              <w:t>Malaiziju</w:t>
            </w:r>
            <w:r w:rsidRPr="00705C8C">
              <w:rPr>
                <w:lang w:eastAsia="lv-LV"/>
              </w:rPr>
              <w:t xml:space="preserve">, sniedzot iespēju attīstīt sadarbību starp Latviju un </w:t>
            </w:r>
            <w:r>
              <w:rPr>
                <w:lang w:eastAsia="lv-LV"/>
              </w:rPr>
              <w:t>Malaiziju</w:t>
            </w:r>
            <w:r w:rsidRPr="00705C8C">
              <w:rPr>
                <w:lang w:eastAsia="lv-LV"/>
              </w:rPr>
              <w:t xml:space="preserve"> nolīguma ietvertajās nozarēs. Nolīgums nodrošinās pamatu efektīvākai ES un tās dalībvalstu sadarbībai ar </w:t>
            </w:r>
            <w:r>
              <w:rPr>
                <w:lang w:eastAsia="lv-LV"/>
              </w:rPr>
              <w:t>Malaiziju</w:t>
            </w:r>
            <w:r w:rsidRPr="00705C8C">
              <w:rPr>
                <w:lang w:eastAsia="lv-LV"/>
              </w:rPr>
              <w:t xml:space="preserve"> politiskā dialoga, </w:t>
            </w:r>
            <w:r w:rsidRPr="00ED2EF5">
              <w:rPr>
                <w:lang w:eastAsia="lv-LV"/>
              </w:rPr>
              <w:t>cilvēktiesību, dzimumu līdztiesības, attīstības sadarbības, tirdzniecības un ieguldījumu, migrācijas un reģionālās sadarbības jomās.</w:t>
            </w:r>
          </w:p>
        </w:tc>
      </w:tr>
      <w:tr w:rsidR="00482A16" w:rsidRPr="0010273B" w:rsidTr="00C45C87">
        <w:trPr>
          <w:trHeight w:val="467"/>
        </w:trPr>
        <w:tc>
          <w:tcPr>
            <w:tcW w:w="0" w:type="auto"/>
          </w:tcPr>
          <w:p w:rsidR="00482A16" w:rsidRPr="00DD0C52" w:rsidRDefault="00482A16" w:rsidP="00C45C87">
            <w:pPr>
              <w:rPr>
                <w:lang w:eastAsia="lv-LV"/>
              </w:rPr>
            </w:pPr>
            <w:r w:rsidRPr="00DD0C52">
              <w:rPr>
                <w:lang w:eastAsia="lv-LV"/>
              </w:rPr>
              <w:lastRenderedPageBreak/>
              <w:t>2.</w:t>
            </w:r>
          </w:p>
        </w:tc>
        <w:tc>
          <w:tcPr>
            <w:tcW w:w="2771" w:type="dxa"/>
          </w:tcPr>
          <w:p w:rsidR="00482A16" w:rsidRPr="00DD0C52" w:rsidRDefault="00482A16" w:rsidP="00C45C87">
            <w:r w:rsidRPr="00DD0C52">
              <w:t>Tiesiskā regulējuma ietekme uz tautsaimniecību un administratīvo slogu</w:t>
            </w:r>
          </w:p>
        </w:tc>
        <w:tc>
          <w:tcPr>
            <w:tcW w:w="6060" w:type="dxa"/>
          </w:tcPr>
          <w:p w:rsidR="00482A16" w:rsidRPr="00DD0C52" w:rsidRDefault="00482A16" w:rsidP="00C45C87">
            <w:pPr>
              <w:spacing w:before="120" w:after="120"/>
              <w:jc w:val="both"/>
              <w:rPr>
                <w:lang w:eastAsia="lv-LV"/>
              </w:rPr>
            </w:pPr>
            <w:r w:rsidRPr="00DD0C52">
              <w:rPr>
                <w:lang w:eastAsia="lv-LV"/>
              </w:rPr>
              <w:t xml:space="preserve">Nolīgums neradīs papildus administratīvo slogu un tiks īstenots no esošajiem administratīvajiem resursiem. Nolīgums pozitīvi ietekmēs Latvijas un </w:t>
            </w:r>
            <w:r>
              <w:rPr>
                <w:lang w:eastAsia="lv-LV"/>
              </w:rPr>
              <w:t>Malaizijas</w:t>
            </w:r>
            <w:r w:rsidRPr="00DD0C52">
              <w:rPr>
                <w:lang w:eastAsia="lv-LV"/>
              </w:rPr>
              <w:t xml:space="preserve"> divpusējās attiecības, kā arī paplašinās sadarbību Latvijas tautsaimniecības attīstībai perspektīvās jomās, piemēram, politiskā dialoga, attīstības sadarbības, tirdzniecības un transporta jomās.</w:t>
            </w:r>
          </w:p>
        </w:tc>
      </w:tr>
      <w:tr w:rsidR="00482A16" w:rsidRPr="0010273B" w:rsidTr="00C45C87">
        <w:trPr>
          <w:trHeight w:val="531"/>
        </w:trPr>
        <w:tc>
          <w:tcPr>
            <w:tcW w:w="0" w:type="auto"/>
            <w:hideMark/>
          </w:tcPr>
          <w:p w:rsidR="00482A16" w:rsidRPr="00DD0C52" w:rsidRDefault="00482A16" w:rsidP="00C45C87">
            <w:pPr>
              <w:rPr>
                <w:lang w:eastAsia="lv-LV"/>
              </w:rPr>
            </w:pPr>
            <w:r w:rsidRPr="00DD0C52">
              <w:rPr>
                <w:lang w:eastAsia="lv-LV"/>
              </w:rPr>
              <w:t> 3.</w:t>
            </w:r>
          </w:p>
        </w:tc>
        <w:tc>
          <w:tcPr>
            <w:tcW w:w="2771" w:type="dxa"/>
          </w:tcPr>
          <w:p w:rsidR="00482A16" w:rsidRPr="00DD0C52" w:rsidRDefault="00482A16" w:rsidP="00C45C87">
            <w:pPr>
              <w:rPr>
                <w:lang w:eastAsia="lv-LV"/>
              </w:rPr>
            </w:pPr>
            <w:r w:rsidRPr="00DD0C52">
              <w:rPr>
                <w:lang w:eastAsia="lv-LV"/>
              </w:rPr>
              <w:t>Administratīvo izmaksu monetārs novērtējums</w:t>
            </w:r>
          </w:p>
        </w:tc>
        <w:tc>
          <w:tcPr>
            <w:tcW w:w="6060" w:type="dxa"/>
            <w:hideMark/>
          </w:tcPr>
          <w:p w:rsidR="00482A16" w:rsidRPr="00DD0C52" w:rsidRDefault="00482A16" w:rsidP="00C45C87">
            <w:pPr>
              <w:spacing w:before="120" w:after="120"/>
              <w:rPr>
                <w:lang w:eastAsia="lv-LV"/>
              </w:rPr>
            </w:pPr>
            <w:r w:rsidRPr="00DD0C52">
              <w:rPr>
                <w:lang w:eastAsia="lv-LV"/>
              </w:rPr>
              <w:t>Nav attiecināms</w:t>
            </w:r>
          </w:p>
        </w:tc>
      </w:tr>
      <w:tr w:rsidR="00482A16" w:rsidRPr="0010273B" w:rsidTr="00C45C87">
        <w:trPr>
          <w:trHeight w:val="70"/>
        </w:trPr>
        <w:tc>
          <w:tcPr>
            <w:tcW w:w="0" w:type="auto"/>
            <w:hideMark/>
          </w:tcPr>
          <w:p w:rsidR="00482A16" w:rsidRPr="00DD0C52" w:rsidRDefault="00482A16" w:rsidP="00C45C87">
            <w:pPr>
              <w:jc w:val="both"/>
              <w:rPr>
                <w:lang w:eastAsia="lv-LV"/>
              </w:rPr>
            </w:pPr>
            <w:r w:rsidRPr="00DD0C52">
              <w:rPr>
                <w:lang w:eastAsia="lv-LV"/>
              </w:rPr>
              <w:t> 4.</w:t>
            </w:r>
          </w:p>
        </w:tc>
        <w:tc>
          <w:tcPr>
            <w:tcW w:w="2771" w:type="dxa"/>
            <w:hideMark/>
          </w:tcPr>
          <w:p w:rsidR="00482A16" w:rsidRPr="00DD0C52" w:rsidRDefault="00482A16" w:rsidP="00C45C87">
            <w:pPr>
              <w:jc w:val="both"/>
              <w:rPr>
                <w:lang w:eastAsia="lv-LV"/>
              </w:rPr>
            </w:pPr>
            <w:r w:rsidRPr="00DD0C52">
              <w:rPr>
                <w:lang w:eastAsia="lv-LV"/>
              </w:rPr>
              <w:t> Cita informācija</w:t>
            </w:r>
          </w:p>
        </w:tc>
        <w:tc>
          <w:tcPr>
            <w:tcW w:w="6060" w:type="dxa"/>
            <w:hideMark/>
          </w:tcPr>
          <w:p w:rsidR="00482A16" w:rsidRPr="00DD0C52" w:rsidRDefault="00482A16" w:rsidP="00C45C87">
            <w:pPr>
              <w:spacing w:before="120" w:after="120"/>
              <w:jc w:val="both"/>
              <w:rPr>
                <w:lang w:eastAsia="lv-LV"/>
              </w:rPr>
            </w:pPr>
            <w:r w:rsidRPr="00DD0C52">
              <w:rPr>
                <w:bCs/>
              </w:rPr>
              <w:t>Nav</w:t>
            </w:r>
          </w:p>
        </w:tc>
      </w:tr>
    </w:tbl>
    <w:p w:rsidR="00482A16" w:rsidRPr="0010273B" w:rsidRDefault="00482A16" w:rsidP="00482A16">
      <w:pPr>
        <w:jc w:val="both"/>
        <w:rPr>
          <w:i/>
          <w:highlight w:val="lightGray"/>
        </w:rPr>
      </w:pP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4"/>
      </w:tblGrid>
      <w:tr w:rsidR="00482A16" w:rsidRPr="003C4B54" w:rsidTr="00C45C87">
        <w:tc>
          <w:tcPr>
            <w:tcW w:w="5000" w:type="pct"/>
            <w:shd w:val="clear" w:color="auto" w:fill="auto"/>
            <w:hideMark/>
          </w:tcPr>
          <w:p w:rsidR="00482A16" w:rsidRPr="003C4B54" w:rsidRDefault="00482A16" w:rsidP="00C45C87">
            <w:pPr>
              <w:rPr>
                <w:b/>
                <w:bCs/>
                <w:iCs/>
                <w:color w:val="0D0D0D"/>
                <w:lang w:eastAsia="lv-LV"/>
              </w:rPr>
            </w:pPr>
            <w:r w:rsidRPr="003C4B54">
              <w:rPr>
                <w:b/>
                <w:bCs/>
                <w:iCs/>
                <w:color w:val="0D0D0D"/>
                <w:lang w:eastAsia="lv-LV"/>
              </w:rPr>
              <w:t>III. Tiesību akta projekta ietekme uz valsts budžetu un pašvaldību budžetiem</w:t>
            </w:r>
          </w:p>
        </w:tc>
      </w:tr>
      <w:tr w:rsidR="00482A16" w:rsidRPr="003C4B54" w:rsidTr="00C45C87">
        <w:trPr>
          <w:trHeight w:val="305"/>
        </w:trPr>
        <w:tc>
          <w:tcPr>
            <w:tcW w:w="5000" w:type="pct"/>
            <w:shd w:val="clear" w:color="auto" w:fill="auto"/>
          </w:tcPr>
          <w:p w:rsidR="00482A16" w:rsidRPr="003C4B54" w:rsidRDefault="00482A16" w:rsidP="00C45C87">
            <w:pPr>
              <w:jc w:val="center"/>
              <w:rPr>
                <w:iCs/>
                <w:color w:val="0D0D0D"/>
                <w:lang w:eastAsia="lv-LV"/>
              </w:rPr>
            </w:pPr>
            <w:r w:rsidRPr="003C4B54">
              <w:rPr>
                <w:iCs/>
                <w:color w:val="0D0D0D"/>
                <w:lang w:eastAsia="lv-LV"/>
              </w:rPr>
              <w:t>Projekts šo jomu neskar</w:t>
            </w:r>
          </w:p>
        </w:tc>
      </w:tr>
    </w:tbl>
    <w:p w:rsidR="00482A16" w:rsidRPr="00C60311" w:rsidRDefault="00482A16" w:rsidP="00482A16">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82A16" w:rsidRPr="003C4B54" w:rsidTr="00C45C87">
        <w:tc>
          <w:tcPr>
            <w:tcW w:w="0" w:type="auto"/>
            <w:shd w:val="clear" w:color="auto" w:fill="auto"/>
            <w:hideMark/>
          </w:tcPr>
          <w:p w:rsidR="00482A16" w:rsidRPr="003C4B54" w:rsidRDefault="00482A16" w:rsidP="00C45C87">
            <w:pPr>
              <w:rPr>
                <w:b/>
                <w:bCs/>
                <w:iCs/>
                <w:color w:val="0D0D0D"/>
                <w:lang w:eastAsia="lv-LV"/>
              </w:rPr>
            </w:pPr>
            <w:r w:rsidRPr="003C4B54">
              <w:rPr>
                <w:b/>
                <w:bCs/>
                <w:iCs/>
                <w:color w:val="0D0D0D"/>
                <w:lang w:eastAsia="lv-LV"/>
              </w:rPr>
              <w:t>IV. Tiesību akta projekta ietekme uz spēkā esošo tiesību normu sistēmu</w:t>
            </w:r>
          </w:p>
        </w:tc>
      </w:tr>
      <w:tr w:rsidR="00482A16" w:rsidRPr="003C4B54" w:rsidTr="00C45C87">
        <w:tc>
          <w:tcPr>
            <w:tcW w:w="5000" w:type="pct"/>
            <w:shd w:val="clear" w:color="auto" w:fill="auto"/>
            <w:hideMark/>
          </w:tcPr>
          <w:p w:rsidR="00482A16" w:rsidRPr="003C4B54" w:rsidRDefault="00482A16" w:rsidP="00C45C87">
            <w:pPr>
              <w:jc w:val="center"/>
              <w:rPr>
                <w:iCs/>
                <w:color w:val="0D0D0D"/>
                <w:lang w:eastAsia="lv-LV"/>
              </w:rPr>
            </w:pPr>
            <w:r>
              <w:rPr>
                <w:iCs/>
                <w:color w:val="0D0D0D"/>
                <w:lang w:eastAsia="lv-LV"/>
              </w:rPr>
              <w:t>Projekts šo jomu neskar</w:t>
            </w:r>
          </w:p>
        </w:tc>
      </w:tr>
    </w:tbl>
    <w:p w:rsidR="00482A16" w:rsidRPr="0010273B" w:rsidRDefault="00482A16" w:rsidP="00482A16">
      <w:pPr>
        <w:jc w:val="both"/>
        <w:rPr>
          <w:highlight w:val="lightGray"/>
        </w:rPr>
      </w:pPr>
    </w:p>
    <w:tbl>
      <w:tblPr>
        <w:tblW w:w="932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835"/>
        <w:gridCol w:w="5953"/>
      </w:tblGrid>
      <w:tr w:rsidR="00482A16" w:rsidRPr="0010273B" w:rsidTr="00C45C87">
        <w:tc>
          <w:tcPr>
            <w:tcW w:w="9323" w:type="dxa"/>
            <w:gridSpan w:val="3"/>
            <w:hideMark/>
          </w:tcPr>
          <w:p w:rsidR="00482A16" w:rsidRPr="00693516" w:rsidRDefault="00482A16" w:rsidP="00C45C87">
            <w:pPr>
              <w:jc w:val="both"/>
              <w:rPr>
                <w:b/>
                <w:lang w:eastAsia="lv-LV"/>
              </w:rPr>
            </w:pPr>
            <w:r w:rsidRPr="00693516">
              <w:rPr>
                <w:lang w:eastAsia="lv-LV"/>
              </w:rPr>
              <w:t> </w:t>
            </w:r>
            <w:r w:rsidRPr="00693516">
              <w:rPr>
                <w:b/>
                <w:lang w:eastAsia="lv-LV"/>
              </w:rPr>
              <w:t>V. Tiesību akta projekta atbilstība Latvijas Republikas starptautiskajām saistībām</w:t>
            </w:r>
          </w:p>
        </w:tc>
      </w:tr>
      <w:tr w:rsidR="00482A16" w:rsidRPr="0010273B" w:rsidTr="00C45C87">
        <w:tc>
          <w:tcPr>
            <w:tcW w:w="535" w:type="dxa"/>
            <w:tcBorders>
              <w:right w:val="single" w:sz="4" w:space="0" w:color="auto"/>
            </w:tcBorders>
          </w:tcPr>
          <w:p w:rsidR="00482A16" w:rsidRPr="0010273B" w:rsidRDefault="00482A16" w:rsidP="00C45C87">
            <w:pPr>
              <w:jc w:val="both"/>
              <w:rPr>
                <w:highlight w:val="lightGray"/>
                <w:lang w:eastAsia="lv-LV"/>
              </w:rPr>
            </w:pPr>
            <w:r w:rsidRPr="00C60311">
              <w:rPr>
                <w:lang w:eastAsia="lv-LV"/>
              </w:rPr>
              <w:t>1.</w:t>
            </w:r>
          </w:p>
        </w:tc>
        <w:tc>
          <w:tcPr>
            <w:tcW w:w="2835" w:type="dxa"/>
            <w:tcBorders>
              <w:left w:val="single" w:sz="4" w:space="0" w:color="auto"/>
              <w:right w:val="single" w:sz="4" w:space="0" w:color="auto"/>
            </w:tcBorders>
          </w:tcPr>
          <w:p w:rsidR="00482A16" w:rsidRPr="003B1223" w:rsidRDefault="00482A16" w:rsidP="00C45C87">
            <w:pPr>
              <w:jc w:val="both"/>
              <w:rPr>
                <w:highlight w:val="yellow"/>
                <w:lang w:eastAsia="lv-LV"/>
              </w:rPr>
            </w:pPr>
            <w:r w:rsidRPr="00C60311">
              <w:rPr>
                <w:lang w:eastAsia="lv-LV"/>
              </w:rPr>
              <w:t>Saistības pret Eiropas Savienību</w:t>
            </w:r>
          </w:p>
        </w:tc>
        <w:tc>
          <w:tcPr>
            <w:tcW w:w="5953" w:type="dxa"/>
            <w:tcBorders>
              <w:left w:val="single" w:sz="4" w:space="0" w:color="auto"/>
            </w:tcBorders>
          </w:tcPr>
          <w:p w:rsidR="00482A16" w:rsidRPr="003B1223" w:rsidRDefault="00482A16" w:rsidP="00C45C87">
            <w:pPr>
              <w:jc w:val="both"/>
              <w:rPr>
                <w:bCs/>
                <w:highlight w:val="yellow"/>
              </w:rPr>
            </w:pPr>
            <w:r w:rsidRPr="00C60311">
              <w:rPr>
                <w:bCs/>
              </w:rPr>
              <w:t xml:space="preserve">Likumprojekts atbilst Latvijas saistībām ES.  </w:t>
            </w:r>
            <w:r w:rsidRPr="00C60311">
              <w:t xml:space="preserve">Tā kā Nolīguma noteikumi attiecas uz kopējo ārpolitiku un drošības politiku, bet daži citi elementi attiecas uz tirdzniecības politikas darbības jomu, kā arī Eiropas Savienības attīstības sadarbības politiku, tad </w:t>
            </w:r>
            <w:r w:rsidRPr="00C60311">
              <w:rPr>
                <w:bCs/>
              </w:rPr>
              <w:t>Nolīgums tiek noslēgts saskaņā ar Līguma par Eiropas Savienību 37. pantu, kas nosaka, ka Savienība var noslēgt nolīgumus ar vienu vai vairākām dalībvalstīm vai starptautiskām organizācijām un Līgumu par Eiropas Savienības darbību (turpmāk – LESD) un konkrēti tā 207.un 209. pantu, tāpat saistībā ar 218.panta 5.punktu, kas nosaka, ka pēc sarunu vadītāja priekšlikuma Padome pieņem lēmumu, ar kuru atļauj parakstīt nolīgumu un vajadzības gadījumā – to provizoriski piemērot līdz brīdim, kad tas stājas spēkā</w:t>
            </w:r>
            <w:r>
              <w:rPr>
                <w:bCs/>
              </w:rPr>
              <w:t>.</w:t>
            </w:r>
          </w:p>
        </w:tc>
      </w:tr>
      <w:tr w:rsidR="00482A16" w:rsidRPr="0010273B" w:rsidTr="00C45C87">
        <w:tc>
          <w:tcPr>
            <w:tcW w:w="535" w:type="dxa"/>
            <w:tcBorders>
              <w:right w:val="single" w:sz="4" w:space="0" w:color="auto"/>
            </w:tcBorders>
          </w:tcPr>
          <w:p w:rsidR="00482A16" w:rsidRPr="00ED2EF5" w:rsidRDefault="00482A16" w:rsidP="00C45C87">
            <w:pPr>
              <w:jc w:val="both"/>
              <w:rPr>
                <w:lang w:eastAsia="lv-LV"/>
              </w:rPr>
            </w:pPr>
            <w:r w:rsidRPr="00ED2EF5">
              <w:rPr>
                <w:lang w:eastAsia="lv-LV"/>
              </w:rPr>
              <w:t>2.</w:t>
            </w:r>
          </w:p>
        </w:tc>
        <w:tc>
          <w:tcPr>
            <w:tcW w:w="2835" w:type="dxa"/>
            <w:tcBorders>
              <w:left w:val="single" w:sz="4" w:space="0" w:color="auto"/>
              <w:right w:val="single" w:sz="4" w:space="0" w:color="auto"/>
            </w:tcBorders>
          </w:tcPr>
          <w:p w:rsidR="00482A16" w:rsidRPr="00ED2EF5" w:rsidRDefault="00482A16" w:rsidP="00C45C87">
            <w:pPr>
              <w:jc w:val="both"/>
              <w:rPr>
                <w:lang w:eastAsia="lv-LV"/>
              </w:rPr>
            </w:pPr>
            <w:r w:rsidRPr="00ED2EF5">
              <w:t>Citas starptautiskās saistības</w:t>
            </w:r>
          </w:p>
        </w:tc>
        <w:tc>
          <w:tcPr>
            <w:tcW w:w="5953" w:type="dxa"/>
            <w:tcBorders>
              <w:left w:val="single" w:sz="4" w:space="0" w:color="auto"/>
            </w:tcBorders>
          </w:tcPr>
          <w:p w:rsidR="00482A16" w:rsidRPr="00ED2EF5" w:rsidRDefault="00482A16" w:rsidP="00C45C87">
            <w:pPr>
              <w:spacing w:before="120" w:after="120"/>
              <w:jc w:val="both"/>
              <w:rPr>
                <w:lang w:eastAsia="lv-LV"/>
              </w:rPr>
            </w:pPr>
            <w:r w:rsidRPr="00ED2EF5">
              <w:rPr>
                <w:lang w:eastAsia="lv-LV"/>
              </w:rPr>
              <w:t>Nav attiecināms</w:t>
            </w:r>
          </w:p>
        </w:tc>
      </w:tr>
      <w:tr w:rsidR="00482A16" w:rsidRPr="0010273B" w:rsidTr="00C45C87">
        <w:tc>
          <w:tcPr>
            <w:tcW w:w="535" w:type="dxa"/>
            <w:tcBorders>
              <w:right w:val="single" w:sz="4" w:space="0" w:color="auto"/>
            </w:tcBorders>
          </w:tcPr>
          <w:p w:rsidR="00482A16" w:rsidRPr="000B4B3E" w:rsidRDefault="00482A16" w:rsidP="00C45C87">
            <w:pPr>
              <w:jc w:val="both"/>
              <w:rPr>
                <w:lang w:eastAsia="lv-LV"/>
              </w:rPr>
            </w:pPr>
            <w:r w:rsidRPr="000B4B3E">
              <w:rPr>
                <w:lang w:eastAsia="lv-LV"/>
              </w:rPr>
              <w:t>3.</w:t>
            </w:r>
          </w:p>
        </w:tc>
        <w:tc>
          <w:tcPr>
            <w:tcW w:w="2835" w:type="dxa"/>
            <w:tcBorders>
              <w:left w:val="single" w:sz="4" w:space="0" w:color="auto"/>
              <w:right w:val="single" w:sz="4" w:space="0" w:color="auto"/>
            </w:tcBorders>
          </w:tcPr>
          <w:p w:rsidR="00482A16" w:rsidRPr="000B4B3E" w:rsidRDefault="00482A16" w:rsidP="00C45C87">
            <w:pPr>
              <w:jc w:val="both"/>
              <w:rPr>
                <w:lang w:eastAsia="lv-LV"/>
              </w:rPr>
            </w:pPr>
            <w:r w:rsidRPr="000B4B3E">
              <w:rPr>
                <w:lang w:eastAsia="lv-LV"/>
              </w:rPr>
              <w:t>Cita informācija</w:t>
            </w:r>
          </w:p>
        </w:tc>
        <w:tc>
          <w:tcPr>
            <w:tcW w:w="5953" w:type="dxa"/>
            <w:tcBorders>
              <w:left w:val="single" w:sz="4" w:space="0" w:color="auto"/>
            </w:tcBorders>
          </w:tcPr>
          <w:p w:rsidR="00482A16" w:rsidRPr="000B4B3E" w:rsidRDefault="00482A16" w:rsidP="00C45C87">
            <w:pPr>
              <w:spacing w:before="120" w:after="120"/>
              <w:jc w:val="both"/>
              <w:rPr>
                <w:lang w:eastAsia="lv-LV"/>
              </w:rPr>
            </w:pPr>
            <w:r w:rsidRPr="000B4B3E">
              <w:rPr>
                <w:lang w:eastAsia="lv-LV"/>
              </w:rPr>
              <w:t xml:space="preserve">Nolīgums ir jauktais starptautiskais Nolīgums, jo aptver jomas, kuras ir Savienības un dalībvalstu dalītajā un papildinošajā kompetencē. </w:t>
            </w:r>
          </w:p>
        </w:tc>
      </w:tr>
    </w:tbl>
    <w:p w:rsidR="00482A16" w:rsidRPr="0010273B" w:rsidRDefault="00482A16" w:rsidP="00482A16">
      <w:pPr>
        <w:jc w:val="both"/>
        <w:rPr>
          <w:highlight w:val="lightGray"/>
        </w:rPr>
      </w:pPr>
    </w:p>
    <w:p w:rsidR="00482A16" w:rsidRPr="0010273B" w:rsidRDefault="00482A16" w:rsidP="00482A16">
      <w:pPr>
        <w:jc w:val="both"/>
        <w:rPr>
          <w:highlight w:val="lightGray"/>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482A16" w:rsidRPr="002E1B22" w:rsidTr="00C45C87">
        <w:tc>
          <w:tcPr>
            <w:tcW w:w="9287" w:type="dxa"/>
            <w:gridSpan w:val="3"/>
            <w:hideMark/>
          </w:tcPr>
          <w:p w:rsidR="00482A16" w:rsidRPr="002E1B22" w:rsidRDefault="00482A16" w:rsidP="00C45C87">
            <w:pPr>
              <w:jc w:val="both"/>
              <w:rPr>
                <w:lang w:eastAsia="lv-LV"/>
              </w:rPr>
            </w:pPr>
            <w:r w:rsidRPr="002E1B22">
              <w:rPr>
                <w:b/>
                <w:bCs/>
                <w:lang w:eastAsia="lv-LV"/>
              </w:rPr>
              <w:t>VI. Sabiedrības līdzdalība un komunikācijas aktivitātes</w:t>
            </w:r>
          </w:p>
        </w:tc>
      </w:tr>
      <w:tr w:rsidR="00482A16" w:rsidRPr="002E1B22" w:rsidTr="00C45C87">
        <w:trPr>
          <w:trHeight w:val="427"/>
        </w:trPr>
        <w:tc>
          <w:tcPr>
            <w:tcW w:w="538" w:type="dxa"/>
            <w:hideMark/>
          </w:tcPr>
          <w:p w:rsidR="00482A16" w:rsidRPr="002E1B22" w:rsidRDefault="00482A16" w:rsidP="00C45C87">
            <w:pPr>
              <w:jc w:val="both"/>
              <w:rPr>
                <w:lang w:eastAsia="lv-LV"/>
              </w:rPr>
            </w:pPr>
            <w:r w:rsidRPr="002E1B22">
              <w:rPr>
                <w:lang w:eastAsia="lv-LV"/>
              </w:rPr>
              <w:t> 1.</w:t>
            </w:r>
          </w:p>
        </w:tc>
        <w:tc>
          <w:tcPr>
            <w:tcW w:w="4104" w:type="dxa"/>
          </w:tcPr>
          <w:p w:rsidR="00482A16" w:rsidRPr="002E1B22" w:rsidRDefault="00482A16" w:rsidP="00C45C87">
            <w:pPr>
              <w:jc w:val="both"/>
              <w:rPr>
                <w:lang w:eastAsia="lv-LV"/>
              </w:rPr>
            </w:pPr>
            <w:r w:rsidRPr="002E1B22">
              <w:rPr>
                <w:lang w:eastAsia="lv-LV"/>
              </w:rPr>
              <w:t>Plānotās sabiedrības līdzdalības un komunikācijas aktivitātes saistībā ar projektu</w:t>
            </w:r>
          </w:p>
        </w:tc>
        <w:tc>
          <w:tcPr>
            <w:tcW w:w="4645" w:type="dxa"/>
          </w:tcPr>
          <w:p w:rsidR="00482A16" w:rsidRPr="002E1B22" w:rsidRDefault="00482A16" w:rsidP="00C45C87">
            <w:pPr>
              <w:spacing w:before="120" w:after="120"/>
              <w:jc w:val="both"/>
            </w:pPr>
            <w:r>
              <w:t>L</w:t>
            </w:r>
            <w:r w:rsidRPr="002E1B22">
              <w:t>ikumprojekta pakete būs pieejama sabiedrībai Ministru kabineta mājas lapā.</w:t>
            </w:r>
          </w:p>
        </w:tc>
      </w:tr>
      <w:tr w:rsidR="00482A16" w:rsidRPr="002E1B22" w:rsidTr="00C45C87">
        <w:trPr>
          <w:trHeight w:val="463"/>
        </w:trPr>
        <w:tc>
          <w:tcPr>
            <w:tcW w:w="538" w:type="dxa"/>
            <w:hideMark/>
          </w:tcPr>
          <w:p w:rsidR="00482A16" w:rsidRPr="002E1B22" w:rsidRDefault="00482A16" w:rsidP="00C45C87">
            <w:pPr>
              <w:jc w:val="both"/>
              <w:rPr>
                <w:lang w:eastAsia="lv-LV"/>
              </w:rPr>
            </w:pPr>
            <w:r w:rsidRPr="002E1B22">
              <w:rPr>
                <w:lang w:eastAsia="lv-LV"/>
              </w:rPr>
              <w:t> 2.</w:t>
            </w:r>
          </w:p>
        </w:tc>
        <w:tc>
          <w:tcPr>
            <w:tcW w:w="4104" w:type="dxa"/>
          </w:tcPr>
          <w:p w:rsidR="00482A16" w:rsidRPr="002E1B22" w:rsidRDefault="00482A16" w:rsidP="00C45C87">
            <w:pPr>
              <w:jc w:val="both"/>
              <w:rPr>
                <w:lang w:eastAsia="lv-LV"/>
              </w:rPr>
            </w:pPr>
            <w:r w:rsidRPr="002E1B22">
              <w:rPr>
                <w:lang w:eastAsia="lv-LV"/>
              </w:rPr>
              <w:t>Sabiedrības līdzdalība projekta izstrādē</w:t>
            </w:r>
          </w:p>
        </w:tc>
        <w:tc>
          <w:tcPr>
            <w:tcW w:w="4645" w:type="dxa"/>
          </w:tcPr>
          <w:p w:rsidR="00482A16" w:rsidRPr="002E1B22" w:rsidRDefault="00482A16" w:rsidP="00C45C87">
            <w:pPr>
              <w:jc w:val="both"/>
              <w:rPr>
                <w:lang w:eastAsia="lv-LV"/>
              </w:rPr>
            </w:pPr>
            <w:r w:rsidRPr="002E1B22">
              <w:rPr>
                <w:lang w:eastAsia="lv-LV"/>
              </w:rPr>
              <w:t>Nav attiecināms</w:t>
            </w:r>
          </w:p>
        </w:tc>
      </w:tr>
      <w:tr w:rsidR="00482A16" w:rsidRPr="002E1B22" w:rsidTr="00C45C87">
        <w:trPr>
          <w:trHeight w:val="725"/>
        </w:trPr>
        <w:tc>
          <w:tcPr>
            <w:tcW w:w="538" w:type="dxa"/>
            <w:hideMark/>
          </w:tcPr>
          <w:p w:rsidR="00482A16" w:rsidRPr="002E1B22" w:rsidRDefault="00482A16" w:rsidP="00C45C87">
            <w:pPr>
              <w:jc w:val="both"/>
              <w:rPr>
                <w:lang w:eastAsia="lv-LV"/>
              </w:rPr>
            </w:pPr>
            <w:r w:rsidRPr="002E1B22">
              <w:rPr>
                <w:lang w:eastAsia="lv-LV"/>
              </w:rPr>
              <w:t> 3.</w:t>
            </w:r>
          </w:p>
        </w:tc>
        <w:tc>
          <w:tcPr>
            <w:tcW w:w="4104" w:type="dxa"/>
          </w:tcPr>
          <w:p w:rsidR="00482A16" w:rsidRPr="002E1B22" w:rsidRDefault="00482A16" w:rsidP="00C45C87">
            <w:pPr>
              <w:jc w:val="both"/>
              <w:rPr>
                <w:lang w:eastAsia="lv-LV"/>
              </w:rPr>
            </w:pPr>
            <w:r w:rsidRPr="002E1B22">
              <w:rPr>
                <w:lang w:eastAsia="lv-LV"/>
              </w:rPr>
              <w:t>Sabiedrības līdzdalības rezultāti</w:t>
            </w:r>
          </w:p>
        </w:tc>
        <w:tc>
          <w:tcPr>
            <w:tcW w:w="4645" w:type="dxa"/>
          </w:tcPr>
          <w:p w:rsidR="00482A16" w:rsidRPr="002E1B22" w:rsidRDefault="00482A16" w:rsidP="00C45C87">
            <w:pPr>
              <w:jc w:val="both"/>
              <w:rPr>
                <w:lang w:eastAsia="lv-LV"/>
              </w:rPr>
            </w:pPr>
            <w:r w:rsidRPr="002E1B22">
              <w:rPr>
                <w:lang w:eastAsia="lv-LV"/>
              </w:rPr>
              <w:t>Nav attiecināms</w:t>
            </w:r>
          </w:p>
        </w:tc>
      </w:tr>
      <w:tr w:rsidR="00482A16" w:rsidRPr="0010273B" w:rsidTr="00C45C87">
        <w:trPr>
          <w:trHeight w:val="70"/>
        </w:trPr>
        <w:tc>
          <w:tcPr>
            <w:tcW w:w="538" w:type="dxa"/>
            <w:hideMark/>
          </w:tcPr>
          <w:p w:rsidR="00482A16" w:rsidRPr="002E1B22" w:rsidRDefault="00482A16" w:rsidP="00C45C87">
            <w:pPr>
              <w:jc w:val="both"/>
              <w:rPr>
                <w:lang w:eastAsia="lv-LV"/>
              </w:rPr>
            </w:pPr>
            <w:r w:rsidRPr="002E1B22">
              <w:rPr>
                <w:lang w:eastAsia="lv-LV"/>
              </w:rPr>
              <w:t> 4.</w:t>
            </w:r>
          </w:p>
        </w:tc>
        <w:tc>
          <w:tcPr>
            <w:tcW w:w="4104" w:type="dxa"/>
            <w:hideMark/>
          </w:tcPr>
          <w:p w:rsidR="00482A16" w:rsidRPr="002E1B22" w:rsidRDefault="00482A16" w:rsidP="00C45C87">
            <w:pPr>
              <w:jc w:val="both"/>
              <w:rPr>
                <w:lang w:eastAsia="lv-LV"/>
              </w:rPr>
            </w:pPr>
            <w:r w:rsidRPr="002E1B22">
              <w:rPr>
                <w:lang w:eastAsia="lv-LV"/>
              </w:rPr>
              <w:t> Cita informācija</w:t>
            </w:r>
          </w:p>
        </w:tc>
        <w:tc>
          <w:tcPr>
            <w:tcW w:w="4645" w:type="dxa"/>
            <w:hideMark/>
          </w:tcPr>
          <w:p w:rsidR="00482A16" w:rsidRPr="002E1B22" w:rsidRDefault="00482A16" w:rsidP="00C45C87">
            <w:pPr>
              <w:pStyle w:val="Statut"/>
              <w:spacing w:before="0"/>
              <w:jc w:val="both"/>
              <w:rPr>
                <w:szCs w:val="24"/>
                <w:lang w:eastAsia="lv-LV"/>
              </w:rPr>
            </w:pPr>
            <w:r w:rsidRPr="002E1B22">
              <w:rPr>
                <w:szCs w:val="24"/>
                <w:lang w:eastAsia="lv-LV"/>
              </w:rPr>
              <w:t xml:space="preserve">Nav </w:t>
            </w:r>
          </w:p>
        </w:tc>
      </w:tr>
    </w:tbl>
    <w:p w:rsidR="00482A16" w:rsidRPr="0010273B" w:rsidRDefault="00482A16" w:rsidP="00482A16">
      <w:pPr>
        <w:rPr>
          <w:highlight w:val="lightGray"/>
        </w:rPr>
      </w:pPr>
    </w:p>
    <w:p w:rsidR="00482A16" w:rsidRPr="00EF4CAB" w:rsidRDefault="00482A16" w:rsidP="00482A16"/>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482A16" w:rsidRPr="00EF4CAB" w:rsidTr="00C45C87">
        <w:tc>
          <w:tcPr>
            <w:tcW w:w="9287" w:type="dxa"/>
            <w:gridSpan w:val="3"/>
            <w:hideMark/>
          </w:tcPr>
          <w:p w:rsidR="00482A16" w:rsidRPr="00EF4CAB" w:rsidRDefault="00482A16" w:rsidP="00C45C87">
            <w:pPr>
              <w:rPr>
                <w:lang w:eastAsia="lv-LV"/>
              </w:rPr>
            </w:pPr>
            <w:r w:rsidRPr="00EF4CAB">
              <w:rPr>
                <w:lang w:eastAsia="lv-LV"/>
              </w:rPr>
              <w:t> </w:t>
            </w:r>
            <w:r w:rsidRPr="00EF4CAB">
              <w:rPr>
                <w:b/>
                <w:bCs/>
                <w:lang w:eastAsia="lv-LV"/>
              </w:rPr>
              <w:t>VII. Tiesību akta projekta izpildes nodrošināšana un tās ietekme uz institūcijām</w:t>
            </w:r>
          </w:p>
        </w:tc>
      </w:tr>
      <w:tr w:rsidR="00482A16" w:rsidRPr="00EF4CAB" w:rsidTr="00C45C87">
        <w:trPr>
          <w:trHeight w:val="427"/>
        </w:trPr>
        <w:tc>
          <w:tcPr>
            <w:tcW w:w="538" w:type="dxa"/>
            <w:hideMark/>
          </w:tcPr>
          <w:p w:rsidR="00482A16" w:rsidRPr="00EF4CAB" w:rsidRDefault="00482A16" w:rsidP="00C45C87">
            <w:pPr>
              <w:rPr>
                <w:lang w:eastAsia="lv-LV"/>
              </w:rPr>
            </w:pPr>
            <w:r w:rsidRPr="00EF4CAB">
              <w:rPr>
                <w:lang w:eastAsia="lv-LV"/>
              </w:rPr>
              <w:t> 1.</w:t>
            </w:r>
          </w:p>
        </w:tc>
        <w:tc>
          <w:tcPr>
            <w:tcW w:w="4104" w:type="dxa"/>
            <w:hideMark/>
          </w:tcPr>
          <w:p w:rsidR="00482A16" w:rsidRPr="00EF4CAB" w:rsidRDefault="00482A16" w:rsidP="00C45C87">
            <w:pPr>
              <w:rPr>
                <w:lang w:eastAsia="lv-LV"/>
              </w:rPr>
            </w:pPr>
            <w:r w:rsidRPr="00EF4CAB">
              <w:rPr>
                <w:lang w:eastAsia="lv-LV"/>
              </w:rPr>
              <w:t> Projekta izpildē iesaistītās institūcijas</w:t>
            </w:r>
          </w:p>
        </w:tc>
        <w:tc>
          <w:tcPr>
            <w:tcW w:w="4645" w:type="dxa"/>
            <w:hideMark/>
          </w:tcPr>
          <w:p w:rsidR="00482A16" w:rsidRPr="00EF4CAB" w:rsidRDefault="00482A16" w:rsidP="00C45C87">
            <w:pPr>
              <w:tabs>
                <w:tab w:val="left" w:pos="987"/>
              </w:tabs>
              <w:spacing w:before="120" w:after="120"/>
              <w:jc w:val="both"/>
              <w:rPr>
                <w:color w:val="000000"/>
              </w:rPr>
            </w:pPr>
            <w:r w:rsidRPr="00EF4CAB">
              <w:rPr>
                <w:bCs/>
                <w:lang w:eastAsia="lv-LV"/>
              </w:rPr>
              <w:t>N</w:t>
            </w:r>
            <w:r w:rsidRPr="00EF4CAB">
              <w:rPr>
                <w:color w:val="000000"/>
              </w:rPr>
              <w:t xml:space="preserve">olīgumā paredzēto saistību izpildi koordinē Ārlietu ministrija. Nolīgums skar arī citu ministriju atbildības jomas. </w:t>
            </w:r>
          </w:p>
        </w:tc>
      </w:tr>
      <w:tr w:rsidR="00482A16" w:rsidRPr="0010273B" w:rsidTr="00C45C87">
        <w:trPr>
          <w:trHeight w:val="463"/>
        </w:trPr>
        <w:tc>
          <w:tcPr>
            <w:tcW w:w="538" w:type="dxa"/>
            <w:hideMark/>
          </w:tcPr>
          <w:p w:rsidR="00482A16" w:rsidRPr="00EF4CAB" w:rsidRDefault="00482A16" w:rsidP="00C45C87">
            <w:pPr>
              <w:rPr>
                <w:lang w:eastAsia="lv-LV"/>
              </w:rPr>
            </w:pPr>
            <w:r w:rsidRPr="00EF4CAB">
              <w:rPr>
                <w:lang w:eastAsia="lv-LV"/>
              </w:rPr>
              <w:t> 2.</w:t>
            </w:r>
          </w:p>
        </w:tc>
        <w:tc>
          <w:tcPr>
            <w:tcW w:w="4104" w:type="dxa"/>
            <w:hideMark/>
          </w:tcPr>
          <w:p w:rsidR="00482A16" w:rsidRPr="00EF4CAB" w:rsidRDefault="00482A16" w:rsidP="00C45C87">
            <w:pPr>
              <w:jc w:val="both"/>
              <w:rPr>
                <w:lang w:eastAsia="lv-LV"/>
              </w:rPr>
            </w:pPr>
            <w:r w:rsidRPr="00EF4CAB">
              <w:rPr>
                <w:lang w:eastAsia="lv-LV"/>
              </w:rPr>
              <w:t> Projekta izpildes ietekme uz pārvaldes funkcijām un institucionālo struktūru.</w:t>
            </w:r>
          </w:p>
          <w:p w:rsidR="00482A16" w:rsidRPr="00EF4CAB" w:rsidRDefault="00482A16" w:rsidP="00C45C87">
            <w:pPr>
              <w:jc w:val="both"/>
              <w:rPr>
                <w:lang w:eastAsia="lv-LV"/>
              </w:rPr>
            </w:pPr>
            <w:r w:rsidRPr="00EF4CAB">
              <w:rPr>
                <w:lang w:eastAsia="lv-LV"/>
              </w:rPr>
              <w:t>Jaunu institūciju izveide, esošu institūciju likvidācija vai reorganizācija, to ietekme uz institūcijas cilvēkresursiem</w:t>
            </w:r>
          </w:p>
        </w:tc>
        <w:tc>
          <w:tcPr>
            <w:tcW w:w="4645" w:type="dxa"/>
            <w:hideMark/>
          </w:tcPr>
          <w:p w:rsidR="00482A16" w:rsidRPr="00EF4CAB" w:rsidRDefault="00482A16" w:rsidP="00C45C87">
            <w:pPr>
              <w:spacing w:before="120" w:after="120"/>
              <w:rPr>
                <w:lang w:eastAsia="lv-LV"/>
              </w:rPr>
            </w:pPr>
            <w:r w:rsidRPr="00EF4CAB">
              <w:rPr>
                <w:lang w:eastAsia="lv-LV"/>
              </w:rPr>
              <w:t>Nav attiecināms</w:t>
            </w:r>
          </w:p>
        </w:tc>
      </w:tr>
      <w:tr w:rsidR="00482A16" w:rsidRPr="0010273B" w:rsidTr="00C45C87">
        <w:trPr>
          <w:trHeight w:val="70"/>
        </w:trPr>
        <w:tc>
          <w:tcPr>
            <w:tcW w:w="538" w:type="dxa"/>
            <w:hideMark/>
          </w:tcPr>
          <w:p w:rsidR="00482A16" w:rsidRPr="00EF4CAB" w:rsidRDefault="00482A16" w:rsidP="00C45C87">
            <w:pPr>
              <w:rPr>
                <w:lang w:eastAsia="lv-LV"/>
              </w:rPr>
            </w:pPr>
            <w:r w:rsidRPr="00EF4CAB">
              <w:rPr>
                <w:lang w:eastAsia="lv-LV"/>
              </w:rPr>
              <w:t> 3.</w:t>
            </w:r>
          </w:p>
        </w:tc>
        <w:tc>
          <w:tcPr>
            <w:tcW w:w="4104" w:type="dxa"/>
            <w:hideMark/>
          </w:tcPr>
          <w:p w:rsidR="00482A16" w:rsidRPr="00EF4CAB" w:rsidRDefault="00482A16" w:rsidP="00C45C87">
            <w:pPr>
              <w:rPr>
                <w:lang w:eastAsia="lv-LV"/>
              </w:rPr>
            </w:pPr>
            <w:r w:rsidRPr="00EF4CAB">
              <w:rPr>
                <w:lang w:eastAsia="lv-LV"/>
              </w:rPr>
              <w:t> Cita informācija</w:t>
            </w:r>
          </w:p>
        </w:tc>
        <w:tc>
          <w:tcPr>
            <w:tcW w:w="4645" w:type="dxa"/>
            <w:hideMark/>
          </w:tcPr>
          <w:p w:rsidR="00482A16" w:rsidRPr="00EF4CAB" w:rsidRDefault="00482A16" w:rsidP="00C45C87">
            <w:pPr>
              <w:spacing w:before="120" w:after="120"/>
              <w:rPr>
                <w:lang w:eastAsia="lv-LV"/>
              </w:rPr>
            </w:pPr>
            <w:r w:rsidRPr="00EF4CAB">
              <w:rPr>
                <w:lang w:eastAsia="lv-LV"/>
              </w:rPr>
              <w:t> Nav</w:t>
            </w:r>
          </w:p>
        </w:tc>
      </w:tr>
    </w:tbl>
    <w:p w:rsidR="00482A16" w:rsidRPr="0010273B" w:rsidRDefault="00482A16" w:rsidP="00482A16">
      <w:pPr>
        <w:tabs>
          <w:tab w:val="left" w:pos="709"/>
          <w:tab w:val="left" w:pos="7088"/>
          <w:tab w:val="left" w:pos="7371"/>
        </w:tabs>
        <w:rPr>
          <w:highlight w:val="lightGray"/>
          <w:lang w:eastAsia="lv-LV"/>
        </w:rPr>
      </w:pPr>
    </w:p>
    <w:p w:rsidR="00482A16" w:rsidRDefault="00482A16" w:rsidP="00482A16">
      <w:pPr>
        <w:tabs>
          <w:tab w:val="left" w:pos="709"/>
          <w:tab w:val="left" w:pos="7088"/>
          <w:tab w:val="left" w:pos="7371"/>
        </w:tabs>
        <w:rPr>
          <w:highlight w:val="lightGray"/>
          <w:lang w:eastAsia="lv-LV"/>
        </w:rPr>
      </w:pPr>
    </w:p>
    <w:p w:rsidR="00482A16" w:rsidRPr="0010273B" w:rsidRDefault="00482A16" w:rsidP="00482A16">
      <w:pPr>
        <w:tabs>
          <w:tab w:val="left" w:pos="709"/>
          <w:tab w:val="left" w:pos="7088"/>
          <w:tab w:val="left" w:pos="7371"/>
        </w:tabs>
        <w:rPr>
          <w:highlight w:val="lightGray"/>
          <w:lang w:eastAsia="lv-LV"/>
        </w:rPr>
      </w:pPr>
    </w:p>
    <w:p w:rsidR="00482A16" w:rsidRPr="00EF4CAB" w:rsidRDefault="00482A16" w:rsidP="00482A16">
      <w:pPr>
        <w:rPr>
          <w:bCs/>
          <w:sz w:val="28"/>
          <w:szCs w:val="28"/>
        </w:rPr>
      </w:pPr>
      <w:r w:rsidRPr="00EF4CAB">
        <w:rPr>
          <w:bCs/>
          <w:sz w:val="28"/>
          <w:szCs w:val="28"/>
        </w:rPr>
        <w:t>Ārlietu ministrs</w:t>
      </w:r>
      <w:r w:rsidRPr="00EF4CAB">
        <w:rPr>
          <w:bCs/>
          <w:sz w:val="28"/>
          <w:szCs w:val="28"/>
        </w:rPr>
        <w:tab/>
      </w:r>
      <w:r w:rsidRPr="00EF4CAB">
        <w:rPr>
          <w:bCs/>
          <w:sz w:val="28"/>
          <w:szCs w:val="28"/>
        </w:rPr>
        <w:tab/>
      </w:r>
      <w:r w:rsidRPr="00EF4CAB">
        <w:rPr>
          <w:bCs/>
          <w:sz w:val="28"/>
          <w:szCs w:val="28"/>
        </w:rPr>
        <w:tab/>
      </w:r>
      <w:r w:rsidRPr="00EF4CAB">
        <w:rPr>
          <w:bCs/>
          <w:sz w:val="28"/>
          <w:szCs w:val="28"/>
        </w:rPr>
        <w:tab/>
        <w:t xml:space="preserve">                                               E. Rinkēvičs </w:t>
      </w:r>
    </w:p>
    <w:p w:rsidR="00482A16" w:rsidRPr="00EF4CAB" w:rsidRDefault="00482A16" w:rsidP="00482A16">
      <w:pPr>
        <w:rPr>
          <w:bCs/>
          <w:sz w:val="28"/>
          <w:szCs w:val="28"/>
        </w:rPr>
      </w:pPr>
    </w:p>
    <w:p w:rsidR="00482A16" w:rsidRPr="00EF4CAB" w:rsidRDefault="00482A16" w:rsidP="00482A16">
      <w:pPr>
        <w:rPr>
          <w:bCs/>
          <w:sz w:val="28"/>
          <w:szCs w:val="28"/>
        </w:rPr>
      </w:pPr>
    </w:p>
    <w:p w:rsidR="00482A16" w:rsidRPr="00EF4CAB" w:rsidRDefault="00482A16" w:rsidP="00906FEC">
      <w:pPr>
        <w:rPr>
          <w:bCs/>
          <w:sz w:val="28"/>
          <w:szCs w:val="28"/>
        </w:rPr>
      </w:pPr>
      <w:r w:rsidRPr="00EF4CAB">
        <w:rPr>
          <w:bCs/>
          <w:sz w:val="28"/>
          <w:szCs w:val="28"/>
        </w:rPr>
        <w:t xml:space="preserve">Vīza: valsts sekretārs        </w:t>
      </w:r>
      <w:r w:rsidR="00906FEC">
        <w:rPr>
          <w:bCs/>
          <w:sz w:val="28"/>
          <w:szCs w:val="28"/>
        </w:rPr>
        <w:tab/>
      </w:r>
      <w:bookmarkStart w:id="0" w:name="_GoBack"/>
      <w:bookmarkEnd w:id="0"/>
      <w:r w:rsidRPr="00EF4CAB">
        <w:rPr>
          <w:bCs/>
          <w:sz w:val="28"/>
          <w:szCs w:val="28"/>
        </w:rPr>
        <w:t xml:space="preserve">   </w:t>
      </w:r>
      <w:r w:rsidRPr="00EF4CAB">
        <w:rPr>
          <w:bCs/>
          <w:sz w:val="28"/>
          <w:szCs w:val="28"/>
        </w:rPr>
        <w:tab/>
      </w:r>
      <w:r w:rsidRPr="00EF4CAB">
        <w:rPr>
          <w:bCs/>
          <w:sz w:val="28"/>
          <w:szCs w:val="28"/>
        </w:rPr>
        <w:tab/>
      </w:r>
      <w:r w:rsidRPr="00EF4CAB">
        <w:rPr>
          <w:bCs/>
          <w:sz w:val="28"/>
          <w:szCs w:val="28"/>
        </w:rPr>
        <w:tab/>
      </w:r>
      <w:r w:rsidRPr="00EF4CAB">
        <w:rPr>
          <w:bCs/>
          <w:sz w:val="28"/>
          <w:szCs w:val="28"/>
        </w:rPr>
        <w:tab/>
      </w:r>
      <w:r w:rsidRPr="00EF4CAB">
        <w:rPr>
          <w:bCs/>
          <w:sz w:val="28"/>
          <w:szCs w:val="28"/>
        </w:rPr>
        <w:tab/>
      </w:r>
      <w:r w:rsidRPr="00EF4CAB">
        <w:rPr>
          <w:bCs/>
          <w:sz w:val="28"/>
          <w:szCs w:val="28"/>
        </w:rPr>
        <w:tab/>
      </w:r>
      <w:r w:rsidR="00906FEC">
        <w:rPr>
          <w:bCs/>
          <w:sz w:val="28"/>
          <w:szCs w:val="28"/>
        </w:rPr>
        <w:t>A. Pelšs</w:t>
      </w:r>
      <w:r w:rsidRPr="00EF4CAB">
        <w:rPr>
          <w:bCs/>
          <w:sz w:val="28"/>
          <w:szCs w:val="28"/>
        </w:rPr>
        <w:t xml:space="preserve"> </w:t>
      </w:r>
    </w:p>
    <w:p w:rsidR="00482A16" w:rsidRPr="0010273B" w:rsidRDefault="00482A16" w:rsidP="00482A16">
      <w:pPr>
        <w:tabs>
          <w:tab w:val="left" w:pos="2649"/>
        </w:tabs>
        <w:jc w:val="both"/>
        <w:rPr>
          <w:sz w:val="20"/>
          <w:szCs w:val="20"/>
          <w:highlight w:val="lightGray"/>
          <w:lang w:eastAsia="lv-LV"/>
        </w:rPr>
      </w:pPr>
    </w:p>
    <w:p w:rsidR="00482A16" w:rsidRPr="008F32F7" w:rsidRDefault="00482A16" w:rsidP="00482A16">
      <w:pPr>
        <w:tabs>
          <w:tab w:val="left" w:pos="2649"/>
        </w:tabs>
        <w:jc w:val="both"/>
        <w:rPr>
          <w:sz w:val="20"/>
          <w:szCs w:val="20"/>
          <w:lang w:eastAsia="lv-LV"/>
        </w:rPr>
      </w:pPr>
      <w:r w:rsidRPr="008F32F7">
        <w:rPr>
          <w:sz w:val="20"/>
          <w:szCs w:val="20"/>
          <w:lang w:eastAsia="lv-LV"/>
        </w:rPr>
        <w:tab/>
      </w:r>
    </w:p>
    <w:p w:rsidR="00482A16" w:rsidRPr="008F32F7" w:rsidRDefault="00482A16" w:rsidP="00482A16">
      <w:pPr>
        <w:rPr>
          <w:sz w:val="18"/>
          <w:lang w:val="da-DK"/>
        </w:rPr>
      </w:pPr>
    </w:p>
    <w:p w:rsidR="00482A16" w:rsidRDefault="00482A16" w:rsidP="00482A16">
      <w:pPr>
        <w:rPr>
          <w:sz w:val="18"/>
          <w:highlight w:val="lightGray"/>
          <w:lang w:val="da-DK"/>
        </w:rPr>
      </w:pPr>
    </w:p>
    <w:p w:rsidR="00482A16" w:rsidRDefault="00482A16" w:rsidP="00482A16">
      <w:pPr>
        <w:rPr>
          <w:sz w:val="18"/>
          <w:highlight w:val="lightGray"/>
          <w:lang w:val="da-DK"/>
        </w:rPr>
      </w:pPr>
    </w:p>
    <w:p w:rsidR="00482A16" w:rsidRDefault="00482A16" w:rsidP="00482A16">
      <w:pPr>
        <w:rPr>
          <w:sz w:val="18"/>
          <w:highlight w:val="lightGray"/>
          <w:lang w:val="da-DK"/>
        </w:rPr>
      </w:pPr>
    </w:p>
    <w:p w:rsidR="00482A16" w:rsidRDefault="00482A16" w:rsidP="00482A16">
      <w:pPr>
        <w:rPr>
          <w:sz w:val="18"/>
          <w:highlight w:val="lightGray"/>
          <w:lang w:val="da-DK"/>
        </w:rPr>
      </w:pPr>
    </w:p>
    <w:p w:rsidR="00482A16" w:rsidRDefault="00482A16" w:rsidP="00482A16">
      <w:pPr>
        <w:rPr>
          <w:sz w:val="18"/>
          <w:lang w:val="da-DK"/>
        </w:rPr>
      </w:pPr>
    </w:p>
    <w:p w:rsidR="00482A16" w:rsidRDefault="00482A16" w:rsidP="00482A16">
      <w:pPr>
        <w:rPr>
          <w:sz w:val="18"/>
          <w:lang w:val="da-DK"/>
        </w:rPr>
      </w:pPr>
    </w:p>
    <w:p w:rsidR="00482A16" w:rsidRDefault="00482A16" w:rsidP="00482A16">
      <w:pPr>
        <w:rPr>
          <w:sz w:val="18"/>
          <w:lang w:val="da-DK"/>
        </w:rPr>
      </w:pPr>
    </w:p>
    <w:p w:rsidR="00482A16" w:rsidRDefault="00482A16" w:rsidP="00482A16">
      <w:pPr>
        <w:rPr>
          <w:sz w:val="18"/>
          <w:lang w:val="da-DK"/>
        </w:rPr>
      </w:pPr>
    </w:p>
    <w:p w:rsidR="00482A16" w:rsidRDefault="00482A16" w:rsidP="00482A16">
      <w:pPr>
        <w:rPr>
          <w:sz w:val="18"/>
          <w:lang w:val="da-DK"/>
        </w:rPr>
      </w:pPr>
    </w:p>
    <w:p w:rsidR="00482A16" w:rsidRDefault="00482A16" w:rsidP="00482A16">
      <w:pPr>
        <w:rPr>
          <w:sz w:val="18"/>
          <w:lang w:val="da-DK"/>
        </w:rPr>
      </w:pPr>
    </w:p>
    <w:p w:rsidR="00482A16" w:rsidRDefault="00482A16" w:rsidP="00482A16">
      <w:pPr>
        <w:rPr>
          <w:sz w:val="18"/>
          <w:lang w:val="da-DK"/>
        </w:rPr>
      </w:pPr>
    </w:p>
    <w:p w:rsidR="00482A16" w:rsidRDefault="00482A16" w:rsidP="00482A16">
      <w:pPr>
        <w:rPr>
          <w:sz w:val="18"/>
          <w:lang w:val="da-DK"/>
        </w:rPr>
      </w:pPr>
    </w:p>
    <w:p w:rsidR="00482A16" w:rsidRDefault="00482A16" w:rsidP="00482A16">
      <w:pPr>
        <w:rPr>
          <w:sz w:val="18"/>
          <w:lang w:val="da-DK"/>
        </w:rPr>
      </w:pPr>
    </w:p>
    <w:p w:rsidR="00482A16" w:rsidRDefault="00482A16" w:rsidP="00482A16">
      <w:pPr>
        <w:rPr>
          <w:sz w:val="18"/>
          <w:lang w:val="da-DK"/>
        </w:rPr>
      </w:pPr>
    </w:p>
    <w:p w:rsidR="00482A16" w:rsidRDefault="00482A16" w:rsidP="00482A16">
      <w:pPr>
        <w:rPr>
          <w:sz w:val="18"/>
          <w:lang w:val="da-DK"/>
        </w:rPr>
      </w:pPr>
    </w:p>
    <w:p w:rsidR="00482A16" w:rsidRDefault="00482A16" w:rsidP="00482A16">
      <w:pPr>
        <w:rPr>
          <w:sz w:val="18"/>
          <w:lang w:val="da-DK"/>
        </w:rPr>
      </w:pPr>
    </w:p>
    <w:p w:rsidR="00482A16" w:rsidRDefault="00482A16" w:rsidP="00482A16">
      <w:pPr>
        <w:rPr>
          <w:sz w:val="18"/>
          <w:lang w:val="da-DK"/>
        </w:rPr>
      </w:pPr>
    </w:p>
    <w:p w:rsidR="00482A16" w:rsidRDefault="00482A16" w:rsidP="00482A16">
      <w:pPr>
        <w:rPr>
          <w:sz w:val="18"/>
          <w:lang w:val="da-DK"/>
        </w:rPr>
      </w:pPr>
    </w:p>
    <w:p w:rsidR="00482A16" w:rsidRDefault="00482A16" w:rsidP="00482A16">
      <w:pPr>
        <w:rPr>
          <w:sz w:val="18"/>
          <w:lang w:val="da-DK"/>
        </w:rPr>
      </w:pPr>
    </w:p>
    <w:p w:rsidR="00482A16" w:rsidRDefault="00482A16" w:rsidP="00482A16">
      <w:pPr>
        <w:rPr>
          <w:sz w:val="18"/>
          <w:lang w:val="da-DK"/>
        </w:rPr>
      </w:pPr>
    </w:p>
    <w:p w:rsidR="00482A16" w:rsidRDefault="00482A16" w:rsidP="00482A16">
      <w:pPr>
        <w:rPr>
          <w:sz w:val="18"/>
          <w:lang w:val="da-DK"/>
        </w:rPr>
      </w:pPr>
    </w:p>
    <w:p w:rsidR="00482A16" w:rsidRDefault="00482A16" w:rsidP="00482A16">
      <w:pPr>
        <w:rPr>
          <w:sz w:val="18"/>
          <w:lang w:val="da-DK"/>
        </w:rPr>
      </w:pPr>
    </w:p>
    <w:p w:rsidR="00482A16" w:rsidRPr="003C4B54" w:rsidRDefault="00482A16" w:rsidP="00482A16">
      <w:pPr>
        <w:rPr>
          <w:sz w:val="18"/>
          <w:lang w:val="da-DK"/>
        </w:rPr>
      </w:pPr>
      <w:r w:rsidRPr="003C4B54">
        <w:rPr>
          <w:sz w:val="18"/>
          <w:lang w:val="da-DK"/>
        </w:rPr>
        <w:t>S.Sāre, 67016162</w:t>
      </w:r>
    </w:p>
    <w:p w:rsidR="00482A16" w:rsidRDefault="00482A16" w:rsidP="00482A16">
      <w:r w:rsidRPr="003C4B54">
        <w:rPr>
          <w:sz w:val="18"/>
          <w:lang w:val="da-DK"/>
        </w:rPr>
        <w:t>solvita.sare@mfa.gov.lv</w:t>
      </w:r>
    </w:p>
    <w:p w:rsidR="00E76ED5" w:rsidRPr="00482A16" w:rsidRDefault="00E76ED5" w:rsidP="00482A16"/>
    <w:sectPr w:rsidR="00E76ED5" w:rsidRPr="00482A16" w:rsidSect="00CC59FA">
      <w:headerReference w:type="default" r:id="rId7"/>
      <w:footerReference w:type="default" r:id="rId8"/>
      <w:footerReference w:type="first" r:id="rId9"/>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E5" w:rsidRDefault="00E07189">
      <w:r>
        <w:separator/>
      </w:r>
    </w:p>
  </w:endnote>
  <w:endnote w:type="continuationSeparator" w:id="0">
    <w:p w:rsidR="00AB2FE5" w:rsidRDefault="00E0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AB" w:rsidRPr="00F85137" w:rsidRDefault="009F52A4" w:rsidP="00F85137">
    <w:pPr>
      <w:pStyle w:val="Title"/>
      <w:jc w:val="both"/>
      <w:rPr>
        <w:b w:val="0"/>
        <w:sz w:val="20"/>
        <w:szCs w:val="20"/>
      </w:rPr>
    </w:pPr>
    <w:r w:rsidRPr="00672A77">
      <w:rPr>
        <w:b w:val="0"/>
        <w:sz w:val="20"/>
        <w:szCs w:val="20"/>
      </w:rPr>
      <w:t>AMAnot_</w:t>
    </w:r>
    <w:r w:rsidR="003B06E3" w:rsidRPr="003B06E3">
      <w:rPr>
        <w:b w:val="0"/>
        <w:sz w:val="20"/>
        <w:szCs w:val="20"/>
      </w:rPr>
      <w:t>100718_ES-Malaizija PCA</w:t>
    </w:r>
    <w:r w:rsidRPr="003B06E3">
      <w:rPr>
        <w:b w:val="0"/>
        <w:sz w:val="20"/>
        <w:szCs w:val="20"/>
      </w:rPr>
      <w:t xml:space="preserve">; Likumprojekta „Par </w:t>
    </w:r>
    <w:r w:rsidR="003B06E3" w:rsidRPr="00F74128">
      <w:rPr>
        <w:b w:val="0"/>
        <w:sz w:val="20"/>
        <w:szCs w:val="20"/>
      </w:rPr>
      <w:t xml:space="preserve">Pamatnolīgumu </w:t>
    </w:r>
    <w:r w:rsidR="003B06E3" w:rsidRPr="003B06E3">
      <w:rPr>
        <w:b w:val="0"/>
        <w:sz w:val="20"/>
        <w:szCs w:val="20"/>
      </w:rPr>
      <w:t xml:space="preserve">par partnerību un sadarbību </w:t>
    </w:r>
    <w:r w:rsidR="003B06E3" w:rsidRPr="00F74128">
      <w:rPr>
        <w:b w:val="0"/>
        <w:sz w:val="20"/>
        <w:szCs w:val="20"/>
      </w:rPr>
      <w:t xml:space="preserve">starp Eiropas Savienību un tās dalībvalstīm, no vienas puses, un </w:t>
    </w:r>
    <w:r w:rsidR="003B06E3" w:rsidRPr="003B06E3">
      <w:rPr>
        <w:b w:val="0"/>
        <w:sz w:val="20"/>
        <w:szCs w:val="20"/>
      </w:rPr>
      <w:t>Malaiziju</w:t>
    </w:r>
    <w:r w:rsidR="003B06E3" w:rsidRPr="00F74128">
      <w:rPr>
        <w:b w:val="0"/>
        <w:sz w:val="20"/>
        <w:szCs w:val="20"/>
      </w:rPr>
      <w:t>, no otras puses</w:t>
    </w:r>
    <w:r w:rsidR="003B06E3" w:rsidRPr="003B06E3">
      <w:rPr>
        <w:b w:val="0"/>
        <w:sz w:val="20"/>
        <w:szCs w:val="20"/>
      </w:rPr>
      <w:t xml:space="preserve"> </w:t>
    </w:r>
    <w:r w:rsidRPr="003B06E3">
      <w:rPr>
        <w:b w:val="0"/>
        <w:sz w:val="20"/>
        <w:szCs w:val="20"/>
      </w:rPr>
      <w:t>(anotācija)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AF" w:rsidRPr="00672A77" w:rsidRDefault="009F52A4" w:rsidP="00F85137">
    <w:pPr>
      <w:pStyle w:val="Title"/>
      <w:jc w:val="both"/>
      <w:rPr>
        <w:b w:val="0"/>
        <w:sz w:val="20"/>
        <w:szCs w:val="20"/>
      </w:rPr>
    </w:pPr>
    <w:r w:rsidRPr="00672A77">
      <w:rPr>
        <w:b w:val="0"/>
        <w:sz w:val="20"/>
        <w:szCs w:val="20"/>
      </w:rPr>
      <w:t>AMAnot_</w:t>
    </w:r>
    <w:r>
      <w:rPr>
        <w:b w:val="0"/>
        <w:sz w:val="20"/>
        <w:szCs w:val="20"/>
      </w:rPr>
      <w:t>2110</w:t>
    </w:r>
    <w:r w:rsidRPr="00672A77">
      <w:rPr>
        <w:b w:val="0"/>
        <w:sz w:val="20"/>
        <w:szCs w:val="20"/>
      </w:rPr>
      <w:t>16_AF_</w:t>
    </w:r>
    <w:r>
      <w:rPr>
        <w:b w:val="0"/>
        <w:sz w:val="20"/>
        <w:szCs w:val="20"/>
      </w:rPr>
      <w:t>S</w:t>
    </w:r>
    <w:r w:rsidRPr="00672A77">
      <w:rPr>
        <w:b w:val="0"/>
        <w:sz w:val="20"/>
        <w:szCs w:val="20"/>
      </w:rPr>
      <w:t xml:space="preserve">N; Likumprojekta „Par </w:t>
    </w:r>
    <w:r w:rsidRPr="00672A77">
      <w:rPr>
        <w:b w:val="0"/>
        <w:sz w:val="20"/>
        <w:szCs w:val="20"/>
        <w:lang w:eastAsia="lv-LV"/>
      </w:rPr>
      <w:t>Sadarbības nolīgumu par partnerību un attīstību starp Eiropas Savienību un tās dalībvalstīm, no vienas puses, un Afganistānas Islāma Republiku, no otras puses</w:t>
    </w:r>
    <w:r w:rsidRPr="00672A77">
      <w:rPr>
        <w:b w:val="0"/>
        <w:sz w:val="20"/>
        <w:szCs w:val="20"/>
      </w:rPr>
      <w:t xml:space="preserve"> (anotācija)</w:t>
    </w:r>
  </w:p>
  <w:p w:rsidR="00AF64AB" w:rsidRPr="00D72201" w:rsidRDefault="00906FEC" w:rsidP="000C3CC8">
    <w:pPr>
      <w:pStyle w:val="Title"/>
      <w:jc w:val="both"/>
      <w:rPr>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E5" w:rsidRDefault="00E07189">
      <w:r>
        <w:separator/>
      </w:r>
    </w:p>
  </w:footnote>
  <w:footnote w:type="continuationSeparator" w:id="0">
    <w:p w:rsidR="00AB2FE5" w:rsidRDefault="00E0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FA" w:rsidRDefault="009F52A4">
    <w:pPr>
      <w:pStyle w:val="Header"/>
      <w:jc w:val="center"/>
    </w:pPr>
    <w:r>
      <w:fldChar w:fldCharType="begin"/>
    </w:r>
    <w:r>
      <w:instrText xml:space="preserve"> PAGE   \* MERGEFORMAT </w:instrText>
    </w:r>
    <w:r>
      <w:fldChar w:fldCharType="separate"/>
    </w:r>
    <w:r w:rsidR="00906FEC">
      <w:rPr>
        <w:noProof/>
      </w:rPr>
      <w:t>2</w:t>
    </w:r>
    <w:r>
      <w:rPr>
        <w:noProof/>
      </w:rPr>
      <w:fldChar w:fldCharType="end"/>
    </w:r>
  </w:p>
  <w:p w:rsidR="00CC59FA" w:rsidRDefault="00906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3B"/>
    <w:rsid w:val="000518B0"/>
    <w:rsid w:val="0007312D"/>
    <w:rsid w:val="00076487"/>
    <w:rsid w:val="000824E2"/>
    <w:rsid w:val="000A58B6"/>
    <w:rsid w:val="000B44B9"/>
    <w:rsid w:val="000B4B3E"/>
    <w:rsid w:val="000B53A3"/>
    <w:rsid w:val="000C4D76"/>
    <w:rsid w:val="000C5580"/>
    <w:rsid w:val="000D57AE"/>
    <w:rsid w:val="000E52B6"/>
    <w:rsid w:val="000F4E9F"/>
    <w:rsid w:val="0010273B"/>
    <w:rsid w:val="001161B9"/>
    <w:rsid w:val="00130EB8"/>
    <w:rsid w:val="001538C0"/>
    <w:rsid w:val="00195B07"/>
    <w:rsid w:val="001A1186"/>
    <w:rsid w:val="001A1A3E"/>
    <w:rsid w:val="001B2E2F"/>
    <w:rsid w:val="001C30D9"/>
    <w:rsid w:val="001E59C2"/>
    <w:rsid w:val="001F5547"/>
    <w:rsid w:val="00233FE3"/>
    <w:rsid w:val="002564D6"/>
    <w:rsid w:val="002B4755"/>
    <w:rsid w:val="002E1B22"/>
    <w:rsid w:val="002F1616"/>
    <w:rsid w:val="00363D83"/>
    <w:rsid w:val="003663C7"/>
    <w:rsid w:val="00384435"/>
    <w:rsid w:val="003872E8"/>
    <w:rsid w:val="00393DBE"/>
    <w:rsid w:val="003B06E3"/>
    <w:rsid w:val="003B1223"/>
    <w:rsid w:val="003B5629"/>
    <w:rsid w:val="00427E92"/>
    <w:rsid w:val="00466FD6"/>
    <w:rsid w:val="00475FF3"/>
    <w:rsid w:val="00482A16"/>
    <w:rsid w:val="004A3342"/>
    <w:rsid w:val="004E3949"/>
    <w:rsid w:val="004F016C"/>
    <w:rsid w:val="00500365"/>
    <w:rsid w:val="00525AAF"/>
    <w:rsid w:val="00533710"/>
    <w:rsid w:val="00547F6C"/>
    <w:rsid w:val="00556D96"/>
    <w:rsid w:val="00576342"/>
    <w:rsid w:val="005928D4"/>
    <w:rsid w:val="00594A8D"/>
    <w:rsid w:val="005A178A"/>
    <w:rsid w:val="005A5A41"/>
    <w:rsid w:val="005D0689"/>
    <w:rsid w:val="005F0814"/>
    <w:rsid w:val="005F2170"/>
    <w:rsid w:val="0061620B"/>
    <w:rsid w:val="00616D97"/>
    <w:rsid w:val="00634EDF"/>
    <w:rsid w:val="00663E13"/>
    <w:rsid w:val="00664BE9"/>
    <w:rsid w:val="00682DA6"/>
    <w:rsid w:val="006913B1"/>
    <w:rsid w:val="00693516"/>
    <w:rsid w:val="006F01CD"/>
    <w:rsid w:val="00705C8C"/>
    <w:rsid w:val="007425AE"/>
    <w:rsid w:val="00791A09"/>
    <w:rsid w:val="007935B7"/>
    <w:rsid w:val="007B0D4E"/>
    <w:rsid w:val="007B1DAE"/>
    <w:rsid w:val="007E362D"/>
    <w:rsid w:val="007F765E"/>
    <w:rsid w:val="008024FB"/>
    <w:rsid w:val="00811CFE"/>
    <w:rsid w:val="00832C18"/>
    <w:rsid w:val="0085561B"/>
    <w:rsid w:val="0086002E"/>
    <w:rsid w:val="00882707"/>
    <w:rsid w:val="0088273D"/>
    <w:rsid w:val="00891C67"/>
    <w:rsid w:val="008B6C68"/>
    <w:rsid w:val="008C66CC"/>
    <w:rsid w:val="008D27A6"/>
    <w:rsid w:val="008F32F7"/>
    <w:rsid w:val="00906FEC"/>
    <w:rsid w:val="00934F8A"/>
    <w:rsid w:val="0095722D"/>
    <w:rsid w:val="009668E3"/>
    <w:rsid w:val="009B7BDE"/>
    <w:rsid w:val="009F52A4"/>
    <w:rsid w:val="00A75377"/>
    <w:rsid w:val="00A85016"/>
    <w:rsid w:val="00A94FC6"/>
    <w:rsid w:val="00AA20EA"/>
    <w:rsid w:val="00AB1404"/>
    <w:rsid w:val="00AB2FE5"/>
    <w:rsid w:val="00B57208"/>
    <w:rsid w:val="00B85685"/>
    <w:rsid w:val="00BB6B70"/>
    <w:rsid w:val="00BC45AD"/>
    <w:rsid w:val="00BE1CCD"/>
    <w:rsid w:val="00C23D49"/>
    <w:rsid w:val="00C7783B"/>
    <w:rsid w:val="00CA7E81"/>
    <w:rsid w:val="00CC2880"/>
    <w:rsid w:val="00CC2C27"/>
    <w:rsid w:val="00CD404C"/>
    <w:rsid w:val="00CD4D3C"/>
    <w:rsid w:val="00CF22B6"/>
    <w:rsid w:val="00D054BC"/>
    <w:rsid w:val="00D05531"/>
    <w:rsid w:val="00D214E9"/>
    <w:rsid w:val="00D24437"/>
    <w:rsid w:val="00D36F26"/>
    <w:rsid w:val="00D528FC"/>
    <w:rsid w:val="00D54531"/>
    <w:rsid w:val="00D876D4"/>
    <w:rsid w:val="00DB4896"/>
    <w:rsid w:val="00DD0C52"/>
    <w:rsid w:val="00DE68E9"/>
    <w:rsid w:val="00E02AEF"/>
    <w:rsid w:val="00E06910"/>
    <w:rsid w:val="00E07189"/>
    <w:rsid w:val="00E16694"/>
    <w:rsid w:val="00E21FAD"/>
    <w:rsid w:val="00E2446D"/>
    <w:rsid w:val="00E32D2B"/>
    <w:rsid w:val="00E44057"/>
    <w:rsid w:val="00E472DD"/>
    <w:rsid w:val="00E478DA"/>
    <w:rsid w:val="00E75B5C"/>
    <w:rsid w:val="00E76ED5"/>
    <w:rsid w:val="00EA27A8"/>
    <w:rsid w:val="00EB1E34"/>
    <w:rsid w:val="00EC0558"/>
    <w:rsid w:val="00ED2EF5"/>
    <w:rsid w:val="00EF24E2"/>
    <w:rsid w:val="00EF4CAB"/>
    <w:rsid w:val="00F00A3F"/>
    <w:rsid w:val="00F05F2B"/>
    <w:rsid w:val="00F27CEF"/>
    <w:rsid w:val="00F464B5"/>
    <w:rsid w:val="00F476B2"/>
    <w:rsid w:val="00F84749"/>
    <w:rsid w:val="00FD30F1"/>
    <w:rsid w:val="00FD7F42"/>
    <w:rsid w:val="00FE2EA2"/>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4BBF"/>
  <w15:docId w15:val="{96A1B258-182A-4251-9333-95E7E42B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7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273B"/>
    <w:pPr>
      <w:jc w:val="center"/>
    </w:pPr>
    <w:rPr>
      <w:b/>
    </w:rPr>
  </w:style>
  <w:style w:type="character" w:customStyle="1" w:styleId="TitleChar">
    <w:name w:val="Title Char"/>
    <w:basedOn w:val="DefaultParagraphFont"/>
    <w:link w:val="Title"/>
    <w:rsid w:val="0010273B"/>
    <w:rPr>
      <w:rFonts w:ascii="Times New Roman" w:eastAsia="Times New Roman" w:hAnsi="Times New Roman" w:cs="Times New Roman"/>
      <w:b/>
      <w:sz w:val="24"/>
      <w:szCs w:val="24"/>
    </w:rPr>
  </w:style>
  <w:style w:type="paragraph" w:styleId="Footer">
    <w:name w:val="footer"/>
    <w:basedOn w:val="Normal"/>
    <w:link w:val="FooterChar"/>
    <w:uiPriority w:val="99"/>
    <w:rsid w:val="0010273B"/>
    <w:pPr>
      <w:tabs>
        <w:tab w:val="center" w:pos="4153"/>
        <w:tab w:val="right" w:pos="8306"/>
      </w:tabs>
    </w:pPr>
    <w:rPr>
      <w:rFonts w:ascii="RimTimes" w:hAnsi="RimTimes"/>
      <w:snapToGrid w:val="0"/>
      <w:sz w:val="28"/>
      <w:szCs w:val="20"/>
    </w:rPr>
  </w:style>
  <w:style w:type="character" w:customStyle="1" w:styleId="FooterChar">
    <w:name w:val="Footer Char"/>
    <w:basedOn w:val="DefaultParagraphFont"/>
    <w:link w:val="Footer"/>
    <w:uiPriority w:val="99"/>
    <w:rsid w:val="0010273B"/>
    <w:rPr>
      <w:rFonts w:ascii="RimTimes" w:eastAsia="Times New Roman" w:hAnsi="RimTimes" w:cs="Times New Roman"/>
      <w:snapToGrid w:val="0"/>
      <w:sz w:val="28"/>
      <w:szCs w:val="20"/>
    </w:rPr>
  </w:style>
  <w:style w:type="character" w:styleId="Hyperlink">
    <w:name w:val="Hyperlink"/>
    <w:rsid w:val="0010273B"/>
    <w:rPr>
      <w:color w:val="0000FF"/>
      <w:u w:val="single"/>
    </w:rPr>
  </w:style>
  <w:style w:type="paragraph" w:styleId="Header">
    <w:name w:val="header"/>
    <w:basedOn w:val="Normal"/>
    <w:link w:val="HeaderChar"/>
    <w:uiPriority w:val="99"/>
    <w:unhideWhenUsed/>
    <w:rsid w:val="0010273B"/>
    <w:pPr>
      <w:tabs>
        <w:tab w:val="center" w:pos="4153"/>
        <w:tab w:val="right" w:pos="8306"/>
      </w:tabs>
    </w:pPr>
  </w:style>
  <w:style w:type="character" w:customStyle="1" w:styleId="HeaderChar">
    <w:name w:val="Header Char"/>
    <w:basedOn w:val="DefaultParagraphFont"/>
    <w:link w:val="Header"/>
    <w:uiPriority w:val="99"/>
    <w:rsid w:val="0010273B"/>
    <w:rPr>
      <w:rFonts w:ascii="Times New Roman" w:eastAsia="Times New Roman" w:hAnsi="Times New Roman" w:cs="Times New Roman"/>
      <w:sz w:val="24"/>
      <w:szCs w:val="24"/>
    </w:rPr>
  </w:style>
  <w:style w:type="paragraph" w:styleId="BodyText2">
    <w:name w:val="Body Text 2"/>
    <w:basedOn w:val="Normal"/>
    <w:link w:val="BodyText2Char"/>
    <w:rsid w:val="0010273B"/>
    <w:pPr>
      <w:jc w:val="both"/>
    </w:pPr>
    <w:rPr>
      <w:sz w:val="28"/>
      <w:szCs w:val="20"/>
    </w:rPr>
  </w:style>
  <w:style w:type="character" w:customStyle="1" w:styleId="BodyText2Char">
    <w:name w:val="Body Text 2 Char"/>
    <w:basedOn w:val="DefaultParagraphFont"/>
    <w:link w:val="BodyText2"/>
    <w:rsid w:val="0010273B"/>
    <w:rPr>
      <w:rFonts w:ascii="Times New Roman" w:eastAsia="Times New Roman" w:hAnsi="Times New Roman" w:cs="Times New Roman"/>
      <w:sz w:val="28"/>
      <w:szCs w:val="20"/>
    </w:rPr>
  </w:style>
  <w:style w:type="paragraph" w:styleId="BodyText">
    <w:name w:val="Body Text"/>
    <w:basedOn w:val="Normal"/>
    <w:link w:val="BodyTextChar"/>
    <w:unhideWhenUsed/>
    <w:rsid w:val="0010273B"/>
    <w:pPr>
      <w:spacing w:after="120"/>
    </w:pPr>
  </w:style>
  <w:style w:type="character" w:customStyle="1" w:styleId="BodyTextChar">
    <w:name w:val="Body Text Char"/>
    <w:basedOn w:val="DefaultParagraphFont"/>
    <w:link w:val="BodyText"/>
    <w:rsid w:val="0010273B"/>
    <w:rPr>
      <w:rFonts w:ascii="Times New Roman" w:eastAsia="Times New Roman" w:hAnsi="Times New Roman" w:cs="Times New Roman"/>
      <w:sz w:val="24"/>
      <w:szCs w:val="24"/>
    </w:rPr>
  </w:style>
  <w:style w:type="paragraph" w:customStyle="1" w:styleId="Statut">
    <w:name w:val="Statut"/>
    <w:basedOn w:val="Normal"/>
    <w:next w:val="Normal"/>
    <w:rsid w:val="0010273B"/>
    <w:pPr>
      <w:spacing w:before="360"/>
      <w:jc w:val="center"/>
    </w:pPr>
    <w:rPr>
      <w:szCs w:val="20"/>
      <w:lang w:eastAsia="zh-CN"/>
    </w:rPr>
  </w:style>
  <w:style w:type="paragraph" w:styleId="NormalWeb">
    <w:name w:val="Normal (Web)"/>
    <w:basedOn w:val="Normal"/>
    <w:uiPriority w:val="99"/>
    <w:unhideWhenUsed/>
    <w:rsid w:val="00384435"/>
    <w:pPr>
      <w:spacing w:before="100" w:beforeAutospacing="1" w:after="100" w:afterAutospacing="1"/>
    </w:pPr>
    <w:rPr>
      <w:lang w:eastAsia="lv-LV"/>
    </w:rPr>
  </w:style>
  <w:style w:type="paragraph" w:customStyle="1" w:styleId="ManualConsidrant">
    <w:name w:val="Manual Considérant"/>
    <w:basedOn w:val="Normal"/>
    <w:rsid w:val="00882707"/>
    <w:pPr>
      <w:spacing w:before="120" w:after="120"/>
      <w:ind w:left="709" w:hanging="709"/>
      <w:jc w:val="both"/>
    </w:pPr>
    <w:rPr>
      <w:rFonts w:eastAsiaTheme="minorHAnsi"/>
      <w:szCs w:val="22"/>
      <w:lang w:val="en-GB"/>
    </w:rPr>
  </w:style>
  <w:style w:type="paragraph" w:customStyle="1" w:styleId="Default">
    <w:name w:val="Default"/>
    <w:rsid w:val="006F01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044133">
      <w:bodyDiv w:val="1"/>
      <w:marLeft w:val="0"/>
      <w:marRight w:val="0"/>
      <w:marTop w:val="0"/>
      <w:marBottom w:val="0"/>
      <w:divBdr>
        <w:top w:val="none" w:sz="0" w:space="0" w:color="auto"/>
        <w:left w:val="none" w:sz="0" w:space="0" w:color="auto"/>
        <w:bottom w:val="none" w:sz="0" w:space="0" w:color="auto"/>
        <w:right w:val="none" w:sz="0" w:space="0" w:color="auto"/>
      </w:divBdr>
      <w:divsChild>
        <w:div w:id="1531842889">
          <w:marLeft w:val="0"/>
          <w:marRight w:val="0"/>
          <w:marTop w:val="0"/>
          <w:marBottom w:val="0"/>
          <w:divBdr>
            <w:top w:val="none" w:sz="0" w:space="0" w:color="auto"/>
            <w:left w:val="none" w:sz="0" w:space="0" w:color="auto"/>
            <w:bottom w:val="none" w:sz="0" w:space="0" w:color="auto"/>
            <w:right w:val="none" w:sz="0" w:space="0" w:color="auto"/>
          </w:divBdr>
          <w:divsChild>
            <w:div w:id="175462839">
              <w:marLeft w:val="0"/>
              <w:marRight w:val="0"/>
              <w:marTop w:val="0"/>
              <w:marBottom w:val="0"/>
              <w:divBdr>
                <w:top w:val="none" w:sz="0" w:space="0" w:color="auto"/>
                <w:left w:val="none" w:sz="0" w:space="0" w:color="auto"/>
                <w:bottom w:val="none" w:sz="0" w:space="0" w:color="auto"/>
                <w:right w:val="none" w:sz="0" w:space="0" w:color="auto"/>
              </w:divBdr>
              <w:divsChild>
                <w:div w:id="292055201">
                  <w:marLeft w:val="0"/>
                  <w:marRight w:val="0"/>
                  <w:marTop w:val="0"/>
                  <w:marBottom w:val="0"/>
                  <w:divBdr>
                    <w:top w:val="none" w:sz="0" w:space="0" w:color="auto"/>
                    <w:left w:val="none" w:sz="0" w:space="0" w:color="auto"/>
                    <w:bottom w:val="none" w:sz="0" w:space="0" w:color="auto"/>
                    <w:right w:val="none" w:sz="0" w:space="0" w:color="auto"/>
                  </w:divBdr>
                  <w:divsChild>
                    <w:div w:id="1581526260">
                      <w:marLeft w:val="0"/>
                      <w:marRight w:val="0"/>
                      <w:marTop w:val="45"/>
                      <w:marBottom w:val="0"/>
                      <w:divBdr>
                        <w:top w:val="none" w:sz="0" w:space="0" w:color="auto"/>
                        <w:left w:val="none" w:sz="0" w:space="0" w:color="auto"/>
                        <w:bottom w:val="none" w:sz="0" w:space="0" w:color="auto"/>
                        <w:right w:val="none" w:sz="0" w:space="0" w:color="auto"/>
                      </w:divBdr>
                      <w:divsChild>
                        <w:div w:id="329868341">
                          <w:marLeft w:val="0"/>
                          <w:marRight w:val="0"/>
                          <w:marTop w:val="0"/>
                          <w:marBottom w:val="0"/>
                          <w:divBdr>
                            <w:top w:val="none" w:sz="0" w:space="0" w:color="auto"/>
                            <w:left w:val="none" w:sz="0" w:space="0" w:color="auto"/>
                            <w:bottom w:val="none" w:sz="0" w:space="0" w:color="auto"/>
                            <w:right w:val="none" w:sz="0" w:space="0" w:color="auto"/>
                          </w:divBdr>
                          <w:divsChild>
                            <w:div w:id="482625104">
                              <w:marLeft w:val="2070"/>
                              <w:marRight w:val="3960"/>
                              <w:marTop w:val="0"/>
                              <w:marBottom w:val="0"/>
                              <w:divBdr>
                                <w:top w:val="none" w:sz="0" w:space="0" w:color="auto"/>
                                <w:left w:val="none" w:sz="0" w:space="0" w:color="auto"/>
                                <w:bottom w:val="none" w:sz="0" w:space="0" w:color="auto"/>
                                <w:right w:val="none" w:sz="0" w:space="0" w:color="auto"/>
                              </w:divBdr>
                              <w:divsChild>
                                <w:div w:id="74328281">
                                  <w:marLeft w:val="0"/>
                                  <w:marRight w:val="0"/>
                                  <w:marTop w:val="0"/>
                                  <w:marBottom w:val="0"/>
                                  <w:divBdr>
                                    <w:top w:val="none" w:sz="0" w:space="0" w:color="auto"/>
                                    <w:left w:val="none" w:sz="0" w:space="0" w:color="auto"/>
                                    <w:bottom w:val="none" w:sz="0" w:space="0" w:color="auto"/>
                                    <w:right w:val="none" w:sz="0" w:space="0" w:color="auto"/>
                                  </w:divBdr>
                                  <w:divsChild>
                                    <w:div w:id="444158118">
                                      <w:marLeft w:val="0"/>
                                      <w:marRight w:val="0"/>
                                      <w:marTop w:val="0"/>
                                      <w:marBottom w:val="0"/>
                                      <w:divBdr>
                                        <w:top w:val="none" w:sz="0" w:space="0" w:color="auto"/>
                                        <w:left w:val="none" w:sz="0" w:space="0" w:color="auto"/>
                                        <w:bottom w:val="none" w:sz="0" w:space="0" w:color="auto"/>
                                        <w:right w:val="none" w:sz="0" w:space="0" w:color="auto"/>
                                      </w:divBdr>
                                      <w:divsChild>
                                        <w:div w:id="411122776">
                                          <w:marLeft w:val="0"/>
                                          <w:marRight w:val="0"/>
                                          <w:marTop w:val="0"/>
                                          <w:marBottom w:val="0"/>
                                          <w:divBdr>
                                            <w:top w:val="none" w:sz="0" w:space="0" w:color="auto"/>
                                            <w:left w:val="none" w:sz="0" w:space="0" w:color="auto"/>
                                            <w:bottom w:val="none" w:sz="0" w:space="0" w:color="auto"/>
                                            <w:right w:val="none" w:sz="0" w:space="0" w:color="auto"/>
                                          </w:divBdr>
                                          <w:divsChild>
                                            <w:div w:id="857546534">
                                              <w:marLeft w:val="0"/>
                                              <w:marRight w:val="0"/>
                                              <w:marTop w:val="90"/>
                                              <w:marBottom w:val="0"/>
                                              <w:divBdr>
                                                <w:top w:val="none" w:sz="0" w:space="0" w:color="auto"/>
                                                <w:left w:val="none" w:sz="0" w:space="0" w:color="auto"/>
                                                <w:bottom w:val="none" w:sz="0" w:space="0" w:color="auto"/>
                                                <w:right w:val="none" w:sz="0" w:space="0" w:color="auto"/>
                                              </w:divBdr>
                                              <w:divsChild>
                                                <w:div w:id="1187787244">
                                                  <w:marLeft w:val="0"/>
                                                  <w:marRight w:val="0"/>
                                                  <w:marTop w:val="0"/>
                                                  <w:marBottom w:val="0"/>
                                                  <w:divBdr>
                                                    <w:top w:val="none" w:sz="0" w:space="0" w:color="auto"/>
                                                    <w:left w:val="none" w:sz="0" w:space="0" w:color="auto"/>
                                                    <w:bottom w:val="none" w:sz="0" w:space="0" w:color="auto"/>
                                                    <w:right w:val="none" w:sz="0" w:space="0" w:color="auto"/>
                                                  </w:divBdr>
                                                  <w:divsChild>
                                                    <w:div w:id="1197279278">
                                                      <w:marLeft w:val="0"/>
                                                      <w:marRight w:val="0"/>
                                                      <w:marTop w:val="0"/>
                                                      <w:marBottom w:val="0"/>
                                                      <w:divBdr>
                                                        <w:top w:val="none" w:sz="0" w:space="0" w:color="auto"/>
                                                        <w:left w:val="none" w:sz="0" w:space="0" w:color="auto"/>
                                                        <w:bottom w:val="none" w:sz="0" w:space="0" w:color="auto"/>
                                                        <w:right w:val="none" w:sz="0" w:space="0" w:color="auto"/>
                                                      </w:divBdr>
                                                      <w:divsChild>
                                                        <w:div w:id="1861167072">
                                                          <w:marLeft w:val="0"/>
                                                          <w:marRight w:val="0"/>
                                                          <w:marTop w:val="0"/>
                                                          <w:marBottom w:val="390"/>
                                                          <w:divBdr>
                                                            <w:top w:val="none" w:sz="0" w:space="0" w:color="auto"/>
                                                            <w:left w:val="none" w:sz="0" w:space="0" w:color="auto"/>
                                                            <w:bottom w:val="none" w:sz="0" w:space="0" w:color="auto"/>
                                                            <w:right w:val="none" w:sz="0" w:space="0" w:color="auto"/>
                                                          </w:divBdr>
                                                          <w:divsChild>
                                                            <w:div w:id="21177800">
                                                              <w:marLeft w:val="0"/>
                                                              <w:marRight w:val="0"/>
                                                              <w:marTop w:val="0"/>
                                                              <w:marBottom w:val="0"/>
                                                              <w:divBdr>
                                                                <w:top w:val="none" w:sz="0" w:space="0" w:color="auto"/>
                                                                <w:left w:val="none" w:sz="0" w:space="0" w:color="auto"/>
                                                                <w:bottom w:val="none" w:sz="0" w:space="0" w:color="auto"/>
                                                                <w:right w:val="none" w:sz="0" w:space="0" w:color="auto"/>
                                                              </w:divBdr>
                                                              <w:divsChild>
                                                                <w:div w:id="1238974035">
                                                                  <w:marLeft w:val="0"/>
                                                                  <w:marRight w:val="0"/>
                                                                  <w:marTop w:val="0"/>
                                                                  <w:marBottom w:val="0"/>
                                                                  <w:divBdr>
                                                                    <w:top w:val="none" w:sz="0" w:space="0" w:color="auto"/>
                                                                    <w:left w:val="none" w:sz="0" w:space="0" w:color="auto"/>
                                                                    <w:bottom w:val="none" w:sz="0" w:space="0" w:color="auto"/>
                                                                    <w:right w:val="none" w:sz="0" w:space="0" w:color="auto"/>
                                                                  </w:divBdr>
                                                                  <w:divsChild>
                                                                    <w:div w:id="1357661778">
                                                                      <w:marLeft w:val="0"/>
                                                                      <w:marRight w:val="0"/>
                                                                      <w:marTop w:val="0"/>
                                                                      <w:marBottom w:val="0"/>
                                                                      <w:divBdr>
                                                                        <w:top w:val="none" w:sz="0" w:space="0" w:color="auto"/>
                                                                        <w:left w:val="none" w:sz="0" w:space="0" w:color="auto"/>
                                                                        <w:bottom w:val="none" w:sz="0" w:space="0" w:color="auto"/>
                                                                        <w:right w:val="none" w:sz="0" w:space="0" w:color="auto"/>
                                                                      </w:divBdr>
                                                                      <w:divsChild>
                                                                        <w:div w:id="516584862">
                                                                          <w:marLeft w:val="0"/>
                                                                          <w:marRight w:val="0"/>
                                                                          <w:marTop w:val="0"/>
                                                                          <w:marBottom w:val="0"/>
                                                                          <w:divBdr>
                                                                            <w:top w:val="none" w:sz="0" w:space="0" w:color="auto"/>
                                                                            <w:left w:val="none" w:sz="0" w:space="0" w:color="auto"/>
                                                                            <w:bottom w:val="none" w:sz="0" w:space="0" w:color="auto"/>
                                                                            <w:right w:val="none" w:sz="0" w:space="0" w:color="auto"/>
                                                                          </w:divBdr>
                                                                          <w:divsChild>
                                                                            <w:div w:id="1934168086">
                                                                              <w:marLeft w:val="0"/>
                                                                              <w:marRight w:val="0"/>
                                                                              <w:marTop w:val="0"/>
                                                                              <w:marBottom w:val="0"/>
                                                                              <w:divBdr>
                                                                                <w:top w:val="none" w:sz="0" w:space="0" w:color="auto"/>
                                                                                <w:left w:val="none" w:sz="0" w:space="0" w:color="auto"/>
                                                                                <w:bottom w:val="none" w:sz="0" w:space="0" w:color="auto"/>
                                                                                <w:right w:val="none" w:sz="0" w:space="0" w:color="auto"/>
                                                                              </w:divBdr>
                                                                              <w:divsChild>
                                                                                <w:div w:id="1031149923">
                                                                                  <w:marLeft w:val="0"/>
                                                                                  <w:marRight w:val="0"/>
                                                                                  <w:marTop w:val="0"/>
                                                                                  <w:marBottom w:val="0"/>
                                                                                  <w:divBdr>
                                                                                    <w:top w:val="none" w:sz="0" w:space="0" w:color="auto"/>
                                                                                    <w:left w:val="none" w:sz="0" w:space="0" w:color="auto"/>
                                                                                    <w:bottom w:val="none" w:sz="0" w:space="0" w:color="auto"/>
                                                                                    <w:right w:val="none" w:sz="0" w:space="0" w:color="auto"/>
                                                                                  </w:divBdr>
                                                                                  <w:divsChild>
                                                                                    <w:div w:id="574972399">
                                                                                      <w:marLeft w:val="0"/>
                                                                                      <w:marRight w:val="0"/>
                                                                                      <w:marTop w:val="0"/>
                                                                                      <w:marBottom w:val="0"/>
                                                                                      <w:divBdr>
                                                                                        <w:top w:val="none" w:sz="0" w:space="0" w:color="auto"/>
                                                                                        <w:left w:val="none" w:sz="0" w:space="0" w:color="auto"/>
                                                                                        <w:bottom w:val="none" w:sz="0" w:space="0" w:color="auto"/>
                                                                                        <w:right w:val="none" w:sz="0" w:space="0" w:color="auto"/>
                                                                                      </w:divBdr>
                                                                                      <w:divsChild>
                                                                                        <w:div w:id="15425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31467-2A28-454B-96E0-D6A4E044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5</Pages>
  <Words>6867</Words>
  <Characters>3915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Sare</dc:creator>
  <cp:lastModifiedBy>Solvita Sare</cp:lastModifiedBy>
  <cp:revision>57</cp:revision>
  <dcterms:created xsi:type="dcterms:W3CDTF">2016-10-21T08:48:00Z</dcterms:created>
  <dcterms:modified xsi:type="dcterms:W3CDTF">2018-08-13T09:59:00Z</dcterms:modified>
</cp:coreProperties>
</file>