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530C0" w:rsidRPr="00D5202A" w:rsidP="00D530C0" w14:paraId="22E96750" w14:textId="77777777">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w:t>
      </w:r>
      <w:r w:rsidRPr="00D5202A">
        <w:rPr>
          <w:rFonts w:ascii="Times New Roman" w:eastAsia="Times New Roman" w:hAnsi="Times New Roman" w:cs="Times New Roman"/>
          <w:b/>
          <w:bCs/>
          <w:sz w:val="24"/>
          <w:szCs w:val="24"/>
          <w:lang w:eastAsia="lv-LV"/>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Pr>
          <w:rFonts w:ascii="Times New Roman" w:eastAsia="Times New Roman" w:hAnsi="Times New Roman" w:cs="Times New Roman"/>
          <w:b/>
          <w:bCs/>
          <w:sz w:val="24"/>
          <w:szCs w:val="24"/>
          <w:lang w:eastAsia="lv-LV"/>
        </w:rPr>
        <w:t>” projekta sākotnējās ietekmes novērtējuma ziņojums (anotācija)</w:t>
      </w:r>
    </w:p>
    <w:p w:rsidR="00D530C0" w:rsidRPr="00487661" w:rsidP="00D530C0" w14:paraId="6F2D1AF0"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5764"/>
      </w:tblGrid>
      <w:tr w14:paraId="3956BF40"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306F4FD7"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14:paraId="28E8863A"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D530C0" w:rsidRPr="00487661" w:rsidP="00927DB3" w14:paraId="4FF3D36A" w14:textId="77777777">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2134E" w:rsidP="0082134E" w14:paraId="58026931"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Tiesību akta projekta mērķis ir </w:t>
            </w:r>
            <w:r w:rsidRPr="0082134E">
              <w:rPr>
                <w:rFonts w:ascii="Times New Roman" w:eastAsia="Times New Roman" w:hAnsi="Times New Roman" w:cs="Times New Roman"/>
                <w:iCs/>
                <w:sz w:val="24"/>
                <w:szCs w:val="24"/>
                <w:lang w:eastAsia="lv-LV"/>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w:t>
            </w:r>
            <w:r>
              <w:rPr>
                <w:rFonts w:ascii="Times New Roman" w:eastAsia="Times New Roman" w:hAnsi="Times New Roman" w:cs="Times New Roman"/>
                <w:iCs/>
                <w:sz w:val="24"/>
                <w:szCs w:val="24"/>
                <w:lang w:eastAsia="lv-LV"/>
              </w:rPr>
              <w:t xml:space="preserve"> nosacījumu noteikšana un otrās projektu iesniegumu kārtas īstenošana.</w:t>
            </w:r>
          </w:p>
          <w:p w:rsidR="00D530C0" w:rsidRPr="00487661" w:rsidP="00927DB3" w14:paraId="6F8A54EA" w14:textId="77777777">
            <w:pPr>
              <w:spacing w:after="0" w:line="240" w:lineRule="auto"/>
              <w:jc w:val="both"/>
              <w:rPr>
                <w:rFonts w:ascii="Times New Roman" w:eastAsia="Times New Roman" w:hAnsi="Times New Roman" w:cs="Times New Roman"/>
                <w:iCs/>
                <w:sz w:val="24"/>
                <w:szCs w:val="24"/>
                <w:lang w:eastAsia="lv-LV"/>
              </w:rPr>
            </w:pPr>
          </w:p>
        </w:tc>
      </w:tr>
    </w:tbl>
    <w:p w:rsidR="00D530C0" w:rsidRPr="00487661" w:rsidP="00D530C0" w14:paraId="7B72243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35741725"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64E4B802"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 Tiesību akta projekta izstrādes nepieciešamība</w:t>
            </w:r>
          </w:p>
        </w:tc>
      </w:tr>
      <w:tr w14:paraId="20276B1C"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41A8A7E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7E3F25D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579C3EF0"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hAnsi="Times New Roman" w:cs="Times New Roman"/>
                <w:sz w:val="24"/>
                <w:szCs w:val="24"/>
                <w:shd w:val="clear" w:color="auto" w:fill="FFFFFF"/>
              </w:rPr>
              <w:t xml:space="preserve">Eiropas Savienības struktūrfondu un Kohēzijas fonda 2014.-2020.gada plānošanas perioda vadības likuma 20. panta </w:t>
            </w:r>
            <w:r w:rsidR="00DA652F">
              <w:rPr>
                <w:rFonts w:ascii="Times New Roman" w:hAnsi="Times New Roman" w:cs="Times New Roman"/>
                <w:sz w:val="24"/>
                <w:szCs w:val="24"/>
                <w:shd w:val="clear" w:color="auto" w:fill="FFFFFF"/>
              </w:rPr>
              <w:t>13.punkts</w:t>
            </w:r>
          </w:p>
        </w:tc>
      </w:tr>
      <w:tr w14:paraId="0CF588DE"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2344D68F"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22E7E71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D530C0" w:rsidRPr="009E691F" w:rsidP="006F7FBE" w14:paraId="35985D14" w14:textId="2B678E3A">
            <w:pPr>
              <w:spacing w:after="0" w:line="240" w:lineRule="auto"/>
              <w:jc w:val="both"/>
              <w:rPr>
                <w:rFonts w:ascii="Times New Roman" w:eastAsia="Times New Roman" w:hAnsi="Times New Roman" w:cs="Times New Roman"/>
                <w:bCs/>
                <w:iCs/>
                <w:color w:val="FF0000"/>
                <w:sz w:val="24"/>
                <w:szCs w:val="24"/>
                <w:lang w:eastAsia="lv-LV"/>
              </w:rPr>
            </w:pPr>
            <w:r>
              <w:rPr>
                <w:rFonts w:ascii="Times New Roman" w:eastAsia="Calibri" w:hAnsi="Times New Roman" w:cs="Times New Roman"/>
                <w:bCs/>
                <w:sz w:val="24"/>
                <w:szCs w:val="24"/>
                <w:lang w:eastAsia="lv-LV"/>
              </w:rPr>
              <w:t>Ekonomikas ministrija sadarbībā ar Centrālo finanšu un līgumu aģentūru no 2016.gada jū</w:t>
            </w:r>
            <w:r w:rsidR="00B30FD5">
              <w:rPr>
                <w:rFonts w:ascii="Times New Roman" w:eastAsia="Calibri" w:hAnsi="Times New Roman" w:cs="Times New Roman"/>
                <w:bCs/>
                <w:sz w:val="24"/>
                <w:szCs w:val="24"/>
                <w:lang w:eastAsia="lv-LV"/>
              </w:rPr>
              <w:t>n</w:t>
            </w:r>
            <w:r>
              <w:rPr>
                <w:rFonts w:ascii="Times New Roman" w:eastAsia="Calibri" w:hAnsi="Times New Roman" w:cs="Times New Roman"/>
                <w:bCs/>
                <w:sz w:val="24"/>
                <w:szCs w:val="24"/>
                <w:lang w:eastAsia="lv-LV"/>
              </w:rPr>
              <w:t>ija līdz 2016.gada augustam īstenoja 3.1.1.5. pasākuma “Atbalsts ieguldījumiem ražošanas telpu un infrastruktūras izveidei vai rekonstrukcijai”</w:t>
            </w:r>
            <w:r w:rsidR="00927DB3">
              <w:rPr>
                <w:rFonts w:ascii="Times New Roman" w:eastAsia="Calibri" w:hAnsi="Times New Roman" w:cs="Times New Roman"/>
                <w:bCs/>
                <w:sz w:val="24"/>
                <w:szCs w:val="24"/>
                <w:lang w:eastAsia="lv-LV"/>
              </w:rPr>
              <w:t xml:space="preserve"> pirmo atlases kārtu, kā ietvaros tika atlasīti 40 projekti, kas saņēma Eiropas Reģionālā attīstības  fonda finansējumu iesniegto projektu īstenošanai. Ņemot vērā faktu, ka pirmās atlases kārtas ietvaros tika apstiprināti tikai puse no iesniegtajiem projektiem, kā arī ņemot vērā komersantu augsto interesi par līdzvērtīgas atlases kārtas atkārtotu īstenošanu, Ekonomikas ministrija </w:t>
            </w:r>
            <w:r w:rsidR="004A501B">
              <w:rPr>
                <w:rFonts w:ascii="Times New Roman" w:eastAsia="Calibri" w:hAnsi="Times New Roman" w:cs="Times New Roman"/>
                <w:bCs/>
                <w:sz w:val="24"/>
                <w:szCs w:val="24"/>
                <w:lang w:eastAsia="lv-LV"/>
              </w:rPr>
              <w:t>2017.gadā rosināja</w:t>
            </w:r>
            <w:r w:rsidR="00927DB3">
              <w:rPr>
                <w:rFonts w:ascii="Times New Roman" w:eastAsia="Calibri" w:hAnsi="Times New Roman" w:cs="Times New Roman"/>
                <w:bCs/>
                <w:sz w:val="24"/>
                <w:szCs w:val="24"/>
                <w:lang w:eastAsia="lv-LV"/>
              </w:rPr>
              <w:t xml:space="preserve"> veikt Eiropas Reģionālā attīstības fonda (turpm</w:t>
            </w:r>
            <w:r w:rsidR="004A501B">
              <w:rPr>
                <w:rFonts w:ascii="Times New Roman" w:eastAsia="Calibri" w:hAnsi="Times New Roman" w:cs="Times New Roman"/>
                <w:bCs/>
                <w:sz w:val="24"/>
                <w:szCs w:val="24"/>
                <w:lang w:eastAsia="lv-LV"/>
              </w:rPr>
              <w:t>āk – ERAF) finansējuma pārdali, samazinot</w:t>
            </w:r>
            <w:r w:rsidR="00927DB3">
              <w:rPr>
                <w:rFonts w:ascii="Times New Roman" w:eastAsia="Calibri" w:hAnsi="Times New Roman" w:cs="Times New Roman"/>
                <w:bCs/>
                <w:sz w:val="24"/>
                <w:szCs w:val="24"/>
                <w:lang w:eastAsia="lv-LV"/>
              </w:rPr>
              <w:t xml:space="preserve"> ERAF finansējumu finanšu instrumentu veidā īstenotām atbalsta programmām, lai rastu brīvu ERAF finansējumu 3.1.1.5. pasākuma “Atbalsts ieguldījumiem ražošanas telpu un infrastruktūras izveidei vai rekonstrukcijai” otrās</w:t>
            </w:r>
            <w:r w:rsidR="00A34D1D">
              <w:rPr>
                <w:rFonts w:ascii="Times New Roman" w:eastAsia="Calibri" w:hAnsi="Times New Roman" w:cs="Times New Roman"/>
                <w:bCs/>
                <w:sz w:val="24"/>
                <w:szCs w:val="24"/>
                <w:lang w:eastAsia="lv-LV"/>
              </w:rPr>
              <w:t xml:space="preserve"> atlases</w:t>
            </w:r>
            <w:r w:rsidR="00927DB3">
              <w:rPr>
                <w:rFonts w:ascii="Times New Roman" w:eastAsia="Calibri" w:hAnsi="Times New Roman" w:cs="Times New Roman"/>
                <w:bCs/>
                <w:sz w:val="24"/>
                <w:szCs w:val="24"/>
                <w:lang w:eastAsia="lv-LV"/>
              </w:rPr>
              <w:t xml:space="preserve"> kārtas</w:t>
            </w:r>
            <w:r w:rsidR="00A34D1D">
              <w:rPr>
                <w:rFonts w:ascii="Times New Roman" w:eastAsia="Calibri" w:hAnsi="Times New Roman" w:cs="Times New Roman"/>
                <w:bCs/>
                <w:sz w:val="24"/>
                <w:szCs w:val="24"/>
                <w:lang w:eastAsia="lv-LV"/>
              </w:rPr>
              <w:t xml:space="preserve"> (turpmāk – 3.1.1.5.pasākums)</w:t>
            </w:r>
            <w:r w:rsidR="00927DB3">
              <w:rPr>
                <w:rFonts w:ascii="Times New Roman" w:eastAsia="Calibri" w:hAnsi="Times New Roman" w:cs="Times New Roman"/>
                <w:bCs/>
                <w:sz w:val="24"/>
                <w:szCs w:val="24"/>
                <w:lang w:eastAsia="lv-LV"/>
              </w:rPr>
              <w:t xml:space="preserve"> īstenošanai.</w:t>
            </w:r>
            <w:r w:rsidR="00377CA0">
              <w:rPr>
                <w:rFonts w:ascii="Times New Roman" w:eastAsia="Calibri" w:hAnsi="Times New Roman" w:cs="Times New Roman"/>
                <w:bCs/>
                <w:sz w:val="24"/>
                <w:szCs w:val="24"/>
                <w:lang w:eastAsia="lv-LV"/>
              </w:rPr>
              <w:t xml:space="preserve"> </w:t>
            </w:r>
            <w:r w:rsidR="004A501B">
              <w:rPr>
                <w:rFonts w:ascii="Times New Roman" w:eastAsia="Calibri" w:hAnsi="Times New Roman" w:cs="Times New Roman"/>
                <w:bCs/>
                <w:sz w:val="24"/>
                <w:szCs w:val="24"/>
                <w:lang w:eastAsia="lv-LV"/>
              </w:rPr>
              <w:t>K</w:t>
            </w:r>
            <w:r w:rsidR="00377CA0">
              <w:rPr>
                <w:rFonts w:ascii="Times New Roman" w:eastAsia="Calibri" w:hAnsi="Times New Roman" w:cs="Times New Roman"/>
                <w:bCs/>
                <w:sz w:val="24"/>
                <w:szCs w:val="24"/>
                <w:lang w:eastAsia="lv-LV"/>
              </w:rPr>
              <w:t xml:space="preserve">onkrēts katrā finanšu instrumentā samazinātais apjoms ir norādīts </w:t>
            </w:r>
            <w:r w:rsidRPr="006F7FBE" w:rsidR="006F7FBE">
              <w:rPr>
                <w:rFonts w:ascii="Times New Roman" w:eastAsia="Calibri" w:hAnsi="Times New Roman" w:cs="Times New Roman"/>
                <w:bCs/>
                <w:sz w:val="24"/>
                <w:szCs w:val="24"/>
                <w:lang w:eastAsia="lv-LV"/>
              </w:rPr>
              <w:t xml:space="preserve">Ministru kabineta </w:t>
            </w:r>
            <w:r w:rsidR="00D8533B">
              <w:rPr>
                <w:rFonts w:ascii="Times New Roman" w:eastAsia="Calibri" w:hAnsi="Times New Roman" w:cs="Times New Roman"/>
                <w:bCs/>
                <w:sz w:val="24"/>
                <w:szCs w:val="24"/>
                <w:lang w:eastAsia="lv-LV"/>
              </w:rPr>
              <w:t xml:space="preserve">2018.gada 24.aprīļa </w:t>
            </w:r>
            <w:r w:rsidRPr="006F7FBE" w:rsidR="006F7FBE">
              <w:rPr>
                <w:rFonts w:ascii="Times New Roman" w:eastAsia="Calibri" w:hAnsi="Times New Roman" w:cs="Times New Roman"/>
                <w:bCs/>
                <w:sz w:val="24"/>
                <w:szCs w:val="24"/>
                <w:lang w:eastAsia="lv-LV"/>
              </w:rPr>
              <w:t xml:space="preserve">noteikumu “Grozījumi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w:t>
            </w:r>
            <w:r w:rsidRPr="006F7FBE" w:rsidR="006F7FBE">
              <w:rPr>
                <w:rFonts w:ascii="Times New Roman" w:eastAsia="Calibri" w:hAnsi="Times New Roman" w:cs="Times New Roman"/>
                <w:bCs/>
                <w:sz w:val="24"/>
                <w:szCs w:val="24"/>
                <w:lang w:eastAsia="lv-LV"/>
              </w:rPr>
              <w:t>straujas izaugsmes komersantu skaitu” pasākumu ieviešanai”” sākotnējās ietekmes novērtējuma ziņojum</w:t>
            </w:r>
            <w:r w:rsidR="00D8533B">
              <w:rPr>
                <w:rFonts w:ascii="Times New Roman" w:eastAsia="Calibri" w:hAnsi="Times New Roman" w:cs="Times New Roman"/>
                <w:bCs/>
                <w:sz w:val="24"/>
                <w:szCs w:val="24"/>
                <w:lang w:eastAsia="lv-LV"/>
              </w:rPr>
              <w:t>ā</w:t>
            </w:r>
            <w:r w:rsidRPr="006F7FBE" w:rsidR="006F7FBE">
              <w:rPr>
                <w:rFonts w:ascii="Times New Roman" w:eastAsia="Calibri" w:hAnsi="Times New Roman" w:cs="Times New Roman"/>
                <w:bCs/>
                <w:sz w:val="24"/>
                <w:szCs w:val="24"/>
                <w:lang w:eastAsia="lv-LV"/>
              </w:rPr>
              <w:t xml:space="preserve"> (anotācija)</w:t>
            </w:r>
            <w:r w:rsidR="00D8533B">
              <w:rPr>
                <w:rFonts w:ascii="Times New Roman" w:eastAsia="Calibri" w:hAnsi="Times New Roman" w:cs="Times New Roman"/>
                <w:bCs/>
                <w:sz w:val="24"/>
                <w:szCs w:val="24"/>
                <w:lang w:eastAsia="lv-LV"/>
              </w:rPr>
              <w:t xml:space="preserve">. </w:t>
            </w:r>
            <w:r w:rsidR="003A4E0B">
              <w:rPr>
                <w:rFonts w:ascii="Times New Roman" w:eastAsia="Calibri" w:hAnsi="Times New Roman" w:cs="Times New Roman"/>
                <w:bCs/>
                <w:sz w:val="24"/>
                <w:szCs w:val="24"/>
                <w:lang w:eastAsia="lv-LV"/>
              </w:rPr>
              <w:t>V</w:t>
            </w:r>
            <w:r w:rsidR="00D8533B">
              <w:rPr>
                <w:rFonts w:ascii="Times New Roman" w:eastAsia="Calibri" w:hAnsi="Times New Roman" w:cs="Times New Roman"/>
                <w:bCs/>
                <w:sz w:val="24"/>
                <w:szCs w:val="24"/>
                <w:lang w:eastAsia="lv-LV"/>
              </w:rPr>
              <w:t xml:space="preserve">eiktais samazinājums neietekmē Darbības programmā “Izaugsme un nodarbinātība” noteikto rādītāju sasniegšanu. </w:t>
            </w:r>
            <w:r w:rsidR="00A45324">
              <w:rPr>
                <w:rFonts w:ascii="Times New Roman" w:eastAsia="Times New Roman" w:hAnsi="Times New Roman" w:cs="Times New Roman"/>
                <w:bCs/>
                <w:iCs/>
                <w:sz w:val="24"/>
                <w:szCs w:val="24"/>
                <w:lang w:eastAsia="lv-LV"/>
              </w:rPr>
              <w:t>N</w:t>
            </w:r>
            <w:r w:rsidR="00D8533B">
              <w:rPr>
                <w:rFonts w:ascii="Times New Roman" w:eastAsia="Times New Roman" w:hAnsi="Times New Roman" w:cs="Times New Roman"/>
                <w:bCs/>
                <w:iCs/>
                <w:sz w:val="24"/>
                <w:szCs w:val="24"/>
                <w:lang w:eastAsia="lv-LV"/>
              </w:rPr>
              <w:t xml:space="preserve">orādām, ka 3.1.1.5.pasākuma otrās atlases kārtas ietvaros netiek piemērota snieguma rezerve. Veicot finansējuma pārdali no finanšu instrumentu atbalsta programmām uz 3.1.1.5.pasākuma otro atlases kārtas, snieguma rezerve tiek saglabāta finanšu instrumentu atbalsta programmās, atbilstoši šo programmu regulējušiem Ministru kabineta noteikumiem. </w:t>
            </w:r>
            <w:r w:rsidRPr="00F41C60" w:rsidR="00D8533B">
              <w:rPr>
                <w:rFonts w:ascii="Times New Roman" w:eastAsia="Times New Roman" w:hAnsi="Times New Roman" w:cs="Times New Roman"/>
                <w:bCs/>
                <w:iCs/>
                <w:sz w:val="24"/>
                <w:szCs w:val="24"/>
                <w:lang w:eastAsia="lv-LV"/>
              </w:rPr>
              <w:t>Papildus norādām, ka 3.1.1.5</w:t>
            </w:r>
            <w:r w:rsidR="007E5802">
              <w:rPr>
                <w:rFonts w:ascii="Times New Roman" w:eastAsia="Times New Roman" w:hAnsi="Times New Roman" w:cs="Times New Roman"/>
                <w:bCs/>
                <w:iCs/>
                <w:sz w:val="24"/>
                <w:szCs w:val="24"/>
                <w:lang w:eastAsia="lv-LV"/>
              </w:rPr>
              <w:t>.</w:t>
            </w:r>
            <w:r w:rsidRPr="00F41C60" w:rsidR="00D8533B">
              <w:rPr>
                <w:rFonts w:ascii="Times New Roman" w:eastAsia="Times New Roman" w:hAnsi="Times New Roman" w:cs="Times New Roman"/>
                <w:bCs/>
                <w:iCs/>
                <w:sz w:val="24"/>
                <w:szCs w:val="24"/>
                <w:lang w:eastAsia="lv-LV"/>
              </w:rPr>
              <w:t xml:space="preserve"> pasākuma otrās atlases kārta</w:t>
            </w:r>
            <w:r w:rsidRPr="00F41C60" w:rsidR="00F46A57">
              <w:rPr>
                <w:rFonts w:ascii="Times New Roman" w:eastAsia="Times New Roman" w:hAnsi="Times New Roman" w:cs="Times New Roman"/>
                <w:bCs/>
                <w:iCs/>
                <w:sz w:val="24"/>
                <w:szCs w:val="24"/>
                <w:lang w:eastAsia="lv-LV"/>
              </w:rPr>
              <w:t>,</w:t>
            </w:r>
            <w:r w:rsidRPr="00F41C60" w:rsidR="00D8533B">
              <w:rPr>
                <w:rFonts w:ascii="Times New Roman" w:eastAsia="Times New Roman" w:hAnsi="Times New Roman" w:cs="Times New Roman"/>
                <w:bCs/>
                <w:iCs/>
                <w:sz w:val="24"/>
                <w:szCs w:val="24"/>
                <w:lang w:eastAsia="lv-LV"/>
              </w:rPr>
              <w:t xml:space="preserve"> </w:t>
            </w:r>
            <w:r w:rsidRPr="00F41C60" w:rsidR="00F46A57">
              <w:rPr>
                <w:rFonts w:ascii="Times New Roman" w:eastAsia="Times New Roman" w:hAnsi="Times New Roman" w:cs="Times New Roman"/>
                <w:bCs/>
                <w:iCs/>
                <w:sz w:val="24"/>
                <w:szCs w:val="24"/>
                <w:lang w:eastAsia="lv-LV"/>
              </w:rPr>
              <w:t xml:space="preserve">atbilstoši CFLA sniegtai informācijai, </w:t>
            </w:r>
            <w:r w:rsidRPr="00F41C60" w:rsidR="00D8533B">
              <w:rPr>
                <w:rFonts w:ascii="Times New Roman" w:eastAsia="Times New Roman" w:hAnsi="Times New Roman" w:cs="Times New Roman"/>
                <w:bCs/>
                <w:iCs/>
                <w:sz w:val="24"/>
                <w:szCs w:val="24"/>
                <w:lang w:eastAsia="lv-LV"/>
              </w:rPr>
              <w:t>tiks papildināta ar 3.1.1.5.</w:t>
            </w:r>
            <w:r w:rsidR="007E5802">
              <w:rPr>
                <w:rFonts w:ascii="Times New Roman" w:eastAsia="Times New Roman" w:hAnsi="Times New Roman" w:cs="Times New Roman"/>
                <w:bCs/>
                <w:iCs/>
                <w:sz w:val="24"/>
                <w:szCs w:val="24"/>
                <w:lang w:eastAsia="lv-LV"/>
              </w:rPr>
              <w:t xml:space="preserve"> </w:t>
            </w:r>
            <w:bookmarkStart w:id="0" w:name="_GoBack"/>
            <w:bookmarkEnd w:id="0"/>
            <w:r w:rsidRPr="00F41C60" w:rsidR="00D8533B">
              <w:rPr>
                <w:rFonts w:ascii="Times New Roman" w:eastAsia="Times New Roman" w:hAnsi="Times New Roman" w:cs="Times New Roman"/>
                <w:bCs/>
                <w:iCs/>
                <w:sz w:val="24"/>
                <w:szCs w:val="24"/>
                <w:lang w:eastAsia="lv-LV"/>
              </w:rPr>
              <w:t xml:space="preserve">pasākuma pirmās atlases </w:t>
            </w:r>
            <w:r w:rsidRPr="00F41C60" w:rsidR="00F46A57">
              <w:rPr>
                <w:rFonts w:ascii="Times New Roman" w:eastAsia="Times New Roman" w:hAnsi="Times New Roman" w:cs="Times New Roman"/>
                <w:bCs/>
                <w:iCs/>
                <w:sz w:val="24"/>
                <w:szCs w:val="24"/>
                <w:lang w:eastAsia="lv-LV"/>
              </w:rPr>
              <w:t xml:space="preserve">kārtas neizmantoto finansējumu un tiks veikti </w:t>
            </w:r>
            <w:r w:rsidRPr="00F41C60" w:rsidR="00905301">
              <w:rPr>
                <w:rFonts w:ascii="Times New Roman" w:eastAsia="Times New Roman" w:hAnsi="Times New Roman" w:cs="Times New Roman"/>
                <w:bCs/>
                <w:iCs/>
                <w:sz w:val="24"/>
                <w:szCs w:val="24"/>
                <w:lang w:eastAsia="lv-LV"/>
              </w:rPr>
              <w:t>grozījumi 3.1.1.5.pasākuma pirmās atlases kārtas regulējušos Ministru kabineta noteikumos par pieejamā  finansējuma samazināšanu.</w:t>
            </w:r>
            <w:r w:rsidRPr="00F41C60" w:rsidR="00BD3798">
              <w:rPr>
                <w:rFonts w:ascii="Times New Roman" w:eastAsia="Times New Roman" w:hAnsi="Times New Roman" w:cs="Times New Roman"/>
                <w:sz w:val="28"/>
                <w:szCs w:val="28"/>
                <w:lang w:eastAsia="lv-LV"/>
              </w:rPr>
              <w:t xml:space="preserve"> </w:t>
            </w:r>
            <w:r w:rsidRPr="00F41C60" w:rsidR="00BD3798">
              <w:rPr>
                <w:rFonts w:ascii="Times New Roman" w:eastAsia="Times New Roman" w:hAnsi="Times New Roman" w:cs="Times New Roman"/>
                <w:sz w:val="24"/>
                <w:szCs w:val="24"/>
                <w:lang w:eastAsia="lv-LV"/>
              </w:rPr>
              <w:t>Papildus piešķirtais ERAF finansējums 3.1.1.5.pasākuma otrās projektu iesniegumu atlases kārtas ietvaros izmantojams tādā kārtībā, kā noteikts gadījumos, ja netiek izmantots viss plānošanas reģioniem pieejamais finansējums, proti –  atlikušo finansējumu izmanto, lai atbalstītu nākamo projekta iesniegumu ar augstāko punktu skaitu Kurzemes, Latgales, Vidzemes vai Zemgales plānošanas reģionā.</w:t>
            </w:r>
          </w:p>
          <w:p w:rsidR="00905301" w:rsidP="00925BB7" w14:paraId="6C4C1C9B" w14:textId="3EF2494A">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Iesniegtais </w:t>
            </w:r>
            <w:r w:rsidRPr="00927DB3">
              <w:rPr>
                <w:rFonts w:ascii="Times New Roman" w:eastAsia="Times New Roman" w:hAnsi="Times New Roman" w:cs="Times New Roman"/>
                <w:bCs/>
                <w:iCs/>
                <w:sz w:val="24"/>
                <w:szCs w:val="24"/>
                <w:lang w:eastAsia="lv-LV"/>
              </w:rPr>
              <w:t>Ministru kabineta noteikumu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 projekt</w:t>
            </w:r>
            <w:r>
              <w:rPr>
                <w:rFonts w:ascii="Times New Roman" w:eastAsia="Times New Roman" w:hAnsi="Times New Roman" w:cs="Times New Roman"/>
                <w:bCs/>
                <w:iCs/>
                <w:sz w:val="24"/>
                <w:szCs w:val="24"/>
                <w:lang w:eastAsia="lv-LV"/>
              </w:rPr>
              <w:t>s (turpmāk – MK noteikumu projekts) nosaka vispārīgas prasības 3.1.1.5.</w:t>
            </w:r>
            <w:r w:rsidR="00A34D1D">
              <w:rPr>
                <w:rFonts w:ascii="Times New Roman" w:eastAsia="Times New Roman" w:hAnsi="Times New Roman" w:cs="Times New Roman"/>
                <w:bCs/>
                <w:iCs/>
                <w:sz w:val="24"/>
                <w:szCs w:val="24"/>
                <w:lang w:eastAsia="lv-LV"/>
              </w:rPr>
              <w:t>pasākuma</w:t>
            </w:r>
            <w:r>
              <w:rPr>
                <w:rFonts w:ascii="Times New Roman" w:eastAsia="Times New Roman" w:hAnsi="Times New Roman" w:cs="Times New Roman"/>
                <w:bCs/>
                <w:iCs/>
                <w:sz w:val="24"/>
                <w:szCs w:val="24"/>
                <w:lang w:eastAsia="lv-LV"/>
              </w:rPr>
              <w:t xml:space="preserve"> īstenošanai, tai skaitā prasības projekta iesniedzējam, projektam, pieejamo ERAF finansējumu un citas prasības.</w:t>
            </w:r>
            <w:r w:rsidR="00A34D1D">
              <w:rPr>
                <w:rFonts w:ascii="Times New Roman" w:eastAsia="Times New Roman" w:hAnsi="Times New Roman" w:cs="Times New Roman"/>
                <w:bCs/>
                <w:iCs/>
                <w:sz w:val="24"/>
                <w:szCs w:val="24"/>
                <w:lang w:eastAsia="lv-LV"/>
              </w:rPr>
              <w:t xml:space="preserve"> </w:t>
            </w:r>
          </w:p>
          <w:p w:rsidR="00BA642F" w:rsidP="00925BB7" w14:paraId="3137A34E" w14:textId="09162AB2">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Līdzvērtīgi kā 3.1.1.5.pasākuma pirmajā atlases kārtā arī pasākuma otrajā atlases kārtā finansējumam saņēmējs var būt </w:t>
            </w:r>
            <w:r w:rsidR="006B5AA9">
              <w:rPr>
                <w:rFonts w:ascii="Times New Roman" w:eastAsia="Times New Roman" w:hAnsi="Times New Roman" w:cs="Times New Roman"/>
                <w:bCs/>
                <w:iCs/>
                <w:sz w:val="24"/>
                <w:szCs w:val="24"/>
                <w:lang w:eastAsia="lv-LV"/>
              </w:rPr>
              <w:t xml:space="preserve">Latvijas Republikā reģistrēts komersants, tai skaitā pašvaldību kapitālsabiedrība, </w:t>
            </w:r>
            <w:r>
              <w:rPr>
                <w:rFonts w:ascii="Times New Roman" w:eastAsia="Times New Roman" w:hAnsi="Times New Roman" w:cs="Times New Roman"/>
                <w:bCs/>
                <w:iCs/>
                <w:sz w:val="24"/>
                <w:szCs w:val="24"/>
                <w:lang w:eastAsia="lv-LV"/>
              </w:rPr>
              <w:t xml:space="preserve">kā arī </w:t>
            </w:r>
            <w:r w:rsidR="006B5AA9">
              <w:rPr>
                <w:rFonts w:ascii="Times New Roman" w:eastAsia="Times New Roman" w:hAnsi="Times New Roman" w:cs="Times New Roman"/>
                <w:bCs/>
                <w:iCs/>
                <w:sz w:val="24"/>
                <w:szCs w:val="24"/>
                <w:lang w:eastAsia="lv-LV"/>
              </w:rPr>
              <w:t xml:space="preserve">nodibinājums </w:t>
            </w:r>
            <w:r>
              <w:rPr>
                <w:rFonts w:ascii="Times New Roman" w:eastAsia="Times New Roman" w:hAnsi="Times New Roman" w:cs="Times New Roman"/>
                <w:bCs/>
                <w:iCs/>
                <w:sz w:val="24"/>
                <w:szCs w:val="24"/>
                <w:lang w:eastAsia="lv-LV"/>
              </w:rPr>
              <w:t>un</w:t>
            </w:r>
            <w:r w:rsidR="006B5AA9">
              <w:rPr>
                <w:rFonts w:ascii="Times New Roman" w:eastAsia="Times New Roman" w:hAnsi="Times New Roman" w:cs="Times New Roman"/>
                <w:bCs/>
                <w:iCs/>
                <w:sz w:val="24"/>
                <w:szCs w:val="24"/>
                <w:lang w:eastAsia="lv-LV"/>
              </w:rPr>
              <w:t xml:space="preserve"> ostu pārvalde. Ekonomikas ministrija skaidro, ka nodibinājuma mērķis var būt attīstīt vai veicināt komercdarbību attiecīgajā </w:t>
            </w:r>
            <w:r w:rsidR="00536D4B">
              <w:rPr>
                <w:rFonts w:ascii="Times New Roman" w:eastAsia="Times New Roman" w:hAnsi="Times New Roman" w:cs="Times New Roman"/>
                <w:sz w:val="24"/>
                <w:szCs w:val="24"/>
                <w:lang w:eastAsia="lv-LV"/>
              </w:rPr>
              <w:t xml:space="preserve">plānošanas </w:t>
            </w:r>
            <w:r w:rsidR="006B5AA9">
              <w:rPr>
                <w:rFonts w:ascii="Times New Roman" w:eastAsia="Times New Roman" w:hAnsi="Times New Roman" w:cs="Times New Roman"/>
                <w:bCs/>
                <w:iCs/>
                <w:sz w:val="24"/>
                <w:szCs w:val="24"/>
                <w:lang w:eastAsia="lv-LV"/>
              </w:rPr>
              <w:t xml:space="preserve">reģionā, </w:t>
            </w:r>
            <w:r w:rsidR="00F86BBD">
              <w:rPr>
                <w:rFonts w:ascii="Times New Roman" w:eastAsia="Times New Roman" w:hAnsi="Times New Roman" w:cs="Times New Roman"/>
                <w:bCs/>
                <w:iCs/>
                <w:sz w:val="24"/>
                <w:szCs w:val="24"/>
                <w:lang w:eastAsia="lv-LV"/>
              </w:rPr>
              <w:t xml:space="preserve">attiecīgi konkrētā projekta ietvaros nodibinājums kā finansējuma saņēmējs fokusējas nevis uz peļņas gūšanu, bet komercdarbības vides uzlabošanu konkrētā </w:t>
            </w:r>
            <w:r w:rsidR="00536D4B">
              <w:rPr>
                <w:rFonts w:ascii="Times New Roman" w:eastAsia="Times New Roman" w:hAnsi="Times New Roman" w:cs="Times New Roman"/>
                <w:sz w:val="24"/>
                <w:szCs w:val="24"/>
                <w:lang w:eastAsia="lv-LV"/>
              </w:rPr>
              <w:t xml:space="preserve">plānošanas </w:t>
            </w:r>
            <w:r w:rsidR="00F86BBD">
              <w:rPr>
                <w:rFonts w:ascii="Times New Roman" w:eastAsia="Times New Roman" w:hAnsi="Times New Roman" w:cs="Times New Roman"/>
                <w:bCs/>
                <w:iCs/>
                <w:sz w:val="24"/>
                <w:szCs w:val="24"/>
                <w:lang w:eastAsia="lv-LV"/>
              </w:rPr>
              <w:t xml:space="preserve">reģionā. Kā piemēru šādam nodibinājumam var minēt </w:t>
            </w:r>
            <w:r w:rsidR="00D831F3">
              <w:rPr>
                <w:rFonts w:ascii="Times New Roman" w:eastAsia="Times New Roman" w:hAnsi="Times New Roman" w:cs="Times New Roman"/>
                <w:bCs/>
                <w:iCs/>
                <w:sz w:val="24"/>
                <w:szCs w:val="24"/>
                <w:lang w:eastAsia="lv-LV"/>
              </w:rPr>
              <w:t xml:space="preserve">nodibinājumu “Ventspils Augsto tehnoloģiju parks”, kura galvenais uzdevums ir nepieciešamās infrastruktūras un atbalsta pakalpojumu nodrošināšana komersantiem. Jāpiebilst, ka arī starptautiski šāda prakse tiek </w:t>
            </w:r>
            <w:r w:rsidR="00C3788F">
              <w:rPr>
                <w:rFonts w:ascii="Times New Roman" w:eastAsia="Times New Roman" w:hAnsi="Times New Roman" w:cs="Times New Roman"/>
                <w:bCs/>
                <w:iCs/>
                <w:sz w:val="24"/>
                <w:szCs w:val="24"/>
                <w:lang w:eastAsia="lv-LV"/>
              </w:rPr>
              <w:t xml:space="preserve">vispārēji atzīta un </w:t>
            </w:r>
            <w:r w:rsidR="00D831F3">
              <w:rPr>
                <w:rFonts w:ascii="Times New Roman" w:eastAsia="Times New Roman" w:hAnsi="Times New Roman" w:cs="Times New Roman"/>
                <w:bCs/>
                <w:iCs/>
                <w:sz w:val="24"/>
                <w:szCs w:val="24"/>
                <w:lang w:eastAsia="lv-LV"/>
              </w:rPr>
              <w:t xml:space="preserve">piemērota </w:t>
            </w:r>
            <w:r w:rsidR="00D831F3">
              <w:rPr>
                <w:rFonts w:ascii="Times New Roman" w:eastAsia="Times New Roman" w:hAnsi="Times New Roman" w:cs="Times New Roman"/>
                <w:bCs/>
                <w:iCs/>
                <w:sz w:val="24"/>
                <w:szCs w:val="24"/>
                <w:lang w:eastAsia="lv-LV"/>
              </w:rPr>
              <w:t xml:space="preserve">industriālo parku izveidē, kurā nodibinājumu dibina attiecīgās pašvaldības pārstāvji, augstskolu pārstāvji un komersantu organizāciju pārstāvji. </w:t>
            </w:r>
            <w:r>
              <w:rPr>
                <w:rFonts w:ascii="Times New Roman" w:eastAsia="Times New Roman" w:hAnsi="Times New Roman" w:cs="Times New Roman"/>
                <w:bCs/>
                <w:iCs/>
                <w:sz w:val="24"/>
                <w:szCs w:val="24"/>
                <w:lang w:eastAsia="lv-LV"/>
              </w:rPr>
              <w:t xml:space="preserve">Tādā veidā nodrošinot projekta īstenošanu nevis peļņas nolūkā, bet attīstības. </w:t>
            </w:r>
            <w:r w:rsidR="00CB37C4">
              <w:rPr>
                <w:rFonts w:ascii="Times New Roman" w:eastAsia="Times New Roman" w:hAnsi="Times New Roman" w:cs="Times New Roman"/>
                <w:bCs/>
                <w:iCs/>
                <w:sz w:val="24"/>
                <w:szCs w:val="24"/>
                <w:lang w:eastAsia="lv-LV"/>
              </w:rPr>
              <w:t xml:space="preserve">Ekonomikas ministrija skaidro, ka, </w:t>
            </w:r>
            <w:r w:rsidR="003E2104">
              <w:rPr>
                <w:rFonts w:ascii="Times New Roman" w:eastAsia="Times New Roman" w:hAnsi="Times New Roman" w:cs="Times New Roman"/>
                <w:bCs/>
                <w:iCs/>
                <w:sz w:val="24"/>
                <w:szCs w:val="24"/>
                <w:lang w:eastAsia="lv-LV"/>
              </w:rPr>
              <w:t>n</w:t>
            </w:r>
            <w:r w:rsidR="00CB37C4">
              <w:rPr>
                <w:rFonts w:ascii="Times New Roman" w:eastAsia="Times New Roman" w:hAnsi="Times New Roman" w:cs="Times New Roman"/>
                <w:bCs/>
                <w:iCs/>
                <w:sz w:val="24"/>
                <w:szCs w:val="24"/>
                <w:lang w:eastAsia="lv-LV"/>
              </w:rPr>
              <w:t>eskatoties uz faktu, ka pašvaldību sabiedrības ietilpst terminā komersants, lai nodrošinātu nepārprotamu tiesību normas uztveri, Ekonomikas ministrija ir norādījusi pašvaldību sabiedrības kā terminā komersants ietilpstošu subjektu.</w:t>
            </w:r>
          </w:p>
          <w:p w:rsidR="0054628D" w:rsidP="00925BB7" w14:paraId="0C83185C" w14:textId="3270A570">
            <w:pPr>
              <w:spacing w:after="0" w:line="240" w:lineRule="auto"/>
              <w:jc w:val="both"/>
              <w:rPr>
                <w:rFonts w:ascii="Times New Roman" w:eastAsia="Times New Roman" w:hAnsi="Times New Roman" w:cs="Times New Roman"/>
                <w:sz w:val="24"/>
                <w:szCs w:val="24"/>
                <w:lang w:eastAsia="lv-LV"/>
              </w:rPr>
            </w:pPr>
            <w:r w:rsidRPr="00A34D1D">
              <w:rPr>
                <w:rFonts w:ascii="Times New Roman" w:eastAsia="Times New Roman" w:hAnsi="Times New Roman" w:cs="Times New Roman"/>
                <w:bCs/>
                <w:iCs/>
                <w:sz w:val="24"/>
                <w:szCs w:val="24"/>
                <w:lang w:eastAsia="lv-LV"/>
              </w:rPr>
              <w:t>Atšķirībā no 3.1.1.5.pasākuma pirmās atlases kārta ievaros īstenotiem projektiem, 3.1.1.5.pasākuma atlases otrā kārta paredz atbalstu ne tikai apstrādes rūpniecības komersantiem, bet arī viedās specializācijas (RIS3) pārstāvošu nozaru atbalstu, precīzāk, atbalstu informācijas un komunikāciju tehnoloģiju nozarei</w:t>
            </w:r>
            <w:r w:rsidR="00D62E4B">
              <w:rPr>
                <w:rFonts w:ascii="Times New Roman" w:eastAsia="Times New Roman" w:hAnsi="Times New Roman" w:cs="Times New Roman"/>
                <w:bCs/>
                <w:iCs/>
                <w:sz w:val="24"/>
                <w:szCs w:val="24"/>
                <w:lang w:eastAsia="lv-LV"/>
              </w:rPr>
              <w:t xml:space="preserve"> (turpmāk tekstā arī IKT)</w:t>
            </w:r>
            <w:r w:rsidRPr="00A34D1D">
              <w:rPr>
                <w:rFonts w:ascii="Times New Roman" w:eastAsia="Times New Roman" w:hAnsi="Times New Roman" w:cs="Times New Roman"/>
                <w:bCs/>
                <w:iCs/>
                <w:sz w:val="24"/>
                <w:szCs w:val="24"/>
                <w:lang w:eastAsia="lv-LV"/>
              </w:rPr>
              <w:t xml:space="preserve">. Attiecīgi </w:t>
            </w:r>
            <w:r w:rsidRPr="00A34D1D">
              <w:rPr>
                <w:rFonts w:ascii="Times New Roman" w:eastAsia="Times New Roman" w:hAnsi="Times New Roman" w:cs="Times New Roman"/>
                <w:sz w:val="24"/>
                <w:szCs w:val="24"/>
                <w:lang w:eastAsia="lv-LV"/>
              </w:rPr>
              <w:t xml:space="preserve">Kurzemes, Latgales, Vidzemes vai Zemgales </w:t>
            </w:r>
            <w:r w:rsidR="00536D4B">
              <w:rPr>
                <w:rFonts w:ascii="Times New Roman" w:eastAsia="Times New Roman" w:hAnsi="Times New Roman" w:cs="Times New Roman"/>
                <w:sz w:val="24"/>
                <w:szCs w:val="24"/>
                <w:lang w:eastAsia="lv-LV"/>
              </w:rPr>
              <w:t xml:space="preserve">plānošanas </w:t>
            </w:r>
            <w:r w:rsidRPr="00A34D1D">
              <w:rPr>
                <w:rFonts w:ascii="Times New Roman" w:eastAsia="Times New Roman" w:hAnsi="Times New Roman" w:cs="Times New Roman"/>
                <w:sz w:val="24"/>
                <w:szCs w:val="24"/>
                <w:lang w:eastAsia="lv-LV"/>
              </w:rPr>
              <w:t>reģionā iespējams iesniegt projektu apstrādes rūpniecībai nepieciešamo ražošanas telpu izveidei vai rekonstrukcijai</w:t>
            </w:r>
            <w:r w:rsidR="003E2104">
              <w:rPr>
                <w:rFonts w:ascii="Times New Roman" w:eastAsia="Times New Roman" w:hAnsi="Times New Roman" w:cs="Times New Roman"/>
                <w:sz w:val="24"/>
                <w:szCs w:val="24"/>
                <w:lang w:eastAsia="lv-LV"/>
              </w:rPr>
              <w:t>.</w:t>
            </w:r>
          </w:p>
          <w:p w:rsidR="00245F90" w:rsidP="00925BB7" w14:paraId="3E80B569" w14:textId="23828A15">
            <w:pPr>
              <w:spacing w:after="0" w:line="240" w:lineRule="auto"/>
              <w:jc w:val="both"/>
              <w:rPr>
                <w:rFonts w:ascii="Times New Roman" w:eastAsia="Times New Roman" w:hAnsi="Times New Roman" w:cs="Times New Roman"/>
                <w:sz w:val="24"/>
                <w:szCs w:val="24"/>
                <w:lang w:eastAsia="lv-LV"/>
              </w:rPr>
            </w:pPr>
            <w:r w:rsidRPr="00244E0D">
              <w:rPr>
                <w:rFonts w:ascii="Times New Roman" w:eastAsia="Times New Roman" w:hAnsi="Times New Roman" w:cs="Times New Roman"/>
                <w:sz w:val="24"/>
                <w:szCs w:val="24"/>
                <w:lang w:eastAsia="lv-LV"/>
              </w:rPr>
              <w:t>Darbības programmas “Izaugsme un nodarbinātība” ietvaros attiecībā uz 3.1.1.specifisko atbalsta mērķi tiek akcentēts uzdevums veicināt apstrādes rūpniecības īpatsvara pieaugumu, vienlaikus nodrošinot arī apstrādes rūpniecības produktivitātes celšanu. Ekonomikas ministrija norāda, ka 3.1.1.5.pasākuma otrā atlases kārta fokusējas tieši uz produktivitātes rādītāju celšanu – no vienas puses -  atbrīvojot apstrādes rūpniecības komersantu finanšu līdzekļus produktīvā</w:t>
            </w:r>
            <w:r w:rsidR="003E2104">
              <w:rPr>
                <w:rFonts w:ascii="Times New Roman" w:eastAsia="Times New Roman" w:hAnsi="Times New Roman" w:cs="Times New Roman"/>
                <w:sz w:val="24"/>
                <w:szCs w:val="24"/>
                <w:lang w:eastAsia="lv-LV"/>
              </w:rPr>
              <w:t>m</w:t>
            </w:r>
            <w:r w:rsidRPr="00244E0D">
              <w:rPr>
                <w:rFonts w:ascii="Times New Roman" w:eastAsia="Times New Roman" w:hAnsi="Times New Roman" w:cs="Times New Roman"/>
                <w:sz w:val="24"/>
                <w:szCs w:val="24"/>
                <w:lang w:eastAsia="lv-LV"/>
              </w:rPr>
              <w:t xml:space="preserve"> investīcijām, no otras puses - risinot produktīvu investīciju pieejamību apstrādes rūpniecībā.</w:t>
            </w:r>
            <w:r w:rsidR="00D8533B">
              <w:rPr>
                <w:rFonts w:ascii="Times New Roman" w:eastAsia="Times New Roman" w:hAnsi="Times New Roman" w:cs="Times New Roman"/>
                <w:sz w:val="24"/>
                <w:szCs w:val="24"/>
                <w:lang w:eastAsia="lv-LV"/>
              </w:rPr>
              <w:t xml:space="preserve"> </w:t>
            </w:r>
            <w:r w:rsidRPr="00244E0D">
              <w:rPr>
                <w:rFonts w:ascii="Times New Roman" w:eastAsia="Times New Roman" w:hAnsi="Times New Roman" w:cs="Times New Roman"/>
                <w:sz w:val="24"/>
                <w:szCs w:val="24"/>
                <w:lang w:eastAsia="lv-LV"/>
              </w:rPr>
              <w:t xml:space="preserve">2018.gada 12.martā ES Konkurētspējas padome (COMPET) pieņēma secinājumus par ES industriālās politikas stratēģiju, norādot uz rūpniecības </w:t>
            </w:r>
            <w:r w:rsidRPr="00244E0D">
              <w:rPr>
                <w:rFonts w:ascii="Times New Roman" w:eastAsia="Times New Roman" w:hAnsi="Times New Roman" w:cs="Times New Roman"/>
                <w:sz w:val="24"/>
                <w:szCs w:val="24"/>
                <w:lang w:eastAsia="lv-LV"/>
              </w:rPr>
              <w:t>digitalizācijas</w:t>
            </w:r>
            <w:r w:rsidRPr="00244E0D">
              <w:rPr>
                <w:rFonts w:ascii="Times New Roman" w:eastAsia="Times New Roman" w:hAnsi="Times New Roman" w:cs="Times New Roman"/>
                <w:sz w:val="24"/>
                <w:szCs w:val="24"/>
                <w:lang w:eastAsia="lv-LV"/>
              </w:rPr>
              <w:t xml:space="preserve"> (</w:t>
            </w:r>
            <w:r w:rsidRPr="007E2844">
              <w:rPr>
                <w:rFonts w:ascii="Times New Roman" w:eastAsia="Times New Roman" w:hAnsi="Times New Roman" w:cs="Times New Roman"/>
                <w:i/>
                <w:sz w:val="24"/>
                <w:szCs w:val="24"/>
                <w:lang w:eastAsia="lv-LV"/>
              </w:rPr>
              <w:t>Industry</w:t>
            </w:r>
            <w:r w:rsidRPr="007E2844">
              <w:rPr>
                <w:rFonts w:ascii="Times New Roman" w:eastAsia="Times New Roman" w:hAnsi="Times New Roman" w:cs="Times New Roman"/>
                <w:i/>
                <w:sz w:val="24"/>
                <w:szCs w:val="24"/>
                <w:lang w:eastAsia="lv-LV"/>
              </w:rPr>
              <w:t xml:space="preserve"> 4.0</w:t>
            </w:r>
            <w:r w:rsidRPr="00244E0D">
              <w:rPr>
                <w:rFonts w:ascii="Times New Roman" w:eastAsia="Times New Roman" w:hAnsi="Times New Roman" w:cs="Times New Roman"/>
                <w:sz w:val="24"/>
                <w:szCs w:val="24"/>
                <w:lang w:eastAsia="lv-LV"/>
              </w:rPr>
              <w:t>) vitālo lomu produktivitātes celšanā. Ekonomikas ministrija vēlas norādīt, ka D</w:t>
            </w:r>
            <w:r w:rsidR="00D62E4B">
              <w:rPr>
                <w:rFonts w:ascii="Times New Roman" w:eastAsia="Times New Roman" w:hAnsi="Times New Roman" w:cs="Times New Roman"/>
                <w:sz w:val="24"/>
                <w:szCs w:val="24"/>
                <w:lang w:eastAsia="lv-LV"/>
              </w:rPr>
              <w:t>arbības programmas</w:t>
            </w:r>
            <w:r w:rsidRPr="00244E0D">
              <w:rPr>
                <w:rFonts w:ascii="Times New Roman" w:eastAsia="Times New Roman" w:hAnsi="Times New Roman" w:cs="Times New Roman"/>
                <w:sz w:val="24"/>
                <w:szCs w:val="24"/>
                <w:lang w:eastAsia="lv-LV"/>
              </w:rPr>
              <w:t xml:space="preserve"> ietvaros nav noteikts ierobežojums 3.1.1.specifisko atbalsta mērķi koncentrēt tikai uz pamatražošan</w:t>
            </w:r>
            <w:r w:rsidR="00D62E4B">
              <w:rPr>
                <w:rFonts w:ascii="Times New Roman" w:eastAsia="Times New Roman" w:hAnsi="Times New Roman" w:cs="Times New Roman"/>
                <w:sz w:val="24"/>
                <w:szCs w:val="24"/>
                <w:lang w:eastAsia="lv-LV"/>
              </w:rPr>
              <w:t>u</w:t>
            </w:r>
            <w:r w:rsidRPr="00244E0D">
              <w:rPr>
                <w:rFonts w:ascii="Times New Roman" w:eastAsia="Times New Roman" w:hAnsi="Times New Roman" w:cs="Times New Roman"/>
                <w:sz w:val="24"/>
                <w:szCs w:val="24"/>
                <w:lang w:eastAsia="lv-LV"/>
              </w:rPr>
              <w:t xml:space="preserve"> (</w:t>
            </w:r>
            <w:r w:rsidRPr="007E2844">
              <w:rPr>
                <w:rFonts w:ascii="Times New Roman" w:eastAsia="Times New Roman" w:hAnsi="Times New Roman" w:cs="Times New Roman"/>
                <w:i/>
                <w:sz w:val="24"/>
                <w:szCs w:val="24"/>
                <w:lang w:eastAsia="lv-LV"/>
              </w:rPr>
              <w:t>core</w:t>
            </w:r>
            <w:r w:rsidRPr="007E2844">
              <w:rPr>
                <w:rFonts w:ascii="Times New Roman" w:eastAsia="Times New Roman" w:hAnsi="Times New Roman" w:cs="Times New Roman"/>
                <w:i/>
                <w:sz w:val="24"/>
                <w:szCs w:val="24"/>
                <w:lang w:eastAsia="lv-LV"/>
              </w:rPr>
              <w:t xml:space="preserve"> </w:t>
            </w:r>
            <w:r w:rsidRPr="007E2844">
              <w:rPr>
                <w:rFonts w:ascii="Times New Roman" w:eastAsia="Times New Roman" w:hAnsi="Times New Roman" w:cs="Times New Roman"/>
                <w:i/>
                <w:sz w:val="24"/>
                <w:szCs w:val="24"/>
                <w:lang w:eastAsia="lv-LV"/>
              </w:rPr>
              <w:t>manufacturing</w:t>
            </w:r>
            <w:r w:rsidRPr="007E2844">
              <w:rPr>
                <w:rFonts w:ascii="Times New Roman" w:eastAsia="Times New Roman" w:hAnsi="Times New Roman" w:cs="Times New Roman"/>
                <w:i/>
                <w:sz w:val="24"/>
                <w:szCs w:val="24"/>
                <w:lang w:eastAsia="lv-LV"/>
              </w:rPr>
              <w:t>)</w:t>
            </w:r>
            <w:r w:rsidRPr="00244E0D">
              <w:rPr>
                <w:rFonts w:ascii="Times New Roman" w:eastAsia="Times New Roman" w:hAnsi="Times New Roman" w:cs="Times New Roman"/>
                <w:sz w:val="24"/>
                <w:szCs w:val="24"/>
                <w:lang w:eastAsia="lv-LV"/>
              </w:rPr>
              <w:t xml:space="preserve"> </w:t>
            </w:r>
            <w:r w:rsidR="00D62E4B">
              <w:rPr>
                <w:rFonts w:ascii="Times New Roman" w:eastAsia="Times New Roman" w:hAnsi="Times New Roman" w:cs="Times New Roman"/>
                <w:sz w:val="24"/>
                <w:szCs w:val="24"/>
                <w:lang w:eastAsia="lv-LV"/>
              </w:rPr>
              <w:t>veicošiem maziem, vidējiem komersantiem</w:t>
            </w:r>
            <w:r w:rsidRPr="00244E0D">
              <w:rPr>
                <w:rFonts w:ascii="Times New Roman" w:eastAsia="Times New Roman" w:hAnsi="Times New Roman" w:cs="Times New Roman"/>
                <w:sz w:val="24"/>
                <w:szCs w:val="24"/>
                <w:lang w:eastAsia="lv-LV"/>
              </w:rPr>
              <w:t>. Tieši pretēji, D</w:t>
            </w:r>
            <w:r w:rsidR="00D62E4B">
              <w:rPr>
                <w:rFonts w:ascii="Times New Roman" w:eastAsia="Times New Roman" w:hAnsi="Times New Roman" w:cs="Times New Roman"/>
                <w:sz w:val="24"/>
                <w:szCs w:val="24"/>
                <w:lang w:eastAsia="lv-LV"/>
              </w:rPr>
              <w:t>arbības programmas</w:t>
            </w:r>
            <w:r w:rsidRPr="00244E0D">
              <w:rPr>
                <w:rFonts w:ascii="Times New Roman" w:eastAsia="Times New Roman" w:hAnsi="Times New Roman" w:cs="Times New Roman"/>
                <w:sz w:val="24"/>
                <w:szCs w:val="24"/>
                <w:lang w:eastAsia="lv-LV"/>
              </w:rPr>
              <w:t xml:space="preserve"> ietvaros ir noteikts mērķis attīstīt apstrādes rūpniecību, noteikta RIS3 prioritāte un akcentēta produktivitātes celšana. Attiecīgi bez rūpniecības </w:t>
            </w:r>
            <w:r w:rsidRPr="00244E0D">
              <w:rPr>
                <w:rFonts w:ascii="Times New Roman" w:eastAsia="Times New Roman" w:hAnsi="Times New Roman" w:cs="Times New Roman"/>
                <w:sz w:val="24"/>
                <w:szCs w:val="24"/>
                <w:lang w:eastAsia="lv-LV"/>
              </w:rPr>
              <w:t>digitalizācijas</w:t>
            </w:r>
            <w:r w:rsidRPr="00244E0D">
              <w:rPr>
                <w:rFonts w:ascii="Times New Roman" w:eastAsia="Times New Roman" w:hAnsi="Times New Roman" w:cs="Times New Roman"/>
                <w:sz w:val="24"/>
                <w:szCs w:val="24"/>
                <w:lang w:eastAsia="lv-LV"/>
              </w:rPr>
              <w:t xml:space="preserve"> minētie faktori nav sasniedzami. </w:t>
            </w:r>
            <w:r w:rsidR="001E060B">
              <w:rPr>
                <w:rFonts w:ascii="Times New Roman" w:eastAsia="Times New Roman" w:hAnsi="Times New Roman" w:cs="Times New Roman"/>
                <w:sz w:val="24"/>
                <w:szCs w:val="24"/>
                <w:lang w:eastAsia="lv-LV"/>
              </w:rPr>
              <w:t>A</w:t>
            </w:r>
            <w:r w:rsidRPr="00244E0D">
              <w:rPr>
                <w:rFonts w:ascii="Times New Roman" w:eastAsia="Times New Roman" w:hAnsi="Times New Roman" w:cs="Times New Roman"/>
                <w:sz w:val="24"/>
                <w:szCs w:val="24"/>
                <w:lang w:eastAsia="lv-LV"/>
              </w:rPr>
              <w:t xml:space="preserve">tšķirībā no 3.1.1.5.pasākuma pirmās atlases kārtas, 3.1.1.5.pasākuma otrajā atlases kārtā atbalstāmo nozaru loks tiek paplašināts uz RIS3 nozari – IKT. </w:t>
            </w:r>
          </w:p>
          <w:p w:rsidR="00497EB2" w:rsidP="00925BB7" w14:paraId="6CA9FDF9" w14:textId="3E9B37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Skaidrojam</w:t>
            </w:r>
            <w:r w:rsidRPr="00497EB2">
              <w:rPr>
                <w:rFonts w:ascii="Times New Roman" w:eastAsia="Times New Roman" w:hAnsi="Times New Roman" w:cs="Times New Roman"/>
                <w:sz w:val="24"/>
                <w:szCs w:val="24"/>
                <w:lang w:eastAsia="lv-LV"/>
              </w:rPr>
              <w:t xml:space="preserve">, ka pasākuma ietvaros ir atbalstāmas tikai tās darbības, kas ir saistītas ar </w:t>
            </w:r>
            <w:r>
              <w:rPr>
                <w:rFonts w:ascii="Times New Roman" w:eastAsia="Times New Roman" w:hAnsi="Times New Roman" w:cs="Times New Roman"/>
                <w:sz w:val="24"/>
                <w:szCs w:val="24"/>
                <w:lang w:eastAsia="lv-LV"/>
              </w:rPr>
              <w:t xml:space="preserve">informācijas un </w:t>
            </w:r>
            <w:r w:rsidRPr="00497EB2">
              <w:rPr>
                <w:rFonts w:ascii="Times New Roman" w:eastAsia="Times New Roman" w:hAnsi="Times New Roman" w:cs="Times New Roman"/>
                <w:sz w:val="24"/>
                <w:szCs w:val="24"/>
                <w:lang w:eastAsia="lv-LV"/>
              </w:rPr>
              <w:t xml:space="preserve">komunikāciju tehnoloģiju  produktu un procesu izstrādi, proti, </w:t>
            </w:r>
            <w:r>
              <w:rPr>
                <w:rFonts w:ascii="Times New Roman" w:eastAsia="Times New Roman" w:hAnsi="Times New Roman" w:cs="Times New Roman"/>
                <w:sz w:val="24"/>
                <w:szCs w:val="24"/>
                <w:lang w:eastAsia="lv-LV"/>
              </w:rPr>
              <w:t xml:space="preserve">nav attiecināma </w:t>
            </w:r>
            <w:r w:rsidRPr="00497EB2">
              <w:rPr>
                <w:rFonts w:ascii="Times New Roman" w:eastAsia="Times New Roman" w:hAnsi="Times New Roman" w:cs="Times New Roman"/>
                <w:sz w:val="24"/>
                <w:szCs w:val="24"/>
                <w:lang w:eastAsia="lv-LV"/>
              </w:rPr>
              <w:t>IT infrastruktūras uzturēšana, ārpakalpojumu, IT atbalsta un konsultāciju sniegšanu, kā arī dator</w:t>
            </w:r>
            <w:r>
              <w:rPr>
                <w:rFonts w:ascii="Times New Roman" w:eastAsia="Times New Roman" w:hAnsi="Times New Roman" w:cs="Times New Roman"/>
                <w:sz w:val="24"/>
                <w:szCs w:val="24"/>
                <w:lang w:eastAsia="lv-LV"/>
              </w:rPr>
              <w:t>tīklu uzturēšanu</w:t>
            </w:r>
            <w:r w:rsidRPr="00497EB2">
              <w:rPr>
                <w:rFonts w:ascii="Times New Roman" w:eastAsia="Times New Roman" w:hAnsi="Times New Roman" w:cs="Times New Roman"/>
                <w:sz w:val="24"/>
                <w:szCs w:val="24"/>
                <w:lang w:eastAsia="lv-LV"/>
              </w:rPr>
              <w:t xml:space="preserve">.    </w:t>
            </w:r>
          </w:p>
          <w:p w:rsidR="00754006" w:rsidRPr="0087010D" w:rsidP="00E81669" w14:paraId="785DE2D5" w14:textId="768B72CE">
            <w:pPr>
              <w:spacing w:after="0" w:line="240" w:lineRule="auto"/>
              <w:jc w:val="both"/>
              <w:rPr>
                <w:rFonts w:ascii="Times New Roman" w:hAnsi="Times New Roman" w:cs="Times New Roman"/>
                <w:sz w:val="24"/>
                <w:szCs w:val="24"/>
              </w:rPr>
            </w:pPr>
            <w:r w:rsidRPr="00CF7AEB">
              <w:rPr>
                <w:rFonts w:ascii="Times New Roman" w:hAnsi="Times New Roman" w:cs="Times New Roman"/>
                <w:sz w:val="24"/>
                <w:szCs w:val="24"/>
              </w:rPr>
              <w:t xml:space="preserve">Norādām, ka Sadarbības iestāde komersanta darbību IKT produktu un procesu ražošanā saturiski vērtēs projektu iesniegumu atlases vērtēšanas procesā un projektu </w:t>
            </w:r>
            <w:r w:rsidRPr="00CF7AEB">
              <w:rPr>
                <w:rFonts w:ascii="Times New Roman" w:hAnsi="Times New Roman" w:cs="Times New Roman"/>
                <w:sz w:val="24"/>
                <w:szCs w:val="24"/>
              </w:rPr>
              <w:t>pēcuzraudzības</w:t>
            </w:r>
            <w:r w:rsidRPr="00CF7AEB">
              <w:rPr>
                <w:rFonts w:ascii="Times New Roman" w:hAnsi="Times New Roman" w:cs="Times New Roman"/>
                <w:sz w:val="24"/>
                <w:szCs w:val="24"/>
              </w:rPr>
              <w:t xml:space="preserve"> periodā. </w:t>
            </w:r>
            <w:r w:rsidRPr="0087010D" w:rsidR="0087010D">
              <w:rPr>
                <w:rFonts w:ascii="Times New Roman" w:hAnsi="Times New Roman" w:cs="Times New Roman"/>
                <w:sz w:val="24"/>
                <w:szCs w:val="24"/>
              </w:rPr>
              <w:t>Nosacījumi</w:t>
            </w:r>
            <w:r w:rsidRPr="0087010D">
              <w:rPr>
                <w:rFonts w:ascii="Times New Roman" w:hAnsi="Times New Roman" w:cs="Times New Roman"/>
                <w:sz w:val="24"/>
                <w:szCs w:val="24"/>
              </w:rPr>
              <w:t>, kā projektu un uzņēmumu līmenī tiks pārbaudīts, ka komersants nodarbojas ar IKT produktu un pro</w:t>
            </w:r>
            <w:r w:rsidRPr="0087010D" w:rsidR="0087010D">
              <w:rPr>
                <w:rFonts w:ascii="Times New Roman" w:hAnsi="Times New Roman" w:cs="Times New Roman"/>
                <w:sz w:val="24"/>
                <w:szCs w:val="24"/>
              </w:rPr>
              <w:t>cesu ražošanu, tiks precizēti</w:t>
            </w:r>
            <w:r w:rsidR="00F144AF">
              <w:rPr>
                <w:rFonts w:ascii="Times New Roman" w:hAnsi="Times New Roman" w:cs="Times New Roman"/>
                <w:sz w:val="24"/>
                <w:szCs w:val="24"/>
              </w:rPr>
              <w:t xml:space="preserve"> vērtēšanas </w:t>
            </w:r>
            <w:r w:rsidRPr="00F144AF" w:rsidR="00F144AF">
              <w:rPr>
                <w:rFonts w:ascii="Times New Roman" w:hAnsi="Times New Roman" w:cs="Times New Roman"/>
                <w:sz w:val="24"/>
                <w:szCs w:val="24"/>
              </w:rPr>
              <w:t>kritēriju</w:t>
            </w:r>
            <w:r w:rsidRPr="00F144AF" w:rsidR="00F144AF">
              <w:rPr>
                <w:rFonts w:ascii="Times New Roman" w:hAnsi="Times New Roman" w:cs="Times New Roman"/>
              </w:rPr>
              <w:t xml:space="preserve"> </w:t>
            </w:r>
            <w:r w:rsidRPr="00F144AF" w:rsidR="00F144AF">
              <w:rPr>
                <w:rFonts w:ascii="Times New Roman" w:hAnsi="Times New Roman" w:cs="Times New Roman"/>
                <w:sz w:val="24"/>
                <w:szCs w:val="24"/>
              </w:rPr>
              <w:t>piemērošanas metodikā</w:t>
            </w:r>
            <w:r w:rsidRPr="00F144AF">
              <w:rPr>
                <w:rFonts w:ascii="Times New Roman" w:hAnsi="Times New Roman" w:cs="Times New Roman"/>
                <w:sz w:val="24"/>
                <w:szCs w:val="24"/>
              </w:rPr>
              <w:t>.</w:t>
            </w:r>
            <w:r w:rsidRPr="0087010D">
              <w:rPr>
                <w:rFonts w:ascii="Times New Roman" w:hAnsi="Times New Roman" w:cs="Times New Roman"/>
                <w:sz w:val="24"/>
                <w:szCs w:val="24"/>
              </w:rPr>
              <w:t xml:space="preserve"> </w:t>
            </w:r>
          </w:p>
          <w:p w:rsidR="00724334" w:rsidRPr="00032437" w:rsidP="00925BB7" w14:paraId="57EE815F" w14:textId="69FFDCD0">
            <w:pPr>
              <w:spacing w:after="0" w:line="240" w:lineRule="auto"/>
              <w:jc w:val="both"/>
              <w:rPr>
                <w:rFonts w:ascii="Times New Roman" w:eastAsia="Times New Roman" w:hAnsi="Times New Roman" w:cs="Times New Roman"/>
                <w:sz w:val="24"/>
                <w:szCs w:val="24"/>
                <w:lang w:eastAsia="lv-LV"/>
              </w:rPr>
            </w:pPr>
            <w:r w:rsidRPr="00A34D1D">
              <w:rPr>
                <w:rFonts w:ascii="Times New Roman" w:eastAsia="Times New Roman" w:hAnsi="Times New Roman" w:cs="Times New Roman"/>
                <w:sz w:val="24"/>
                <w:szCs w:val="24"/>
                <w:lang w:eastAsia="lv-LV"/>
              </w:rPr>
              <w:t xml:space="preserve">Apzinoties Rīgas </w:t>
            </w:r>
            <w:r w:rsidR="00536D4B">
              <w:rPr>
                <w:rFonts w:ascii="Times New Roman" w:eastAsia="Times New Roman" w:hAnsi="Times New Roman" w:cs="Times New Roman"/>
                <w:sz w:val="24"/>
                <w:szCs w:val="24"/>
                <w:lang w:eastAsia="lv-LV"/>
              </w:rPr>
              <w:t xml:space="preserve">plānošanas </w:t>
            </w:r>
            <w:r w:rsidRPr="00A34D1D">
              <w:rPr>
                <w:rFonts w:ascii="Times New Roman" w:eastAsia="Times New Roman" w:hAnsi="Times New Roman" w:cs="Times New Roman"/>
                <w:sz w:val="24"/>
                <w:szCs w:val="24"/>
                <w:lang w:eastAsia="lv-LV"/>
              </w:rPr>
              <w:t>reģiona (izņemot Rīgu) augsto potenciālu, 3.1.1.5. pasākuma otrās atlases kārtas ietvaros ir izvēlēts atbalstīt Rīgas</w:t>
            </w:r>
            <w:r w:rsidR="00536D4B">
              <w:rPr>
                <w:rFonts w:ascii="Times New Roman" w:eastAsia="Times New Roman" w:hAnsi="Times New Roman" w:cs="Times New Roman"/>
                <w:sz w:val="24"/>
                <w:szCs w:val="24"/>
                <w:lang w:eastAsia="lv-LV"/>
              </w:rPr>
              <w:t xml:space="preserve"> plānošanas</w:t>
            </w:r>
            <w:r w:rsidRPr="00A34D1D">
              <w:rPr>
                <w:rFonts w:ascii="Times New Roman" w:eastAsia="Times New Roman" w:hAnsi="Times New Roman" w:cs="Times New Roman"/>
                <w:sz w:val="24"/>
                <w:szCs w:val="24"/>
                <w:lang w:eastAsia="lv-LV"/>
              </w:rPr>
              <w:t xml:space="preserve"> reģionā tikai tādus projektus, kas veicina nozares, kas saskaņā ar Ekonomiskās sadarbības un attīstības organizācijas un Eiropas Savienības Statistikas biroja klasifikāciju tiek uzskatītas par augsti tehnoloģiskām (saskaņā ar NACE </w:t>
            </w:r>
            <w:r>
              <w:fldChar w:fldCharType="begin"/>
            </w:r>
            <w:r>
              <w:instrText xml:space="preserve"> HYPERLINK "https://likumi.lv/ta/id/281590-darbibas-programmas-izaugsme-un-nodarbinatiba-3-1-1-specifiska-atbalsta-merka-sekmet-mvk-izveidi-un-attistibu-ipasi" \l "n2" \t "_blank" </w:instrText>
            </w:r>
            <w:r>
              <w:fldChar w:fldCharType="separate"/>
            </w:r>
            <w:r w:rsidRPr="00A34D1D">
              <w:rPr>
                <w:rStyle w:val="Hyperlink"/>
                <w:rFonts w:ascii="Times New Roman" w:eastAsia="Times New Roman" w:hAnsi="Times New Roman" w:cs="Times New Roman"/>
                <w:color w:val="auto"/>
                <w:sz w:val="24"/>
                <w:szCs w:val="24"/>
                <w:u w:val="none"/>
                <w:lang w:eastAsia="lv-LV"/>
              </w:rPr>
              <w:t>2. </w:t>
            </w:r>
            <w:r>
              <w:fldChar w:fldCharType="end"/>
            </w:r>
            <w:r w:rsidRPr="00A34D1D">
              <w:rPr>
                <w:rFonts w:ascii="Times New Roman" w:eastAsia="Times New Roman" w:hAnsi="Times New Roman" w:cs="Times New Roman"/>
                <w:sz w:val="24"/>
                <w:szCs w:val="24"/>
                <w:lang w:eastAsia="lv-LV"/>
              </w:rPr>
              <w:t>red</w:t>
            </w:r>
            <w:r w:rsidRPr="00A34D1D">
              <w:rPr>
                <w:rFonts w:ascii="Times New Roman" w:eastAsia="Times New Roman" w:hAnsi="Times New Roman" w:cs="Times New Roman"/>
                <w:sz w:val="24"/>
                <w:szCs w:val="24"/>
                <w:lang w:eastAsia="lv-LV"/>
              </w:rPr>
              <w:t>. C sadaļu "Apstrādes rūpniecība"  - 21.nodaļa “Farmaceitisko pamatvielu un farmaceitisko preparātu ražošana”, 26.nodaļa “Datoru, elektronisko un optisko iekārtu ražošana” un 30.nodaļas “Citu transportlīdzekļu ražošana” 30.3.grupa “Lidaparātu, kosmisko aparātu un to iekārtu ražošana”)</w:t>
            </w:r>
            <w:r>
              <w:rPr>
                <w:rFonts w:ascii="Times New Roman" w:eastAsia="Times New Roman" w:hAnsi="Times New Roman" w:cs="Times New Roman"/>
                <w:sz w:val="24"/>
                <w:szCs w:val="24"/>
                <w:lang w:eastAsia="lv-LV"/>
              </w:rPr>
              <w:t xml:space="preserve"> attīstību, paredzot ražošanas telpu izveidi vai rekonstrukciju tikai šādu, augstas pievienotās vērtības nozaru komersantu vajadzībām. Papildus Rīgas </w:t>
            </w:r>
            <w:r w:rsidR="00536D4B">
              <w:rPr>
                <w:rFonts w:ascii="Times New Roman" w:eastAsia="Times New Roman" w:hAnsi="Times New Roman" w:cs="Times New Roman"/>
                <w:sz w:val="24"/>
                <w:szCs w:val="24"/>
                <w:lang w:eastAsia="lv-LV"/>
              </w:rPr>
              <w:t xml:space="preserve">plānošanas </w:t>
            </w:r>
            <w:r>
              <w:rPr>
                <w:rFonts w:ascii="Times New Roman" w:eastAsia="Times New Roman" w:hAnsi="Times New Roman" w:cs="Times New Roman"/>
                <w:sz w:val="24"/>
                <w:szCs w:val="24"/>
                <w:lang w:eastAsia="lv-LV"/>
              </w:rPr>
              <w:t>reģionam ir noteiktas arī atsevišķas prasības, kas veicina pētniecības un attīstības darbu veikšanu, kā arī vērtību ķēdes izveidi, proti, ir noteikta minimālā platība laboratorijas telpām attiecībā objektā – 1000m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kā arī paredzēts pienākums īstenot klasteru pakalpojumus objektā esošiem nomniekiem.</w:t>
            </w:r>
            <w:r w:rsidR="00124784">
              <w:rPr>
                <w:rFonts w:ascii="Times New Roman" w:eastAsia="Times New Roman" w:hAnsi="Times New Roman" w:cs="Times New Roman"/>
                <w:sz w:val="24"/>
                <w:szCs w:val="24"/>
                <w:lang w:eastAsia="lv-LV"/>
              </w:rPr>
              <w:t xml:space="preserve"> </w:t>
            </w:r>
            <w:r w:rsidR="00F62FAA">
              <w:rPr>
                <w:rFonts w:ascii="Times New Roman" w:eastAsia="Times New Roman" w:hAnsi="Times New Roman" w:cs="Times New Roman"/>
                <w:sz w:val="24"/>
                <w:szCs w:val="24"/>
                <w:lang w:eastAsia="lv-LV"/>
              </w:rPr>
              <w:t xml:space="preserve">Attiecībā uz laboratorijas telpu esamību, Ekonomikas ministrija skaidro, ka minētām laboratorijas telpām </w:t>
            </w:r>
            <w:r w:rsidRPr="00F62FAA" w:rsidR="00F62FAA">
              <w:rPr>
                <w:rFonts w:ascii="Times New Roman" w:eastAsia="Times New Roman" w:hAnsi="Times New Roman" w:cs="Times New Roman"/>
                <w:sz w:val="24"/>
                <w:szCs w:val="24"/>
                <w:lang w:eastAsia="lv-LV"/>
              </w:rPr>
              <w:t>jābūt neatrauti saistītām ar ražošanas telpām un nepieciešamām ražošanas telpās notiekošā procesa nodrošināšanai</w:t>
            </w:r>
            <w:r w:rsidR="00F62FAA">
              <w:rPr>
                <w:rFonts w:ascii="Times New Roman" w:eastAsia="Times New Roman" w:hAnsi="Times New Roman" w:cs="Times New Roman"/>
                <w:sz w:val="24"/>
                <w:szCs w:val="24"/>
                <w:lang w:eastAsia="lv-LV"/>
              </w:rPr>
              <w:t xml:space="preserve">. </w:t>
            </w:r>
          </w:p>
          <w:p w:rsidR="007F40B0" w:rsidP="00EA72D5" w14:paraId="58A70A81" w14:textId="14C9BE4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Ekonomikas ministrija skaidro Ministru kabineta noteikumu projektā ietverto nosacījumu attiecībā uz jaunu darba vietu radīšanu, proti, </w:t>
            </w:r>
            <w:r>
              <w:rPr>
                <w:rFonts w:ascii="Times New Roman" w:eastAsia="Times New Roman" w:hAnsi="Times New Roman" w:cs="Times New Roman"/>
                <w:bCs/>
                <w:iCs/>
                <w:sz w:val="24"/>
                <w:szCs w:val="24"/>
                <w:lang w:eastAsia="lv-LV"/>
              </w:rPr>
              <w:t>jaunizveidotajās</w:t>
            </w:r>
            <w:r>
              <w:rPr>
                <w:rFonts w:ascii="Times New Roman" w:eastAsia="Times New Roman" w:hAnsi="Times New Roman" w:cs="Times New Roman"/>
                <w:bCs/>
                <w:iCs/>
                <w:sz w:val="24"/>
                <w:szCs w:val="24"/>
                <w:lang w:eastAsia="lv-LV"/>
              </w:rPr>
              <w:t xml:space="preserve"> darbavietās nodarbinātās personas divu gadu laikā pirms projekta iesniegšanas dienas nav tikušas nodarbinātas projekta iesniedzēja, nomnieka vai tā saistīto personu grupā. </w:t>
            </w:r>
            <w:r w:rsidR="00832BCB">
              <w:rPr>
                <w:rFonts w:ascii="Times New Roman" w:eastAsia="Times New Roman" w:hAnsi="Times New Roman" w:cs="Times New Roman"/>
                <w:bCs/>
                <w:iCs/>
                <w:sz w:val="24"/>
                <w:szCs w:val="24"/>
                <w:lang w:eastAsia="lv-LV"/>
              </w:rPr>
              <w:t xml:space="preserve">Ekonomikas ministrija skaidro, ka </w:t>
            </w:r>
            <w:r w:rsidR="00965655">
              <w:rPr>
                <w:rFonts w:ascii="Times New Roman" w:eastAsia="Times New Roman" w:hAnsi="Times New Roman" w:cs="Times New Roman"/>
                <w:bCs/>
                <w:iCs/>
                <w:sz w:val="24"/>
                <w:szCs w:val="24"/>
                <w:lang w:eastAsia="lv-LV"/>
              </w:rPr>
              <w:t xml:space="preserve">nosacījuma primārais mērķis ir nodrošināt </w:t>
            </w:r>
            <w:r w:rsidR="00965655">
              <w:rPr>
                <w:rFonts w:ascii="Times New Roman" w:eastAsia="Times New Roman" w:hAnsi="Times New Roman" w:cs="Times New Roman"/>
                <w:bCs/>
                <w:iCs/>
                <w:sz w:val="24"/>
                <w:szCs w:val="24"/>
                <w:lang w:eastAsia="lv-LV"/>
              </w:rPr>
              <w:t>jaunizveidoto</w:t>
            </w:r>
            <w:r w:rsidR="00965655">
              <w:rPr>
                <w:rFonts w:ascii="Times New Roman" w:eastAsia="Times New Roman" w:hAnsi="Times New Roman" w:cs="Times New Roman"/>
                <w:bCs/>
                <w:iCs/>
                <w:sz w:val="24"/>
                <w:szCs w:val="24"/>
                <w:lang w:eastAsia="lv-LV"/>
              </w:rPr>
              <w:t xml:space="preserve"> darbavietu saistī</w:t>
            </w:r>
            <w:r w:rsidR="00F75240">
              <w:rPr>
                <w:rFonts w:ascii="Times New Roman" w:eastAsia="Times New Roman" w:hAnsi="Times New Roman" w:cs="Times New Roman"/>
                <w:bCs/>
                <w:iCs/>
                <w:sz w:val="24"/>
                <w:szCs w:val="24"/>
                <w:lang w:eastAsia="lv-LV"/>
              </w:rPr>
              <w:t>b</w:t>
            </w:r>
            <w:r w:rsidR="00965655">
              <w:rPr>
                <w:rFonts w:ascii="Times New Roman" w:eastAsia="Times New Roman" w:hAnsi="Times New Roman" w:cs="Times New Roman"/>
                <w:bCs/>
                <w:iCs/>
                <w:sz w:val="24"/>
                <w:szCs w:val="24"/>
                <w:lang w:eastAsia="lv-LV"/>
              </w:rPr>
              <w:t xml:space="preserve">u ar Eiropas Savienības struktūrfondu veiktām investīcijām projekta ietvaros. Proti, </w:t>
            </w:r>
            <w:r w:rsidR="00965655">
              <w:rPr>
                <w:rFonts w:ascii="Times New Roman" w:eastAsia="Times New Roman" w:hAnsi="Times New Roman" w:cs="Times New Roman"/>
                <w:bCs/>
                <w:iCs/>
                <w:sz w:val="24"/>
                <w:szCs w:val="24"/>
                <w:lang w:eastAsia="lv-LV"/>
              </w:rPr>
              <w:t>jaunizveidotām</w:t>
            </w:r>
            <w:r w:rsidR="00965655">
              <w:rPr>
                <w:rFonts w:ascii="Times New Roman" w:eastAsia="Times New Roman" w:hAnsi="Times New Roman" w:cs="Times New Roman"/>
                <w:bCs/>
                <w:iCs/>
                <w:sz w:val="24"/>
                <w:szCs w:val="24"/>
                <w:lang w:eastAsia="lv-LV"/>
              </w:rPr>
              <w:t xml:space="preserve"> darbavietām ir </w:t>
            </w:r>
            <w:r w:rsidR="005A036D">
              <w:rPr>
                <w:rFonts w:ascii="Times New Roman" w:eastAsia="Times New Roman" w:hAnsi="Times New Roman" w:cs="Times New Roman"/>
                <w:bCs/>
                <w:iCs/>
                <w:sz w:val="24"/>
                <w:szCs w:val="24"/>
                <w:lang w:eastAsia="lv-LV"/>
              </w:rPr>
              <w:t xml:space="preserve">jārodas projekta ietvaros un ir redzama </w:t>
            </w:r>
            <w:r w:rsidR="002F0605">
              <w:rPr>
                <w:rFonts w:ascii="Times New Roman" w:eastAsia="Times New Roman" w:hAnsi="Times New Roman" w:cs="Times New Roman"/>
                <w:bCs/>
                <w:iCs/>
                <w:sz w:val="24"/>
                <w:szCs w:val="24"/>
                <w:lang w:eastAsia="lv-LV"/>
              </w:rPr>
              <w:t xml:space="preserve">sasaista starp veiktajām investīcijām un  izveidotajām darba vietām. Lai nodrošinātos pret fiktīvu darba vietu radīšanu, lai </w:t>
            </w:r>
            <w:r w:rsidR="003737FB">
              <w:rPr>
                <w:rFonts w:ascii="Times New Roman" w:eastAsia="Times New Roman" w:hAnsi="Times New Roman" w:cs="Times New Roman"/>
                <w:bCs/>
                <w:iCs/>
                <w:sz w:val="24"/>
                <w:szCs w:val="24"/>
                <w:lang w:eastAsia="lv-LV"/>
              </w:rPr>
              <w:t>izpildītu Ministru kabineta noteikumos noteiktās prasības, Ekonomikas ministrija ir noteikusi iepriekš minēto ierobežojumu, tādā veidā nav iespējama situācija, kurā ir fiktīvi izbeigtas darba tiesiskās attiecības un neilgā laika posmā konkrētā persona atkal ir pieņemta darbā.</w:t>
            </w:r>
            <w:r w:rsidR="00882A7F">
              <w:rPr>
                <w:rFonts w:ascii="Times New Roman" w:eastAsia="Times New Roman" w:hAnsi="Times New Roman" w:cs="Times New Roman"/>
                <w:bCs/>
                <w:iCs/>
                <w:sz w:val="24"/>
                <w:szCs w:val="24"/>
                <w:lang w:eastAsia="lv-LV"/>
              </w:rPr>
              <w:t xml:space="preserve"> </w:t>
            </w:r>
            <w:r w:rsidR="00F75240">
              <w:rPr>
                <w:rFonts w:ascii="Times New Roman" w:eastAsia="Times New Roman" w:hAnsi="Times New Roman" w:cs="Times New Roman"/>
                <w:bCs/>
                <w:iCs/>
                <w:sz w:val="24"/>
                <w:szCs w:val="24"/>
                <w:lang w:eastAsia="lv-LV"/>
              </w:rPr>
              <w:t xml:space="preserve">Papildus Ekonomikas ministrija skaidro, ka nosacījuma </w:t>
            </w:r>
            <w:r w:rsidRPr="00F75240" w:rsidR="00F75240">
              <w:rPr>
                <w:rFonts w:ascii="Times New Roman" w:eastAsia="Times New Roman" w:hAnsi="Times New Roman" w:cs="Times New Roman"/>
                <w:bCs/>
                <w:iCs/>
                <w:sz w:val="24"/>
                <w:szCs w:val="24"/>
                <w:lang w:eastAsia="lv-LV"/>
              </w:rPr>
              <w:t xml:space="preserve">izpilde tiks </w:t>
            </w:r>
            <w:r w:rsidRPr="00F75240" w:rsidR="00F75240">
              <w:rPr>
                <w:rFonts w:ascii="Times New Roman" w:eastAsia="Times New Roman" w:hAnsi="Times New Roman" w:cs="Times New Roman"/>
                <w:bCs/>
                <w:iCs/>
                <w:sz w:val="24"/>
                <w:szCs w:val="24"/>
                <w:lang w:eastAsia="lv-LV"/>
              </w:rPr>
              <w:t>vērtēta attiecībā pret izveidoto amata vietu projekta ietvaros un netiks vērtēta kopsakarībās ar projekta iesniedzējam pārējām darbībām darba vietu izveidē vai likvidēšanā ārpus projekta. Projekta ietvaros izveidotās darba vietas nevar būt atkarīgas no komercdarbības sezonalitātes</w:t>
            </w:r>
            <w:r w:rsidR="00F75240">
              <w:rPr>
                <w:rFonts w:ascii="Times New Roman" w:eastAsia="Times New Roman" w:hAnsi="Times New Roman" w:cs="Times New Roman"/>
                <w:bCs/>
                <w:iCs/>
                <w:sz w:val="24"/>
                <w:szCs w:val="24"/>
                <w:lang w:eastAsia="lv-LV"/>
              </w:rPr>
              <w:t>, kā arī nepilnas slodzes amata vieta var tikt summēta, lai kopumā projekta ietvaros uzskatītu par izveidotu vienu pilnas slodzes darba vietu</w:t>
            </w:r>
            <w:r w:rsidRPr="00F75240" w:rsidR="00F75240">
              <w:rPr>
                <w:rFonts w:ascii="Times New Roman" w:eastAsia="Times New Roman" w:hAnsi="Times New Roman" w:cs="Times New Roman"/>
                <w:bCs/>
                <w:iCs/>
                <w:sz w:val="24"/>
                <w:szCs w:val="24"/>
                <w:lang w:eastAsia="lv-LV"/>
              </w:rPr>
              <w:t>.</w:t>
            </w:r>
            <w:r w:rsidR="00D8533B">
              <w:rPr>
                <w:rFonts w:ascii="Times New Roman" w:eastAsia="Times New Roman" w:hAnsi="Times New Roman" w:cs="Times New Roman"/>
                <w:bCs/>
                <w:iCs/>
                <w:sz w:val="24"/>
                <w:szCs w:val="24"/>
                <w:lang w:eastAsia="lv-LV"/>
              </w:rPr>
              <w:t xml:space="preserve"> </w:t>
            </w:r>
          </w:p>
          <w:p w:rsidR="00E830C3" w:rsidP="007F40B0" w14:paraId="1B4ACF82" w14:textId="3C421F9A">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S</w:t>
            </w:r>
            <w:r w:rsidR="007F40B0">
              <w:rPr>
                <w:rFonts w:ascii="Times New Roman" w:eastAsia="Times New Roman" w:hAnsi="Times New Roman" w:cs="Times New Roman"/>
                <w:bCs/>
                <w:iCs/>
                <w:sz w:val="24"/>
                <w:szCs w:val="24"/>
                <w:lang w:eastAsia="lv-LV"/>
              </w:rPr>
              <w:t>kaidrojam, ka 3.1.1.5 pasākuma otrās atlases kārtas ietvaros finansējuma saņēmējam ir pieejams avansa maksājums, nepārsniedzot 45% apmēru no piešķirtā ERAF finansējuma. Norādām, ka avansa apmēra noteikšana balstīta līdzvērtīgu projektu, kas tikuši īstenoti, pieredzē un analīzē.</w:t>
            </w:r>
            <w:r w:rsidR="00D8533B">
              <w:rPr>
                <w:rFonts w:ascii="Times New Roman" w:eastAsia="Times New Roman" w:hAnsi="Times New Roman" w:cs="Times New Roman"/>
                <w:bCs/>
                <w:iCs/>
                <w:sz w:val="24"/>
                <w:szCs w:val="24"/>
                <w:lang w:eastAsia="lv-LV"/>
              </w:rPr>
              <w:t xml:space="preserve"> Papildus skaidrojam, ka 3.1.1.5. pasākuma otrās atlases kārtas ietvaros noteiktā atbalsta intensitāte sīkajiem (mikro) un mazajiem komersantiem ir 45% pretēji maksimāli iespējamai intensitātei, tas ir, 55%. Ekonomikas ministrija norāda, ka samazinātā intensitāte izvēlēta ņemot vērā ierobežotos finanšu resursus, tādā veidā ļaujot finansēt pēc iespējas vairāk projektus, kā arī piesaistot pēc iespējas lielākas privātās investīcijas. Analizējot arī 3.1.1.5.pasākuma pirmās atlases kārtas rezultātus, secināms, ka izvēlētais intensitātes apjoms uzskatāms par optimālu.</w:t>
            </w:r>
          </w:p>
          <w:p w:rsidR="00E830C3" w:rsidP="007F40B0" w14:paraId="20075D22" w14:textId="4918EC3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Ekonomikas ministrija norāda, ka atšķirībā no 3.1.1.5. pasākuma pirmās atlases kārtas, 3.1.1.5 pasākuma otrās atlases kārtas ietvaros iznākuma rādītāji netiek prognozēti</w:t>
            </w:r>
            <w:r w:rsidR="00536D4B">
              <w:rPr>
                <w:rFonts w:ascii="Times New Roman" w:eastAsia="Times New Roman" w:hAnsi="Times New Roman" w:cs="Times New Roman"/>
                <w:sz w:val="24"/>
                <w:szCs w:val="24"/>
                <w:lang w:eastAsia="lv-LV"/>
              </w:rPr>
              <w:t xml:space="preserve"> plānošanas</w:t>
            </w:r>
            <w:r>
              <w:rPr>
                <w:rFonts w:ascii="Times New Roman" w:eastAsia="Times New Roman" w:hAnsi="Times New Roman" w:cs="Times New Roman"/>
                <w:bCs/>
                <w:iCs/>
                <w:sz w:val="24"/>
                <w:szCs w:val="24"/>
                <w:lang w:eastAsia="lv-LV"/>
              </w:rPr>
              <w:t xml:space="preserve"> reģiona līmenī.</w:t>
            </w:r>
          </w:p>
          <w:p w:rsidR="007F40B0" w:rsidP="007F40B0" w14:paraId="558CAFF3" w14:textId="0E0842A2">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Ekonomikas ministrija skaidro, ka </w:t>
            </w:r>
            <w:r>
              <w:rPr>
                <w:rFonts w:ascii="Times New Roman" w:eastAsia="Times New Roman" w:hAnsi="Times New Roman" w:cs="Times New Roman"/>
                <w:bCs/>
                <w:iCs/>
                <w:sz w:val="24"/>
                <w:szCs w:val="24"/>
                <w:lang w:eastAsia="lv-LV"/>
              </w:rPr>
              <w:t xml:space="preserve"> </w:t>
            </w:r>
            <w:r w:rsidR="00762BEB">
              <w:rPr>
                <w:rFonts w:ascii="Times New Roman" w:eastAsia="Times New Roman" w:hAnsi="Times New Roman" w:cs="Times New Roman"/>
                <w:bCs/>
                <w:iCs/>
                <w:sz w:val="24"/>
                <w:szCs w:val="24"/>
                <w:lang w:eastAsia="lv-LV"/>
              </w:rPr>
              <w:t xml:space="preserve">pasākuma ietvaros ietvertās </w:t>
            </w:r>
            <w:r w:rsidRPr="00762BEB" w:rsidR="00762BEB">
              <w:rPr>
                <w:rFonts w:ascii="Times New Roman" w:eastAsia="Times New Roman" w:hAnsi="Times New Roman" w:cs="Times New Roman"/>
                <w:bCs/>
                <w:iCs/>
                <w:sz w:val="24"/>
                <w:szCs w:val="24"/>
                <w:lang w:eastAsia="lv-LV"/>
              </w:rPr>
              <w:t xml:space="preserve">izdevumu pozīcijas atbilst </w:t>
            </w:r>
            <w:r w:rsidR="00762BEB">
              <w:rPr>
                <w:rFonts w:ascii="Times New Roman" w:eastAsia="Times New Roman" w:hAnsi="Times New Roman" w:cs="Times New Roman"/>
                <w:bCs/>
                <w:iCs/>
                <w:sz w:val="24"/>
                <w:szCs w:val="24"/>
                <w:lang w:eastAsia="lv-LV"/>
              </w:rPr>
              <w:t>072</w:t>
            </w:r>
            <w:r w:rsidRPr="00762BEB" w:rsidR="00762BEB">
              <w:rPr>
                <w:rFonts w:ascii="Times New Roman" w:eastAsia="Times New Roman" w:hAnsi="Times New Roman" w:cs="Times New Roman"/>
                <w:bCs/>
                <w:iCs/>
                <w:sz w:val="24"/>
                <w:szCs w:val="24"/>
                <w:lang w:eastAsia="lv-LV"/>
              </w:rPr>
              <w:t xml:space="preserve"> intervences kod</w:t>
            </w:r>
            <w:r w:rsidR="00762BEB">
              <w:rPr>
                <w:rFonts w:ascii="Times New Roman" w:eastAsia="Times New Roman" w:hAnsi="Times New Roman" w:cs="Times New Roman"/>
                <w:bCs/>
                <w:iCs/>
                <w:sz w:val="24"/>
                <w:szCs w:val="24"/>
                <w:lang w:eastAsia="lv-LV"/>
              </w:rPr>
              <w:t>am</w:t>
            </w:r>
            <w:r w:rsidRPr="00762BEB" w:rsidR="00762BEB">
              <w:rPr>
                <w:rFonts w:ascii="Times New Roman" w:eastAsia="Times New Roman" w:hAnsi="Times New Roman" w:cs="Times New Roman"/>
                <w:bCs/>
                <w:iCs/>
                <w:sz w:val="24"/>
                <w:szCs w:val="24"/>
                <w:lang w:eastAsia="lv-LV"/>
              </w:rPr>
              <w:t>, atbilstoši Komisijas 2014.gada 7.marta īstenošanas regulas Nr.215/2014  I pielikumam “Fondu intervences kategoriju nomenklatūra saskaņā ar mērķi “Ieguldījums izaugsmei un nodarbinātībai” un Jaunatnes nodarbinātības iniciatīvu”.</w:t>
            </w:r>
            <w:r w:rsidR="00762BEB">
              <w:rPr>
                <w:rFonts w:ascii="Times New Roman" w:eastAsia="Times New Roman" w:hAnsi="Times New Roman" w:cs="Times New Roman"/>
                <w:bCs/>
                <w:iCs/>
                <w:sz w:val="24"/>
                <w:szCs w:val="24"/>
                <w:lang w:eastAsia="lv-LV"/>
              </w:rPr>
              <w:t xml:space="preserve"> </w:t>
            </w:r>
          </w:p>
          <w:p w:rsidR="00762BEB" w:rsidP="007F40B0" w14:paraId="1146EBE0" w14:textId="7026F4D3">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w:t>
            </w:r>
            <w:r>
              <w:rPr>
                <w:rFonts w:ascii="Times New Roman" w:eastAsia="Times New Roman" w:hAnsi="Times New Roman" w:cs="Times New Roman"/>
                <w:bCs/>
                <w:iCs/>
                <w:sz w:val="24"/>
                <w:szCs w:val="24"/>
                <w:lang w:eastAsia="lv-LV"/>
              </w:rPr>
              <w:t xml:space="preserve">orādām, </w:t>
            </w:r>
            <w:r w:rsidRPr="00762BEB">
              <w:rPr>
                <w:rFonts w:ascii="Times New Roman" w:eastAsia="Times New Roman" w:hAnsi="Times New Roman" w:cs="Times New Roman"/>
                <w:bCs/>
                <w:iCs/>
                <w:sz w:val="24"/>
                <w:szCs w:val="24"/>
                <w:lang w:eastAsia="lv-LV"/>
              </w:rPr>
              <w:t>pasākuma rezultātu/ rādītāju ilgtspēja un uzturēšana</w:t>
            </w:r>
            <w:r>
              <w:rPr>
                <w:rFonts w:ascii="Times New Roman" w:eastAsia="Times New Roman" w:hAnsi="Times New Roman" w:cs="Times New Roman"/>
                <w:bCs/>
                <w:iCs/>
                <w:sz w:val="24"/>
                <w:szCs w:val="24"/>
                <w:lang w:eastAsia="lv-LV"/>
              </w:rPr>
              <w:t xml:space="preserve"> tiks nodrošināta no finansējuma saņēmēja līdzekļiem</w:t>
            </w:r>
            <w:r w:rsidR="00B30FD5">
              <w:rPr>
                <w:rFonts w:ascii="Times New Roman" w:eastAsia="Times New Roman" w:hAnsi="Times New Roman" w:cs="Times New Roman"/>
                <w:bCs/>
                <w:iCs/>
                <w:sz w:val="24"/>
                <w:szCs w:val="24"/>
                <w:lang w:eastAsia="lv-LV"/>
              </w:rPr>
              <w:t xml:space="preserve">. Papildus norādām, ka MK noteikumu </w:t>
            </w:r>
            <w:r w:rsidRPr="00B30FD5" w:rsidR="00B30FD5">
              <w:rPr>
                <w:rFonts w:ascii="Times New Roman" w:eastAsia="Times New Roman" w:hAnsi="Times New Roman" w:cs="Times New Roman"/>
                <w:bCs/>
                <w:iCs/>
                <w:sz w:val="24"/>
                <w:szCs w:val="24"/>
                <w:lang w:eastAsia="lv-LV"/>
              </w:rPr>
              <w:t>19.9.</w:t>
            </w:r>
            <w:r w:rsidR="00B30FD5">
              <w:rPr>
                <w:rFonts w:ascii="Times New Roman" w:eastAsia="Times New Roman" w:hAnsi="Times New Roman" w:cs="Times New Roman"/>
                <w:bCs/>
                <w:iCs/>
                <w:sz w:val="24"/>
                <w:szCs w:val="24"/>
                <w:lang w:eastAsia="lv-LV"/>
              </w:rPr>
              <w:t xml:space="preserve"> apakšpunkts paredz, ka</w:t>
            </w:r>
            <w:r w:rsidR="00372B0A">
              <w:rPr>
                <w:rFonts w:ascii="Times New Roman" w:eastAsia="Times New Roman" w:hAnsi="Times New Roman" w:cs="Times New Roman"/>
                <w:bCs/>
                <w:iCs/>
                <w:sz w:val="24"/>
                <w:szCs w:val="24"/>
                <w:lang w:eastAsia="lv-LV"/>
              </w:rPr>
              <w:t xml:space="preserve"> </w:t>
            </w:r>
            <w:r w:rsidRPr="00B30FD5" w:rsidR="00B30FD5">
              <w:rPr>
                <w:rFonts w:ascii="Times New Roman" w:eastAsia="Times New Roman" w:hAnsi="Times New Roman" w:cs="Times New Roman"/>
                <w:bCs/>
                <w:iCs/>
                <w:sz w:val="24"/>
                <w:szCs w:val="24"/>
                <w:lang w:eastAsia="lv-LV"/>
              </w:rPr>
              <w:t>projektā veiktais ieguldījums paliek Latvijas Republikas teritorijā vismaz piecus gadus pēc projekta noslēguma maksājuma veikšanas finansējuma saņēmējam, ievērojot Komisijas regulas Nr. 651/2014 14. panta 5. punktā minētos nosacījumus</w:t>
            </w:r>
            <w:r w:rsidR="00B30FD5">
              <w:rPr>
                <w:rFonts w:ascii="Times New Roman" w:eastAsia="Times New Roman" w:hAnsi="Times New Roman" w:cs="Times New Roman"/>
                <w:bCs/>
                <w:iCs/>
                <w:sz w:val="24"/>
                <w:szCs w:val="24"/>
                <w:lang w:eastAsia="lv-LV"/>
              </w:rPr>
              <w:t>. Attiecīgi Ekonomikas ministrija, lai nodrošinātu pasākuma ilgtspēju, minēto nosacījumu par 5 gadu cikla ievērošanu ir attiecinājusi ne tikai uz lieliem komersantiem, bet arī sīkiem (mikro), maziem un vidējiem komersantiem. Tādā veidā nodrošinot pasākuma ietvaros veikto ieguldījumu ilgtspēju un izmantošanu Latvijas Republikas teritorijā.</w:t>
            </w:r>
          </w:p>
          <w:p w:rsidR="006B748B" w:rsidP="007F40B0" w14:paraId="68D3A7BF" w14:textId="53E26340">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w:t>
            </w:r>
            <w:r w:rsidR="007C59AE">
              <w:rPr>
                <w:rFonts w:ascii="Times New Roman" w:eastAsia="Times New Roman" w:hAnsi="Times New Roman" w:cs="Times New Roman"/>
                <w:bCs/>
                <w:iCs/>
                <w:sz w:val="24"/>
                <w:szCs w:val="24"/>
                <w:lang w:eastAsia="lv-LV"/>
              </w:rPr>
              <w:t xml:space="preserve">orādām, ka </w:t>
            </w:r>
            <w:r w:rsidRPr="007C59AE" w:rsidR="007C59AE">
              <w:rPr>
                <w:rFonts w:ascii="Times New Roman" w:eastAsia="Times New Roman" w:hAnsi="Times New Roman" w:cs="Times New Roman"/>
                <w:bCs/>
                <w:iCs/>
                <w:sz w:val="24"/>
                <w:szCs w:val="24"/>
                <w:lang w:eastAsia="lv-LV"/>
              </w:rPr>
              <w:t xml:space="preserve">pasākuma otrās projektu iesniegumu atlases kārtas ietvaros noteiktās iznākuma rādītāju vērtības atbilst </w:t>
            </w:r>
            <w:r w:rsidRPr="007C59AE" w:rsidR="007C59AE">
              <w:rPr>
                <w:rFonts w:ascii="Times New Roman" w:eastAsia="Times New Roman" w:hAnsi="Times New Roman" w:cs="Times New Roman"/>
                <w:bCs/>
                <w:iCs/>
                <w:sz w:val="24"/>
                <w:szCs w:val="24"/>
                <w:lang w:eastAsia="lv-LV"/>
              </w:rPr>
              <w:t>3.1.1.SAM sasniedzamajiem rādītajiem un nepastāv risks attiecībā uz SAM rādītāju nesasniegšanu</w:t>
            </w:r>
            <w:r w:rsidR="007C59AE">
              <w:rPr>
                <w:rFonts w:ascii="Times New Roman" w:eastAsia="Times New Roman" w:hAnsi="Times New Roman" w:cs="Times New Roman"/>
                <w:bCs/>
                <w:iCs/>
                <w:sz w:val="24"/>
                <w:szCs w:val="24"/>
                <w:lang w:eastAsia="lv-LV"/>
              </w:rPr>
              <w:t xml:space="preserve">. </w:t>
            </w:r>
          </w:p>
          <w:p w:rsidR="007C59AE" w:rsidP="007F40B0" w14:paraId="1AD72D25" w14:textId="12B9AD3C">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Ekonomikas ministrija skaidro, ka, ņemot vērā pasākuma pirmās kārtas pieredzi, kā arī sarunu rezultātus ar komersantiem, to pārstāvošām organizācijām, kā arī pašvaldībām, Ekonomikas ministrija Ministru kabineta noteikumu projektā ir ietvērusi minimālo telpu prasības. Proti, </w:t>
            </w:r>
            <w:r w:rsidRPr="007C59AE">
              <w:rPr>
                <w:rFonts w:ascii="Times New Roman" w:eastAsia="Times New Roman" w:hAnsi="Times New Roman" w:cs="Times New Roman"/>
                <w:bCs/>
                <w:iCs/>
                <w:sz w:val="24"/>
                <w:szCs w:val="24"/>
                <w:lang w:eastAsia="lv-LV"/>
              </w:rPr>
              <w:t>Kurzemes, Latgales, Vidzemes vai Zemgales</w:t>
            </w:r>
            <w:r w:rsidR="00536D4B">
              <w:rPr>
                <w:rFonts w:ascii="Times New Roman" w:eastAsia="Times New Roman" w:hAnsi="Times New Roman" w:cs="Times New Roman"/>
                <w:sz w:val="24"/>
                <w:szCs w:val="24"/>
                <w:lang w:eastAsia="lv-LV"/>
              </w:rPr>
              <w:t xml:space="preserve"> plānošanas</w:t>
            </w:r>
            <w:r w:rsidRPr="007C59AE">
              <w:rPr>
                <w:rFonts w:ascii="Times New Roman" w:eastAsia="Times New Roman" w:hAnsi="Times New Roman" w:cs="Times New Roman"/>
                <w:bCs/>
                <w:iCs/>
                <w:sz w:val="24"/>
                <w:szCs w:val="24"/>
                <w:lang w:eastAsia="lv-LV"/>
              </w:rPr>
              <w:t xml:space="preserve"> reģionā ēku, kuras ir paredzēts izmantot apstrādes </w:t>
            </w:r>
            <w:r w:rsidRPr="00D5202A" w:rsidR="00141FFC">
              <w:rPr>
                <w:rFonts w:ascii="Times New Roman" w:eastAsia="Times New Roman" w:hAnsi="Times New Roman" w:cs="Times New Roman"/>
                <w:sz w:val="24"/>
                <w:szCs w:val="24"/>
                <w:lang w:eastAsia="lv-LV"/>
              </w:rPr>
              <w:t>rūpniecīb</w:t>
            </w:r>
            <w:r w:rsidR="00141FFC">
              <w:rPr>
                <w:rFonts w:ascii="Times New Roman" w:eastAsia="Times New Roman" w:hAnsi="Times New Roman" w:cs="Times New Roman"/>
                <w:sz w:val="24"/>
                <w:szCs w:val="24"/>
                <w:lang w:eastAsia="lv-LV"/>
              </w:rPr>
              <w:t>as nozarē</w:t>
            </w:r>
            <w:r w:rsidRPr="00D5202A" w:rsidR="00141FFC">
              <w:rPr>
                <w:rFonts w:ascii="Times New Roman" w:eastAsia="Times New Roman" w:hAnsi="Times New Roman" w:cs="Times New Roman"/>
                <w:sz w:val="24"/>
                <w:szCs w:val="24"/>
                <w:lang w:eastAsia="lv-LV"/>
              </w:rPr>
              <w:t xml:space="preserve"> vai informācijas un komunikāciju tehnoloģiju </w:t>
            </w:r>
            <w:r w:rsidR="00141FFC">
              <w:rPr>
                <w:rFonts w:ascii="Times New Roman" w:eastAsia="Times New Roman" w:hAnsi="Times New Roman" w:cs="Times New Roman"/>
                <w:sz w:val="24"/>
                <w:szCs w:val="24"/>
                <w:lang w:eastAsia="lv-LV"/>
              </w:rPr>
              <w:t xml:space="preserve"> produktu un procesu izstrādei</w:t>
            </w:r>
            <w:r w:rsidRPr="007C59AE" w:rsidR="00141FFC">
              <w:rPr>
                <w:rFonts w:ascii="Times New Roman" w:eastAsia="Times New Roman" w:hAnsi="Times New Roman" w:cs="Times New Roman"/>
                <w:bCs/>
                <w:iCs/>
                <w:sz w:val="24"/>
                <w:szCs w:val="24"/>
                <w:lang w:eastAsia="lv-LV"/>
              </w:rPr>
              <w:t xml:space="preserve"> </w:t>
            </w:r>
            <w:r w:rsidRPr="007C59AE">
              <w:rPr>
                <w:rFonts w:ascii="Times New Roman" w:eastAsia="Times New Roman" w:hAnsi="Times New Roman" w:cs="Times New Roman"/>
                <w:bCs/>
                <w:iCs/>
                <w:sz w:val="24"/>
                <w:szCs w:val="24"/>
                <w:lang w:eastAsia="lv-LV"/>
              </w:rPr>
              <w:t>platībai ir jābūt ne mazākai kā 2000m2, savukārt Rīgas</w:t>
            </w:r>
            <w:r w:rsidR="00536D4B">
              <w:rPr>
                <w:rFonts w:ascii="Times New Roman" w:eastAsia="Times New Roman" w:hAnsi="Times New Roman" w:cs="Times New Roman"/>
                <w:sz w:val="24"/>
                <w:szCs w:val="24"/>
                <w:lang w:eastAsia="lv-LV"/>
              </w:rPr>
              <w:t xml:space="preserve"> plānošanas</w:t>
            </w:r>
            <w:r w:rsidRPr="007C59AE">
              <w:rPr>
                <w:rFonts w:ascii="Times New Roman" w:eastAsia="Times New Roman" w:hAnsi="Times New Roman" w:cs="Times New Roman"/>
                <w:bCs/>
                <w:iCs/>
                <w:sz w:val="24"/>
                <w:szCs w:val="24"/>
                <w:lang w:eastAsia="lv-LV"/>
              </w:rPr>
              <w:t xml:space="preserve"> reģionā laboratorijas telpām ir jābūt vismaz 1000m2 platībā</w:t>
            </w:r>
            <w:r>
              <w:rPr>
                <w:rFonts w:ascii="Times New Roman" w:eastAsia="Times New Roman" w:hAnsi="Times New Roman" w:cs="Times New Roman"/>
                <w:bCs/>
                <w:iCs/>
                <w:sz w:val="24"/>
                <w:szCs w:val="24"/>
                <w:lang w:eastAsia="lv-LV"/>
              </w:rPr>
              <w:t xml:space="preserve">. </w:t>
            </w:r>
            <w:r w:rsidR="00043887">
              <w:rPr>
                <w:rFonts w:ascii="Times New Roman" w:eastAsia="Times New Roman" w:hAnsi="Times New Roman" w:cs="Times New Roman"/>
                <w:bCs/>
                <w:iCs/>
                <w:sz w:val="24"/>
                <w:szCs w:val="24"/>
                <w:lang w:eastAsia="lv-LV"/>
              </w:rPr>
              <w:t xml:space="preserve">Ņemot vērā 3.1.1.5. pasākuma otrās kārtas ietvaros pieejamos ierobežotos finanšu resursus, Ekonomikas ministrija vēlas nodrošināt pēc iespējas lielāku finanšu resursu atdevi, tādējādi koncentrējoties uz konkrēta mēroga attīstības projektiem, kas spētu uzlabot arī vispārējo ekonomisko situāciju konkrētā </w:t>
            </w:r>
            <w:r w:rsidR="00536D4B">
              <w:rPr>
                <w:rFonts w:ascii="Times New Roman" w:eastAsia="Times New Roman" w:hAnsi="Times New Roman" w:cs="Times New Roman"/>
                <w:sz w:val="24"/>
                <w:szCs w:val="24"/>
                <w:lang w:eastAsia="lv-LV"/>
              </w:rPr>
              <w:t xml:space="preserve">plānošanas </w:t>
            </w:r>
            <w:r w:rsidR="00043887">
              <w:rPr>
                <w:rFonts w:ascii="Times New Roman" w:eastAsia="Times New Roman" w:hAnsi="Times New Roman" w:cs="Times New Roman"/>
                <w:bCs/>
                <w:iCs/>
                <w:sz w:val="24"/>
                <w:szCs w:val="24"/>
                <w:lang w:eastAsia="lv-LV"/>
              </w:rPr>
              <w:t xml:space="preserve">reģionā. </w:t>
            </w:r>
          </w:p>
          <w:p w:rsidR="00B707AC" w:rsidP="007F40B0" w14:paraId="39F3C340" w14:textId="2738ACA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Ekonomikas ministrija ir vienojusies ar sociālajiem partneriem, paredzot</w:t>
            </w:r>
            <w:r w:rsidR="002F1E47">
              <w:rPr>
                <w:rFonts w:ascii="Times New Roman" w:eastAsia="Times New Roman" w:hAnsi="Times New Roman" w:cs="Times New Roman"/>
                <w:bCs/>
                <w:iCs/>
                <w:sz w:val="24"/>
                <w:szCs w:val="24"/>
                <w:lang w:eastAsia="lv-LV"/>
              </w:rPr>
              <w:t xml:space="preserve"> atbalstu tikai ražošanas ēkām, kas </w:t>
            </w:r>
            <w:r>
              <w:rPr>
                <w:rFonts w:ascii="Times New Roman" w:eastAsia="Times New Roman" w:hAnsi="Times New Roman" w:cs="Times New Roman"/>
                <w:bCs/>
                <w:iCs/>
                <w:sz w:val="24"/>
                <w:szCs w:val="24"/>
                <w:lang w:eastAsia="lv-LV"/>
              </w:rPr>
              <w:t>nav mazāka</w:t>
            </w:r>
            <w:r w:rsidR="002F1E47">
              <w:rPr>
                <w:rFonts w:ascii="Times New Roman" w:eastAsia="Times New Roman" w:hAnsi="Times New Roman" w:cs="Times New Roman"/>
                <w:bCs/>
                <w:iCs/>
                <w:sz w:val="24"/>
                <w:szCs w:val="24"/>
                <w:lang w:eastAsia="lv-LV"/>
              </w:rPr>
              <w:t>s</w:t>
            </w:r>
            <w:r>
              <w:rPr>
                <w:rFonts w:ascii="Times New Roman" w:eastAsia="Times New Roman" w:hAnsi="Times New Roman" w:cs="Times New Roman"/>
                <w:bCs/>
                <w:iCs/>
                <w:sz w:val="24"/>
                <w:szCs w:val="24"/>
                <w:lang w:eastAsia="lv-LV"/>
              </w:rPr>
              <w:t xml:space="preserve"> par 2000m</w:t>
            </w:r>
            <w:r>
              <w:rPr>
                <w:rFonts w:ascii="Times New Roman" w:eastAsia="Times New Roman" w:hAnsi="Times New Roman" w:cs="Times New Roman"/>
                <w:bCs/>
                <w:iCs/>
                <w:sz w:val="24"/>
                <w:szCs w:val="24"/>
                <w:vertAlign w:val="superscript"/>
                <w:lang w:eastAsia="lv-LV"/>
              </w:rPr>
              <w:t>2</w:t>
            </w:r>
            <w:r>
              <w:rPr>
                <w:rFonts w:ascii="Times New Roman" w:eastAsia="Times New Roman" w:hAnsi="Times New Roman" w:cs="Times New Roman"/>
                <w:bCs/>
                <w:iCs/>
                <w:sz w:val="24"/>
                <w:szCs w:val="24"/>
                <w:lang w:eastAsia="lv-LV"/>
              </w:rPr>
              <w:t xml:space="preserve">, </w:t>
            </w:r>
            <w:r w:rsidR="002F1E47">
              <w:rPr>
                <w:rFonts w:ascii="Times New Roman" w:eastAsia="Times New Roman" w:hAnsi="Times New Roman" w:cs="Times New Roman"/>
                <w:bCs/>
                <w:iCs/>
                <w:sz w:val="24"/>
                <w:szCs w:val="24"/>
                <w:lang w:eastAsia="lv-LV"/>
              </w:rPr>
              <w:t xml:space="preserve">un nosakot atbalstu komersantiem apstrādes </w:t>
            </w:r>
            <w:r w:rsidRPr="00D5202A" w:rsidR="002F1E47">
              <w:rPr>
                <w:rFonts w:ascii="Times New Roman" w:eastAsia="Times New Roman" w:hAnsi="Times New Roman" w:cs="Times New Roman"/>
                <w:sz w:val="24"/>
                <w:szCs w:val="24"/>
                <w:lang w:eastAsia="lv-LV"/>
              </w:rPr>
              <w:t>rūpniecīb</w:t>
            </w:r>
            <w:r w:rsidR="002F1E47">
              <w:rPr>
                <w:rFonts w:ascii="Times New Roman" w:eastAsia="Times New Roman" w:hAnsi="Times New Roman" w:cs="Times New Roman"/>
                <w:sz w:val="24"/>
                <w:szCs w:val="24"/>
                <w:lang w:eastAsia="lv-LV"/>
              </w:rPr>
              <w:t>as nozarē</w:t>
            </w:r>
            <w:r w:rsidRPr="00D5202A" w:rsidR="002F1E47">
              <w:rPr>
                <w:rFonts w:ascii="Times New Roman" w:eastAsia="Times New Roman" w:hAnsi="Times New Roman" w:cs="Times New Roman"/>
                <w:sz w:val="24"/>
                <w:szCs w:val="24"/>
                <w:lang w:eastAsia="lv-LV"/>
              </w:rPr>
              <w:t xml:space="preserve"> vai </w:t>
            </w:r>
            <w:r w:rsidR="002F1E47">
              <w:rPr>
                <w:rFonts w:ascii="Times New Roman" w:eastAsia="Times New Roman" w:hAnsi="Times New Roman" w:cs="Times New Roman"/>
                <w:sz w:val="24"/>
                <w:szCs w:val="24"/>
                <w:lang w:eastAsia="lv-LV"/>
              </w:rPr>
              <w:t xml:space="preserve">kuru darbība ir saistīta ar </w:t>
            </w:r>
            <w:r w:rsidRPr="00D5202A" w:rsidR="002F1E47">
              <w:rPr>
                <w:rFonts w:ascii="Times New Roman" w:eastAsia="Times New Roman" w:hAnsi="Times New Roman" w:cs="Times New Roman"/>
                <w:sz w:val="24"/>
                <w:szCs w:val="24"/>
                <w:lang w:eastAsia="lv-LV"/>
              </w:rPr>
              <w:t>informācijas</w:t>
            </w:r>
            <w:r w:rsidR="002F1E47">
              <w:rPr>
                <w:rFonts w:ascii="Times New Roman" w:eastAsia="Times New Roman" w:hAnsi="Times New Roman" w:cs="Times New Roman"/>
                <w:sz w:val="24"/>
                <w:szCs w:val="24"/>
                <w:lang w:eastAsia="lv-LV"/>
              </w:rPr>
              <w:t xml:space="preserve"> un komunikāciju tehnoloģiju produktu un procesu izstrādi.</w:t>
            </w:r>
          </w:p>
          <w:p w:rsidR="00F41122" w:rsidP="007F40B0" w14:paraId="44452278" w14:textId="2C7A61C0">
            <w:pPr>
              <w:spacing w:after="0" w:line="240" w:lineRule="auto"/>
              <w:jc w:val="both"/>
              <w:rPr>
                <w:rFonts w:ascii="Times New Roman" w:hAnsi="Times New Roman" w:cs="Times New Roman"/>
                <w:sz w:val="24"/>
                <w:szCs w:val="24"/>
              </w:rPr>
            </w:pPr>
            <w:r w:rsidRPr="00474477">
              <w:rPr>
                <w:rFonts w:ascii="Times New Roman" w:hAnsi="Times New Roman" w:cs="Times New Roman"/>
                <w:sz w:val="24"/>
                <w:szCs w:val="24"/>
              </w:rPr>
              <w:t>Ņemot vērā MK noteikumu projektā paredzēto, ka</w:t>
            </w:r>
            <w:r w:rsidRPr="00474477" w:rsidR="007535E5">
              <w:rPr>
                <w:rFonts w:ascii="Times New Roman" w:hAnsi="Times New Roman" w:cs="Times New Roman"/>
                <w:sz w:val="24"/>
                <w:szCs w:val="24"/>
              </w:rPr>
              <w:t xml:space="preserve"> </w:t>
            </w:r>
            <w:r w:rsidRPr="00474477">
              <w:rPr>
                <w:rFonts w:ascii="Times New Roman" w:hAnsi="Times New Roman" w:cs="Times New Roman"/>
                <w:sz w:val="24"/>
                <w:szCs w:val="24"/>
              </w:rPr>
              <w:t xml:space="preserve">pēc ražošanas ēkas nodošanas ekspluatācijā jaunuzceltās, pārbūvētās vai atjaunotās ēkas platību 100% apmērā vismaz uz pieciem gadiem iznomā vai izmanto </w:t>
            </w:r>
            <w:r w:rsidRPr="00474477" w:rsidR="007535E5">
              <w:rPr>
                <w:rFonts w:ascii="Times New Roman" w:hAnsi="Times New Roman" w:cs="Times New Roman"/>
                <w:sz w:val="24"/>
                <w:szCs w:val="24"/>
              </w:rPr>
              <w:t xml:space="preserve">ražošanai </w:t>
            </w:r>
            <w:r w:rsidRPr="00474477">
              <w:rPr>
                <w:rFonts w:ascii="Times New Roman" w:hAnsi="Times New Roman" w:cs="Times New Roman"/>
                <w:sz w:val="24"/>
                <w:szCs w:val="24"/>
              </w:rPr>
              <w:t xml:space="preserve">apstrādes rūpniecības </w:t>
            </w:r>
            <w:r w:rsidRPr="00474477" w:rsidR="007535E5">
              <w:rPr>
                <w:rFonts w:ascii="Times New Roman" w:hAnsi="Times New Roman" w:cs="Times New Roman"/>
                <w:sz w:val="24"/>
                <w:szCs w:val="24"/>
              </w:rPr>
              <w:t>vai saimnieciskās darbības veikšanai</w:t>
            </w:r>
            <w:r w:rsidRPr="00474477">
              <w:rPr>
                <w:rFonts w:ascii="Times New Roman" w:hAnsi="Times New Roman" w:cs="Times New Roman"/>
                <w:sz w:val="24"/>
                <w:szCs w:val="24"/>
              </w:rPr>
              <w:t xml:space="preserve"> IKT nozarē, skaidrojam, ka</w:t>
            </w:r>
            <w:r w:rsidRPr="00474477">
              <w:rPr>
                <w:rFonts w:ascii="Times New Roman" w:hAnsi="Times New Roman" w:cs="Times New Roman"/>
                <w:sz w:val="24"/>
                <w:szCs w:val="24"/>
              </w:rPr>
              <w:t xml:space="preserve"> </w:t>
            </w:r>
            <w:r w:rsidRPr="00474477">
              <w:rPr>
                <w:rFonts w:ascii="Times New Roman" w:hAnsi="Times New Roman" w:cs="Times New Roman"/>
                <w:sz w:val="24"/>
                <w:szCs w:val="24"/>
              </w:rPr>
              <w:t xml:space="preserve">norādītie 100 % </w:t>
            </w:r>
            <w:r w:rsidRPr="00474477">
              <w:rPr>
                <w:rFonts w:ascii="Times New Roman" w:hAnsi="Times New Roman" w:cs="Times New Roman"/>
                <w:sz w:val="24"/>
                <w:szCs w:val="24"/>
              </w:rPr>
              <w:t>attiecas tikai uz to daļu</w:t>
            </w:r>
            <w:r w:rsidRPr="00474477">
              <w:rPr>
                <w:rFonts w:ascii="Times New Roman" w:hAnsi="Times New Roman" w:cs="Times New Roman"/>
                <w:sz w:val="24"/>
                <w:szCs w:val="24"/>
              </w:rPr>
              <w:t>,</w:t>
            </w:r>
            <w:r w:rsidRPr="00474477">
              <w:rPr>
                <w:rFonts w:ascii="Times New Roman" w:hAnsi="Times New Roman" w:cs="Times New Roman"/>
                <w:sz w:val="24"/>
                <w:szCs w:val="24"/>
              </w:rPr>
              <w:t xml:space="preserve"> kurā veikti ERAF ieguldījumi, nevis </w:t>
            </w:r>
            <w:r w:rsidRPr="00474477">
              <w:rPr>
                <w:rFonts w:ascii="Times New Roman" w:hAnsi="Times New Roman" w:cs="Times New Roman"/>
                <w:sz w:val="24"/>
                <w:szCs w:val="24"/>
              </w:rPr>
              <w:t xml:space="preserve">uz visu </w:t>
            </w:r>
            <w:r w:rsidRPr="00474477">
              <w:rPr>
                <w:rFonts w:ascii="Times New Roman" w:hAnsi="Times New Roman" w:cs="Times New Roman"/>
                <w:sz w:val="24"/>
                <w:szCs w:val="24"/>
              </w:rPr>
              <w:t>jaunuzcelto</w:t>
            </w:r>
            <w:r w:rsidRPr="00474477">
              <w:rPr>
                <w:rFonts w:ascii="Times New Roman" w:hAnsi="Times New Roman" w:cs="Times New Roman"/>
                <w:sz w:val="24"/>
                <w:szCs w:val="24"/>
              </w:rPr>
              <w:t>,</w:t>
            </w:r>
            <w:r w:rsidRPr="00474477">
              <w:rPr>
                <w:rFonts w:ascii="Times New Roman" w:hAnsi="Times New Roman" w:cs="Times New Roman"/>
                <w:sz w:val="24"/>
                <w:szCs w:val="24"/>
              </w:rPr>
              <w:t xml:space="preserve"> </w:t>
            </w:r>
            <w:r w:rsidRPr="00474477">
              <w:rPr>
                <w:rFonts w:ascii="Times New Roman" w:hAnsi="Times New Roman" w:cs="Times New Roman"/>
                <w:sz w:val="24"/>
                <w:szCs w:val="24"/>
              </w:rPr>
              <w:t xml:space="preserve">pārbūvēto vai atjaunoto </w:t>
            </w:r>
            <w:r w:rsidRPr="00474477">
              <w:rPr>
                <w:rFonts w:ascii="Times New Roman" w:hAnsi="Times New Roman" w:cs="Times New Roman"/>
                <w:sz w:val="24"/>
                <w:szCs w:val="24"/>
              </w:rPr>
              <w:t>ēku</w:t>
            </w:r>
            <w:r w:rsidRPr="00474477">
              <w:rPr>
                <w:rFonts w:ascii="Times New Roman" w:hAnsi="Times New Roman" w:cs="Times New Roman"/>
                <w:sz w:val="24"/>
                <w:szCs w:val="24"/>
              </w:rPr>
              <w:t>.</w:t>
            </w:r>
          </w:p>
          <w:p w:rsidR="00D24EFC" w:rsidRPr="00EC2E0B" w:rsidP="007F40B0" w14:paraId="6E04CF8D" w14:textId="577207E5">
            <w:pPr>
              <w:spacing w:after="0" w:line="240" w:lineRule="auto"/>
              <w:jc w:val="both"/>
              <w:rPr>
                <w:rFonts w:ascii="Times New Roman" w:eastAsia="Times New Roman" w:hAnsi="Times New Roman" w:cs="Times New Roman"/>
                <w:bCs/>
                <w:iCs/>
                <w:sz w:val="24"/>
                <w:szCs w:val="24"/>
                <w:lang w:eastAsia="lv-LV"/>
              </w:rPr>
            </w:pPr>
            <w:r w:rsidRPr="00C766E1">
              <w:rPr>
                <w:rFonts w:ascii="Times New Roman" w:hAnsi="Times New Roman" w:cs="Times New Roman"/>
                <w:sz w:val="24"/>
                <w:szCs w:val="24"/>
              </w:rPr>
              <w:t xml:space="preserve">No MK noteikumu projekta tiek dzēsts nosacījums, </w:t>
            </w:r>
            <w:r w:rsidRPr="00C766E1" w:rsidR="008312CD">
              <w:rPr>
                <w:rFonts w:ascii="Times New Roman" w:hAnsi="Times New Roman" w:cs="Times New Roman"/>
                <w:sz w:val="24"/>
                <w:szCs w:val="24"/>
              </w:rPr>
              <w:t xml:space="preserve">ka ražošanas ēkā vai telpās, kur projekta ietvaros tika plānots veikt pārbūvi vai atjaunošanu, pēdējos divus gadus pirms projekta iesnieguma iesniegšanas netika veikta saimnieciskā darbība apstrādes rūpniecībā. </w:t>
            </w:r>
            <w:r w:rsidRPr="00C766E1" w:rsidR="00EC2E0B">
              <w:rPr>
                <w:rFonts w:ascii="Times New Roman" w:hAnsi="Times New Roman" w:cs="Times New Roman"/>
                <w:sz w:val="24"/>
                <w:szCs w:val="24"/>
              </w:rPr>
              <w:t>Divu gadu nosacījums tika dzēsts pamatojoties uz sociālo partneru un to pārstāvju lūguma, jo</w:t>
            </w:r>
            <w:r w:rsidRPr="00C766E1">
              <w:rPr>
                <w:rFonts w:ascii="Times New Roman" w:hAnsi="Times New Roman" w:cs="Times New Roman"/>
                <w:sz w:val="24"/>
                <w:szCs w:val="24"/>
              </w:rPr>
              <w:t xml:space="preserve"> </w:t>
            </w:r>
            <w:r w:rsidRPr="00C766E1" w:rsidR="00EC2E0B">
              <w:rPr>
                <w:rFonts w:ascii="Times New Roman" w:hAnsi="Times New Roman" w:cs="Times New Roman"/>
                <w:sz w:val="24"/>
                <w:szCs w:val="24"/>
              </w:rPr>
              <w:t>š</w:t>
            </w:r>
            <w:r w:rsidRPr="00C766E1">
              <w:rPr>
                <w:rFonts w:ascii="Times New Roman" w:hAnsi="Times New Roman" w:cs="Times New Roman"/>
                <w:sz w:val="24"/>
                <w:szCs w:val="24"/>
              </w:rPr>
              <w:t>āds ierobežojums no atbalsta saņēmēju loka praktiski izslēdz visus tos interesentus reģionos, kuriem ir nepieciešams veikt pārbūvi vai atjaunošanu ēkās un telpās, kurās notiek saimnieciskā darbība.</w:t>
            </w:r>
          </w:p>
          <w:p w:rsidR="00927DB3" w:rsidRPr="00925BB7" w:rsidP="00925BB7" w14:paraId="2A800967" w14:textId="4DCAC188">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Ekonomikas ministrija norāda, ka paralēli MK noteikumu projekta izstrādei ir izstrādāti arī atlases kritēriji un saistītā dokumentācija, kas noteiktu kritērijus pēc kādiem tiks atlasīti 3.1.1.5. pasākuma otrās atlases kārtas finansējuma saņēmēji. Ekonomikas ministrija norāda, ka gan MK noteikumu projekts, gan atlases kritēriji ir veidoti </w:t>
            </w:r>
            <w:r>
              <w:rPr>
                <w:rFonts w:ascii="Times New Roman" w:eastAsia="Times New Roman" w:hAnsi="Times New Roman" w:cs="Times New Roman"/>
                <w:iCs/>
                <w:sz w:val="24"/>
                <w:szCs w:val="24"/>
                <w:lang w:eastAsia="lv-LV"/>
              </w:rPr>
              <w:t>līdzvērtīgi 3.1.1.5.pasākuma pirmās atlases kārtas normatīvam regulējumam un atlases kritērijiem, akcentējot nepiecieš</w:t>
            </w:r>
            <w:r w:rsidR="00372B0A">
              <w:rPr>
                <w:rFonts w:ascii="Times New Roman" w:eastAsia="Times New Roman" w:hAnsi="Times New Roman" w:cs="Times New Roman"/>
                <w:iCs/>
                <w:sz w:val="24"/>
                <w:szCs w:val="24"/>
                <w:lang w:eastAsia="lv-LV"/>
              </w:rPr>
              <w:t>amās izmaiņas, kas radušās ņemot</w:t>
            </w:r>
            <w:r>
              <w:rPr>
                <w:rFonts w:ascii="Times New Roman" w:eastAsia="Times New Roman" w:hAnsi="Times New Roman" w:cs="Times New Roman"/>
                <w:iCs/>
                <w:sz w:val="24"/>
                <w:szCs w:val="24"/>
                <w:lang w:eastAsia="lv-LV"/>
              </w:rPr>
              <w:t xml:space="preserve"> vērā gūto pieredzi pirmajā atlases kārtā, kā arī Ekonomikas ministrijas kā politikas veidotāja konstatētā nepieciešamās izmaiņas.</w:t>
            </w:r>
          </w:p>
        </w:tc>
      </w:tr>
      <w:tr w14:paraId="3D0D6E03"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429054F6"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36183091"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D530C0" w:rsidRPr="003D5576" w:rsidP="00927DB3" w14:paraId="590C044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rPr>
              <w:t>Ekonomikas ministrija</w:t>
            </w:r>
            <w:r w:rsidRPr="003D5576">
              <w:rPr>
                <w:rFonts w:ascii="Times New Roman" w:eastAsia="Times New Roman" w:hAnsi="Times New Roman" w:cs="Times New Roman"/>
                <w:sz w:val="24"/>
              </w:rPr>
              <w:t xml:space="preserve"> </w:t>
            </w:r>
          </w:p>
        </w:tc>
      </w:tr>
      <w:tr w14:paraId="5D524A7D"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47424ED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55D7819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4792945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14:paraId="390078AC"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57364A0C"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62224176"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348CF06E"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58C383B4"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5FA065F5"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Sabiedrības </w:t>
            </w:r>
            <w:r w:rsidRPr="00487661">
              <w:rPr>
                <w:rFonts w:ascii="Times New Roman" w:eastAsia="Times New Roman" w:hAnsi="Times New Roman" w:cs="Times New Roman"/>
                <w:iCs/>
                <w:sz w:val="24"/>
                <w:szCs w:val="24"/>
                <w:lang w:eastAsia="lv-LV"/>
              </w:rPr>
              <w:t>mērķgrupas</w:t>
            </w:r>
            <w:r w:rsidRPr="0048766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2774527B" w14:textId="30DD312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 xml:space="preserve"> Projekta tiesiskais regulējums attiecas uz </w:t>
            </w:r>
            <w:r w:rsidR="007E7502">
              <w:rPr>
                <w:rFonts w:ascii="Times New Roman" w:eastAsia="Times New Roman" w:hAnsi="Times New Roman" w:cs="Times New Roman"/>
                <w:sz w:val="24"/>
                <w:szCs w:val="24"/>
                <w:lang w:eastAsia="lv-LV"/>
              </w:rPr>
              <w:t>Latvijas Republikā reģistrētiem komersantiem</w:t>
            </w:r>
            <w:r w:rsidRPr="00BD2E21" w:rsidR="007E7502">
              <w:rPr>
                <w:rFonts w:ascii="Times New Roman" w:eastAsia="Times New Roman" w:hAnsi="Times New Roman" w:cs="Times New Roman"/>
                <w:sz w:val="24"/>
                <w:szCs w:val="24"/>
                <w:lang w:eastAsia="lv-LV"/>
              </w:rPr>
              <w:t xml:space="preserve">, tai skaitā </w:t>
            </w:r>
            <w:r w:rsidR="00D93A7E">
              <w:rPr>
                <w:rFonts w:ascii="Times New Roman" w:eastAsia="Times New Roman" w:hAnsi="Times New Roman" w:cs="Times New Roman"/>
                <w:sz w:val="24"/>
                <w:szCs w:val="24"/>
                <w:lang w:eastAsia="lv-LV"/>
              </w:rPr>
              <w:t>pašvaldības kapitālsabiedrībām</w:t>
            </w:r>
            <w:r w:rsidRPr="00BD2E21" w:rsidR="007E7502">
              <w:rPr>
                <w:rFonts w:ascii="Times New Roman" w:eastAsia="Times New Roman" w:hAnsi="Times New Roman" w:cs="Times New Roman"/>
                <w:sz w:val="24"/>
                <w:szCs w:val="24"/>
                <w:lang w:eastAsia="lv-LV"/>
              </w:rPr>
              <w:t xml:space="preserve">, </w:t>
            </w:r>
            <w:r w:rsidR="00D93A7E">
              <w:rPr>
                <w:rFonts w:ascii="Times New Roman" w:eastAsia="Times New Roman" w:hAnsi="Times New Roman" w:cs="Times New Roman"/>
                <w:sz w:val="24"/>
                <w:szCs w:val="24"/>
                <w:lang w:eastAsia="lv-LV"/>
              </w:rPr>
              <w:t>nodibinājumiem</w:t>
            </w:r>
            <w:r w:rsidR="007E7502">
              <w:rPr>
                <w:rFonts w:ascii="Times New Roman" w:eastAsia="Times New Roman" w:hAnsi="Times New Roman" w:cs="Times New Roman"/>
                <w:sz w:val="24"/>
                <w:szCs w:val="24"/>
                <w:lang w:eastAsia="lv-LV"/>
              </w:rPr>
              <w:t xml:space="preserve"> vai ostas pārvaldi, kā arī Sadarbības iestādi</w:t>
            </w:r>
            <w:r w:rsidRPr="00BD2E21" w:rsidR="007E7502">
              <w:rPr>
                <w:rFonts w:ascii="Times New Roman" w:eastAsia="Times New Roman" w:hAnsi="Times New Roman" w:cs="Times New Roman"/>
                <w:sz w:val="24"/>
                <w:szCs w:val="24"/>
                <w:lang w:eastAsia="lv-LV"/>
              </w:rPr>
              <w:t>.</w:t>
            </w:r>
          </w:p>
        </w:tc>
      </w:tr>
      <w:tr w14:paraId="25D58F35"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1DF08B3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530C0" w:rsidRPr="00FB0C8F" w:rsidP="00927DB3" w14:paraId="3018D1D6" w14:textId="77777777">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D530C0" w:rsidRPr="00FB0C8F" w:rsidP="00ED7FE9" w14:paraId="4336BBF5" w14:textId="04DFBB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projektā paredzēts, ka līdz 2023.gada 31.decembrim tiks atbalstīti 7 </w:t>
            </w:r>
            <w:r>
              <w:rPr>
                <w:rFonts w:ascii="Times New Roman" w:eastAsia="Times New Roman" w:hAnsi="Times New Roman" w:cs="Times New Roman"/>
                <w:iCs/>
                <w:sz w:val="24"/>
                <w:szCs w:val="24"/>
                <w:lang w:eastAsia="lv-LV"/>
              </w:rPr>
              <w:t>grantus</w:t>
            </w:r>
            <w:r>
              <w:rPr>
                <w:rFonts w:ascii="Times New Roman" w:eastAsia="Times New Roman" w:hAnsi="Times New Roman" w:cs="Times New Roman"/>
                <w:iCs/>
                <w:sz w:val="24"/>
                <w:szCs w:val="24"/>
                <w:lang w:eastAsia="lv-LV"/>
              </w:rPr>
              <w:t xml:space="preserve"> saņēmušie komersanti, </w:t>
            </w:r>
            <w:r w:rsidR="003D5421">
              <w:rPr>
                <w:rFonts w:ascii="Times New Roman" w:eastAsia="Times New Roman" w:hAnsi="Times New Roman" w:cs="Times New Roman"/>
                <w:iCs/>
                <w:sz w:val="24"/>
                <w:szCs w:val="24"/>
                <w:lang w:eastAsia="lv-LV"/>
              </w:rPr>
              <w:t>grantu</w:t>
            </w:r>
            <w:r w:rsidR="003D5421">
              <w:rPr>
                <w:rFonts w:ascii="Times New Roman" w:eastAsia="Times New Roman" w:hAnsi="Times New Roman" w:cs="Times New Roman"/>
                <w:iCs/>
                <w:sz w:val="24"/>
                <w:szCs w:val="24"/>
                <w:lang w:eastAsia="lv-LV"/>
              </w:rPr>
              <w:t xml:space="preserve"> publiskajam finansējuma </w:t>
            </w:r>
            <w:r w:rsidR="006D700D">
              <w:rPr>
                <w:rFonts w:ascii="Times New Roman" w:eastAsia="Times New Roman" w:hAnsi="Times New Roman" w:cs="Times New Roman"/>
                <w:iCs/>
                <w:sz w:val="24"/>
                <w:szCs w:val="24"/>
                <w:lang w:eastAsia="lv-LV"/>
              </w:rPr>
              <w:t xml:space="preserve">tiks piesaistīts </w:t>
            </w:r>
            <w:r w:rsidR="003D5421">
              <w:rPr>
                <w:rFonts w:ascii="Times New Roman" w:eastAsia="Times New Roman" w:hAnsi="Times New Roman" w:cs="Times New Roman"/>
                <w:iCs/>
                <w:sz w:val="24"/>
                <w:szCs w:val="24"/>
                <w:lang w:eastAsia="lv-LV"/>
              </w:rPr>
              <w:t xml:space="preserve">privātais finansējums </w:t>
            </w:r>
            <w:r w:rsidR="006D700D">
              <w:rPr>
                <w:rFonts w:ascii="Times New Roman" w:eastAsia="Times New Roman" w:hAnsi="Times New Roman" w:cs="Times New Roman"/>
                <w:iCs/>
                <w:sz w:val="24"/>
                <w:szCs w:val="24"/>
                <w:lang w:eastAsia="lv-LV"/>
              </w:rPr>
              <w:t xml:space="preserve">21 750 000 EUR </w:t>
            </w:r>
            <w:r w:rsidR="003D5421">
              <w:rPr>
                <w:rFonts w:ascii="Times New Roman" w:eastAsia="Times New Roman" w:hAnsi="Times New Roman" w:cs="Times New Roman"/>
                <w:iCs/>
                <w:sz w:val="24"/>
                <w:szCs w:val="24"/>
                <w:lang w:eastAsia="lv-LV"/>
              </w:rPr>
              <w:t xml:space="preserve">apmērā, </w:t>
            </w:r>
            <w:r w:rsidR="00573BFA">
              <w:rPr>
                <w:rFonts w:ascii="Times New Roman" w:eastAsia="Times New Roman" w:hAnsi="Times New Roman" w:cs="Times New Roman"/>
                <w:iCs/>
                <w:sz w:val="24"/>
                <w:szCs w:val="24"/>
                <w:lang w:eastAsia="lv-LV"/>
              </w:rPr>
              <w:t xml:space="preserve">kā arī nodarbinātības pieaugums atbalstītajos uzņēmumos kopumā </w:t>
            </w:r>
            <w:r w:rsidR="003D5421">
              <w:rPr>
                <w:rFonts w:ascii="Times New Roman" w:eastAsia="Times New Roman" w:hAnsi="Times New Roman" w:cs="Times New Roman"/>
                <w:iCs/>
                <w:sz w:val="24"/>
                <w:szCs w:val="24"/>
                <w:lang w:eastAsia="lv-LV"/>
              </w:rPr>
              <w:t>radīs pozitīvu ietekmi uz tautsaimniecību.</w:t>
            </w:r>
          </w:p>
        </w:tc>
      </w:tr>
      <w:tr w14:paraId="5FDE0CAF"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0CE398A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1263310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025DB46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381B6C42"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649983C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7061FB01"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79E743A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00BE81CF"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0F14ECE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30D22ED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0A5BD9C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14:paraId="2786A5DC"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22"/>
      </w:tblGrid>
      <w:tr w14:paraId="537D2E97"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7395C395"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III. Tiesību akta projekta ietekme uz valsts budžetu un pašvaldību budžetiem</w:t>
            </w:r>
          </w:p>
        </w:tc>
      </w:tr>
      <w:tr w14:paraId="067FA1AA"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530C0" w:rsidRPr="00EA7583" w:rsidP="00927DB3" w14:paraId="0471380B" w14:textId="77777777">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p>
        </w:tc>
      </w:tr>
    </w:tbl>
    <w:p w:rsidR="00D530C0" w:rsidRPr="00487661" w:rsidP="00D530C0" w14:paraId="6969BBE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22"/>
      </w:tblGrid>
      <w:tr w14:paraId="7427202D"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185AF2F3"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IV. Tiesību akta projekta ietekme uz spēkā esošo tiesību normu sistēmu</w:t>
            </w:r>
          </w:p>
        </w:tc>
      </w:tr>
      <w:tr w14:paraId="54DCF8C4"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530C0" w:rsidRPr="0076463C" w:rsidP="0076463C" w14:paraId="1C0A5EA1" w14:textId="41CD6540">
            <w:pPr>
              <w:spacing w:after="0" w:line="240" w:lineRule="auto"/>
              <w:jc w:val="both"/>
              <w:rPr>
                <w:rFonts w:ascii="Times New Roman" w:eastAsia="Times New Roman" w:hAnsi="Times New Roman" w:cs="Times New Roman"/>
                <w:bCs/>
                <w:iCs/>
                <w:sz w:val="24"/>
                <w:szCs w:val="24"/>
                <w:lang w:eastAsia="lv-LV"/>
              </w:rPr>
            </w:pPr>
            <w:r w:rsidRPr="0076463C">
              <w:rPr>
                <w:rFonts w:ascii="Times New Roman" w:eastAsia="Times New Roman" w:hAnsi="Times New Roman" w:cs="Times New Roman"/>
                <w:bCs/>
                <w:iCs/>
                <w:sz w:val="24"/>
                <w:szCs w:val="24"/>
                <w:lang w:eastAsia="lv-LV"/>
              </w:rPr>
              <w:t>T</w:t>
            </w:r>
            <w:r w:rsidRPr="0076463C" w:rsidR="009E691F">
              <w:rPr>
                <w:rFonts w:ascii="Times New Roman" w:eastAsia="Times New Roman" w:hAnsi="Times New Roman" w:cs="Times New Roman"/>
                <w:bCs/>
                <w:iCs/>
                <w:sz w:val="24"/>
                <w:szCs w:val="24"/>
                <w:lang w:eastAsia="lv-LV"/>
              </w:rPr>
              <w:t xml:space="preserve">iks veikti grozījumi </w:t>
            </w:r>
            <w:r w:rsidRPr="0076463C" w:rsidR="0076463C">
              <w:rPr>
                <w:rFonts w:ascii="Times New Roman" w:hAnsi="Times New Roman" w:cs="Times New Roman"/>
                <w:sz w:val="24"/>
                <w:szCs w:val="24"/>
              </w:rPr>
              <w:t xml:space="preserve">2016. gada 12. aprīļa </w:t>
            </w:r>
            <w:r w:rsidRPr="0076463C" w:rsidR="009E691F">
              <w:rPr>
                <w:rFonts w:ascii="Times New Roman" w:eastAsia="Times New Roman" w:hAnsi="Times New Roman" w:cs="Times New Roman"/>
                <w:bCs/>
                <w:iCs/>
                <w:sz w:val="24"/>
                <w:szCs w:val="24"/>
                <w:lang w:eastAsia="lv-LV"/>
              </w:rPr>
              <w:t xml:space="preserve">Ministru kabineta noteikumos </w:t>
            </w:r>
            <w:r w:rsidRPr="0076463C" w:rsidR="0076463C">
              <w:rPr>
                <w:rFonts w:ascii="Times New Roman" w:hAnsi="Times New Roman" w:cs="Times New Roman"/>
                <w:bCs/>
                <w:sz w:val="24"/>
                <w:szCs w:val="24"/>
              </w:rPr>
              <w:t>Nr. 227</w:t>
            </w:r>
            <w:r w:rsidRPr="0076463C" w:rsidR="0076463C">
              <w:rPr>
                <w:rFonts w:ascii="Times New Roman" w:eastAsia="Times New Roman" w:hAnsi="Times New Roman" w:cs="Times New Roman"/>
                <w:bCs/>
                <w:iCs/>
                <w:sz w:val="24"/>
                <w:szCs w:val="24"/>
                <w:lang w:eastAsia="lv-LV"/>
              </w:rPr>
              <w:t xml:space="preserve">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 </w:t>
            </w:r>
            <w:r w:rsidR="0076463C">
              <w:rPr>
                <w:rFonts w:ascii="Times New Roman" w:eastAsia="Times New Roman" w:hAnsi="Times New Roman" w:cs="Times New Roman"/>
                <w:bCs/>
                <w:iCs/>
                <w:sz w:val="24"/>
                <w:szCs w:val="24"/>
                <w:lang w:eastAsia="lv-LV"/>
              </w:rPr>
              <w:t xml:space="preserve">par pieejamā </w:t>
            </w:r>
            <w:r w:rsidRPr="0076463C" w:rsidR="009E691F">
              <w:rPr>
                <w:rFonts w:ascii="Times New Roman" w:eastAsia="Times New Roman" w:hAnsi="Times New Roman" w:cs="Times New Roman"/>
                <w:bCs/>
                <w:iCs/>
                <w:sz w:val="24"/>
                <w:szCs w:val="24"/>
                <w:lang w:eastAsia="lv-LV"/>
              </w:rPr>
              <w:t>finansējuma samazināšanu.</w:t>
            </w:r>
          </w:p>
        </w:tc>
      </w:tr>
    </w:tbl>
    <w:p w:rsidR="00D530C0" w:rsidRPr="00487661" w:rsidP="00D530C0" w14:paraId="3C404C79"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0797122F"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09C28C8F"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108A9993"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49A14C7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4BFE942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D530C0" w:rsidP="00927DB3" w14:paraId="00871EE6"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Eiropas </w:t>
            </w:r>
            <w:r w:rsidRPr="002C512C">
              <w:rPr>
                <w:rFonts w:ascii="Times New Roman" w:eastAsia="Times New Roman" w:hAnsi="Times New Roman" w:cs="Times New Roman"/>
                <w:iCs/>
                <w:sz w:val="24"/>
                <w:szCs w:val="24"/>
                <w:lang w:eastAsia="lv-LV"/>
              </w:rPr>
              <w:t xml:space="preserve">Komisijas 2014. gada 17. </w:t>
            </w:r>
            <w:r>
              <w:rPr>
                <w:rFonts w:ascii="Times New Roman" w:eastAsia="Times New Roman" w:hAnsi="Times New Roman" w:cs="Times New Roman"/>
                <w:iCs/>
                <w:sz w:val="24"/>
                <w:szCs w:val="24"/>
                <w:lang w:eastAsia="lv-LV"/>
              </w:rPr>
              <w:t>jūnija</w:t>
            </w:r>
            <w:r w:rsidRPr="002C512C">
              <w:rPr>
                <w:rFonts w:ascii="Times New Roman" w:eastAsia="Times New Roman" w:hAnsi="Times New Roman" w:cs="Times New Roman"/>
                <w:iCs/>
                <w:sz w:val="24"/>
                <w:szCs w:val="24"/>
                <w:lang w:eastAsia="lv-LV"/>
              </w:rPr>
              <w:t xml:space="preserve"> Regula (ES) Nr. 651/2014, ar ko noteiktas atbalsta kategorijas atzīst par saderīgām ar iekšējo tirgu, piemērojot Līguma 107. un 108.pantu.</w:t>
            </w:r>
          </w:p>
          <w:p w:rsidR="003B4F1C" w:rsidP="00927DB3" w14:paraId="5AB918E6" w14:textId="77777777">
            <w:pPr>
              <w:spacing w:after="0" w:line="240" w:lineRule="auto"/>
              <w:jc w:val="both"/>
              <w:rPr>
                <w:rFonts w:ascii="Times New Roman" w:eastAsia="Times New Roman" w:hAnsi="Times New Roman" w:cs="Times New Roman"/>
                <w:iCs/>
                <w:sz w:val="24"/>
                <w:szCs w:val="24"/>
                <w:lang w:eastAsia="lv-LV"/>
              </w:rPr>
            </w:pPr>
          </w:p>
          <w:p w:rsidR="003B4F1C" w:rsidP="00927DB3" w14:paraId="09FD0401" w14:textId="77777777">
            <w:pPr>
              <w:spacing w:after="0" w:line="240" w:lineRule="auto"/>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Eiropas Komisijas 2013. gada 18. decembra Regula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par Līguma par Eiropas Savienības darbību 107. un 108. panta piemērošanu </w:t>
            </w:r>
            <w:r w:rsidRPr="00BD2E21">
              <w:rPr>
                <w:rFonts w:ascii="Times New Roman" w:eastAsia="Times New Roman" w:hAnsi="Times New Roman" w:cs="Times New Roman"/>
                <w:i/>
                <w:iCs/>
                <w:sz w:val="24"/>
                <w:szCs w:val="24"/>
                <w:lang w:eastAsia="lv-LV"/>
              </w:rPr>
              <w:t>de</w:t>
            </w:r>
            <w:r w:rsidRPr="00BD2E21">
              <w:rPr>
                <w:rFonts w:ascii="Times New Roman" w:eastAsia="Times New Roman" w:hAnsi="Times New Roman" w:cs="Times New Roman"/>
                <w:i/>
                <w:iCs/>
                <w:sz w:val="24"/>
                <w:szCs w:val="24"/>
                <w:lang w:eastAsia="lv-LV"/>
              </w:rPr>
              <w:t xml:space="preserve"> </w:t>
            </w:r>
            <w:r w:rsidRPr="00BD2E21">
              <w:rPr>
                <w:rFonts w:ascii="Times New Roman" w:eastAsia="Times New Roman" w:hAnsi="Times New Roman" w:cs="Times New Roman"/>
                <w:i/>
                <w:iCs/>
                <w:sz w:val="24"/>
                <w:szCs w:val="24"/>
                <w:lang w:eastAsia="lv-LV"/>
              </w:rPr>
              <w:t>minimis</w:t>
            </w:r>
            <w:r w:rsidRPr="00BD2E21">
              <w:rPr>
                <w:rFonts w:ascii="Times New Roman" w:eastAsia="Times New Roman" w:hAnsi="Times New Roman" w:cs="Times New Roman"/>
                <w:sz w:val="24"/>
                <w:szCs w:val="24"/>
                <w:lang w:eastAsia="lv-LV"/>
              </w:rPr>
              <w:t> atbalstam</w:t>
            </w:r>
          </w:p>
          <w:p w:rsidR="004C3F2B" w:rsidP="00927DB3" w14:paraId="4A8F4E23" w14:textId="77777777">
            <w:pPr>
              <w:spacing w:after="0" w:line="240" w:lineRule="auto"/>
              <w:jc w:val="both"/>
              <w:rPr>
                <w:rFonts w:ascii="Times New Roman" w:eastAsia="Times New Roman" w:hAnsi="Times New Roman" w:cs="Times New Roman"/>
                <w:iCs/>
                <w:sz w:val="24"/>
                <w:szCs w:val="24"/>
                <w:lang w:eastAsia="lv-LV"/>
              </w:rPr>
            </w:pPr>
          </w:p>
          <w:p w:rsidR="004C3F2B" w:rsidP="00927DB3" w14:paraId="76B58242" w14:textId="77777777">
            <w:pPr>
              <w:spacing w:after="0" w:line="240" w:lineRule="auto"/>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Eiropas Parlamenta un Padomes 2013. gada 17. decembra Regula (ES) Nr. </w:t>
            </w:r>
            <w:r>
              <w:fldChar w:fldCharType="begin"/>
            </w:r>
            <w:r>
              <w:instrText xml:space="preserve"> HYPERLINK "http://eur-lex.europa.eu/eli/reg/2013/1301/oj/?locale=LV" \t "_blank" </w:instrText>
            </w:r>
            <w:r>
              <w:fldChar w:fldCharType="separate"/>
            </w:r>
            <w:r w:rsidRPr="000E1BC9">
              <w:rPr>
                <w:rFonts w:ascii="Times New Roman" w:eastAsia="Times New Roman" w:hAnsi="Times New Roman" w:cs="Times New Roman"/>
                <w:sz w:val="24"/>
                <w:szCs w:val="24"/>
                <w:lang w:eastAsia="lv-LV"/>
              </w:rPr>
              <w:t>1301/2013</w:t>
            </w:r>
            <w:r>
              <w:fldChar w:fldCharType="end"/>
            </w:r>
            <w:r w:rsidRPr="000E1BC9">
              <w:rPr>
                <w:rFonts w:ascii="Times New Roman" w:eastAsia="Times New Roman" w:hAnsi="Times New Roman" w:cs="Times New Roman"/>
                <w:sz w:val="24"/>
                <w:szCs w:val="24"/>
                <w:lang w:eastAsia="lv-LV"/>
              </w:rPr>
              <w:t> par Eiropas Reģionālās attīstības fondu un īpašiem noteikumiem attiecībā uz mērķi "Investīcijas izaugsmei un nodarbinātībai" un ar ko atceļ Regulu (EK) Nr. </w:t>
            </w:r>
            <w:r>
              <w:fldChar w:fldCharType="begin"/>
            </w:r>
            <w:r>
              <w:instrText xml:space="preserve"> HYPERLINK "http://eur-lex.europa.eu/eli/reg/2006/1080/oj/?locale=LV" \t "_blank" </w:instrText>
            </w:r>
            <w:r>
              <w:fldChar w:fldCharType="separate"/>
            </w:r>
            <w:r w:rsidRPr="000E1BC9">
              <w:rPr>
                <w:rFonts w:ascii="Times New Roman" w:eastAsia="Times New Roman" w:hAnsi="Times New Roman" w:cs="Times New Roman"/>
                <w:sz w:val="24"/>
                <w:szCs w:val="24"/>
                <w:lang w:eastAsia="lv-LV"/>
              </w:rPr>
              <w:t>1080/2006</w:t>
            </w:r>
            <w:r>
              <w:fldChar w:fldCharType="end"/>
            </w:r>
          </w:p>
          <w:p w:rsidR="00E400BD" w:rsidP="00927DB3" w14:paraId="2C530D3F" w14:textId="77777777">
            <w:pPr>
              <w:spacing w:after="0" w:line="240" w:lineRule="auto"/>
              <w:jc w:val="both"/>
              <w:rPr>
                <w:rFonts w:ascii="Times New Roman" w:eastAsia="Times New Roman" w:hAnsi="Times New Roman" w:cs="Times New Roman"/>
                <w:sz w:val="24"/>
                <w:szCs w:val="24"/>
                <w:lang w:eastAsia="lv-LV"/>
              </w:rPr>
            </w:pPr>
          </w:p>
          <w:p w:rsidR="00E400BD" w:rsidRPr="00487661" w:rsidP="00927DB3" w14:paraId="092FF9B0" w14:textId="77777777">
            <w:pPr>
              <w:spacing w:after="0" w:line="240" w:lineRule="auto"/>
              <w:jc w:val="both"/>
              <w:rPr>
                <w:rFonts w:ascii="Times New Roman" w:eastAsia="Times New Roman" w:hAnsi="Times New Roman" w:cs="Times New Roman"/>
                <w:iCs/>
                <w:sz w:val="24"/>
                <w:szCs w:val="24"/>
                <w:lang w:eastAsia="lv-LV"/>
              </w:rPr>
            </w:pPr>
            <w:r w:rsidRPr="00E400BD">
              <w:rPr>
                <w:rFonts w:ascii="Times New Roman" w:eastAsia="Times New Roman" w:hAnsi="Times New Roman" w:cs="Times New Roman"/>
                <w:iCs/>
                <w:sz w:val="24"/>
                <w:szCs w:val="24"/>
                <w:lang w:eastAsia="lv-LV"/>
              </w:rPr>
              <w:t>Eiropas Parlamenta un Padomes 2012. gada 25. oktobra Regula (ES, EURATOM) Nr. 966/2012 par finanšu noteikumiem, ko piemēro Savienības vispārējam budžetam, un par Padomes Regulas (EK, Euratom) Nr. 1605/2002 atcelšanu</w:t>
            </w:r>
            <w:r w:rsidR="002C766B">
              <w:rPr>
                <w:rFonts w:ascii="Times New Roman" w:eastAsia="Times New Roman" w:hAnsi="Times New Roman" w:cs="Times New Roman"/>
                <w:iCs/>
                <w:sz w:val="24"/>
                <w:szCs w:val="24"/>
                <w:lang w:eastAsia="lv-LV"/>
              </w:rPr>
              <w:t>.</w:t>
            </w:r>
          </w:p>
        </w:tc>
      </w:tr>
      <w:tr w14:paraId="7E70FABC"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30325E91"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1762A311"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3E16741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347DF8AF"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4F4FF0B6"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48D25E0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496EA35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1F3114" w:rsidRPr="00487661" w:rsidP="00D530C0" w14:paraId="75CDD535" w14:textId="05150E7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98"/>
        <w:gridCol w:w="1456"/>
        <w:gridCol w:w="1790"/>
        <w:gridCol w:w="348"/>
        <w:gridCol w:w="2244"/>
        <w:gridCol w:w="3096"/>
      </w:tblGrid>
      <w:tr w14:paraId="6DBEDFDA" w14:textId="77777777" w:rsidTr="00CE3DFD">
        <w:tblPrEx>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571" w:type="dxa"/>
            <w:gridSpan w:val="6"/>
            <w:tcBorders>
              <w:top w:val="outset" w:sz="6" w:space="0" w:color="auto"/>
              <w:left w:val="outset" w:sz="6" w:space="0" w:color="auto"/>
              <w:bottom w:val="outset" w:sz="6" w:space="0" w:color="auto"/>
              <w:right w:val="outset" w:sz="6" w:space="0" w:color="auto"/>
            </w:tcBorders>
            <w:vAlign w:val="center"/>
            <w:hideMark/>
          </w:tcPr>
          <w:p w:rsidR="001F3114" w:rsidRPr="001F3114" w:rsidP="001F3114" w14:paraId="74795500" w14:textId="77777777">
            <w:pPr>
              <w:spacing w:after="0" w:line="240" w:lineRule="auto"/>
              <w:rPr>
                <w:rFonts w:ascii="Times New Roman" w:eastAsia="Times New Roman" w:hAnsi="Times New Roman" w:cs="Times New Roman"/>
                <w:b/>
                <w:bCs/>
                <w:iCs/>
                <w:sz w:val="24"/>
                <w:szCs w:val="24"/>
                <w:lang w:eastAsia="lv-LV"/>
              </w:rPr>
            </w:pPr>
            <w:r w:rsidRPr="001F3114">
              <w:rPr>
                <w:rFonts w:ascii="Times New Roman" w:eastAsia="Times New Roman" w:hAnsi="Times New Roman" w:cs="Times New Roman"/>
                <w:b/>
                <w:bCs/>
                <w:iCs/>
                <w:sz w:val="24"/>
                <w:szCs w:val="24"/>
                <w:lang w:eastAsia="lv-LV"/>
              </w:rPr>
              <w:t>1. tabula</w:t>
            </w:r>
            <w:r w:rsidRPr="001F3114">
              <w:rPr>
                <w:rFonts w:ascii="Times New Roman" w:eastAsia="Times New Roman" w:hAnsi="Times New Roman" w:cs="Times New Roman"/>
                <w:b/>
                <w:bCs/>
                <w:iCs/>
                <w:sz w:val="24"/>
                <w:szCs w:val="24"/>
                <w:lang w:eastAsia="lv-LV"/>
              </w:rPr>
              <w:br/>
              <w:t>Tiesību akta projekta atbilstība ES tiesību aktiem</w:t>
            </w:r>
          </w:p>
        </w:tc>
      </w:tr>
      <w:tr w14:paraId="1206DDD2"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E9E9BF7"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Attiecīgā ES tiesību akta datums, numurs un nosaukums</w:t>
            </w:r>
          </w:p>
        </w:tc>
        <w:tc>
          <w:tcPr>
            <w:tcW w:w="743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5D2309E" w14:textId="77777777">
            <w:pPr>
              <w:jc w:val="both"/>
              <w:rPr>
                <w:rFonts w:ascii="Times New Roman" w:hAnsi="Times New Roman" w:cs="Times New Roman"/>
                <w:sz w:val="24"/>
                <w:szCs w:val="24"/>
                <w:lang w:eastAsia="lv-LV"/>
              </w:rPr>
            </w:pPr>
            <w:r>
              <w:rPr>
                <w:rFonts w:ascii="Times New Roman" w:hAnsi="Times New Roman" w:cs="Times New Roman"/>
                <w:sz w:val="24"/>
                <w:szCs w:val="24"/>
                <w:lang w:eastAsia="lv-LV"/>
              </w:rPr>
              <w:t>Komisijas 2014. gada 17. decembra Regula (ES) Nr. 651/2014, ar ko noteiktas atbalsta kategorijas atzīst par saderīgām ar iekšējo tirgu, piemērojot Līguma 107. un 108.pantu.</w:t>
            </w:r>
          </w:p>
          <w:p w:rsidR="001F3114" w14:paraId="5B9FE7BA" w14:textId="77777777">
            <w:pPr>
              <w:jc w:val="both"/>
              <w:rPr>
                <w:rFonts w:ascii="Times New Roman" w:hAnsi="Times New Roman" w:cs="Times New Roman"/>
                <w:sz w:val="24"/>
                <w:szCs w:val="24"/>
                <w:lang w:eastAsia="lv-LV"/>
              </w:rPr>
            </w:pPr>
            <w:r>
              <w:rPr>
                <w:rFonts w:ascii="Times New Roman" w:hAnsi="Times New Roman" w:cs="Times New Roman"/>
                <w:sz w:val="24"/>
                <w:szCs w:val="24"/>
                <w:lang w:eastAsia="lv-LV"/>
              </w:rPr>
              <w:t>Eiropas Komisijas 2013. gada 18. decembra Regulas Nr. </w:t>
            </w:r>
            <w:r>
              <w:fldChar w:fldCharType="begin"/>
            </w:r>
            <w:r>
              <w:instrText xml:space="preserve"> HYPERLINK "http://eur-lex.europa.eu/eli/reg/2013/1407/oj/?locale=LV" \t "_blank" </w:instrText>
            </w:r>
            <w:r>
              <w:fldChar w:fldCharType="separate"/>
            </w:r>
            <w:r>
              <w:rPr>
                <w:rStyle w:val="Hyperlink"/>
                <w:rFonts w:ascii="Times New Roman" w:hAnsi="Times New Roman" w:cs="Times New Roman"/>
                <w:color w:val="auto"/>
                <w:sz w:val="24"/>
                <w:szCs w:val="24"/>
                <w:u w:val="none"/>
                <w:lang w:eastAsia="lv-LV"/>
              </w:rPr>
              <w:t>1407/2013</w:t>
            </w:r>
            <w:r>
              <w:fldChar w:fldCharType="end"/>
            </w:r>
            <w:r>
              <w:rPr>
                <w:rFonts w:ascii="Times New Roman" w:hAnsi="Times New Roman" w:cs="Times New Roman"/>
                <w:sz w:val="24"/>
                <w:szCs w:val="24"/>
                <w:lang w:eastAsia="lv-LV"/>
              </w:rPr>
              <w:t> par Līguma par Eiropas Savienības darbību 107. un 108. panta piemērošanu </w:t>
            </w:r>
            <w:r>
              <w:rPr>
                <w:rFonts w:ascii="Times New Roman" w:hAnsi="Times New Roman" w:cs="Times New Roman"/>
                <w:i/>
                <w:iCs/>
                <w:sz w:val="24"/>
                <w:szCs w:val="24"/>
                <w:lang w:eastAsia="lv-LV"/>
              </w:rPr>
              <w:t>de</w:t>
            </w:r>
            <w:r>
              <w:rPr>
                <w:rFonts w:ascii="Times New Roman" w:hAnsi="Times New Roman" w:cs="Times New Roman"/>
                <w:i/>
                <w:iCs/>
                <w:sz w:val="24"/>
                <w:szCs w:val="24"/>
                <w:lang w:eastAsia="lv-LV"/>
              </w:rPr>
              <w:t xml:space="preserve"> </w:t>
            </w:r>
            <w:r>
              <w:rPr>
                <w:rFonts w:ascii="Times New Roman" w:hAnsi="Times New Roman" w:cs="Times New Roman"/>
                <w:i/>
                <w:iCs/>
                <w:sz w:val="24"/>
                <w:szCs w:val="24"/>
                <w:lang w:eastAsia="lv-LV"/>
              </w:rPr>
              <w:t>minimis</w:t>
            </w:r>
            <w:r>
              <w:rPr>
                <w:rFonts w:ascii="Times New Roman" w:hAnsi="Times New Roman" w:cs="Times New Roman"/>
                <w:sz w:val="24"/>
                <w:szCs w:val="24"/>
                <w:lang w:eastAsia="lv-LV"/>
              </w:rPr>
              <w:t> atbalstam</w:t>
            </w:r>
          </w:p>
          <w:p w:rsidR="001F3114" w14:paraId="2089AB9B" w14:textId="77777777">
            <w:pPr>
              <w:jc w:val="both"/>
              <w:rPr>
                <w:rFonts w:ascii="Times New Roman" w:hAnsi="Times New Roman" w:cs="Times New Roman"/>
                <w:sz w:val="24"/>
                <w:szCs w:val="24"/>
                <w:lang w:eastAsia="lv-LV"/>
              </w:rPr>
            </w:pPr>
            <w:r>
              <w:rPr>
                <w:rFonts w:ascii="Times New Roman" w:hAnsi="Times New Roman" w:cs="Times New Roman"/>
                <w:sz w:val="24"/>
                <w:szCs w:val="24"/>
                <w:lang w:eastAsia="lv-LV"/>
              </w:rPr>
              <w:t>Eiropas Parlamenta un Padomes 2013. gada 17. decembra Regula (ES) Nr. </w:t>
            </w:r>
            <w:r>
              <w:fldChar w:fldCharType="begin"/>
            </w:r>
            <w:r>
              <w:instrText xml:space="preserve"> HYPERLINK "http://eur-lex.europa.eu/eli/reg/2013/1301/oj/?locale=LV" \t "_blank" </w:instrText>
            </w:r>
            <w:r>
              <w:fldChar w:fldCharType="separate"/>
            </w:r>
            <w:r>
              <w:rPr>
                <w:rStyle w:val="Hyperlink"/>
                <w:rFonts w:ascii="Times New Roman" w:hAnsi="Times New Roman" w:cs="Times New Roman"/>
                <w:color w:val="auto"/>
                <w:sz w:val="24"/>
                <w:szCs w:val="24"/>
                <w:u w:val="none"/>
                <w:lang w:eastAsia="lv-LV"/>
              </w:rPr>
              <w:t>1303/2013</w:t>
            </w:r>
            <w:r>
              <w:fldChar w:fldCharType="end"/>
            </w:r>
            <w:r>
              <w:rPr>
                <w:rFonts w:ascii="Times New Roman" w:hAnsi="Times New Roman" w:cs="Times New Roman"/>
                <w:sz w:val="24"/>
                <w:szCs w:val="24"/>
                <w:lang w:eastAsia="lv-LV"/>
              </w:rPr>
              <w:t> par Eiropas Reģionālās attīstības fondu un īpašiem noteikumiem attiecībā uz mērķi "Investīcijas izaugsmei un nodarbinātībai" un ar ko atceļ Regulu (EK) Nr. </w:t>
            </w:r>
            <w:r>
              <w:fldChar w:fldCharType="begin"/>
            </w:r>
            <w:r>
              <w:instrText xml:space="preserve"> HYPERLINK "http://eur-lex.europa.eu/eli/reg/2006/1080/oj/?locale=LV" \t "_blank" </w:instrText>
            </w:r>
            <w:r>
              <w:fldChar w:fldCharType="separate"/>
            </w:r>
            <w:r>
              <w:rPr>
                <w:rStyle w:val="Hyperlink"/>
                <w:rFonts w:ascii="Times New Roman" w:hAnsi="Times New Roman" w:cs="Times New Roman"/>
                <w:color w:val="auto"/>
                <w:sz w:val="24"/>
                <w:szCs w:val="24"/>
                <w:u w:val="none"/>
                <w:lang w:eastAsia="lv-LV"/>
              </w:rPr>
              <w:t>1080/2006</w:t>
            </w:r>
            <w:r>
              <w:fldChar w:fldCharType="end"/>
            </w:r>
          </w:p>
          <w:p w:rsidR="001F3114" w14:paraId="5C891566" w14:textId="77777777">
            <w:pPr>
              <w:jc w:val="both"/>
              <w:rPr>
                <w:rFonts w:ascii="Times New Roman" w:hAnsi="Times New Roman" w:cs="Times New Roman"/>
                <w:sz w:val="24"/>
                <w:szCs w:val="24"/>
                <w:lang w:eastAsia="lv-LV"/>
              </w:rPr>
            </w:pPr>
            <w:r>
              <w:rPr>
                <w:rFonts w:ascii="Times New Roman" w:hAnsi="Times New Roman" w:cs="Times New Roman"/>
                <w:sz w:val="24"/>
                <w:szCs w:val="24"/>
                <w:lang w:eastAsia="lv-LV"/>
              </w:rPr>
              <w:t>Eiropas Parlamenta un Padomes 2012. gada 25. oktobra Regula (ES, EURATOM) Nr. 966/2012 par finanšu noteikumiem, ko piemēro Savienības vispārējam budžetam, un par Padomes Regulas (EK, Euratom) Nr. 1605/2002 atcelšanu</w:t>
            </w:r>
          </w:p>
        </w:tc>
      </w:tr>
      <w:tr w14:paraId="2A57E9A4"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F3114" w14:paraId="2C788D1E"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A</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F3114" w14:paraId="27CA8AD9"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B</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F3114" w14:paraId="203D5D3B"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C</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F3114" w14:paraId="6D2E7553"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D</w:t>
            </w:r>
          </w:p>
        </w:tc>
      </w:tr>
      <w:tr w14:paraId="2BBD2EC2"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9AAEF0E"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Attiecīgā ES tiesību akta panta numurs (uzskaitot katru tiesību akta vienību – pantu, daļu, punktu, apakšpunktu)</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DA1A195"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Projekta vienība, kas pārņem vai ievieš katru šīs tabulas A ailē minēto ES tiesību akta vienību, vai tiesību akts, kur attiecīgā ES tiesību </w:t>
            </w:r>
            <w:r>
              <w:rPr>
                <w:rFonts w:ascii="Times New Roman" w:hAnsi="Times New Roman" w:cs="Times New Roman"/>
                <w:sz w:val="24"/>
                <w:szCs w:val="24"/>
                <w:lang w:eastAsia="lv-LV"/>
              </w:rPr>
              <w:t>akta vienība pārņemta vai ieviesta</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CC0C57E"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Informācija par to, vai šīs tabulas A ailē minētās ES tiesību akta vienības tiek pārņemtas vai ieviestas pilnībā vai daļēji.</w:t>
            </w:r>
            <w:r>
              <w:rPr>
                <w:rFonts w:ascii="Times New Roman" w:hAnsi="Times New Roman" w:cs="Times New Roman"/>
                <w:sz w:val="24"/>
                <w:szCs w:val="24"/>
                <w:lang w:eastAsia="lv-LV"/>
              </w:rPr>
              <w:br/>
            </w:r>
            <w:r>
              <w:rPr>
                <w:rFonts w:ascii="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r>
              <w:rPr>
                <w:rFonts w:ascii="Times New Roman" w:hAnsi="Times New Roman" w:cs="Times New Roman"/>
                <w:sz w:val="24"/>
                <w:szCs w:val="24"/>
                <w:lang w:eastAsia="lv-LV"/>
              </w:rPr>
              <w:br/>
              <w:t>Norāda institūciju, kas ir atbildīga par šo saistību izpildi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A65500F"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Pr>
                <w:rFonts w:ascii="Times New Roman" w:hAnsi="Times New Roman" w:cs="Times New Roman"/>
                <w:sz w:val="24"/>
                <w:szCs w:val="24"/>
                <w:lang w:eastAsia="lv-LV"/>
              </w:rPr>
              <w:br/>
              <w:t xml:space="preserve">Ja projekts satur stingrākas </w:t>
            </w:r>
            <w:r>
              <w:rPr>
                <w:rFonts w:ascii="Times New Roman" w:hAnsi="Times New Roman" w:cs="Times New Roman"/>
                <w:sz w:val="24"/>
                <w:szCs w:val="24"/>
                <w:lang w:eastAsia="lv-LV"/>
              </w:rPr>
              <w:t>prasības nekā attiecīgais ES tiesību akts, norāda pamatojumu un samērīgumu.</w:t>
            </w:r>
            <w:r>
              <w:rPr>
                <w:rFonts w:ascii="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14:paraId="45429AAF"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3B7A41E" w14:textId="77777777">
            <w:pPr>
              <w:rPr>
                <w:rFonts w:ascii="Times New Roman" w:hAnsi="Times New Roman" w:cs="Times New Roman"/>
                <w:sz w:val="24"/>
                <w:szCs w:val="24"/>
              </w:rPr>
            </w:pPr>
            <w:r>
              <w:rPr>
                <w:rFonts w:ascii="Times New Roman" w:hAnsi="Times New Roman" w:cs="Times New Roman"/>
                <w:sz w:val="24"/>
                <w:szCs w:val="24"/>
              </w:rPr>
              <w:t>Regulas Nr.651/2014 1.pielikuma 3.panta 3.punkts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71FCBFF" w14:textId="77777777">
            <w:pPr>
              <w:rPr>
                <w:rFonts w:ascii="Times New Roman" w:hAnsi="Times New Roman" w:cs="Times New Roman"/>
                <w:sz w:val="24"/>
                <w:szCs w:val="24"/>
              </w:rPr>
            </w:pPr>
            <w:r>
              <w:rPr>
                <w:rFonts w:ascii="Times New Roman" w:hAnsi="Times New Roman" w:cs="Times New Roman"/>
                <w:sz w:val="24"/>
                <w:szCs w:val="24"/>
              </w:rPr>
              <w:t>Noteikumu projekta 2.1.apakšpunkts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9E1B8D8"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37D340D"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72FED9A2"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734FBC0" w14:textId="77777777">
            <w:pPr>
              <w:rPr>
                <w:rFonts w:ascii="Times New Roman" w:hAnsi="Times New Roman" w:cs="Times New Roman"/>
                <w:sz w:val="24"/>
                <w:szCs w:val="24"/>
              </w:rPr>
            </w:pPr>
            <w:r>
              <w:rPr>
                <w:rFonts w:ascii="Times New Roman" w:hAnsi="Times New Roman" w:cs="Times New Roman"/>
                <w:sz w:val="24"/>
                <w:szCs w:val="24"/>
              </w:rPr>
              <w:t>Regulas Nr.1407/2013 2.panta 2.punkts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6AAB5DD" w14:textId="77777777">
            <w:pPr>
              <w:rPr>
                <w:rFonts w:ascii="Times New Roman" w:hAnsi="Times New Roman" w:cs="Times New Roman"/>
                <w:sz w:val="24"/>
                <w:szCs w:val="24"/>
              </w:rPr>
            </w:pPr>
            <w:r>
              <w:rPr>
                <w:rFonts w:ascii="Times New Roman" w:hAnsi="Times New Roman" w:cs="Times New Roman"/>
                <w:sz w:val="24"/>
                <w:szCs w:val="24"/>
              </w:rPr>
              <w:t>Noteikumu projekta 2.2.apakšpunkts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E0FB334"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B5ABC83"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24D1304F"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5F01935" w14:textId="77777777">
            <w:pPr>
              <w:rPr>
                <w:rFonts w:ascii="Times New Roman" w:hAnsi="Times New Roman" w:cs="Times New Roman"/>
                <w:sz w:val="24"/>
                <w:szCs w:val="24"/>
              </w:rPr>
            </w:pPr>
            <w:r>
              <w:rPr>
                <w:rFonts w:ascii="Times New Roman" w:hAnsi="Times New Roman" w:cs="Times New Roman"/>
                <w:sz w:val="24"/>
                <w:szCs w:val="24"/>
              </w:rPr>
              <w:t>Regulas Nr.651/2014 1.pielikuma 2.pants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703DBBF" w14:textId="77777777">
            <w:pPr>
              <w:rPr>
                <w:rFonts w:ascii="Times New Roman" w:hAnsi="Times New Roman" w:cs="Times New Roman"/>
                <w:sz w:val="24"/>
                <w:szCs w:val="24"/>
              </w:rPr>
            </w:pPr>
            <w:r>
              <w:rPr>
                <w:rFonts w:ascii="Times New Roman" w:hAnsi="Times New Roman" w:cs="Times New Roman"/>
                <w:sz w:val="24"/>
                <w:szCs w:val="24"/>
              </w:rPr>
              <w:t>Noteikumu projekta 2.3.apakšpunkts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A1211E4"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2453A0F"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7DAE365"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8371EE5" w14:textId="77777777">
            <w:pPr>
              <w:rPr>
                <w:rFonts w:ascii="Times New Roman" w:hAnsi="Times New Roman" w:cs="Times New Roman"/>
                <w:sz w:val="24"/>
                <w:szCs w:val="24"/>
              </w:rPr>
            </w:pPr>
            <w:r>
              <w:rPr>
                <w:rFonts w:ascii="Times New Roman" w:hAnsi="Times New Roman" w:cs="Times New Roman"/>
                <w:sz w:val="24"/>
                <w:szCs w:val="24"/>
              </w:rPr>
              <w:t>Regulas Nr.651/2014 2.panta 24.punkts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5A8E2A6" w14:textId="77777777">
            <w:pPr>
              <w:rPr>
                <w:rFonts w:ascii="Times New Roman" w:hAnsi="Times New Roman" w:cs="Times New Roman"/>
                <w:sz w:val="24"/>
                <w:szCs w:val="24"/>
              </w:rPr>
            </w:pPr>
            <w:r>
              <w:rPr>
                <w:rFonts w:ascii="Times New Roman" w:hAnsi="Times New Roman" w:cs="Times New Roman"/>
                <w:sz w:val="24"/>
                <w:szCs w:val="24"/>
              </w:rPr>
              <w:t>Noteikumu projekta 2.4.apakšpunkts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B0BE1A1"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1DBC9D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6FB21B7C"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3526C8F" w14:textId="77777777">
            <w:pPr>
              <w:rPr>
                <w:rFonts w:ascii="Times New Roman" w:hAnsi="Times New Roman" w:cs="Times New Roman"/>
                <w:sz w:val="24"/>
                <w:szCs w:val="24"/>
              </w:rPr>
            </w:pPr>
            <w:r>
              <w:rPr>
                <w:rFonts w:ascii="Times New Roman" w:hAnsi="Times New Roman" w:cs="Times New Roman"/>
                <w:sz w:val="24"/>
                <w:szCs w:val="24"/>
              </w:rPr>
              <w:t>Regulas Nr.651/2014 1.panta 4.punkta “a” apakšpunkts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C1BA61A" w14:textId="6BBDF968">
            <w:pPr>
              <w:rPr>
                <w:rFonts w:ascii="Times New Roman" w:hAnsi="Times New Roman" w:cs="Times New Roman"/>
                <w:sz w:val="24"/>
                <w:szCs w:val="24"/>
              </w:rPr>
            </w:pPr>
            <w:r>
              <w:rPr>
                <w:rFonts w:ascii="Times New Roman" w:hAnsi="Times New Roman" w:cs="Times New Roman"/>
                <w:sz w:val="24"/>
                <w:szCs w:val="24"/>
              </w:rPr>
              <w:t xml:space="preserve">Noteikumu projekta </w:t>
            </w:r>
            <w:r w:rsidRPr="009A1718" w:rsidR="004F36FB">
              <w:rPr>
                <w:rFonts w:ascii="Times New Roman" w:hAnsi="Times New Roman" w:cs="Times New Roman"/>
                <w:sz w:val="24"/>
                <w:szCs w:val="24"/>
              </w:rPr>
              <w:t>15</w:t>
            </w:r>
            <w:r w:rsidRPr="009A1718">
              <w:rPr>
                <w:rFonts w:ascii="Times New Roman" w:hAnsi="Times New Roman" w:cs="Times New Roman"/>
                <w:sz w:val="24"/>
                <w:szCs w:val="24"/>
              </w:rPr>
              <w:t>.2.apakšpunkts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BC032D2"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76A9A67"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4EFCD8EC"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ED55B7C" w14:textId="77777777">
            <w:pPr>
              <w:rPr>
                <w:rFonts w:ascii="Times New Roman" w:hAnsi="Times New Roman" w:cs="Times New Roman"/>
                <w:sz w:val="24"/>
                <w:szCs w:val="24"/>
              </w:rPr>
            </w:pPr>
            <w:r>
              <w:rPr>
                <w:rFonts w:ascii="Times New Roman" w:hAnsi="Times New Roman" w:cs="Times New Roman"/>
                <w:sz w:val="24"/>
                <w:szCs w:val="24"/>
              </w:rPr>
              <w:t>Regulas Nr.651/2014 2.panta 18.punkts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A236C33" w14:textId="7702AC51">
            <w:pPr>
              <w:rPr>
                <w:rFonts w:ascii="Times New Roman" w:hAnsi="Times New Roman" w:cs="Times New Roman"/>
                <w:sz w:val="24"/>
                <w:szCs w:val="24"/>
              </w:rPr>
            </w:pPr>
            <w:r w:rsidRPr="009A1718">
              <w:rPr>
                <w:rFonts w:ascii="Times New Roman" w:hAnsi="Times New Roman" w:cs="Times New Roman"/>
                <w:sz w:val="24"/>
                <w:szCs w:val="24"/>
              </w:rPr>
              <w:t>Noteikumu projekta 15</w:t>
            </w:r>
            <w:r w:rsidRPr="009A1718">
              <w:rPr>
                <w:rFonts w:ascii="Times New Roman" w:hAnsi="Times New Roman" w:cs="Times New Roman"/>
                <w:sz w:val="24"/>
                <w:szCs w:val="24"/>
              </w:rPr>
              <w:t>.3.apakšpunkts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BFADDA8"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2165D0F"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72080013"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51AB2B8" w14:textId="77777777">
            <w:pPr>
              <w:rPr>
                <w:rFonts w:ascii="Times New Roman" w:hAnsi="Times New Roman" w:cs="Times New Roman"/>
                <w:sz w:val="24"/>
                <w:szCs w:val="24"/>
              </w:rPr>
            </w:pPr>
            <w:r>
              <w:rPr>
                <w:rFonts w:ascii="Times New Roman" w:hAnsi="Times New Roman" w:cs="Times New Roman"/>
                <w:sz w:val="24"/>
                <w:szCs w:val="24"/>
              </w:rPr>
              <w:t>Regulas Nr.651/2014 14.panta 16.punkts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C4726A4" w14:textId="7F5A3545">
            <w:pPr>
              <w:rPr>
                <w:rFonts w:ascii="Times New Roman" w:hAnsi="Times New Roman" w:cs="Times New Roman"/>
                <w:sz w:val="24"/>
                <w:szCs w:val="24"/>
              </w:rPr>
            </w:pPr>
            <w:r w:rsidRPr="009A1718">
              <w:rPr>
                <w:rFonts w:ascii="Times New Roman" w:hAnsi="Times New Roman" w:cs="Times New Roman"/>
                <w:sz w:val="24"/>
                <w:szCs w:val="24"/>
              </w:rPr>
              <w:t xml:space="preserve">Noteikumu projekta </w:t>
            </w:r>
            <w:r w:rsidRPr="009A1718" w:rsidR="007B5E6A">
              <w:rPr>
                <w:rFonts w:ascii="Times New Roman" w:hAnsi="Times New Roman" w:cs="Times New Roman"/>
                <w:sz w:val="24"/>
                <w:szCs w:val="24"/>
              </w:rPr>
              <w:t>15</w:t>
            </w:r>
            <w:r w:rsidRPr="009A1718">
              <w:rPr>
                <w:rFonts w:ascii="Times New Roman" w:hAnsi="Times New Roman" w:cs="Times New Roman"/>
                <w:sz w:val="24"/>
                <w:szCs w:val="24"/>
              </w:rPr>
              <w:t>.4.apakšpunkts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0A24DB3"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D8BAA0F"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76A8A283"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7F7D835" w14:textId="77777777">
            <w:pPr>
              <w:rPr>
                <w:rFonts w:ascii="Times New Roman" w:hAnsi="Times New Roman" w:cs="Times New Roman"/>
                <w:sz w:val="24"/>
                <w:szCs w:val="24"/>
              </w:rPr>
            </w:pPr>
            <w:r>
              <w:rPr>
                <w:rFonts w:ascii="Times New Roman" w:hAnsi="Times New Roman" w:cs="Times New Roman"/>
                <w:sz w:val="24"/>
                <w:szCs w:val="24"/>
              </w:rPr>
              <w:t>Regulas Nr.651/2014 2.panta 61.</w:t>
            </w:r>
            <w:bookmarkStart w:id="1" w:name="_Hlk521507707"/>
            <w:r>
              <w:rPr>
                <w:rFonts w:ascii="Times New Roman" w:hAnsi="Times New Roman" w:cs="Times New Roman"/>
                <w:sz w:val="24"/>
                <w:szCs w:val="24"/>
              </w:rPr>
              <w:t>punkta “a” apakšpunkts</w:t>
            </w:r>
            <w:bookmarkEnd w:id="1"/>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3A2E341C" w14:textId="2A1F5361">
            <w:pPr>
              <w:rPr>
                <w:rFonts w:ascii="Times New Roman" w:hAnsi="Times New Roman" w:cs="Times New Roman"/>
                <w:sz w:val="24"/>
                <w:szCs w:val="24"/>
              </w:rPr>
            </w:pPr>
            <w:r w:rsidRPr="009A1718">
              <w:rPr>
                <w:rFonts w:ascii="Times New Roman" w:hAnsi="Times New Roman" w:cs="Times New Roman"/>
                <w:sz w:val="24"/>
                <w:szCs w:val="24"/>
              </w:rPr>
              <w:t>Noteikumu projekta 15</w:t>
            </w:r>
            <w:r w:rsidRPr="009A1718">
              <w:rPr>
                <w:rFonts w:ascii="Times New Roman" w:hAnsi="Times New Roman" w:cs="Times New Roman"/>
                <w:sz w:val="24"/>
                <w:szCs w:val="24"/>
              </w:rPr>
              <w:t>.4.apakšpunkts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991DB42"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B953897"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43CFFF28"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E6F7B7E" w14:textId="77777777">
            <w:pPr>
              <w:rPr>
                <w:rFonts w:ascii="Times New Roman" w:hAnsi="Times New Roman" w:cs="Times New Roman"/>
                <w:sz w:val="24"/>
                <w:szCs w:val="24"/>
              </w:rPr>
            </w:pPr>
            <w:r>
              <w:rPr>
                <w:rFonts w:ascii="Times New Roman" w:hAnsi="Times New Roman" w:cs="Times New Roman"/>
                <w:sz w:val="24"/>
                <w:szCs w:val="24"/>
              </w:rPr>
              <w:t>Regulas Nr.651/2014 1.panta 2.punkta “c” un “d” apakšpunkts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55E16D02" w14:textId="7379BF91">
            <w:pPr>
              <w:rPr>
                <w:rFonts w:ascii="Times New Roman" w:hAnsi="Times New Roman" w:cs="Times New Roman"/>
                <w:sz w:val="24"/>
                <w:szCs w:val="24"/>
              </w:rPr>
            </w:pPr>
            <w:r w:rsidRPr="009A1718">
              <w:rPr>
                <w:rFonts w:ascii="Times New Roman" w:hAnsi="Times New Roman" w:cs="Times New Roman"/>
                <w:sz w:val="24"/>
                <w:szCs w:val="24"/>
              </w:rPr>
              <w:t>Noteikumu projekta 16</w:t>
            </w:r>
            <w:r w:rsidRPr="009A1718">
              <w:rPr>
                <w:rFonts w:ascii="Times New Roman" w:hAnsi="Times New Roman" w:cs="Times New Roman"/>
                <w:sz w:val="24"/>
                <w:szCs w:val="24"/>
              </w:rPr>
              <w:t>.1.apakšpunkts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41FD692"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47767A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41F502B1"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D7C6FAF" w14:textId="77777777">
            <w:pPr>
              <w:rPr>
                <w:rFonts w:ascii="Times New Roman" w:hAnsi="Times New Roman" w:cs="Times New Roman"/>
                <w:sz w:val="24"/>
                <w:szCs w:val="24"/>
              </w:rPr>
            </w:pPr>
            <w:r>
              <w:rPr>
                <w:rFonts w:ascii="Times New Roman" w:hAnsi="Times New Roman" w:cs="Times New Roman"/>
                <w:sz w:val="24"/>
                <w:szCs w:val="24"/>
              </w:rPr>
              <w:t>Regulas Nr.651/2014 3.punkts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49D5515C" w14:textId="5B60E13C">
            <w:pPr>
              <w:rPr>
                <w:rFonts w:ascii="Times New Roman" w:hAnsi="Times New Roman" w:cs="Times New Roman"/>
                <w:sz w:val="24"/>
                <w:szCs w:val="24"/>
              </w:rPr>
            </w:pPr>
            <w:r w:rsidRPr="009A1718">
              <w:rPr>
                <w:rFonts w:ascii="Times New Roman" w:hAnsi="Times New Roman" w:cs="Times New Roman"/>
                <w:sz w:val="24"/>
                <w:szCs w:val="24"/>
              </w:rPr>
              <w:t>Noteikumu projekta 16</w:t>
            </w:r>
            <w:r w:rsidRPr="009A1718">
              <w:rPr>
                <w:rFonts w:ascii="Times New Roman" w:hAnsi="Times New Roman" w:cs="Times New Roman"/>
                <w:sz w:val="24"/>
                <w:szCs w:val="24"/>
              </w:rPr>
              <w:t>.1.apakšpunkts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79F068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AC9FCD3"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557D8EF0"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3114" w14:paraId="6F752A8C" w14:textId="77777777">
            <w:pPr>
              <w:rPr>
                <w:rFonts w:ascii="Times New Roman" w:hAnsi="Times New Roman" w:cs="Times New Roman"/>
                <w:sz w:val="24"/>
                <w:szCs w:val="24"/>
              </w:rPr>
            </w:pPr>
            <w:r>
              <w:rPr>
                <w:rFonts w:ascii="Times New Roman" w:hAnsi="Times New Roman" w:cs="Times New Roman"/>
                <w:sz w:val="24"/>
                <w:szCs w:val="24"/>
              </w:rPr>
              <w:t>Regulas Nr.651/2014 13.panta “a” , “b” apakšpunkts</w:t>
            </w:r>
          </w:p>
          <w:p w:rsidR="001F3114" w14:paraId="7CEE2C6D" w14:textId="77777777">
            <w:pPr>
              <w:jc w:val="both"/>
              <w:rPr>
                <w:rFonts w:ascii="Times New Roman" w:hAnsi="Times New Roman" w:cs="Times New Roman"/>
                <w:sz w:val="24"/>
                <w:szCs w:val="24"/>
              </w:rPr>
            </w:pP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582B3D45" w14:textId="4CFB0CD8">
            <w:pPr>
              <w:rPr>
                <w:rFonts w:ascii="Times New Roman" w:hAnsi="Times New Roman" w:cs="Times New Roman"/>
                <w:sz w:val="24"/>
                <w:szCs w:val="24"/>
              </w:rPr>
            </w:pPr>
            <w:r w:rsidRPr="009A1718">
              <w:rPr>
                <w:rFonts w:ascii="Times New Roman" w:hAnsi="Times New Roman" w:cs="Times New Roman"/>
                <w:sz w:val="24"/>
                <w:szCs w:val="24"/>
              </w:rPr>
              <w:t>Noteikumu projekta 16</w:t>
            </w:r>
            <w:r w:rsidRPr="009A1718">
              <w:rPr>
                <w:rFonts w:ascii="Times New Roman" w:hAnsi="Times New Roman" w:cs="Times New Roman"/>
                <w:sz w:val="24"/>
                <w:szCs w:val="24"/>
              </w:rPr>
              <w:t>.2. 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DDA5AA8"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CD4A9AA"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19C2CD0D"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D82094F" w14:textId="77777777">
            <w:pPr>
              <w:rPr>
                <w:rFonts w:ascii="Times New Roman" w:hAnsi="Times New Roman" w:cs="Times New Roman"/>
                <w:sz w:val="24"/>
                <w:szCs w:val="24"/>
              </w:rPr>
            </w:pPr>
            <w:r>
              <w:rPr>
                <w:rFonts w:ascii="Times New Roman" w:hAnsi="Times New Roman" w:cs="Times New Roman"/>
                <w:sz w:val="24"/>
                <w:szCs w:val="24"/>
              </w:rPr>
              <w:t>Regulas Nr.1301/2013 3.panta 3.punkts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0ABF7B5" w14:textId="1F2E10F5">
            <w:pPr>
              <w:rPr>
                <w:rFonts w:ascii="Times New Roman" w:hAnsi="Times New Roman" w:cs="Times New Roman"/>
                <w:sz w:val="24"/>
                <w:szCs w:val="24"/>
              </w:rPr>
            </w:pPr>
            <w:r w:rsidRPr="009A1718">
              <w:rPr>
                <w:rFonts w:ascii="Times New Roman" w:hAnsi="Times New Roman" w:cs="Times New Roman"/>
                <w:sz w:val="24"/>
                <w:szCs w:val="24"/>
              </w:rPr>
              <w:t>Noteikumu projekta 16</w:t>
            </w:r>
            <w:r w:rsidRPr="009A1718" w:rsidR="00270632">
              <w:rPr>
                <w:rFonts w:ascii="Times New Roman" w:hAnsi="Times New Roman" w:cs="Times New Roman"/>
                <w:sz w:val="24"/>
                <w:szCs w:val="24"/>
              </w:rPr>
              <w:t>.3</w:t>
            </w:r>
            <w:r w:rsidRPr="009A1718">
              <w:rPr>
                <w:rFonts w:ascii="Times New Roman" w:hAnsi="Times New Roman" w:cs="Times New Roman"/>
                <w:sz w:val="24"/>
                <w:szCs w:val="24"/>
              </w:rPr>
              <w:t>.apakšpunkts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04ADD0F"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30F3722"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1F16882"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14119F4" w14:textId="77777777">
            <w:pPr>
              <w:rPr>
                <w:rFonts w:ascii="Times New Roman" w:hAnsi="Times New Roman" w:cs="Times New Roman"/>
                <w:sz w:val="24"/>
                <w:szCs w:val="24"/>
              </w:rPr>
            </w:pPr>
            <w:r>
              <w:rPr>
                <w:rFonts w:ascii="Times New Roman" w:hAnsi="Times New Roman" w:cs="Times New Roman"/>
                <w:sz w:val="24"/>
                <w:szCs w:val="24"/>
              </w:rPr>
              <w:t>Regulas Nr.1407/2013 1.panta 1.punkts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198D8241" w14:textId="5B852C17">
            <w:pPr>
              <w:rPr>
                <w:rFonts w:ascii="Times New Roman" w:hAnsi="Times New Roman" w:cs="Times New Roman"/>
                <w:sz w:val="24"/>
                <w:szCs w:val="24"/>
              </w:rPr>
            </w:pPr>
            <w:r w:rsidRPr="009A1718">
              <w:rPr>
                <w:rFonts w:ascii="Times New Roman" w:hAnsi="Times New Roman" w:cs="Times New Roman"/>
                <w:sz w:val="24"/>
                <w:szCs w:val="24"/>
              </w:rPr>
              <w:t>Noteikumu projekta 16</w:t>
            </w:r>
            <w:r w:rsidRPr="009A1718" w:rsidR="00C47D94">
              <w:rPr>
                <w:rFonts w:ascii="Times New Roman" w:hAnsi="Times New Roman" w:cs="Times New Roman"/>
                <w:sz w:val="24"/>
                <w:szCs w:val="24"/>
              </w:rPr>
              <w:t>.4</w:t>
            </w:r>
            <w:r w:rsidRPr="009A1718">
              <w:rPr>
                <w:rFonts w:ascii="Times New Roman" w:hAnsi="Times New Roman" w:cs="Times New Roman"/>
                <w:sz w:val="24"/>
                <w:szCs w:val="24"/>
              </w:rPr>
              <w:t>.apakšpunkts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4CABE92"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0FDC167"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1FC7EF4D"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542FFC6" w14:textId="77777777">
            <w:pPr>
              <w:rPr>
                <w:rFonts w:ascii="Times New Roman" w:hAnsi="Times New Roman" w:cs="Times New Roman"/>
                <w:sz w:val="24"/>
                <w:szCs w:val="24"/>
              </w:rPr>
            </w:pPr>
            <w:r>
              <w:rPr>
                <w:rFonts w:ascii="Times New Roman" w:hAnsi="Times New Roman" w:cs="Times New Roman"/>
                <w:sz w:val="24"/>
                <w:szCs w:val="24"/>
              </w:rPr>
              <w:t>Regulas Nr.651/2014 14.panta 5.punkts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465AF96A" w14:textId="4F1046FD">
            <w:pPr>
              <w:rPr>
                <w:rFonts w:ascii="Times New Roman" w:hAnsi="Times New Roman" w:cs="Times New Roman"/>
                <w:sz w:val="24"/>
                <w:szCs w:val="24"/>
              </w:rPr>
            </w:pPr>
            <w:r w:rsidRPr="009A1718">
              <w:rPr>
                <w:rFonts w:ascii="Times New Roman" w:hAnsi="Times New Roman" w:cs="Times New Roman"/>
                <w:sz w:val="24"/>
                <w:szCs w:val="24"/>
              </w:rPr>
              <w:t>Noteikumu proj</w:t>
            </w:r>
            <w:r w:rsidRPr="009A1718" w:rsidR="00573F5D">
              <w:rPr>
                <w:rFonts w:ascii="Times New Roman" w:hAnsi="Times New Roman" w:cs="Times New Roman"/>
                <w:sz w:val="24"/>
                <w:szCs w:val="24"/>
              </w:rPr>
              <w:t>ekta 18</w:t>
            </w:r>
            <w:r w:rsidRPr="009A1718">
              <w:rPr>
                <w:rFonts w:ascii="Times New Roman" w:hAnsi="Times New Roman" w:cs="Times New Roman"/>
                <w:sz w:val="24"/>
                <w:szCs w:val="24"/>
              </w:rPr>
              <w:t>.9.apakšpunkts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B1F30F9"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6A695A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79EE3009"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4342953" w14:textId="77777777">
            <w:pPr>
              <w:rPr>
                <w:rFonts w:ascii="Times New Roman" w:hAnsi="Times New Roman" w:cs="Times New Roman"/>
                <w:sz w:val="24"/>
                <w:szCs w:val="24"/>
              </w:rPr>
            </w:pPr>
            <w:r>
              <w:rPr>
                <w:rFonts w:ascii="Times New Roman" w:hAnsi="Times New Roman" w:cs="Times New Roman"/>
                <w:sz w:val="24"/>
                <w:szCs w:val="24"/>
              </w:rPr>
              <w:t>Regula Nr.1407/2013</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0223283" w14:textId="68F3E706">
            <w:pPr>
              <w:rPr>
                <w:rFonts w:ascii="Times New Roman" w:hAnsi="Times New Roman" w:cs="Times New Roman"/>
                <w:sz w:val="24"/>
                <w:szCs w:val="24"/>
              </w:rPr>
            </w:pPr>
            <w:r w:rsidRPr="009A1718">
              <w:rPr>
                <w:rFonts w:ascii="Times New Roman" w:hAnsi="Times New Roman" w:cs="Times New Roman"/>
                <w:sz w:val="24"/>
                <w:szCs w:val="24"/>
              </w:rPr>
              <w:t>Noteikumu projekta 21</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AF8B1DD"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1CC693D"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200D9578"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1B5B22B" w14:textId="77777777">
            <w:pPr>
              <w:rPr>
                <w:rFonts w:ascii="Times New Roman" w:hAnsi="Times New Roman" w:cs="Times New Roman"/>
                <w:sz w:val="24"/>
                <w:szCs w:val="24"/>
              </w:rPr>
            </w:pPr>
            <w:r>
              <w:rPr>
                <w:rFonts w:ascii="Times New Roman" w:hAnsi="Times New Roman" w:cs="Times New Roman"/>
                <w:sz w:val="24"/>
                <w:szCs w:val="24"/>
              </w:rPr>
              <w:t>Regulas Nr.651/2014 2.panta 29.un 49.punkts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28100D9" w14:textId="7EA274D1">
            <w:pPr>
              <w:rPr>
                <w:rFonts w:ascii="Times New Roman" w:hAnsi="Times New Roman" w:cs="Times New Roman"/>
                <w:sz w:val="24"/>
                <w:szCs w:val="24"/>
              </w:rPr>
            </w:pPr>
            <w:r w:rsidRPr="009A1718">
              <w:rPr>
                <w:rFonts w:ascii="Times New Roman" w:hAnsi="Times New Roman" w:cs="Times New Roman"/>
                <w:sz w:val="24"/>
                <w:szCs w:val="24"/>
              </w:rPr>
              <w:t>Noteikumu projekta 22</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A0A6DE1"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D26440D"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4D98A537"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42BE1E7" w14:textId="77777777">
            <w:pPr>
              <w:rPr>
                <w:rFonts w:ascii="Times New Roman" w:hAnsi="Times New Roman" w:cs="Times New Roman"/>
                <w:sz w:val="24"/>
                <w:szCs w:val="24"/>
              </w:rPr>
            </w:pPr>
            <w:r>
              <w:rPr>
                <w:rFonts w:ascii="Times New Roman" w:hAnsi="Times New Roman" w:cs="Times New Roman"/>
                <w:sz w:val="24"/>
                <w:szCs w:val="24"/>
              </w:rPr>
              <w:t>Regulas Nr.651/2014 14.panta 6.punkts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6286356E" w14:textId="57C98E56">
            <w:pPr>
              <w:rPr>
                <w:rFonts w:ascii="Times New Roman" w:hAnsi="Times New Roman" w:cs="Times New Roman"/>
                <w:sz w:val="24"/>
                <w:szCs w:val="24"/>
              </w:rPr>
            </w:pPr>
            <w:r w:rsidRPr="009A1718">
              <w:rPr>
                <w:rFonts w:ascii="Times New Roman" w:hAnsi="Times New Roman" w:cs="Times New Roman"/>
                <w:sz w:val="24"/>
                <w:szCs w:val="24"/>
              </w:rPr>
              <w:t>Noteikumu projekta 22</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1BCA6FC"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D5EEC3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FF22081"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4070166" w14:textId="77777777">
            <w:pPr>
              <w:rPr>
                <w:rFonts w:ascii="Times New Roman" w:hAnsi="Times New Roman" w:cs="Times New Roman"/>
                <w:sz w:val="24"/>
                <w:szCs w:val="24"/>
              </w:rPr>
            </w:pPr>
            <w:r>
              <w:rPr>
                <w:rFonts w:ascii="Times New Roman" w:hAnsi="Times New Roman" w:cs="Times New Roman"/>
                <w:sz w:val="24"/>
                <w:szCs w:val="24"/>
              </w:rPr>
              <w:t>Regula Nr.651/2014</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4BCD9EC4" w14:textId="01EF13D9">
            <w:pPr>
              <w:rPr>
                <w:rFonts w:ascii="Times New Roman" w:hAnsi="Times New Roman" w:cs="Times New Roman"/>
                <w:sz w:val="24"/>
                <w:szCs w:val="24"/>
              </w:rPr>
            </w:pPr>
            <w:r w:rsidRPr="009A1718">
              <w:rPr>
                <w:rFonts w:ascii="Times New Roman" w:hAnsi="Times New Roman" w:cs="Times New Roman"/>
                <w:sz w:val="24"/>
                <w:szCs w:val="24"/>
              </w:rPr>
              <w:t>Noteikumu projekta 26</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A5090A8"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FCA537F"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700C471"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6D5C7F5" w14:textId="77777777">
            <w:pPr>
              <w:rPr>
                <w:rFonts w:ascii="Times New Roman" w:hAnsi="Times New Roman" w:cs="Times New Roman"/>
                <w:sz w:val="24"/>
                <w:szCs w:val="24"/>
              </w:rPr>
            </w:pPr>
            <w:r>
              <w:rPr>
                <w:rFonts w:ascii="Times New Roman" w:hAnsi="Times New Roman" w:cs="Times New Roman"/>
                <w:sz w:val="24"/>
                <w:szCs w:val="24"/>
              </w:rPr>
              <w:t>Regula Nr.1407/2013</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1264ECB4" w14:textId="32726215">
            <w:pPr>
              <w:rPr>
                <w:rFonts w:ascii="Times New Roman" w:hAnsi="Times New Roman" w:cs="Times New Roman"/>
                <w:sz w:val="24"/>
                <w:szCs w:val="24"/>
              </w:rPr>
            </w:pPr>
            <w:r w:rsidRPr="009A1718">
              <w:rPr>
                <w:rFonts w:ascii="Times New Roman" w:hAnsi="Times New Roman" w:cs="Times New Roman"/>
                <w:sz w:val="24"/>
                <w:szCs w:val="24"/>
              </w:rPr>
              <w:t>Noteikumu projekta 26</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4D9820B"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75EB2DD"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18B53FDB"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37CFC11" w14:textId="77777777">
            <w:pPr>
              <w:rPr>
                <w:rFonts w:ascii="Times New Roman" w:hAnsi="Times New Roman" w:cs="Times New Roman"/>
                <w:sz w:val="24"/>
                <w:szCs w:val="24"/>
              </w:rPr>
            </w:pPr>
            <w:r>
              <w:rPr>
                <w:rFonts w:ascii="Times New Roman" w:hAnsi="Times New Roman" w:cs="Times New Roman"/>
                <w:sz w:val="24"/>
                <w:szCs w:val="24"/>
              </w:rPr>
              <w:t>Regulas Nr.651/2014 6.panta 2.punkts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5CDEE9EC" w14:textId="6A7EC2A1">
            <w:pPr>
              <w:rPr>
                <w:rFonts w:ascii="Times New Roman" w:hAnsi="Times New Roman" w:cs="Times New Roman"/>
                <w:sz w:val="24"/>
                <w:szCs w:val="24"/>
              </w:rPr>
            </w:pPr>
            <w:r w:rsidRPr="009A1718">
              <w:rPr>
                <w:rFonts w:ascii="Times New Roman" w:hAnsi="Times New Roman" w:cs="Times New Roman"/>
                <w:sz w:val="24"/>
                <w:szCs w:val="24"/>
              </w:rPr>
              <w:t>Noteikumu projekta 27</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EC0E317"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8D4D9D2"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19B160EC"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C5F840E" w14:textId="77777777">
            <w:pPr>
              <w:rPr>
                <w:rFonts w:ascii="Times New Roman" w:hAnsi="Times New Roman" w:cs="Times New Roman"/>
                <w:sz w:val="24"/>
                <w:szCs w:val="24"/>
              </w:rPr>
            </w:pPr>
            <w:r>
              <w:rPr>
                <w:rFonts w:ascii="Times New Roman" w:hAnsi="Times New Roman" w:cs="Times New Roman"/>
                <w:sz w:val="24"/>
                <w:szCs w:val="24"/>
              </w:rPr>
              <w:t>Regulas Nr.651/2014 2.panta 23.punts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75A0292" w14:textId="50C26B60">
            <w:pPr>
              <w:rPr>
                <w:rFonts w:ascii="Times New Roman" w:hAnsi="Times New Roman" w:cs="Times New Roman"/>
                <w:sz w:val="24"/>
                <w:szCs w:val="24"/>
              </w:rPr>
            </w:pPr>
            <w:r w:rsidRPr="009A1718">
              <w:rPr>
                <w:rFonts w:ascii="Times New Roman" w:hAnsi="Times New Roman" w:cs="Times New Roman"/>
                <w:sz w:val="24"/>
                <w:szCs w:val="24"/>
              </w:rPr>
              <w:t xml:space="preserve">Noteikumu </w:t>
            </w:r>
            <w:r w:rsidRPr="009A1718" w:rsidR="00517604">
              <w:rPr>
                <w:rFonts w:ascii="Times New Roman" w:hAnsi="Times New Roman" w:cs="Times New Roman"/>
                <w:sz w:val="24"/>
                <w:szCs w:val="24"/>
              </w:rPr>
              <w:t>projekta 27</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321940C"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A3977AF"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6CCDF307"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4E00A3C" w14:textId="77777777">
            <w:pPr>
              <w:rPr>
                <w:rFonts w:ascii="Times New Roman" w:hAnsi="Times New Roman" w:cs="Times New Roman"/>
                <w:sz w:val="24"/>
                <w:szCs w:val="24"/>
              </w:rPr>
            </w:pPr>
            <w:r>
              <w:rPr>
                <w:rFonts w:ascii="Times New Roman" w:hAnsi="Times New Roman" w:cs="Times New Roman"/>
                <w:sz w:val="24"/>
                <w:szCs w:val="24"/>
              </w:rPr>
              <w:t>Regula Nr.966/2012 30.pants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61F58B18" w14:textId="6E055EF0">
            <w:pPr>
              <w:rPr>
                <w:rFonts w:ascii="Times New Roman" w:hAnsi="Times New Roman" w:cs="Times New Roman"/>
                <w:sz w:val="24"/>
                <w:szCs w:val="24"/>
              </w:rPr>
            </w:pPr>
            <w:r w:rsidRPr="009A1718">
              <w:rPr>
                <w:rFonts w:ascii="Times New Roman" w:hAnsi="Times New Roman" w:cs="Times New Roman"/>
                <w:sz w:val="24"/>
                <w:szCs w:val="24"/>
              </w:rPr>
              <w:t>Noteikumu projekta 38</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3E5F5C1" w14:textId="77777777">
            <w:pPr>
              <w:jc w:val="center"/>
              <w:rPr>
                <w:rFonts w:ascii="Times New Roman" w:hAnsi="Times New Roman" w:cs="Times New Roman"/>
                <w:sz w:val="24"/>
                <w:szCs w:val="24"/>
              </w:rPr>
            </w:pPr>
            <w:r>
              <w:rPr>
                <w:rFonts w:ascii="Times New Roman" w:hAnsi="Times New Roman" w:cs="Times New Roman"/>
                <w:sz w:val="24"/>
                <w:szCs w:val="24"/>
              </w:rPr>
              <w:t xml:space="preserve">Ieviests pilnībā </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811C561"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5B45F2D4"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3F136C0" w14:textId="77777777">
            <w:pPr>
              <w:rPr>
                <w:rFonts w:ascii="Times New Roman" w:hAnsi="Times New Roman" w:cs="Times New Roman"/>
                <w:sz w:val="24"/>
                <w:szCs w:val="24"/>
              </w:rPr>
            </w:pPr>
            <w:r>
              <w:rPr>
                <w:rFonts w:ascii="Times New Roman" w:hAnsi="Times New Roman" w:cs="Times New Roman"/>
                <w:sz w:val="24"/>
                <w:szCs w:val="24"/>
              </w:rPr>
              <w:t>Regula Nr. 1303/2013</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47CE2A1C" w14:textId="1A3F6B72">
            <w:pPr>
              <w:rPr>
                <w:rFonts w:ascii="Times New Roman" w:hAnsi="Times New Roman" w:cs="Times New Roman"/>
                <w:sz w:val="24"/>
                <w:szCs w:val="24"/>
              </w:rPr>
            </w:pPr>
            <w:r w:rsidRPr="009A1718">
              <w:rPr>
                <w:rFonts w:ascii="Times New Roman" w:hAnsi="Times New Roman" w:cs="Times New Roman"/>
                <w:sz w:val="24"/>
                <w:szCs w:val="24"/>
              </w:rPr>
              <w:t>Noteikumu projekta 39</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B323D27"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160D7DC"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0EDF64D4"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5819C0A" w14:textId="6BB81C3D">
            <w:pPr>
              <w:rPr>
                <w:rFonts w:ascii="Times New Roman" w:hAnsi="Times New Roman" w:cs="Times New Roman"/>
                <w:sz w:val="24"/>
                <w:szCs w:val="24"/>
              </w:rPr>
            </w:pPr>
            <w:r>
              <w:rPr>
                <w:rFonts w:ascii="Times New Roman" w:hAnsi="Times New Roman" w:cs="Times New Roman"/>
                <w:sz w:val="24"/>
                <w:szCs w:val="24"/>
              </w:rPr>
              <w:t xml:space="preserve">Regulas Nr.651/2014 </w:t>
            </w:r>
            <w:r w:rsidR="00441A24">
              <w:rPr>
                <w:rFonts w:ascii="Times New Roman" w:hAnsi="Times New Roman" w:cs="Times New Roman"/>
                <w:sz w:val="24"/>
                <w:szCs w:val="24"/>
              </w:rPr>
              <w:t xml:space="preserve">13., </w:t>
            </w:r>
            <w:r w:rsidRPr="009A1718" w:rsidR="00441A24">
              <w:rPr>
                <w:rFonts w:ascii="Times New Roman" w:hAnsi="Times New Roman" w:cs="Times New Roman"/>
                <w:sz w:val="24"/>
                <w:szCs w:val="24"/>
              </w:rPr>
              <w:t>14.pants, Regula 1407</w:t>
            </w:r>
            <w:r w:rsidRPr="009A1718">
              <w:rPr>
                <w:rFonts w:ascii="Times New Roman" w:hAnsi="Times New Roman" w:cs="Times New Roman"/>
                <w:sz w:val="24"/>
                <w:szCs w:val="24"/>
              </w:rPr>
              <w:t>/2013</w:t>
            </w:r>
            <w:r>
              <w:rPr>
                <w:rFonts w:ascii="Times New Roman" w:hAnsi="Times New Roman" w:cs="Times New Roman"/>
                <w:sz w:val="24"/>
                <w:szCs w:val="24"/>
              </w:rPr>
              <w:t xml:space="preserve"> </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84BEA1F" w14:textId="38BDA619">
            <w:pPr>
              <w:rPr>
                <w:rFonts w:ascii="Times New Roman" w:hAnsi="Times New Roman" w:cs="Times New Roman"/>
                <w:sz w:val="24"/>
                <w:szCs w:val="24"/>
              </w:rPr>
            </w:pPr>
            <w:r w:rsidRPr="009A1718">
              <w:rPr>
                <w:rFonts w:ascii="Times New Roman" w:hAnsi="Times New Roman" w:cs="Times New Roman"/>
                <w:sz w:val="24"/>
                <w:szCs w:val="24"/>
              </w:rPr>
              <w:t>Noteikumu projekta 41</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36193D6"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17133DD"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072A6979"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B2BCDB1" w14:textId="77777777">
            <w:pPr>
              <w:rPr>
                <w:rFonts w:ascii="Times New Roman" w:hAnsi="Times New Roman" w:cs="Times New Roman"/>
                <w:sz w:val="24"/>
                <w:szCs w:val="24"/>
              </w:rPr>
            </w:pPr>
            <w:r>
              <w:rPr>
                <w:rFonts w:ascii="Times New Roman" w:hAnsi="Times New Roman" w:cs="Times New Roman"/>
                <w:sz w:val="24"/>
                <w:szCs w:val="24"/>
              </w:rPr>
              <w:t>Regula Nr.1407/2013</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4A7ECD60" w14:textId="2F8BB810">
            <w:pPr>
              <w:rPr>
                <w:rFonts w:ascii="Times New Roman" w:hAnsi="Times New Roman" w:cs="Times New Roman"/>
                <w:sz w:val="24"/>
                <w:szCs w:val="24"/>
              </w:rPr>
            </w:pPr>
            <w:r w:rsidRPr="009A1718">
              <w:rPr>
                <w:rFonts w:ascii="Times New Roman" w:hAnsi="Times New Roman" w:cs="Times New Roman"/>
                <w:sz w:val="24"/>
                <w:szCs w:val="24"/>
              </w:rPr>
              <w:t>Noteikumu projekta 45</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D99C00D"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E69AD4F"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94A9205"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11CFC29" w14:textId="77777777">
            <w:pPr>
              <w:rPr>
                <w:rFonts w:ascii="Times New Roman" w:hAnsi="Times New Roman" w:cs="Times New Roman"/>
                <w:sz w:val="24"/>
                <w:szCs w:val="24"/>
              </w:rPr>
            </w:pPr>
            <w:r>
              <w:rPr>
                <w:rFonts w:ascii="Times New Roman" w:hAnsi="Times New Roman" w:cs="Times New Roman"/>
                <w:sz w:val="24"/>
                <w:szCs w:val="24"/>
              </w:rPr>
              <w:t>Regula Nr.651/2014</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50026305" w14:textId="5DFE27DC">
            <w:pPr>
              <w:rPr>
                <w:rFonts w:ascii="Times New Roman" w:hAnsi="Times New Roman" w:cs="Times New Roman"/>
                <w:sz w:val="24"/>
                <w:szCs w:val="24"/>
              </w:rPr>
            </w:pPr>
            <w:r w:rsidRPr="009A1718">
              <w:rPr>
                <w:rFonts w:ascii="Times New Roman" w:hAnsi="Times New Roman" w:cs="Times New Roman"/>
                <w:sz w:val="24"/>
                <w:szCs w:val="24"/>
              </w:rPr>
              <w:t>Noteikumu projekta 47</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69DA484"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8BD17E5"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71682554"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CD09DE2" w14:textId="77777777">
            <w:pPr>
              <w:rPr>
                <w:rFonts w:ascii="Times New Roman" w:hAnsi="Times New Roman" w:cs="Times New Roman"/>
                <w:sz w:val="24"/>
                <w:szCs w:val="24"/>
              </w:rPr>
            </w:pPr>
            <w:r>
              <w:rPr>
                <w:rFonts w:ascii="Times New Roman" w:hAnsi="Times New Roman" w:cs="Times New Roman"/>
                <w:sz w:val="24"/>
                <w:szCs w:val="24"/>
              </w:rPr>
              <w:t>Regulas Nr.651/2014 1.panta 5.punkts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6A45DFA9" w14:textId="13A9E263">
            <w:pPr>
              <w:rPr>
                <w:rFonts w:ascii="Times New Roman" w:hAnsi="Times New Roman" w:cs="Times New Roman"/>
                <w:sz w:val="24"/>
                <w:szCs w:val="24"/>
              </w:rPr>
            </w:pPr>
            <w:r w:rsidRPr="009A1718">
              <w:rPr>
                <w:rFonts w:ascii="Times New Roman" w:hAnsi="Times New Roman" w:cs="Times New Roman"/>
                <w:sz w:val="24"/>
                <w:szCs w:val="24"/>
              </w:rPr>
              <w:t>Noteikumu projekta 47</w:t>
            </w:r>
            <w:r w:rsidRPr="009A1718">
              <w:rPr>
                <w:rFonts w:ascii="Times New Roman" w:hAnsi="Times New Roman" w:cs="Times New Roman"/>
                <w:sz w:val="24"/>
                <w:szCs w:val="24"/>
              </w:rPr>
              <w:t>.1.apakšpunkts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5A23A47"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BA26E24"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7EDCA6E"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36D07F1" w14:textId="77777777">
            <w:pPr>
              <w:rPr>
                <w:rFonts w:ascii="Times New Roman" w:hAnsi="Times New Roman" w:cs="Times New Roman"/>
                <w:sz w:val="24"/>
                <w:szCs w:val="24"/>
              </w:rPr>
            </w:pPr>
            <w:r>
              <w:rPr>
                <w:rFonts w:ascii="Times New Roman" w:hAnsi="Times New Roman" w:cs="Times New Roman"/>
                <w:sz w:val="24"/>
                <w:szCs w:val="24"/>
              </w:rPr>
              <w:t>Regulas Nr.651/2014 14.panta 13.punkts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48D68F47" w14:textId="27BCC7D9">
            <w:pPr>
              <w:rPr>
                <w:rFonts w:ascii="Times New Roman" w:hAnsi="Times New Roman" w:cs="Times New Roman"/>
                <w:sz w:val="24"/>
                <w:szCs w:val="24"/>
              </w:rPr>
            </w:pPr>
            <w:r w:rsidRPr="009A1718">
              <w:rPr>
                <w:rFonts w:ascii="Times New Roman" w:hAnsi="Times New Roman" w:cs="Times New Roman"/>
                <w:sz w:val="24"/>
                <w:szCs w:val="24"/>
              </w:rPr>
              <w:t>Noteikumu</w:t>
            </w:r>
            <w:r w:rsidRPr="009A1718" w:rsidR="009717B9">
              <w:rPr>
                <w:rFonts w:ascii="Times New Roman" w:hAnsi="Times New Roman" w:cs="Times New Roman"/>
                <w:sz w:val="24"/>
                <w:szCs w:val="24"/>
              </w:rPr>
              <w:t xml:space="preserve"> projekta 47</w:t>
            </w:r>
            <w:r w:rsidRPr="009A1718">
              <w:rPr>
                <w:rFonts w:ascii="Times New Roman" w:hAnsi="Times New Roman" w:cs="Times New Roman"/>
                <w:sz w:val="24"/>
                <w:szCs w:val="24"/>
              </w:rPr>
              <w:t>.2.apakšpunkts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A4371C1"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86FE69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0A286A6A"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87BB1CE" w14:textId="77777777">
            <w:pPr>
              <w:rPr>
                <w:rFonts w:ascii="Times New Roman" w:hAnsi="Times New Roman" w:cs="Times New Roman"/>
                <w:sz w:val="24"/>
                <w:szCs w:val="24"/>
              </w:rPr>
            </w:pPr>
            <w:r>
              <w:rPr>
                <w:rFonts w:ascii="Times New Roman" w:hAnsi="Times New Roman" w:cs="Times New Roman"/>
                <w:sz w:val="24"/>
                <w:szCs w:val="24"/>
              </w:rPr>
              <w:t>Regulas Nr.651/2014 14.panta 7.punkts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C610F7D" w14:textId="1115B68D">
            <w:pPr>
              <w:rPr>
                <w:rFonts w:ascii="Times New Roman" w:hAnsi="Times New Roman" w:cs="Times New Roman"/>
                <w:sz w:val="24"/>
                <w:szCs w:val="24"/>
              </w:rPr>
            </w:pPr>
            <w:r w:rsidRPr="009A1718">
              <w:rPr>
                <w:rFonts w:ascii="Times New Roman" w:hAnsi="Times New Roman" w:cs="Times New Roman"/>
                <w:sz w:val="24"/>
                <w:szCs w:val="24"/>
              </w:rPr>
              <w:t>Noteikumu projekta 47</w:t>
            </w:r>
            <w:r w:rsidRPr="009A1718">
              <w:rPr>
                <w:rFonts w:ascii="Times New Roman" w:hAnsi="Times New Roman" w:cs="Times New Roman"/>
                <w:sz w:val="24"/>
                <w:szCs w:val="24"/>
              </w:rPr>
              <w:t>.3.apakšpunkts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29C1E94"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A4DEA7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629CA5E5"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B872B2A" w14:textId="77777777">
            <w:pPr>
              <w:rPr>
                <w:rFonts w:ascii="Times New Roman" w:hAnsi="Times New Roman" w:cs="Times New Roman"/>
                <w:sz w:val="24"/>
                <w:szCs w:val="24"/>
              </w:rPr>
            </w:pPr>
            <w:r>
              <w:rPr>
                <w:rFonts w:ascii="Times New Roman" w:hAnsi="Times New Roman" w:cs="Times New Roman"/>
                <w:sz w:val="24"/>
                <w:szCs w:val="24"/>
              </w:rPr>
              <w:t>Regulas Nr.1407/2013 3.panta 2.,8. un 9.punkts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1B8FCF1D" w14:textId="2B881192">
            <w:pPr>
              <w:rPr>
                <w:rFonts w:ascii="Times New Roman" w:hAnsi="Times New Roman" w:cs="Times New Roman"/>
                <w:sz w:val="24"/>
                <w:szCs w:val="24"/>
              </w:rPr>
            </w:pPr>
            <w:r w:rsidRPr="009A1718">
              <w:rPr>
                <w:rFonts w:ascii="Times New Roman" w:hAnsi="Times New Roman" w:cs="Times New Roman"/>
                <w:sz w:val="24"/>
                <w:szCs w:val="24"/>
              </w:rPr>
              <w:t xml:space="preserve">Noteikumu </w:t>
            </w:r>
            <w:r w:rsidRPr="009A1718" w:rsidR="009717B9">
              <w:rPr>
                <w:rFonts w:ascii="Times New Roman" w:hAnsi="Times New Roman" w:cs="Times New Roman"/>
                <w:sz w:val="24"/>
                <w:szCs w:val="24"/>
              </w:rPr>
              <w:t>projekta 50</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70951BD"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B91C76E"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41F3246E"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E95215A" w14:textId="77777777">
            <w:pPr>
              <w:rPr>
                <w:rFonts w:ascii="Times New Roman" w:hAnsi="Times New Roman" w:cs="Times New Roman"/>
                <w:sz w:val="24"/>
                <w:szCs w:val="24"/>
              </w:rPr>
            </w:pPr>
            <w:r>
              <w:rPr>
                <w:rFonts w:ascii="Times New Roman" w:hAnsi="Times New Roman" w:cs="Times New Roman"/>
                <w:sz w:val="24"/>
                <w:szCs w:val="24"/>
              </w:rPr>
              <w:t>Regula Nr.651/2014</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2A2D4766" w14:textId="6CF4A5A9">
            <w:pPr>
              <w:rPr>
                <w:rFonts w:ascii="Times New Roman" w:hAnsi="Times New Roman" w:cs="Times New Roman"/>
                <w:sz w:val="24"/>
                <w:szCs w:val="24"/>
              </w:rPr>
            </w:pPr>
            <w:r w:rsidRPr="009A1718">
              <w:rPr>
                <w:rFonts w:ascii="Times New Roman" w:hAnsi="Times New Roman" w:cs="Times New Roman"/>
                <w:sz w:val="24"/>
                <w:szCs w:val="24"/>
              </w:rPr>
              <w:t>Noteikumu projekta 51</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618D565"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1BF4628"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69E25A34"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7C956C5" w14:textId="77777777">
            <w:pPr>
              <w:rPr>
                <w:rFonts w:ascii="Times New Roman" w:hAnsi="Times New Roman" w:cs="Times New Roman"/>
                <w:sz w:val="24"/>
                <w:szCs w:val="24"/>
              </w:rPr>
            </w:pPr>
            <w:r>
              <w:rPr>
                <w:rFonts w:ascii="Times New Roman" w:hAnsi="Times New Roman" w:cs="Times New Roman"/>
                <w:sz w:val="24"/>
                <w:szCs w:val="24"/>
              </w:rPr>
              <w:t>Regulas Nr.651/2014 21.pants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2128FFE" w14:textId="7AB1BFE1">
            <w:pPr>
              <w:rPr>
                <w:rFonts w:ascii="Times New Roman" w:hAnsi="Times New Roman" w:cs="Times New Roman"/>
                <w:sz w:val="24"/>
                <w:szCs w:val="24"/>
              </w:rPr>
            </w:pPr>
            <w:r w:rsidRPr="009A1718">
              <w:rPr>
                <w:rFonts w:ascii="Times New Roman" w:hAnsi="Times New Roman" w:cs="Times New Roman"/>
                <w:sz w:val="24"/>
                <w:szCs w:val="24"/>
              </w:rPr>
              <w:t>Noteikumu projekta 52</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D2AE79A"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203E12E"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1861832B"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BAB7B73" w14:textId="77777777">
            <w:pPr>
              <w:rPr>
                <w:rFonts w:ascii="Times New Roman" w:hAnsi="Times New Roman" w:cs="Times New Roman"/>
                <w:sz w:val="24"/>
                <w:szCs w:val="24"/>
              </w:rPr>
            </w:pPr>
            <w:r>
              <w:rPr>
                <w:rFonts w:ascii="Times New Roman" w:hAnsi="Times New Roman" w:cs="Times New Roman"/>
                <w:sz w:val="24"/>
                <w:szCs w:val="24"/>
              </w:rPr>
              <w:t>Regulas Nr.651/2014 12.panta 1.punkts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6CABAD3D" w14:textId="33386AF7">
            <w:pPr>
              <w:rPr>
                <w:rFonts w:ascii="Times New Roman" w:hAnsi="Times New Roman" w:cs="Times New Roman"/>
                <w:sz w:val="24"/>
                <w:szCs w:val="24"/>
              </w:rPr>
            </w:pPr>
            <w:r w:rsidRPr="009A1718">
              <w:rPr>
                <w:rFonts w:ascii="Times New Roman" w:hAnsi="Times New Roman" w:cs="Times New Roman"/>
                <w:sz w:val="24"/>
                <w:szCs w:val="24"/>
              </w:rPr>
              <w:t>Noteikumu projekta 54</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121DB6C"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AEB8531"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75D62B53"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FF1BE58" w14:textId="77777777">
            <w:pPr>
              <w:rPr>
                <w:rFonts w:ascii="Times New Roman" w:hAnsi="Times New Roman" w:cs="Times New Roman"/>
                <w:sz w:val="24"/>
                <w:szCs w:val="24"/>
              </w:rPr>
            </w:pPr>
            <w:r>
              <w:rPr>
                <w:rFonts w:ascii="Times New Roman" w:hAnsi="Times New Roman" w:cs="Times New Roman"/>
                <w:sz w:val="24"/>
                <w:szCs w:val="24"/>
              </w:rPr>
              <w:t>Regulas Nr.1407/2013 6.panta 4.punkts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282018E0" w14:textId="2D7F4DF0">
            <w:pPr>
              <w:rPr>
                <w:rFonts w:ascii="Times New Roman" w:hAnsi="Times New Roman" w:cs="Times New Roman"/>
                <w:sz w:val="24"/>
                <w:szCs w:val="24"/>
              </w:rPr>
            </w:pPr>
            <w:r w:rsidRPr="009A1718">
              <w:rPr>
                <w:rFonts w:ascii="Times New Roman" w:hAnsi="Times New Roman" w:cs="Times New Roman"/>
                <w:sz w:val="24"/>
                <w:szCs w:val="24"/>
              </w:rPr>
              <w:t>Noteikumu projekta 54</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2671A38"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865D62B"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662A6858"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4490B29" w14:textId="77777777">
            <w:pPr>
              <w:rPr>
                <w:rFonts w:ascii="Times New Roman" w:hAnsi="Times New Roman" w:cs="Times New Roman"/>
                <w:sz w:val="24"/>
                <w:szCs w:val="24"/>
              </w:rPr>
            </w:pPr>
            <w:r>
              <w:rPr>
                <w:rFonts w:ascii="Times New Roman" w:hAnsi="Times New Roman" w:cs="Times New Roman"/>
                <w:sz w:val="24"/>
                <w:szCs w:val="24"/>
              </w:rPr>
              <w:t>Regulas Nr.651/2014 9.panta 1.un 4.punkts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13DEF0C" w14:textId="4ED06D81">
            <w:pPr>
              <w:rPr>
                <w:rFonts w:ascii="Times New Roman" w:hAnsi="Times New Roman" w:cs="Times New Roman"/>
                <w:sz w:val="24"/>
                <w:szCs w:val="24"/>
              </w:rPr>
            </w:pPr>
            <w:r w:rsidRPr="009A1718">
              <w:rPr>
                <w:rFonts w:ascii="Times New Roman" w:hAnsi="Times New Roman" w:cs="Times New Roman"/>
                <w:sz w:val="24"/>
                <w:szCs w:val="24"/>
              </w:rPr>
              <w:t>Noteikumu projekta 55</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0088050"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12F7F11"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05E9CA81"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3F1E884" w14:textId="1453357A">
            <w:pPr>
              <w:rPr>
                <w:rFonts w:ascii="Times New Roman" w:hAnsi="Times New Roman" w:cs="Times New Roman"/>
                <w:sz w:val="24"/>
                <w:szCs w:val="24"/>
              </w:rPr>
            </w:pPr>
            <w:r>
              <w:rPr>
                <w:rFonts w:ascii="Times New Roman" w:hAnsi="Times New Roman" w:cs="Times New Roman"/>
                <w:sz w:val="24"/>
                <w:szCs w:val="24"/>
              </w:rPr>
              <w:t>Regulas Nr.</w:t>
            </w:r>
            <w:r w:rsidRPr="009A1718">
              <w:rPr>
                <w:rFonts w:ascii="Times New Roman" w:hAnsi="Times New Roman" w:cs="Times New Roman"/>
                <w:sz w:val="24"/>
                <w:szCs w:val="24"/>
              </w:rPr>
              <w:t>1407</w:t>
            </w:r>
            <w:r w:rsidRPr="009A1718">
              <w:rPr>
                <w:rFonts w:ascii="Times New Roman" w:hAnsi="Times New Roman" w:cs="Times New Roman"/>
                <w:sz w:val="24"/>
                <w:szCs w:val="24"/>
              </w:rPr>
              <w:t>/2013</w:t>
            </w:r>
            <w:r>
              <w:rPr>
                <w:rFonts w:ascii="Times New Roman" w:hAnsi="Times New Roman" w:cs="Times New Roman"/>
                <w:sz w:val="24"/>
                <w:szCs w:val="24"/>
              </w:rPr>
              <w:t xml:space="preserve"> 5.panta 1.un 2.punkts, 3.</w:t>
            </w:r>
            <w:r>
              <w:rPr>
                <w:rFonts w:ascii="Times New Roman" w:hAnsi="Times New Roman" w:cs="Times New Roman"/>
                <w:sz w:val="24"/>
                <w:szCs w:val="24"/>
              </w:rPr>
              <w:t>panta 2.punkts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271BCAF" w14:textId="4FF2611E">
            <w:pPr>
              <w:rPr>
                <w:rFonts w:ascii="Times New Roman" w:hAnsi="Times New Roman" w:cs="Times New Roman"/>
                <w:sz w:val="24"/>
                <w:szCs w:val="24"/>
              </w:rPr>
            </w:pPr>
            <w:r w:rsidRPr="009A1718">
              <w:rPr>
                <w:rFonts w:ascii="Times New Roman" w:hAnsi="Times New Roman" w:cs="Times New Roman"/>
                <w:sz w:val="24"/>
                <w:szCs w:val="24"/>
              </w:rPr>
              <w:t>Noteikumu projekta 53</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0607046"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EBFFA14"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292F016"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50A664A"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743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B032443" w14:textId="77777777">
            <w:pPr>
              <w:rPr>
                <w:rFonts w:ascii="Times New Roman" w:hAnsi="Times New Roman" w:cs="Times New Roman"/>
                <w:sz w:val="24"/>
                <w:szCs w:val="24"/>
                <w:lang w:eastAsia="lv-LV"/>
              </w:rPr>
            </w:pPr>
            <w:r>
              <w:rPr>
                <w:rFonts w:ascii="Times New Roman" w:hAnsi="Times New Roman" w:cs="Times New Roman"/>
                <w:color w:val="000000"/>
                <w:sz w:val="24"/>
                <w:szCs w:val="24"/>
              </w:rPr>
              <w:t>Projekts šo jomu neskar.</w:t>
            </w:r>
          </w:p>
        </w:tc>
      </w:tr>
      <w:tr w14:paraId="76A82E99"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A115C5A"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43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P="009170FB" w14:paraId="1710B2CD" w14:textId="77777777">
            <w:pPr>
              <w:jc w:val="both"/>
              <w:rPr>
                <w:rFonts w:ascii="Times New Roman" w:hAnsi="Times New Roman" w:cs="Times New Roman"/>
                <w:sz w:val="24"/>
                <w:szCs w:val="24"/>
                <w:lang w:eastAsia="lv-LV"/>
              </w:rPr>
            </w:pPr>
            <w:r>
              <w:rPr>
                <w:rFonts w:ascii="Times New Roman" w:hAnsi="Times New Roman" w:cs="Times New Roman"/>
                <w:color w:val="000000"/>
                <w:sz w:val="24"/>
                <w:szCs w:val="24"/>
              </w:rPr>
              <w:t xml:space="preserve">20 darba dienu laikā pēc Ministru kabineta noteikumu spēkā stāšanās Ekonomikas ministrija, izmantojot Komisijas elektroniskās paziņošanas sistēmu, sniegs kopsavilkuma informāciju Eiropas Komisijai saskaņā ar Komisijas regulas Nr.651/2014 11.pantu. </w:t>
            </w:r>
          </w:p>
        </w:tc>
      </w:tr>
      <w:tr w14:paraId="30FA73EE"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D109267"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Cita informācija</w:t>
            </w:r>
          </w:p>
        </w:tc>
        <w:tc>
          <w:tcPr>
            <w:tcW w:w="743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FCD45C4"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r w14:paraId="53FEC722"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9572" w:type="dxa"/>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F3114" w:rsidP="00636BF9" w14:paraId="133E3187" w14:textId="77777777">
            <w:pPr>
              <w:rPr>
                <w:rFonts w:ascii="Times New Roman" w:hAnsi="Times New Roman" w:cs="Times New Roman"/>
                <w:b/>
                <w:bCs/>
                <w:sz w:val="24"/>
                <w:szCs w:val="24"/>
                <w:lang w:eastAsia="lv-LV"/>
              </w:rPr>
            </w:pPr>
            <w:r>
              <w:rPr>
                <w:rFonts w:ascii="Times New Roman" w:hAnsi="Times New Roman" w:cs="Times New Roman"/>
                <w:b/>
                <w:bCs/>
                <w:sz w:val="24"/>
                <w:szCs w:val="24"/>
                <w:lang w:eastAsia="lv-LV"/>
              </w:rPr>
              <w:t>2. tabula</w:t>
            </w:r>
            <w:r>
              <w:rPr>
                <w:rFonts w:ascii="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Pr>
                <w:rFonts w:ascii="Times New Roman" w:hAnsi="Times New Roman" w:cs="Times New Roman"/>
                <w:b/>
                <w:bCs/>
                <w:sz w:val="24"/>
                <w:szCs w:val="24"/>
                <w:lang w:eastAsia="lv-LV"/>
              </w:rPr>
              <w:br/>
              <w:t>Pasākumi šo saistību izpildei</w:t>
            </w:r>
          </w:p>
        </w:tc>
      </w:tr>
      <w:tr w14:paraId="1F24165B"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9572" w:type="dxa"/>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F3114" w14:paraId="702A3AF1" w14:textId="77777777">
            <w:pPr>
              <w:jc w:val="center"/>
              <w:rPr>
                <w:rFonts w:ascii="Times New Roman" w:hAnsi="Times New Roman" w:cs="Times New Roman"/>
                <w:b/>
                <w:bCs/>
                <w:sz w:val="24"/>
                <w:szCs w:val="24"/>
                <w:lang w:eastAsia="lv-LV"/>
              </w:rPr>
            </w:pPr>
            <w:r>
              <w:rPr>
                <w:rFonts w:ascii="Times New Roman" w:hAnsi="Times New Roman" w:cs="Times New Roman"/>
                <w:color w:val="000000"/>
                <w:sz w:val="24"/>
                <w:szCs w:val="24"/>
              </w:rPr>
              <w:t>Projekts šo jomu neskar.</w:t>
            </w:r>
          </w:p>
        </w:tc>
      </w:tr>
      <w:tr w14:paraId="5F404F79" w14:textId="77777777" w:rsidTr="00CE3DFD">
        <w:tblPrEx>
          <w:tblW w:w="5005" w:type="pct"/>
          <w:tblCellSpacing w:w="15" w:type="dxa"/>
          <w:tblLayout w:type="fixed"/>
          <w:tblCellMar>
            <w:top w:w="30" w:type="dxa"/>
            <w:left w:w="30" w:type="dxa"/>
            <w:bottom w:w="30" w:type="dxa"/>
            <w:right w:w="30" w:type="dxa"/>
          </w:tblCellMar>
          <w:tblLook w:val="04A0"/>
        </w:tblPrEx>
        <w:trPr>
          <w:tblCellSpacing w:w="15" w:type="dxa"/>
        </w:trPr>
        <w:tc>
          <w:tcPr>
            <w:tcW w:w="9571" w:type="dxa"/>
            <w:gridSpan w:val="6"/>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467A5CA0"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14:paraId="3BF30DBC" w14:textId="77777777" w:rsidTr="00CE3DFD">
        <w:tblPrEx>
          <w:tblW w:w="5005" w:type="pct"/>
          <w:tblCellSpacing w:w="15" w:type="dxa"/>
          <w:tblLayout w:type="fixed"/>
          <w:tblCellMar>
            <w:top w:w="30" w:type="dxa"/>
            <w:left w:w="30" w:type="dxa"/>
            <w:bottom w:w="30" w:type="dxa"/>
            <w:right w:w="30" w:type="dxa"/>
          </w:tblCellMar>
          <w:tblLook w:val="04A0"/>
        </w:tblPrEx>
        <w:trPr>
          <w:tblCellSpacing w:w="15" w:type="dxa"/>
        </w:trPr>
        <w:tc>
          <w:tcPr>
            <w:tcW w:w="653" w:type="dxa"/>
            <w:tcBorders>
              <w:top w:val="outset" w:sz="6" w:space="0" w:color="auto"/>
              <w:left w:val="outset" w:sz="6" w:space="0" w:color="auto"/>
              <w:bottom w:val="outset" w:sz="6" w:space="0" w:color="auto"/>
              <w:right w:val="outset" w:sz="6" w:space="0" w:color="auto"/>
            </w:tcBorders>
            <w:hideMark/>
          </w:tcPr>
          <w:p w:rsidR="00D530C0" w:rsidRPr="00487661" w:rsidP="00927DB3" w14:paraId="4135BDA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216" w:type="dxa"/>
            <w:gridSpan w:val="2"/>
            <w:tcBorders>
              <w:top w:val="outset" w:sz="6" w:space="0" w:color="auto"/>
              <w:left w:val="outset" w:sz="6" w:space="0" w:color="auto"/>
              <w:bottom w:val="outset" w:sz="6" w:space="0" w:color="auto"/>
              <w:right w:val="outset" w:sz="6" w:space="0" w:color="auto"/>
            </w:tcBorders>
            <w:hideMark/>
          </w:tcPr>
          <w:p w:rsidR="00D530C0" w:rsidRPr="00487661" w:rsidP="00927DB3" w14:paraId="45B8C02D"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42" w:type="dxa"/>
            <w:gridSpan w:val="3"/>
            <w:tcBorders>
              <w:top w:val="outset" w:sz="6" w:space="0" w:color="auto"/>
              <w:left w:val="outset" w:sz="6" w:space="0" w:color="auto"/>
              <w:bottom w:val="outset" w:sz="6" w:space="0" w:color="auto"/>
              <w:right w:val="outset" w:sz="6" w:space="0" w:color="auto"/>
            </w:tcBorders>
            <w:hideMark/>
          </w:tcPr>
          <w:p w:rsidR="00D530C0" w:rsidRPr="00487661" w:rsidP="00927DB3" w14:paraId="5BB14D65" w14:textId="77777777">
            <w:pPr>
              <w:spacing w:after="0" w:line="240" w:lineRule="auto"/>
              <w:jc w:val="both"/>
              <w:rPr>
                <w:rFonts w:ascii="Times New Roman" w:eastAsia="Times New Roman" w:hAnsi="Times New Roman" w:cs="Times New Roman"/>
                <w:iCs/>
                <w:sz w:val="24"/>
                <w:szCs w:val="24"/>
                <w:lang w:eastAsia="lv-LV"/>
              </w:rPr>
            </w:pPr>
            <w:r w:rsidRPr="007B3F93">
              <w:rPr>
                <w:rFonts w:ascii="Times New Roman" w:eastAsia="Times New Roman" w:hAnsi="Times New Roman" w:cs="Times New Roman"/>
                <w:iCs/>
                <w:sz w:val="24"/>
                <w:szCs w:val="24"/>
                <w:lang w:eastAsia="lv-LV"/>
              </w:rPr>
              <w:t>Atbilstoši normatīvo aktu prasībām EM tās tīmekļa vietnē publicē informāciju par noteikumu projektu un  tā virzību.</w:t>
            </w:r>
          </w:p>
        </w:tc>
      </w:tr>
      <w:tr w14:paraId="0D0F8EB2" w14:textId="77777777" w:rsidTr="00CE3DFD">
        <w:tblPrEx>
          <w:tblW w:w="5005" w:type="pct"/>
          <w:tblCellSpacing w:w="15" w:type="dxa"/>
          <w:tblLayout w:type="fixed"/>
          <w:tblCellMar>
            <w:top w:w="30" w:type="dxa"/>
            <w:left w:w="30" w:type="dxa"/>
            <w:bottom w:w="30" w:type="dxa"/>
            <w:right w:w="30" w:type="dxa"/>
          </w:tblCellMar>
          <w:tblLook w:val="04A0"/>
        </w:tblPrEx>
        <w:trPr>
          <w:tblCellSpacing w:w="15" w:type="dxa"/>
        </w:trPr>
        <w:tc>
          <w:tcPr>
            <w:tcW w:w="653" w:type="dxa"/>
            <w:tcBorders>
              <w:top w:val="outset" w:sz="6" w:space="0" w:color="auto"/>
              <w:left w:val="outset" w:sz="6" w:space="0" w:color="auto"/>
              <w:bottom w:val="outset" w:sz="6" w:space="0" w:color="auto"/>
              <w:right w:val="outset" w:sz="6" w:space="0" w:color="auto"/>
            </w:tcBorders>
            <w:hideMark/>
          </w:tcPr>
          <w:p w:rsidR="00D530C0" w:rsidRPr="00487661" w:rsidP="00927DB3" w14:paraId="7662AA4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16" w:type="dxa"/>
            <w:gridSpan w:val="2"/>
            <w:tcBorders>
              <w:top w:val="outset" w:sz="6" w:space="0" w:color="auto"/>
              <w:left w:val="outset" w:sz="6" w:space="0" w:color="auto"/>
              <w:bottom w:val="outset" w:sz="6" w:space="0" w:color="auto"/>
              <w:right w:val="outset" w:sz="6" w:space="0" w:color="auto"/>
            </w:tcBorders>
            <w:hideMark/>
          </w:tcPr>
          <w:p w:rsidR="00D530C0" w:rsidRPr="004A246F" w:rsidP="00927DB3" w14:paraId="422C5757" w14:textId="77777777">
            <w:pPr>
              <w:spacing w:after="0" w:line="240" w:lineRule="auto"/>
              <w:rPr>
                <w:rFonts w:ascii="Times New Roman" w:eastAsia="Times New Roman" w:hAnsi="Times New Roman" w:cs="Times New Roman"/>
                <w:iCs/>
                <w:sz w:val="24"/>
                <w:szCs w:val="24"/>
                <w:lang w:eastAsia="lv-LV"/>
              </w:rPr>
            </w:pPr>
            <w:r w:rsidRPr="004A246F">
              <w:rPr>
                <w:rFonts w:ascii="Times New Roman" w:eastAsia="Times New Roman" w:hAnsi="Times New Roman" w:cs="Times New Roman"/>
                <w:iCs/>
                <w:sz w:val="24"/>
                <w:szCs w:val="24"/>
                <w:lang w:eastAsia="lv-LV"/>
              </w:rPr>
              <w:t>Sabiedrības līdzdalība projekta izstrādē</w:t>
            </w:r>
          </w:p>
        </w:tc>
        <w:tc>
          <w:tcPr>
            <w:tcW w:w="5642" w:type="dxa"/>
            <w:gridSpan w:val="3"/>
            <w:tcBorders>
              <w:top w:val="outset" w:sz="6" w:space="0" w:color="auto"/>
              <w:left w:val="outset" w:sz="6" w:space="0" w:color="auto"/>
              <w:bottom w:val="outset" w:sz="6" w:space="0" w:color="auto"/>
              <w:right w:val="outset" w:sz="6" w:space="0" w:color="auto"/>
            </w:tcBorders>
            <w:hideMark/>
          </w:tcPr>
          <w:p w:rsidR="00D530C0" w:rsidP="00927DB3" w14:paraId="3A1F78C0"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2018.gada </w:t>
            </w:r>
            <w:r w:rsidR="00197AA9">
              <w:rPr>
                <w:rFonts w:ascii="Times New Roman" w:eastAsia="Times New Roman" w:hAnsi="Times New Roman" w:cs="Times New Roman"/>
                <w:iCs/>
                <w:sz w:val="24"/>
                <w:szCs w:val="24"/>
                <w:lang w:eastAsia="lv-LV"/>
              </w:rPr>
              <w:t>7.februārī</w:t>
            </w:r>
            <w:r>
              <w:rPr>
                <w:rFonts w:ascii="Times New Roman" w:eastAsia="Times New Roman" w:hAnsi="Times New Roman" w:cs="Times New Roman"/>
                <w:iCs/>
                <w:sz w:val="24"/>
                <w:szCs w:val="24"/>
                <w:lang w:eastAsia="lv-LV"/>
              </w:rPr>
              <w:t xml:space="preserve"> ievietots </w:t>
            </w:r>
            <w:r w:rsidRPr="007B3F93">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konomikas ministrijas tīmekļa vietnē:</w:t>
            </w:r>
          </w:p>
          <w:p w:rsidR="00D530C0" w:rsidRPr="00611BC1" w:rsidP="00927DB3" w14:paraId="646836EA" w14:textId="77777777">
            <w:pPr>
              <w:spacing w:after="0" w:line="240" w:lineRule="auto"/>
              <w:jc w:val="both"/>
              <w:rPr>
                <w:rFonts w:ascii="Times New Roman" w:eastAsia="Times New Roman" w:hAnsi="Times New Roman" w:cs="Times New Roman"/>
                <w:iCs/>
                <w:sz w:val="24"/>
                <w:szCs w:val="24"/>
                <w:lang w:eastAsia="lv-LV"/>
              </w:rPr>
            </w:pPr>
            <w:r>
              <w:fldChar w:fldCharType="begin"/>
            </w:r>
            <w:r>
              <w:instrText xml:space="preserve"> HYPERLINK "https://em.gov.lv/lv/par_ministriju/sabiedribas_lidzdaliba/diskusiju_dokumenti/industriala_politika/" </w:instrText>
            </w:r>
            <w:r>
              <w:fldChar w:fldCharType="separate"/>
            </w:r>
            <w:r w:rsidRPr="00611BC1" w:rsidR="00124784">
              <w:rPr>
                <w:rStyle w:val="Hyperlink"/>
                <w:rFonts w:ascii="Times New Roman" w:hAnsi="Times New Roman" w:cs="Times New Roman"/>
                <w:sz w:val="24"/>
                <w:szCs w:val="24"/>
              </w:rPr>
              <w:t>https://em.gov.lv/lv/par_ministriju/sabiedribas_lidzdaliba/diskusiju_dokumenti/industriala_politika/</w:t>
            </w:r>
            <w:r>
              <w:fldChar w:fldCharType="end"/>
            </w:r>
          </w:p>
        </w:tc>
      </w:tr>
      <w:tr w14:paraId="6EB3F5C9" w14:textId="77777777" w:rsidTr="00CE3DFD">
        <w:tblPrEx>
          <w:tblW w:w="5005" w:type="pct"/>
          <w:tblCellSpacing w:w="15" w:type="dxa"/>
          <w:tblLayout w:type="fixed"/>
          <w:tblCellMar>
            <w:top w:w="30" w:type="dxa"/>
            <w:left w:w="30" w:type="dxa"/>
            <w:bottom w:w="30" w:type="dxa"/>
            <w:right w:w="30" w:type="dxa"/>
          </w:tblCellMar>
          <w:tblLook w:val="04A0"/>
        </w:tblPrEx>
        <w:trPr>
          <w:tblCellSpacing w:w="15" w:type="dxa"/>
        </w:trPr>
        <w:tc>
          <w:tcPr>
            <w:tcW w:w="653" w:type="dxa"/>
            <w:tcBorders>
              <w:top w:val="outset" w:sz="6" w:space="0" w:color="auto"/>
              <w:left w:val="outset" w:sz="6" w:space="0" w:color="auto"/>
              <w:bottom w:val="outset" w:sz="6" w:space="0" w:color="auto"/>
              <w:right w:val="outset" w:sz="6" w:space="0" w:color="auto"/>
            </w:tcBorders>
            <w:hideMark/>
          </w:tcPr>
          <w:p w:rsidR="00D530C0" w:rsidRPr="00487661" w:rsidP="00927DB3" w14:paraId="28E1F46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16" w:type="dxa"/>
            <w:gridSpan w:val="2"/>
            <w:tcBorders>
              <w:top w:val="outset" w:sz="6" w:space="0" w:color="auto"/>
              <w:left w:val="outset" w:sz="6" w:space="0" w:color="auto"/>
              <w:bottom w:val="outset" w:sz="6" w:space="0" w:color="auto"/>
              <w:right w:val="outset" w:sz="6" w:space="0" w:color="auto"/>
            </w:tcBorders>
            <w:hideMark/>
          </w:tcPr>
          <w:p w:rsidR="00D530C0" w:rsidRPr="00487661" w:rsidP="00927DB3" w14:paraId="7F6A77B9"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līdzdalības rezultāti</w:t>
            </w:r>
          </w:p>
        </w:tc>
        <w:tc>
          <w:tcPr>
            <w:tcW w:w="5642" w:type="dxa"/>
            <w:gridSpan w:val="3"/>
            <w:tcBorders>
              <w:top w:val="outset" w:sz="6" w:space="0" w:color="auto"/>
              <w:left w:val="outset" w:sz="6" w:space="0" w:color="auto"/>
              <w:bottom w:val="outset" w:sz="6" w:space="0" w:color="auto"/>
              <w:right w:val="outset" w:sz="6" w:space="0" w:color="auto"/>
            </w:tcBorders>
            <w:hideMark/>
          </w:tcPr>
          <w:p w:rsidR="00D530C0" w:rsidRPr="00923BC0" w:rsidP="00235416" w14:paraId="327FDFA8" w14:textId="219E0B2B">
            <w:pPr>
              <w:spacing w:after="0" w:line="240" w:lineRule="auto"/>
              <w:jc w:val="both"/>
              <w:rPr>
                <w:rFonts w:ascii="Times New Roman" w:eastAsia="Times New Roman" w:hAnsi="Times New Roman" w:cs="Times New Roman"/>
                <w:sz w:val="24"/>
                <w:szCs w:val="24"/>
              </w:rPr>
            </w:pPr>
            <w:r w:rsidRPr="00923BC0">
              <w:rPr>
                <w:rFonts w:ascii="Times New Roman" w:eastAsia="Times New Roman" w:hAnsi="Times New Roman" w:cs="Times New Roman"/>
                <w:iCs/>
                <w:sz w:val="24"/>
                <w:szCs w:val="24"/>
                <w:lang w:eastAsia="lv-LV"/>
              </w:rPr>
              <w:t xml:space="preserve"> </w:t>
            </w:r>
            <w:r w:rsidRPr="00923BC0" w:rsidR="00235416">
              <w:rPr>
                <w:rFonts w:ascii="Times New Roman" w:eastAsia="Times New Roman" w:hAnsi="Times New Roman" w:cs="Times New Roman"/>
                <w:sz w:val="24"/>
                <w:szCs w:val="24"/>
              </w:rPr>
              <w:t xml:space="preserve">2018.gada </w:t>
            </w:r>
            <w:r w:rsidRPr="009009AA" w:rsidR="00B079BD">
              <w:rPr>
                <w:rFonts w:ascii="Times New Roman" w:eastAsia="Times New Roman" w:hAnsi="Times New Roman" w:cs="Times New Roman"/>
                <w:sz w:val="24"/>
                <w:szCs w:val="24"/>
              </w:rPr>
              <w:t>5.aprī</w:t>
            </w:r>
            <w:r w:rsidRPr="009009AA" w:rsidR="00647E9C">
              <w:rPr>
                <w:rFonts w:ascii="Times New Roman" w:eastAsia="Times New Roman" w:hAnsi="Times New Roman" w:cs="Times New Roman"/>
                <w:sz w:val="24"/>
                <w:szCs w:val="24"/>
              </w:rPr>
              <w:t>lī notika</w:t>
            </w:r>
            <w:r w:rsidRPr="009009AA" w:rsidR="00235416">
              <w:rPr>
                <w:rFonts w:ascii="Times New Roman" w:eastAsia="Times New Roman" w:hAnsi="Times New Roman" w:cs="Times New Roman"/>
                <w:sz w:val="24"/>
                <w:szCs w:val="24"/>
              </w:rPr>
              <w:t xml:space="preserve"> Eiropas Savienības </w:t>
            </w:r>
            <w:r w:rsidRPr="00923BC0" w:rsidR="00235416">
              <w:rPr>
                <w:rFonts w:ascii="Times New Roman" w:eastAsia="Times New Roman" w:hAnsi="Times New Roman" w:cs="Times New Roman"/>
                <w:sz w:val="24"/>
                <w:szCs w:val="24"/>
              </w:rPr>
              <w:t>struktūrfondu un Kohēzijas fonda 2014.–2020.gada plānošanas perioda  pētniecības, tehnoloģiju attīstības un inovāciju prioritārā virziena a</w:t>
            </w:r>
            <w:r w:rsidRPr="00923BC0" w:rsidR="00B079BD">
              <w:rPr>
                <w:rFonts w:ascii="Times New Roman" w:eastAsia="Times New Roman" w:hAnsi="Times New Roman" w:cs="Times New Roman"/>
                <w:sz w:val="24"/>
                <w:szCs w:val="24"/>
              </w:rPr>
              <w:t>pakškomitejas sēd</w:t>
            </w:r>
            <w:r w:rsidRPr="00923BC0" w:rsidR="00647E9C">
              <w:rPr>
                <w:rFonts w:ascii="Times New Roman" w:eastAsia="Times New Roman" w:hAnsi="Times New Roman" w:cs="Times New Roman"/>
                <w:sz w:val="24"/>
                <w:szCs w:val="24"/>
              </w:rPr>
              <w:t>e,</w:t>
            </w:r>
            <w:r w:rsidRPr="00923BC0" w:rsidR="00235416">
              <w:rPr>
                <w:rFonts w:ascii="Times New Roman" w:eastAsia="Times New Roman" w:hAnsi="Times New Roman" w:cs="Times New Roman"/>
                <w:sz w:val="24"/>
                <w:szCs w:val="24"/>
              </w:rPr>
              <w:t xml:space="preserve"> kurā </w:t>
            </w:r>
            <w:r w:rsidRPr="00923BC0" w:rsidR="00B079BD">
              <w:rPr>
                <w:rFonts w:ascii="Times New Roman" w:eastAsia="Times New Roman" w:hAnsi="Times New Roman" w:cs="Times New Roman"/>
                <w:sz w:val="24"/>
                <w:szCs w:val="24"/>
              </w:rPr>
              <w:t xml:space="preserve">piedalījās arī sociālie partneri, </w:t>
            </w:r>
            <w:r w:rsidR="00611BC1">
              <w:rPr>
                <w:rFonts w:ascii="Times New Roman" w:eastAsia="Times New Roman" w:hAnsi="Times New Roman" w:cs="Times New Roman"/>
                <w:sz w:val="24"/>
                <w:szCs w:val="24"/>
              </w:rPr>
              <w:t xml:space="preserve">un kur </w:t>
            </w:r>
            <w:r w:rsidRPr="00923BC0" w:rsidR="00B079BD">
              <w:rPr>
                <w:rFonts w:ascii="Times New Roman" w:eastAsia="Times New Roman" w:hAnsi="Times New Roman" w:cs="Times New Roman"/>
                <w:sz w:val="24"/>
                <w:szCs w:val="24"/>
              </w:rPr>
              <w:t xml:space="preserve">tika </w:t>
            </w:r>
            <w:r w:rsidRPr="00923BC0" w:rsidR="00923BC0">
              <w:rPr>
                <w:rFonts w:ascii="Times New Roman" w:eastAsia="Times New Roman" w:hAnsi="Times New Roman" w:cs="Times New Roman"/>
                <w:sz w:val="24"/>
                <w:szCs w:val="24"/>
              </w:rPr>
              <w:t>izvērtēts</w:t>
            </w:r>
            <w:r w:rsidRPr="00923BC0" w:rsidR="00B079BD">
              <w:rPr>
                <w:rFonts w:ascii="Times New Roman" w:eastAsia="Times New Roman" w:hAnsi="Times New Roman" w:cs="Times New Roman"/>
                <w:sz w:val="24"/>
                <w:szCs w:val="24"/>
              </w:rPr>
              <w:t xml:space="preserve"> </w:t>
            </w:r>
            <w:r w:rsidRPr="00923BC0" w:rsidR="00923BC0">
              <w:rPr>
                <w:rFonts w:ascii="Times New Roman" w:hAnsi="Times New Roman" w:cs="Times New Roman"/>
                <w:sz w:val="24"/>
                <w:szCs w:val="24"/>
              </w:rPr>
              <w:t xml:space="preserve">pasākuma </w:t>
            </w:r>
            <w:r w:rsidRPr="00923BC0" w:rsidR="00923BC0">
              <w:rPr>
                <w:rFonts w:ascii="Times New Roman" w:eastAsia="Times New Roman" w:hAnsi="Times New Roman" w:cs="Times New Roman"/>
                <w:sz w:val="24"/>
                <w:szCs w:val="24"/>
              </w:rPr>
              <w:t xml:space="preserve">sākotnējais novērtējums un </w:t>
            </w:r>
            <w:r w:rsidRPr="00923BC0" w:rsidR="00647E9C">
              <w:rPr>
                <w:rFonts w:ascii="Times New Roman" w:eastAsia="Times New Roman" w:hAnsi="Times New Roman" w:cs="Times New Roman"/>
                <w:sz w:val="24"/>
                <w:szCs w:val="24"/>
              </w:rPr>
              <w:t>projektu iesniegumu vērtēšanas kritēriji</w:t>
            </w:r>
            <w:r w:rsidRPr="00923BC0" w:rsidR="00923BC0">
              <w:rPr>
                <w:rFonts w:ascii="Times New Roman" w:eastAsia="Times New Roman" w:hAnsi="Times New Roman" w:cs="Times New Roman"/>
                <w:sz w:val="24"/>
                <w:szCs w:val="24"/>
              </w:rPr>
              <w:t xml:space="preserve">, </w:t>
            </w:r>
            <w:r w:rsidRPr="00923BC0" w:rsidR="00923BC0">
              <w:rPr>
                <w:rFonts w:ascii="Times New Roman" w:hAnsi="Times New Roman" w:cs="Times New Roman"/>
                <w:sz w:val="24"/>
                <w:szCs w:val="24"/>
              </w:rPr>
              <w:t xml:space="preserve"> kas vēlāk tika iesniegti Eiropas Savienības struktūrfondu un Kohēzijas fonda 2014. – 2020. gada plānošanas perioda Uzraudzības komitejā.</w:t>
            </w:r>
          </w:p>
        </w:tc>
      </w:tr>
      <w:tr w14:paraId="70D473CB" w14:textId="77777777" w:rsidTr="00CE3DFD">
        <w:tblPrEx>
          <w:tblW w:w="5005" w:type="pct"/>
          <w:tblCellSpacing w:w="15" w:type="dxa"/>
          <w:tblLayout w:type="fixed"/>
          <w:tblCellMar>
            <w:top w:w="30" w:type="dxa"/>
            <w:left w:w="30" w:type="dxa"/>
            <w:bottom w:w="30" w:type="dxa"/>
            <w:right w:w="30" w:type="dxa"/>
          </w:tblCellMar>
          <w:tblLook w:val="04A0"/>
        </w:tblPrEx>
        <w:trPr>
          <w:tblCellSpacing w:w="15" w:type="dxa"/>
        </w:trPr>
        <w:tc>
          <w:tcPr>
            <w:tcW w:w="653" w:type="dxa"/>
            <w:tcBorders>
              <w:top w:val="outset" w:sz="6" w:space="0" w:color="auto"/>
              <w:left w:val="outset" w:sz="6" w:space="0" w:color="auto"/>
              <w:bottom w:val="outset" w:sz="6" w:space="0" w:color="auto"/>
              <w:right w:val="outset" w:sz="6" w:space="0" w:color="auto"/>
            </w:tcBorders>
            <w:hideMark/>
          </w:tcPr>
          <w:p w:rsidR="00D530C0" w:rsidRPr="00487661" w:rsidP="00927DB3" w14:paraId="08E92459"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216" w:type="dxa"/>
            <w:gridSpan w:val="2"/>
            <w:tcBorders>
              <w:top w:val="outset" w:sz="6" w:space="0" w:color="auto"/>
              <w:left w:val="outset" w:sz="6" w:space="0" w:color="auto"/>
              <w:bottom w:val="outset" w:sz="6" w:space="0" w:color="auto"/>
              <w:right w:val="outset" w:sz="6" w:space="0" w:color="auto"/>
            </w:tcBorders>
            <w:hideMark/>
          </w:tcPr>
          <w:p w:rsidR="00D530C0" w:rsidRPr="00487661" w:rsidP="00927DB3" w14:paraId="7324156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42" w:type="dxa"/>
            <w:gridSpan w:val="3"/>
            <w:tcBorders>
              <w:top w:val="outset" w:sz="6" w:space="0" w:color="auto"/>
              <w:left w:val="outset" w:sz="6" w:space="0" w:color="auto"/>
              <w:bottom w:val="outset" w:sz="6" w:space="0" w:color="auto"/>
              <w:right w:val="outset" w:sz="6" w:space="0" w:color="auto"/>
            </w:tcBorders>
            <w:hideMark/>
          </w:tcPr>
          <w:p w:rsidR="00D530C0" w:rsidRPr="00487661" w:rsidP="00927DB3" w14:paraId="4A566E5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14:paraId="216B31AD"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2742AC45"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285D884D"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095B352B"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43D792A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4022FF3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D530C0" w:rsidRPr="00B26D45" w:rsidP="00927DB3" w14:paraId="19A5D14D" w14:textId="77777777">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sz w:val="24"/>
              </w:rPr>
              <w:t xml:space="preserve">Ekonomikas ministrija un </w:t>
            </w:r>
            <w:r w:rsidRPr="00B26D45">
              <w:rPr>
                <w:rFonts w:ascii="Times New Roman" w:hAnsi="Times New Roman" w:cs="Times New Roman"/>
                <w:sz w:val="24"/>
              </w:rPr>
              <w:t>Centrālā finanšu un līgumu aģentūra kā sadarbības iestāde.</w:t>
            </w:r>
          </w:p>
        </w:tc>
      </w:tr>
      <w:tr w14:paraId="758E8959"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0B135CF6"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00E1EE89"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7688B4D7" w14:textId="77777777">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tc>
      </w:tr>
      <w:tr w14:paraId="714264D3"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783820A0"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1C489FB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292450F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14:paraId="22BAFC20" w14:textId="7CA5AF65">
      <w:pPr>
        <w:spacing w:after="0" w:line="240" w:lineRule="auto"/>
        <w:rPr>
          <w:rFonts w:ascii="Times New Roman" w:hAnsi="Times New Roman" w:cs="Times New Roman"/>
          <w:sz w:val="28"/>
          <w:szCs w:val="28"/>
        </w:rPr>
      </w:pPr>
    </w:p>
    <w:p w:rsidR="00D530C0" w:rsidRPr="00CF69CD" w:rsidP="00D530C0" w14:paraId="7A670D45" w14:textId="77777777">
      <w:pPr>
        <w:spacing w:after="0" w:line="240" w:lineRule="auto"/>
        <w:jc w:val="both"/>
        <w:rPr>
          <w:rFonts w:ascii="Times New Roman" w:hAnsi="Times New Roman" w:cs="Times New Roman"/>
          <w:sz w:val="24"/>
        </w:rPr>
      </w:pPr>
      <w:r w:rsidRPr="00CF69CD">
        <w:rPr>
          <w:rFonts w:ascii="Times New Roman" w:hAnsi="Times New Roman" w:cs="Times New Roman"/>
          <w:sz w:val="24"/>
        </w:rPr>
        <w:t>Ministru prezidenta biedrs,</w:t>
      </w:r>
    </w:p>
    <w:p w:rsidR="00D530C0" w:rsidRPr="00CF69CD" w:rsidP="00D530C0" w14:paraId="5E75125D" w14:textId="77777777">
      <w:pPr>
        <w:spacing w:after="0" w:line="240" w:lineRule="auto"/>
        <w:rPr>
          <w:rFonts w:ascii="Times New Roman" w:hAnsi="Times New Roman" w:cs="Times New Roman"/>
          <w:sz w:val="24"/>
        </w:rPr>
      </w:pPr>
      <w:r w:rsidRPr="00CF69CD">
        <w:rPr>
          <w:rFonts w:ascii="Times New Roman" w:hAnsi="Times New Roman" w:cs="Times New Roman"/>
          <w:sz w:val="24"/>
        </w:rPr>
        <w:t xml:space="preserve">ekonomikas ministrs </w:t>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A.Ašeradens</w:t>
      </w:r>
    </w:p>
    <w:p w:rsidR="007B4C7F" w:rsidRPr="007B4C7F" w:rsidP="007B4C7F" w14:paraId="64B6CD2D" w14:textId="53EA1B60">
      <w:pPr>
        <w:tabs>
          <w:tab w:val="left" w:pos="6237"/>
        </w:tabs>
        <w:spacing w:after="0" w:line="240" w:lineRule="auto"/>
        <w:rPr>
          <w:rFonts w:ascii="Times New Roman" w:hAnsi="Times New Roman" w:cs="Times New Roman"/>
          <w:sz w:val="48"/>
          <w:szCs w:val="48"/>
        </w:rPr>
      </w:pPr>
    </w:p>
    <w:p w:rsidR="00D530C0" w:rsidRPr="00335879" w:rsidP="00D530C0" w14:paraId="12AAA485" w14:textId="06A71F5F">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L.Svilpe</w:t>
      </w:r>
      <w:r w:rsidRPr="00335879" w:rsidR="00124784">
        <w:rPr>
          <w:rFonts w:ascii="Times New Roman" w:hAnsi="Times New Roman" w:cs="Times New Roman"/>
          <w:sz w:val="20"/>
          <w:szCs w:val="20"/>
        </w:rPr>
        <w:t>, 6701</w:t>
      </w:r>
      <w:r>
        <w:rPr>
          <w:rFonts w:ascii="Times New Roman" w:hAnsi="Times New Roman" w:cs="Times New Roman"/>
          <w:sz w:val="20"/>
          <w:szCs w:val="20"/>
        </w:rPr>
        <w:t>3059</w:t>
      </w:r>
    </w:p>
    <w:p w:rsidR="00896EF4" w:rsidRPr="003A49EA" w:rsidP="003A49EA" w14:paraId="4D67B981" w14:textId="228B159D">
      <w:pPr>
        <w:tabs>
          <w:tab w:val="left" w:pos="6237"/>
        </w:tabs>
        <w:spacing w:after="0" w:line="240" w:lineRule="auto"/>
        <w:rPr>
          <w:rFonts w:ascii="Times New Roman" w:hAnsi="Times New Roman" w:cs="Times New Roman"/>
          <w:sz w:val="20"/>
          <w:szCs w:val="20"/>
        </w:rPr>
      </w:pPr>
      <w:r>
        <w:fldChar w:fldCharType="begin"/>
      </w:r>
      <w:r>
        <w:instrText xml:space="preserve"> HYPERLINK "mailto:Ligita.Svilpe@em.gov.lv" </w:instrText>
      </w:r>
      <w:r>
        <w:fldChar w:fldCharType="separate"/>
      </w:r>
      <w:r w:rsidRPr="0003312B" w:rsidR="00CF7AEB">
        <w:rPr>
          <w:rStyle w:val="Hyperlink"/>
          <w:rFonts w:ascii="Times New Roman" w:hAnsi="Times New Roman" w:cs="Times New Roman"/>
          <w:sz w:val="20"/>
          <w:szCs w:val="20"/>
        </w:rPr>
        <w:t>Ligita.Svilpe@em.gov.lv</w:t>
      </w:r>
      <w:r>
        <w:fldChar w:fldCharType="end"/>
      </w:r>
      <w:r w:rsidRPr="00335879" w:rsidR="00124784">
        <w:rPr>
          <w:rFonts w:ascii="Times New Roman" w:hAnsi="Times New Roman" w:cs="Times New Roman"/>
          <w:sz w:val="20"/>
          <w:szCs w:val="20"/>
        </w:rPr>
        <w:t xml:space="preserve"> </w:t>
      </w:r>
    </w:p>
    <w:sectPr w:rsidSect="00927DB3">
      <w:headerReference w:type="default" r:id="rId5"/>
      <w:footerReference w:type="default" r:id="rId6"/>
      <w:headerReference w:type="first" r:id="rId7"/>
      <w:footerReference w:type="first" r:id="rId8"/>
      <w:pgSz w:w="11906" w:h="16838"/>
      <w:pgMar w:top="1418"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416" w:rsidRPr="0042521E" w:rsidP="0042521E" w14:paraId="4FF7CA45" w14:textId="1E96EE60">
    <w:pPr>
      <w:pStyle w:val="Footer"/>
    </w:pPr>
    <w:r>
      <w:rPr>
        <w:rFonts w:ascii="Times New Roman" w:hAnsi="Times New Roman" w:cs="Times New Roman"/>
        <w:bCs/>
        <w:noProof/>
        <w:sz w:val="20"/>
        <w:szCs w:val="20"/>
      </w:rPr>
      <w:t>EMAnot_</w:t>
    </w:r>
    <w:r w:rsidR="00D679D3">
      <w:rPr>
        <w:rFonts w:ascii="Times New Roman" w:hAnsi="Times New Roman" w:cs="Times New Roman"/>
        <w:bCs/>
        <w:noProof/>
        <w:sz w:val="20"/>
        <w:szCs w:val="20"/>
      </w:rPr>
      <w:t>15</w:t>
    </w:r>
    <w:r w:rsidR="009A1718">
      <w:rPr>
        <w:rFonts w:ascii="Times New Roman" w:hAnsi="Times New Roman" w:cs="Times New Roman"/>
        <w:bCs/>
        <w:noProof/>
        <w:sz w:val="20"/>
        <w:szCs w:val="20"/>
      </w:rPr>
      <w:t>08</w:t>
    </w:r>
    <w:r w:rsidRPr="0042521E">
      <w:rPr>
        <w:rFonts w:ascii="Times New Roman" w:hAnsi="Times New Roman" w:cs="Times New Roman"/>
        <w:bCs/>
        <w:noProof/>
        <w:sz w:val="20"/>
        <w:szCs w:val="20"/>
      </w:rPr>
      <w:t>18_telpas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416" w:rsidRPr="00DB7CC0" w:rsidP="00927DB3" w14:paraId="56FDB6D4" w14:textId="488F4B7B">
    <w:pPr>
      <w:pStyle w:val="Footer"/>
      <w:jc w:val="both"/>
      <w:rPr>
        <w:rFonts w:ascii="Times New Roman" w:hAnsi="Times New Roman" w:cs="Times New Roman"/>
      </w:rPr>
    </w:pPr>
    <w:r>
      <w:rPr>
        <w:rFonts w:ascii="Times New Roman" w:hAnsi="Times New Roman" w:cs="Times New Roman"/>
        <w:bCs/>
        <w:noProof/>
        <w:sz w:val="20"/>
        <w:szCs w:val="20"/>
      </w:rPr>
      <w:t>EMAnot_</w:t>
    </w:r>
    <w:r w:rsidR="00D679D3">
      <w:rPr>
        <w:rFonts w:ascii="Times New Roman" w:hAnsi="Times New Roman" w:cs="Times New Roman"/>
        <w:bCs/>
        <w:noProof/>
        <w:sz w:val="20"/>
        <w:szCs w:val="20"/>
      </w:rPr>
      <w:t>15</w:t>
    </w:r>
    <w:r w:rsidR="009A1718">
      <w:rPr>
        <w:rFonts w:ascii="Times New Roman" w:hAnsi="Times New Roman" w:cs="Times New Roman"/>
        <w:bCs/>
        <w:noProof/>
        <w:sz w:val="20"/>
        <w:szCs w:val="20"/>
      </w:rPr>
      <w:t>08</w:t>
    </w:r>
    <w:r>
      <w:rPr>
        <w:rFonts w:ascii="Times New Roman" w:hAnsi="Times New Roman" w:cs="Times New Roman"/>
        <w:bCs/>
        <w:noProof/>
        <w:sz w:val="20"/>
        <w:szCs w:val="20"/>
      </w:rPr>
      <w:t>18</w:t>
    </w:r>
    <w:r w:rsidRPr="00DB7CC0">
      <w:rPr>
        <w:rFonts w:ascii="Times New Roman" w:hAnsi="Times New Roman" w:cs="Times New Roman"/>
        <w:bCs/>
        <w:noProof/>
        <w:sz w:val="20"/>
        <w:szCs w:val="20"/>
      </w:rPr>
      <w:t>_</w:t>
    </w:r>
    <w:r>
      <w:rPr>
        <w:rFonts w:ascii="Times New Roman" w:hAnsi="Times New Roman" w:cs="Times New Roman"/>
        <w:bCs/>
        <w:noProof/>
        <w:sz w:val="20"/>
        <w:szCs w:val="20"/>
      </w:rPr>
      <w:t>telpas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1236505"/>
      <w:docPartObj>
        <w:docPartGallery w:val="Page Numbers (Top of Page)"/>
        <w:docPartUnique/>
      </w:docPartObj>
    </w:sdtPr>
    <w:sdtEndPr>
      <w:rPr>
        <w:rFonts w:ascii="Times New Roman" w:hAnsi="Times New Roman" w:cs="Times New Roman"/>
        <w:noProof/>
        <w:sz w:val="24"/>
        <w:szCs w:val="20"/>
      </w:rPr>
    </w:sdtEndPr>
    <w:sdtContent>
      <w:p w:rsidR="00235416" w:rsidRPr="00C25B49" w14:paraId="06738034"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4622676"/>
      <w:docPartObj>
        <w:docPartGallery w:val="Page Numbers (Top of Page)"/>
        <w:docPartUnique/>
      </w:docPartObj>
    </w:sdtPr>
    <w:sdtEndPr>
      <w:rPr>
        <w:noProof/>
      </w:rPr>
    </w:sdtEndPr>
    <w:sdtContent>
      <w:p w:rsidR="006326A0" w14:paraId="4ACDF2CF" w14:textId="5036702B">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6326A0" w14:paraId="0A5FBE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 w15:restartNumberingAfterBreak="1">
    <w:nsid w:val="480244C0"/>
    <w:multiLevelType w:val="hybridMultilevel"/>
    <w:tmpl w:val="D4789F28"/>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C0"/>
    <w:rsid w:val="00003B7C"/>
    <w:rsid w:val="00032437"/>
    <w:rsid w:val="0003312B"/>
    <w:rsid w:val="00043887"/>
    <w:rsid w:val="0005358A"/>
    <w:rsid w:val="00093310"/>
    <w:rsid w:val="0009642E"/>
    <w:rsid w:val="000A571C"/>
    <w:rsid w:val="000B08B1"/>
    <w:rsid w:val="000C5C7F"/>
    <w:rsid w:val="000D3F7B"/>
    <w:rsid w:val="000E1BC9"/>
    <w:rsid w:val="000F6606"/>
    <w:rsid w:val="001136B3"/>
    <w:rsid w:val="00124784"/>
    <w:rsid w:val="00124F4F"/>
    <w:rsid w:val="00141FFC"/>
    <w:rsid w:val="00143BF7"/>
    <w:rsid w:val="00154D2F"/>
    <w:rsid w:val="00155BBD"/>
    <w:rsid w:val="00166BA3"/>
    <w:rsid w:val="00171EEA"/>
    <w:rsid w:val="00172839"/>
    <w:rsid w:val="001754BB"/>
    <w:rsid w:val="00197AA9"/>
    <w:rsid w:val="001A2ECF"/>
    <w:rsid w:val="001A77FF"/>
    <w:rsid w:val="001E060B"/>
    <w:rsid w:val="001F21EF"/>
    <w:rsid w:val="001F3114"/>
    <w:rsid w:val="0021017E"/>
    <w:rsid w:val="002213DE"/>
    <w:rsid w:val="00222D77"/>
    <w:rsid w:val="00230E82"/>
    <w:rsid w:val="0023266A"/>
    <w:rsid w:val="00235416"/>
    <w:rsid w:val="00235FBA"/>
    <w:rsid w:val="00244E0D"/>
    <w:rsid w:val="00245F90"/>
    <w:rsid w:val="00270632"/>
    <w:rsid w:val="002724FD"/>
    <w:rsid w:val="002A4D17"/>
    <w:rsid w:val="002B3FAF"/>
    <w:rsid w:val="002B663A"/>
    <w:rsid w:val="002C512C"/>
    <w:rsid w:val="002C766B"/>
    <w:rsid w:val="002F0605"/>
    <w:rsid w:val="002F1E47"/>
    <w:rsid w:val="002F7D6F"/>
    <w:rsid w:val="00335879"/>
    <w:rsid w:val="00372B0A"/>
    <w:rsid w:val="003737FB"/>
    <w:rsid w:val="00377CA0"/>
    <w:rsid w:val="00384A93"/>
    <w:rsid w:val="003930AB"/>
    <w:rsid w:val="003A344C"/>
    <w:rsid w:val="003A49EA"/>
    <w:rsid w:val="003A4E0B"/>
    <w:rsid w:val="003B4F1C"/>
    <w:rsid w:val="003D00F1"/>
    <w:rsid w:val="003D5421"/>
    <w:rsid w:val="003D5576"/>
    <w:rsid w:val="003E2104"/>
    <w:rsid w:val="003E722C"/>
    <w:rsid w:val="003F23A7"/>
    <w:rsid w:val="00413F73"/>
    <w:rsid w:val="004156C7"/>
    <w:rsid w:val="0042521E"/>
    <w:rsid w:val="00426086"/>
    <w:rsid w:val="00441A24"/>
    <w:rsid w:val="00442F30"/>
    <w:rsid w:val="004441D8"/>
    <w:rsid w:val="00472421"/>
    <w:rsid w:val="00473514"/>
    <w:rsid w:val="00474477"/>
    <w:rsid w:val="00487661"/>
    <w:rsid w:val="004957AF"/>
    <w:rsid w:val="00497EB2"/>
    <w:rsid w:val="004A246F"/>
    <w:rsid w:val="004A327E"/>
    <w:rsid w:val="004A501B"/>
    <w:rsid w:val="004C225B"/>
    <w:rsid w:val="004C3F2B"/>
    <w:rsid w:val="004D42A3"/>
    <w:rsid w:val="004D4DBD"/>
    <w:rsid w:val="004D7858"/>
    <w:rsid w:val="004E38F6"/>
    <w:rsid w:val="004E424E"/>
    <w:rsid w:val="004E48A3"/>
    <w:rsid w:val="004F2DA0"/>
    <w:rsid w:val="004F36FB"/>
    <w:rsid w:val="0051254C"/>
    <w:rsid w:val="00517604"/>
    <w:rsid w:val="00531127"/>
    <w:rsid w:val="00536D4B"/>
    <w:rsid w:val="00544E24"/>
    <w:rsid w:val="0054628D"/>
    <w:rsid w:val="0055608A"/>
    <w:rsid w:val="005650B8"/>
    <w:rsid w:val="00573BFA"/>
    <w:rsid w:val="00573F5D"/>
    <w:rsid w:val="0058119A"/>
    <w:rsid w:val="005A036D"/>
    <w:rsid w:val="005B28E5"/>
    <w:rsid w:val="00611BC1"/>
    <w:rsid w:val="006169C9"/>
    <w:rsid w:val="00626757"/>
    <w:rsid w:val="00630D0B"/>
    <w:rsid w:val="006326A0"/>
    <w:rsid w:val="00636BF9"/>
    <w:rsid w:val="006441A0"/>
    <w:rsid w:val="00647E9C"/>
    <w:rsid w:val="00650845"/>
    <w:rsid w:val="00653DFA"/>
    <w:rsid w:val="00654AA6"/>
    <w:rsid w:val="0067028C"/>
    <w:rsid w:val="00693FC2"/>
    <w:rsid w:val="006B5AA9"/>
    <w:rsid w:val="006B748B"/>
    <w:rsid w:val="006C3F6D"/>
    <w:rsid w:val="006D700D"/>
    <w:rsid w:val="006F7FBE"/>
    <w:rsid w:val="00712CF7"/>
    <w:rsid w:val="00724334"/>
    <w:rsid w:val="0073765F"/>
    <w:rsid w:val="00742C2A"/>
    <w:rsid w:val="007535E5"/>
    <w:rsid w:val="00754006"/>
    <w:rsid w:val="00762BEB"/>
    <w:rsid w:val="0076463C"/>
    <w:rsid w:val="007A1704"/>
    <w:rsid w:val="007B3F93"/>
    <w:rsid w:val="007B4C7F"/>
    <w:rsid w:val="007B5E6A"/>
    <w:rsid w:val="007C492E"/>
    <w:rsid w:val="007C59AE"/>
    <w:rsid w:val="007D0A21"/>
    <w:rsid w:val="007D46C0"/>
    <w:rsid w:val="007E2844"/>
    <w:rsid w:val="007E5802"/>
    <w:rsid w:val="007E7502"/>
    <w:rsid w:val="007F40B0"/>
    <w:rsid w:val="007F52E6"/>
    <w:rsid w:val="00813A44"/>
    <w:rsid w:val="0082134E"/>
    <w:rsid w:val="008312CD"/>
    <w:rsid w:val="00832BCB"/>
    <w:rsid w:val="008439F0"/>
    <w:rsid w:val="00863379"/>
    <w:rsid w:val="0087010D"/>
    <w:rsid w:val="00877358"/>
    <w:rsid w:val="00882A7F"/>
    <w:rsid w:val="00896EF4"/>
    <w:rsid w:val="008A01E1"/>
    <w:rsid w:val="008A5900"/>
    <w:rsid w:val="008C2E0F"/>
    <w:rsid w:val="008D53CD"/>
    <w:rsid w:val="009009AA"/>
    <w:rsid w:val="00905301"/>
    <w:rsid w:val="009170FB"/>
    <w:rsid w:val="0091796A"/>
    <w:rsid w:val="00923BC0"/>
    <w:rsid w:val="00925BB7"/>
    <w:rsid w:val="00927DB3"/>
    <w:rsid w:val="00965655"/>
    <w:rsid w:val="009706B1"/>
    <w:rsid w:val="009717B9"/>
    <w:rsid w:val="00986912"/>
    <w:rsid w:val="0099314F"/>
    <w:rsid w:val="009A1718"/>
    <w:rsid w:val="009D1178"/>
    <w:rsid w:val="009D34CB"/>
    <w:rsid w:val="009E4F92"/>
    <w:rsid w:val="009E66A6"/>
    <w:rsid w:val="009E691F"/>
    <w:rsid w:val="00A02A25"/>
    <w:rsid w:val="00A0392A"/>
    <w:rsid w:val="00A34D1D"/>
    <w:rsid w:val="00A45324"/>
    <w:rsid w:val="00A509FA"/>
    <w:rsid w:val="00AC744E"/>
    <w:rsid w:val="00AD477F"/>
    <w:rsid w:val="00AE58AA"/>
    <w:rsid w:val="00B079BD"/>
    <w:rsid w:val="00B26D45"/>
    <w:rsid w:val="00B30FD5"/>
    <w:rsid w:val="00B518A5"/>
    <w:rsid w:val="00B54F9F"/>
    <w:rsid w:val="00B707AC"/>
    <w:rsid w:val="00B81201"/>
    <w:rsid w:val="00B90256"/>
    <w:rsid w:val="00B9230B"/>
    <w:rsid w:val="00B9413B"/>
    <w:rsid w:val="00BA433D"/>
    <w:rsid w:val="00BA642F"/>
    <w:rsid w:val="00BD2E21"/>
    <w:rsid w:val="00BD3798"/>
    <w:rsid w:val="00BD51FD"/>
    <w:rsid w:val="00BF5A84"/>
    <w:rsid w:val="00C027D7"/>
    <w:rsid w:val="00C04E26"/>
    <w:rsid w:val="00C25B49"/>
    <w:rsid w:val="00C3788F"/>
    <w:rsid w:val="00C47D94"/>
    <w:rsid w:val="00C53ACA"/>
    <w:rsid w:val="00C54835"/>
    <w:rsid w:val="00C766E1"/>
    <w:rsid w:val="00C96098"/>
    <w:rsid w:val="00CA039E"/>
    <w:rsid w:val="00CA6F4C"/>
    <w:rsid w:val="00CB37C4"/>
    <w:rsid w:val="00CE3DFD"/>
    <w:rsid w:val="00CF69CD"/>
    <w:rsid w:val="00CF7AEB"/>
    <w:rsid w:val="00D06A9B"/>
    <w:rsid w:val="00D14A45"/>
    <w:rsid w:val="00D24EFC"/>
    <w:rsid w:val="00D448BF"/>
    <w:rsid w:val="00D513A6"/>
    <w:rsid w:val="00D5202A"/>
    <w:rsid w:val="00D530C0"/>
    <w:rsid w:val="00D62E4B"/>
    <w:rsid w:val="00D679D3"/>
    <w:rsid w:val="00D7594E"/>
    <w:rsid w:val="00D831F3"/>
    <w:rsid w:val="00D8533B"/>
    <w:rsid w:val="00D93A7E"/>
    <w:rsid w:val="00DA652F"/>
    <w:rsid w:val="00DB2B1F"/>
    <w:rsid w:val="00DB7CC0"/>
    <w:rsid w:val="00DE4CC2"/>
    <w:rsid w:val="00E400BD"/>
    <w:rsid w:val="00E81669"/>
    <w:rsid w:val="00E830C3"/>
    <w:rsid w:val="00E9387D"/>
    <w:rsid w:val="00E93D97"/>
    <w:rsid w:val="00EA150E"/>
    <w:rsid w:val="00EA52C9"/>
    <w:rsid w:val="00EA72D5"/>
    <w:rsid w:val="00EA7583"/>
    <w:rsid w:val="00EC2E0B"/>
    <w:rsid w:val="00ED2EC0"/>
    <w:rsid w:val="00ED7FE9"/>
    <w:rsid w:val="00F116E5"/>
    <w:rsid w:val="00F144AF"/>
    <w:rsid w:val="00F23D3B"/>
    <w:rsid w:val="00F33628"/>
    <w:rsid w:val="00F41122"/>
    <w:rsid w:val="00F41C60"/>
    <w:rsid w:val="00F46A57"/>
    <w:rsid w:val="00F62FAA"/>
    <w:rsid w:val="00F64674"/>
    <w:rsid w:val="00F71EC2"/>
    <w:rsid w:val="00F75240"/>
    <w:rsid w:val="00F75249"/>
    <w:rsid w:val="00F753ED"/>
    <w:rsid w:val="00F86BBD"/>
    <w:rsid w:val="00FA2964"/>
    <w:rsid w:val="00FB0C8F"/>
    <w:rsid w:val="00FB634C"/>
    <w:rsid w:val="00FD7AF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28C8AE15-0862-449A-85F4-253F2D2E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0C0"/>
    <w:rPr>
      <w:color w:val="0000FF"/>
      <w:u w:val="single"/>
    </w:rPr>
  </w:style>
  <w:style w:type="paragraph" w:styleId="Header">
    <w:name w:val="header"/>
    <w:basedOn w:val="Normal"/>
    <w:link w:val="HeaderChar"/>
    <w:uiPriority w:val="99"/>
    <w:unhideWhenUsed/>
    <w:rsid w:val="00D530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30C0"/>
  </w:style>
  <w:style w:type="paragraph" w:styleId="Footer">
    <w:name w:val="footer"/>
    <w:basedOn w:val="Normal"/>
    <w:link w:val="FooterChar"/>
    <w:uiPriority w:val="99"/>
    <w:unhideWhenUsed/>
    <w:rsid w:val="00D530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30C0"/>
  </w:style>
  <w:style w:type="table" w:styleId="TableGrid">
    <w:name w:val="Table Grid"/>
    <w:basedOn w:val="TableNormal"/>
    <w:uiPriority w:val="39"/>
    <w:rsid w:val="00D5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DB3"/>
    <w:pPr>
      <w:ind w:left="720"/>
      <w:contextualSpacing/>
    </w:pPr>
  </w:style>
  <w:style w:type="character" w:customStyle="1" w:styleId="UnresolvedMention1">
    <w:name w:val="Unresolved Mention1"/>
    <w:basedOn w:val="DefaultParagraphFont"/>
    <w:uiPriority w:val="99"/>
    <w:semiHidden/>
    <w:unhideWhenUsed/>
    <w:rsid w:val="00197AA9"/>
    <w:rPr>
      <w:color w:val="808080"/>
      <w:shd w:val="clear" w:color="auto" w:fill="E6E6E6"/>
    </w:rPr>
  </w:style>
  <w:style w:type="paragraph" w:styleId="BalloonText">
    <w:name w:val="Balloon Text"/>
    <w:basedOn w:val="Normal"/>
    <w:link w:val="BalloonTextChar"/>
    <w:uiPriority w:val="99"/>
    <w:semiHidden/>
    <w:unhideWhenUsed/>
    <w:rsid w:val="004E4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8A3"/>
    <w:rPr>
      <w:rFonts w:ascii="Segoe UI" w:hAnsi="Segoe UI" w:cs="Segoe UI"/>
      <w:sz w:val="18"/>
      <w:szCs w:val="18"/>
    </w:rPr>
  </w:style>
  <w:style w:type="paragraph" w:styleId="FootnoteText">
    <w:name w:val="footnote text"/>
    <w:basedOn w:val="Normal"/>
    <w:link w:val="FootnoteTextChar"/>
    <w:uiPriority w:val="99"/>
    <w:semiHidden/>
    <w:unhideWhenUsed/>
    <w:rsid w:val="00175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4BB"/>
    <w:rPr>
      <w:sz w:val="20"/>
      <w:szCs w:val="20"/>
    </w:rPr>
  </w:style>
  <w:style w:type="character" w:styleId="FootnoteReference">
    <w:name w:val="footnote reference"/>
    <w:basedOn w:val="DefaultParagraphFont"/>
    <w:uiPriority w:val="99"/>
    <w:semiHidden/>
    <w:unhideWhenUsed/>
    <w:rsid w:val="001754BB"/>
    <w:rPr>
      <w:vertAlign w:val="superscript"/>
    </w:rPr>
  </w:style>
  <w:style w:type="character" w:customStyle="1" w:styleId="UnresolvedMention">
    <w:name w:val="Unresolved Mention"/>
    <w:basedOn w:val="DefaultParagraphFont"/>
    <w:uiPriority w:val="99"/>
    <w:rsid w:val="007F40B0"/>
    <w:rPr>
      <w:color w:val="808080"/>
      <w:shd w:val="clear" w:color="auto" w:fill="E6E6E6"/>
    </w:rPr>
  </w:style>
  <w:style w:type="character" w:styleId="CommentReference">
    <w:name w:val="annotation reference"/>
    <w:basedOn w:val="DefaultParagraphFont"/>
    <w:uiPriority w:val="99"/>
    <w:semiHidden/>
    <w:unhideWhenUsed/>
    <w:rsid w:val="00ED7FE9"/>
    <w:rPr>
      <w:sz w:val="16"/>
      <w:szCs w:val="16"/>
    </w:rPr>
  </w:style>
  <w:style w:type="paragraph" w:styleId="CommentText">
    <w:name w:val="annotation text"/>
    <w:basedOn w:val="Normal"/>
    <w:link w:val="CommentTextChar"/>
    <w:uiPriority w:val="99"/>
    <w:semiHidden/>
    <w:unhideWhenUsed/>
    <w:rsid w:val="00ED7FE9"/>
    <w:pPr>
      <w:spacing w:line="240" w:lineRule="auto"/>
    </w:pPr>
    <w:rPr>
      <w:sz w:val="20"/>
      <w:szCs w:val="20"/>
    </w:rPr>
  </w:style>
  <w:style w:type="character" w:customStyle="1" w:styleId="CommentTextChar">
    <w:name w:val="Comment Text Char"/>
    <w:basedOn w:val="DefaultParagraphFont"/>
    <w:link w:val="CommentText"/>
    <w:uiPriority w:val="99"/>
    <w:semiHidden/>
    <w:rsid w:val="00ED7FE9"/>
    <w:rPr>
      <w:sz w:val="20"/>
      <w:szCs w:val="20"/>
    </w:rPr>
  </w:style>
  <w:style w:type="paragraph" w:styleId="CommentSubject">
    <w:name w:val="annotation subject"/>
    <w:basedOn w:val="CommentText"/>
    <w:next w:val="CommentText"/>
    <w:link w:val="CommentSubjectChar"/>
    <w:uiPriority w:val="99"/>
    <w:semiHidden/>
    <w:unhideWhenUsed/>
    <w:rsid w:val="00ED7FE9"/>
    <w:rPr>
      <w:b/>
      <w:bCs/>
    </w:rPr>
  </w:style>
  <w:style w:type="character" w:customStyle="1" w:styleId="CommentSubjectChar">
    <w:name w:val="Comment Subject Char"/>
    <w:basedOn w:val="CommentTextChar"/>
    <w:link w:val="CommentSubject"/>
    <w:uiPriority w:val="99"/>
    <w:semiHidden/>
    <w:rsid w:val="00ED7FE9"/>
    <w:rPr>
      <w:b/>
      <w:bCs/>
      <w:sz w:val="20"/>
      <w:szCs w:val="20"/>
    </w:rPr>
  </w:style>
  <w:style w:type="paragraph" w:customStyle="1" w:styleId="tv213">
    <w:name w:val="tv213"/>
    <w:basedOn w:val="Normal"/>
    <w:rsid w:val="000D3F7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8581-7279-40AC-8E61-59FDC9CA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13</Pages>
  <Words>18452</Words>
  <Characters>10518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Eberharde</dc:creator>
  <cp:lastModifiedBy>Ligita Svilpe</cp:lastModifiedBy>
  <cp:revision>51</cp:revision>
  <cp:lastPrinted>2018-08-09T10:15:00Z</cp:lastPrinted>
  <dcterms:created xsi:type="dcterms:W3CDTF">2018-08-08T08:28:00Z</dcterms:created>
  <dcterms:modified xsi:type="dcterms:W3CDTF">2018-08-15T10:20:00Z</dcterms:modified>
</cp:coreProperties>
</file>