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487661" w:rsidP="00894C55" w14:paraId="119E80EE" w14:textId="6CB9A0F9">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“Grozījumi Ministru kabineta 2016. gada 25.oktobra noteikumos Nr. 692 “Darbības programmas “Izaugsme un nodarbinātība” 1.2.1. specifiskā atbalsta mērķa “Palielināt privātā sektora investīcijas P&amp;A” 1.2.1.2. pasākuma “Atbalsts tehnoloģiju </w:t>
      </w:r>
      <w:r w:rsidRPr="00487661">
        <w:rPr>
          <w:rFonts w:ascii="Times New Roman" w:hAnsi="Times New Roman" w:cs="Times New Roman"/>
          <w:b/>
          <w:sz w:val="28"/>
          <w:szCs w:val="28"/>
        </w:rPr>
        <w:t>pārneses</w:t>
      </w:r>
      <w:r w:rsidRPr="00487661">
        <w:rPr>
          <w:rFonts w:ascii="Times New Roman" w:hAnsi="Times New Roman" w:cs="Times New Roman"/>
          <w:b/>
          <w:sz w:val="28"/>
          <w:szCs w:val="28"/>
        </w:rPr>
        <w:t xml:space="preserve"> sistēmas pilnveidošanai” īstenošanas noteikumi”” </w:t>
      </w:r>
      <w:r w:rsidRPr="00487661">
        <w:rPr>
          <w:rFonts w:ascii="Times New Roman" w:eastAsia="Times New Roman" w:hAnsi="Times New Roman" w:cs="Times New Roman"/>
          <w:b/>
          <w:bCs/>
          <w:sz w:val="28"/>
          <w:szCs w:val="28"/>
          <w:lang w:eastAsia="lv-LV"/>
        </w:rPr>
        <w:t xml:space="preserve"> </w:t>
      </w:r>
      <w:r w:rsidRPr="00487661">
        <w:rPr>
          <w:rFonts w:ascii="Times New Roman" w:eastAsia="Times New Roman" w:hAnsi="Times New Roman" w:cs="Times New Roman"/>
          <w:b/>
          <w:bCs/>
          <w:sz w:val="28"/>
          <w:szCs w:val="28"/>
          <w:lang w:eastAsia="lv-LV"/>
        </w:rPr>
        <w:t>projekta</w:t>
      </w:r>
      <w:r w:rsidRPr="00487661">
        <w:rPr>
          <w:rFonts w:ascii="Times New Roman" w:eastAsia="Times New Roman" w:hAnsi="Times New Roman" w:cs="Times New Roman"/>
          <w:b/>
          <w:bCs/>
          <w:sz w:val="28"/>
          <w:szCs w:val="28"/>
          <w:lang w:eastAsia="lv-LV"/>
        </w:rPr>
        <w:t xml:space="preserve"> </w:t>
      </w:r>
      <w:r w:rsidRPr="00487661">
        <w:rPr>
          <w:rFonts w:ascii="Times New Roman" w:eastAsia="Times New Roman" w:hAnsi="Times New Roman" w:cs="Times New Roman"/>
          <w:b/>
          <w:bCs/>
          <w:sz w:val="28"/>
          <w:szCs w:val="28"/>
          <w:lang w:eastAsia="lv-LV"/>
        </w:rPr>
        <w:t>sākotnējās ietekmes novērtējuma ziņojums (anotācija)</w:t>
      </w:r>
    </w:p>
    <w:p w:rsidR="00E5323B" w:rsidRPr="00487661" w:rsidP="00894C55" w14:paraId="08C4D3E6"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5764"/>
      </w:tblGrid>
      <w:tr w14:paraId="1D7590F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0201E331"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14:paraId="75A51F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87661" w:rsidP="00E5323B" w14:paraId="4247161F" w14:textId="77777777">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P="0085183E" w14:paraId="016FCFDB" w14:textId="789833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85183E">
              <w:rPr>
                <w:rFonts w:ascii="Times New Roman" w:eastAsia="Times New Roman" w:hAnsi="Times New Roman" w:cs="Times New Roman"/>
                <w:iCs/>
                <w:sz w:val="24"/>
                <w:szCs w:val="24"/>
                <w:lang w:eastAsia="lv-LV"/>
              </w:rPr>
              <w:t xml:space="preserve">ekmēt </w:t>
            </w:r>
            <w:r w:rsidRPr="00487661" w:rsidR="00934773">
              <w:rPr>
                <w:rFonts w:ascii="Times New Roman" w:eastAsia="Times New Roman" w:hAnsi="Times New Roman" w:cs="Times New Roman"/>
                <w:iCs/>
                <w:sz w:val="24"/>
                <w:szCs w:val="24"/>
                <w:lang w:eastAsia="lv-LV"/>
              </w:rPr>
              <w:t xml:space="preserve"> 1.2.1.2.pasākuma</w:t>
            </w:r>
            <w:r w:rsidR="00934773">
              <w:rPr>
                <w:rFonts w:ascii="Times New Roman" w:eastAsia="Times New Roman" w:hAnsi="Times New Roman" w:cs="Times New Roman"/>
                <w:iCs/>
                <w:sz w:val="24"/>
                <w:szCs w:val="24"/>
                <w:lang w:eastAsia="lv-LV"/>
              </w:rPr>
              <w:t xml:space="preserve"> </w:t>
            </w:r>
            <w:r w:rsidRPr="00487661" w:rsidR="00934773">
              <w:rPr>
                <w:rFonts w:ascii="Times New Roman" w:eastAsia="Times New Roman" w:hAnsi="Times New Roman" w:cs="Times New Roman"/>
                <w:iCs/>
                <w:sz w:val="24"/>
                <w:szCs w:val="24"/>
                <w:lang w:eastAsia="lv-LV"/>
              </w:rPr>
              <w:t xml:space="preserve">“Atbalsts tehnoloģiju </w:t>
            </w:r>
            <w:r w:rsidRPr="00487661" w:rsidR="00934773">
              <w:rPr>
                <w:rFonts w:ascii="Times New Roman" w:eastAsia="Times New Roman" w:hAnsi="Times New Roman" w:cs="Times New Roman"/>
                <w:iCs/>
                <w:sz w:val="24"/>
                <w:szCs w:val="24"/>
                <w:lang w:eastAsia="lv-LV"/>
              </w:rPr>
              <w:t>pārneses</w:t>
            </w:r>
            <w:r w:rsidRPr="00487661" w:rsidR="00934773">
              <w:rPr>
                <w:rFonts w:ascii="Times New Roman" w:eastAsia="Times New Roman" w:hAnsi="Times New Roman" w:cs="Times New Roman"/>
                <w:iCs/>
                <w:sz w:val="24"/>
                <w:szCs w:val="24"/>
                <w:lang w:eastAsia="lv-LV"/>
              </w:rPr>
              <w:t xml:space="preserve"> sistēmas pilnveidošanai”</w:t>
            </w:r>
            <w:r w:rsidR="009A5FA9">
              <w:rPr>
                <w:rFonts w:ascii="Times New Roman" w:eastAsia="Times New Roman" w:hAnsi="Times New Roman" w:cs="Times New Roman"/>
                <w:iCs/>
                <w:sz w:val="24"/>
                <w:szCs w:val="24"/>
                <w:lang w:eastAsia="lv-LV"/>
              </w:rPr>
              <w:t xml:space="preserve"> īstenošanas efektivitāti, ieviešot jaunus atbalsta pasākumus un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 xml:space="preserve"> atbalsta pas</w:t>
            </w:r>
            <w:r w:rsidR="00DF760E">
              <w:rPr>
                <w:rFonts w:ascii="Times New Roman" w:eastAsia="Times New Roman" w:hAnsi="Times New Roman" w:cs="Times New Roman"/>
                <w:iCs/>
                <w:sz w:val="24"/>
                <w:szCs w:val="24"/>
                <w:lang w:eastAsia="lv-LV"/>
              </w:rPr>
              <w:t>ākumu</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w:t>
            </w:r>
          </w:p>
          <w:p w:rsidR="00934773" w:rsidRPr="00487661" w:rsidP="00526F49" w14:paraId="3C286B32" w14:textId="4A2636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Plānotais p</w:t>
            </w:r>
            <w:r w:rsidR="00355A8C">
              <w:rPr>
                <w:rFonts w:ascii="Times New Roman" w:eastAsia="Times New Roman" w:hAnsi="Times New Roman" w:cs="Times New Roman"/>
                <w:iCs/>
                <w:sz w:val="24"/>
                <w:szCs w:val="24"/>
                <w:lang w:eastAsia="lv-LV"/>
              </w:rPr>
              <w:t>rojekta spēkā stāšanās laiks ir 2018.gada aprīlis.</w:t>
            </w:r>
          </w:p>
        </w:tc>
      </w:tr>
    </w:tbl>
    <w:p w:rsidR="00E5323B" w:rsidRPr="00487661" w:rsidP="00E5323B" w14:paraId="5AA41C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77D4957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4E31CCB"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14:paraId="5171C7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31773B3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6279B5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787DD2" w14:paraId="787F9486"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6. un 13. punkts un </w:t>
            </w:r>
            <w:r w:rsidRPr="00487661">
              <w:rPr>
                <w:rFonts w:ascii="Times New Roman" w:hAnsi="Times New Roman" w:cs="Times New Roman"/>
                <w:sz w:val="24"/>
                <w:szCs w:val="24"/>
                <w:shd w:val="clear" w:color="auto" w:fill="FFFFFF"/>
              </w:rPr>
              <w:t>Jaunuzņēmumu</w:t>
            </w:r>
            <w:r w:rsidRPr="00487661">
              <w:rPr>
                <w:rFonts w:ascii="Times New Roman" w:hAnsi="Times New Roman" w:cs="Times New Roman"/>
                <w:sz w:val="24"/>
                <w:szCs w:val="24"/>
                <w:shd w:val="clear" w:color="auto" w:fill="FFFFFF"/>
              </w:rPr>
              <w:t xml:space="preserve"> darbības atbalsta likuma 7.panta trešā daļa</w:t>
            </w:r>
          </w:p>
        </w:tc>
      </w:tr>
      <w:tr w14:paraId="7F8A6CB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150AC55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5941411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87661" w:rsidRPr="00487661" w:rsidP="00487661" w14:paraId="376C03AD"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2016.gada 25.oktobrī Ministru kabinetā tika apstiprināti noteikumi Nr.692 “Darbības programmas “Izaugsme un nodarbinātība” 1.2.1. specifiskā atbalsta mērķa “Palielināt privātā sektora investīcijas P&amp;A” 1.2.1.2. pasākuma “Atbalsts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sistēmas pilnveidošanai” īstenošanas noteikumi”” (turpmāk – MK noteikumi Nr.692).</w:t>
            </w:r>
          </w:p>
          <w:p w:rsidR="00487661" w:rsidRPr="00487661" w:rsidP="00487661" w14:paraId="45D5CD47"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57BBEAF" w14:textId="16E0EAF0">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Lai uzlabotu 1.2.1.2.pasākuma</w:t>
            </w:r>
            <w:r w:rsidR="003F0D5B">
              <w:rPr>
                <w:rFonts w:ascii="Times New Roman" w:eastAsia="Times New Roman" w:hAnsi="Times New Roman" w:cs="Times New Roman"/>
                <w:iCs/>
                <w:sz w:val="24"/>
                <w:szCs w:val="24"/>
                <w:lang w:eastAsia="lv-LV"/>
              </w:rPr>
              <w:t xml:space="preserve"> </w:t>
            </w:r>
            <w:r w:rsidRPr="00487661" w:rsidR="003F0D5B">
              <w:rPr>
                <w:rFonts w:ascii="Times New Roman" w:eastAsia="Times New Roman" w:hAnsi="Times New Roman" w:cs="Times New Roman"/>
                <w:iCs/>
                <w:sz w:val="24"/>
                <w:szCs w:val="24"/>
                <w:lang w:eastAsia="lv-LV"/>
              </w:rPr>
              <w:t xml:space="preserve">“Atbalsts tehnoloģiju </w:t>
            </w:r>
            <w:r w:rsidRPr="00487661" w:rsidR="003F0D5B">
              <w:rPr>
                <w:rFonts w:ascii="Times New Roman" w:eastAsia="Times New Roman" w:hAnsi="Times New Roman" w:cs="Times New Roman"/>
                <w:iCs/>
                <w:sz w:val="24"/>
                <w:szCs w:val="24"/>
                <w:lang w:eastAsia="lv-LV"/>
              </w:rPr>
              <w:t>pārneses</w:t>
            </w:r>
            <w:r w:rsidRPr="00487661" w:rsidR="003F0D5B">
              <w:rPr>
                <w:rFonts w:ascii="Times New Roman" w:eastAsia="Times New Roman" w:hAnsi="Times New Roman" w:cs="Times New Roman"/>
                <w:iCs/>
                <w:sz w:val="24"/>
                <w:szCs w:val="24"/>
                <w:lang w:eastAsia="lv-LV"/>
              </w:rPr>
              <w:t xml:space="preserve"> sistēmas pilnveidošanai”</w:t>
            </w:r>
            <w:r w:rsidR="00831373">
              <w:rPr>
                <w:rFonts w:ascii="Times New Roman" w:eastAsia="Times New Roman" w:hAnsi="Times New Roman" w:cs="Times New Roman"/>
                <w:iCs/>
                <w:sz w:val="24"/>
                <w:szCs w:val="24"/>
                <w:lang w:eastAsia="lv-LV"/>
              </w:rPr>
              <w:t xml:space="preserve"> (turpmāk – 1.2.1.2.pasākums)</w:t>
            </w:r>
            <w:r w:rsidRPr="00487661">
              <w:rPr>
                <w:rFonts w:ascii="Times New Roman" w:eastAsia="Times New Roman" w:hAnsi="Times New Roman" w:cs="Times New Roman"/>
                <w:iCs/>
                <w:sz w:val="24"/>
                <w:szCs w:val="24"/>
                <w:lang w:eastAsia="lv-LV"/>
              </w:rPr>
              <w:t xml:space="preserve"> īstenošanas efektivitāti, nepieciešami šādi grozījumi MK noteikumos Nr.692:</w:t>
            </w:r>
          </w:p>
          <w:p w:rsidR="00487661" w:rsidP="00487661" w14:paraId="574F25DA" w14:textId="6C27E654">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tehniski precizējumi terminoloģijas lietojumā atbilstoši aktuālākajai </w:t>
            </w: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rokasgrāmatai;</w:t>
            </w:r>
          </w:p>
          <w:p w:rsidR="00DC22D5" w:rsidRPr="00487661" w:rsidP="00487661" w14:paraId="6FCC8AEC" w14:textId="35F6CF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B62BF">
              <w:rPr>
                <w:rFonts w:ascii="Times New Roman" w:eastAsia="Times New Roman" w:hAnsi="Times New Roman" w:cs="Times New Roman"/>
                <w:iCs/>
                <w:sz w:val="24"/>
                <w:szCs w:val="24"/>
                <w:lang w:eastAsia="lv-LV"/>
              </w:rPr>
              <w:t>precizē</w:t>
            </w:r>
            <w:r w:rsidR="000C3C8B">
              <w:rPr>
                <w:rFonts w:ascii="Times New Roman" w:eastAsia="Times New Roman" w:hAnsi="Times New Roman" w:cs="Times New Roman"/>
                <w:iCs/>
                <w:sz w:val="24"/>
                <w:szCs w:val="24"/>
                <w:lang w:eastAsia="lv-LV"/>
              </w:rPr>
              <w:t>jumi</w:t>
            </w:r>
            <w:r w:rsidR="00FB62BF">
              <w:rPr>
                <w:rFonts w:ascii="Times New Roman" w:eastAsia="Times New Roman" w:hAnsi="Times New Roman" w:cs="Times New Roman"/>
                <w:iCs/>
                <w:sz w:val="24"/>
                <w:szCs w:val="24"/>
                <w:lang w:eastAsia="lv-LV"/>
              </w:rPr>
              <w:t xml:space="preserve"> attiecināmo izmaksu pozīcijas;</w:t>
            </w:r>
          </w:p>
          <w:p w:rsidR="00487661" w:rsidRPr="00487661" w:rsidP="00487661" w14:paraId="126BF3B7"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papildu nosacījumi pētniecības rezultātu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un patentēšanas fonda efektīvākai darbības nodrošināšanai;</w:t>
            </w:r>
          </w:p>
          <w:p w:rsidR="00487661" w:rsidRPr="00487661" w:rsidP="00487661" w14:paraId="52716CF3" w14:textId="5C94DFA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 xml:space="preserve">precizēti nosacījumi inovāciju </w:t>
            </w:r>
            <w:r w:rsidRPr="00487661">
              <w:rPr>
                <w:rFonts w:ascii="Times New Roman" w:eastAsia="Times New Roman" w:hAnsi="Times New Roman" w:cs="Times New Roman"/>
                <w:iCs/>
                <w:sz w:val="24"/>
                <w:szCs w:val="24"/>
                <w:lang w:eastAsia="lv-LV"/>
              </w:rPr>
              <w:t>vaučeru</w:t>
            </w:r>
            <w:r w:rsidRPr="00487661">
              <w:rPr>
                <w:rFonts w:ascii="Times New Roman" w:eastAsia="Times New Roman" w:hAnsi="Times New Roman" w:cs="Times New Roman"/>
                <w:iCs/>
                <w:sz w:val="24"/>
                <w:szCs w:val="24"/>
                <w:lang w:eastAsia="lv-LV"/>
              </w:rPr>
              <w:t xml:space="preserve"> atbalsta piedāvājum</w:t>
            </w:r>
            <w:r w:rsidR="00E93E87">
              <w:rPr>
                <w:rFonts w:ascii="Times New Roman" w:eastAsia="Times New Roman" w:hAnsi="Times New Roman" w:cs="Times New Roman"/>
                <w:iCs/>
                <w:sz w:val="24"/>
                <w:szCs w:val="24"/>
                <w:lang w:eastAsia="lv-LV"/>
              </w:rPr>
              <w:t>a pilnveidošanā mikro, mazajiem,</w:t>
            </w:r>
            <w:r w:rsidRPr="00487661">
              <w:rPr>
                <w:rFonts w:ascii="Times New Roman" w:eastAsia="Times New Roman" w:hAnsi="Times New Roman" w:cs="Times New Roman"/>
                <w:iCs/>
                <w:sz w:val="24"/>
                <w:szCs w:val="24"/>
                <w:lang w:eastAsia="lv-LV"/>
              </w:rPr>
              <w:t xml:space="preserve"> vidējiem</w:t>
            </w:r>
            <w:r w:rsidR="00E93E87">
              <w:rPr>
                <w:rFonts w:ascii="Times New Roman" w:eastAsia="Times New Roman" w:hAnsi="Times New Roman" w:cs="Times New Roman"/>
                <w:iCs/>
                <w:sz w:val="24"/>
                <w:szCs w:val="24"/>
                <w:lang w:eastAsia="lv-LV"/>
              </w:rPr>
              <w:t xml:space="preserve"> un lielajiem</w:t>
            </w:r>
            <w:r w:rsidRPr="00487661">
              <w:rPr>
                <w:rFonts w:ascii="Times New Roman" w:eastAsia="Times New Roman" w:hAnsi="Times New Roman" w:cs="Times New Roman"/>
                <w:iCs/>
                <w:sz w:val="24"/>
                <w:szCs w:val="24"/>
                <w:lang w:eastAsia="lv-LV"/>
              </w:rPr>
              <w:t xml:space="preserve"> komersantiem;</w:t>
            </w:r>
          </w:p>
          <w:p w:rsidR="00487661" w:rsidRPr="00487661" w:rsidP="00487661" w14:paraId="646D8C54" w14:textId="6CD053A0">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w:t>
            </w:r>
            <w:r w:rsidRPr="00487661">
              <w:rPr>
                <w:rFonts w:ascii="Times New Roman" w:eastAsia="Times New Roman" w:hAnsi="Times New Roman" w:cs="Times New Roman"/>
                <w:iCs/>
                <w:sz w:val="24"/>
                <w:szCs w:val="24"/>
                <w:lang w:eastAsia="lv-LV"/>
              </w:rPr>
              <w:tab/>
              <w:t>atbalsta pakalpojumu nodrošināšana</w:t>
            </w:r>
            <w:r w:rsidR="00B53237">
              <w:rPr>
                <w:rFonts w:ascii="Times New Roman" w:eastAsia="Times New Roman" w:hAnsi="Times New Roman" w:cs="Times New Roman"/>
                <w:iCs/>
                <w:sz w:val="24"/>
                <w:szCs w:val="24"/>
                <w:lang w:eastAsia="lv-LV"/>
              </w:rPr>
              <w:t xml:space="preserve"> sīkajiem (mikro), </w:t>
            </w:r>
            <w:r w:rsidR="00E93E87">
              <w:rPr>
                <w:rFonts w:ascii="Times New Roman" w:eastAsia="Times New Roman" w:hAnsi="Times New Roman" w:cs="Times New Roman"/>
                <w:iCs/>
                <w:sz w:val="24"/>
                <w:szCs w:val="24"/>
                <w:lang w:eastAsia="lv-LV"/>
              </w:rPr>
              <w:t>maziem,</w:t>
            </w:r>
            <w:r w:rsidRPr="00487661">
              <w:rPr>
                <w:rFonts w:ascii="Times New Roman" w:eastAsia="Times New Roman" w:hAnsi="Times New Roman" w:cs="Times New Roman"/>
                <w:iCs/>
                <w:sz w:val="24"/>
                <w:szCs w:val="24"/>
                <w:lang w:eastAsia="lv-LV"/>
              </w:rPr>
              <w:t xml:space="preserve"> vidējiem</w:t>
            </w:r>
            <w:r w:rsidR="00E93E87">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komersantiem programmas “Apvārsnis 2020”</w:t>
            </w:r>
            <w:r w:rsidR="00AA43E8">
              <w:rPr>
                <w:rFonts w:ascii="Times New Roman" w:eastAsia="Times New Roman" w:hAnsi="Times New Roman" w:cs="Times New Roman"/>
                <w:iCs/>
                <w:sz w:val="24"/>
                <w:szCs w:val="24"/>
                <w:lang w:eastAsia="lv-LV"/>
              </w:rPr>
              <w:t xml:space="preserve"> MVK instrumenta</w:t>
            </w:r>
            <w:r w:rsidRPr="00487661">
              <w:rPr>
                <w:rFonts w:ascii="Times New Roman" w:eastAsia="Times New Roman" w:hAnsi="Times New Roman" w:cs="Times New Roman"/>
                <w:iCs/>
                <w:sz w:val="24"/>
                <w:szCs w:val="24"/>
                <w:lang w:eastAsia="lv-LV"/>
              </w:rPr>
              <w:t xml:space="preserve"> ietvaros.</w:t>
            </w:r>
          </w:p>
          <w:p w:rsidR="00487661" w:rsidP="00487661" w14:paraId="59AD5B7D" w14:textId="1ED96BA9">
            <w:pPr>
              <w:spacing w:after="0" w:line="240" w:lineRule="auto"/>
              <w:jc w:val="both"/>
              <w:rPr>
                <w:rFonts w:ascii="Times New Roman" w:eastAsia="Times New Roman" w:hAnsi="Times New Roman" w:cs="Times New Roman"/>
                <w:iCs/>
                <w:sz w:val="24"/>
                <w:szCs w:val="24"/>
                <w:lang w:eastAsia="lv-LV"/>
              </w:rPr>
            </w:pPr>
          </w:p>
          <w:p w:rsidR="00D626CB" w:rsidP="00487661" w14:paraId="1603F349" w14:textId="37827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626CB">
              <w:rPr>
                <w:rFonts w:ascii="Times New Roman" w:eastAsia="Times New Roman" w:hAnsi="Times New Roman" w:cs="Times New Roman"/>
                <w:iCs/>
                <w:sz w:val="24"/>
                <w:szCs w:val="24"/>
                <w:lang w:eastAsia="lv-LV"/>
              </w:rPr>
              <w:t>lānotie grozījumi</w:t>
            </w:r>
            <w:r>
              <w:rPr>
                <w:rFonts w:ascii="Times New Roman" w:eastAsia="Times New Roman" w:hAnsi="Times New Roman" w:cs="Times New Roman"/>
                <w:iCs/>
                <w:sz w:val="24"/>
                <w:szCs w:val="24"/>
                <w:lang w:eastAsia="lv-LV"/>
              </w:rPr>
              <w:t xml:space="preserve"> pozitīvi</w:t>
            </w:r>
            <w:r w:rsidRPr="00D626CB">
              <w:rPr>
                <w:rFonts w:ascii="Times New Roman" w:eastAsia="Times New Roman" w:hAnsi="Times New Roman" w:cs="Times New Roman"/>
                <w:iCs/>
                <w:sz w:val="24"/>
                <w:szCs w:val="24"/>
                <w:lang w:eastAsia="lv-LV"/>
              </w:rPr>
              <w:t xml:space="preserve"> ietekmēs 1.2.1.2.pasākuma iznākuma rādītājus i.1.2.1.bk (CO02) “Atbalstīto komersantu skaits, kas saņem </w:t>
            </w:r>
            <w:r w:rsidRPr="00D626CB">
              <w:rPr>
                <w:rFonts w:ascii="Times New Roman" w:eastAsia="Times New Roman" w:hAnsi="Times New Roman" w:cs="Times New Roman"/>
                <w:iCs/>
                <w:sz w:val="24"/>
                <w:szCs w:val="24"/>
                <w:lang w:eastAsia="lv-LV"/>
              </w:rPr>
              <w:t>grantus</w:t>
            </w:r>
            <w:r w:rsidRPr="00D626CB">
              <w:rPr>
                <w:rFonts w:ascii="Times New Roman" w:eastAsia="Times New Roman" w:hAnsi="Times New Roman" w:cs="Times New Roman"/>
                <w:iCs/>
                <w:sz w:val="24"/>
                <w:szCs w:val="24"/>
                <w:lang w:eastAsia="lv-LV"/>
              </w:rPr>
              <w:t xml:space="preserve">” un i.1.2.1.ck </w:t>
            </w:r>
            <w:r w:rsidRPr="00D626CB">
              <w:rPr>
                <w:rFonts w:ascii="Times New Roman" w:eastAsia="Times New Roman" w:hAnsi="Times New Roman" w:cs="Times New Roman"/>
                <w:iCs/>
                <w:sz w:val="24"/>
                <w:szCs w:val="24"/>
                <w:lang w:eastAsia="lv-LV"/>
              </w:rPr>
              <w:t>(CO28) “To komersantu skaits, kuri saņem atbalstu, lai laistu tirgū jaunus produktus”</w:t>
            </w:r>
            <w:r>
              <w:rPr>
                <w:rFonts w:ascii="Times New Roman" w:eastAsia="Times New Roman" w:hAnsi="Times New Roman" w:cs="Times New Roman"/>
                <w:iCs/>
                <w:sz w:val="24"/>
                <w:szCs w:val="24"/>
                <w:lang w:eastAsia="lv-LV"/>
              </w:rPr>
              <w:t>.</w:t>
            </w:r>
          </w:p>
          <w:p w:rsidR="00506A24" w:rsidP="00487661" w14:paraId="46D13103" w14:textId="05FFF27D">
            <w:pPr>
              <w:spacing w:after="0" w:line="240" w:lineRule="auto"/>
              <w:jc w:val="both"/>
              <w:rPr>
                <w:rFonts w:ascii="Times New Roman" w:eastAsia="Times New Roman" w:hAnsi="Times New Roman" w:cs="Times New Roman"/>
                <w:iCs/>
                <w:sz w:val="24"/>
                <w:szCs w:val="24"/>
                <w:lang w:eastAsia="lv-LV"/>
              </w:rPr>
            </w:pPr>
          </w:p>
          <w:p w:rsidR="00BA5EDB" w:rsidP="00487661" w14:paraId="628AD65F" w14:textId="7EE72D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83D42">
              <w:rPr>
                <w:rFonts w:ascii="Times New Roman" w:eastAsia="Times New Roman" w:hAnsi="Times New Roman" w:cs="Times New Roman"/>
                <w:iCs/>
                <w:sz w:val="24"/>
                <w:szCs w:val="24"/>
                <w:lang w:eastAsia="lv-LV"/>
              </w:rPr>
              <w:t xml:space="preserve">ēc veiktajām finanšu plūsmas prognozēm snieguma ietvars </w:t>
            </w:r>
            <w:r w:rsidR="00CA0C39">
              <w:rPr>
                <w:rFonts w:ascii="Times New Roman" w:eastAsia="Times New Roman" w:hAnsi="Times New Roman" w:cs="Times New Roman"/>
                <w:iCs/>
                <w:sz w:val="24"/>
                <w:szCs w:val="24"/>
                <w:lang w:eastAsia="lv-LV"/>
              </w:rPr>
              <w:t>prioritārā virziena “Pētniecība, tehnoloģiju attīstība un inovācijas”</w:t>
            </w:r>
            <w:r w:rsidR="004B50F5">
              <w:rPr>
                <w:rFonts w:ascii="Times New Roman" w:eastAsia="Times New Roman" w:hAnsi="Times New Roman" w:cs="Times New Roman"/>
                <w:iCs/>
                <w:sz w:val="24"/>
                <w:szCs w:val="24"/>
                <w:lang w:eastAsia="lv-LV"/>
              </w:rPr>
              <w:t xml:space="preserve"> ietvaros uz 2018.gadu tiks sasniegts</w:t>
            </w:r>
            <w:r w:rsidR="008F0518">
              <w:rPr>
                <w:rFonts w:ascii="Times New Roman" w:eastAsia="Times New Roman" w:hAnsi="Times New Roman" w:cs="Times New Roman"/>
                <w:iCs/>
                <w:sz w:val="24"/>
                <w:szCs w:val="24"/>
                <w:lang w:eastAsia="lv-LV"/>
              </w:rPr>
              <w:t xml:space="preserve"> atbilstoši Darbības programmā “Izaugsme un nodarbinātība” noteiktajam</w:t>
            </w:r>
            <w:r w:rsidR="004B50F5">
              <w:rPr>
                <w:rFonts w:ascii="Times New Roman" w:eastAsia="Times New Roman" w:hAnsi="Times New Roman" w:cs="Times New Roman"/>
                <w:iCs/>
                <w:sz w:val="24"/>
                <w:szCs w:val="24"/>
                <w:lang w:eastAsia="lv-LV"/>
              </w:rPr>
              <w:t>.</w:t>
            </w:r>
            <w:r w:rsidR="0098126F">
              <w:rPr>
                <w:rFonts w:ascii="Times New Roman" w:eastAsia="Times New Roman" w:hAnsi="Times New Roman" w:cs="Times New Roman"/>
                <w:iCs/>
                <w:sz w:val="24"/>
                <w:szCs w:val="24"/>
                <w:lang w:eastAsia="lv-LV"/>
              </w:rPr>
              <w:t xml:space="preserve"> Lai sasniegtu 1.2.1.2.pasākumam plānoto finanšu rādītāja vērtību nacionālajā līmenī 6 352 941 </w:t>
            </w:r>
            <w:r w:rsidRPr="0098126F" w:rsidR="0098126F">
              <w:rPr>
                <w:rFonts w:ascii="Times New Roman" w:eastAsia="Times New Roman" w:hAnsi="Times New Roman" w:cs="Times New Roman"/>
                <w:i/>
                <w:iCs/>
                <w:sz w:val="24"/>
                <w:szCs w:val="24"/>
                <w:lang w:eastAsia="lv-LV"/>
              </w:rPr>
              <w:t>euro</w:t>
            </w:r>
            <w:r w:rsidR="0098126F">
              <w:rPr>
                <w:rFonts w:ascii="Times New Roman" w:eastAsia="Times New Roman" w:hAnsi="Times New Roman" w:cs="Times New Roman"/>
                <w:iCs/>
                <w:sz w:val="24"/>
                <w:szCs w:val="24"/>
                <w:lang w:eastAsia="lv-LV"/>
              </w:rPr>
              <w:t xml:space="preserve"> apmērā, finanšu rādītāju 3,65 milj. </w:t>
            </w:r>
            <w:r w:rsidRPr="0098126F" w:rsidR="0098126F">
              <w:rPr>
                <w:rFonts w:ascii="Times New Roman" w:eastAsia="Times New Roman" w:hAnsi="Times New Roman" w:cs="Times New Roman"/>
                <w:i/>
                <w:iCs/>
                <w:sz w:val="24"/>
                <w:szCs w:val="24"/>
                <w:lang w:eastAsia="lv-LV"/>
              </w:rPr>
              <w:t>euro</w:t>
            </w:r>
            <w:r w:rsidR="0098126F">
              <w:rPr>
                <w:rFonts w:ascii="Times New Roman" w:eastAsia="Times New Roman" w:hAnsi="Times New Roman" w:cs="Times New Roman"/>
                <w:iCs/>
                <w:sz w:val="24"/>
                <w:szCs w:val="24"/>
                <w:lang w:eastAsia="lv-LV"/>
              </w:rPr>
              <w:t xml:space="preserve"> apmērā plānots piemērot 1.2.1.1.pasākuma </w:t>
            </w:r>
            <w:r w:rsidRPr="0098126F" w:rsidR="0098126F">
              <w:rPr>
                <w:rFonts w:ascii="Times New Roman" w:eastAsia="Times New Roman" w:hAnsi="Times New Roman" w:cs="Times New Roman"/>
                <w:iCs/>
                <w:sz w:val="24"/>
                <w:szCs w:val="24"/>
                <w:lang w:eastAsia="lv-LV"/>
              </w:rPr>
              <w:t>"Atbalsts jaunu produktu un tehnoloģiju izstrādei kompetences centru ietvaros"</w:t>
            </w:r>
            <w:r w:rsidR="00C20F2A">
              <w:rPr>
                <w:rFonts w:ascii="Times New Roman" w:eastAsia="Times New Roman" w:hAnsi="Times New Roman" w:cs="Times New Roman"/>
                <w:iCs/>
                <w:sz w:val="24"/>
                <w:szCs w:val="24"/>
                <w:lang w:eastAsia="lv-LV"/>
              </w:rPr>
              <w:t xml:space="preserve"> ietvaros. Pēc veiktajām aplēsēm, </w:t>
            </w:r>
            <w:r w:rsidR="002A6005">
              <w:rPr>
                <w:rFonts w:ascii="Times New Roman" w:eastAsia="Times New Roman" w:hAnsi="Times New Roman" w:cs="Times New Roman"/>
                <w:iCs/>
                <w:sz w:val="24"/>
                <w:szCs w:val="24"/>
                <w:lang w:eastAsia="lv-LV"/>
              </w:rPr>
              <w:t xml:space="preserve">1.2.1.2.pasākuma </w:t>
            </w:r>
            <w:r w:rsidR="00C20F2A">
              <w:rPr>
                <w:rFonts w:ascii="Times New Roman" w:eastAsia="Times New Roman" w:hAnsi="Times New Roman" w:cs="Times New Roman"/>
                <w:iCs/>
                <w:sz w:val="24"/>
                <w:szCs w:val="24"/>
                <w:lang w:eastAsia="lv-LV"/>
              </w:rPr>
              <w:t>finanšu rādītāja sasniegšana</w:t>
            </w:r>
            <w:r w:rsidR="002A6005">
              <w:rPr>
                <w:rFonts w:ascii="Times New Roman" w:eastAsia="Times New Roman" w:hAnsi="Times New Roman" w:cs="Times New Roman"/>
                <w:iCs/>
                <w:sz w:val="24"/>
                <w:szCs w:val="24"/>
                <w:lang w:eastAsia="lv-LV"/>
              </w:rPr>
              <w:t xml:space="preserve"> iespējama</w:t>
            </w:r>
            <w:r w:rsidR="00C20F2A">
              <w:rPr>
                <w:rFonts w:ascii="Times New Roman" w:eastAsia="Times New Roman" w:hAnsi="Times New Roman" w:cs="Times New Roman"/>
                <w:iCs/>
                <w:sz w:val="24"/>
                <w:szCs w:val="24"/>
                <w:lang w:eastAsia="lv-LV"/>
              </w:rPr>
              <w:t xml:space="preserve"> </w:t>
            </w:r>
            <w:r w:rsidRPr="00487661" w:rsidR="006801C6">
              <w:rPr>
                <w:rFonts w:ascii="Times New Roman" w:eastAsia="Times New Roman" w:hAnsi="Times New Roman" w:cs="Times New Roman"/>
                <w:iCs/>
                <w:sz w:val="24"/>
                <w:szCs w:val="24"/>
                <w:lang w:eastAsia="lv-LV"/>
              </w:rPr>
              <w:t>1.2.1. specifiskā atbalsta mērķa “Palielināt privātā sektora investīcijas P&amp;A”</w:t>
            </w:r>
            <w:r w:rsidR="002A6005">
              <w:rPr>
                <w:rFonts w:ascii="Times New Roman" w:eastAsia="Times New Roman" w:hAnsi="Times New Roman" w:cs="Times New Roman"/>
                <w:iCs/>
                <w:sz w:val="24"/>
                <w:szCs w:val="24"/>
                <w:lang w:eastAsia="lv-LV"/>
              </w:rPr>
              <w:t xml:space="preserve"> ietvaros:</w:t>
            </w:r>
          </w:p>
          <w:p w:rsidR="008F0518" w:rsidP="00487661" w14:paraId="143EC9A9" w14:textId="77777777">
            <w:pPr>
              <w:spacing w:after="0" w:line="240" w:lineRule="auto"/>
              <w:jc w:val="both"/>
              <w:rPr>
                <w:rFonts w:ascii="Times New Roman" w:eastAsia="Times New Roman" w:hAnsi="Times New Roman" w:cs="Times New Roman"/>
                <w:iCs/>
                <w:sz w:val="24"/>
                <w:szCs w:val="24"/>
                <w:lang w:eastAsia="lv-LV"/>
              </w:rPr>
            </w:pPr>
          </w:p>
          <w:tbl>
            <w:tblPr>
              <w:tblStyle w:val="TableGrid"/>
              <w:tblW w:w="0" w:type="auto"/>
              <w:tblLook w:val="04A0"/>
            </w:tblPr>
            <w:tblGrid>
              <w:gridCol w:w="1867"/>
              <w:gridCol w:w="1867"/>
              <w:gridCol w:w="1867"/>
            </w:tblGrid>
            <w:tr w14:paraId="1A71CD48" w14:textId="77777777" w:rsidTr="008F0518">
              <w:tblPrEx>
                <w:tblW w:w="0" w:type="auto"/>
                <w:tblLook w:val="04A0"/>
              </w:tblPrEx>
              <w:tc>
                <w:tcPr>
                  <w:tcW w:w="1867" w:type="dxa"/>
                </w:tcPr>
                <w:p w:rsidR="008F0518" w:rsidP="00487661" w14:paraId="4A6E8CBC" w14:textId="06244EFB">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Pasākums</w:t>
                  </w:r>
                </w:p>
              </w:tc>
              <w:tc>
                <w:tcPr>
                  <w:tcW w:w="1867" w:type="dxa"/>
                </w:tcPr>
                <w:p w:rsidR="008F0518" w:rsidP="00487661" w14:paraId="0E19E390" w14:textId="76D689A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Sasniedzamā finanšu vērtība uz 31.12.2018.</w:t>
                  </w:r>
                </w:p>
              </w:tc>
              <w:tc>
                <w:tcPr>
                  <w:tcW w:w="1867" w:type="dxa"/>
                </w:tcPr>
                <w:p w:rsidR="008F0518" w:rsidP="00487661" w14:paraId="123BC7EF" w14:textId="4546021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 finanšu vērtība uz 01.09.2018.</w:t>
                  </w:r>
                </w:p>
              </w:tc>
            </w:tr>
            <w:tr w14:paraId="0540A513" w14:textId="77777777" w:rsidTr="008F0518">
              <w:tblPrEx>
                <w:tblW w:w="0" w:type="auto"/>
                <w:tblLook w:val="04A0"/>
              </w:tblPrEx>
              <w:tc>
                <w:tcPr>
                  <w:tcW w:w="1867" w:type="dxa"/>
                </w:tcPr>
                <w:p w:rsidR="008F0518" w:rsidP="00487661" w14:paraId="65F9FB1A" w14:textId="77636BE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1.2.1.1.</w:t>
                  </w:r>
                </w:p>
              </w:tc>
              <w:tc>
                <w:tcPr>
                  <w:tcW w:w="1867" w:type="dxa"/>
                </w:tcPr>
                <w:p w:rsidR="008F0518" w:rsidP="00487661" w14:paraId="4222FC12" w14:textId="4BF272A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001B5138">
                    <w:rPr>
                      <w:rFonts w:ascii="Times New Roman" w:eastAsia="Times New Roman" w:hAnsi="Times New Roman" w:cs="Times New Roman"/>
                      <w:iCs/>
                      <w:sz w:val="24"/>
                      <w:szCs w:val="24"/>
                      <w:lang w:eastAsia="lv-LV"/>
                    </w:rPr>
                    <w:t>.</w:t>
                  </w:r>
                  <w:r w:rsidR="001B1C14">
                    <w:rPr>
                      <w:rFonts w:ascii="Times New Roman" w:eastAsia="Times New Roman" w:hAnsi="Times New Roman" w:cs="Times New Roman"/>
                      <w:iCs/>
                      <w:sz w:val="24"/>
                      <w:szCs w:val="24"/>
                      <w:lang w:eastAsia="lv-LV"/>
                    </w:rPr>
                    <w:t>64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c>
                <w:tcPr>
                  <w:tcW w:w="1867" w:type="dxa"/>
                </w:tcPr>
                <w:p w:rsidR="008F0518" w:rsidP="00487661" w14:paraId="532D2065" w14:textId="3F6C89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17 </w:t>
                  </w:r>
                  <w:r>
                    <w:rPr>
                      <w:rFonts w:ascii="Times New Roman" w:eastAsia="Times New Roman" w:hAnsi="Times New Roman" w:cs="Times New Roman"/>
                      <w:iCs/>
                      <w:sz w:val="24"/>
                      <w:szCs w:val="24"/>
                      <w:lang w:eastAsia="lv-LV"/>
                    </w:rPr>
                    <w:t>milj.euro</w:t>
                  </w:r>
                </w:p>
              </w:tc>
            </w:tr>
            <w:tr w14:paraId="54EEFCC3" w14:textId="77777777" w:rsidTr="008F0518">
              <w:tblPrEx>
                <w:tblW w:w="0" w:type="auto"/>
                <w:tblLook w:val="04A0"/>
              </w:tblPrEx>
              <w:tc>
                <w:tcPr>
                  <w:tcW w:w="1867" w:type="dxa"/>
                </w:tcPr>
                <w:p w:rsidR="008F0518" w:rsidP="00487661" w14:paraId="070F3237" w14:textId="661F32D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1.2.1.2.</w:t>
                  </w:r>
                </w:p>
              </w:tc>
              <w:tc>
                <w:tcPr>
                  <w:tcW w:w="1867" w:type="dxa"/>
                </w:tcPr>
                <w:p w:rsidR="008F0518" w:rsidP="00487661" w14:paraId="6D061336" w14:textId="34B9104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1B5138">
                    <w:rPr>
                      <w:rFonts w:ascii="Times New Roman" w:eastAsia="Times New Roman" w:hAnsi="Times New Roman" w:cs="Times New Roman"/>
                      <w:iCs/>
                      <w:sz w:val="24"/>
                      <w:szCs w:val="24"/>
                      <w:lang w:eastAsia="lv-LV"/>
                    </w:rPr>
                    <w:t>.35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c>
                <w:tcPr>
                  <w:tcW w:w="1867" w:type="dxa"/>
                </w:tcPr>
                <w:p w:rsidR="001B5138" w:rsidP="00487661" w14:paraId="1D1BF767" w14:textId="431CBC3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.7 milj.</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euro</w:t>
                  </w:r>
                </w:p>
              </w:tc>
            </w:tr>
          </w:tbl>
          <w:p w:rsidR="008F0518" w:rsidP="00487661" w14:paraId="24D8C655"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A9BB69B"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Ekonomiskās sadarbības un attīstības organizācijas dokumenta „</w:t>
            </w: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rokasgrāmata” pamatmērķis ir palīdzēt novērtēt pētniecības un eksperimentālās izstrādes (P&amp;I) darbības, izmantojot dažādus datu apkopošanas līdzekļus, tostarp </w:t>
            </w:r>
            <w:r w:rsidRPr="00487661">
              <w:rPr>
                <w:rFonts w:ascii="Times New Roman" w:eastAsia="Times New Roman" w:hAnsi="Times New Roman" w:cs="Times New Roman"/>
                <w:iCs/>
                <w:sz w:val="24"/>
                <w:szCs w:val="24"/>
                <w:lang w:eastAsia="lv-LV"/>
              </w:rPr>
              <w:t>apsekojumus</w:t>
            </w:r>
            <w:r w:rsidRPr="00487661">
              <w:rPr>
                <w:rFonts w:ascii="Times New Roman" w:eastAsia="Times New Roman" w:hAnsi="Times New Roman" w:cs="Times New Roman"/>
                <w:iCs/>
                <w:sz w:val="24"/>
                <w:szCs w:val="24"/>
                <w:lang w:eastAsia="lv-LV"/>
              </w:rPr>
              <w:t xml:space="preserve">, intervijas un administratīvos avotus. Rokasgrāmata tiek izmantota arī P&amp;I datu interpretēšanai politikas izstrādes, īstenošanas un novērtēšanas ietvaros. </w:t>
            </w:r>
          </w:p>
          <w:p w:rsidR="00487661" w:rsidRPr="00487661" w:rsidP="00487661" w14:paraId="72B93D3C"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Fraskati</w:t>
            </w:r>
            <w:r w:rsidRPr="00487661">
              <w:rPr>
                <w:rFonts w:ascii="Times New Roman" w:eastAsia="Times New Roman" w:hAnsi="Times New Roman" w:cs="Times New Roman"/>
                <w:iCs/>
                <w:sz w:val="24"/>
                <w:szCs w:val="24"/>
                <w:lang w:eastAsia="lv-LV"/>
              </w:rPr>
              <w:t xml:space="preserve"> rokasgrāmatā sniegtās definīcijas tiek izmantotas jau vairāk nekā pusgadsimtu, un tās ir izturējušas laika pārbaudi. Tā kā ir izdots precizētais rokasgrāmatas izdevums “Pamatnostādnes datu vākšanai un ziņošanai par pētniecību un eksperimentālo izstrādi”, nepieciešams veikt terminu lietojuma precizējumus MK noteikumos Nr.692 attiecībā uz termina “jauns produkts programmatūras jomā” skaidrojumu, vienlaikus precizējot uzskaitījumu, ko neuzskata par jaunu produktu vai tehnoloģiju programmatūras jomā.</w:t>
            </w:r>
          </w:p>
          <w:p w:rsidR="00487661" w:rsidP="00487661" w14:paraId="476F1A56" w14:textId="6CF186AB">
            <w:pPr>
              <w:spacing w:after="0" w:line="240" w:lineRule="auto"/>
              <w:jc w:val="both"/>
              <w:rPr>
                <w:rFonts w:ascii="Times New Roman" w:eastAsia="Times New Roman" w:hAnsi="Times New Roman" w:cs="Times New Roman"/>
                <w:iCs/>
                <w:sz w:val="24"/>
                <w:szCs w:val="24"/>
                <w:lang w:eastAsia="lv-LV"/>
              </w:rPr>
            </w:pPr>
          </w:p>
          <w:p w:rsidR="003D3F72" w:rsidP="00487661" w14:paraId="7F1EB426" w14:textId="1FD8AC4E">
            <w:pPr>
              <w:spacing w:after="0" w:line="240" w:lineRule="auto"/>
              <w:jc w:val="both"/>
              <w:rPr>
                <w:rFonts w:ascii="Times New Roman" w:eastAsia="Calibri" w:hAnsi="Times New Roman" w:cs="Times New Roman"/>
                <w:bCs/>
                <w:sz w:val="24"/>
                <w:szCs w:val="24"/>
                <w:lang w:eastAsia="lv-LV"/>
              </w:rPr>
            </w:pPr>
            <w:r w:rsidRPr="00EC4749">
              <w:rPr>
                <w:rFonts w:ascii="Times New Roman" w:eastAsia="Calibri" w:hAnsi="Times New Roman" w:cs="Times New Roman"/>
                <w:bCs/>
                <w:sz w:val="24"/>
                <w:szCs w:val="24"/>
                <w:lang w:eastAsia="lv-LV"/>
              </w:rPr>
              <w:t xml:space="preserve">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(turpmāk - 3.2.1.2.pasākums) īstenošanas noteikumi” </w:t>
            </w:r>
            <w:r>
              <w:rPr>
                <w:rFonts w:ascii="Times New Roman" w:eastAsia="Calibri" w:hAnsi="Times New Roman" w:cs="Times New Roman"/>
                <w:bCs/>
                <w:sz w:val="24"/>
                <w:szCs w:val="24"/>
                <w:lang w:eastAsia="lv-LV"/>
              </w:rPr>
              <w:t>ietvaros tiek nodrošināts atbalsts nacionālo stendu organizēšanai starptautiskām izstādēm ārvalstīs, kā arī atbalsts tirdzniecības misiju organizēšanai.</w:t>
            </w:r>
            <w:r w:rsidR="004646FE">
              <w:rPr>
                <w:rFonts w:ascii="Times New Roman" w:eastAsia="Calibri" w:hAnsi="Times New Roman" w:cs="Times New Roman"/>
                <w:bCs/>
                <w:sz w:val="24"/>
                <w:szCs w:val="24"/>
                <w:lang w:eastAsia="lv-LV"/>
              </w:rPr>
              <w:t xml:space="preserve"> </w:t>
            </w:r>
            <w:r w:rsidR="004646FE">
              <w:rPr>
                <w:rFonts w:ascii="Times New Roman" w:eastAsia="Calibri" w:hAnsi="Times New Roman" w:cs="Times New Roman"/>
                <w:bCs/>
                <w:sz w:val="24"/>
                <w:szCs w:val="24"/>
                <w:lang w:eastAsia="lv-LV"/>
              </w:rPr>
              <w:t xml:space="preserve">3.2.1.2.pasākuma </w:t>
            </w:r>
            <w:r w:rsidR="004646FE">
              <w:rPr>
                <w:rFonts w:ascii="Times New Roman" w:eastAsia="Calibri" w:hAnsi="Times New Roman" w:cs="Times New Roman"/>
                <w:bCs/>
                <w:sz w:val="24"/>
                <w:szCs w:val="24"/>
                <w:lang w:eastAsia="lv-LV"/>
              </w:rPr>
              <w:t>mērķgrupa</w:t>
            </w:r>
            <w:r w:rsidR="004646FE">
              <w:rPr>
                <w:rFonts w:ascii="Times New Roman" w:eastAsia="Calibri" w:hAnsi="Times New Roman" w:cs="Times New Roman"/>
                <w:bCs/>
                <w:sz w:val="24"/>
                <w:szCs w:val="24"/>
                <w:lang w:eastAsia="lv-LV"/>
              </w:rPr>
              <w:t xml:space="preserve"> ir komersanti, kooperatīvās sabiedrības, zemnieku vai zvejnieku sabiedrības, individuālie uzņēmumi, biedrības un nodibinājumi. </w:t>
            </w:r>
          </w:p>
          <w:p w:rsidR="00452B0A" w:rsidP="00487661" w14:paraId="30E6FF26" w14:textId="77015375">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Lai stiprinātu </w:t>
            </w:r>
            <w:r w:rsidR="006D1B1B">
              <w:rPr>
                <w:rFonts w:ascii="Times New Roman" w:eastAsia="Calibri" w:hAnsi="Times New Roman" w:cs="Times New Roman"/>
                <w:bCs/>
                <w:sz w:val="24"/>
                <w:szCs w:val="24"/>
                <w:lang w:eastAsia="lv-LV"/>
              </w:rPr>
              <w:t xml:space="preserve">tehnoloģiju </w:t>
            </w:r>
            <w:r w:rsidR="006D1B1B">
              <w:rPr>
                <w:rFonts w:ascii="Times New Roman" w:eastAsia="Calibri" w:hAnsi="Times New Roman" w:cs="Times New Roman"/>
                <w:bCs/>
                <w:sz w:val="24"/>
                <w:szCs w:val="24"/>
                <w:lang w:eastAsia="lv-LV"/>
              </w:rPr>
              <w:t>pārneses</w:t>
            </w:r>
            <w:r w:rsidR="006D1B1B">
              <w:rPr>
                <w:rFonts w:ascii="Times New Roman" w:eastAsia="Calibri" w:hAnsi="Times New Roman" w:cs="Times New Roman"/>
                <w:bCs/>
                <w:sz w:val="24"/>
                <w:szCs w:val="24"/>
                <w:lang w:eastAsia="lv-LV"/>
              </w:rPr>
              <w:t xml:space="preserve"> procesu un </w:t>
            </w:r>
            <w:r w:rsidR="006D1B1B">
              <w:rPr>
                <w:rFonts w:ascii="Times New Roman" w:eastAsia="Calibri" w:hAnsi="Times New Roman" w:cs="Times New Roman"/>
                <w:bCs/>
                <w:sz w:val="24"/>
                <w:szCs w:val="24"/>
                <w:lang w:eastAsia="lv-LV"/>
              </w:rPr>
              <w:t>jaunuzņēmumu</w:t>
            </w:r>
            <w:r w:rsidR="006D1B1B">
              <w:rPr>
                <w:rFonts w:ascii="Times New Roman" w:eastAsia="Calibri" w:hAnsi="Times New Roman" w:cs="Times New Roman"/>
                <w:bCs/>
                <w:sz w:val="24"/>
                <w:szCs w:val="24"/>
                <w:lang w:eastAsia="lv-LV"/>
              </w:rPr>
              <w:t xml:space="preserve"> veidošanos  inovāciju jomā</w:t>
            </w:r>
            <w:r w:rsidR="007936FB">
              <w:rPr>
                <w:rFonts w:ascii="Times New Roman" w:eastAsia="Calibri" w:hAnsi="Times New Roman" w:cs="Times New Roman"/>
                <w:bCs/>
                <w:sz w:val="24"/>
                <w:szCs w:val="24"/>
                <w:lang w:eastAsia="lv-LV"/>
              </w:rPr>
              <w:t>, kā arī</w:t>
            </w:r>
            <w:r w:rsidR="006D1B1B">
              <w:rPr>
                <w:rFonts w:ascii="Times New Roman" w:eastAsia="Calibri" w:hAnsi="Times New Roman" w:cs="Times New Roman"/>
                <w:bCs/>
                <w:sz w:val="24"/>
                <w:szCs w:val="24"/>
                <w:lang w:eastAsia="lv-LV"/>
              </w:rPr>
              <w:t xml:space="preserve"> sekmētu rezultatīvo rādītāju sasniegšanu tehnoloģiju </w:t>
            </w:r>
            <w:r w:rsidR="006D1B1B">
              <w:rPr>
                <w:rFonts w:ascii="Times New Roman" w:eastAsia="Calibri" w:hAnsi="Times New Roman" w:cs="Times New Roman"/>
                <w:bCs/>
                <w:sz w:val="24"/>
                <w:szCs w:val="24"/>
                <w:lang w:eastAsia="lv-LV"/>
              </w:rPr>
              <w:t>pārneses</w:t>
            </w:r>
            <w:r w:rsidR="006D1B1B">
              <w:rPr>
                <w:rFonts w:ascii="Times New Roman" w:eastAsia="Calibri" w:hAnsi="Times New Roman" w:cs="Times New Roman"/>
                <w:bCs/>
                <w:sz w:val="24"/>
                <w:szCs w:val="24"/>
                <w:lang w:eastAsia="lv-LV"/>
              </w:rPr>
              <w:t xml:space="preserve"> programmā,  </w:t>
            </w:r>
            <w:r>
              <w:rPr>
                <w:rFonts w:ascii="Times New Roman" w:eastAsia="Calibri" w:hAnsi="Times New Roman" w:cs="Times New Roman"/>
                <w:bCs/>
                <w:sz w:val="24"/>
                <w:szCs w:val="24"/>
                <w:lang w:eastAsia="lv-LV"/>
              </w:rPr>
              <w:t>1.2.1.2.pasākuma</w:t>
            </w:r>
            <w:r w:rsidR="006D1B1B">
              <w:rPr>
                <w:rFonts w:ascii="Times New Roman" w:eastAsia="Calibri" w:hAnsi="Times New Roman" w:cs="Times New Roman"/>
                <w:bCs/>
                <w:sz w:val="24"/>
                <w:szCs w:val="24"/>
                <w:lang w:eastAsia="lv-LV"/>
              </w:rPr>
              <w:t xml:space="preserve"> </w:t>
            </w:r>
            <w:r w:rsidR="00A9761D">
              <w:rPr>
                <w:rFonts w:ascii="Times New Roman" w:eastAsia="Calibri" w:hAnsi="Times New Roman" w:cs="Times New Roman"/>
                <w:bCs/>
                <w:sz w:val="24"/>
                <w:szCs w:val="24"/>
                <w:lang w:eastAsia="lv-LV"/>
              </w:rPr>
              <w:t xml:space="preserve">īstenošanas noteikumi tiek papildināti ar iespēju finansējuma saņēmējam organizēt </w:t>
            </w:r>
            <w:r w:rsidR="00A9761D">
              <w:rPr>
                <w:rFonts w:ascii="Times New Roman" w:eastAsia="Calibri" w:hAnsi="Times New Roman" w:cs="Times New Roman"/>
                <w:bCs/>
                <w:sz w:val="24"/>
                <w:szCs w:val="24"/>
                <w:lang w:eastAsia="lv-LV"/>
              </w:rPr>
              <w:t>jaunuzņēmumiem</w:t>
            </w:r>
            <w:r w:rsidR="00A9761D">
              <w:rPr>
                <w:rFonts w:ascii="Times New Roman" w:eastAsia="Calibri" w:hAnsi="Times New Roman" w:cs="Times New Roman"/>
                <w:bCs/>
                <w:sz w:val="24"/>
                <w:szCs w:val="24"/>
                <w:lang w:eastAsia="lv-LV"/>
              </w:rPr>
              <w:t xml:space="preserve"> dalību tirdzniecības misijās</w:t>
            </w:r>
            <w:r w:rsidR="00701934">
              <w:rPr>
                <w:rFonts w:ascii="Times New Roman" w:eastAsia="Calibri" w:hAnsi="Times New Roman" w:cs="Times New Roman"/>
                <w:bCs/>
                <w:sz w:val="24"/>
                <w:szCs w:val="24"/>
                <w:lang w:eastAsia="lv-LV"/>
              </w:rPr>
              <w:t>, kā arī attiecināt nacionālo stendu organizēšanu ārvalstīs</w:t>
            </w:r>
            <w:r w:rsidR="007936FB">
              <w:rPr>
                <w:rFonts w:ascii="Times New Roman" w:eastAsia="Calibri" w:hAnsi="Times New Roman" w:cs="Times New Roman"/>
                <w:bCs/>
                <w:sz w:val="24"/>
                <w:szCs w:val="24"/>
                <w:lang w:eastAsia="lv-LV"/>
              </w:rPr>
              <w:t xml:space="preserve">. Atbalstāmās darbības tiek </w:t>
            </w:r>
            <w:r w:rsidR="00A9761D">
              <w:rPr>
                <w:rFonts w:ascii="Times New Roman" w:eastAsia="Calibri" w:hAnsi="Times New Roman" w:cs="Times New Roman"/>
                <w:bCs/>
                <w:sz w:val="24"/>
                <w:szCs w:val="24"/>
                <w:lang w:eastAsia="lv-LV"/>
              </w:rPr>
              <w:t xml:space="preserve"> papildināt</w:t>
            </w:r>
            <w:r w:rsidR="007936FB">
              <w:rPr>
                <w:rFonts w:ascii="Times New Roman" w:eastAsia="Calibri" w:hAnsi="Times New Roman" w:cs="Times New Roman"/>
                <w:bCs/>
                <w:sz w:val="24"/>
                <w:szCs w:val="24"/>
                <w:lang w:eastAsia="lv-LV"/>
              </w:rPr>
              <w:t>as</w:t>
            </w:r>
            <w:r w:rsidR="00A9761D">
              <w:rPr>
                <w:rFonts w:ascii="Times New Roman" w:eastAsia="Calibri" w:hAnsi="Times New Roman" w:cs="Times New Roman"/>
                <w:bCs/>
                <w:sz w:val="24"/>
                <w:szCs w:val="24"/>
                <w:lang w:eastAsia="lv-LV"/>
              </w:rPr>
              <w:t xml:space="preserve"> ar atbilstošām attiecināmajām izmaksām</w:t>
            </w:r>
            <w:r w:rsidR="006D1B1B">
              <w:rPr>
                <w:rFonts w:ascii="Times New Roman" w:eastAsia="Calibri" w:hAnsi="Times New Roman" w:cs="Times New Roman"/>
                <w:bCs/>
                <w:sz w:val="24"/>
                <w:szCs w:val="24"/>
                <w:lang w:eastAsia="lv-LV"/>
              </w:rPr>
              <w:t>.</w:t>
            </w:r>
          </w:p>
          <w:p w:rsidR="006861CE" w:rsidRPr="006861CE" w:rsidP="006861CE" w14:paraId="0A551EFF" w14:textId="2ADF5CB3">
            <w:pPr>
              <w:spacing w:after="0" w:line="240" w:lineRule="auto"/>
              <w:jc w:val="both"/>
              <w:rPr>
                <w:rFonts w:ascii="Times New Roman" w:eastAsia="Calibri" w:hAnsi="Times New Roman" w:cs="Times New Roman"/>
                <w:bCs/>
                <w:sz w:val="24"/>
                <w:szCs w:val="24"/>
                <w:lang w:eastAsia="lv-LV"/>
              </w:rPr>
            </w:pPr>
          </w:p>
          <w:p w:rsidR="006D1B1B" w:rsidP="00487661" w14:paraId="06D58D64" w14:textId="3CA684CD">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EF496E">
              <w:rPr>
                <w:rFonts w:ascii="Times New Roman" w:eastAsia="Calibri" w:hAnsi="Times New Roman" w:cs="Times New Roman"/>
                <w:bCs/>
                <w:sz w:val="24"/>
                <w:szCs w:val="24"/>
                <w:lang w:eastAsia="lv-LV"/>
              </w:rPr>
              <w:t>lānotais atbalsta pasākums ir viens no būtiskiem</w:t>
            </w:r>
            <w:r w:rsidR="000621B7">
              <w:rPr>
                <w:rFonts w:ascii="Times New Roman" w:eastAsia="Calibri" w:hAnsi="Times New Roman" w:cs="Times New Roman"/>
                <w:bCs/>
                <w:sz w:val="24"/>
                <w:szCs w:val="24"/>
                <w:lang w:eastAsia="lv-LV"/>
              </w:rPr>
              <w:t xml:space="preserve"> </w:t>
            </w:r>
            <w:r w:rsidR="00501BE3">
              <w:rPr>
                <w:rFonts w:ascii="Times New Roman" w:eastAsia="Calibri" w:hAnsi="Times New Roman" w:cs="Times New Roman"/>
                <w:bCs/>
                <w:sz w:val="24"/>
                <w:szCs w:val="24"/>
                <w:lang w:eastAsia="lv-LV"/>
              </w:rPr>
              <w:t xml:space="preserve">kopējā paketē iekļautajiem LIAA piedāvātajiem atbalsta pasākumiem </w:t>
            </w:r>
            <w:r w:rsidR="00501BE3">
              <w:rPr>
                <w:rFonts w:ascii="Times New Roman" w:eastAsia="Calibri" w:hAnsi="Times New Roman" w:cs="Times New Roman"/>
                <w:bCs/>
                <w:sz w:val="24"/>
                <w:szCs w:val="24"/>
                <w:lang w:eastAsia="lv-LV"/>
              </w:rPr>
              <w:t>jaunuzņēmumiem</w:t>
            </w:r>
            <w:r w:rsidR="00501BE3">
              <w:rPr>
                <w:rFonts w:ascii="Times New Roman" w:eastAsia="Calibri" w:hAnsi="Times New Roman" w:cs="Times New Roman"/>
                <w:bCs/>
                <w:sz w:val="24"/>
                <w:szCs w:val="24"/>
                <w:lang w:eastAsia="lv-LV"/>
              </w:rPr>
              <w:t>.</w:t>
            </w:r>
            <w:r w:rsidR="00E076C5">
              <w:rPr>
                <w:rFonts w:ascii="Times New Roman" w:eastAsia="Calibri" w:hAnsi="Times New Roman" w:cs="Times New Roman"/>
                <w:bCs/>
                <w:sz w:val="24"/>
                <w:szCs w:val="24"/>
                <w:lang w:eastAsia="lv-LV"/>
              </w:rPr>
              <w:t xml:space="preserve"> Būtiski atzīmēt, ka šobrīd valstiskais uzstādījums ir, ka </w:t>
            </w:r>
            <w:r w:rsidR="00E076C5">
              <w:rPr>
                <w:rFonts w:ascii="Times New Roman" w:eastAsia="Calibri" w:hAnsi="Times New Roman" w:cs="Times New Roman"/>
                <w:bCs/>
                <w:sz w:val="24"/>
                <w:szCs w:val="24"/>
                <w:lang w:eastAsia="lv-LV"/>
              </w:rPr>
              <w:t>jaunuzņēmumi</w:t>
            </w:r>
            <w:r w:rsidR="00E076C5">
              <w:rPr>
                <w:rFonts w:ascii="Times New Roman" w:eastAsia="Calibri" w:hAnsi="Times New Roman" w:cs="Times New Roman"/>
                <w:bCs/>
                <w:sz w:val="24"/>
                <w:szCs w:val="24"/>
                <w:lang w:eastAsia="lv-LV"/>
              </w:rPr>
              <w:t xml:space="preserve"> </w:t>
            </w:r>
            <w:r w:rsidR="009C6F4B">
              <w:rPr>
                <w:rFonts w:ascii="Times New Roman" w:eastAsia="Calibri" w:hAnsi="Times New Roman" w:cs="Times New Roman"/>
                <w:bCs/>
                <w:sz w:val="24"/>
                <w:szCs w:val="24"/>
                <w:lang w:eastAsia="lv-LV"/>
              </w:rPr>
              <w:t>ir īpaša uzņēmumu kategorija, kas būtu atbalstāma un attīstāma.</w:t>
            </w:r>
            <w:r w:rsidR="00026F5A">
              <w:rPr>
                <w:rFonts w:ascii="Times New Roman" w:eastAsia="Calibri" w:hAnsi="Times New Roman" w:cs="Times New Roman"/>
                <w:bCs/>
                <w:sz w:val="24"/>
                <w:szCs w:val="24"/>
                <w:lang w:eastAsia="lv-LV"/>
              </w:rPr>
              <w:t xml:space="preserve"> </w:t>
            </w:r>
            <w:r w:rsidR="0041030E">
              <w:rPr>
                <w:rFonts w:ascii="Times New Roman" w:eastAsia="Calibri" w:hAnsi="Times New Roman" w:cs="Times New Roman"/>
                <w:bCs/>
                <w:sz w:val="24"/>
                <w:szCs w:val="24"/>
                <w:lang w:eastAsia="lv-LV"/>
              </w:rPr>
              <w:t xml:space="preserve">Tādējādi plānotās </w:t>
            </w:r>
            <w:r w:rsidR="00026F5A">
              <w:rPr>
                <w:rFonts w:ascii="Times New Roman" w:eastAsia="Calibri" w:hAnsi="Times New Roman" w:cs="Times New Roman"/>
                <w:bCs/>
                <w:sz w:val="24"/>
                <w:szCs w:val="24"/>
                <w:lang w:eastAsia="lv-LV"/>
              </w:rPr>
              <w:t xml:space="preserve">tirdzniecības misijas tiks </w:t>
            </w:r>
            <w:r w:rsidR="0041030E">
              <w:rPr>
                <w:rFonts w:ascii="Times New Roman" w:eastAsia="Calibri" w:hAnsi="Times New Roman" w:cs="Times New Roman"/>
                <w:bCs/>
                <w:sz w:val="24"/>
                <w:szCs w:val="24"/>
                <w:lang w:eastAsia="lv-LV"/>
              </w:rPr>
              <w:t>nodrošinātas</w:t>
            </w:r>
            <w:r w:rsidR="00026F5A">
              <w:rPr>
                <w:rFonts w:ascii="Times New Roman" w:eastAsia="Calibri" w:hAnsi="Times New Roman" w:cs="Times New Roman"/>
                <w:bCs/>
                <w:sz w:val="24"/>
                <w:szCs w:val="24"/>
                <w:lang w:eastAsia="lv-LV"/>
              </w:rPr>
              <w:t xml:space="preserve"> tieši </w:t>
            </w:r>
            <w:r w:rsidR="00026F5A">
              <w:rPr>
                <w:rFonts w:ascii="Times New Roman" w:eastAsia="Calibri" w:hAnsi="Times New Roman" w:cs="Times New Roman"/>
                <w:bCs/>
                <w:sz w:val="24"/>
                <w:szCs w:val="24"/>
                <w:lang w:eastAsia="lv-LV"/>
              </w:rPr>
              <w:t>jaunuzņēmumiem</w:t>
            </w:r>
            <w:r w:rsidR="00026F5A">
              <w:rPr>
                <w:rFonts w:ascii="Times New Roman" w:eastAsia="Calibri" w:hAnsi="Times New Roman" w:cs="Times New Roman"/>
                <w:bCs/>
                <w:sz w:val="24"/>
                <w:szCs w:val="24"/>
                <w:lang w:eastAsia="lv-LV"/>
              </w:rPr>
              <w:t>,</w:t>
            </w:r>
            <w:r w:rsidR="001E783B">
              <w:rPr>
                <w:rFonts w:ascii="Times New Roman" w:eastAsia="Calibri" w:hAnsi="Times New Roman" w:cs="Times New Roman"/>
                <w:bCs/>
                <w:sz w:val="24"/>
                <w:szCs w:val="24"/>
                <w:lang w:eastAsia="lv-LV"/>
              </w:rPr>
              <w:t xml:space="preserve"> ņemot vērā</w:t>
            </w:r>
            <w:r w:rsidR="00026F5A">
              <w:rPr>
                <w:rFonts w:ascii="Times New Roman" w:eastAsia="Calibri" w:hAnsi="Times New Roman" w:cs="Times New Roman"/>
                <w:bCs/>
                <w:sz w:val="24"/>
                <w:szCs w:val="24"/>
                <w:lang w:eastAsia="lv-LV"/>
              </w:rPr>
              <w:t xml:space="preserve"> </w:t>
            </w:r>
            <w:r w:rsidR="001E783B">
              <w:rPr>
                <w:rFonts w:ascii="Times New Roman" w:eastAsia="Calibri" w:hAnsi="Times New Roman" w:cs="Times New Roman"/>
                <w:bCs/>
                <w:sz w:val="24"/>
                <w:szCs w:val="24"/>
                <w:lang w:eastAsia="lv-LV"/>
              </w:rPr>
              <w:t>to</w:t>
            </w:r>
            <w:r w:rsidRPr="001E783B" w:rsidR="001E783B">
              <w:rPr>
                <w:rFonts w:ascii="Times New Roman" w:eastAsia="Calibri" w:hAnsi="Times New Roman" w:cs="Times New Roman"/>
                <w:bCs/>
                <w:sz w:val="24"/>
                <w:szCs w:val="24"/>
                <w:lang w:eastAsia="lv-LV"/>
              </w:rPr>
              <w:t xml:space="preserve"> darbības specifiku</w:t>
            </w:r>
            <w:r w:rsidR="001E783B">
              <w:rPr>
                <w:rFonts w:ascii="Times New Roman" w:eastAsia="Calibri" w:hAnsi="Times New Roman" w:cs="Times New Roman"/>
                <w:bCs/>
                <w:sz w:val="24"/>
                <w:szCs w:val="24"/>
                <w:lang w:eastAsia="lv-LV"/>
              </w:rPr>
              <w:t xml:space="preserve">, tieši </w:t>
            </w:r>
            <w:r w:rsidRPr="001E783B" w:rsidR="001E783B">
              <w:rPr>
                <w:rFonts w:ascii="Times New Roman" w:eastAsia="Calibri" w:hAnsi="Times New Roman" w:cs="Times New Roman"/>
                <w:bCs/>
                <w:sz w:val="24"/>
                <w:szCs w:val="24"/>
                <w:lang w:eastAsia="lv-LV"/>
              </w:rPr>
              <w:t>jaunuzņēmumu</w:t>
            </w:r>
            <w:r w:rsidRPr="001E783B" w:rsidR="001E783B">
              <w:rPr>
                <w:rFonts w:ascii="Times New Roman" w:eastAsia="Calibri" w:hAnsi="Times New Roman" w:cs="Times New Roman"/>
                <w:bCs/>
                <w:sz w:val="24"/>
                <w:szCs w:val="24"/>
                <w:lang w:eastAsia="lv-LV"/>
              </w:rPr>
              <w:t xml:space="preserve"> ekosistēmai paredzētajos būtiskākajos ārvalstu pasākumos, </w:t>
            </w:r>
            <w:r w:rsidR="00026F5A">
              <w:rPr>
                <w:rFonts w:ascii="Times New Roman" w:eastAsia="Calibri" w:hAnsi="Times New Roman" w:cs="Times New Roman"/>
                <w:bCs/>
                <w:sz w:val="24"/>
                <w:szCs w:val="24"/>
                <w:lang w:eastAsia="lv-LV"/>
              </w:rPr>
              <w:t xml:space="preserve">piemēram, </w:t>
            </w:r>
            <w:r w:rsidR="001E783B">
              <w:rPr>
                <w:rFonts w:ascii="Times New Roman" w:eastAsia="Calibri" w:hAnsi="Times New Roman" w:cs="Times New Roman"/>
                <w:bCs/>
                <w:sz w:val="24"/>
                <w:szCs w:val="24"/>
                <w:lang w:eastAsia="lv-LV"/>
              </w:rPr>
              <w:t>SLUSH pasākums</w:t>
            </w:r>
            <w:r w:rsidRPr="001E783B" w:rsidR="001E783B">
              <w:rPr>
                <w:rFonts w:ascii="Times New Roman" w:eastAsia="Calibri" w:hAnsi="Times New Roman" w:cs="Times New Roman"/>
                <w:bCs/>
                <w:sz w:val="24"/>
                <w:szCs w:val="24"/>
                <w:lang w:eastAsia="lv-LV"/>
              </w:rPr>
              <w:t xml:space="preserve"> He</w:t>
            </w:r>
            <w:r w:rsidR="001E783B">
              <w:rPr>
                <w:rFonts w:ascii="Times New Roman" w:eastAsia="Calibri" w:hAnsi="Times New Roman" w:cs="Times New Roman"/>
                <w:bCs/>
                <w:sz w:val="24"/>
                <w:szCs w:val="24"/>
                <w:lang w:eastAsia="lv-LV"/>
              </w:rPr>
              <w:t>lsinkos vai tirdzniecības misija</w:t>
            </w:r>
            <w:r w:rsidRPr="001E783B" w:rsidR="001E783B">
              <w:rPr>
                <w:rFonts w:ascii="Times New Roman" w:eastAsia="Calibri" w:hAnsi="Times New Roman" w:cs="Times New Roman"/>
                <w:bCs/>
                <w:sz w:val="24"/>
                <w:szCs w:val="24"/>
                <w:lang w:eastAsia="lv-LV"/>
              </w:rPr>
              <w:t xml:space="preserve"> uz </w:t>
            </w:r>
            <w:r w:rsidRPr="001E783B" w:rsidR="001E783B">
              <w:rPr>
                <w:rFonts w:ascii="Times New Roman" w:eastAsia="Calibri" w:hAnsi="Times New Roman" w:cs="Times New Roman"/>
                <w:bCs/>
                <w:sz w:val="24"/>
                <w:szCs w:val="24"/>
                <w:lang w:eastAsia="lv-LV"/>
              </w:rPr>
              <w:t>Silīcijas</w:t>
            </w:r>
            <w:r w:rsidRPr="001E783B" w:rsidR="001E783B">
              <w:rPr>
                <w:rFonts w:ascii="Times New Roman" w:eastAsia="Calibri" w:hAnsi="Times New Roman" w:cs="Times New Roman"/>
                <w:bCs/>
                <w:sz w:val="24"/>
                <w:szCs w:val="24"/>
                <w:lang w:eastAsia="lv-LV"/>
              </w:rPr>
              <w:t xml:space="preserve"> ieleju, ASV. Pasākumi tiks izvēlēti apzinot </w:t>
            </w:r>
            <w:r w:rsidRPr="001E783B" w:rsidR="001E783B">
              <w:rPr>
                <w:rFonts w:ascii="Times New Roman" w:eastAsia="Calibri" w:hAnsi="Times New Roman" w:cs="Times New Roman"/>
                <w:bCs/>
                <w:sz w:val="24"/>
                <w:szCs w:val="24"/>
                <w:lang w:eastAsia="lv-LV"/>
              </w:rPr>
              <w:t>jaunuzņēmumu</w:t>
            </w:r>
            <w:r w:rsidRPr="001E783B" w:rsidR="001E783B">
              <w:rPr>
                <w:rFonts w:ascii="Times New Roman" w:eastAsia="Calibri" w:hAnsi="Times New Roman" w:cs="Times New Roman"/>
                <w:bCs/>
                <w:sz w:val="24"/>
                <w:szCs w:val="24"/>
                <w:lang w:eastAsia="lv-LV"/>
              </w:rPr>
              <w:t xml:space="preserve"> vajadzības un tendences.</w:t>
            </w:r>
            <w:r w:rsidR="00026F5A">
              <w:rPr>
                <w:rFonts w:ascii="Times New Roman" w:eastAsia="Calibri" w:hAnsi="Times New Roman" w:cs="Times New Roman"/>
                <w:bCs/>
                <w:sz w:val="24"/>
                <w:szCs w:val="24"/>
                <w:lang w:eastAsia="lv-LV"/>
              </w:rPr>
              <w:t xml:space="preserve"> kas</w:t>
            </w:r>
            <w:r w:rsidR="001E783B">
              <w:rPr>
                <w:rFonts w:ascii="Times New Roman" w:eastAsia="Calibri" w:hAnsi="Times New Roman" w:cs="Times New Roman"/>
                <w:bCs/>
                <w:sz w:val="24"/>
                <w:szCs w:val="24"/>
                <w:lang w:eastAsia="lv-LV"/>
              </w:rPr>
              <w:t xml:space="preserve"> attiecīgi</w:t>
            </w:r>
            <w:r w:rsidR="00026F5A">
              <w:rPr>
                <w:rFonts w:ascii="Times New Roman" w:eastAsia="Calibri" w:hAnsi="Times New Roman" w:cs="Times New Roman"/>
                <w:bCs/>
                <w:sz w:val="24"/>
                <w:szCs w:val="24"/>
                <w:lang w:eastAsia="lv-LV"/>
              </w:rPr>
              <w:t xml:space="preserve"> citiem komersantiem nebūs aktuāli.</w:t>
            </w:r>
          </w:p>
          <w:p w:rsidR="00BA6A57" w:rsidP="00487661" w14:paraId="1A9C3B09" w14:textId="769185A2">
            <w:pPr>
              <w:spacing w:after="0" w:line="240" w:lineRule="auto"/>
              <w:jc w:val="both"/>
              <w:rPr>
                <w:rFonts w:ascii="Times New Roman" w:eastAsia="Calibri" w:hAnsi="Times New Roman" w:cs="Times New Roman"/>
                <w:bCs/>
                <w:sz w:val="24"/>
                <w:szCs w:val="24"/>
                <w:lang w:eastAsia="lv-LV"/>
              </w:rPr>
            </w:pPr>
          </w:p>
          <w:p w:rsidR="00BA6A57" w:rsidP="00487661" w14:paraId="47C08EFD" w14:textId="5C60F3AF">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Papildus jāatzīmē, ka </w:t>
            </w:r>
            <w:r w:rsidRPr="00BA6A57">
              <w:rPr>
                <w:rFonts w:ascii="Times New Roman" w:eastAsia="Calibri" w:hAnsi="Times New Roman" w:cs="Times New Roman"/>
                <w:bCs/>
                <w:sz w:val="24"/>
                <w:szCs w:val="24"/>
                <w:lang w:eastAsia="lv-LV"/>
              </w:rPr>
              <w:t>izmaksas, kas rad</w:t>
            </w:r>
            <w:r>
              <w:rPr>
                <w:rFonts w:ascii="Times New Roman" w:eastAsia="Calibri" w:hAnsi="Times New Roman" w:cs="Times New Roman"/>
                <w:bCs/>
                <w:sz w:val="24"/>
                <w:szCs w:val="24"/>
                <w:lang w:eastAsia="lv-LV"/>
              </w:rPr>
              <w:t>īsies</w:t>
            </w:r>
            <w:r w:rsidRPr="00BA6A57">
              <w:rPr>
                <w:rFonts w:ascii="Times New Roman" w:eastAsia="Calibri" w:hAnsi="Times New Roman" w:cs="Times New Roman"/>
                <w:bCs/>
                <w:sz w:val="24"/>
                <w:szCs w:val="24"/>
                <w:lang w:eastAsia="lv-LV"/>
              </w:rPr>
              <w:t xml:space="preserve"> organizējot </w:t>
            </w:r>
            <w:r w:rsidRPr="00BA6A57">
              <w:rPr>
                <w:rFonts w:ascii="Times New Roman" w:eastAsia="Calibri" w:hAnsi="Times New Roman" w:cs="Times New Roman"/>
                <w:bCs/>
                <w:sz w:val="24"/>
                <w:szCs w:val="24"/>
                <w:lang w:eastAsia="lv-LV"/>
              </w:rPr>
              <w:t>jaunuzņēmumu</w:t>
            </w:r>
            <w:r w:rsidRPr="00BA6A57">
              <w:rPr>
                <w:rFonts w:ascii="Times New Roman" w:eastAsia="Calibri" w:hAnsi="Times New Roman" w:cs="Times New Roman"/>
                <w:bCs/>
                <w:sz w:val="24"/>
                <w:szCs w:val="24"/>
                <w:lang w:eastAsia="lv-LV"/>
              </w:rPr>
              <w:t xml:space="preserve"> dalību izstādēs, konferencēs un tirdzniecības misijās šo noteikumu 17.1.10. un 17.1.12.apakšpunktā minēto darbību ietvaros, tik</w:t>
            </w:r>
            <w:r>
              <w:rPr>
                <w:rFonts w:ascii="Times New Roman" w:eastAsia="Calibri" w:hAnsi="Times New Roman" w:cs="Times New Roman"/>
                <w:bCs/>
                <w:sz w:val="24"/>
                <w:szCs w:val="24"/>
                <w:lang w:eastAsia="lv-LV"/>
              </w:rPr>
              <w:t>s</w:t>
            </w:r>
            <w:r w:rsidRPr="00BA6A57">
              <w:rPr>
                <w:rFonts w:ascii="Times New Roman" w:eastAsia="Calibri" w:hAnsi="Times New Roman" w:cs="Times New Roman"/>
                <w:bCs/>
                <w:sz w:val="24"/>
                <w:szCs w:val="24"/>
                <w:lang w:eastAsia="lv-LV"/>
              </w:rPr>
              <w:t xml:space="preserve"> uzskaitītas kā </w:t>
            </w:r>
            <w:r w:rsidRPr="00BA6A57">
              <w:rPr>
                <w:rFonts w:ascii="Times New Roman" w:eastAsia="Calibri" w:hAnsi="Times New Roman" w:cs="Times New Roman"/>
                <w:bCs/>
                <w:sz w:val="24"/>
                <w:szCs w:val="24"/>
                <w:lang w:eastAsia="lv-LV"/>
              </w:rPr>
              <w:t>de</w:t>
            </w:r>
            <w:r w:rsidRPr="00BA6A57">
              <w:rPr>
                <w:rFonts w:ascii="Times New Roman" w:eastAsia="Calibri" w:hAnsi="Times New Roman" w:cs="Times New Roman"/>
                <w:bCs/>
                <w:sz w:val="24"/>
                <w:szCs w:val="24"/>
                <w:lang w:eastAsia="lv-LV"/>
              </w:rPr>
              <w:t xml:space="preserve"> </w:t>
            </w:r>
            <w:r w:rsidRPr="00BA6A57">
              <w:rPr>
                <w:rFonts w:ascii="Times New Roman" w:eastAsia="Calibri" w:hAnsi="Times New Roman" w:cs="Times New Roman"/>
                <w:bCs/>
                <w:sz w:val="24"/>
                <w:szCs w:val="24"/>
                <w:lang w:eastAsia="lv-LV"/>
              </w:rPr>
              <w:t>minimis</w:t>
            </w:r>
            <w:r w:rsidRPr="00BA6A57">
              <w:rPr>
                <w:rFonts w:ascii="Times New Roman" w:eastAsia="Calibri" w:hAnsi="Times New Roman" w:cs="Times New Roman"/>
                <w:bCs/>
                <w:sz w:val="24"/>
                <w:szCs w:val="24"/>
                <w:lang w:eastAsia="lv-LV"/>
              </w:rPr>
              <w:t xml:space="preserve"> atbalsts komersantam atbilstoši </w:t>
            </w:r>
            <w:r w:rsidRPr="00BA6A57">
              <w:rPr>
                <w:rFonts w:ascii="Times New Roman" w:eastAsia="Calibri" w:hAnsi="Times New Roman" w:cs="Times New Roman"/>
                <w:bCs/>
                <w:sz w:val="24"/>
                <w:szCs w:val="24"/>
                <w:lang w:eastAsia="lv-LV"/>
              </w:rPr>
              <w:t>de</w:t>
            </w:r>
            <w:r w:rsidRPr="00BA6A57">
              <w:rPr>
                <w:rFonts w:ascii="Times New Roman" w:eastAsia="Calibri" w:hAnsi="Times New Roman" w:cs="Times New Roman"/>
                <w:bCs/>
                <w:sz w:val="24"/>
                <w:szCs w:val="24"/>
                <w:lang w:eastAsia="lv-LV"/>
              </w:rPr>
              <w:t xml:space="preserve"> </w:t>
            </w:r>
            <w:r w:rsidRPr="00BA6A57">
              <w:rPr>
                <w:rFonts w:ascii="Times New Roman" w:eastAsia="Calibri" w:hAnsi="Times New Roman" w:cs="Times New Roman"/>
                <w:bCs/>
                <w:sz w:val="24"/>
                <w:szCs w:val="24"/>
                <w:lang w:eastAsia="lv-LV"/>
              </w:rPr>
              <w:t>minimis</w:t>
            </w:r>
            <w:r w:rsidRPr="00BA6A57">
              <w:rPr>
                <w:rFonts w:ascii="Times New Roman" w:eastAsia="Calibri" w:hAnsi="Times New Roman" w:cs="Times New Roman"/>
                <w:bCs/>
                <w:sz w:val="24"/>
                <w:szCs w:val="24"/>
                <w:lang w:eastAsia="lv-LV"/>
              </w:rPr>
              <w:t xml:space="preserve"> atbalsta nosacījumiem, piemērojot 100% intensitāti.</w:t>
            </w:r>
            <w:r>
              <w:rPr>
                <w:rFonts w:ascii="Times New Roman" w:eastAsia="Calibri" w:hAnsi="Times New Roman" w:cs="Times New Roman"/>
                <w:bCs/>
                <w:sz w:val="24"/>
                <w:szCs w:val="24"/>
                <w:lang w:eastAsia="lv-LV"/>
              </w:rPr>
              <w:t xml:space="preserve"> </w:t>
            </w:r>
            <w:r w:rsidR="0097107F">
              <w:rPr>
                <w:rFonts w:ascii="Times New Roman" w:eastAsia="Calibri" w:hAnsi="Times New Roman" w:cs="Times New Roman"/>
                <w:bCs/>
                <w:sz w:val="24"/>
                <w:szCs w:val="24"/>
                <w:lang w:eastAsia="lv-LV"/>
              </w:rPr>
              <w:t>Tā kā LIAA kā finansējuma saņēmējs</w:t>
            </w:r>
            <w:r w:rsidR="00934B6D">
              <w:rPr>
                <w:rFonts w:ascii="Times New Roman" w:eastAsia="Calibri" w:hAnsi="Times New Roman" w:cs="Times New Roman"/>
                <w:bCs/>
                <w:sz w:val="24"/>
                <w:szCs w:val="24"/>
                <w:lang w:eastAsia="lv-LV"/>
              </w:rPr>
              <w:t xml:space="preserve"> komersantam nodrošina pieeju kompleksam</w:t>
            </w:r>
            <w:r w:rsidR="0097107F">
              <w:rPr>
                <w:rFonts w:ascii="Times New Roman" w:eastAsia="Calibri" w:hAnsi="Times New Roman" w:cs="Times New Roman"/>
                <w:bCs/>
                <w:sz w:val="24"/>
                <w:szCs w:val="24"/>
                <w:lang w:eastAsia="lv-LV"/>
              </w:rPr>
              <w:t xml:space="preserve"> </w:t>
            </w:r>
            <w:r w:rsidR="00934B6D">
              <w:rPr>
                <w:rFonts w:ascii="Times New Roman" w:eastAsia="Calibri" w:hAnsi="Times New Roman" w:cs="Times New Roman"/>
                <w:bCs/>
                <w:sz w:val="24"/>
                <w:szCs w:val="24"/>
                <w:lang w:eastAsia="lv-LV"/>
              </w:rPr>
              <w:t>pakalpojumu kopumam</w:t>
            </w:r>
            <w:r w:rsidR="0097107F">
              <w:rPr>
                <w:rFonts w:ascii="Times New Roman" w:eastAsia="Calibri" w:hAnsi="Times New Roman" w:cs="Times New Roman"/>
                <w:bCs/>
                <w:sz w:val="24"/>
                <w:szCs w:val="24"/>
                <w:lang w:eastAsia="lv-LV"/>
              </w:rPr>
              <w:t>, ko tirgū nepiedāvā citi tirgus dalībnieki, tiek nodrošināts, ka tiek ievērotas ar komercdarbības atbalstu saistītās prasības.</w:t>
            </w:r>
          </w:p>
          <w:p w:rsidR="001E783B" w:rsidP="00487661" w14:paraId="2B7AD572" w14:textId="77777777">
            <w:pPr>
              <w:spacing w:after="0" w:line="240" w:lineRule="auto"/>
              <w:jc w:val="both"/>
              <w:rPr>
                <w:rFonts w:ascii="Times New Roman" w:eastAsia="Calibri" w:hAnsi="Times New Roman" w:cs="Times New Roman"/>
                <w:bCs/>
                <w:sz w:val="24"/>
                <w:szCs w:val="24"/>
                <w:lang w:eastAsia="lv-LV"/>
              </w:rPr>
            </w:pPr>
          </w:p>
          <w:p w:rsidR="00D8360B" w:rsidP="00487661" w14:paraId="6BB9A905" w14:textId="212717A2">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Turklāt, lai tiktu novērsts dubultā finansējuma risks, LIAA kā finansējuma saņēmēj</w:t>
            </w:r>
            <w:r w:rsidR="002534D1">
              <w:rPr>
                <w:rFonts w:ascii="Times New Roman" w:eastAsia="Calibri" w:hAnsi="Times New Roman" w:cs="Times New Roman"/>
                <w:bCs/>
                <w:sz w:val="24"/>
                <w:szCs w:val="24"/>
                <w:lang w:eastAsia="lv-LV"/>
              </w:rPr>
              <w:t>a pienākums ir pārliecināties,</w:t>
            </w:r>
            <w:r>
              <w:rPr>
                <w:rFonts w:ascii="Times New Roman" w:eastAsia="Calibri" w:hAnsi="Times New Roman" w:cs="Times New Roman"/>
                <w:bCs/>
                <w:sz w:val="24"/>
                <w:szCs w:val="24"/>
                <w:lang w:eastAsia="lv-LV"/>
              </w:rPr>
              <w:t xml:space="preserve"> </w:t>
            </w:r>
            <w:r w:rsidR="00C13951">
              <w:rPr>
                <w:rFonts w:ascii="Times New Roman" w:eastAsia="Calibri" w:hAnsi="Times New Roman" w:cs="Times New Roman"/>
                <w:bCs/>
                <w:sz w:val="24"/>
                <w:szCs w:val="24"/>
                <w:lang w:eastAsia="lv-LV"/>
              </w:rPr>
              <w:t>vai komersants par vienām un tām pašām darbībām nepieprasa ES fondu finansējumu.</w:t>
            </w:r>
            <w:r w:rsidR="00E33C0A">
              <w:rPr>
                <w:rFonts w:ascii="Times New Roman" w:eastAsia="Calibri" w:hAnsi="Times New Roman" w:cs="Times New Roman"/>
                <w:bCs/>
                <w:sz w:val="24"/>
                <w:szCs w:val="24"/>
                <w:lang w:eastAsia="lv-LV"/>
              </w:rPr>
              <w:t xml:space="preserve"> </w:t>
            </w:r>
            <w:r w:rsidRPr="001E783B" w:rsidR="00AF7E80">
              <w:rPr>
                <w:rFonts w:ascii="Times New Roman" w:eastAsia="Calibri" w:hAnsi="Times New Roman" w:cs="Times New Roman"/>
                <w:bCs/>
                <w:sz w:val="24"/>
                <w:szCs w:val="24"/>
                <w:lang w:eastAsia="lv-LV"/>
              </w:rPr>
              <w:t xml:space="preserve">LIAA organizētās tirdzniecības misijas un nacionālie  stendi </w:t>
            </w:r>
            <w:r w:rsidR="00AF7E80">
              <w:rPr>
                <w:rFonts w:ascii="Times New Roman" w:eastAsia="Calibri" w:hAnsi="Times New Roman" w:cs="Times New Roman"/>
                <w:bCs/>
                <w:sz w:val="24"/>
                <w:szCs w:val="24"/>
                <w:lang w:eastAsia="lv-LV"/>
              </w:rPr>
              <w:t>1.2.1.2.pasākuma ietvaros ir</w:t>
            </w:r>
            <w:r w:rsidRPr="001E783B" w:rsidR="00AF7E80">
              <w:rPr>
                <w:rFonts w:ascii="Times New Roman" w:eastAsia="Calibri" w:hAnsi="Times New Roman" w:cs="Times New Roman"/>
                <w:bCs/>
                <w:sz w:val="24"/>
                <w:szCs w:val="24"/>
                <w:lang w:eastAsia="lv-LV"/>
              </w:rPr>
              <w:t xml:space="preserve"> specifiski orientēti uz </w:t>
            </w:r>
            <w:r w:rsidRPr="001E783B" w:rsidR="00AF7E80">
              <w:rPr>
                <w:rFonts w:ascii="Times New Roman" w:eastAsia="Calibri" w:hAnsi="Times New Roman" w:cs="Times New Roman"/>
                <w:bCs/>
                <w:sz w:val="24"/>
                <w:szCs w:val="24"/>
                <w:lang w:eastAsia="lv-LV"/>
              </w:rPr>
              <w:t>jaunuzņēmumiem</w:t>
            </w:r>
            <w:r w:rsidR="00AF7E80">
              <w:rPr>
                <w:rFonts w:ascii="Times New Roman" w:eastAsia="Calibri" w:hAnsi="Times New Roman" w:cs="Times New Roman"/>
                <w:bCs/>
                <w:sz w:val="24"/>
                <w:szCs w:val="24"/>
                <w:lang w:eastAsia="lv-LV"/>
              </w:rPr>
              <w:t>.</w:t>
            </w:r>
            <w:r w:rsidR="002534D1">
              <w:rPr>
                <w:rFonts w:ascii="Times New Roman" w:eastAsia="Calibri" w:hAnsi="Times New Roman" w:cs="Times New Roman"/>
                <w:bCs/>
                <w:sz w:val="24"/>
                <w:szCs w:val="24"/>
                <w:lang w:eastAsia="lv-LV"/>
              </w:rPr>
              <w:t xml:space="preserve"> Detalizēts procedūras apraksts ietverts LIAA izstrādātajā kārtībā, kādā piešķir atbalstu </w:t>
            </w:r>
            <w:r w:rsidR="002534D1">
              <w:rPr>
                <w:rFonts w:ascii="Times New Roman" w:eastAsia="Calibri" w:hAnsi="Times New Roman" w:cs="Times New Roman"/>
                <w:bCs/>
                <w:sz w:val="24"/>
                <w:szCs w:val="24"/>
                <w:lang w:eastAsia="lv-LV"/>
              </w:rPr>
              <w:t>jaunuzņēmumiem</w:t>
            </w:r>
            <w:r w:rsidR="002534D1">
              <w:rPr>
                <w:rFonts w:ascii="Times New Roman" w:eastAsia="Calibri" w:hAnsi="Times New Roman" w:cs="Times New Roman"/>
                <w:bCs/>
                <w:sz w:val="24"/>
                <w:szCs w:val="24"/>
                <w:lang w:eastAsia="lv-LV"/>
              </w:rPr>
              <w:t>.</w:t>
            </w:r>
          </w:p>
          <w:p w:rsidR="00A9761D" w:rsidRPr="00941CF7" w:rsidP="00487661" w14:paraId="5A4E9CA7" w14:textId="43628037">
            <w:pPr>
              <w:spacing w:after="0" w:line="240" w:lineRule="auto"/>
              <w:jc w:val="both"/>
              <w:rPr>
                <w:rFonts w:ascii="Times New Roman" w:eastAsia="Calibri" w:hAnsi="Times New Roman" w:cs="Times New Roman"/>
                <w:bCs/>
                <w:sz w:val="24"/>
                <w:szCs w:val="24"/>
                <w:lang w:eastAsia="lv-LV"/>
              </w:rPr>
            </w:pPr>
            <w:r w:rsidRPr="00941CF7">
              <w:rPr>
                <w:rFonts w:ascii="Times New Roman" w:eastAsia="Calibri" w:hAnsi="Times New Roman" w:cs="Times New Roman"/>
                <w:bCs/>
                <w:sz w:val="24"/>
                <w:szCs w:val="24"/>
                <w:lang w:eastAsia="lv-LV"/>
              </w:rPr>
              <w:t>Līdz ar to, ņ</w:t>
            </w:r>
            <w:r w:rsidRPr="00941CF7" w:rsidR="006D1B1B">
              <w:rPr>
                <w:rFonts w:ascii="Times New Roman" w:eastAsia="Calibri" w:hAnsi="Times New Roman" w:cs="Times New Roman"/>
                <w:bCs/>
                <w:sz w:val="24"/>
                <w:szCs w:val="24"/>
                <w:lang w:eastAsia="lv-LV"/>
              </w:rPr>
              <w:t>emot vērā</w:t>
            </w:r>
            <w:r w:rsidRPr="00941CF7">
              <w:rPr>
                <w:rFonts w:ascii="Times New Roman" w:eastAsia="Calibri" w:hAnsi="Times New Roman" w:cs="Times New Roman"/>
                <w:bCs/>
                <w:sz w:val="24"/>
                <w:szCs w:val="24"/>
                <w:lang w:eastAsia="lv-LV"/>
              </w:rPr>
              <w:t xml:space="preserve"> iepriekš minēto</w:t>
            </w:r>
            <w:r w:rsidR="00287BB5">
              <w:rPr>
                <w:rFonts w:ascii="Times New Roman" w:eastAsia="Calibri" w:hAnsi="Times New Roman" w:cs="Times New Roman"/>
                <w:bCs/>
                <w:sz w:val="24"/>
                <w:szCs w:val="24"/>
                <w:lang w:eastAsia="lv-LV"/>
              </w:rPr>
              <w:t xml:space="preserve"> un to, ka </w:t>
            </w:r>
            <w:r w:rsidRPr="006861CE" w:rsidR="00287BB5">
              <w:rPr>
                <w:rFonts w:ascii="Times New Roman" w:eastAsia="Calibri" w:hAnsi="Times New Roman" w:cs="Times New Roman"/>
                <w:bCs/>
                <w:sz w:val="24"/>
                <w:szCs w:val="24"/>
                <w:lang w:eastAsia="lv-LV"/>
              </w:rPr>
              <w:t xml:space="preserve">1.2.1.2.pasākuma MK noteikumu grozījumu projekta 18.1.13. un 18.1.14.apakšpunktā minēto darbību – nacionālo stendu un tirdzniecības misiju organizēšana – </w:t>
            </w:r>
            <w:r w:rsidRPr="006861CE" w:rsidR="00287BB5">
              <w:rPr>
                <w:rFonts w:ascii="Times New Roman" w:eastAsia="Calibri" w:hAnsi="Times New Roman" w:cs="Times New Roman"/>
                <w:bCs/>
                <w:sz w:val="24"/>
                <w:szCs w:val="24"/>
                <w:lang w:eastAsia="lv-LV"/>
              </w:rPr>
              <w:t>attiecināmās izmaksas attiecas uz minēto dar</w:t>
            </w:r>
            <w:r w:rsidR="00287BB5">
              <w:rPr>
                <w:rFonts w:ascii="Times New Roman" w:eastAsia="Calibri" w:hAnsi="Times New Roman" w:cs="Times New Roman"/>
                <w:bCs/>
                <w:sz w:val="24"/>
                <w:szCs w:val="24"/>
                <w:lang w:eastAsia="lv-LV"/>
              </w:rPr>
              <w:t xml:space="preserve">bību organizētāju, t.i. uz LIAA, </w:t>
            </w:r>
            <w:r w:rsidRPr="00941CF7">
              <w:rPr>
                <w:rFonts w:ascii="Times New Roman" w:eastAsia="Calibri" w:hAnsi="Times New Roman" w:cs="Times New Roman"/>
                <w:bCs/>
                <w:sz w:val="24"/>
                <w:szCs w:val="24"/>
                <w:lang w:eastAsia="lv-LV"/>
              </w:rPr>
              <w:t>uzskatām, ka</w:t>
            </w:r>
            <w:r w:rsidRPr="00941CF7" w:rsidR="00871A9B">
              <w:rPr>
                <w:rFonts w:ascii="Times New Roman" w:eastAsia="Calibri" w:hAnsi="Times New Roman" w:cs="Times New Roman"/>
                <w:bCs/>
                <w:sz w:val="24"/>
                <w:szCs w:val="24"/>
                <w:lang w:eastAsia="lv-LV"/>
              </w:rPr>
              <w:t xml:space="preserve"> šobrīd</w:t>
            </w:r>
            <w:r w:rsidRPr="00941CF7">
              <w:rPr>
                <w:rFonts w:ascii="Times New Roman" w:eastAsia="Calibri" w:hAnsi="Times New Roman" w:cs="Times New Roman"/>
                <w:bCs/>
                <w:sz w:val="24"/>
                <w:szCs w:val="24"/>
                <w:lang w:eastAsia="lv-LV"/>
              </w:rPr>
              <w:t xml:space="preserve"> 1.2.1.2.pasākuma un 3.2.1.2.pasākuma</w:t>
            </w:r>
            <w:r w:rsidRPr="00941CF7" w:rsidR="00B93BC8">
              <w:rPr>
                <w:rFonts w:ascii="Times New Roman" w:eastAsia="Calibri" w:hAnsi="Times New Roman" w:cs="Times New Roman"/>
                <w:bCs/>
                <w:sz w:val="24"/>
                <w:szCs w:val="24"/>
                <w:lang w:eastAsia="lv-LV"/>
              </w:rPr>
              <w:t xml:space="preserve"> </w:t>
            </w:r>
            <w:r w:rsidRPr="00941CF7">
              <w:rPr>
                <w:rFonts w:ascii="Times New Roman" w:eastAsia="Calibri" w:hAnsi="Times New Roman" w:cs="Times New Roman"/>
                <w:bCs/>
                <w:sz w:val="24"/>
                <w:szCs w:val="24"/>
                <w:lang w:eastAsia="lv-LV"/>
              </w:rPr>
              <w:t xml:space="preserve">ietvaros pieejamais atbalsts </w:t>
            </w:r>
            <w:r w:rsidRPr="00941CF7" w:rsidR="009E7D11">
              <w:rPr>
                <w:rFonts w:ascii="Times New Roman" w:eastAsia="Calibri" w:hAnsi="Times New Roman" w:cs="Times New Roman"/>
                <w:bCs/>
                <w:sz w:val="24"/>
                <w:szCs w:val="24"/>
                <w:lang w:eastAsia="lv-LV"/>
              </w:rPr>
              <w:t xml:space="preserve"> nepārklāsies</w:t>
            </w:r>
            <w:r w:rsidRPr="00941CF7">
              <w:rPr>
                <w:rFonts w:ascii="Times New Roman" w:eastAsia="Calibri" w:hAnsi="Times New Roman" w:cs="Times New Roman"/>
                <w:bCs/>
                <w:sz w:val="24"/>
                <w:szCs w:val="24"/>
                <w:lang w:eastAsia="lv-LV"/>
              </w:rPr>
              <w:t>.</w:t>
            </w:r>
          </w:p>
          <w:p w:rsidR="009204D7" w:rsidP="00487661" w14:paraId="4D68316D" w14:textId="77777777">
            <w:pPr>
              <w:spacing w:after="0" w:line="240" w:lineRule="auto"/>
              <w:jc w:val="both"/>
              <w:rPr>
                <w:rFonts w:ascii="Times New Roman" w:eastAsia="Calibri" w:hAnsi="Times New Roman" w:cs="Times New Roman"/>
                <w:bCs/>
                <w:sz w:val="24"/>
                <w:szCs w:val="24"/>
                <w:lang w:eastAsia="lv-LV"/>
              </w:rPr>
            </w:pPr>
          </w:p>
          <w:p w:rsidR="00055D4A" w:rsidP="00487661" w14:paraId="7570DBD2" w14:textId="7777777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Lai veicinātu 1.2.1.2. pasākuma realizāciju, ar Eiropas komisijas atbalstu tika veikta ārējā eksperta (Somijas eksperts - </w:t>
            </w:r>
            <w:r w:rsidRPr="00487661">
              <w:rPr>
                <w:rFonts w:ascii="Times New Roman" w:eastAsia="Times New Roman" w:hAnsi="Times New Roman" w:cs="Times New Roman"/>
                <w:iCs/>
                <w:sz w:val="24"/>
                <w:szCs w:val="24"/>
                <w:lang w:eastAsia="lv-LV"/>
              </w:rPr>
              <w:t>Jari</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Romanainen</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izvērtējums</w:t>
            </w:r>
            <w:r w:rsidRPr="00487661">
              <w:rPr>
                <w:rFonts w:ascii="Times New Roman" w:eastAsia="Times New Roman" w:hAnsi="Times New Roman" w:cs="Times New Roman"/>
                <w:iCs/>
                <w:sz w:val="24"/>
                <w:szCs w:val="24"/>
                <w:lang w:eastAsia="lv-LV"/>
              </w:rPr>
              <w:t xml:space="preserve"> par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programmas struktūru, atbalsta instrumentiem un programmas īstenošanu. 2017.gada 30.jūnijā eksperts prezentēja secinājumus par programmas īstenošanas procesu un priekšlikumus turpmākajai pasākuma pilnveidei. Viens no būtiskiem secinājumiem, ko eksperts prezentēja savā </w:t>
            </w:r>
            <w:r w:rsidRPr="00487661">
              <w:rPr>
                <w:rFonts w:ascii="Times New Roman" w:eastAsia="Times New Roman" w:hAnsi="Times New Roman" w:cs="Times New Roman"/>
                <w:iCs/>
                <w:sz w:val="24"/>
                <w:szCs w:val="24"/>
                <w:lang w:eastAsia="lv-LV"/>
              </w:rPr>
              <w:t>izvērtējumā</w:t>
            </w:r>
            <w:r w:rsidRPr="00487661">
              <w:rPr>
                <w:rFonts w:ascii="Times New Roman" w:eastAsia="Times New Roman" w:hAnsi="Times New Roman" w:cs="Times New Roman"/>
                <w:iCs/>
                <w:sz w:val="24"/>
                <w:szCs w:val="24"/>
                <w:lang w:eastAsia="lv-LV"/>
              </w:rPr>
              <w:t xml:space="preserve"> saistīts ar esošo atbalsta summu 300 000 </w:t>
            </w:r>
            <w:r w:rsidRPr="00A03BBA">
              <w:rPr>
                <w:rFonts w:ascii="Times New Roman" w:eastAsia="Times New Roman" w:hAnsi="Times New Roman" w:cs="Times New Roman"/>
                <w:i/>
                <w:iCs/>
                <w:sz w:val="24"/>
                <w:szCs w:val="24"/>
                <w:lang w:eastAsia="lv-LV"/>
              </w:rPr>
              <w:t>euro</w:t>
            </w:r>
            <w:r w:rsidRPr="00487661">
              <w:rPr>
                <w:rFonts w:ascii="Times New Roman" w:eastAsia="Times New Roman" w:hAnsi="Times New Roman" w:cs="Times New Roman"/>
                <w:iCs/>
                <w:sz w:val="24"/>
                <w:szCs w:val="24"/>
                <w:lang w:eastAsia="lv-LV"/>
              </w:rPr>
              <w:t xml:space="preserve"> apmērā pētniecības rezultātu </w:t>
            </w:r>
            <w:r w:rsidRPr="00487661">
              <w:rPr>
                <w:rFonts w:ascii="Times New Roman" w:eastAsia="Times New Roman" w:hAnsi="Times New Roman" w:cs="Times New Roman"/>
                <w:iCs/>
                <w:sz w:val="24"/>
                <w:szCs w:val="24"/>
                <w:lang w:eastAsia="lv-LV"/>
              </w:rPr>
              <w:t>komercializācijai</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Izvērtējumā</w:t>
            </w:r>
            <w:r w:rsidRPr="00487661">
              <w:rPr>
                <w:rFonts w:ascii="Times New Roman" w:eastAsia="Times New Roman" w:hAnsi="Times New Roman" w:cs="Times New Roman"/>
                <w:iCs/>
                <w:sz w:val="24"/>
                <w:szCs w:val="24"/>
                <w:lang w:eastAsia="lv-LV"/>
              </w:rPr>
              <w:t xml:space="preserve"> tika norādīts, ka šāds finansējums augsta tehnoloģijas gatavības līmeņa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gadījumos būtu pietiekams tikai pie nosacījuma, kad nav nepieciešami ievērojami resursu ieguldījumi eksperimentālās izstrādes (tai skaitā prototipu izgatavošanai) nodrošināšanai. Lai nodrošinātu, ka finansējums ir pieejams arī tādos gadījumos, kad vajadzīgi lielāki resursi atbalstāmajām darbībām, būtu nepieciešams rast iespēju palielināt maksimālo atbalsta apjoma summu.</w:t>
            </w:r>
          </w:p>
          <w:p w:rsidR="00055D4A" w:rsidP="00487661" w14:paraId="7C9C69F8" w14:textId="4A9C8650">
            <w:pPr>
              <w:spacing w:after="0" w:line="240" w:lineRule="auto"/>
              <w:jc w:val="both"/>
              <w:rPr>
                <w:rFonts w:ascii="Times New Roman" w:eastAsia="Times New Roman" w:hAnsi="Times New Roman" w:cs="Times New Roman"/>
                <w:iCs/>
                <w:sz w:val="24"/>
                <w:szCs w:val="24"/>
                <w:lang w:eastAsia="lv-LV"/>
              </w:rPr>
            </w:pPr>
            <w:r w:rsidRPr="00055D4A">
              <w:rPr>
                <w:rFonts w:ascii="Times New Roman" w:eastAsia="Times New Roman" w:hAnsi="Times New Roman" w:cs="Times New Roman"/>
                <w:iCs/>
                <w:sz w:val="24"/>
                <w:szCs w:val="24"/>
                <w:lang w:eastAsia="lv-LV"/>
              </w:rPr>
              <w:t>MK</w:t>
            </w:r>
            <w:r>
              <w:rPr>
                <w:rFonts w:ascii="Times New Roman" w:eastAsia="Times New Roman" w:hAnsi="Times New Roman" w:cs="Times New Roman"/>
                <w:iCs/>
                <w:sz w:val="24"/>
                <w:szCs w:val="24"/>
                <w:lang w:eastAsia="lv-LV"/>
              </w:rPr>
              <w:t xml:space="preserve"> noteikumi Nr.</w:t>
            </w:r>
            <w:r w:rsidRPr="00055D4A">
              <w:rPr>
                <w:rFonts w:ascii="Times New Roman" w:eastAsia="Times New Roman" w:hAnsi="Times New Roman" w:cs="Times New Roman"/>
                <w:iCs/>
                <w:sz w:val="24"/>
                <w:szCs w:val="24"/>
                <w:lang w:eastAsia="lv-LV"/>
              </w:rPr>
              <w:t xml:space="preserve">692 </w:t>
            </w:r>
            <w:r>
              <w:rPr>
                <w:rFonts w:ascii="Times New Roman" w:eastAsia="Times New Roman" w:hAnsi="Times New Roman" w:cs="Times New Roman"/>
                <w:iCs/>
                <w:sz w:val="24"/>
                <w:szCs w:val="24"/>
                <w:lang w:eastAsia="lv-LV"/>
              </w:rPr>
              <w:t>jau šobrīd paredz</w:t>
            </w:r>
            <w:r w:rsidRPr="00055D4A">
              <w:rPr>
                <w:rFonts w:ascii="Times New Roman" w:eastAsia="Times New Roman" w:hAnsi="Times New Roman" w:cs="Times New Roman"/>
                <w:iCs/>
                <w:sz w:val="24"/>
                <w:szCs w:val="24"/>
                <w:lang w:eastAsia="lv-LV"/>
              </w:rPr>
              <w:t xml:space="preserve"> iespēju īstenot </w:t>
            </w:r>
            <w:r w:rsidRPr="00055D4A">
              <w:rPr>
                <w:rFonts w:ascii="Times New Roman" w:eastAsia="Times New Roman" w:hAnsi="Times New Roman" w:cs="Times New Roman"/>
                <w:iCs/>
                <w:sz w:val="24"/>
                <w:szCs w:val="24"/>
                <w:lang w:eastAsia="lv-LV"/>
              </w:rPr>
              <w:t>komercializācijas</w:t>
            </w:r>
            <w:r w:rsidRPr="00055D4A">
              <w:rPr>
                <w:rFonts w:ascii="Times New Roman" w:eastAsia="Times New Roman" w:hAnsi="Times New Roman" w:cs="Times New Roman"/>
                <w:iCs/>
                <w:sz w:val="24"/>
                <w:szCs w:val="24"/>
                <w:lang w:eastAsia="lv-LV"/>
              </w:rPr>
              <w:t xml:space="preserve"> projektu, ja tiek ievērots MK</w:t>
            </w:r>
            <w:r>
              <w:rPr>
                <w:rFonts w:ascii="Times New Roman" w:eastAsia="Times New Roman" w:hAnsi="Times New Roman" w:cs="Times New Roman"/>
                <w:iCs/>
                <w:sz w:val="24"/>
                <w:szCs w:val="24"/>
                <w:lang w:eastAsia="lv-LV"/>
              </w:rPr>
              <w:t xml:space="preserve"> noteikumu Nr.</w:t>
            </w:r>
            <w:r w:rsidRPr="00055D4A">
              <w:rPr>
                <w:rFonts w:ascii="Times New Roman" w:eastAsia="Times New Roman" w:hAnsi="Times New Roman" w:cs="Times New Roman"/>
                <w:iCs/>
                <w:sz w:val="24"/>
                <w:szCs w:val="24"/>
                <w:lang w:eastAsia="lv-LV"/>
              </w:rPr>
              <w:t xml:space="preserve">692 31.6.punkts, kas skaidri definē, ka ienākumi, ko pētniecības organizācija gūst par tādu projektu </w:t>
            </w:r>
            <w:r w:rsidRPr="00055D4A">
              <w:rPr>
                <w:rFonts w:ascii="Times New Roman" w:eastAsia="Times New Roman" w:hAnsi="Times New Roman" w:cs="Times New Roman"/>
                <w:iCs/>
                <w:sz w:val="24"/>
                <w:szCs w:val="24"/>
                <w:lang w:eastAsia="lv-LV"/>
              </w:rPr>
              <w:t>komercializāciju</w:t>
            </w:r>
            <w:r w:rsidRPr="00055D4A">
              <w:rPr>
                <w:rFonts w:ascii="Times New Roman" w:eastAsia="Times New Roman" w:hAnsi="Times New Roman" w:cs="Times New Roman"/>
                <w:iCs/>
                <w:sz w:val="24"/>
                <w:szCs w:val="24"/>
                <w:lang w:eastAsia="lv-LV"/>
              </w:rPr>
              <w:t>, kuri līdzfinansēti no šo noteikumu 17.1.6.apakšpunktā minētā fonda, ir jāiegulda pētniecības organizācijas pamatdarbībā.</w:t>
            </w:r>
          </w:p>
          <w:p w:rsidR="00055D4A" w:rsidP="00487661" w14:paraId="4501CAEE" w14:textId="439FB9A0">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Līdz ar to, lai sekmētu pētniecības rezultātu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un patentēšanas fonda efektīvāku darbību, MK noteikumi Nr.692 tiek papildināti ar jaunu nosacījumu, paredzot iespēju palielināt pieejamo atbalsta summu</w:t>
            </w:r>
            <w:r>
              <w:rPr>
                <w:rFonts w:ascii="Times New Roman" w:eastAsia="Times New Roman" w:hAnsi="Times New Roman" w:cs="Times New Roman"/>
                <w:iCs/>
                <w:sz w:val="24"/>
                <w:szCs w:val="24"/>
                <w:lang w:eastAsia="lv-LV"/>
              </w:rPr>
              <w:t xml:space="preserve"> </w:t>
            </w:r>
            <w:r w:rsidRPr="00055D4A">
              <w:rPr>
                <w:rFonts w:ascii="Times New Roman" w:eastAsia="Times New Roman" w:hAnsi="Times New Roman" w:cs="Times New Roman"/>
                <w:iCs/>
                <w:sz w:val="24"/>
                <w:szCs w:val="24"/>
                <w:lang w:eastAsia="lv-LV"/>
              </w:rPr>
              <w:t>ar saimniecisko darbību nesaistītam pētniecības projektam</w:t>
            </w:r>
            <w:r w:rsidRPr="00487661">
              <w:rPr>
                <w:rFonts w:ascii="Times New Roman" w:eastAsia="Times New Roman" w:hAnsi="Times New Roman" w:cs="Times New Roman"/>
                <w:iCs/>
                <w:sz w:val="24"/>
                <w:szCs w:val="24"/>
                <w:lang w:eastAsia="lv-LV"/>
              </w:rPr>
              <w:t xml:space="preserve"> ar augstu </w:t>
            </w:r>
            <w:r w:rsidRPr="00487661">
              <w:rPr>
                <w:rFonts w:ascii="Times New Roman" w:eastAsia="Times New Roman" w:hAnsi="Times New Roman" w:cs="Times New Roman"/>
                <w:iCs/>
                <w:sz w:val="24"/>
                <w:szCs w:val="24"/>
                <w:lang w:eastAsia="lv-LV"/>
              </w:rPr>
              <w:t>komercializācijas</w:t>
            </w:r>
            <w:r w:rsidRPr="00487661">
              <w:rPr>
                <w:rFonts w:ascii="Times New Roman" w:eastAsia="Times New Roman" w:hAnsi="Times New Roman" w:cs="Times New Roman"/>
                <w:iCs/>
                <w:sz w:val="24"/>
                <w:szCs w:val="24"/>
                <w:lang w:eastAsia="lv-LV"/>
              </w:rPr>
              <w:t xml:space="preserve"> potenciālu līdz 600 000 </w:t>
            </w:r>
            <w:r w:rsidRPr="00A03BBA">
              <w:rPr>
                <w:rFonts w:ascii="Times New Roman" w:eastAsia="Times New Roman" w:hAnsi="Times New Roman" w:cs="Times New Roman"/>
                <w:i/>
                <w:iCs/>
                <w:sz w:val="24"/>
                <w:szCs w:val="24"/>
                <w:lang w:eastAsia="lv-LV"/>
              </w:rPr>
              <w:t>euro</w:t>
            </w:r>
            <w:r w:rsidRPr="00487661">
              <w:rPr>
                <w:rFonts w:ascii="Times New Roman" w:eastAsia="Times New Roman" w:hAnsi="Times New Roman" w:cs="Times New Roman"/>
                <w:iCs/>
                <w:sz w:val="24"/>
                <w:szCs w:val="24"/>
                <w:lang w:eastAsia="lv-LV"/>
              </w:rPr>
              <w:t>, ja projekts saņēmis vērtēšanas komisijas apstiprinājumu.</w:t>
            </w:r>
            <w:r w:rsidRPr="00055D4A" w:rsidR="000307AF">
              <w:rPr>
                <w:rFonts w:ascii="Times New Roman" w:eastAsia="Times New Roman" w:hAnsi="Times New Roman" w:cs="Times New Roman"/>
                <w:iCs/>
                <w:sz w:val="24"/>
                <w:szCs w:val="24"/>
                <w:lang w:eastAsia="lv-LV"/>
              </w:rPr>
              <w:t xml:space="preserve"> </w:t>
            </w:r>
          </w:p>
          <w:p w:rsidR="00B07EC6" w:rsidRPr="00B07EC6" w:rsidP="00487661" w14:paraId="58CE404C" w14:textId="77777777">
            <w:p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 xml:space="preserve">Jau šobrīd LIAA izstrādātie vērtēšanas kritēriji paredz, ka </w:t>
            </w:r>
            <w:r w:rsidRPr="00B07EC6">
              <w:rPr>
                <w:rFonts w:ascii="Times New Roman" w:eastAsia="Times New Roman" w:hAnsi="Times New Roman" w:cs="Times New Roman"/>
                <w:iCs/>
                <w:sz w:val="24"/>
                <w:szCs w:val="24"/>
                <w:lang w:eastAsia="lv-LV"/>
              </w:rPr>
              <w:t>komercialziācijas</w:t>
            </w:r>
            <w:r w:rsidRPr="00B07EC6">
              <w:rPr>
                <w:rFonts w:ascii="Times New Roman" w:eastAsia="Times New Roman" w:hAnsi="Times New Roman" w:cs="Times New Roman"/>
                <w:iCs/>
                <w:sz w:val="24"/>
                <w:szCs w:val="24"/>
                <w:lang w:eastAsia="lv-LV"/>
              </w:rPr>
              <w:t xml:space="preserve"> projekta pieteikumā tiek vērtēts </w:t>
            </w:r>
            <w:r w:rsidRPr="00B07EC6">
              <w:rPr>
                <w:rFonts w:ascii="Times New Roman" w:eastAsia="Times New Roman" w:hAnsi="Times New Roman" w:cs="Times New Roman"/>
                <w:iCs/>
                <w:sz w:val="24"/>
                <w:szCs w:val="24"/>
                <w:lang w:eastAsia="lv-LV"/>
              </w:rPr>
              <w:t>komercializācijas</w:t>
            </w:r>
            <w:r w:rsidRPr="00B07EC6">
              <w:rPr>
                <w:rFonts w:ascii="Times New Roman" w:eastAsia="Times New Roman" w:hAnsi="Times New Roman" w:cs="Times New Roman"/>
                <w:iCs/>
                <w:sz w:val="24"/>
                <w:szCs w:val="24"/>
                <w:lang w:eastAsia="lv-LV"/>
              </w:rPr>
              <w:t xml:space="preserve"> potenciāls. Vērtēšanā</w:t>
            </w:r>
            <w:r w:rsidRPr="00B07EC6">
              <w:rPr>
                <w:rFonts w:ascii="Times New Roman" w:eastAsia="Times New Roman" w:hAnsi="Times New Roman" w:cs="Times New Roman"/>
                <w:iCs/>
                <w:sz w:val="24"/>
                <w:szCs w:val="24"/>
                <w:lang w:eastAsia="lv-LV"/>
              </w:rPr>
              <w:t xml:space="preserve"> tiek ņemti vērā šādi aspekti:</w:t>
            </w:r>
          </w:p>
          <w:p w:rsidR="00B07EC6" w:rsidRPr="00B07EC6" w:rsidP="00B07EC6" w14:paraId="54BF8FDD"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ārējā eksperta vērtējums, ka pētniecības rezultāti ir komercializējami;</w:t>
            </w:r>
          </w:p>
          <w:p w:rsidR="00B07EC6" w:rsidRPr="00B07EC6" w:rsidP="00B07EC6" w14:paraId="6B582B80"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plānotā TRL (tehniskais gatavības līmenis) sasniegšana ļoti iespējama;</w:t>
            </w:r>
          </w:p>
          <w:p w:rsidR="005D5E36" w:rsidRPr="00B07EC6" w:rsidP="00B07EC6" w14:paraId="128DEAEF" w14:textId="2CD25B79">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 xml:space="preserve">produktam vai tehnoloģijai, salīdzinot ar analogiem risinājumiem, piemīt skaidri definētas priekšrocības pielietojumam vienā vai vairākās </w:t>
            </w:r>
            <w:r w:rsidRPr="00B07EC6">
              <w:rPr>
                <w:rFonts w:ascii="Times New Roman" w:eastAsia="Times New Roman" w:hAnsi="Times New Roman" w:cs="Times New Roman"/>
                <w:iCs/>
                <w:sz w:val="24"/>
                <w:szCs w:val="24"/>
                <w:lang w:eastAsia="lv-LV"/>
              </w:rPr>
              <w:t>tautsaimniecības nozarēs, un to ir iespējams objektīvi un kvantitatīvi novērtēt;</w:t>
            </w:r>
          </w:p>
          <w:p w:rsidR="005D5E36" w:rsidRPr="00B07EC6" w:rsidP="00B07EC6" w14:paraId="1FB80488" w14:textId="6DD0C7F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ir veikta tirgus analīze, identificēts mērķa tirgus un izvērtēta tā pieejamība;</w:t>
            </w:r>
          </w:p>
          <w:p w:rsidR="00B07EC6" w:rsidRPr="00B07EC6" w:rsidP="00B07EC6" w14:paraId="7D951989" w14:textId="22E3B61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produktam vai tehnoloģijai ir būtiska nozīme strauji augošu tirgu paplašināšanā un ir īpaši augsts investīciju piesaistes potenciāls;</w:t>
            </w:r>
          </w:p>
          <w:p w:rsidR="00B07EC6" w:rsidRPr="00B07EC6" w:rsidP="00B07EC6" w14:paraId="14CE290A" w14:textId="6A6A6999">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komercializācijas</w:t>
            </w:r>
            <w:r w:rsidRPr="00B07EC6">
              <w:rPr>
                <w:rFonts w:ascii="Times New Roman" w:eastAsia="Times New Roman" w:hAnsi="Times New Roman" w:cs="Times New Roman"/>
                <w:iCs/>
                <w:sz w:val="24"/>
                <w:szCs w:val="24"/>
                <w:lang w:eastAsia="lv-LV"/>
              </w:rPr>
              <w:t xml:space="preserve"> stratēģija un plāns ir pamatots un paredz vairākas </w:t>
            </w:r>
            <w:r w:rsidRPr="00B07EC6">
              <w:rPr>
                <w:rFonts w:ascii="Times New Roman" w:eastAsia="Times New Roman" w:hAnsi="Times New Roman" w:cs="Times New Roman"/>
                <w:iCs/>
                <w:sz w:val="24"/>
                <w:szCs w:val="24"/>
                <w:lang w:eastAsia="lv-LV"/>
              </w:rPr>
              <w:t>komercializācijas</w:t>
            </w:r>
            <w:r w:rsidRPr="00B07EC6">
              <w:rPr>
                <w:rFonts w:ascii="Times New Roman" w:eastAsia="Times New Roman" w:hAnsi="Times New Roman" w:cs="Times New Roman"/>
                <w:iCs/>
                <w:sz w:val="24"/>
                <w:szCs w:val="24"/>
                <w:lang w:eastAsia="lv-LV"/>
              </w:rPr>
              <w:t xml:space="preserve"> alternatīvas; aprēķini pierāda, ka </w:t>
            </w:r>
            <w:r w:rsidRPr="00B07EC6">
              <w:rPr>
                <w:rFonts w:ascii="Times New Roman" w:eastAsia="Times New Roman" w:hAnsi="Times New Roman" w:cs="Times New Roman"/>
                <w:iCs/>
                <w:sz w:val="24"/>
                <w:szCs w:val="24"/>
                <w:lang w:eastAsia="lv-LV"/>
              </w:rPr>
              <w:t>komercializācija</w:t>
            </w:r>
            <w:r w:rsidRPr="00B07EC6">
              <w:rPr>
                <w:rFonts w:ascii="Times New Roman" w:eastAsia="Times New Roman" w:hAnsi="Times New Roman" w:cs="Times New Roman"/>
                <w:iCs/>
                <w:sz w:val="24"/>
                <w:szCs w:val="24"/>
                <w:lang w:eastAsia="lv-LV"/>
              </w:rPr>
              <w:t xml:space="preserve"> ir ekonomiski pamatota.</w:t>
            </w:r>
          </w:p>
          <w:p w:rsidR="005D5E36" w:rsidP="00487661" w14:paraId="03BEFA16" w14:textId="7A63B3F1">
            <w:pPr>
              <w:spacing w:after="0" w:line="240" w:lineRule="auto"/>
              <w:jc w:val="both"/>
              <w:rPr>
                <w:rFonts w:ascii="Times New Roman" w:eastAsia="Times New Roman" w:hAnsi="Times New Roman" w:cs="Times New Roman"/>
                <w:iCs/>
                <w:sz w:val="24"/>
                <w:szCs w:val="24"/>
                <w:lang w:eastAsia="lv-LV"/>
              </w:rPr>
            </w:pPr>
            <w:r w:rsidRPr="00B07EC6">
              <w:rPr>
                <w:rFonts w:ascii="Times New Roman" w:eastAsia="Times New Roman" w:hAnsi="Times New Roman" w:cs="Times New Roman"/>
                <w:iCs/>
                <w:sz w:val="24"/>
                <w:szCs w:val="24"/>
                <w:lang w:eastAsia="lv-LV"/>
              </w:rPr>
              <w:t>Papildus tiek vērtēts, vai produktu/tehnoloģiju ir salīdzinoši vienkārši nokomercializēt</w:t>
            </w:r>
            <w:r>
              <w:rPr>
                <w:rFonts w:ascii="Times New Roman" w:eastAsia="Times New Roman" w:hAnsi="Times New Roman" w:cs="Times New Roman"/>
                <w:iCs/>
                <w:sz w:val="24"/>
                <w:szCs w:val="24"/>
                <w:lang w:eastAsia="lv-LV"/>
              </w:rPr>
              <w:t>, un vai produkts/tehnoloģija ir patentējama.</w:t>
            </w:r>
            <w:r w:rsidR="00A17B14">
              <w:rPr>
                <w:rFonts w:ascii="Times New Roman" w:eastAsia="Times New Roman" w:hAnsi="Times New Roman" w:cs="Times New Roman"/>
                <w:iCs/>
                <w:sz w:val="24"/>
                <w:szCs w:val="24"/>
                <w:lang w:eastAsia="lv-LV"/>
              </w:rPr>
              <w:t xml:space="preserve"> </w:t>
            </w:r>
            <w:r w:rsidR="0051445F">
              <w:rPr>
                <w:rFonts w:ascii="Times New Roman" w:eastAsia="Times New Roman" w:hAnsi="Times New Roman" w:cs="Times New Roman"/>
                <w:iCs/>
                <w:sz w:val="24"/>
                <w:szCs w:val="24"/>
                <w:lang w:eastAsia="lv-LV"/>
              </w:rPr>
              <w:t>Augstāks</w:t>
            </w:r>
            <w:r w:rsidRPr="00B07EC6">
              <w:rPr>
                <w:rFonts w:ascii="Times New Roman" w:eastAsia="Times New Roman" w:hAnsi="Times New Roman" w:cs="Times New Roman"/>
                <w:iCs/>
                <w:sz w:val="24"/>
                <w:szCs w:val="24"/>
                <w:lang w:eastAsia="lv-LV"/>
              </w:rPr>
              <w:t xml:space="preserve"> punktu skaits</w:t>
            </w:r>
            <w:r w:rsidR="0051445F">
              <w:rPr>
                <w:rFonts w:ascii="Times New Roman" w:eastAsia="Times New Roman" w:hAnsi="Times New Roman" w:cs="Times New Roman"/>
                <w:iCs/>
                <w:sz w:val="24"/>
                <w:szCs w:val="24"/>
                <w:lang w:eastAsia="lv-LV"/>
              </w:rPr>
              <w:t xml:space="preserve">, kas saņemts projekta pieteikuma vērtēšanā, </w:t>
            </w:r>
            <w:r w:rsidR="008C6EEE">
              <w:rPr>
                <w:rFonts w:ascii="Times New Roman" w:eastAsia="Times New Roman" w:hAnsi="Times New Roman" w:cs="Times New Roman"/>
                <w:iCs/>
                <w:sz w:val="24"/>
                <w:szCs w:val="24"/>
                <w:lang w:eastAsia="lv-LV"/>
              </w:rPr>
              <w:t>kopumā</w:t>
            </w:r>
            <w:r w:rsidRPr="00B07EC6">
              <w:rPr>
                <w:rFonts w:ascii="Times New Roman" w:eastAsia="Times New Roman" w:hAnsi="Times New Roman" w:cs="Times New Roman"/>
                <w:iCs/>
                <w:sz w:val="24"/>
                <w:szCs w:val="24"/>
                <w:lang w:eastAsia="lv-LV"/>
              </w:rPr>
              <w:t xml:space="preserve"> </w:t>
            </w:r>
            <w:r w:rsidR="0051445F">
              <w:rPr>
                <w:rFonts w:ascii="Times New Roman" w:eastAsia="Times New Roman" w:hAnsi="Times New Roman" w:cs="Times New Roman"/>
                <w:iCs/>
                <w:sz w:val="24"/>
                <w:szCs w:val="24"/>
                <w:lang w:eastAsia="lv-LV"/>
              </w:rPr>
              <w:t>liecina</w:t>
            </w:r>
            <w:r w:rsidRPr="00B07EC6">
              <w:rPr>
                <w:rFonts w:ascii="Times New Roman" w:eastAsia="Times New Roman" w:hAnsi="Times New Roman" w:cs="Times New Roman"/>
                <w:iCs/>
                <w:sz w:val="24"/>
                <w:szCs w:val="24"/>
                <w:lang w:eastAsia="lv-LV"/>
              </w:rPr>
              <w:t xml:space="preserve">, ka projektam piemīt  augstāka pievienotā vērtība un augstāks </w:t>
            </w:r>
            <w:r w:rsidRPr="00B07EC6">
              <w:rPr>
                <w:rFonts w:ascii="Times New Roman" w:eastAsia="Times New Roman" w:hAnsi="Times New Roman" w:cs="Times New Roman"/>
                <w:iCs/>
                <w:sz w:val="24"/>
                <w:szCs w:val="24"/>
                <w:lang w:eastAsia="lv-LV"/>
              </w:rPr>
              <w:t>komercializācijas</w:t>
            </w:r>
            <w:r w:rsidRPr="00B07EC6">
              <w:rPr>
                <w:rFonts w:ascii="Times New Roman" w:eastAsia="Times New Roman" w:hAnsi="Times New Roman" w:cs="Times New Roman"/>
                <w:iCs/>
                <w:sz w:val="24"/>
                <w:szCs w:val="24"/>
                <w:lang w:eastAsia="lv-LV"/>
              </w:rPr>
              <w:t xml:space="preserve"> potenciāls. </w:t>
            </w:r>
          </w:p>
          <w:p w:rsidR="00055D4A" w:rsidP="00487661" w14:paraId="634D6700" w14:textId="508CD49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Turklāt, finansējums šādiem projektiem tiks palielināts tikai gadījumā, kad tas būs saņēmis MK noteikumu Nr.692 23.punktā minētās vērtēšanas komisijas saskaņojumu.</w:t>
            </w:r>
          </w:p>
          <w:p w:rsidR="00095B40" w:rsidP="00487661" w14:paraId="7E7EFC8A" w14:textId="6B1A78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Paredzēts, ka ieviešot šāda veida atbalsta pasākumu,</w:t>
            </w:r>
            <w:r w:rsidR="00A8639F">
              <w:rPr>
                <w:rFonts w:ascii="Times New Roman" w:eastAsia="Times New Roman" w:hAnsi="Times New Roman" w:cs="Times New Roman"/>
                <w:iCs/>
                <w:sz w:val="24"/>
                <w:szCs w:val="24"/>
                <w:lang w:eastAsia="lv-LV"/>
              </w:rPr>
              <w:t xml:space="preserve"> kas nodrošina nepieciešamo finansējumu laikietilpīgu pētījumu </w:t>
            </w:r>
            <w:r w:rsidR="001E0233">
              <w:rPr>
                <w:rFonts w:ascii="Times New Roman" w:eastAsia="Times New Roman" w:hAnsi="Times New Roman" w:cs="Times New Roman"/>
                <w:iCs/>
                <w:sz w:val="24"/>
                <w:szCs w:val="24"/>
                <w:lang w:eastAsia="lv-LV"/>
              </w:rPr>
              <w:t>realizācijai</w:t>
            </w:r>
            <w:r w:rsidR="00A8639F">
              <w:rPr>
                <w:rFonts w:ascii="Times New Roman" w:eastAsia="Times New Roman" w:hAnsi="Times New Roman" w:cs="Times New Roman"/>
                <w:iCs/>
                <w:sz w:val="24"/>
                <w:szCs w:val="24"/>
                <w:lang w:eastAsia="lv-LV"/>
              </w:rPr>
              <w:t xml:space="preserve"> (piemēram, medicīnas un farmācijas jomās), </w:t>
            </w:r>
            <w:r>
              <w:rPr>
                <w:rFonts w:ascii="Times New Roman" w:eastAsia="Times New Roman" w:hAnsi="Times New Roman" w:cs="Times New Roman"/>
                <w:iCs/>
                <w:sz w:val="24"/>
                <w:szCs w:val="24"/>
                <w:lang w:eastAsia="lv-LV"/>
              </w:rPr>
              <w:t xml:space="preserve">kopumā varētu </w:t>
            </w:r>
            <w:r w:rsidR="00A8639F">
              <w:rPr>
                <w:rFonts w:ascii="Times New Roman" w:eastAsia="Times New Roman" w:hAnsi="Times New Roman" w:cs="Times New Roman"/>
                <w:iCs/>
                <w:sz w:val="24"/>
                <w:szCs w:val="24"/>
                <w:lang w:eastAsia="lv-LV"/>
              </w:rPr>
              <w:t>sekmēt arī iznākuma rādītāju sasniegšanu</w:t>
            </w:r>
            <w:r w:rsidR="001E0233">
              <w:rPr>
                <w:rFonts w:ascii="Times New Roman" w:eastAsia="Times New Roman" w:hAnsi="Times New Roman" w:cs="Times New Roman"/>
                <w:iCs/>
                <w:sz w:val="24"/>
                <w:szCs w:val="24"/>
                <w:lang w:eastAsia="lv-LV"/>
              </w:rPr>
              <w:t xml:space="preserve"> un palielināt</w:t>
            </w:r>
            <w:r w:rsidR="00A8639F">
              <w:rPr>
                <w:rFonts w:ascii="Times New Roman" w:eastAsia="Times New Roman" w:hAnsi="Times New Roman" w:cs="Times New Roman"/>
                <w:iCs/>
                <w:sz w:val="24"/>
                <w:szCs w:val="24"/>
                <w:lang w:eastAsia="lv-LV"/>
              </w:rPr>
              <w:t xml:space="preserve"> atbalstīto pētniecības rezultātu</w:t>
            </w:r>
            <w:r w:rsidR="001E0233">
              <w:rPr>
                <w:rFonts w:ascii="Times New Roman" w:eastAsia="Times New Roman" w:hAnsi="Times New Roman" w:cs="Times New Roman"/>
                <w:iCs/>
                <w:sz w:val="24"/>
                <w:szCs w:val="24"/>
                <w:lang w:eastAsia="lv-LV"/>
              </w:rPr>
              <w:t xml:space="preserve"> skaitu</w:t>
            </w:r>
            <w:r w:rsidR="00A8639F">
              <w:rPr>
                <w:rFonts w:ascii="Times New Roman" w:eastAsia="Times New Roman" w:hAnsi="Times New Roman" w:cs="Times New Roman"/>
                <w:iCs/>
                <w:sz w:val="24"/>
                <w:szCs w:val="24"/>
                <w:lang w:eastAsia="lv-LV"/>
              </w:rPr>
              <w:t xml:space="preserve"> </w:t>
            </w:r>
            <w:r w:rsidR="00A8639F">
              <w:rPr>
                <w:rFonts w:ascii="Times New Roman" w:eastAsia="Times New Roman" w:hAnsi="Times New Roman" w:cs="Times New Roman"/>
                <w:iCs/>
                <w:sz w:val="24"/>
                <w:szCs w:val="24"/>
                <w:lang w:eastAsia="lv-LV"/>
              </w:rPr>
              <w:t>komercializācijā</w:t>
            </w:r>
            <w:r w:rsidR="00A8639F">
              <w:rPr>
                <w:rFonts w:ascii="Times New Roman" w:eastAsia="Times New Roman" w:hAnsi="Times New Roman" w:cs="Times New Roman"/>
                <w:iCs/>
                <w:sz w:val="24"/>
                <w:szCs w:val="24"/>
                <w:lang w:eastAsia="lv-LV"/>
              </w:rPr>
              <w:t>.</w:t>
            </w:r>
          </w:p>
          <w:p w:rsidR="00CD32F1" w:rsidP="00487661" w14:paraId="5D589823" w14:textId="0B945410">
            <w:pPr>
              <w:spacing w:after="0" w:line="240" w:lineRule="auto"/>
              <w:jc w:val="both"/>
              <w:rPr>
                <w:rFonts w:ascii="Times New Roman" w:eastAsia="Times New Roman" w:hAnsi="Times New Roman" w:cs="Times New Roman"/>
                <w:iCs/>
                <w:sz w:val="24"/>
                <w:szCs w:val="24"/>
                <w:lang w:eastAsia="lv-LV"/>
              </w:rPr>
            </w:pPr>
          </w:p>
          <w:p w:rsidR="002E2F05" w:rsidP="00487661" w14:paraId="5469A408" w14:textId="5F4CBE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komercializācijas</w:t>
            </w:r>
            <w:r>
              <w:rPr>
                <w:rFonts w:ascii="Times New Roman" w:eastAsia="Times New Roman" w:hAnsi="Times New Roman" w:cs="Times New Roman"/>
                <w:iCs/>
                <w:sz w:val="24"/>
                <w:szCs w:val="24"/>
                <w:lang w:eastAsia="lv-LV"/>
              </w:rPr>
              <w:t xml:space="preserve"> projektam paredzētais maksimāli pieejamais finansējums tiktu izmantots efektīvi un tas nebūtu</w:t>
            </w:r>
            <w:r w:rsidRPr="00055D4A">
              <w:rPr>
                <w:rFonts w:ascii="Times New Roman" w:eastAsia="Times New Roman" w:hAnsi="Times New Roman" w:cs="Times New Roman"/>
                <w:iCs/>
                <w:sz w:val="24"/>
                <w:szCs w:val="24"/>
                <w:lang w:eastAsia="lv-LV"/>
              </w:rPr>
              <w:t xml:space="preserve"> jāizlieto </w:t>
            </w:r>
            <w:r>
              <w:rPr>
                <w:rFonts w:ascii="Times New Roman" w:eastAsia="Times New Roman" w:hAnsi="Times New Roman" w:cs="Times New Roman"/>
                <w:iCs/>
                <w:sz w:val="24"/>
                <w:szCs w:val="24"/>
                <w:lang w:eastAsia="lv-LV"/>
              </w:rPr>
              <w:t>saistītajām</w:t>
            </w:r>
            <w:r w:rsidRPr="00055D4A">
              <w:rPr>
                <w:rFonts w:ascii="Times New Roman" w:eastAsia="Times New Roman" w:hAnsi="Times New Roman" w:cs="Times New Roman"/>
                <w:iCs/>
                <w:sz w:val="24"/>
                <w:szCs w:val="24"/>
                <w:lang w:eastAsia="lv-LV"/>
              </w:rPr>
              <w:t xml:space="preserve"> aktivitātēm</w:t>
            </w:r>
            <w:r>
              <w:rPr>
                <w:rFonts w:ascii="Times New Roman" w:eastAsia="Times New Roman" w:hAnsi="Times New Roman" w:cs="Times New Roman"/>
                <w:iCs/>
                <w:sz w:val="24"/>
                <w:szCs w:val="24"/>
                <w:lang w:eastAsia="lv-LV"/>
              </w:rPr>
              <w:t xml:space="preserve"> (piem., īpašumtiesību reģistrēšana)</w:t>
            </w:r>
            <w:r w:rsidRPr="00055D4A">
              <w:rPr>
                <w:rFonts w:ascii="Times New Roman" w:eastAsia="Times New Roman" w:hAnsi="Times New Roman" w:cs="Times New Roman"/>
                <w:iCs/>
                <w:sz w:val="24"/>
                <w:szCs w:val="24"/>
                <w:lang w:eastAsia="lv-LV"/>
              </w:rPr>
              <w:t>, kuru īstenošanai</w:t>
            </w:r>
            <w:r>
              <w:rPr>
                <w:rFonts w:ascii="Times New Roman" w:eastAsia="Times New Roman" w:hAnsi="Times New Roman" w:cs="Times New Roman"/>
                <w:iCs/>
                <w:sz w:val="24"/>
                <w:szCs w:val="24"/>
                <w:lang w:eastAsia="lv-LV"/>
              </w:rPr>
              <w:t xml:space="preserve"> arī nepieciešams ievērojams finansējums, </w:t>
            </w:r>
            <w:r w:rsidRPr="00055D4A">
              <w:rPr>
                <w:rFonts w:ascii="Times New Roman" w:eastAsia="Times New Roman" w:hAnsi="Times New Roman" w:cs="Times New Roman"/>
                <w:iCs/>
                <w:sz w:val="24"/>
                <w:szCs w:val="24"/>
                <w:lang w:eastAsia="lv-LV"/>
              </w:rPr>
              <w:t>noteikumu projekta 1</w:t>
            </w:r>
            <w:r w:rsidR="00BB4F20">
              <w:rPr>
                <w:rFonts w:ascii="Times New Roman" w:eastAsia="Times New Roman" w:hAnsi="Times New Roman" w:cs="Times New Roman"/>
                <w:iCs/>
                <w:sz w:val="24"/>
                <w:szCs w:val="24"/>
                <w:lang w:eastAsia="lv-LV"/>
              </w:rPr>
              <w:t>3</w:t>
            </w:r>
            <w:r w:rsidRPr="00055D4A">
              <w:rPr>
                <w:rFonts w:ascii="Times New Roman" w:eastAsia="Times New Roman" w:hAnsi="Times New Roman" w:cs="Times New Roman"/>
                <w:iCs/>
                <w:sz w:val="24"/>
                <w:szCs w:val="24"/>
                <w:lang w:eastAsia="lv-LV"/>
              </w:rPr>
              <w:t>.punkts paredz ieviest atsevišķu atbalsta pakalpojumu – inte</w:t>
            </w:r>
            <w:r>
              <w:rPr>
                <w:rFonts w:ascii="Times New Roman" w:eastAsia="Times New Roman" w:hAnsi="Times New Roman" w:cs="Times New Roman"/>
                <w:iCs/>
                <w:sz w:val="24"/>
                <w:szCs w:val="24"/>
                <w:lang w:eastAsia="lv-LV"/>
              </w:rPr>
              <w:t xml:space="preserve">lektuālā  īpašuma nostiprināšana. Jaunais atbalsta pakalpojums </w:t>
            </w:r>
            <w:r w:rsidRPr="00487661">
              <w:rPr>
                <w:rFonts w:ascii="Times New Roman" w:eastAsia="Times New Roman" w:hAnsi="Times New Roman" w:cs="Times New Roman"/>
                <w:iCs/>
                <w:sz w:val="24"/>
                <w:szCs w:val="24"/>
                <w:lang w:eastAsia="lv-LV"/>
              </w:rPr>
              <w:t>intelektuālā īpašuma tiesību reģistrācijai</w:t>
            </w:r>
            <w:r>
              <w:rPr>
                <w:rFonts w:ascii="Times New Roman" w:eastAsia="Times New Roman" w:hAnsi="Times New Roman" w:cs="Times New Roman"/>
                <w:iCs/>
                <w:sz w:val="24"/>
                <w:szCs w:val="24"/>
                <w:lang w:eastAsia="lv-LV"/>
              </w:rPr>
              <w:t xml:space="preserve"> būs pieejams pētniecības organizācijām, </w:t>
            </w:r>
            <w:r w:rsidRPr="00487661">
              <w:rPr>
                <w:rFonts w:ascii="Times New Roman" w:eastAsia="Times New Roman" w:hAnsi="Times New Roman" w:cs="Times New Roman"/>
                <w:iCs/>
                <w:sz w:val="24"/>
                <w:szCs w:val="24"/>
                <w:lang w:eastAsia="lv-LV"/>
              </w:rPr>
              <w:t xml:space="preserve">ar pieejamo finansējumu līdz 25 000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un maksimālo intensitāti 90% apmērā</w:t>
            </w:r>
            <w:r>
              <w:rPr>
                <w:rFonts w:ascii="Times New Roman" w:eastAsia="Times New Roman" w:hAnsi="Times New Roman" w:cs="Times New Roman"/>
                <w:iCs/>
                <w:sz w:val="24"/>
                <w:szCs w:val="24"/>
                <w:lang w:eastAsia="lv-LV"/>
              </w:rPr>
              <w:t>.</w:t>
            </w:r>
          </w:p>
          <w:p w:rsidR="00A52600" w:rsidP="00A52600" w14:paraId="7180C4FA" w14:textId="7ED373AF">
            <w:pPr>
              <w:spacing w:after="0" w:line="240" w:lineRule="auto"/>
              <w:jc w:val="both"/>
            </w:pPr>
            <w:r>
              <w:rPr>
                <w:rFonts w:ascii="Times New Roman" w:eastAsia="Times New Roman" w:hAnsi="Times New Roman" w:cs="Times New Roman"/>
                <w:iCs/>
                <w:sz w:val="24"/>
                <w:szCs w:val="24"/>
                <w:lang w:eastAsia="lv-LV"/>
              </w:rPr>
              <w:t>Lai nodrošinātu atbilstību</w:t>
            </w:r>
            <w:r w:rsidRPr="004F1F02">
              <w:rPr>
                <w:rFonts w:ascii="Times New Roman" w:eastAsia="Times New Roman" w:hAnsi="Times New Roman" w:cs="Times New Roman"/>
                <w:iCs/>
                <w:sz w:val="24"/>
                <w:szCs w:val="24"/>
                <w:lang w:eastAsia="lv-LV"/>
              </w:rPr>
              <w:t xml:space="preserve"> Eiropas Komisijas “Nostādņu par valsts atbalstu pētniecībai, izstrādei un inovācijai” (2014/C 198/01) 19.punktā minētajam par pētniecības organizāciju nesaimnieciska raks</w:t>
            </w:r>
            <w:r>
              <w:rPr>
                <w:rFonts w:ascii="Times New Roman" w:eastAsia="Times New Roman" w:hAnsi="Times New Roman" w:cs="Times New Roman"/>
                <w:iCs/>
                <w:sz w:val="24"/>
                <w:szCs w:val="24"/>
                <w:lang w:eastAsia="lv-LV"/>
              </w:rPr>
              <w:t xml:space="preserve">tura darbībām, </w:t>
            </w:r>
            <w:r>
              <w:rPr>
                <w:rFonts w:ascii="Times New Roman" w:eastAsia="Times New Roman" w:hAnsi="Times New Roman" w:cs="Times New Roman"/>
                <w:iCs/>
                <w:sz w:val="24"/>
                <w:szCs w:val="24"/>
                <w:lang w:eastAsia="lv-LV"/>
              </w:rPr>
              <w:t>MK noteikumu Nr.692 3</w:t>
            </w:r>
            <w:r>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.punkts noteic, ka</w:t>
            </w:r>
            <w:r>
              <w:rPr>
                <w:rFonts w:ascii="Times New Roman" w:eastAsia="Times New Roman" w:hAnsi="Times New Roman" w:cs="Times New Roman"/>
                <w:iCs/>
                <w:sz w:val="24"/>
                <w:szCs w:val="24"/>
                <w:lang w:eastAsia="lv-LV"/>
              </w:rPr>
              <w:t xml:space="preserve"> </w:t>
            </w:r>
            <w:r w:rsidR="0009560B">
              <w:rPr>
                <w:rFonts w:ascii="Times New Roman" w:eastAsia="Times New Roman" w:hAnsi="Times New Roman" w:cs="Times New Roman"/>
                <w:iCs/>
                <w:sz w:val="24"/>
                <w:szCs w:val="24"/>
                <w:lang w:eastAsia="lv-LV"/>
              </w:rPr>
              <w:t>pētniecības organizācijas 29.</w:t>
            </w:r>
            <w:r w:rsidRPr="003B7C3E" w:rsidR="0009560B">
              <w:rPr>
                <w:rFonts w:ascii="Times New Roman" w:eastAsia="Times New Roman" w:hAnsi="Times New Roman" w:cs="Times New Roman"/>
                <w:iCs/>
                <w:sz w:val="24"/>
                <w:szCs w:val="24"/>
                <w:vertAlign w:val="superscript"/>
                <w:lang w:eastAsia="lv-LV"/>
              </w:rPr>
              <w:t>1</w:t>
            </w:r>
            <w:r w:rsidR="0009560B">
              <w:rPr>
                <w:rFonts w:ascii="Times New Roman" w:eastAsia="Times New Roman" w:hAnsi="Times New Roman" w:cs="Times New Roman"/>
                <w:iCs/>
                <w:sz w:val="24"/>
                <w:szCs w:val="24"/>
                <w:lang w:eastAsia="lv-LV"/>
              </w:rPr>
              <w:t>, 30. un 31.</w:t>
            </w:r>
            <w:r w:rsidRPr="003B7C3E" w:rsidR="0009560B">
              <w:rPr>
                <w:rFonts w:ascii="Times New Roman" w:eastAsia="Times New Roman" w:hAnsi="Times New Roman" w:cs="Times New Roman"/>
                <w:iCs/>
                <w:sz w:val="24"/>
                <w:szCs w:val="24"/>
                <w:vertAlign w:val="superscript"/>
                <w:lang w:eastAsia="lv-LV"/>
              </w:rPr>
              <w:t>1</w:t>
            </w:r>
            <w:r w:rsidR="0009560B">
              <w:rPr>
                <w:rFonts w:ascii="Times New Roman" w:eastAsia="Times New Roman" w:hAnsi="Times New Roman" w:cs="Times New Roman"/>
                <w:iCs/>
                <w:sz w:val="24"/>
                <w:szCs w:val="24"/>
                <w:lang w:eastAsia="lv-LV"/>
              </w:rPr>
              <w:t xml:space="preserve">.punktā norādīto </w:t>
            </w:r>
            <w:r>
              <w:rPr>
                <w:rFonts w:ascii="Times New Roman" w:eastAsia="Times New Roman" w:hAnsi="Times New Roman" w:cs="Times New Roman"/>
                <w:iCs/>
                <w:sz w:val="24"/>
                <w:szCs w:val="24"/>
                <w:lang w:eastAsia="lv-LV"/>
              </w:rPr>
              <w:t>finansējumu var saņemt</w:t>
            </w:r>
            <w:r w:rsidR="0009560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09560B">
              <w:rPr>
                <w:rFonts w:ascii="Times New Roman" w:eastAsia="Times New Roman" w:hAnsi="Times New Roman" w:cs="Times New Roman"/>
                <w:iCs/>
                <w:sz w:val="24"/>
                <w:szCs w:val="24"/>
                <w:lang w:eastAsia="lv-LV"/>
              </w:rPr>
              <w:t>tikai gadījumā, ja pētniecības organizācija</w:t>
            </w:r>
            <w:r>
              <w:rPr>
                <w:rFonts w:ascii="Times New Roman" w:eastAsia="Times New Roman" w:hAnsi="Times New Roman" w:cs="Times New Roman"/>
                <w:iCs/>
                <w:sz w:val="24"/>
                <w:szCs w:val="24"/>
                <w:lang w:eastAsia="lv-LV"/>
              </w:rPr>
              <w:t xml:space="preserve"> atbilst visiem 31.punkta apakšpunktos noteiktajiem nosacījumiem.</w:t>
            </w:r>
            <w:r>
              <w:rPr>
                <w:rFonts w:ascii="Times New Roman" w:eastAsia="Times New Roman" w:hAnsi="Times New Roman" w:cs="Times New Roman"/>
                <w:iCs/>
                <w:sz w:val="24"/>
                <w:szCs w:val="24"/>
                <w:lang w:eastAsia="lv-LV"/>
              </w:rPr>
              <w:t xml:space="preserve"> </w:t>
            </w:r>
          </w:p>
          <w:p w:rsidR="004F1F02" w:rsidP="00487661" w14:paraId="2A3A8E46" w14:textId="2370D2E5">
            <w:pPr>
              <w:spacing w:after="0" w:line="240" w:lineRule="auto"/>
              <w:jc w:val="both"/>
              <w:rPr>
                <w:rFonts w:ascii="Times New Roman" w:eastAsia="Times New Roman" w:hAnsi="Times New Roman" w:cs="Times New Roman"/>
                <w:iCs/>
                <w:sz w:val="24"/>
                <w:szCs w:val="24"/>
                <w:lang w:eastAsia="lv-LV"/>
              </w:rPr>
            </w:pPr>
          </w:p>
          <w:p w:rsidR="00D52983" w:rsidRPr="00D52983" w:rsidP="00D52983" w14:paraId="54D754AA" w14:textId="77777777">
            <w:pPr>
              <w:spacing w:after="0" w:line="240" w:lineRule="auto"/>
              <w:jc w:val="both"/>
              <w:rPr>
                <w:rFonts w:ascii="Times New Roman" w:eastAsia="Times New Roman" w:hAnsi="Times New Roman" w:cs="Times New Roman"/>
                <w:iCs/>
                <w:sz w:val="24"/>
                <w:szCs w:val="24"/>
                <w:lang w:eastAsia="lv-LV"/>
              </w:rPr>
            </w:pPr>
            <w:r w:rsidRPr="00D52983">
              <w:rPr>
                <w:rFonts w:ascii="Times New Roman" w:eastAsia="Times New Roman" w:hAnsi="Times New Roman" w:cs="Times New Roman"/>
                <w:iCs/>
                <w:sz w:val="24"/>
                <w:szCs w:val="24"/>
                <w:lang w:eastAsia="lv-LV"/>
              </w:rPr>
              <w:t xml:space="preserve">Ņemot vērā publisko pētniecības organizāciju praktisko pieredzi jau apstiprināto </w:t>
            </w:r>
            <w:r w:rsidRPr="00D52983">
              <w:rPr>
                <w:rFonts w:ascii="Times New Roman" w:eastAsia="Times New Roman" w:hAnsi="Times New Roman" w:cs="Times New Roman"/>
                <w:iCs/>
                <w:sz w:val="24"/>
                <w:szCs w:val="24"/>
                <w:lang w:eastAsia="lv-LV"/>
              </w:rPr>
              <w:t>komercializācijas</w:t>
            </w:r>
            <w:r w:rsidRPr="00D52983">
              <w:rPr>
                <w:rFonts w:ascii="Times New Roman" w:eastAsia="Times New Roman" w:hAnsi="Times New Roman" w:cs="Times New Roman"/>
                <w:iCs/>
                <w:sz w:val="24"/>
                <w:szCs w:val="24"/>
                <w:lang w:eastAsia="lv-LV"/>
              </w:rPr>
              <w:t xml:space="preserve"> projektu īstenošanā, tika secināts, ka MK noteikumos Nr.692 </w:t>
            </w:r>
            <w:r w:rsidRPr="00D52983">
              <w:rPr>
                <w:rFonts w:ascii="Times New Roman" w:eastAsia="Times New Roman" w:hAnsi="Times New Roman" w:cs="Times New Roman"/>
                <w:iCs/>
                <w:sz w:val="24"/>
                <w:szCs w:val="24"/>
                <w:lang w:eastAsia="lv-LV"/>
              </w:rPr>
              <w:t xml:space="preserve">ietvertā prasība </w:t>
            </w:r>
            <w:r w:rsidRPr="00D52983">
              <w:rPr>
                <w:rFonts w:ascii="Times New Roman" w:eastAsia="Times New Roman" w:hAnsi="Times New Roman" w:cs="Times New Roman"/>
                <w:iCs/>
                <w:sz w:val="24"/>
                <w:szCs w:val="24"/>
                <w:lang w:eastAsia="lv-LV"/>
              </w:rPr>
              <w:t>komercializācijas</w:t>
            </w:r>
            <w:r w:rsidRPr="00D52983">
              <w:rPr>
                <w:rFonts w:ascii="Times New Roman" w:eastAsia="Times New Roman" w:hAnsi="Times New Roman" w:cs="Times New Roman"/>
                <w:iCs/>
                <w:sz w:val="24"/>
                <w:szCs w:val="24"/>
                <w:lang w:eastAsia="lv-LV"/>
              </w:rPr>
              <w:t xml:space="preserve"> stratēģijas izstrādei, ko iespējams veikt tikai ārpakalpojuma veidā, atsevišķos gadījumos ievērojami pazemina izstrādātās stratēģijas kvalitāti. Tika secināts, ka ārpakalpojumā veicot </w:t>
            </w:r>
            <w:r w:rsidRPr="00D52983">
              <w:rPr>
                <w:rFonts w:ascii="Times New Roman" w:eastAsia="Times New Roman" w:hAnsi="Times New Roman" w:cs="Times New Roman"/>
                <w:iCs/>
                <w:sz w:val="24"/>
                <w:szCs w:val="24"/>
                <w:lang w:eastAsia="lv-LV"/>
              </w:rPr>
              <w:t>komercializācijas</w:t>
            </w:r>
            <w:r w:rsidRPr="00D52983">
              <w:rPr>
                <w:rFonts w:ascii="Times New Roman" w:eastAsia="Times New Roman" w:hAnsi="Times New Roman" w:cs="Times New Roman"/>
                <w:iCs/>
                <w:sz w:val="24"/>
                <w:szCs w:val="24"/>
                <w:lang w:eastAsia="lv-LV"/>
              </w:rPr>
              <w:t xml:space="preserve"> stratēģijas izstrādi, procesā ne vienmēr tiek iesaistīta pētnieciskā organizācija un tās projekta personāls, tādējādi palielinot iespēju zaudēt būtisko sasaisti ar projekta ideju un mērķiem.</w:t>
            </w:r>
          </w:p>
          <w:p w:rsidR="00D52983" w:rsidP="00D52983" w14:paraId="673CAC03" w14:textId="25E8CBEF">
            <w:pPr>
              <w:spacing w:after="0" w:line="240" w:lineRule="auto"/>
              <w:jc w:val="both"/>
              <w:rPr>
                <w:rFonts w:ascii="Times New Roman" w:eastAsia="Times New Roman" w:hAnsi="Times New Roman" w:cs="Times New Roman"/>
                <w:iCs/>
                <w:sz w:val="24"/>
                <w:szCs w:val="24"/>
                <w:lang w:eastAsia="lv-LV"/>
              </w:rPr>
            </w:pPr>
            <w:r w:rsidRPr="00D52983">
              <w:rPr>
                <w:rFonts w:ascii="Times New Roman" w:eastAsia="Times New Roman" w:hAnsi="Times New Roman" w:cs="Times New Roman"/>
                <w:iCs/>
                <w:sz w:val="24"/>
                <w:szCs w:val="24"/>
                <w:lang w:eastAsia="lv-LV"/>
              </w:rPr>
              <w:t xml:space="preserve">Līdz ar to, izvērtējot katra projekta sarežģītības pakāpi un katras pētniecības organizācijas kapacitāti un personāla profesionālo kvalifikāciju, </w:t>
            </w:r>
            <w:r>
              <w:rPr>
                <w:rFonts w:ascii="Times New Roman" w:eastAsia="Times New Roman" w:hAnsi="Times New Roman" w:cs="Times New Roman"/>
                <w:iCs/>
                <w:sz w:val="24"/>
                <w:szCs w:val="24"/>
                <w:lang w:eastAsia="lv-LV"/>
              </w:rPr>
              <w:t>MK noteikumu projekts tiek papildināts ar attiecīgiem</w:t>
            </w:r>
            <w:r w:rsidRPr="00D52983">
              <w:rPr>
                <w:rFonts w:ascii="Times New Roman" w:eastAsia="Times New Roman" w:hAnsi="Times New Roman" w:cs="Times New Roman"/>
                <w:iCs/>
                <w:sz w:val="24"/>
                <w:szCs w:val="24"/>
                <w:lang w:eastAsia="lv-LV"/>
              </w:rPr>
              <w:t xml:space="preserve"> grozījumi</w:t>
            </w:r>
            <w:r>
              <w:rPr>
                <w:rFonts w:ascii="Times New Roman" w:eastAsia="Times New Roman" w:hAnsi="Times New Roman" w:cs="Times New Roman"/>
                <w:iCs/>
                <w:sz w:val="24"/>
                <w:szCs w:val="24"/>
                <w:lang w:eastAsia="lv-LV"/>
              </w:rPr>
              <w:t>em, kas</w:t>
            </w:r>
            <w:r w:rsidRPr="00D52983">
              <w:rPr>
                <w:rFonts w:ascii="Times New Roman" w:eastAsia="Times New Roman" w:hAnsi="Times New Roman" w:cs="Times New Roman"/>
                <w:iCs/>
                <w:sz w:val="24"/>
                <w:szCs w:val="24"/>
                <w:lang w:eastAsia="lv-LV"/>
              </w:rPr>
              <w:t xml:space="preserve"> dos iespēju pētnieciskajām organizācijām izvēlēties optimālāko variantu </w:t>
            </w:r>
            <w:r w:rsidRPr="00D52983">
              <w:rPr>
                <w:rFonts w:ascii="Times New Roman" w:eastAsia="Times New Roman" w:hAnsi="Times New Roman" w:cs="Times New Roman"/>
                <w:iCs/>
                <w:sz w:val="24"/>
                <w:szCs w:val="24"/>
                <w:lang w:eastAsia="lv-LV"/>
              </w:rPr>
              <w:t>komercializācijas</w:t>
            </w:r>
            <w:r w:rsidRPr="00D52983">
              <w:rPr>
                <w:rFonts w:ascii="Times New Roman" w:eastAsia="Times New Roman" w:hAnsi="Times New Roman" w:cs="Times New Roman"/>
                <w:iCs/>
                <w:sz w:val="24"/>
                <w:szCs w:val="24"/>
                <w:lang w:eastAsia="lv-LV"/>
              </w:rPr>
              <w:t xml:space="preserve"> stratēģijas izstrādei – veikt to kā ārpakalpojumu pilnībā, daļēji ārpakalpojumā un daļēji saviem spēkiem, vai pilnībā veicot to, izmantojot pētniecības organizācijas kapacitāti.</w:t>
            </w:r>
          </w:p>
          <w:p w:rsidR="00055D4A" w:rsidRPr="00055D4A" w:rsidP="00055D4A" w14:paraId="7EF0D4C5" w14:textId="7A33B47B">
            <w:pPr>
              <w:spacing w:after="0" w:line="240" w:lineRule="auto"/>
              <w:jc w:val="both"/>
              <w:rPr>
                <w:rFonts w:ascii="Times New Roman" w:eastAsia="Times New Roman" w:hAnsi="Times New Roman" w:cs="Times New Roman"/>
                <w:iCs/>
                <w:sz w:val="24"/>
                <w:szCs w:val="24"/>
                <w:lang w:eastAsia="lv-LV"/>
              </w:rPr>
            </w:pPr>
          </w:p>
          <w:p w:rsidR="00A45AB0" w:rsidP="00CA0D93" w14:paraId="1FCD4832" w14:textId="1C852247">
            <w:pPr>
              <w:spacing w:after="0" w:line="240" w:lineRule="auto"/>
              <w:jc w:val="both"/>
              <w:rPr>
                <w:rFonts w:ascii="Times New Roman" w:eastAsia="Times New Roman" w:hAnsi="Times New Roman" w:cs="Times New Roman"/>
                <w:iCs/>
                <w:sz w:val="24"/>
                <w:szCs w:val="24"/>
                <w:lang w:eastAsia="lv-LV"/>
              </w:rPr>
            </w:pPr>
            <w:r w:rsidRPr="00A45AB0">
              <w:rPr>
                <w:rFonts w:ascii="Times New Roman" w:eastAsia="Times New Roman" w:hAnsi="Times New Roman" w:cs="Times New Roman"/>
                <w:iCs/>
                <w:sz w:val="24"/>
                <w:szCs w:val="24"/>
                <w:lang w:eastAsia="lv-LV"/>
              </w:rPr>
              <w:t xml:space="preserve">LIAA kā tehnoloģiju </w:t>
            </w:r>
            <w:r w:rsidRPr="00A45AB0">
              <w:rPr>
                <w:rFonts w:ascii="Times New Roman" w:eastAsia="Times New Roman" w:hAnsi="Times New Roman" w:cs="Times New Roman"/>
                <w:iCs/>
                <w:sz w:val="24"/>
                <w:szCs w:val="24"/>
                <w:lang w:eastAsia="lv-LV"/>
              </w:rPr>
              <w:t>pārneses</w:t>
            </w:r>
            <w:r w:rsidRPr="00A45AB0">
              <w:rPr>
                <w:rFonts w:ascii="Times New Roman" w:eastAsia="Times New Roman" w:hAnsi="Times New Roman" w:cs="Times New Roman"/>
                <w:iCs/>
                <w:sz w:val="24"/>
                <w:szCs w:val="24"/>
                <w:lang w:eastAsia="lv-LV"/>
              </w:rPr>
              <w:t xml:space="preserve">, tai skaitā inovāciju </w:t>
            </w:r>
            <w:r w:rsidRPr="00A45AB0">
              <w:rPr>
                <w:rFonts w:ascii="Times New Roman" w:eastAsia="Times New Roman" w:hAnsi="Times New Roman" w:cs="Times New Roman"/>
                <w:iCs/>
                <w:sz w:val="24"/>
                <w:szCs w:val="24"/>
                <w:lang w:eastAsia="lv-LV"/>
              </w:rPr>
              <w:t>vaučeru</w:t>
            </w:r>
            <w:r w:rsidRPr="00A45AB0">
              <w:rPr>
                <w:rFonts w:ascii="Times New Roman" w:eastAsia="Times New Roman" w:hAnsi="Times New Roman" w:cs="Times New Roman"/>
                <w:iCs/>
                <w:sz w:val="24"/>
                <w:szCs w:val="24"/>
                <w:lang w:eastAsia="lv-LV"/>
              </w:rPr>
              <w:t xml:space="preserve"> ieviesēja izvēle ir pamatojama ar to, ka Latvijā kopš iepriekšējā ES fondu 2007.-2013.gada plānošanas perioda privātajā sektorā nav izveidojusies neviena organizācija, kas nodarbotos ar vispārēju zināšanu un tehnoloģiju </w:t>
            </w:r>
            <w:r w:rsidRPr="00A45AB0">
              <w:rPr>
                <w:rFonts w:ascii="Times New Roman" w:eastAsia="Times New Roman" w:hAnsi="Times New Roman" w:cs="Times New Roman"/>
                <w:iCs/>
                <w:sz w:val="24"/>
                <w:szCs w:val="24"/>
                <w:lang w:eastAsia="lv-LV"/>
              </w:rPr>
              <w:t>pārneses</w:t>
            </w:r>
            <w:r w:rsidRPr="00A45AB0">
              <w:rPr>
                <w:rFonts w:ascii="Times New Roman" w:eastAsia="Times New Roman" w:hAnsi="Times New Roman" w:cs="Times New Roman"/>
                <w:iCs/>
                <w:sz w:val="24"/>
                <w:szCs w:val="24"/>
                <w:lang w:eastAsia="lv-LV"/>
              </w:rPr>
              <w:t xml:space="preserve"> procesu uzraudzību, kontroli un veicināšanu, proti, pārraudzītu visu PPO zinātnisko potenciālu, lai identificētu un veicinātu to zinātnisko pētījumu </w:t>
            </w:r>
            <w:r w:rsidRPr="00A45AB0">
              <w:rPr>
                <w:rFonts w:ascii="Times New Roman" w:eastAsia="Times New Roman" w:hAnsi="Times New Roman" w:cs="Times New Roman"/>
                <w:iCs/>
                <w:sz w:val="24"/>
                <w:szCs w:val="24"/>
                <w:lang w:eastAsia="lv-LV"/>
              </w:rPr>
              <w:t>komercializāciju</w:t>
            </w:r>
            <w:r w:rsidRPr="00A45AB0">
              <w:rPr>
                <w:rFonts w:ascii="Times New Roman" w:eastAsia="Times New Roman" w:hAnsi="Times New Roman" w:cs="Times New Roman"/>
                <w:iCs/>
                <w:sz w:val="24"/>
                <w:szCs w:val="24"/>
                <w:lang w:eastAsia="lv-LV"/>
              </w:rPr>
              <w:t xml:space="preserve">, kuri ir ar visaugstāko </w:t>
            </w:r>
            <w:r w:rsidRPr="00A45AB0">
              <w:rPr>
                <w:rFonts w:ascii="Times New Roman" w:eastAsia="Times New Roman" w:hAnsi="Times New Roman" w:cs="Times New Roman"/>
                <w:iCs/>
                <w:sz w:val="24"/>
                <w:szCs w:val="24"/>
                <w:lang w:eastAsia="lv-LV"/>
              </w:rPr>
              <w:t>komercializācijas</w:t>
            </w:r>
            <w:r w:rsidRPr="00A45AB0">
              <w:rPr>
                <w:rFonts w:ascii="Times New Roman" w:eastAsia="Times New Roman" w:hAnsi="Times New Roman" w:cs="Times New Roman"/>
                <w:iCs/>
                <w:sz w:val="24"/>
                <w:szCs w:val="24"/>
                <w:lang w:eastAsia="lv-LV"/>
              </w:rPr>
              <w:t xml:space="preserve"> potenciālu.</w:t>
            </w:r>
          </w:p>
          <w:p w:rsidR="00F2479F" w:rsidP="00CA0D93" w14:paraId="47F436E2" w14:textId="7EEA54AA">
            <w:pPr>
              <w:spacing w:after="0" w:line="240" w:lineRule="auto"/>
              <w:jc w:val="both"/>
              <w:rPr>
                <w:rFonts w:ascii="Times New Roman" w:eastAsia="Times New Roman" w:hAnsi="Times New Roman" w:cs="Times New Roman"/>
                <w:iCs/>
                <w:sz w:val="24"/>
                <w:szCs w:val="24"/>
                <w:highlight w:val="green"/>
                <w:lang w:eastAsia="lv-LV"/>
              </w:rPr>
            </w:pPr>
          </w:p>
          <w:p w:rsidR="00F2479F" w:rsidP="00CA0D93" w14:paraId="7EBEF26B" w14:textId="693FF6BA">
            <w:pPr>
              <w:spacing w:after="0" w:line="240" w:lineRule="auto"/>
              <w:jc w:val="both"/>
              <w:rPr>
                <w:rFonts w:ascii="Times New Roman" w:eastAsia="Times New Roman" w:hAnsi="Times New Roman" w:cs="Times New Roman"/>
                <w:iCs/>
                <w:sz w:val="24"/>
                <w:szCs w:val="24"/>
                <w:lang w:eastAsia="lv-LV"/>
              </w:rPr>
            </w:pPr>
            <w:r w:rsidRPr="00CF0AAB">
              <w:rPr>
                <w:rFonts w:ascii="Times New Roman" w:eastAsia="Times New Roman" w:hAnsi="Times New Roman" w:cs="Times New Roman"/>
                <w:iCs/>
                <w:sz w:val="24"/>
                <w:szCs w:val="24"/>
                <w:u w:val="single"/>
                <w:lang w:eastAsia="lv-LV"/>
              </w:rPr>
              <w:t xml:space="preserve">Lai padarītu </w:t>
            </w:r>
            <w:r w:rsidRPr="00CF0AAB">
              <w:rPr>
                <w:rFonts w:ascii="Times New Roman" w:eastAsia="Times New Roman" w:hAnsi="Times New Roman" w:cs="Times New Roman"/>
                <w:iCs/>
                <w:sz w:val="24"/>
                <w:szCs w:val="24"/>
                <w:u w:val="single"/>
                <w:lang w:eastAsia="lv-LV"/>
              </w:rPr>
              <w:t>vaučera</w:t>
            </w:r>
            <w:r w:rsidRPr="00CF0AAB">
              <w:rPr>
                <w:rFonts w:ascii="Times New Roman" w:eastAsia="Times New Roman" w:hAnsi="Times New Roman" w:cs="Times New Roman"/>
                <w:iCs/>
                <w:sz w:val="24"/>
                <w:szCs w:val="24"/>
                <w:u w:val="single"/>
                <w:lang w:eastAsia="lv-LV"/>
              </w:rPr>
              <w:t xml:space="preserve"> atbalsta mehānismu maksimāli efektīvu un ātru, tiek paredzēts, ka, piesakoties uz </w:t>
            </w:r>
            <w:r w:rsidRPr="00CF0AAB">
              <w:rPr>
                <w:rFonts w:ascii="Times New Roman" w:eastAsia="Times New Roman" w:hAnsi="Times New Roman" w:cs="Times New Roman"/>
                <w:iCs/>
                <w:sz w:val="24"/>
                <w:szCs w:val="24"/>
                <w:u w:val="single"/>
                <w:lang w:eastAsia="lv-LV"/>
              </w:rPr>
              <w:t>vaučera</w:t>
            </w:r>
            <w:r w:rsidRPr="00CF0AAB">
              <w:rPr>
                <w:rFonts w:ascii="Times New Roman" w:eastAsia="Times New Roman" w:hAnsi="Times New Roman" w:cs="Times New Roman"/>
                <w:iCs/>
                <w:sz w:val="24"/>
                <w:szCs w:val="24"/>
                <w:u w:val="single"/>
                <w:lang w:eastAsia="lv-LV"/>
              </w:rPr>
              <w:t xml:space="preserve"> atbalstu, komersants norāda vēlamo pakalpojuma sniedzēju.</w:t>
            </w:r>
            <w:r w:rsidRPr="00F2479F">
              <w:rPr>
                <w:rFonts w:ascii="Times New Roman" w:eastAsia="Times New Roman" w:hAnsi="Times New Roman" w:cs="Times New Roman"/>
                <w:iCs/>
                <w:sz w:val="24"/>
                <w:szCs w:val="24"/>
                <w:lang w:eastAsia="lv-LV"/>
              </w:rPr>
              <w:t xml:space="preserve"> LIAA pienākums ir pārbaudīt, vai norādītais pakalpojuma sniedzējs atbilst MK noteikumos Nr.692 norādītajām prasībām, kā arī pārbaudīt, vai konkrētais pakalpojuma sniedzējs ir atbilstošākais jauna produkta vai tehnoloģijas izstrādē. Līdz ar to, tieši LIAA, izmantojot savas specifiskās zināšanas un īpaši atlasītos darbiniekus, tai skaitā tehnoloģiju skautus, ļauj komersantam pieņemt pamatotu lēmumu par tālāku attīstību. Attiecīgi pašam komersantam pirmreizēji veicot konkrēta produkta vai tehnoloģijas izstrādi, nav nepieciešamās pieredzes, lai spētu secināt kādā attīstības stadijā konkrētais produkts vai tehnoloģija ir un kādi ir tālākie soļi tā attīstībai. Papildus, ņemot vērā līdzšinējo akadēmiskās vides un komersantu vides kūtro sadarbību, kā arī vadoties no praktiskās pieredzes konsultāciju sniegšanā, ir secināms, ka komersantam nav pietiekamu zināšanu par konkrētā produkta/tehnoloģijas specifisku un iespējām, kādā MK noteikumos Nr.692 noteiktie pakalpojuma sniedzēji var palīdzēt attīstīt komercdarbību. Attiecīgi LIAA pienākums  </w:t>
            </w:r>
            <w:r w:rsidRPr="00F2479F">
              <w:rPr>
                <w:rFonts w:ascii="Times New Roman" w:eastAsia="Times New Roman" w:hAnsi="Times New Roman" w:cs="Times New Roman"/>
                <w:iCs/>
                <w:sz w:val="24"/>
                <w:szCs w:val="24"/>
                <w:lang w:eastAsia="lv-LV"/>
              </w:rPr>
              <w:t>jauna produkta vai tehnoloģijas izstrādes plānošanas posmā, t.sk. procesos, kuri ir saistīti ar piemērotākā pakalpojuma sniedzēja atrašanu un izvēli, sniegt konsultatīvo atbalstu.</w:t>
            </w:r>
          </w:p>
          <w:p w:rsidR="00F2479F" w:rsidRPr="00F2479F" w:rsidP="00CA0D93" w14:paraId="34881926" w14:textId="0F060BF3">
            <w:pPr>
              <w:spacing w:after="0" w:line="240" w:lineRule="auto"/>
              <w:jc w:val="both"/>
              <w:rPr>
                <w:rFonts w:ascii="Times New Roman" w:eastAsia="Times New Roman" w:hAnsi="Times New Roman" w:cs="Times New Roman"/>
                <w:iCs/>
                <w:sz w:val="24"/>
                <w:szCs w:val="24"/>
                <w:lang w:eastAsia="lv-LV"/>
              </w:rPr>
            </w:pPr>
          </w:p>
          <w:p w:rsidR="00FB1F87" w:rsidP="00A37F51" w14:paraId="7AC19F8D" w14:textId="6AE56EDB">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LIAA piedāvātais atbalsta mehānisms paredz</w:t>
            </w:r>
            <w:r w:rsidR="00A45AB0">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u w:val="single"/>
                <w:lang w:eastAsia="lv-LV"/>
              </w:rPr>
              <w:t>nodrošināt šādu pakalpojumu klāstu komersantam:</w:t>
            </w:r>
          </w:p>
          <w:p w:rsidR="00FB1F87" w:rsidRPr="00FB1F87" w:rsidP="00FB1F87" w14:paraId="1750AA27" w14:textId="6F3C912B">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1)</w:t>
            </w:r>
            <w:r w:rsidRPr="00FB1F87">
              <w:rPr>
                <w:rFonts w:ascii="Times New Roman" w:eastAsia="Times New Roman" w:hAnsi="Times New Roman" w:cs="Times New Roman"/>
                <w:iCs/>
                <w:sz w:val="24"/>
                <w:szCs w:val="24"/>
                <w:lang w:eastAsia="lv-LV"/>
              </w:rPr>
              <w:tab/>
              <w:t>Potenciālo klientu loka apzināšana – tiek veikt</w:t>
            </w:r>
            <w:r w:rsidR="00A45AB0">
              <w:rPr>
                <w:rFonts w:ascii="Times New Roman" w:eastAsia="Times New Roman" w:hAnsi="Times New Roman" w:cs="Times New Roman"/>
                <w:iCs/>
                <w:sz w:val="24"/>
                <w:szCs w:val="24"/>
                <w:lang w:eastAsia="lv-LV"/>
              </w:rPr>
              <w:t>a</w:t>
            </w:r>
            <w:r w:rsidRPr="00FB1F87">
              <w:rPr>
                <w:rFonts w:ascii="Times New Roman" w:eastAsia="Times New Roman" w:hAnsi="Times New Roman" w:cs="Times New Roman"/>
                <w:iCs/>
                <w:sz w:val="24"/>
                <w:szCs w:val="24"/>
                <w:lang w:eastAsia="lv-LV"/>
              </w:rPr>
              <w:t xml:space="preserve"> sākotnējā klientu informēšana par pieejamajiem atbalsta pakalpojumiem un to priekšrocībām, ieguvumiem; tiek iegūts sākotnējais viedoklis no komersantiem par to vajadzībām;</w:t>
            </w:r>
          </w:p>
          <w:p w:rsidR="00FB1F87" w:rsidRPr="00FB1F87" w:rsidP="00FB1F87" w14:paraId="0C9C6553"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2)</w:t>
            </w:r>
            <w:r w:rsidRPr="00FB1F87">
              <w:rPr>
                <w:rFonts w:ascii="Times New Roman" w:eastAsia="Times New Roman" w:hAnsi="Times New Roman" w:cs="Times New Roman"/>
                <w:iCs/>
                <w:sz w:val="24"/>
                <w:szCs w:val="24"/>
                <w:lang w:eastAsia="lv-LV"/>
              </w:rPr>
              <w:tab/>
              <w:t xml:space="preserve">Potenciālo klientu uzrunāšana – pamatojoties uz konkrēta komersanta vajadzībām, tiek piemeklēts un piedāvāts atbilstošākais risinājums </w:t>
            </w:r>
            <w:r w:rsidRPr="00FB1F87">
              <w:rPr>
                <w:rFonts w:ascii="Times New Roman" w:eastAsia="Times New Roman" w:hAnsi="Times New Roman" w:cs="Times New Roman"/>
                <w:iCs/>
                <w:sz w:val="24"/>
                <w:szCs w:val="24"/>
                <w:lang w:eastAsia="lv-LV"/>
              </w:rPr>
              <w:t>vaučera</w:t>
            </w:r>
            <w:r w:rsidRPr="00FB1F87">
              <w:rPr>
                <w:rFonts w:ascii="Times New Roman" w:eastAsia="Times New Roman" w:hAnsi="Times New Roman" w:cs="Times New Roman"/>
                <w:iCs/>
                <w:sz w:val="24"/>
                <w:szCs w:val="24"/>
                <w:lang w:eastAsia="lv-LV"/>
              </w:rPr>
              <w:t xml:space="preserve"> izmantošanai (konkrēta informācija par iespējamajiem produkta / tehnoloģijas attīstības virzieniem un sadarbību ar pētniecības organizācijām, </w:t>
            </w:r>
            <w:r w:rsidRPr="00FB1F87">
              <w:rPr>
                <w:rFonts w:ascii="Times New Roman" w:eastAsia="Times New Roman" w:hAnsi="Times New Roman" w:cs="Times New Roman"/>
                <w:iCs/>
                <w:sz w:val="24"/>
                <w:szCs w:val="24"/>
                <w:lang w:eastAsia="lv-LV"/>
              </w:rPr>
              <w:t>vaučeru</w:t>
            </w:r>
            <w:r w:rsidRPr="00FB1F87">
              <w:rPr>
                <w:rFonts w:ascii="Times New Roman" w:eastAsia="Times New Roman" w:hAnsi="Times New Roman" w:cs="Times New Roman"/>
                <w:iCs/>
                <w:sz w:val="24"/>
                <w:szCs w:val="24"/>
                <w:lang w:eastAsia="lv-LV"/>
              </w:rPr>
              <w:t xml:space="preserve"> atbalsta intensitātēm, </w:t>
            </w:r>
            <w:r w:rsidRPr="00FB1F87">
              <w:rPr>
                <w:rFonts w:ascii="Times New Roman" w:eastAsia="Times New Roman" w:hAnsi="Times New Roman" w:cs="Times New Roman"/>
                <w:iCs/>
                <w:sz w:val="24"/>
                <w:szCs w:val="24"/>
                <w:lang w:eastAsia="lv-LV"/>
              </w:rPr>
              <w:t>vaučeru</w:t>
            </w:r>
            <w:r w:rsidRPr="00FB1F87">
              <w:rPr>
                <w:rFonts w:ascii="Times New Roman" w:eastAsia="Times New Roman" w:hAnsi="Times New Roman" w:cs="Times New Roman"/>
                <w:iCs/>
                <w:sz w:val="24"/>
                <w:szCs w:val="24"/>
                <w:lang w:eastAsia="lv-LV"/>
              </w:rPr>
              <w:t xml:space="preserve"> veidiem, atbalstāmajām darbībām utt.);</w:t>
            </w:r>
          </w:p>
          <w:p w:rsidR="00FB1F87" w:rsidRPr="00FB1F87" w:rsidP="00FB1F87" w14:paraId="66E7DBBF"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3)</w:t>
            </w:r>
            <w:r w:rsidRPr="00FB1F87">
              <w:rPr>
                <w:rFonts w:ascii="Times New Roman" w:eastAsia="Times New Roman" w:hAnsi="Times New Roman" w:cs="Times New Roman"/>
                <w:iCs/>
                <w:sz w:val="24"/>
                <w:szCs w:val="24"/>
                <w:lang w:eastAsia="lv-LV"/>
              </w:rPr>
              <w:tab/>
              <w:t xml:space="preserve">Konsultāciju sniegšana – par iesnieguma sagatavošanu, par sadarbības iespējām ar pētniecības organizācijām, par PO pieejamo aprīkojumu, kompetencēm, sniegtajiem pakalpojumiem un PO darbības virzieniem (izmantojot skautu kompetenci); par izmaksu un darbību </w:t>
            </w:r>
            <w:r w:rsidRPr="00FB1F87">
              <w:rPr>
                <w:rFonts w:ascii="Times New Roman" w:eastAsia="Times New Roman" w:hAnsi="Times New Roman" w:cs="Times New Roman"/>
                <w:iCs/>
                <w:sz w:val="24"/>
                <w:szCs w:val="24"/>
                <w:lang w:eastAsia="lv-LV"/>
              </w:rPr>
              <w:t>attiecināmības</w:t>
            </w:r>
            <w:r w:rsidRPr="00FB1F87">
              <w:rPr>
                <w:rFonts w:ascii="Times New Roman" w:eastAsia="Times New Roman" w:hAnsi="Times New Roman" w:cs="Times New Roman"/>
                <w:iCs/>
                <w:sz w:val="24"/>
                <w:szCs w:val="24"/>
                <w:lang w:eastAsia="lv-LV"/>
              </w:rPr>
              <w:t xml:space="preserve"> jautājumiem, vispārīgas konsultācijas par pieejamo atbalstu un atbalsta intensitātēm; konsultācijas par </w:t>
            </w:r>
            <w:r w:rsidRPr="00FB1F87">
              <w:rPr>
                <w:rFonts w:ascii="Times New Roman" w:eastAsia="Times New Roman" w:hAnsi="Times New Roman" w:cs="Times New Roman"/>
                <w:iCs/>
                <w:sz w:val="24"/>
                <w:szCs w:val="24"/>
                <w:lang w:eastAsia="lv-LV"/>
              </w:rPr>
              <w:t>komercializācijas</w:t>
            </w:r>
            <w:r w:rsidRPr="00FB1F87">
              <w:rPr>
                <w:rFonts w:ascii="Times New Roman" w:eastAsia="Times New Roman" w:hAnsi="Times New Roman" w:cs="Times New Roman"/>
                <w:iCs/>
                <w:sz w:val="24"/>
                <w:szCs w:val="24"/>
                <w:lang w:eastAsia="lv-LV"/>
              </w:rPr>
              <w:t xml:space="preserve"> procesu (jauna produkta izstrāde, ieviešana ražošanā un virzīšana tirgū);</w:t>
            </w:r>
          </w:p>
          <w:p w:rsidR="00FB1F87" w:rsidRPr="00FB1F87" w:rsidP="00FB1F87" w14:paraId="67E609DF"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4)</w:t>
            </w:r>
            <w:r w:rsidRPr="00FB1F87">
              <w:rPr>
                <w:rFonts w:ascii="Times New Roman" w:eastAsia="Times New Roman" w:hAnsi="Times New Roman" w:cs="Times New Roman"/>
                <w:iCs/>
                <w:sz w:val="24"/>
                <w:szCs w:val="24"/>
                <w:lang w:eastAsia="lv-LV"/>
              </w:rPr>
              <w:tab/>
              <w:t>Projektu atlase, pieteikumu izskatīšana, atbalsta lēmuma pieņemšana un līguma slēgšana, projekta īstenošanas kontrole utt.;</w:t>
            </w:r>
          </w:p>
          <w:p w:rsidR="00FB1F87" w:rsidRPr="00FB1F87" w:rsidP="00FB1F87" w14:paraId="7F15A7E5" w14:textId="1E21F472">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5)</w:t>
            </w:r>
            <w:r w:rsidRPr="00FB1F87">
              <w:rPr>
                <w:rFonts w:ascii="Times New Roman" w:eastAsia="Times New Roman" w:hAnsi="Times New Roman" w:cs="Times New Roman"/>
                <w:iCs/>
                <w:sz w:val="24"/>
                <w:szCs w:val="24"/>
                <w:lang w:eastAsia="lv-LV"/>
              </w:rPr>
              <w:tab/>
              <w:t>Pakalpojumu sniedzēju sarakst</w:t>
            </w:r>
            <w:r w:rsidR="00BB4F20">
              <w:rPr>
                <w:rFonts w:ascii="Times New Roman" w:eastAsia="Times New Roman" w:hAnsi="Times New Roman" w:cs="Times New Roman"/>
                <w:iCs/>
                <w:sz w:val="24"/>
                <w:szCs w:val="24"/>
                <w:lang w:eastAsia="lv-LV"/>
              </w:rPr>
              <w:t>a</w:t>
            </w:r>
            <w:r w:rsidRPr="00FB1F87">
              <w:rPr>
                <w:rFonts w:ascii="Times New Roman" w:eastAsia="Times New Roman" w:hAnsi="Times New Roman" w:cs="Times New Roman"/>
                <w:iCs/>
                <w:sz w:val="24"/>
                <w:szCs w:val="24"/>
                <w:lang w:eastAsia="lv-LV"/>
              </w:rPr>
              <w:t xml:space="preserve"> izveide – palīdz komersantam izvēlēties atbilstošāko pakalpojuma sniedzēju projekta īstenošanai;</w:t>
            </w:r>
          </w:p>
          <w:p w:rsidR="00FB1F87" w:rsidRPr="00FB1F87" w:rsidP="00FB1F87" w14:paraId="7CD6EE01"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6)</w:t>
            </w:r>
            <w:r w:rsidRPr="00FB1F87">
              <w:rPr>
                <w:rFonts w:ascii="Times New Roman" w:eastAsia="Times New Roman" w:hAnsi="Times New Roman" w:cs="Times New Roman"/>
                <w:iCs/>
                <w:sz w:val="24"/>
                <w:szCs w:val="24"/>
                <w:lang w:eastAsia="lv-LV"/>
              </w:rPr>
              <w:tab/>
              <w:t>Atbalsts uzņēmuma attīstībai – informācijas nodrošināšana par iespējamiem eksporta tirgiem un iekļūšanu tajos;</w:t>
            </w:r>
          </w:p>
          <w:p w:rsidR="00FB1F87" w:rsidRPr="00FB1F87" w:rsidP="00FB1F87" w14:paraId="5C759944"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7)</w:t>
            </w:r>
            <w:r w:rsidRPr="00FB1F87">
              <w:rPr>
                <w:rFonts w:ascii="Times New Roman" w:eastAsia="Times New Roman" w:hAnsi="Times New Roman" w:cs="Times New Roman"/>
                <w:iCs/>
                <w:sz w:val="24"/>
                <w:szCs w:val="24"/>
                <w:lang w:eastAsia="lv-LV"/>
              </w:rPr>
              <w:tab/>
              <w:t>Zināšanu un praktiskās pieredzes apmaiņas nodrošināšana jautājumos, kas skar intelektuālā īpašuma aizsardzību un pārvaldību;</w:t>
            </w:r>
          </w:p>
          <w:p w:rsidR="00FB1F87" w:rsidRPr="00FB1F87" w:rsidP="00FB1F87" w14:paraId="2685BE1D" w14:textId="77777777">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8)</w:t>
            </w:r>
            <w:r w:rsidRPr="00FB1F87">
              <w:rPr>
                <w:rFonts w:ascii="Times New Roman" w:eastAsia="Times New Roman" w:hAnsi="Times New Roman" w:cs="Times New Roman"/>
                <w:iCs/>
                <w:sz w:val="24"/>
                <w:szCs w:val="24"/>
                <w:lang w:eastAsia="lv-LV"/>
              </w:rPr>
              <w:tab/>
              <w:t>Investoru piesaistes nodrošināšana – vietējo un starptautisko sadarbības partneru un noieta tirgu meklēšana, nodrošinot pieeju tehnoloģiju skautu, biznesa inkubatoru, akseleratoru un ārvalstu pārstāvniecību kontaktu tīklam;</w:t>
            </w:r>
          </w:p>
          <w:p w:rsidR="00FB1F87" w:rsidRPr="00FB1F87" w:rsidP="00FB1F87" w14:paraId="533C9C59" w14:textId="73DB3466">
            <w:pPr>
              <w:spacing w:after="0" w:line="240" w:lineRule="auto"/>
              <w:jc w:val="both"/>
              <w:rPr>
                <w:rFonts w:ascii="Times New Roman" w:eastAsia="Times New Roman" w:hAnsi="Times New Roman" w:cs="Times New Roman"/>
                <w:iCs/>
                <w:sz w:val="24"/>
                <w:szCs w:val="24"/>
                <w:lang w:eastAsia="lv-LV"/>
              </w:rPr>
            </w:pPr>
            <w:r w:rsidRPr="00FB1F87">
              <w:rPr>
                <w:rFonts w:ascii="Times New Roman" w:eastAsia="Times New Roman" w:hAnsi="Times New Roman" w:cs="Times New Roman"/>
                <w:iCs/>
                <w:sz w:val="24"/>
                <w:szCs w:val="24"/>
                <w:lang w:eastAsia="lv-LV"/>
              </w:rPr>
              <w:t>9)</w:t>
            </w:r>
            <w:r w:rsidRPr="00FB1F87">
              <w:rPr>
                <w:rFonts w:ascii="Times New Roman" w:eastAsia="Times New Roman" w:hAnsi="Times New Roman" w:cs="Times New Roman"/>
                <w:iCs/>
                <w:sz w:val="24"/>
                <w:szCs w:val="24"/>
                <w:lang w:eastAsia="lv-LV"/>
              </w:rPr>
              <w:tab/>
              <w:t xml:space="preserve">LIAA kā sadarbības platforma – komersantam, apmeklējot LIAA organizētos izglītojošos seminārus un tīklošanās pasākumus, iespējams stiprināt savu sadarbību ar pētniecības organizācijām un citiem komersantiem, apzināt savstarpējās vajadzības, kopīgi ģenerēt idejas </w:t>
            </w:r>
            <w:r w:rsidRPr="00FB1F87">
              <w:rPr>
                <w:rFonts w:ascii="Times New Roman" w:eastAsia="Times New Roman" w:hAnsi="Times New Roman" w:cs="Times New Roman"/>
                <w:iCs/>
                <w:sz w:val="24"/>
                <w:szCs w:val="24"/>
                <w:lang w:eastAsia="lv-LV"/>
              </w:rPr>
              <w:t>uzņēmuma tālākai attīstībai, iegūt papildu informāciju  turpmākai LIAA piedāvāto atbalsta pakalpojumu izmantošanai utt.</w:t>
            </w:r>
          </w:p>
          <w:p w:rsidR="00FB1F87" w:rsidP="00A37F51" w14:paraId="7A485892" w14:textId="77777777">
            <w:pPr>
              <w:spacing w:after="0" w:line="240" w:lineRule="auto"/>
              <w:jc w:val="both"/>
              <w:rPr>
                <w:rFonts w:ascii="Times New Roman" w:eastAsia="Times New Roman" w:hAnsi="Times New Roman" w:cs="Times New Roman"/>
                <w:iCs/>
                <w:sz w:val="24"/>
                <w:szCs w:val="24"/>
                <w:u w:val="single"/>
                <w:lang w:eastAsia="lv-LV"/>
              </w:rPr>
            </w:pPr>
          </w:p>
          <w:p w:rsidR="00CF0AAB" w:rsidP="00A37F51" w14:paraId="3F1AE810" w14:textId="139CDE6E">
            <w:pPr>
              <w:spacing w:after="0" w:line="240" w:lineRule="auto"/>
              <w:jc w:val="both"/>
              <w:rPr>
                <w:rFonts w:ascii="Times New Roman" w:eastAsia="Times New Roman" w:hAnsi="Times New Roman" w:cs="Times New Roman"/>
                <w:iCs/>
                <w:sz w:val="24"/>
                <w:szCs w:val="24"/>
                <w:lang w:eastAsia="lv-LV"/>
              </w:rPr>
            </w:pPr>
            <w:r w:rsidRPr="00CF0AAB">
              <w:rPr>
                <w:rFonts w:ascii="Times New Roman" w:eastAsia="Times New Roman" w:hAnsi="Times New Roman" w:cs="Times New Roman"/>
                <w:iCs/>
                <w:sz w:val="24"/>
                <w:szCs w:val="24"/>
                <w:u w:val="single"/>
                <w:lang w:eastAsia="lv-LV"/>
              </w:rPr>
              <w:t xml:space="preserve">Komersantam pēc atbalsta līguma noslēgšanas tiek izsniegts inovāciju </w:t>
            </w:r>
            <w:r w:rsidRPr="00CF0AAB">
              <w:rPr>
                <w:rFonts w:ascii="Times New Roman" w:eastAsia="Times New Roman" w:hAnsi="Times New Roman" w:cs="Times New Roman"/>
                <w:iCs/>
                <w:sz w:val="24"/>
                <w:szCs w:val="24"/>
                <w:u w:val="single"/>
                <w:lang w:eastAsia="lv-LV"/>
              </w:rPr>
              <w:t>vaučeris</w:t>
            </w:r>
            <w:r w:rsidRPr="00CF0AAB">
              <w:rPr>
                <w:rFonts w:ascii="Times New Roman" w:eastAsia="Times New Roman" w:hAnsi="Times New Roman" w:cs="Times New Roman"/>
                <w:iCs/>
                <w:sz w:val="24"/>
                <w:szCs w:val="24"/>
                <w:u w:val="single"/>
                <w:lang w:eastAsia="lv-LV"/>
              </w:rPr>
              <w:t xml:space="preserve">, norādot: </w:t>
            </w:r>
            <w:r w:rsidRPr="00CF0AAB">
              <w:rPr>
                <w:rFonts w:ascii="Times New Roman" w:eastAsia="Times New Roman" w:hAnsi="Times New Roman" w:cs="Times New Roman"/>
                <w:iCs/>
                <w:sz w:val="24"/>
                <w:szCs w:val="24"/>
                <w:u w:val="single"/>
                <w:lang w:eastAsia="lv-LV"/>
              </w:rPr>
              <w:t>vaučera</w:t>
            </w:r>
            <w:r w:rsidRPr="00CF0AAB">
              <w:rPr>
                <w:rFonts w:ascii="Times New Roman" w:eastAsia="Times New Roman" w:hAnsi="Times New Roman" w:cs="Times New Roman"/>
                <w:iCs/>
                <w:sz w:val="24"/>
                <w:szCs w:val="24"/>
                <w:u w:val="single"/>
                <w:lang w:eastAsia="lv-LV"/>
              </w:rPr>
              <w:t xml:space="preserve"> numuru, derīguma termiņu, summu, mērķi </w:t>
            </w:r>
            <w:r w:rsidRPr="00CF0AAB">
              <w:rPr>
                <w:rFonts w:ascii="Times New Roman" w:eastAsia="Times New Roman" w:hAnsi="Times New Roman" w:cs="Times New Roman"/>
                <w:iCs/>
                <w:sz w:val="24"/>
                <w:szCs w:val="24"/>
                <w:u w:val="single"/>
                <w:lang w:eastAsia="lv-LV"/>
              </w:rPr>
              <w:t>vaučera</w:t>
            </w:r>
            <w:r w:rsidRPr="00CF0AAB">
              <w:rPr>
                <w:rFonts w:ascii="Times New Roman" w:eastAsia="Times New Roman" w:hAnsi="Times New Roman" w:cs="Times New Roman"/>
                <w:iCs/>
                <w:sz w:val="24"/>
                <w:szCs w:val="24"/>
                <w:u w:val="single"/>
                <w:lang w:eastAsia="lv-LV"/>
              </w:rPr>
              <w:t xml:space="preserve"> izmantošanai un komersantu, kam izsniegts </w:t>
            </w:r>
            <w:r w:rsidRPr="00CF0AAB">
              <w:rPr>
                <w:rFonts w:ascii="Times New Roman" w:eastAsia="Times New Roman" w:hAnsi="Times New Roman" w:cs="Times New Roman"/>
                <w:iCs/>
                <w:sz w:val="24"/>
                <w:szCs w:val="24"/>
                <w:u w:val="single"/>
                <w:lang w:eastAsia="lv-LV"/>
              </w:rPr>
              <w:t>vaučers</w:t>
            </w:r>
            <w:r w:rsidRPr="00CF0AAB">
              <w:rPr>
                <w:rFonts w:ascii="Times New Roman" w:eastAsia="Times New Roman" w:hAnsi="Times New Roman" w:cs="Times New Roman"/>
                <w:iCs/>
                <w:sz w:val="24"/>
                <w:szCs w:val="24"/>
                <w:u w:val="single"/>
                <w:lang w:eastAsia="lv-LV"/>
              </w:rPr>
              <w:t xml:space="preserve">. Vienlaikus LIAA izveido un uztur publisko reģistru - izsniegto </w:t>
            </w:r>
            <w:r w:rsidRPr="00CF0AAB">
              <w:rPr>
                <w:rFonts w:ascii="Times New Roman" w:eastAsia="Times New Roman" w:hAnsi="Times New Roman" w:cs="Times New Roman"/>
                <w:iCs/>
                <w:sz w:val="24"/>
                <w:szCs w:val="24"/>
                <w:u w:val="single"/>
                <w:lang w:eastAsia="lv-LV"/>
              </w:rPr>
              <w:t>vaučeru</w:t>
            </w:r>
            <w:r w:rsidRPr="00CF0AAB">
              <w:rPr>
                <w:rFonts w:ascii="Times New Roman" w:eastAsia="Times New Roman" w:hAnsi="Times New Roman" w:cs="Times New Roman"/>
                <w:iCs/>
                <w:sz w:val="24"/>
                <w:szCs w:val="24"/>
                <w:u w:val="single"/>
                <w:lang w:eastAsia="lv-LV"/>
              </w:rPr>
              <w:t xml:space="preserve"> sarakstu</w:t>
            </w:r>
            <w:r>
              <w:rPr>
                <w:rFonts w:ascii="Times New Roman" w:eastAsia="Times New Roman" w:hAnsi="Times New Roman" w:cs="Times New Roman"/>
                <w:iCs/>
                <w:sz w:val="24"/>
                <w:szCs w:val="24"/>
                <w:u w:val="single"/>
                <w:lang w:eastAsia="lv-LV"/>
              </w:rPr>
              <w:t>.</w:t>
            </w:r>
          </w:p>
          <w:p w:rsidR="00CA0D93" w:rsidP="00487661" w14:paraId="113FE00B" w14:textId="7C79D889">
            <w:pPr>
              <w:spacing w:after="0" w:line="240" w:lineRule="auto"/>
              <w:jc w:val="both"/>
              <w:rPr>
                <w:rFonts w:ascii="Times New Roman" w:eastAsia="Times New Roman" w:hAnsi="Times New Roman" w:cs="Times New Roman"/>
                <w:iCs/>
                <w:sz w:val="24"/>
                <w:szCs w:val="24"/>
                <w:lang w:eastAsia="lv-LV"/>
              </w:rPr>
            </w:pPr>
            <w:r w:rsidRPr="00F02589">
              <w:rPr>
                <w:rFonts w:ascii="Times New Roman" w:eastAsia="Times New Roman" w:hAnsi="Times New Roman" w:cs="Times New Roman"/>
                <w:iCs/>
                <w:sz w:val="24"/>
                <w:szCs w:val="24"/>
                <w:lang w:eastAsia="lv-LV"/>
              </w:rPr>
              <w:t xml:space="preserve">Lai veicinātu inovācijas aktivitāti Latvijas uzņēmumos un sekmētu Tehnoloģiju </w:t>
            </w:r>
            <w:r w:rsidRPr="00F02589">
              <w:rPr>
                <w:rFonts w:ascii="Times New Roman" w:eastAsia="Times New Roman" w:hAnsi="Times New Roman" w:cs="Times New Roman"/>
                <w:iCs/>
                <w:sz w:val="24"/>
                <w:szCs w:val="24"/>
                <w:lang w:eastAsia="lv-LV"/>
              </w:rPr>
              <w:t>pārneses</w:t>
            </w:r>
            <w:r w:rsidRPr="00F02589">
              <w:rPr>
                <w:rFonts w:ascii="Times New Roman" w:eastAsia="Times New Roman" w:hAnsi="Times New Roman" w:cs="Times New Roman"/>
                <w:iCs/>
                <w:sz w:val="24"/>
                <w:szCs w:val="24"/>
                <w:lang w:eastAsia="lv-LV"/>
              </w:rPr>
              <w:t xml:space="preserve"> sistēmas efektivitāti, paredzēts paplašināt inovācijas </w:t>
            </w:r>
            <w:r w:rsidRPr="00F02589">
              <w:rPr>
                <w:rFonts w:ascii="Times New Roman" w:eastAsia="Times New Roman" w:hAnsi="Times New Roman" w:cs="Times New Roman"/>
                <w:iCs/>
                <w:sz w:val="24"/>
                <w:szCs w:val="24"/>
                <w:lang w:eastAsia="lv-LV"/>
              </w:rPr>
              <w:t>vaučeru</w:t>
            </w:r>
            <w:r w:rsidRPr="00F02589">
              <w:rPr>
                <w:rFonts w:ascii="Times New Roman" w:eastAsia="Times New Roman" w:hAnsi="Times New Roman" w:cs="Times New Roman"/>
                <w:iCs/>
                <w:sz w:val="24"/>
                <w:szCs w:val="24"/>
                <w:lang w:eastAsia="lv-LV"/>
              </w:rPr>
              <w:t xml:space="preserve"> atbalsta pakalpojuma tvērumu arī uz lielajiem uzņēmumiem</w:t>
            </w:r>
            <w:r>
              <w:rPr>
                <w:rFonts w:ascii="Times New Roman" w:eastAsia="Times New Roman" w:hAnsi="Times New Roman" w:cs="Times New Roman"/>
                <w:iCs/>
                <w:sz w:val="24"/>
                <w:szCs w:val="24"/>
                <w:lang w:eastAsia="lv-LV"/>
              </w:rPr>
              <w:t>.</w:t>
            </w:r>
          </w:p>
          <w:p w:rsidR="00F02589" w:rsidP="00487661" w14:paraId="6974E79E" w14:textId="77777777">
            <w:pPr>
              <w:spacing w:after="0" w:line="240" w:lineRule="auto"/>
              <w:jc w:val="both"/>
              <w:rPr>
                <w:rFonts w:ascii="Times New Roman" w:eastAsia="Times New Roman" w:hAnsi="Times New Roman" w:cs="Times New Roman"/>
                <w:iCs/>
                <w:sz w:val="24"/>
                <w:szCs w:val="24"/>
                <w:lang w:eastAsia="lv-LV"/>
              </w:rPr>
            </w:pPr>
          </w:p>
          <w:p w:rsidR="00487661" w:rsidP="00487661" w14:paraId="312E98BF" w14:textId="736BFC0E">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Inovāciju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atbalsta pakalpojumi tiek papildināti ar jaunu atbalstāmo darbību – inovāciju un tehnoloģiju audita pakalpojumu. Atbalsts inovāciju un tehnoloģiju auditam </w:t>
            </w:r>
            <w:r w:rsidRPr="00487661">
              <w:rPr>
                <w:rFonts w:ascii="Times New Roman" w:eastAsia="Times New Roman" w:hAnsi="Times New Roman" w:cs="Times New Roman"/>
                <w:iCs/>
                <w:sz w:val="24"/>
                <w:szCs w:val="24"/>
                <w:lang w:eastAsia="lv-LV"/>
              </w:rPr>
              <w:t>komerantam</w:t>
            </w:r>
            <w:r w:rsidRPr="00487661">
              <w:rPr>
                <w:rFonts w:ascii="Times New Roman" w:eastAsia="Times New Roman" w:hAnsi="Times New Roman" w:cs="Times New Roman"/>
                <w:iCs/>
                <w:sz w:val="24"/>
                <w:szCs w:val="24"/>
                <w:lang w:eastAsia="lv-LV"/>
              </w:rPr>
              <w:t xml:space="preserve"> sniedz atbilstošu uzņēmuma situācijas novērtējumu par produkta, tehnoloģijas vai piedāvātā pakalpojuma attīstīšanas potenciālu, rūpnieciskā īpašuma tiesību nostiprināšanas potenciālu, kā arī novērtējumu par produkta vai tehnoloģijas sertificēšanas un testēšanas potenciālu</w:t>
            </w:r>
            <w:r w:rsidR="0042037A">
              <w:rPr>
                <w:rFonts w:ascii="Times New Roman" w:eastAsia="Times New Roman" w:hAnsi="Times New Roman" w:cs="Times New Roman"/>
                <w:iCs/>
                <w:sz w:val="24"/>
                <w:szCs w:val="24"/>
                <w:lang w:eastAsia="lv-LV"/>
              </w:rPr>
              <w:t>. Rezultātā veiktais audits ļaus</w:t>
            </w:r>
            <w:r w:rsidRPr="00487661">
              <w:rPr>
                <w:rFonts w:ascii="Times New Roman" w:eastAsia="Times New Roman" w:hAnsi="Times New Roman" w:cs="Times New Roman"/>
                <w:iCs/>
                <w:sz w:val="24"/>
                <w:szCs w:val="24"/>
                <w:lang w:eastAsia="lv-LV"/>
              </w:rPr>
              <w:t xml:space="preserve"> komersantam novērtēt esošo uzņēmuma situāciju un uzlabot visu inovācijas procesā iesaistīto resursu izmantošanu, kā arī sekmē</w:t>
            </w:r>
            <w:r w:rsidR="00F605B6">
              <w:rPr>
                <w:rFonts w:ascii="Times New Roman" w:eastAsia="Times New Roman" w:hAnsi="Times New Roman" w:cs="Times New Roman"/>
                <w:iCs/>
                <w:sz w:val="24"/>
                <w:szCs w:val="24"/>
                <w:lang w:eastAsia="lv-LV"/>
              </w:rPr>
              <w:t>s</w:t>
            </w:r>
            <w:r w:rsidRPr="00487661">
              <w:rPr>
                <w:rFonts w:ascii="Times New Roman" w:eastAsia="Times New Roman" w:hAnsi="Times New Roman" w:cs="Times New Roman"/>
                <w:iCs/>
                <w:sz w:val="24"/>
                <w:szCs w:val="24"/>
                <w:lang w:eastAsia="lv-LV"/>
              </w:rPr>
              <w:t xml:space="preserve"> turpmākā attīstības plāna izstrādi.</w:t>
            </w:r>
          </w:p>
          <w:p w:rsidR="00830534" w:rsidRPr="00487661" w:rsidP="00487661" w14:paraId="6111F358" w14:textId="77777777">
            <w:pPr>
              <w:spacing w:after="0" w:line="240" w:lineRule="auto"/>
              <w:jc w:val="both"/>
              <w:rPr>
                <w:rFonts w:ascii="Times New Roman" w:eastAsia="Times New Roman" w:hAnsi="Times New Roman" w:cs="Times New Roman"/>
                <w:iCs/>
                <w:sz w:val="24"/>
                <w:szCs w:val="24"/>
                <w:lang w:eastAsia="lv-LV"/>
              </w:rPr>
            </w:pPr>
          </w:p>
          <w:p w:rsidR="00487661" w:rsidRPr="00487661" w:rsidP="00487661" w14:paraId="63A6938D" w14:textId="357CCAD4">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1.2.1.2. pasākuma īstenošanas ietvaros tiek precizēti arī nosac</w:t>
            </w:r>
            <w:r w:rsidR="00A03BBA">
              <w:rPr>
                <w:rFonts w:ascii="Times New Roman" w:eastAsia="Times New Roman" w:hAnsi="Times New Roman" w:cs="Times New Roman"/>
                <w:iCs/>
                <w:sz w:val="24"/>
                <w:szCs w:val="24"/>
                <w:lang w:eastAsia="lv-LV"/>
              </w:rPr>
              <w:t>ījumi attiecībā uz augsti kvalif</w:t>
            </w:r>
            <w:r w:rsidRPr="00487661">
              <w:rPr>
                <w:rFonts w:ascii="Times New Roman" w:eastAsia="Times New Roman" w:hAnsi="Times New Roman" w:cs="Times New Roman"/>
                <w:iCs/>
                <w:sz w:val="24"/>
                <w:szCs w:val="24"/>
                <w:lang w:eastAsia="lv-LV"/>
              </w:rPr>
              <w:t xml:space="preserve">icētu darbinieku piesaisti. Līdz šim MK noteikumi Nr.692 paredzēja, ka augsti kvalificētus darbiniekus var piesaistīt tikai </w:t>
            </w:r>
            <w:r w:rsidRPr="00487661">
              <w:rPr>
                <w:rFonts w:ascii="Times New Roman" w:eastAsia="Times New Roman" w:hAnsi="Times New Roman" w:cs="Times New Roman"/>
                <w:iCs/>
                <w:sz w:val="24"/>
                <w:szCs w:val="24"/>
                <w:lang w:eastAsia="lv-LV"/>
              </w:rPr>
              <w:t>jaunuzņēmumi</w:t>
            </w:r>
            <w:r w:rsidRPr="00487661">
              <w:rPr>
                <w:rFonts w:ascii="Times New Roman" w:eastAsia="Times New Roman" w:hAnsi="Times New Roman" w:cs="Times New Roman"/>
                <w:iCs/>
                <w:sz w:val="24"/>
                <w:szCs w:val="24"/>
                <w:lang w:eastAsia="lv-LV"/>
              </w:rPr>
              <w:t>, taču MK noteikumu Nr.692 grozījumi paredz, ka turpmāk augsti kvalificētus darbiniekus varēs piesaistīt jebkurš komersants, ka</w:t>
            </w:r>
            <w:r w:rsidR="00983D4A">
              <w:rPr>
                <w:rFonts w:ascii="Times New Roman" w:eastAsia="Times New Roman" w:hAnsi="Times New Roman" w:cs="Times New Roman"/>
                <w:iCs/>
                <w:sz w:val="24"/>
                <w:szCs w:val="24"/>
                <w:lang w:eastAsia="lv-LV"/>
              </w:rPr>
              <w:t>s atbilst sīkā (mikro), mazā,</w:t>
            </w:r>
            <w:r w:rsidRPr="00487661">
              <w:rPr>
                <w:rFonts w:ascii="Times New Roman" w:eastAsia="Times New Roman" w:hAnsi="Times New Roman" w:cs="Times New Roman"/>
                <w:iCs/>
                <w:sz w:val="24"/>
                <w:szCs w:val="24"/>
                <w:lang w:eastAsia="lv-LV"/>
              </w:rPr>
              <w:t xml:space="preserve"> vidējā</w:t>
            </w:r>
            <w:r w:rsidR="00983D4A">
              <w:rPr>
                <w:rFonts w:ascii="Times New Roman" w:eastAsia="Times New Roman" w:hAnsi="Times New Roman" w:cs="Times New Roman"/>
                <w:iCs/>
                <w:sz w:val="24"/>
                <w:szCs w:val="24"/>
                <w:lang w:eastAsia="lv-LV"/>
              </w:rPr>
              <w:t xml:space="preserve"> vai lielā</w:t>
            </w:r>
            <w:r w:rsidRPr="00487661">
              <w:rPr>
                <w:rFonts w:ascii="Times New Roman" w:eastAsia="Times New Roman" w:hAnsi="Times New Roman" w:cs="Times New Roman"/>
                <w:iCs/>
                <w:sz w:val="24"/>
                <w:szCs w:val="24"/>
                <w:lang w:eastAsia="lv-LV"/>
              </w:rPr>
              <w:t xml:space="preserve"> komersanta statusam</w:t>
            </w:r>
            <w:r w:rsidR="00830534">
              <w:rPr>
                <w:rFonts w:ascii="Times New Roman" w:eastAsia="Times New Roman" w:hAnsi="Times New Roman" w:cs="Times New Roman"/>
                <w:iCs/>
                <w:sz w:val="24"/>
                <w:szCs w:val="24"/>
                <w:lang w:eastAsia="lv-LV"/>
              </w:rPr>
              <w:t xml:space="preserve">, tai skaitā arī </w:t>
            </w:r>
            <w:r w:rsidR="00830534">
              <w:rPr>
                <w:rFonts w:ascii="Times New Roman" w:eastAsia="Times New Roman" w:hAnsi="Times New Roman" w:cs="Times New Roman"/>
                <w:iCs/>
                <w:sz w:val="24"/>
                <w:szCs w:val="24"/>
                <w:lang w:eastAsia="lv-LV"/>
              </w:rPr>
              <w:t>jaunuzņēmumiem</w:t>
            </w:r>
            <w:r w:rsidRPr="00487661">
              <w:rPr>
                <w:rFonts w:ascii="Times New Roman" w:eastAsia="Times New Roman" w:hAnsi="Times New Roman" w:cs="Times New Roman"/>
                <w:iCs/>
                <w:sz w:val="24"/>
                <w:szCs w:val="24"/>
                <w:lang w:eastAsia="lv-LV"/>
              </w:rPr>
              <w:t>. Papildus</w:t>
            </w:r>
            <w:r w:rsidR="00830534">
              <w:rPr>
                <w:rFonts w:ascii="Times New Roman" w:eastAsia="Times New Roman" w:hAnsi="Times New Roman" w:cs="Times New Roman"/>
                <w:iCs/>
                <w:sz w:val="24"/>
                <w:szCs w:val="24"/>
                <w:lang w:eastAsia="lv-LV"/>
              </w:rPr>
              <w:t xml:space="preserve"> MK noteikumu Nr.692 esošajām prasībām augsti kvalificēta darbaspēka piesaistē, noteikumu projekts paredz, </w:t>
            </w:r>
            <w:r w:rsidRPr="00487661">
              <w:rPr>
                <w:rFonts w:ascii="Times New Roman" w:eastAsia="Times New Roman" w:hAnsi="Times New Roman" w:cs="Times New Roman"/>
                <w:iCs/>
                <w:sz w:val="24"/>
                <w:szCs w:val="24"/>
                <w:lang w:eastAsia="lv-LV"/>
              </w:rPr>
              <w:t>ka komersants varēs saņemt atbalstu ne vairāk kā par trīs augsti k</w:t>
            </w:r>
            <w:r w:rsidR="00830534">
              <w:rPr>
                <w:rFonts w:ascii="Times New Roman" w:eastAsia="Times New Roman" w:hAnsi="Times New Roman" w:cs="Times New Roman"/>
                <w:iCs/>
                <w:sz w:val="24"/>
                <w:szCs w:val="24"/>
                <w:lang w:eastAsia="lv-LV"/>
              </w:rPr>
              <w:t xml:space="preserve">valificētu darbinieku piesaisti, kā arī to, ka </w:t>
            </w:r>
            <w:r w:rsidRPr="004B64C2" w:rsidR="00830534">
              <w:rPr>
                <w:rFonts w:ascii="Times New Roman" w:eastAsia="Times New Roman" w:hAnsi="Times New Roman"/>
                <w:sz w:val="24"/>
                <w:szCs w:val="24"/>
              </w:rPr>
              <w:t>piesaistītais darbinieks nav strādājis pie komersanta un tā saistīto personu grupā pēdējo trīs gadu laikā</w:t>
            </w:r>
            <w:r w:rsidR="00830534">
              <w:rPr>
                <w:rFonts w:ascii="Times New Roman" w:eastAsia="Times New Roman" w:hAnsi="Times New Roman"/>
                <w:sz w:val="24"/>
                <w:szCs w:val="24"/>
              </w:rPr>
              <w:t>.</w:t>
            </w:r>
            <w:r w:rsidR="00636A19">
              <w:rPr>
                <w:rFonts w:ascii="Times New Roman" w:eastAsia="Times New Roman" w:hAnsi="Times New Roman"/>
                <w:sz w:val="24"/>
                <w:szCs w:val="24"/>
              </w:rPr>
              <w:t xml:space="preserve"> Kvalificēto darbinieku skaita ierobežojums</w:t>
            </w:r>
            <w:r w:rsidR="003D3F72">
              <w:rPr>
                <w:rFonts w:ascii="Times New Roman" w:eastAsia="Times New Roman" w:hAnsi="Times New Roman"/>
                <w:sz w:val="24"/>
                <w:szCs w:val="24"/>
              </w:rPr>
              <w:t xml:space="preserve"> neattieksies uz komersantiem, kam lēmumu par atbalsta piešķiršanu pieņem saskaņā ar normatīvajiem aktiem </w:t>
            </w:r>
            <w:r w:rsidR="003D3F72">
              <w:rPr>
                <w:rFonts w:ascii="Times New Roman" w:eastAsia="Times New Roman" w:hAnsi="Times New Roman"/>
                <w:sz w:val="24"/>
                <w:szCs w:val="24"/>
              </w:rPr>
              <w:t>jaunuzņēmumu</w:t>
            </w:r>
            <w:r w:rsidR="003D3F72">
              <w:rPr>
                <w:rFonts w:ascii="Times New Roman" w:eastAsia="Times New Roman" w:hAnsi="Times New Roman"/>
                <w:sz w:val="24"/>
                <w:szCs w:val="24"/>
              </w:rPr>
              <w:t xml:space="preserve"> darbības atbalsta jomā.</w:t>
            </w:r>
          </w:p>
          <w:p w:rsidR="00487661" w:rsidRPr="00487661" w:rsidP="00487661" w14:paraId="087782F5" w14:textId="77777777">
            <w:pPr>
              <w:spacing w:after="0" w:line="240" w:lineRule="auto"/>
              <w:jc w:val="both"/>
              <w:rPr>
                <w:rFonts w:ascii="Times New Roman" w:eastAsia="Times New Roman" w:hAnsi="Times New Roman" w:cs="Times New Roman"/>
                <w:iCs/>
                <w:sz w:val="24"/>
                <w:szCs w:val="24"/>
                <w:lang w:eastAsia="lv-LV"/>
              </w:rPr>
            </w:pPr>
          </w:p>
          <w:p w:rsidR="00BB1E65" w:rsidP="00487661" w14:paraId="2E259090" w14:textId="62042D68">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Inovāciju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pakalpojumi tiek papildināti arī ar jaunu atbalsta </w:t>
            </w:r>
            <w:r w:rsidRPr="00487661">
              <w:rPr>
                <w:rFonts w:ascii="Times New Roman" w:eastAsia="Times New Roman" w:hAnsi="Times New Roman" w:cs="Times New Roman"/>
                <w:iCs/>
                <w:sz w:val="24"/>
                <w:szCs w:val="24"/>
                <w:lang w:eastAsia="lv-LV"/>
              </w:rPr>
              <w:t>vaučeri</w:t>
            </w:r>
            <w:r w:rsidRPr="00487661">
              <w:rPr>
                <w:rFonts w:ascii="Times New Roman" w:eastAsia="Times New Roman" w:hAnsi="Times New Roman" w:cs="Times New Roman"/>
                <w:iCs/>
                <w:sz w:val="24"/>
                <w:szCs w:val="24"/>
                <w:lang w:eastAsia="lv-LV"/>
              </w:rPr>
              <w:t xml:space="preserve">, kura summa nepārsniedz 5 000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ar maksimālo atbalsta intensitāti 100% apmērā tehniski ekonomiskās </w:t>
            </w:r>
            <w:r w:rsidRPr="00487661">
              <w:rPr>
                <w:rFonts w:ascii="Times New Roman" w:eastAsia="Times New Roman" w:hAnsi="Times New Roman" w:cs="Times New Roman"/>
                <w:iCs/>
                <w:sz w:val="24"/>
                <w:szCs w:val="24"/>
                <w:lang w:eastAsia="lv-LV"/>
              </w:rPr>
              <w:t>priekšizpētes</w:t>
            </w:r>
            <w:r w:rsidRPr="00487661">
              <w:rPr>
                <w:rFonts w:ascii="Times New Roman" w:eastAsia="Times New Roman" w:hAnsi="Times New Roman" w:cs="Times New Roman"/>
                <w:iCs/>
                <w:sz w:val="24"/>
                <w:szCs w:val="24"/>
                <w:lang w:eastAsia="lv-LV"/>
              </w:rPr>
              <w:t xml:space="preserve"> veikšanai, rūpniecisko </w:t>
            </w:r>
            <w:r w:rsidRPr="00487661">
              <w:rPr>
                <w:rFonts w:ascii="Times New Roman" w:eastAsia="Times New Roman" w:hAnsi="Times New Roman" w:cs="Times New Roman"/>
                <w:iCs/>
                <w:sz w:val="24"/>
                <w:szCs w:val="24"/>
                <w:lang w:eastAsia="lv-LV"/>
              </w:rPr>
              <w:t xml:space="preserve">pētījumu veikšanai, eksperimentālai izstrādei vai rūpnieciskā dizaina izstrādei. Minētais </w:t>
            </w:r>
            <w:r w:rsidRPr="00487661">
              <w:rPr>
                <w:rFonts w:ascii="Times New Roman" w:eastAsia="Times New Roman" w:hAnsi="Times New Roman" w:cs="Times New Roman"/>
                <w:iCs/>
                <w:sz w:val="24"/>
                <w:szCs w:val="24"/>
                <w:lang w:eastAsia="lv-LV"/>
              </w:rPr>
              <w:t>vaučeris</w:t>
            </w:r>
            <w:r w:rsidRPr="00487661">
              <w:rPr>
                <w:rFonts w:ascii="Times New Roman" w:eastAsia="Times New Roman" w:hAnsi="Times New Roman" w:cs="Times New Roman"/>
                <w:iCs/>
                <w:sz w:val="24"/>
                <w:szCs w:val="24"/>
                <w:lang w:eastAsia="lv-LV"/>
              </w:rPr>
              <w:t xml:space="preserve"> komersantam paredzēts kā vienreizējs atbalsta pasākums, ja tas iepriekš nav saņēmis valsts atbalstu sadarbībai ar pētnieciskajām organizācijām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programmas īstenošanas ietvaros.</w:t>
            </w:r>
            <w:r w:rsidR="00835229">
              <w:rPr>
                <w:rFonts w:ascii="Times New Roman" w:eastAsia="Times New Roman" w:hAnsi="Times New Roman" w:cs="Times New Roman"/>
                <w:iCs/>
                <w:sz w:val="24"/>
                <w:szCs w:val="24"/>
                <w:lang w:eastAsia="lv-LV"/>
              </w:rPr>
              <w:t xml:space="preserve"> Tā sauktā “iepazīšanās </w:t>
            </w:r>
            <w:r w:rsidR="00835229">
              <w:rPr>
                <w:rFonts w:ascii="Times New Roman" w:eastAsia="Times New Roman" w:hAnsi="Times New Roman" w:cs="Times New Roman"/>
                <w:iCs/>
                <w:sz w:val="24"/>
                <w:szCs w:val="24"/>
                <w:lang w:eastAsia="lv-LV"/>
              </w:rPr>
              <w:t>vaučera</w:t>
            </w:r>
            <w:r w:rsidR="00835229">
              <w:rPr>
                <w:rFonts w:ascii="Times New Roman" w:eastAsia="Times New Roman" w:hAnsi="Times New Roman" w:cs="Times New Roman"/>
                <w:iCs/>
                <w:sz w:val="24"/>
                <w:szCs w:val="24"/>
                <w:lang w:eastAsia="lv-LV"/>
              </w:rPr>
              <w:t xml:space="preserve">” būtība ir radīt komersantu interesi par tehnoloģiju </w:t>
            </w:r>
            <w:r w:rsidR="00835229">
              <w:rPr>
                <w:rFonts w:ascii="Times New Roman" w:eastAsia="Times New Roman" w:hAnsi="Times New Roman" w:cs="Times New Roman"/>
                <w:iCs/>
                <w:sz w:val="24"/>
                <w:szCs w:val="24"/>
                <w:lang w:eastAsia="lv-LV"/>
              </w:rPr>
              <w:t>pārneses</w:t>
            </w:r>
            <w:r w:rsidR="00835229">
              <w:rPr>
                <w:rFonts w:ascii="Times New Roman" w:eastAsia="Times New Roman" w:hAnsi="Times New Roman" w:cs="Times New Roman"/>
                <w:iCs/>
                <w:sz w:val="24"/>
                <w:szCs w:val="24"/>
                <w:lang w:eastAsia="lv-LV"/>
              </w:rPr>
              <w:t xml:space="preserve"> programmu un tās sniegtajām iespējām. Komersants var izvēlēties šī </w:t>
            </w:r>
            <w:r w:rsidR="00835229">
              <w:rPr>
                <w:rFonts w:ascii="Times New Roman" w:eastAsia="Times New Roman" w:hAnsi="Times New Roman" w:cs="Times New Roman"/>
                <w:iCs/>
                <w:sz w:val="24"/>
                <w:szCs w:val="24"/>
                <w:lang w:eastAsia="lv-LV"/>
              </w:rPr>
              <w:t>vaučera</w:t>
            </w:r>
            <w:r w:rsidR="00835229">
              <w:rPr>
                <w:rFonts w:ascii="Times New Roman" w:eastAsia="Times New Roman" w:hAnsi="Times New Roman" w:cs="Times New Roman"/>
                <w:iCs/>
                <w:sz w:val="24"/>
                <w:szCs w:val="24"/>
                <w:lang w:eastAsia="lv-LV"/>
              </w:rPr>
              <w:t xml:space="preserve"> veidu, lai saprastu, kā</w:t>
            </w:r>
            <w:r w:rsidR="005E13A4">
              <w:rPr>
                <w:rFonts w:ascii="Times New Roman" w:eastAsia="Times New Roman" w:hAnsi="Times New Roman" w:cs="Times New Roman"/>
                <w:iCs/>
                <w:sz w:val="24"/>
                <w:szCs w:val="24"/>
                <w:lang w:eastAsia="lv-LV"/>
              </w:rPr>
              <w:t xml:space="preserve"> kopumā darbojas sistēma un vienlaikus izvērtēt</w:t>
            </w:r>
            <w:r w:rsidR="00835229">
              <w:rPr>
                <w:rFonts w:ascii="Times New Roman" w:eastAsia="Times New Roman" w:hAnsi="Times New Roman" w:cs="Times New Roman"/>
                <w:iCs/>
                <w:sz w:val="24"/>
                <w:szCs w:val="24"/>
                <w:lang w:eastAsia="lv-LV"/>
              </w:rPr>
              <w:t>,</w:t>
            </w:r>
            <w:r w:rsidR="005E13A4">
              <w:rPr>
                <w:rFonts w:ascii="Times New Roman" w:eastAsia="Times New Roman" w:hAnsi="Times New Roman" w:cs="Times New Roman"/>
                <w:iCs/>
                <w:sz w:val="24"/>
                <w:szCs w:val="24"/>
                <w:lang w:eastAsia="lv-LV"/>
              </w:rPr>
              <w:t xml:space="preserve"> vai ir lietderīgi ieguldīt privātos līdzekļus, lai pretendētu uz tā sauktā “klasiskā </w:t>
            </w:r>
            <w:r w:rsidR="005E13A4">
              <w:rPr>
                <w:rFonts w:ascii="Times New Roman" w:eastAsia="Times New Roman" w:hAnsi="Times New Roman" w:cs="Times New Roman"/>
                <w:iCs/>
                <w:sz w:val="24"/>
                <w:szCs w:val="24"/>
                <w:lang w:eastAsia="lv-LV"/>
              </w:rPr>
              <w:t>vaučera</w:t>
            </w:r>
            <w:r w:rsidR="005E13A4">
              <w:rPr>
                <w:rFonts w:ascii="Times New Roman" w:eastAsia="Times New Roman" w:hAnsi="Times New Roman" w:cs="Times New Roman"/>
                <w:iCs/>
                <w:sz w:val="24"/>
                <w:szCs w:val="24"/>
                <w:lang w:eastAsia="lv-LV"/>
              </w:rPr>
              <w:t xml:space="preserve">” atbalsta saņemšanu 25 000 </w:t>
            </w:r>
            <w:r w:rsidR="005E13A4">
              <w:rPr>
                <w:rFonts w:ascii="Times New Roman" w:eastAsia="Times New Roman" w:hAnsi="Times New Roman" w:cs="Times New Roman"/>
                <w:iCs/>
                <w:sz w:val="24"/>
                <w:szCs w:val="24"/>
                <w:lang w:eastAsia="lv-LV"/>
              </w:rPr>
              <w:t>euro</w:t>
            </w:r>
            <w:r w:rsidR="005E13A4">
              <w:rPr>
                <w:rFonts w:ascii="Times New Roman" w:eastAsia="Times New Roman" w:hAnsi="Times New Roman" w:cs="Times New Roman"/>
                <w:iCs/>
                <w:sz w:val="24"/>
                <w:szCs w:val="24"/>
                <w:lang w:eastAsia="lv-LV"/>
              </w:rPr>
              <w:t xml:space="preserve"> apmērā.</w:t>
            </w:r>
            <w:r w:rsidR="00D67F8E">
              <w:rPr>
                <w:rFonts w:ascii="Times New Roman" w:eastAsia="Times New Roman" w:hAnsi="Times New Roman" w:cs="Times New Roman"/>
                <w:iCs/>
                <w:sz w:val="24"/>
                <w:szCs w:val="24"/>
                <w:lang w:eastAsia="lv-LV"/>
              </w:rPr>
              <w:t xml:space="preserve"> </w:t>
            </w:r>
            <w:r w:rsidR="00817798">
              <w:rPr>
                <w:rFonts w:ascii="Times New Roman" w:eastAsia="Times New Roman" w:hAnsi="Times New Roman" w:cs="Times New Roman"/>
                <w:iCs/>
                <w:sz w:val="24"/>
                <w:szCs w:val="24"/>
                <w:lang w:eastAsia="lv-LV"/>
              </w:rPr>
              <w:t xml:space="preserve">Lai saņemtu “klasiskā </w:t>
            </w:r>
            <w:r w:rsidR="00817798">
              <w:rPr>
                <w:rFonts w:ascii="Times New Roman" w:eastAsia="Times New Roman" w:hAnsi="Times New Roman" w:cs="Times New Roman"/>
                <w:iCs/>
                <w:sz w:val="24"/>
                <w:szCs w:val="24"/>
                <w:lang w:eastAsia="lv-LV"/>
              </w:rPr>
              <w:t>vaučera</w:t>
            </w:r>
            <w:r w:rsidR="00817798">
              <w:rPr>
                <w:rFonts w:ascii="Times New Roman" w:eastAsia="Times New Roman" w:hAnsi="Times New Roman" w:cs="Times New Roman"/>
                <w:iCs/>
                <w:sz w:val="24"/>
                <w:szCs w:val="24"/>
                <w:lang w:eastAsia="lv-LV"/>
              </w:rPr>
              <w:t xml:space="preserve">” atbalsta pakalpojumu, komersantam nav pienākums obligāti izmantot “iepazīšanās </w:t>
            </w:r>
            <w:r w:rsidR="00817798">
              <w:rPr>
                <w:rFonts w:ascii="Times New Roman" w:eastAsia="Times New Roman" w:hAnsi="Times New Roman" w:cs="Times New Roman"/>
                <w:iCs/>
                <w:sz w:val="24"/>
                <w:szCs w:val="24"/>
                <w:lang w:eastAsia="lv-LV"/>
              </w:rPr>
              <w:t>vaučeri</w:t>
            </w:r>
            <w:r w:rsidR="00817798">
              <w:rPr>
                <w:rFonts w:ascii="Times New Roman" w:eastAsia="Times New Roman" w:hAnsi="Times New Roman" w:cs="Times New Roman"/>
                <w:iCs/>
                <w:sz w:val="24"/>
                <w:szCs w:val="24"/>
                <w:lang w:eastAsia="lv-LV"/>
              </w:rPr>
              <w:t>”.</w:t>
            </w:r>
          </w:p>
          <w:p w:rsidR="00487661" w:rsidRPr="00487661" w:rsidP="00487661" w14:paraId="6BE7B8B5" w14:textId="4AA81B21">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p w:rsidR="0005362A" w:rsidP="00487661" w14:paraId="4CBE79A6" w14:textId="68ADB3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somu eksperta </w:t>
            </w:r>
            <w:r w:rsidRPr="00487661">
              <w:rPr>
                <w:rFonts w:ascii="Times New Roman" w:eastAsia="Times New Roman" w:hAnsi="Times New Roman" w:cs="Times New Roman"/>
                <w:iCs/>
                <w:sz w:val="24"/>
                <w:szCs w:val="24"/>
                <w:lang w:eastAsia="lv-LV"/>
              </w:rPr>
              <w:t>Jari</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Romanainen</w:t>
            </w:r>
            <w:r>
              <w:rPr>
                <w:rFonts w:ascii="Times New Roman" w:eastAsia="Times New Roman" w:hAnsi="Times New Roman" w:cs="Times New Roman"/>
                <w:iCs/>
                <w:sz w:val="24"/>
                <w:szCs w:val="24"/>
                <w:lang w:eastAsia="lv-LV"/>
              </w:rPr>
              <w:t xml:space="preserve"> veikto</w:t>
            </w:r>
            <w:r w:rsidRPr="00487661">
              <w:rPr>
                <w:rFonts w:ascii="Times New Roman" w:eastAsia="Times New Roman" w:hAnsi="Times New Roman" w:cs="Times New Roman"/>
                <w:iCs/>
                <w:sz w:val="24"/>
                <w:szCs w:val="24"/>
                <w:lang w:eastAsia="lv-LV"/>
              </w:rPr>
              <w:t xml:space="preserve"> </w:t>
            </w:r>
            <w:r w:rsidRPr="00487661">
              <w:rPr>
                <w:rFonts w:ascii="Times New Roman" w:eastAsia="Times New Roman" w:hAnsi="Times New Roman" w:cs="Times New Roman"/>
                <w:iCs/>
                <w:sz w:val="24"/>
                <w:szCs w:val="24"/>
                <w:lang w:eastAsia="lv-LV"/>
              </w:rPr>
              <w:t>izvērtējum</w:t>
            </w:r>
            <w:r>
              <w:rPr>
                <w:rFonts w:ascii="Times New Roman" w:eastAsia="Times New Roman" w:hAnsi="Times New Roman" w:cs="Times New Roman"/>
                <w:iCs/>
                <w:sz w:val="24"/>
                <w:szCs w:val="24"/>
                <w:lang w:eastAsia="lv-LV"/>
              </w:rPr>
              <w:t>u</w:t>
            </w:r>
            <w:r w:rsidRPr="00487661">
              <w:rPr>
                <w:rFonts w:ascii="Times New Roman" w:eastAsia="Times New Roman" w:hAnsi="Times New Roman" w:cs="Times New Roman"/>
                <w:iCs/>
                <w:sz w:val="24"/>
                <w:szCs w:val="24"/>
                <w:lang w:eastAsia="lv-LV"/>
              </w:rPr>
              <w:t xml:space="preserve"> par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programmas struktūru, atbalsta instrumentiem un programmas īstenošanu</w:t>
            </w:r>
            <w:r>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izvērtējumā</w:t>
            </w:r>
            <w:r>
              <w:rPr>
                <w:rFonts w:ascii="Times New Roman" w:eastAsia="Times New Roman" w:hAnsi="Times New Roman" w:cs="Times New Roman"/>
                <w:iCs/>
                <w:sz w:val="24"/>
                <w:szCs w:val="24"/>
                <w:lang w:eastAsia="lv-LV"/>
              </w:rPr>
              <w:t xml:space="preserve"> iekļautajām rekomendācijām, </w:t>
            </w:r>
            <w:r w:rsidRPr="00487661" w:rsidR="00487661">
              <w:rPr>
                <w:rFonts w:ascii="Times New Roman" w:eastAsia="Times New Roman" w:hAnsi="Times New Roman" w:cs="Times New Roman"/>
                <w:iCs/>
                <w:sz w:val="24"/>
                <w:szCs w:val="24"/>
                <w:lang w:eastAsia="lv-LV"/>
              </w:rPr>
              <w:t xml:space="preserve">MK noteikumu Nr.692 grozījumi </w:t>
            </w:r>
            <w:r>
              <w:rPr>
                <w:rFonts w:ascii="Times New Roman" w:eastAsia="Times New Roman" w:hAnsi="Times New Roman" w:cs="Times New Roman"/>
                <w:iCs/>
                <w:sz w:val="24"/>
                <w:szCs w:val="24"/>
                <w:lang w:eastAsia="lv-LV"/>
              </w:rPr>
              <w:t>tiek</w:t>
            </w:r>
            <w:r w:rsidRPr="00487661">
              <w:rPr>
                <w:rFonts w:ascii="Times New Roman" w:eastAsia="Times New Roman" w:hAnsi="Times New Roman" w:cs="Times New Roman"/>
                <w:iCs/>
                <w:sz w:val="24"/>
                <w:szCs w:val="24"/>
                <w:lang w:eastAsia="lv-LV"/>
              </w:rPr>
              <w:t xml:space="preserve"> </w:t>
            </w:r>
            <w:r w:rsidRPr="00487661" w:rsidR="00487661">
              <w:rPr>
                <w:rFonts w:ascii="Times New Roman" w:eastAsia="Times New Roman" w:hAnsi="Times New Roman" w:cs="Times New Roman"/>
                <w:iCs/>
                <w:sz w:val="24"/>
                <w:szCs w:val="24"/>
                <w:lang w:eastAsia="lv-LV"/>
              </w:rPr>
              <w:t>precizēt</w:t>
            </w:r>
            <w:r>
              <w:rPr>
                <w:rFonts w:ascii="Times New Roman" w:eastAsia="Times New Roman" w:hAnsi="Times New Roman" w:cs="Times New Roman"/>
                <w:iCs/>
                <w:sz w:val="24"/>
                <w:szCs w:val="24"/>
                <w:lang w:eastAsia="lv-LV"/>
              </w:rPr>
              <w:t>i attiecībā uz</w:t>
            </w:r>
            <w:r w:rsidRPr="00487661" w:rsidR="00487661">
              <w:rPr>
                <w:rFonts w:ascii="Times New Roman" w:eastAsia="Times New Roman" w:hAnsi="Times New Roman" w:cs="Times New Roman"/>
                <w:iCs/>
                <w:sz w:val="24"/>
                <w:szCs w:val="24"/>
                <w:lang w:eastAsia="lv-LV"/>
              </w:rPr>
              <w:t xml:space="preserve"> esošo atbalsta </w:t>
            </w:r>
            <w:r w:rsidRPr="00487661" w:rsidR="00487661">
              <w:rPr>
                <w:rFonts w:ascii="Times New Roman" w:eastAsia="Times New Roman" w:hAnsi="Times New Roman" w:cs="Times New Roman"/>
                <w:iCs/>
                <w:sz w:val="24"/>
                <w:szCs w:val="24"/>
                <w:lang w:eastAsia="lv-LV"/>
              </w:rPr>
              <w:t>vaučeru</w:t>
            </w:r>
            <w:r w:rsidRPr="00487661" w:rsidR="00487661">
              <w:rPr>
                <w:rFonts w:ascii="Times New Roman" w:eastAsia="Times New Roman" w:hAnsi="Times New Roman" w:cs="Times New Roman"/>
                <w:iCs/>
                <w:sz w:val="24"/>
                <w:szCs w:val="24"/>
                <w:lang w:eastAsia="lv-LV"/>
              </w:rPr>
              <w:t xml:space="preserve"> atbalsta intensitāti tehniski ekonomiskās </w:t>
            </w:r>
            <w:r w:rsidRPr="00487661" w:rsidR="00487661">
              <w:rPr>
                <w:rFonts w:ascii="Times New Roman" w:eastAsia="Times New Roman" w:hAnsi="Times New Roman" w:cs="Times New Roman"/>
                <w:iCs/>
                <w:sz w:val="24"/>
                <w:szCs w:val="24"/>
                <w:lang w:eastAsia="lv-LV"/>
              </w:rPr>
              <w:t>priekšizpētes</w:t>
            </w:r>
            <w:r w:rsidRPr="00487661" w:rsidR="00487661">
              <w:rPr>
                <w:rFonts w:ascii="Times New Roman" w:eastAsia="Times New Roman" w:hAnsi="Times New Roman" w:cs="Times New Roman"/>
                <w:iCs/>
                <w:sz w:val="24"/>
                <w:szCs w:val="24"/>
                <w:lang w:eastAsia="lv-LV"/>
              </w:rPr>
              <w:t xml:space="preserve"> veikšanai, rūpniecisko pētījumu veikšanai, eksperimentālai izstrādei, rūpnieciskā dizaina izstrādei, jauna produkta vai tehnoloģijas sertificēšanai un testēšanai paaugstinot to no 60% līdz 85%. Šāda atbalsta intensitāte 85% apmērā tiks noteikta arī no jauna ieviestajai atbalstāmajai darbībai – inovāciju un</w:t>
            </w:r>
            <w:r w:rsidR="004942E4">
              <w:rPr>
                <w:rFonts w:ascii="Times New Roman" w:eastAsia="Times New Roman" w:hAnsi="Times New Roman" w:cs="Times New Roman"/>
                <w:iCs/>
                <w:sz w:val="24"/>
                <w:szCs w:val="24"/>
                <w:lang w:eastAsia="lv-LV"/>
              </w:rPr>
              <w:t xml:space="preserve"> tehnoloģiju audita pakalpojuma</w:t>
            </w:r>
            <w:r w:rsidRPr="00487661" w:rsidR="00487661">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Plānots, ka jaunās izmaiņas veicinās komersantu intereses pieaugumu par </w:t>
            </w:r>
            <w:r>
              <w:rPr>
                <w:rFonts w:ascii="Times New Roman" w:eastAsia="Times New Roman" w:hAnsi="Times New Roman" w:cs="Times New Roman"/>
                <w:iCs/>
                <w:sz w:val="24"/>
                <w:szCs w:val="24"/>
                <w:lang w:eastAsia="lv-LV"/>
              </w:rPr>
              <w:t>vaučeru</w:t>
            </w:r>
            <w:r>
              <w:rPr>
                <w:rFonts w:ascii="Times New Roman" w:eastAsia="Times New Roman" w:hAnsi="Times New Roman" w:cs="Times New Roman"/>
                <w:iCs/>
                <w:sz w:val="24"/>
                <w:szCs w:val="24"/>
                <w:lang w:eastAsia="lv-LV"/>
              </w:rPr>
              <w:t xml:space="preserve"> atbalsta pakalpojumiem, kā rezultātā pozitīvi tiktu ietekmēts arī kopējais piesaistītā privātā finansējuma apjoms. Paredzēts, ka ar piemēroto intensitāti 85% apmērā iespējams piesaistīt lielāku privātā finansējuma apjomu, nekā ar piemēro</w:t>
            </w:r>
            <w:r w:rsidR="00A00EBF">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o intensitāti 60% apmērā.</w:t>
            </w:r>
          </w:p>
          <w:p w:rsidR="0011073D" w:rsidP="00487661" w14:paraId="3161E230" w14:textId="5D3A502A">
            <w:pPr>
              <w:spacing w:after="0" w:line="240" w:lineRule="auto"/>
              <w:jc w:val="both"/>
              <w:rPr>
                <w:rFonts w:ascii="Times New Roman" w:eastAsia="Times New Roman" w:hAnsi="Times New Roman" w:cs="Times New Roman"/>
                <w:iCs/>
                <w:sz w:val="24"/>
                <w:szCs w:val="24"/>
                <w:lang w:eastAsia="lv-LV"/>
              </w:rPr>
            </w:pPr>
          </w:p>
          <w:p w:rsidR="00A75039" w:rsidP="00487661" w14:paraId="212255EB" w14:textId="46614A81">
            <w:pPr>
              <w:spacing w:after="0" w:line="240" w:lineRule="auto"/>
              <w:jc w:val="both"/>
              <w:rPr>
                <w:rFonts w:ascii="Times New Roman" w:eastAsia="Times New Roman" w:hAnsi="Times New Roman" w:cs="Times New Roman"/>
                <w:iCs/>
                <w:sz w:val="24"/>
                <w:szCs w:val="24"/>
                <w:lang w:eastAsia="lv-LV"/>
              </w:rPr>
            </w:pPr>
            <w:r w:rsidRPr="00A75039">
              <w:rPr>
                <w:rFonts w:ascii="Times New Roman" w:eastAsia="Times New Roman" w:hAnsi="Times New Roman" w:cs="Times New Roman"/>
                <w:iCs/>
                <w:sz w:val="24"/>
                <w:szCs w:val="24"/>
                <w:lang w:eastAsia="lv-LV"/>
              </w:rPr>
              <w:t xml:space="preserve">Pakalpojuma apmaksas kārtība būs noteikta sadarbības līgumā par </w:t>
            </w:r>
            <w:r w:rsidRPr="00A75039">
              <w:rPr>
                <w:rFonts w:ascii="Times New Roman" w:eastAsia="Times New Roman" w:hAnsi="Times New Roman" w:cs="Times New Roman"/>
                <w:iCs/>
                <w:sz w:val="24"/>
                <w:szCs w:val="24"/>
                <w:lang w:eastAsia="lv-LV"/>
              </w:rPr>
              <w:t>vaučeru</w:t>
            </w:r>
            <w:r w:rsidRPr="00A75039">
              <w:rPr>
                <w:rFonts w:ascii="Times New Roman" w:eastAsia="Times New Roman" w:hAnsi="Times New Roman" w:cs="Times New Roman"/>
                <w:iCs/>
                <w:sz w:val="24"/>
                <w:szCs w:val="24"/>
                <w:lang w:eastAsia="lv-LV"/>
              </w:rPr>
              <w:t xml:space="preserve"> sistēmas darbību. Šis LIAA izsniegtais </w:t>
            </w:r>
            <w:r w:rsidRPr="00A75039">
              <w:rPr>
                <w:rFonts w:ascii="Times New Roman" w:eastAsia="Times New Roman" w:hAnsi="Times New Roman" w:cs="Times New Roman"/>
                <w:iCs/>
                <w:sz w:val="24"/>
                <w:szCs w:val="24"/>
                <w:lang w:eastAsia="lv-LV"/>
              </w:rPr>
              <w:t>vaučers</w:t>
            </w:r>
            <w:r w:rsidRPr="00A75039">
              <w:rPr>
                <w:rFonts w:ascii="Times New Roman" w:eastAsia="Times New Roman" w:hAnsi="Times New Roman" w:cs="Times New Roman"/>
                <w:iCs/>
                <w:sz w:val="24"/>
                <w:szCs w:val="24"/>
                <w:lang w:eastAsia="lv-LV"/>
              </w:rPr>
              <w:t xml:space="preserve"> tiks noformēts kā garantijas raksts, proti, </w:t>
            </w:r>
            <w:r w:rsidRPr="00A75039">
              <w:rPr>
                <w:rFonts w:ascii="Times New Roman" w:eastAsia="Times New Roman" w:hAnsi="Times New Roman" w:cs="Times New Roman"/>
                <w:iCs/>
                <w:sz w:val="24"/>
                <w:szCs w:val="24"/>
                <w:lang w:eastAsia="lv-LV"/>
              </w:rPr>
              <w:t>vaučers</w:t>
            </w:r>
            <w:r w:rsidRPr="00A75039">
              <w:rPr>
                <w:rFonts w:ascii="Times New Roman" w:eastAsia="Times New Roman" w:hAnsi="Times New Roman" w:cs="Times New Roman"/>
                <w:iCs/>
                <w:sz w:val="24"/>
                <w:szCs w:val="24"/>
                <w:lang w:eastAsia="lv-LV"/>
              </w:rPr>
              <w:t xml:space="preserve"> apliecinās, ka LIAA pakalpojuma sniedzējam veiks apmaksu par konkrētajam komersantam sniegto pakalpojumu.</w:t>
            </w:r>
            <w:r w:rsidR="00646FC6">
              <w:rPr>
                <w:rFonts w:ascii="Times New Roman" w:eastAsia="Times New Roman" w:hAnsi="Times New Roman" w:cs="Times New Roman"/>
                <w:iCs/>
                <w:sz w:val="24"/>
                <w:szCs w:val="24"/>
                <w:lang w:eastAsia="lv-LV"/>
              </w:rPr>
              <w:t xml:space="preserve"> </w:t>
            </w:r>
            <w:r w:rsidRPr="00646FC6" w:rsidR="00646FC6">
              <w:rPr>
                <w:rFonts w:ascii="Times New Roman" w:eastAsia="Times New Roman" w:hAnsi="Times New Roman" w:cs="Times New Roman"/>
                <w:iCs/>
                <w:sz w:val="24"/>
                <w:szCs w:val="24"/>
                <w:lang w:eastAsia="lv-LV"/>
              </w:rPr>
              <w:t>Līdz ar to pievienotās vērtības nodokļa rēķina izrakstīšana par sniegto pakalpojumu un pievienotās vērtības nodokļa samaksa tiek veikta valsts budžetā vispārējā kārtībā atbilstoši pievienotās vērtības nodokli regulējošiem normatīvajiem aktiem.</w:t>
            </w:r>
          </w:p>
          <w:p w:rsidR="00A75039" w:rsidP="00487661" w14:paraId="6203DE9D" w14:textId="77777777">
            <w:pPr>
              <w:spacing w:after="0" w:line="240" w:lineRule="auto"/>
              <w:jc w:val="both"/>
              <w:rPr>
                <w:rFonts w:ascii="Times New Roman" w:eastAsia="Times New Roman" w:hAnsi="Times New Roman" w:cs="Times New Roman"/>
                <w:iCs/>
                <w:sz w:val="24"/>
                <w:szCs w:val="24"/>
                <w:lang w:eastAsia="lv-LV"/>
              </w:rPr>
            </w:pPr>
          </w:p>
          <w:p w:rsidR="00487661" w:rsidP="00487661" w14:paraId="3A1120C0" w14:textId="5FAA373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sekmētu </w:t>
            </w:r>
            <w:r w:rsidRPr="00487661">
              <w:rPr>
                <w:rFonts w:ascii="Times New Roman" w:eastAsia="Times New Roman" w:hAnsi="Times New Roman" w:cs="Times New Roman"/>
                <w:iCs/>
                <w:sz w:val="24"/>
                <w:szCs w:val="24"/>
                <w:lang w:eastAsia="lv-LV"/>
              </w:rPr>
              <w:t xml:space="preserve">komersantu iespēju realizēt inovatīvas idejas, pārvēršot tās konkurētspējīgos produktos vai pakalpojumos, </w:t>
            </w:r>
            <w:r w:rsidR="00542EED">
              <w:rPr>
                <w:rFonts w:ascii="Times New Roman" w:eastAsia="Times New Roman" w:hAnsi="Times New Roman" w:cs="Times New Roman"/>
                <w:iCs/>
                <w:sz w:val="24"/>
                <w:szCs w:val="24"/>
                <w:lang w:eastAsia="lv-LV"/>
              </w:rPr>
              <w:t>tiek papildinātas</w:t>
            </w:r>
            <w:r w:rsidRPr="00487661" w:rsidR="00542EED">
              <w:rPr>
                <w:rFonts w:ascii="Times New Roman" w:eastAsia="Times New Roman" w:hAnsi="Times New Roman" w:cs="Times New Roman"/>
                <w:iCs/>
                <w:sz w:val="24"/>
                <w:szCs w:val="24"/>
                <w:lang w:eastAsia="lv-LV"/>
              </w:rPr>
              <w:t xml:space="preserve"> </w:t>
            </w:r>
            <w:r w:rsidR="00542EED">
              <w:rPr>
                <w:rFonts w:ascii="Times New Roman" w:eastAsia="Times New Roman" w:hAnsi="Times New Roman" w:cs="Times New Roman"/>
                <w:iCs/>
                <w:sz w:val="24"/>
                <w:szCs w:val="24"/>
                <w:lang w:eastAsia="lv-LV"/>
              </w:rPr>
              <w:t xml:space="preserve">Tehnoloģiju </w:t>
            </w:r>
            <w:r w:rsidR="00542EED">
              <w:rPr>
                <w:rFonts w:ascii="Times New Roman" w:eastAsia="Times New Roman" w:hAnsi="Times New Roman" w:cs="Times New Roman"/>
                <w:iCs/>
                <w:sz w:val="24"/>
                <w:szCs w:val="24"/>
                <w:lang w:eastAsia="lv-LV"/>
              </w:rPr>
              <w:t>pārneses</w:t>
            </w:r>
            <w:r w:rsidR="00542EED">
              <w:rPr>
                <w:rFonts w:ascii="Times New Roman" w:eastAsia="Times New Roman" w:hAnsi="Times New Roman" w:cs="Times New Roman"/>
                <w:iCs/>
                <w:sz w:val="24"/>
                <w:szCs w:val="24"/>
                <w:lang w:eastAsia="lv-LV"/>
              </w:rPr>
              <w:t xml:space="preserve"> centra atbalstāmās darbības</w:t>
            </w:r>
            <w:r w:rsidRPr="00487661">
              <w:rPr>
                <w:rFonts w:ascii="Times New Roman" w:eastAsia="Times New Roman" w:hAnsi="Times New Roman" w:cs="Times New Roman"/>
                <w:iCs/>
                <w:sz w:val="24"/>
                <w:szCs w:val="24"/>
                <w:lang w:eastAsia="lv-LV"/>
              </w:rPr>
              <w:t xml:space="preserve">. Jaunā atbalsta mērķis ir </w:t>
            </w:r>
            <w:r w:rsidRPr="00487661">
              <w:rPr>
                <w:rFonts w:ascii="Times New Roman" w:eastAsia="Times New Roman" w:hAnsi="Times New Roman" w:cs="Times New Roman"/>
                <w:iCs/>
                <w:sz w:val="24"/>
                <w:szCs w:val="24"/>
                <w:lang w:eastAsia="lv-LV"/>
              </w:rPr>
              <w:t>veicināt</w:t>
            </w:r>
            <w:r>
              <w:rPr>
                <w:rFonts w:ascii="Times New Roman" w:eastAsia="Times New Roman" w:hAnsi="Times New Roman" w:cs="Times New Roman"/>
                <w:iCs/>
                <w:sz w:val="24"/>
                <w:szCs w:val="24"/>
                <w:lang w:eastAsia="lv-LV"/>
              </w:rPr>
              <w:t xml:space="preserve"> mazo un vidējo</w:t>
            </w:r>
            <w:r w:rsidRPr="00487661">
              <w:rPr>
                <w:rFonts w:ascii="Times New Roman" w:eastAsia="Times New Roman" w:hAnsi="Times New Roman" w:cs="Times New Roman"/>
                <w:iCs/>
                <w:sz w:val="24"/>
                <w:szCs w:val="24"/>
                <w:lang w:eastAsia="lv-LV"/>
              </w:rPr>
              <w:t xml:space="preserve"> komersantu iespēju izmantot programmas “Apvārsnis 2020” MV</w:t>
            </w:r>
            <w:r w:rsidR="00C17CF1">
              <w:rPr>
                <w:rFonts w:ascii="Times New Roman" w:eastAsia="Times New Roman" w:hAnsi="Times New Roman" w:cs="Times New Roman"/>
                <w:iCs/>
                <w:sz w:val="24"/>
                <w:szCs w:val="24"/>
                <w:lang w:eastAsia="lv-LV"/>
              </w:rPr>
              <w:t>K</w:t>
            </w:r>
            <w:r w:rsidRPr="00487661">
              <w:rPr>
                <w:rFonts w:ascii="Times New Roman" w:eastAsia="Times New Roman" w:hAnsi="Times New Roman" w:cs="Times New Roman"/>
                <w:iCs/>
                <w:sz w:val="24"/>
                <w:szCs w:val="24"/>
                <w:lang w:eastAsia="lv-LV"/>
              </w:rPr>
              <w:t xml:space="preserve"> instrumenta ietvaros pieejamās investīcijas.</w:t>
            </w:r>
          </w:p>
          <w:p w:rsidR="00426924" w:rsidRPr="00426924" w:rsidP="00426924" w14:paraId="7E9092DE" w14:textId="201237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426924">
              <w:rPr>
                <w:rFonts w:ascii="Times New Roman" w:eastAsia="Times New Roman" w:hAnsi="Times New Roman" w:cs="Times New Roman"/>
                <w:iCs/>
                <w:sz w:val="24"/>
                <w:szCs w:val="24"/>
                <w:lang w:eastAsia="lv-LV"/>
              </w:rPr>
              <w:t>rojekta pieteikums, kas tiek iesūtīts E</w:t>
            </w:r>
            <w:r w:rsidR="0019010E">
              <w:rPr>
                <w:rFonts w:ascii="Times New Roman" w:eastAsia="Times New Roman" w:hAnsi="Times New Roman" w:cs="Times New Roman"/>
                <w:iCs/>
                <w:sz w:val="24"/>
                <w:szCs w:val="24"/>
                <w:lang w:eastAsia="lv-LV"/>
              </w:rPr>
              <w:t xml:space="preserve">iropas </w:t>
            </w:r>
            <w:r w:rsidRPr="00426924">
              <w:rPr>
                <w:rFonts w:ascii="Times New Roman" w:eastAsia="Times New Roman" w:hAnsi="Times New Roman" w:cs="Times New Roman"/>
                <w:iCs/>
                <w:sz w:val="24"/>
                <w:szCs w:val="24"/>
                <w:lang w:eastAsia="lv-LV"/>
              </w:rPr>
              <w:t>K</w:t>
            </w:r>
            <w:r w:rsidR="0019010E">
              <w:rPr>
                <w:rFonts w:ascii="Times New Roman" w:eastAsia="Times New Roman" w:hAnsi="Times New Roman" w:cs="Times New Roman"/>
                <w:iCs/>
                <w:sz w:val="24"/>
                <w:szCs w:val="24"/>
                <w:lang w:eastAsia="lv-LV"/>
              </w:rPr>
              <w:t>omisijai</w:t>
            </w:r>
            <w:r w:rsidRPr="00426924">
              <w:rPr>
                <w:rFonts w:ascii="Times New Roman" w:eastAsia="Times New Roman" w:hAnsi="Times New Roman" w:cs="Times New Roman"/>
                <w:iCs/>
                <w:sz w:val="24"/>
                <w:szCs w:val="24"/>
                <w:lang w:eastAsia="lv-LV"/>
              </w:rPr>
              <w:t>, lai pretendētu uz pieejamo finansējumu</w:t>
            </w:r>
            <w:r w:rsidR="0019010E">
              <w:rPr>
                <w:rFonts w:ascii="Times New Roman" w:eastAsia="Times New Roman" w:hAnsi="Times New Roman" w:cs="Times New Roman"/>
                <w:iCs/>
                <w:sz w:val="24"/>
                <w:szCs w:val="24"/>
                <w:lang w:eastAsia="lv-LV"/>
              </w:rPr>
              <w:t xml:space="preserve"> programmā</w:t>
            </w:r>
            <w:r w:rsidRPr="00426924">
              <w:rPr>
                <w:rFonts w:ascii="Times New Roman" w:eastAsia="Times New Roman" w:hAnsi="Times New Roman" w:cs="Times New Roman"/>
                <w:iCs/>
                <w:sz w:val="24"/>
                <w:szCs w:val="24"/>
                <w:lang w:eastAsia="lv-LV"/>
              </w:rPr>
              <w:t xml:space="preserve"> “Apvārsnis 2020” Mazo un vidējo komersantu instrumenta ietvaros, vērtēšanas procesā var saņemt maksimālo punktu skaitu – 15 punkti.</w:t>
            </w:r>
          </w:p>
          <w:p w:rsidR="00426924" w:rsidRPr="00426924" w:rsidP="00426924" w14:paraId="0B5F4F87" w14:textId="30D79E9F">
            <w:pPr>
              <w:spacing w:after="0" w:line="240" w:lineRule="auto"/>
              <w:jc w:val="both"/>
              <w:rPr>
                <w:rFonts w:ascii="Times New Roman" w:eastAsia="Times New Roman" w:hAnsi="Times New Roman" w:cs="Times New Roman"/>
                <w:iCs/>
                <w:sz w:val="24"/>
                <w:szCs w:val="24"/>
                <w:lang w:eastAsia="lv-LV"/>
              </w:rPr>
            </w:pPr>
            <w:r w:rsidRPr="00426924">
              <w:rPr>
                <w:rFonts w:ascii="Times New Roman" w:eastAsia="Times New Roman" w:hAnsi="Times New Roman" w:cs="Times New Roman"/>
                <w:iCs/>
                <w:sz w:val="24"/>
                <w:szCs w:val="24"/>
                <w:lang w:eastAsia="lv-LV"/>
              </w:rPr>
              <w:t>Ja projekts tiek novērtēts kā augstas kvalitātes un gatavības projekts, taču ierobežotā ES finansējuma dēļ netiek virzīts finansējam piešķiršanai, E</w:t>
            </w:r>
            <w:r w:rsidR="0019010E">
              <w:rPr>
                <w:rFonts w:ascii="Times New Roman" w:eastAsia="Times New Roman" w:hAnsi="Times New Roman" w:cs="Times New Roman"/>
                <w:iCs/>
                <w:sz w:val="24"/>
                <w:szCs w:val="24"/>
                <w:lang w:eastAsia="lv-LV"/>
              </w:rPr>
              <w:t xml:space="preserve">iropas </w:t>
            </w:r>
            <w:r w:rsidRPr="00426924">
              <w:rPr>
                <w:rFonts w:ascii="Times New Roman" w:eastAsia="Times New Roman" w:hAnsi="Times New Roman" w:cs="Times New Roman"/>
                <w:iCs/>
                <w:sz w:val="24"/>
                <w:szCs w:val="24"/>
                <w:lang w:eastAsia="lv-LV"/>
              </w:rPr>
              <w:t>K</w:t>
            </w:r>
            <w:r w:rsidR="0019010E">
              <w:rPr>
                <w:rFonts w:ascii="Times New Roman" w:eastAsia="Times New Roman" w:hAnsi="Times New Roman" w:cs="Times New Roman"/>
                <w:iCs/>
                <w:sz w:val="24"/>
                <w:szCs w:val="24"/>
                <w:lang w:eastAsia="lv-LV"/>
              </w:rPr>
              <w:t>omisija</w:t>
            </w:r>
            <w:r w:rsidRPr="00426924">
              <w:rPr>
                <w:rFonts w:ascii="Times New Roman" w:eastAsia="Times New Roman" w:hAnsi="Times New Roman" w:cs="Times New Roman"/>
                <w:iCs/>
                <w:sz w:val="24"/>
                <w:szCs w:val="24"/>
                <w:lang w:eastAsia="lv-LV"/>
              </w:rPr>
              <w:t xml:space="preserve"> projektam piešķir Izcilības sertifikātu</w:t>
            </w:r>
            <w:r w:rsidR="00273DD7">
              <w:rPr>
                <w:rFonts w:ascii="Times New Roman" w:eastAsia="Times New Roman" w:hAnsi="Times New Roman" w:cs="Times New Roman"/>
                <w:iCs/>
                <w:sz w:val="24"/>
                <w:szCs w:val="24"/>
                <w:lang w:eastAsia="lv-LV"/>
              </w:rPr>
              <w:t xml:space="preserve"> (</w:t>
            </w:r>
            <w:r w:rsidRPr="00273DD7" w:rsidR="00273DD7">
              <w:rPr>
                <w:rFonts w:ascii="Times New Roman" w:eastAsia="Times New Roman" w:hAnsi="Times New Roman" w:cs="Times New Roman"/>
                <w:i/>
                <w:iCs/>
                <w:sz w:val="24"/>
                <w:szCs w:val="24"/>
                <w:lang w:eastAsia="lv-LV"/>
              </w:rPr>
              <w:t>Seal</w:t>
            </w:r>
            <w:r w:rsidRPr="00273DD7" w:rsidR="00273DD7">
              <w:rPr>
                <w:rFonts w:ascii="Times New Roman" w:eastAsia="Times New Roman" w:hAnsi="Times New Roman" w:cs="Times New Roman"/>
                <w:i/>
                <w:iCs/>
                <w:sz w:val="24"/>
                <w:szCs w:val="24"/>
                <w:lang w:eastAsia="lv-LV"/>
              </w:rPr>
              <w:t xml:space="preserve"> </w:t>
            </w:r>
            <w:r w:rsidRPr="00273DD7" w:rsidR="00273DD7">
              <w:rPr>
                <w:rFonts w:ascii="Times New Roman" w:eastAsia="Times New Roman" w:hAnsi="Times New Roman" w:cs="Times New Roman"/>
                <w:i/>
                <w:iCs/>
                <w:sz w:val="24"/>
                <w:szCs w:val="24"/>
                <w:lang w:eastAsia="lv-LV"/>
              </w:rPr>
              <w:t>of</w:t>
            </w:r>
            <w:r w:rsidRPr="00273DD7" w:rsidR="00273DD7">
              <w:rPr>
                <w:rFonts w:ascii="Times New Roman" w:eastAsia="Times New Roman" w:hAnsi="Times New Roman" w:cs="Times New Roman"/>
                <w:i/>
                <w:iCs/>
                <w:sz w:val="24"/>
                <w:szCs w:val="24"/>
                <w:lang w:eastAsia="lv-LV"/>
              </w:rPr>
              <w:t xml:space="preserve"> </w:t>
            </w:r>
            <w:r w:rsidRPr="00273DD7" w:rsidR="00273DD7">
              <w:rPr>
                <w:rFonts w:ascii="Times New Roman" w:eastAsia="Times New Roman" w:hAnsi="Times New Roman" w:cs="Times New Roman"/>
                <w:i/>
                <w:iCs/>
                <w:sz w:val="24"/>
                <w:szCs w:val="24"/>
                <w:lang w:eastAsia="lv-LV"/>
              </w:rPr>
              <w:t>Excellence</w:t>
            </w:r>
            <w:r w:rsidR="00273DD7">
              <w:rPr>
                <w:rFonts w:ascii="Times New Roman" w:eastAsia="Times New Roman" w:hAnsi="Times New Roman" w:cs="Times New Roman"/>
                <w:iCs/>
                <w:sz w:val="24"/>
                <w:szCs w:val="24"/>
                <w:lang w:eastAsia="lv-LV"/>
              </w:rPr>
              <w:t>)</w:t>
            </w:r>
            <w:r w:rsidRPr="00426924">
              <w:rPr>
                <w:rFonts w:ascii="Times New Roman" w:eastAsia="Times New Roman" w:hAnsi="Times New Roman" w:cs="Times New Roman"/>
                <w:iCs/>
                <w:sz w:val="24"/>
                <w:szCs w:val="24"/>
                <w:lang w:eastAsia="lv-LV"/>
              </w:rPr>
              <w:t>.</w:t>
            </w:r>
          </w:p>
          <w:p w:rsidR="0019010E" w:rsidP="0019010E" w14:paraId="6F3D230C" w14:textId="5FCEB760">
            <w:pPr>
              <w:spacing w:after="0" w:line="240" w:lineRule="auto"/>
              <w:jc w:val="both"/>
              <w:rPr>
                <w:rFonts w:ascii="Times New Roman" w:eastAsia="Times New Roman" w:hAnsi="Times New Roman" w:cs="Times New Roman"/>
                <w:iCs/>
                <w:sz w:val="24"/>
                <w:szCs w:val="24"/>
                <w:lang w:eastAsia="lv-LV"/>
              </w:rPr>
            </w:pPr>
            <w:r w:rsidRPr="00426924">
              <w:rPr>
                <w:rFonts w:ascii="Times New Roman" w:eastAsia="Times New Roman" w:hAnsi="Times New Roman" w:cs="Times New Roman"/>
                <w:iCs/>
                <w:sz w:val="24"/>
                <w:szCs w:val="24"/>
                <w:lang w:eastAsia="lv-LV"/>
              </w:rPr>
              <w:t>Izcilības sertifikāts tiek piešķirts, ja projekts</w:t>
            </w:r>
            <w:r>
              <w:rPr>
                <w:rFonts w:ascii="Times New Roman" w:eastAsia="Times New Roman" w:hAnsi="Times New Roman" w:cs="Times New Roman"/>
                <w:iCs/>
                <w:sz w:val="24"/>
                <w:szCs w:val="24"/>
                <w:lang w:eastAsia="lv-LV"/>
              </w:rPr>
              <w:t>, kas pretendējis uz finansējumu 1.fāzē</w:t>
            </w:r>
            <w:r w:rsidR="00A122D2">
              <w:rPr>
                <w:rFonts w:ascii="Times New Roman" w:eastAsia="Times New Roman" w:hAnsi="Times New Roman" w:cs="Times New Roman"/>
                <w:iCs/>
                <w:sz w:val="24"/>
                <w:szCs w:val="24"/>
                <w:lang w:eastAsia="lv-LV"/>
              </w:rPr>
              <w:t xml:space="preserve"> un</w:t>
            </w:r>
            <w:r w:rsidRPr="00426924">
              <w:rPr>
                <w:rFonts w:ascii="Times New Roman" w:eastAsia="Times New Roman" w:hAnsi="Times New Roman" w:cs="Times New Roman"/>
                <w:iCs/>
                <w:sz w:val="24"/>
                <w:szCs w:val="24"/>
                <w:lang w:eastAsia="lv-LV"/>
              </w:rPr>
              <w:t xml:space="preserve"> saņēmis 13 vai vairāk punktus no nepieciešamajiem 15 punktiem.</w:t>
            </w:r>
            <w:r w:rsidR="00273DD7">
              <w:rPr>
                <w:rFonts w:ascii="Times New Roman" w:eastAsia="Times New Roman" w:hAnsi="Times New Roman" w:cs="Times New Roman"/>
                <w:iCs/>
                <w:sz w:val="24"/>
                <w:szCs w:val="24"/>
                <w:lang w:eastAsia="lv-LV"/>
              </w:rPr>
              <w:t xml:space="preserve"> </w:t>
            </w:r>
            <w:r w:rsidRPr="00426924">
              <w:rPr>
                <w:rFonts w:ascii="Times New Roman" w:eastAsia="Times New Roman" w:hAnsi="Times New Roman" w:cs="Times New Roman"/>
                <w:iCs/>
                <w:sz w:val="24"/>
                <w:szCs w:val="24"/>
                <w:lang w:eastAsia="lv-LV"/>
              </w:rPr>
              <w:t>Izcilības sertifikāts tiek piešķirts</w:t>
            </w:r>
            <w:r>
              <w:rPr>
                <w:rFonts w:ascii="Times New Roman" w:eastAsia="Times New Roman" w:hAnsi="Times New Roman" w:cs="Times New Roman"/>
                <w:iCs/>
                <w:sz w:val="24"/>
                <w:szCs w:val="24"/>
                <w:lang w:eastAsia="lv-LV"/>
              </w:rPr>
              <w:t xml:space="preserve"> arī</w:t>
            </w:r>
            <w:r w:rsidRPr="00426924">
              <w:rPr>
                <w:rFonts w:ascii="Times New Roman" w:eastAsia="Times New Roman" w:hAnsi="Times New Roman" w:cs="Times New Roman"/>
                <w:iCs/>
                <w:sz w:val="24"/>
                <w:szCs w:val="24"/>
                <w:lang w:eastAsia="lv-LV"/>
              </w:rPr>
              <w:t>, ja projekts</w:t>
            </w:r>
            <w:r>
              <w:rPr>
                <w:rFonts w:ascii="Times New Roman" w:eastAsia="Times New Roman" w:hAnsi="Times New Roman" w:cs="Times New Roman"/>
                <w:iCs/>
                <w:sz w:val="24"/>
                <w:szCs w:val="24"/>
                <w:lang w:eastAsia="lv-LV"/>
              </w:rPr>
              <w:t>, kas pretendējis uz finansējumu 2.fāzē</w:t>
            </w:r>
            <w:r w:rsidR="00A122D2">
              <w:rPr>
                <w:rFonts w:ascii="Times New Roman" w:eastAsia="Times New Roman" w:hAnsi="Times New Roman" w:cs="Times New Roman"/>
                <w:iCs/>
                <w:sz w:val="24"/>
                <w:szCs w:val="24"/>
                <w:lang w:eastAsia="lv-LV"/>
              </w:rPr>
              <w:t xml:space="preserve"> un</w:t>
            </w:r>
            <w:r w:rsidR="001011E8">
              <w:rPr>
                <w:rFonts w:ascii="Times New Roman" w:eastAsia="Times New Roman" w:hAnsi="Times New Roman" w:cs="Times New Roman"/>
                <w:iCs/>
                <w:sz w:val="24"/>
                <w:szCs w:val="24"/>
                <w:lang w:eastAsia="lv-LV"/>
              </w:rPr>
              <w:t xml:space="preserve"> </w:t>
            </w:r>
            <w:r w:rsidRPr="00426924">
              <w:rPr>
                <w:rFonts w:ascii="Times New Roman" w:eastAsia="Times New Roman" w:hAnsi="Times New Roman" w:cs="Times New Roman"/>
                <w:iCs/>
                <w:sz w:val="24"/>
                <w:szCs w:val="24"/>
                <w:lang w:eastAsia="lv-LV"/>
              </w:rPr>
              <w:t>saņēmis 1</w:t>
            </w:r>
            <w:r>
              <w:rPr>
                <w:rFonts w:ascii="Times New Roman" w:eastAsia="Times New Roman" w:hAnsi="Times New Roman" w:cs="Times New Roman"/>
                <w:iCs/>
                <w:sz w:val="24"/>
                <w:szCs w:val="24"/>
                <w:lang w:eastAsia="lv-LV"/>
              </w:rPr>
              <w:t>2</w:t>
            </w:r>
            <w:r w:rsidRPr="00426924">
              <w:rPr>
                <w:rFonts w:ascii="Times New Roman" w:eastAsia="Times New Roman" w:hAnsi="Times New Roman" w:cs="Times New Roman"/>
                <w:iCs/>
                <w:sz w:val="24"/>
                <w:szCs w:val="24"/>
                <w:lang w:eastAsia="lv-LV"/>
              </w:rPr>
              <w:t xml:space="preserve"> vai vairāk punktus no nepieciešamajiem 15 punktiem.</w:t>
            </w:r>
          </w:p>
          <w:p w:rsidR="00273DD7" w:rsidP="00273DD7" w14:paraId="4620C70B" w14:textId="39528E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komersants varētu pieteikties uz pieejamo atbalstu Tehnoloģiju </w:t>
            </w:r>
            <w:r>
              <w:rPr>
                <w:rFonts w:ascii="Times New Roman" w:eastAsia="Times New Roman" w:hAnsi="Times New Roman" w:cs="Times New Roman"/>
                <w:iCs/>
                <w:sz w:val="24"/>
                <w:szCs w:val="24"/>
                <w:lang w:eastAsia="lv-LV"/>
              </w:rPr>
              <w:t>pārneses</w:t>
            </w:r>
            <w:r>
              <w:rPr>
                <w:rFonts w:ascii="Times New Roman" w:eastAsia="Times New Roman" w:hAnsi="Times New Roman" w:cs="Times New Roman"/>
                <w:iCs/>
                <w:sz w:val="24"/>
                <w:szCs w:val="24"/>
                <w:lang w:eastAsia="lv-LV"/>
              </w:rPr>
              <w:t xml:space="preserve"> programmā, </w:t>
            </w:r>
            <w:r w:rsidRPr="00426924">
              <w:rPr>
                <w:rFonts w:ascii="Times New Roman" w:eastAsia="Times New Roman" w:hAnsi="Times New Roman" w:cs="Times New Roman"/>
                <w:iCs/>
                <w:sz w:val="24"/>
                <w:szCs w:val="24"/>
                <w:lang w:eastAsia="lv-LV"/>
              </w:rPr>
              <w:t>komersantam sākumā jāsniedz pieteikums</w:t>
            </w:r>
            <w:r>
              <w:rPr>
                <w:rFonts w:ascii="Times New Roman" w:eastAsia="Times New Roman" w:hAnsi="Times New Roman" w:cs="Times New Roman"/>
                <w:iCs/>
                <w:sz w:val="24"/>
                <w:szCs w:val="24"/>
                <w:lang w:eastAsia="lv-LV"/>
              </w:rPr>
              <w:t xml:space="preserve"> programmas </w:t>
            </w:r>
            <w:r w:rsidR="001011E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pvārsnis 2020”</w:t>
            </w:r>
            <w:r w:rsidRPr="00426924">
              <w:rPr>
                <w:rFonts w:ascii="Times New Roman" w:eastAsia="Times New Roman" w:hAnsi="Times New Roman" w:cs="Times New Roman"/>
                <w:iCs/>
                <w:sz w:val="24"/>
                <w:szCs w:val="24"/>
                <w:lang w:eastAsia="lv-LV"/>
              </w:rPr>
              <w:t xml:space="preserve"> MVK instrumenta</w:t>
            </w:r>
            <w:r>
              <w:rPr>
                <w:rFonts w:ascii="Times New Roman" w:eastAsia="Times New Roman" w:hAnsi="Times New Roman" w:cs="Times New Roman"/>
                <w:iCs/>
                <w:sz w:val="24"/>
                <w:szCs w:val="24"/>
                <w:lang w:eastAsia="lv-LV"/>
              </w:rPr>
              <w:t xml:space="preserve"> ietvaros 1.fāzē un</w:t>
            </w:r>
            <w:r w:rsidRPr="00426924">
              <w:rPr>
                <w:rFonts w:ascii="Times New Roman" w:eastAsia="Times New Roman" w:hAnsi="Times New Roman" w:cs="Times New Roman"/>
                <w:iCs/>
                <w:sz w:val="24"/>
                <w:szCs w:val="24"/>
                <w:lang w:eastAsia="lv-LV"/>
              </w:rPr>
              <w:t xml:space="preserve"> jāsaņem</w:t>
            </w:r>
            <w:r>
              <w:rPr>
                <w:rFonts w:ascii="Times New Roman" w:eastAsia="Times New Roman" w:hAnsi="Times New Roman" w:cs="Times New Roman"/>
                <w:iCs/>
                <w:sz w:val="24"/>
                <w:szCs w:val="24"/>
                <w:lang w:eastAsia="lv-LV"/>
              </w:rPr>
              <w:t xml:space="preserve"> Eiropas Komisijas Izcilības sertifikāts.</w:t>
            </w:r>
            <w:r w:rsidRPr="00426924">
              <w:rPr>
                <w:rFonts w:ascii="Times New Roman" w:eastAsia="Times New Roman" w:hAnsi="Times New Roman" w:cs="Times New Roman"/>
                <w:iCs/>
                <w:sz w:val="24"/>
                <w:szCs w:val="24"/>
                <w:lang w:eastAsia="lv-LV"/>
              </w:rPr>
              <w:t xml:space="preserve"> </w:t>
            </w:r>
          </w:p>
          <w:p w:rsidR="00487661" w:rsidP="00487661" w14:paraId="3E2239BF" w14:textId="21926E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w:t>
            </w:r>
            <w:r w:rsidRPr="00487661">
              <w:rPr>
                <w:rFonts w:ascii="Times New Roman" w:eastAsia="Times New Roman" w:hAnsi="Times New Roman" w:cs="Times New Roman"/>
                <w:iCs/>
                <w:sz w:val="24"/>
                <w:szCs w:val="24"/>
                <w:lang w:eastAsia="lv-LV"/>
              </w:rPr>
              <w:t xml:space="preserve">MK noteikumi Nr.692 tiek papildināti ar šādu atbalstāmo darbību – tehniski ekonomiskās </w:t>
            </w:r>
            <w:r w:rsidRPr="00487661">
              <w:rPr>
                <w:rFonts w:ascii="Times New Roman" w:eastAsia="Times New Roman" w:hAnsi="Times New Roman" w:cs="Times New Roman"/>
                <w:iCs/>
                <w:sz w:val="24"/>
                <w:szCs w:val="24"/>
                <w:lang w:eastAsia="lv-LV"/>
              </w:rPr>
              <w:t>priekšizpētes</w:t>
            </w:r>
            <w:r w:rsidRPr="00487661">
              <w:rPr>
                <w:rFonts w:ascii="Times New Roman" w:eastAsia="Times New Roman" w:hAnsi="Times New Roman" w:cs="Times New Roman"/>
                <w:iCs/>
                <w:sz w:val="24"/>
                <w:szCs w:val="24"/>
                <w:lang w:eastAsia="lv-LV"/>
              </w:rPr>
              <w:t xml:space="preserve"> izstrāde</w:t>
            </w:r>
            <w:r>
              <w:rPr>
                <w:rFonts w:ascii="Times New Roman" w:eastAsia="Times New Roman" w:hAnsi="Times New Roman" w:cs="Times New Roman"/>
                <w:iCs/>
                <w:sz w:val="24"/>
                <w:szCs w:val="24"/>
                <w:lang w:eastAsia="lv-LV"/>
              </w:rPr>
              <w:t xml:space="preserve"> ar mērķi sagatavot pieteikumu iesniegšanai 2.fāzē</w:t>
            </w:r>
            <w:r w:rsidRPr="00487661">
              <w:rPr>
                <w:rFonts w:ascii="Times New Roman" w:eastAsia="Times New Roman" w:hAnsi="Times New Roman" w:cs="Times New Roman"/>
                <w:iCs/>
                <w:sz w:val="24"/>
                <w:szCs w:val="24"/>
                <w:lang w:eastAsia="lv-LV"/>
              </w:rPr>
              <w:t xml:space="preserve"> programmas “Apvārsnis 2020” MV</w:t>
            </w:r>
            <w:r w:rsidR="00C17CF1">
              <w:rPr>
                <w:rFonts w:ascii="Times New Roman" w:eastAsia="Times New Roman" w:hAnsi="Times New Roman" w:cs="Times New Roman"/>
                <w:iCs/>
                <w:sz w:val="24"/>
                <w:szCs w:val="24"/>
                <w:lang w:eastAsia="lv-LV"/>
              </w:rPr>
              <w:t>K</w:t>
            </w:r>
            <w:r w:rsidRPr="00487661">
              <w:rPr>
                <w:rFonts w:ascii="Times New Roman" w:eastAsia="Times New Roman" w:hAnsi="Times New Roman" w:cs="Times New Roman"/>
                <w:iCs/>
                <w:sz w:val="24"/>
                <w:szCs w:val="24"/>
                <w:lang w:eastAsia="lv-LV"/>
              </w:rPr>
              <w:t xml:space="preserve"> instrumenta </w:t>
            </w:r>
            <w:r>
              <w:rPr>
                <w:rFonts w:ascii="Times New Roman" w:eastAsia="Times New Roman" w:hAnsi="Times New Roman" w:cs="Times New Roman"/>
                <w:iCs/>
                <w:sz w:val="24"/>
                <w:szCs w:val="24"/>
                <w:lang w:eastAsia="lv-LV"/>
              </w:rPr>
              <w:t>ietvaros.</w:t>
            </w:r>
            <w:r w:rsidRPr="00487661">
              <w:rPr>
                <w:rFonts w:ascii="Times New Roman" w:eastAsia="Times New Roman" w:hAnsi="Times New Roman" w:cs="Times New Roman"/>
                <w:iCs/>
                <w:sz w:val="24"/>
                <w:szCs w:val="24"/>
                <w:lang w:eastAsia="lv-LV"/>
              </w:rPr>
              <w:t xml:space="preserve"> Aktivitātei pieejamais finansējums ir 50 000 </w:t>
            </w:r>
            <w:r w:rsidRPr="00487661">
              <w:rPr>
                <w:rFonts w:ascii="Times New Roman" w:eastAsia="Times New Roman" w:hAnsi="Times New Roman" w:cs="Times New Roman"/>
                <w:iCs/>
                <w:sz w:val="24"/>
                <w:szCs w:val="24"/>
                <w:lang w:eastAsia="lv-LV"/>
              </w:rPr>
              <w:t>euro</w:t>
            </w:r>
            <w:r w:rsidRPr="00487661">
              <w:rPr>
                <w:rFonts w:ascii="Times New Roman" w:eastAsia="Times New Roman" w:hAnsi="Times New Roman" w:cs="Times New Roman"/>
                <w:iCs/>
                <w:sz w:val="24"/>
                <w:szCs w:val="24"/>
                <w:lang w:eastAsia="lv-LV"/>
              </w:rPr>
              <w:t xml:space="preserve"> ar maksimālo intensitāti 100% apmērā.</w:t>
            </w:r>
          </w:p>
          <w:p w:rsidR="00C17CF1" w:rsidP="00487661" w14:paraId="169AE2A1" w14:textId="3791D8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informējam, ka </w:t>
            </w:r>
            <w:r w:rsidRPr="00FA3ED6" w:rsidR="00FA3ED6">
              <w:rPr>
                <w:rFonts w:ascii="Times New Roman" w:eastAsia="Times New Roman" w:hAnsi="Times New Roman" w:cs="Times New Roman"/>
                <w:iCs/>
                <w:sz w:val="24"/>
                <w:szCs w:val="24"/>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w:t>
            </w:r>
            <w:r w:rsidR="003A1517">
              <w:rPr>
                <w:rFonts w:ascii="Times New Roman" w:eastAsia="Times New Roman" w:hAnsi="Times New Roman" w:cs="Times New Roman"/>
                <w:iCs/>
                <w:sz w:val="24"/>
                <w:szCs w:val="24"/>
                <w:lang w:eastAsia="lv-LV"/>
              </w:rPr>
              <w:t xml:space="preserve"> (turpmā</w:t>
            </w:r>
            <w:r w:rsidR="005B5E5C">
              <w:rPr>
                <w:rFonts w:ascii="Times New Roman" w:eastAsia="Times New Roman" w:hAnsi="Times New Roman" w:cs="Times New Roman"/>
                <w:iCs/>
                <w:sz w:val="24"/>
                <w:szCs w:val="24"/>
                <w:lang w:eastAsia="lv-LV"/>
              </w:rPr>
              <w:t>k</w:t>
            </w:r>
            <w:r w:rsidR="003A1517">
              <w:rPr>
                <w:rFonts w:ascii="Times New Roman" w:eastAsia="Times New Roman" w:hAnsi="Times New Roman" w:cs="Times New Roman"/>
                <w:iCs/>
                <w:sz w:val="24"/>
                <w:szCs w:val="24"/>
                <w:lang w:eastAsia="lv-LV"/>
              </w:rPr>
              <w:t xml:space="preserve"> – 1.1.1.5.pasākums)</w:t>
            </w:r>
            <w:r w:rsidRPr="00FA3ED6" w:rsidR="00FA3ED6">
              <w:rPr>
                <w:rFonts w:ascii="Times New Roman" w:eastAsia="Times New Roman" w:hAnsi="Times New Roman" w:cs="Times New Roman"/>
                <w:iCs/>
                <w:sz w:val="24"/>
                <w:szCs w:val="24"/>
                <w:lang w:eastAsia="lv-LV"/>
              </w:rPr>
              <w:t xml:space="preserve"> </w:t>
            </w:r>
            <w:r w:rsidR="003A1517">
              <w:rPr>
                <w:rFonts w:ascii="Times New Roman" w:eastAsia="Times New Roman" w:hAnsi="Times New Roman" w:cs="Times New Roman"/>
                <w:iCs/>
                <w:sz w:val="24"/>
                <w:szCs w:val="24"/>
                <w:lang w:eastAsia="lv-LV"/>
              </w:rPr>
              <w:t xml:space="preserve">ietvaros </w:t>
            </w:r>
            <w:r w:rsidR="00D540F8">
              <w:rPr>
                <w:rFonts w:ascii="Times New Roman" w:eastAsia="Times New Roman" w:hAnsi="Times New Roman" w:cs="Times New Roman"/>
                <w:iCs/>
                <w:sz w:val="24"/>
                <w:szCs w:val="24"/>
                <w:lang w:eastAsia="lv-LV"/>
              </w:rPr>
              <w:t>arī</w:t>
            </w:r>
            <w:r w:rsidR="00FA3ED6">
              <w:rPr>
                <w:rFonts w:ascii="Times New Roman" w:eastAsia="Times New Roman" w:hAnsi="Times New Roman" w:cs="Times New Roman"/>
                <w:iCs/>
                <w:sz w:val="24"/>
                <w:szCs w:val="24"/>
                <w:lang w:eastAsia="lv-LV"/>
              </w:rPr>
              <w:t xml:space="preserve"> paredz</w:t>
            </w:r>
            <w:r w:rsidR="003A1517">
              <w:rPr>
                <w:rFonts w:ascii="Times New Roman" w:eastAsia="Times New Roman" w:hAnsi="Times New Roman" w:cs="Times New Roman"/>
                <w:iCs/>
                <w:sz w:val="24"/>
                <w:szCs w:val="24"/>
                <w:lang w:eastAsia="lv-LV"/>
              </w:rPr>
              <w:t xml:space="preserve">ēts īstenot </w:t>
            </w:r>
            <w:r w:rsidRPr="00FA3ED6" w:rsidR="00FA3ED6">
              <w:rPr>
                <w:rFonts w:ascii="Times New Roman" w:eastAsia="Times New Roman" w:hAnsi="Times New Roman" w:cs="Times New Roman"/>
                <w:iCs/>
                <w:sz w:val="24"/>
                <w:szCs w:val="24"/>
                <w:lang w:eastAsia="lv-LV"/>
              </w:rPr>
              <w:t xml:space="preserve">  programmas "Apvārsnis 2020" virs kvalitātes sliekšņa novērtētu</w:t>
            </w:r>
            <w:r w:rsidR="003A1517">
              <w:rPr>
                <w:rFonts w:ascii="Times New Roman" w:eastAsia="Times New Roman" w:hAnsi="Times New Roman" w:cs="Times New Roman"/>
                <w:iCs/>
                <w:sz w:val="24"/>
                <w:szCs w:val="24"/>
                <w:lang w:eastAsia="lv-LV"/>
              </w:rPr>
              <w:t>s</w:t>
            </w:r>
            <w:r w:rsidRPr="00FA3ED6" w:rsidR="00FA3ED6">
              <w:rPr>
                <w:rFonts w:ascii="Times New Roman" w:eastAsia="Times New Roman" w:hAnsi="Times New Roman" w:cs="Times New Roman"/>
                <w:iCs/>
                <w:sz w:val="24"/>
                <w:szCs w:val="24"/>
                <w:lang w:eastAsia="lv-LV"/>
              </w:rPr>
              <w:t>, bet finansējumu nesaņēmušu</w:t>
            </w:r>
            <w:r w:rsidR="003A1517">
              <w:rPr>
                <w:rFonts w:ascii="Times New Roman" w:eastAsia="Times New Roman" w:hAnsi="Times New Roman" w:cs="Times New Roman"/>
                <w:iCs/>
                <w:sz w:val="24"/>
                <w:szCs w:val="24"/>
                <w:lang w:eastAsia="lv-LV"/>
              </w:rPr>
              <w:t>s</w:t>
            </w:r>
            <w:r w:rsidRPr="00FA3ED6" w:rsidR="00FA3ED6">
              <w:rPr>
                <w:rFonts w:ascii="Times New Roman" w:eastAsia="Times New Roman" w:hAnsi="Times New Roman" w:cs="Times New Roman"/>
                <w:iCs/>
                <w:sz w:val="24"/>
                <w:szCs w:val="24"/>
                <w:lang w:eastAsia="lv-LV"/>
              </w:rPr>
              <w:t xml:space="preserve"> projektu</w:t>
            </w:r>
            <w:r w:rsidR="003A1517">
              <w:rPr>
                <w:rFonts w:ascii="Times New Roman" w:eastAsia="Times New Roman" w:hAnsi="Times New Roman" w:cs="Times New Roman"/>
                <w:iCs/>
                <w:sz w:val="24"/>
                <w:szCs w:val="24"/>
                <w:lang w:eastAsia="lv-LV"/>
              </w:rPr>
              <w:t>s.</w:t>
            </w:r>
            <w:r w:rsidRPr="00FA3ED6" w:rsidR="00FA3ED6">
              <w:rPr>
                <w:rFonts w:ascii="Times New Roman" w:eastAsia="Times New Roman" w:hAnsi="Times New Roman" w:cs="Times New Roman"/>
                <w:iCs/>
                <w:sz w:val="24"/>
                <w:szCs w:val="24"/>
                <w:lang w:eastAsia="lv-LV"/>
              </w:rPr>
              <w:t xml:space="preserve"> </w:t>
            </w:r>
          </w:p>
          <w:p w:rsidR="00684C23" w:rsidP="00487661" w14:paraId="2F6602A8"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w:t>
            </w:r>
            <w:r w:rsidR="00D540F8">
              <w:rPr>
                <w:rFonts w:ascii="Times New Roman" w:eastAsia="Times New Roman" w:hAnsi="Times New Roman" w:cs="Times New Roman"/>
                <w:iCs/>
                <w:sz w:val="24"/>
                <w:szCs w:val="24"/>
                <w:lang w:eastAsia="lv-LV"/>
              </w:rPr>
              <w:t xml:space="preserve">būtiski atzīmēt, ka </w:t>
            </w:r>
            <w:r w:rsidRPr="00FA3ED6" w:rsidR="00D540F8">
              <w:rPr>
                <w:rFonts w:ascii="Times New Roman" w:eastAsia="Times New Roman" w:hAnsi="Times New Roman" w:cs="Times New Roman"/>
                <w:iCs/>
                <w:sz w:val="24"/>
                <w:szCs w:val="24"/>
                <w:lang w:eastAsia="lv-LV"/>
              </w:rPr>
              <w:t xml:space="preserve">1.1.1.5. pasākuma </w:t>
            </w:r>
            <w:r w:rsidR="00D540F8">
              <w:rPr>
                <w:rFonts w:ascii="Times New Roman" w:eastAsia="Times New Roman" w:hAnsi="Times New Roman" w:cs="Times New Roman"/>
                <w:iCs/>
                <w:sz w:val="24"/>
                <w:szCs w:val="24"/>
                <w:lang w:eastAsia="lv-LV"/>
              </w:rPr>
              <w:t>ietvaros atbalst</w:t>
            </w:r>
            <w:r w:rsidR="003A1517">
              <w:rPr>
                <w:rFonts w:ascii="Times New Roman" w:eastAsia="Times New Roman" w:hAnsi="Times New Roman" w:cs="Times New Roman"/>
                <w:iCs/>
                <w:sz w:val="24"/>
                <w:szCs w:val="24"/>
                <w:lang w:eastAsia="lv-LV"/>
              </w:rPr>
              <w:t>s</w:t>
            </w:r>
            <w:r w:rsidR="00D540F8">
              <w:rPr>
                <w:rFonts w:ascii="Times New Roman" w:eastAsia="Times New Roman" w:hAnsi="Times New Roman" w:cs="Times New Roman"/>
                <w:iCs/>
                <w:sz w:val="24"/>
                <w:szCs w:val="24"/>
                <w:lang w:eastAsia="lv-LV"/>
              </w:rPr>
              <w:t xml:space="preserve"> </w:t>
            </w:r>
            <w:r w:rsidR="003A1517">
              <w:rPr>
                <w:rFonts w:ascii="Times New Roman" w:eastAsia="Times New Roman" w:hAnsi="Times New Roman" w:cs="Times New Roman"/>
                <w:iCs/>
                <w:sz w:val="24"/>
                <w:szCs w:val="24"/>
                <w:lang w:eastAsia="lv-LV"/>
              </w:rPr>
              <w:t>paredzēts noteiktām</w:t>
            </w:r>
            <w:r w:rsidR="00D540F8">
              <w:rPr>
                <w:rFonts w:ascii="Times New Roman" w:eastAsia="Times New Roman" w:hAnsi="Times New Roman" w:cs="Times New Roman"/>
                <w:iCs/>
                <w:sz w:val="24"/>
                <w:szCs w:val="24"/>
                <w:lang w:eastAsia="lv-LV"/>
              </w:rPr>
              <w:t xml:space="preserve"> </w:t>
            </w:r>
            <w:r w:rsidRPr="00FA3ED6" w:rsidR="00D540F8">
              <w:rPr>
                <w:rFonts w:ascii="Times New Roman" w:eastAsia="Times New Roman" w:hAnsi="Times New Roman" w:cs="Times New Roman"/>
                <w:iCs/>
                <w:sz w:val="24"/>
                <w:szCs w:val="24"/>
                <w:lang w:eastAsia="lv-LV"/>
              </w:rPr>
              <w:t>programmas "Apvārsnis 2020"</w:t>
            </w:r>
            <w:r w:rsidR="00D540F8">
              <w:rPr>
                <w:rFonts w:ascii="Times New Roman" w:eastAsia="Times New Roman" w:hAnsi="Times New Roman" w:cs="Times New Roman"/>
                <w:iCs/>
                <w:sz w:val="24"/>
                <w:szCs w:val="24"/>
                <w:lang w:eastAsia="lv-LV"/>
              </w:rPr>
              <w:t xml:space="preserve"> apakšprogrammā</w:t>
            </w:r>
            <w:r w:rsidR="003A1517">
              <w:rPr>
                <w:rFonts w:ascii="Times New Roman" w:eastAsia="Times New Roman" w:hAnsi="Times New Roman" w:cs="Times New Roman"/>
                <w:iCs/>
                <w:sz w:val="24"/>
                <w:szCs w:val="24"/>
                <w:lang w:eastAsia="lv-LV"/>
              </w:rPr>
              <w:t>m</w:t>
            </w:r>
            <w:r w:rsidR="00D540F8">
              <w:rPr>
                <w:rFonts w:ascii="Times New Roman" w:eastAsia="Times New Roman" w:hAnsi="Times New Roman" w:cs="Times New Roman"/>
                <w:iCs/>
                <w:sz w:val="24"/>
                <w:szCs w:val="24"/>
                <w:lang w:eastAsia="lv-LV"/>
              </w:rPr>
              <w:t xml:space="preserve"> </w:t>
            </w:r>
            <w:r w:rsidR="003A1517">
              <w:rPr>
                <w:rFonts w:ascii="Times New Roman" w:eastAsia="Times New Roman" w:hAnsi="Times New Roman" w:cs="Times New Roman"/>
                <w:iCs/>
                <w:sz w:val="24"/>
                <w:szCs w:val="24"/>
                <w:lang w:eastAsia="lv-LV"/>
              </w:rPr>
              <w:t>(</w:t>
            </w:r>
            <w:r w:rsidRPr="00D540F8" w:rsidR="00D540F8">
              <w:rPr>
                <w:rFonts w:ascii="Times New Roman" w:eastAsia="Times New Roman" w:hAnsi="Times New Roman" w:cs="Times New Roman"/>
                <w:iCs/>
                <w:sz w:val="24"/>
                <w:szCs w:val="24"/>
                <w:lang w:eastAsia="lv-LV"/>
              </w:rPr>
              <w:t xml:space="preserve">Marijas </w:t>
            </w:r>
            <w:r w:rsidRPr="00D540F8" w:rsidR="00D540F8">
              <w:rPr>
                <w:rFonts w:ascii="Times New Roman" w:eastAsia="Times New Roman" w:hAnsi="Times New Roman" w:cs="Times New Roman"/>
                <w:iCs/>
                <w:sz w:val="24"/>
                <w:szCs w:val="24"/>
                <w:lang w:eastAsia="lv-LV"/>
              </w:rPr>
              <w:t>Sklodovskas</w:t>
            </w:r>
            <w:r w:rsidR="00D540F8">
              <w:rPr>
                <w:rFonts w:ascii="Times New Roman" w:eastAsia="Times New Roman" w:hAnsi="Times New Roman" w:cs="Times New Roman"/>
                <w:iCs/>
                <w:sz w:val="24"/>
                <w:szCs w:val="24"/>
                <w:lang w:eastAsia="lv-LV"/>
              </w:rPr>
              <w:t>-Kirī stipendijas apakšprogrammā</w:t>
            </w:r>
            <w:r w:rsidR="003A1517">
              <w:rPr>
                <w:rFonts w:ascii="Times New Roman" w:eastAsia="Times New Roman" w:hAnsi="Times New Roman" w:cs="Times New Roman"/>
                <w:iCs/>
                <w:sz w:val="24"/>
                <w:szCs w:val="24"/>
                <w:lang w:eastAsia="lv-LV"/>
              </w:rPr>
              <w:t xml:space="preserve">, Eiropas Zinātnes padomes </w:t>
            </w:r>
            <w:r w:rsidRPr="003079B0" w:rsidR="003A1517">
              <w:rPr>
                <w:rFonts w:ascii="Times New Roman" w:eastAsia="Times New Roman" w:hAnsi="Times New Roman" w:cs="Times New Roman"/>
                <w:i/>
                <w:iCs/>
                <w:sz w:val="24"/>
                <w:szCs w:val="24"/>
                <w:lang w:eastAsia="lv-LV"/>
              </w:rPr>
              <w:t>Frontier</w:t>
            </w:r>
            <w:r w:rsidRPr="003079B0" w:rsidR="003A1517">
              <w:rPr>
                <w:rFonts w:ascii="Times New Roman" w:eastAsia="Times New Roman" w:hAnsi="Times New Roman" w:cs="Times New Roman"/>
                <w:i/>
                <w:iCs/>
                <w:sz w:val="24"/>
                <w:szCs w:val="24"/>
                <w:lang w:eastAsia="lv-LV"/>
              </w:rPr>
              <w:t xml:space="preserve"> </w:t>
            </w:r>
            <w:r w:rsidRPr="003079B0" w:rsidR="003A1517">
              <w:rPr>
                <w:rFonts w:ascii="Times New Roman" w:eastAsia="Times New Roman" w:hAnsi="Times New Roman" w:cs="Times New Roman"/>
                <w:i/>
                <w:iCs/>
                <w:sz w:val="24"/>
                <w:szCs w:val="24"/>
                <w:lang w:eastAsia="lv-LV"/>
              </w:rPr>
              <w:t>Research</w:t>
            </w:r>
            <w:r w:rsidR="003A1517">
              <w:rPr>
                <w:rFonts w:ascii="Times New Roman" w:eastAsia="Times New Roman" w:hAnsi="Times New Roman" w:cs="Times New Roman"/>
                <w:iCs/>
                <w:sz w:val="24"/>
                <w:szCs w:val="24"/>
                <w:lang w:eastAsia="lv-LV"/>
              </w:rPr>
              <w:t xml:space="preserve"> granti, </w:t>
            </w:r>
            <w:r w:rsidRPr="00D540F8" w:rsidR="00D540F8">
              <w:rPr>
                <w:rFonts w:ascii="Times New Roman" w:eastAsia="Times New Roman" w:hAnsi="Times New Roman" w:cs="Times New Roman"/>
                <w:iCs/>
                <w:sz w:val="24"/>
                <w:szCs w:val="24"/>
                <w:lang w:eastAsia="lv-LV"/>
              </w:rPr>
              <w:t>Izcilības izplatīšanas un dalības paplašināšanas  apakšprogramm</w:t>
            </w:r>
            <w:r w:rsidR="003A1517">
              <w:rPr>
                <w:rFonts w:ascii="Times New Roman" w:eastAsia="Times New Roman" w:hAnsi="Times New Roman" w:cs="Times New Roman"/>
                <w:iCs/>
                <w:sz w:val="24"/>
                <w:szCs w:val="24"/>
                <w:lang w:eastAsia="lv-LV"/>
              </w:rPr>
              <w:t>ā</w:t>
            </w:r>
            <w:r w:rsidRPr="00D540F8" w:rsidR="00D540F8">
              <w:rPr>
                <w:rFonts w:ascii="Times New Roman" w:eastAsia="Times New Roman" w:hAnsi="Times New Roman" w:cs="Times New Roman"/>
                <w:iCs/>
                <w:sz w:val="24"/>
                <w:szCs w:val="24"/>
                <w:lang w:eastAsia="lv-LV"/>
              </w:rPr>
              <w:t xml:space="preserve"> ERA </w:t>
            </w:r>
            <w:r w:rsidRPr="00D540F8" w:rsidR="00D540F8">
              <w:rPr>
                <w:rFonts w:ascii="Times New Roman" w:eastAsia="Times New Roman" w:hAnsi="Times New Roman" w:cs="Times New Roman"/>
                <w:iCs/>
                <w:sz w:val="24"/>
                <w:szCs w:val="24"/>
                <w:lang w:eastAsia="lv-LV"/>
              </w:rPr>
              <w:t>Chair</w:t>
            </w:r>
            <w:r w:rsidR="00D540F8">
              <w:rPr>
                <w:rFonts w:ascii="Times New Roman" w:eastAsia="Times New Roman" w:hAnsi="Times New Roman" w:cs="Times New Roman"/>
                <w:iCs/>
                <w:sz w:val="24"/>
                <w:szCs w:val="24"/>
                <w:lang w:eastAsia="lv-LV"/>
              </w:rPr>
              <w:t>s</w:t>
            </w:r>
            <w:r w:rsidR="003A1517">
              <w:rPr>
                <w:rFonts w:ascii="Times New Roman" w:eastAsia="Times New Roman" w:hAnsi="Times New Roman" w:cs="Times New Roman"/>
                <w:iCs/>
                <w:sz w:val="24"/>
                <w:szCs w:val="24"/>
                <w:lang w:eastAsia="lv-LV"/>
              </w:rPr>
              <w:t>, kopuzņēmuma ECSEL ietvaros apstiprināta projekta no Eiropas strukturālajiem un investīciju fondiem finansējamas</w:t>
            </w:r>
            <w:r w:rsidR="0011233B">
              <w:rPr>
                <w:rFonts w:ascii="Times New Roman" w:eastAsia="Times New Roman" w:hAnsi="Times New Roman" w:cs="Times New Roman"/>
                <w:iCs/>
                <w:sz w:val="24"/>
                <w:szCs w:val="24"/>
                <w:lang w:eastAsia="lv-LV"/>
              </w:rPr>
              <w:t xml:space="preserve"> </w:t>
            </w:r>
            <w:r w:rsidR="003A1517">
              <w:rPr>
                <w:rFonts w:ascii="Times New Roman" w:eastAsia="Times New Roman" w:hAnsi="Times New Roman" w:cs="Times New Roman"/>
                <w:iCs/>
                <w:sz w:val="24"/>
                <w:szCs w:val="24"/>
                <w:lang w:eastAsia="lv-LV"/>
              </w:rPr>
              <w:t>darba paketes atbalsts)</w:t>
            </w:r>
            <w:r w:rsidR="003079B0">
              <w:rPr>
                <w:rFonts w:ascii="Times New Roman" w:eastAsia="Times New Roman" w:hAnsi="Times New Roman" w:cs="Times New Roman"/>
                <w:iCs/>
                <w:sz w:val="24"/>
                <w:szCs w:val="24"/>
                <w:lang w:eastAsia="lv-LV"/>
              </w:rPr>
              <w:t>, neparedzot sniegt atbalstu programmas “Apvārsnis 2020” MKV instrumenta 1.fāzes ietvaros Izcilības sertifikātu (</w:t>
            </w:r>
            <w:r w:rsidRPr="003079B0" w:rsidR="003079B0">
              <w:rPr>
                <w:rFonts w:ascii="Times New Roman" w:eastAsia="Times New Roman" w:hAnsi="Times New Roman" w:cs="Times New Roman"/>
                <w:i/>
                <w:iCs/>
                <w:sz w:val="24"/>
                <w:szCs w:val="24"/>
                <w:lang w:eastAsia="lv-LV"/>
              </w:rPr>
              <w:t>Seal</w:t>
            </w:r>
            <w:r w:rsidRPr="003079B0" w:rsidR="003079B0">
              <w:rPr>
                <w:rFonts w:ascii="Times New Roman" w:eastAsia="Times New Roman" w:hAnsi="Times New Roman" w:cs="Times New Roman"/>
                <w:i/>
                <w:iCs/>
                <w:sz w:val="24"/>
                <w:szCs w:val="24"/>
                <w:lang w:eastAsia="lv-LV"/>
              </w:rPr>
              <w:t xml:space="preserve"> </w:t>
            </w:r>
            <w:r w:rsidRPr="003079B0" w:rsidR="003079B0">
              <w:rPr>
                <w:rFonts w:ascii="Times New Roman" w:eastAsia="Times New Roman" w:hAnsi="Times New Roman" w:cs="Times New Roman"/>
                <w:i/>
                <w:iCs/>
                <w:sz w:val="24"/>
                <w:szCs w:val="24"/>
                <w:lang w:eastAsia="lv-LV"/>
              </w:rPr>
              <w:t>of</w:t>
            </w:r>
            <w:r w:rsidRPr="003079B0" w:rsidR="003079B0">
              <w:rPr>
                <w:rFonts w:ascii="Times New Roman" w:eastAsia="Times New Roman" w:hAnsi="Times New Roman" w:cs="Times New Roman"/>
                <w:i/>
                <w:iCs/>
                <w:sz w:val="24"/>
                <w:szCs w:val="24"/>
                <w:lang w:eastAsia="lv-LV"/>
              </w:rPr>
              <w:t xml:space="preserve"> </w:t>
            </w:r>
            <w:r w:rsidRPr="003079B0" w:rsidR="003079B0">
              <w:rPr>
                <w:rFonts w:ascii="Times New Roman" w:eastAsia="Times New Roman" w:hAnsi="Times New Roman" w:cs="Times New Roman"/>
                <w:i/>
                <w:iCs/>
                <w:sz w:val="24"/>
                <w:szCs w:val="24"/>
                <w:lang w:eastAsia="lv-LV"/>
              </w:rPr>
              <w:t>Excellence</w:t>
            </w:r>
            <w:r w:rsidR="003079B0">
              <w:rPr>
                <w:rFonts w:ascii="Times New Roman" w:eastAsia="Times New Roman" w:hAnsi="Times New Roman" w:cs="Times New Roman"/>
                <w:iCs/>
                <w:sz w:val="24"/>
                <w:szCs w:val="24"/>
                <w:lang w:eastAsia="lv-LV"/>
              </w:rPr>
              <w:t>) saņēmuša projekta īstenošanai</w:t>
            </w:r>
            <w:r w:rsidR="00D540F8">
              <w:rPr>
                <w:rFonts w:ascii="Times New Roman" w:eastAsia="Times New Roman" w:hAnsi="Times New Roman" w:cs="Times New Roman"/>
                <w:iCs/>
                <w:sz w:val="24"/>
                <w:szCs w:val="24"/>
                <w:lang w:eastAsia="lv-LV"/>
              </w:rPr>
              <w:t xml:space="preserve">. </w:t>
            </w:r>
            <w:r w:rsidR="003079B0">
              <w:rPr>
                <w:rFonts w:ascii="Times New Roman" w:eastAsia="Times New Roman" w:hAnsi="Times New Roman" w:cs="Times New Roman"/>
                <w:iCs/>
                <w:sz w:val="24"/>
                <w:szCs w:val="24"/>
                <w:lang w:eastAsia="lv-LV"/>
              </w:rPr>
              <w:t>Tādējādi</w:t>
            </w:r>
            <w:r w:rsidR="00D540F8">
              <w:rPr>
                <w:rFonts w:ascii="Times New Roman" w:eastAsia="Times New Roman" w:hAnsi="Times New Roman" w:cs="Times New Roman"/>
                <w:iCs/>
                <w:sz w:val="24"/>
                <w:szCs w:val="24"/>
                <w:lang w:eastAsia="lv-LV"/>
              </w:rPr>
              <w:t xml:space="preserve"> </w:t>
            </w:r>
            <w:r w:rsidRPr="00FA3ED6" w:rsidR="00D540F8">
              <w:rPr>
                <w:rFonts w:ascii="Times New Roman" w:eastAsia="Times New Roman" w:hAnsi="Times New Roman" w:cs="Times New Roman"/>
                <w:iCs/>
                <w:sz w:val="24"/>
                <w:szCs w:val="24"/>
                <w:lang w:eastAsia="lv-LV"/>
              </w:rPr>
              <w:t xml:space="preserve">1.1.1.5. pasākuma </w:t>
            </w:r>
            <w:r w:rsidR="00D540F8">
              <w:rPr>
                <w:rFonts w:ascii="Times New Roman" w:eastAsia="Times New Roman" w:hAnsi="Times New Roman" w:cs="Times New Roman"/>
                <w:iCs/>
                <w:sz w:val="24"/>
                <w:szCs w:val="24"/>
                <w:lang w:eastAsia="lv-LV"/>
              </w:rPr>
              <w:t>un 1.2.1.2.pasākum</w:t>
            </w:r>
            <w:r w:rsidR="003079B0">
              <w:rPr>
                <w:rFonts w:ascii="Times New Roman" w:eastAsia="Times New Roman" w:hAnsi="Times New Roman" w:cs="Times New Roman"/>
                <w:iCs/>
                <w:sz w:val="24"/>
                <w:szCs w:val="24"/>
                <w:lang w:eastAsia="lv-LV"/>
              </w:rPr>
              <w:t>a</w:t>
            </w:r>
            <w:r w:rsidR="00D540F8">
              <w:rPr>
                <w:rFonts w:ascii="Times New Roman" w:eastAsia="Times New Roman" w:hAnsi="Times New Roman" w:cs="Times New Roman"/>
                <w:iCs/>
                <w:sz w:val="24"/>
                <w:szCs w:val="24"/>
                <w:lang w:eastAsia="lv-LV"/>
              </w:rPr>
              <w:t xml:space="preserve"> ietvaros pieejamais atbalsts nepārklājas.</w:t>
            </w:r>
          </w:p>
          <w:p w:rsidR="00D540F8" w:rsidRPr="00487661" w:rsidP="00487661" w14:paraId="17C01486" w14:textId="2C9FC6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Turklāt, iesniedzot projekta pieteikumu, LIAA veiks projekta pieteicēja </w:t>
            </w:r>
            <w:r w:rsidR="00DD66B5">
              <w:rPr>
                <w:rFonts w:ascii="Times New Roman" w:eastAsia="Times New Roman" w:hAnsi="Times New Roman" w:cs="Times New Roman"/>
                <w:iCs/>
                <w:sz w:val="24"/>
                <w:szCs w:val="24"/>
                <w:lang w:eastAsia="lv-LV"/>
              </w:rPr>
              <w:t>iesniegtās informācijas (apliecinājuma</w:t>
            </w:r>
            <w:r>
              <w:rPr>
                <w:rFonts w:ascii="Times New Roman" w:eastAsia="Times New Roman" w:hAnsi="Times New Roman" w:cs="Times New Roman"/>
                <w:iCs/>
                <w:sz w:val="24"/>
                <w:szCs w:val="24"/>
                <w:lang w:eastAsia="lv-LV"/>
              </w:rPr>
              <w:t>)</w:t>
            </w:r>
            <w:r w:rsidR="00DD66B5">
              <w:rPr>
                <w:rFonts w:ascii="Times New Roman" w:eastAsia="Times New Roman" w:hAnsi="Times New Roman" w:cs="Times New Roman"/>
                <w:iCs/>
                <w:sz w:val="24"/>
                <w:szCs w:val="24"/>
                <w:lang w:eastAsia="lv-LV"/>
              </w:rPr>
              <w:t xml:space="preserve"> pārbaudi, lai pārliecinātos, ka</w:t>
            </w:r>
            <w:r>
              <w:rPr>
                <w:rFonts w:ascii="Times New Roman" w:eastAsia="Times New Roman" w:hAnsi="Times New Roman" w:cs="Times New Roman"/>
                <w:iCs/>
                <w:sz w:val="24"/>
                <w:szCs w:val="24"/>
                <w:lang w:eastAsia="lv-LV"/>
              </w:rPr>
              <w:t xml:space="preserve"> </w:t>
            </w:r>
            <w:r w:rsidR="001C329C">
              <w:rPr>
                <w:rFonts w:ascii="Times New Roman" w:eastAsia="Times New Roman" w:hAnsi="Times New Roman" w:cs="Times New Roman"/>
                <w:iCs/>
                <w:sz w:val="24"/>
                <w:szCs w:val="24"/>
                <w:lang w:eastAsia="lv-LV"/>
              </w:rPr>
              <w:t xml:space="preserve">komersants nav uzsācis nekādas darbības tehnoloģiski ekonomiskās </w:t>
            </w:r>
            <w:r w:rsidR="001C329C">
              <w:rPr>
                <w:rFonts w:ascii="Times New Roman" w:eastAsia="Times New Roman" w:hAnsi="Times New Roman" w:cs="Times New Roman"/>
                <w:iCs/>
                <w:sz w:val="24"/>
                <w:szCs w:val="24"/>
                <w:lang w:eastAsia="lv-LV"/>
              </w:rPr>
              <w:t>priekšizpētes</w:t>
            </w:r>
            <w:r w:rsidR="001C329C">
              <w:rPr>
                <w:rFonts w:ascii="Times New Roman" w:eastAsia="Times New Roman" w:hAnsi="Times New Roman" w:cs="Times New Roman"/>
                <w:iCs/>
                <w:sz w:val="24"/>
                <w:szCs w:val="24"/>
                <w:lang w:eastAsia="lv-LV"/>
              </w:rPr>
              <w:t xml:space="preserve"> veikšanai līdz projekta apstiprināšanas brīdim.</w:t>
            </w:r>
          </w:p>
          <w:p w:rsidR="00487661" w:rsidRPr="00487661" w:rsidP="00487661" w14:paraId="420E2E00" w14:textId="77777777">
            <w:pPr>
              <w:spacing w:after="0" w:line="240" w:lineRule="auto"/>
              <w:jc w:val="both"/>
              <w:rPr>
                <w:rFonts w:ascii="Times New Roman" w:eastAsia="Times New Roman" w:hAnsi="Times New Roman" w:cs="Times New Roman"/>
                <w:iCs/>
                <w:sz w:val="24"/>
                <w:szCs w:val="24"/>
                <w:lang w:eastAsia="lv-LV"/>
              </w:rPr>
            </w:pPr>
          </w:p>
          <w:p w:rsidR="00CE765A" w:rsidP="00487661" w14:paraId="596D2F8F" w14:textId="413D89CE">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Līdz šim atbalsts 1.2.1.2. pasākuma ietvaros komersantiem tika sniegts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veidā, piemērojot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atbalsta normas. Taču, 1.2.1.2. pasākuma īstenošanas praksē tika konstatēti gadījumi, kad komersantiem nav iespējams piesaistīt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finansējumu, jo ir pārsniegts maksimālais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atbalsta apmērs citās atbalsta programmās. Līdz ar to, lai komersantiem nodrošinātu </w:t>
            </w:r>
            <w:r w:rsidR="00BB6AE8">
              <w:rPr>
                <w:rFonts w:ascii="Times New Roman" w:eastAsia="Times New Roman" w:hAnsi="Times New Roman" w:cs="Times New Roman"/>
                <w:iCs/>
                <w:sz w:val="24"/>
                <w:szCs w:val="24"/>
                <w:lang w:eastAsia="lv-LV"/>
              </w:rPr>
              <w:t>iespēju turpināt attīstīt uz</w:t>
            </w:r>
            <w:r w:rsidR="009B08FA">
              <w:rPr>
                <w:rFonts w:ascii="Times New Roman" w:eastAsia="Times New Roman" w:hAnsi="Times New Roman" w:cs="Times New Roman"/>
                <w:iCs/>
                <w:sz w:val="24"/>
                <w:szCs w:val="24"/>
                <w:lang w:eastAsia="lv-LV"/>
              </w:rPr>
              <w:t>ņēmējdarbību un saņemt atbalstu</w:t>
            </w:r>
            <w:r w:rsidRPr="00487661">
              <w:rPr>
                <w:rFonts w:ascii="Times New Roman" w:eastAsia="Times New Roman" w:hAnsi="Times New Roman" w:cs="Times New Roman"/>
                <w:iCs/>
                <w:sz w:val="24"/>
                <w:szCs w:val="24"/>
                <w:lang w:eastAsia="lv-LV"/>
              </w:rPr>
              <w:t xml:space="preserve">, MK noteikumi Nr.692 tiek papildināti ar iespēju saņemt atbalstu inovācijas </w:t>
            </w:r>
            <w:r w:rsidRPr="00487661">
              <w:rPr>
                <w:rFonts w:ascii="Times New Roman" w:eastAsia="Times New Roman" w:hAnsi="Times New Roman" w:cs="Times New Roman"/>
                <w:iCs/>
                <w:sz w:val="24"/>
                <w:szCs w:val="24"/>
                <w:lang w:eastAsia="lv-LV"/>
              </w:rPr>
              <w:t>vaučera</w:t>
            </w:r>
            <w:r w:rsidRPr="00487661">
              <w:rPr>
                <w:rFonts w:ascii="Times New Roman" w:eastAsia="Times New Roman" w:hAnsi="Times New Roman" w:cs="Times New Roman"/>
                <w:iCs/>
                <w:sz w:val="24"/>
                <w:szCs w:val="24"/>
                <w:lang w:eastAsia="lv-LV"/>
              </w:rPr>
              <w:t xml:space="preserve"> aktivitātēm, piemērojot arī Komisijas 2014.gada 17.jūnija Regul</w:t>
            </w:r>
            <w:r w:rsidR="00C45AC4">
              <w:rPr>
                <w:rFonts w:ascii="Times New Roman" w:eastAsia="Times New Roman" w:hAnsi="Times New Roman" w:cs="Times New Roman"/>
                <w:iCs/>
                <w:sz w:val="24"/>
                <w:szCs w:val="24"/>
                <w:lang w:eastAsia="lv-LV"/>
              </w:rPr>
              <w:t>as</w:t>
            </w:r>
            <w:r w:rsidRPr="00487661">
              <w:rPr>
                <w:rFonts w:ascii="Times New Roman" w:eastAsia="Times New Roman" w:hAnsi="Times New Roman" w:cs="Times New Roman"/>
                <w:iCs/>
                <w:sz w:val="24"/>
                <w:szCs w:val="24"/>
                <w:lang w:eastAsia="lv-LV"/>
              </w:rPr>
              <w:t xml:space="preserve"> (ES) Nr.651/2014, ar ko noteiktas atbalsta kategorijas atzīst par saderīgām ar iekšējo tirgu, piemērojot Līguma 107. un 108. pantu (GBER)</w:t>
            </w:r>
            <w:r w:rsidR="00C45AC4">
              <w:rPr>
                <w:rFonts w:ascii="Times New Roman" w:eastAsia="Times New Roman" w:hAnsi="Times New Roman" w:cs="Times New Roman"/>
                <w:iCs/>
                <w:sz w:val="24"/>
                <w:szCs w:val="24"/>
                <w:lang w:eastAsia="lv-LV"/>
              </w:rPr>
              <w:t xml:space="preserve"> 25. un 28.pantu</w:t>
            </w:r>
            <w:r w:rsidRPr="00487661">
              <w:rPr>
                <w:rFonts w:ascii="Times New Roman" w:eastAsia="Times New Roman" w:hAnsi="Times New Roman" w:cs="Times New Roman"/>
                <w:iCs/>
                <w:sz w:val="24"/>
                <w:szCs w:val="24"/>
                <w:lang w:eastAsia="lv-LV"/>
              </w:rPr>
              <w:t xml:space="preserve">. Tādējādi tiks nodrošināts, ka komersants atkarībā no situācijas var izvēlēties vienu vai otru atbalsta veidu – paredzot iespēju pretendēt uz GBER atbalstu un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atbalstu izmantot citā atbalsta programmā (neizsmeļot pieejamo </w:t>
            </w:r>
            <w:r w:rsidRPr="009E6309">
              <w:rPr>
                <w:rFonts w:ascii="Times New Roman" w:eastAsia="Times New Roman" w:hAnsi="Times New Roman" w:cs="Times New Roman"/>
                <w:i/>
                <w:iCs/>
                <w:sz w:val="24"/>
                <w:szCs w:val="24"/>
                <w:lang w:eastAsia="lv-LV"/>
              </w:rPr>
              <w:t>de</w:t>
            </w:r>
            <w:r w:rsidRPr="009E6309">
              <w:rPr>
                <w:rFonts w:ascii="Times New Roman" w:eastAsia="Times New Roman" w:hAnsi="Times New Roman" w:cs="Times New Roman"/>
                <w:i/>
                <w:iCs/>
                <w:sz w:val="24"/>
                <w:szCs w:val="24"/>
                <w:lang w:eastAsia="lv-LV"/>
              </w:rPr>
              <w:t xml:space="preserve"> </w:t>
            </w:r>
            <w:r w:rsidRPr="009E6309">
              <w:rPr>
                <w:rFonts w:ascii="Times New Roman" w:eastAsia="Times New Roman" w:hAnsi="Times New Roman" w:cs="Times New Roman"/>
                <w:i/>
                <w:iCs/>
                <w:sz w:val="24"/>
                <w:szCs w:val="24"/>
                <w:lang w:eastAsia="lv-LV"/>
              </w:rPr>
              <w:t>minimis</w:t>
            </w:r>
            <w:r w:rsidRPr="00487661">
              <w:rPr>
                <w:rFonts w:ascii="Times New Roman" w:eastAsia="Times New Roman" w:hAnsi="Times New Roman" w:cs="Times New Roman"/>
                <w:iCs/>
                <w:sz w:val="24"/>
                <w:szCs w:val="24"/>
                <w:lang w:eastAsia="lv-LV"/>
              </w:rPr>
              <w:t xml:space="preserve"> atbalstu Tehnoloģiju </w:t>
            </w:r>
            <w:r w:rsidRPr="00487661">
              <w:rPr>
                <w:rFonts w:ascii="Times New Roman" w:eastAsia="Times New Roman" w:hAnsi="Times New Roman" w:cs="Times New Roman"/>
                <w:iCs/>
                <w:sz w:val="24"/>
                <w:szCs w:val="24"/>
                <w:lang w:eastAsia="lv-LV"/>
              </w:rPr>
              <w:t>pārneses</w:t>
            </w:r>
            <w:r w:rsidRPr="00487661">
              <w:rPr>
                <w:rFonts w:ascii="Times New Roman" w:eastAsia="Times New Roman" w:hAnsi="Times New Roman" w:cs="Times New Roman"/>
                <w:iCs/>
                <w:sz w:val="24"/>
                <w:szCs w:val="24"/>
                <w:lang w:eastAsia="lv-LV"/>
              </w:rPr>
              <w:t xml:space="preserve"> programmā).</w:t>
            </w:r>
          </w:p>
          <w:p w:rsidR="00C65D9B" w:rsidP="00487661" w14:paraId="3A2672FF" w14:textId="5A6B97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attiecīgi tiek papildināts ar </w:t>
            </w:r>
            <w:r w:rsidRPr="00AC3B6F">
              <w:rPr>
                <w:rFonts w:ascii="Times New Roman" w:eastAsia="Times New Roman" w:hAnsi="Times New Roman" w:cs="Times New Roman"/>
                <w:iCs/>
                <w:sz w:val="24"/>
                <w:szCs w:val="24"/>
                <w:lang w:eastAsia="lv-LV"/>
              </w:rPr>
              <w:t>atbilstošie</w:t>
            </w:r>
            <w:r>
              <w:rPr>
                <w:rFonts w:ascii="Times New Roman" w:eastAsia="Times New Roman" w:hAnsi="Times New Roman" w:cs="Times New Roman"/>
                <w:iCs/>
                <w:sz w:val="24"/>
                <w:szCs w:val="24"/>
                <w:lang w:eastAsia="lv-LV"/>
              </w:rPr>
              <w:t>m</w:t>
            </w:r>
            <w:r w:rsidRPr="00AC3B6F">
              <w:rPr>
                <w:rFonts w:ascii="Times New Roman" w:eastAsia="Times New Roman" w:hAnsi="Times New Roman" w:cs="Times New Roman"/>
                <w:iCs/>
                <w:sz w:val="24"/>
                <w:szCs w:val="24"/>
                <w:lang w:eastAsia="lv-LV"/>
              </w:rPr>
              <w:t xml:space="preserve"> vispārīgie</w:t>
            </w:r>
            <w:r>
              <w:rPr>
                <w:rFonts w:ascii="Times New Roman" w:eastAsia="Times New Roman" w:hAnsi="Times New Roman" w:cs="Times New Roman"/>
                <w:iCs/>
                <w:sz w:val="24"/>
                <w:szCs w:val="24"/>
                <w:lang w:eastAsia="lv-LV"/>
              </w:rPr>
              <w:t>m</w:t>
            </w:r>
            <w:r w:rsidRPr="00AC3B6F">
              <w:rPr>
                <w:rFonts w:ascii="Times New Roman" w:eastAsia="Times New Roman" w:hAnsi="Times New Roman" w:cs="Times New Roman"/>
                <w:iCs/>
                <w:sz w:val="24"/>
                <w:szCs w:val="24"/>
                <w:lang w:eastAsia="lv-LV"/>
              </w:rPr>
              <w:t xml:space="preserve"> nosacījumi</w:t>
            </w:r>
            <w:r>
              <w:rPr>
                <w:rFonts w:ascii="Times New Roman" w:eastAsia="Times New Roman" w:hAnsi="Times New Roman" w:cs="Times New Roman"/>
                <w:iCs/>
                <w:sz w:val="24"/>
                <w:szCs w:val="24"/>
                <w:lang w:eastAsia="lv-LV"/>
              </w:rPr>
              <w:t>em</w:t>
            </w:r>
            <w:r w:rsidRPr="00AC3B6F">
              <w:rPr>
                <w:rFonts w:ascii="Times New Roman" w:eastAsia="Times New Roman" w:hAnsi="Times New Roman" w:cs="Times New Roman"/>
                <w:iCs/>
                <w:sz w:val="24"/>
                <w:szCs w:val="24"/>
                <w:lang w:eastAsia="lv-LV"/>
              </w:rPr>
              <w:t xml:space="preserve"> no regulas Nr.651/2014</w:t>
            </w:r>
            <w:r w:rsidR="007F4E3C">
              <w:rPr>
                <w:rFonts w:ascii="Times New Roman" w:eastAsia="Times New Roman" w:hAnsi="Times New Roman" w:cs="Times New Roman"/>
                <w:iCs/>
                <w:sz w:val="24"/>
                <w:szCs w:val="24"/>
                <w:lang w:eastAsia="lv-LV"/>
              </w:rPr>
              <w:t>, tai skaitā ar stimulējošās ietekmes nosacījumiem, kumulācijas nosacījumiem, kā arī ar konkrētai atbalsta kategorijai piemērojamām atbalsta intensitātēm un pieļaujamām</w:t>
            </w:r>
            <w:r w:rsidR="007C7F4F">
              <w:rPr>
                <w:rFonts w:ascii="Times New Roman" w:eastAsia="Times New Roman" w:hAnsi="Times New Roman" w:cs="Times New Roman"/>
                <w:iCs/>
                <w:sz w:val="24"/>
                <w:szCs w:val="24"/>
                <w:lang w:eastAsia="lv-LV"/>
              </w:rPr>
              <w:t xml:space="preserve"> attiecināmajām</w:t>
            </w:r>
            <w:r w:rsidR="007F4E3C">
              <w:rPr>
                <w:rFonts w:ascii="Times New Roman" w:eastAsia="Times New Roman" w:hAnsi="Times New Roman" w:cs="Times New Roman"/>
                <w:iCs/>
                <w:sz w:val="24"/>
                <w:szCs w:val="24"/>
                <w:lang w:eastAsia="lv-LV"/>
              </w:rPr>
              <w:t xml:space="preserve"> izmaksām.</w:t>
            </w:r>
            <w:r w:rsidR="00FA203B">
              <w:rPr>
                <w:rFonts w:ascii="Times New Roman" w:eastAsia="Times New Roman" w:hAnsi="Times New Roman" w:cs="Times New Roman"/>
                <w:iCs/>
                <w:sz w:val="24"/>
                <w:szCs w:val="24"/>
                <w:lang w:eastAsia="lv-LV"/>
              </w:rPr>
              <w:t xml:space="preserve"> </w:t>
            </w:r>
            <w:r w:rsidR="00982641">
              <w:rPr>
                <w:rFonts w:ascii="Times New Roman" w:eastAsia="Times New Roman" w:hAnsi="Times New Roman" w:cs="Times New Roman"/>
                <w:iCs/>
                <w:sz w:val="24"/>
                <w:szCs w:val="24"/>
                <w:lang w:eastAsia="lv-LV"/>
              </w:rPr>
              <w:t>R</w:t>
            </w:r>
            <w:r w:rsidR="00FA203B">
              <w:rPr>
                <w:rFonts w:ascii="Times New Roman" w:eastAsia="Times New Roman" w:hAnsi="Times New Roman" w:cs="Times New Roman"/>
                <w:iCs/>
                <w:sz w:val="24"/>
                <w:szCs w:val="24"/>
                <w:lang w:eastAsia="lv-LV"/>
              </w:rPr>
              <w:t>egulas Nr.651/2014 prasības</w:t>
            </w:r>
            <w:r w:rsidR="00304544">
              <w:rPr>
                <w:rFonts w:ascii="Times New Roman" w:eastAsia="Times New Roman" w:hAnsi="Times New Roman" w:cs="Times New Roman"/>
                <w:iCs/>
                <w:sz w:val="24"/>
                <w:szCs w:val="24"/>
                <w:lang w:eastAsia="lv-LV"/>
              </w:rPr>
              <w:t xml:space="preserve"> piemērotas ievērojot</w:t>
            </w:r>
            <w:r w:rsidR="00982641">
              <w:rPr>
                <w:rFonts w:ascii="Times New Roman" w:eastAsia="Times New Roman" w:hAnsi="Times New Roman" w:cs="Times New Roman"/>
                <w:iCs/>
                <w:sz w:val="24"/>
                <w:szCs w:val="24"/>
                <w:lang w:eastAsia="lv-LV"/>
              </w:rPr>
              <w:t>, lai</w:t>
            </w:r>
            <w:r w:rsidR="00FA203B">
              <w:rPr>
                <w:rFonts w:ascii="Times New Roman" w:eastAsia="Times New Roman" w:hAnsi="Times New Roman" w:cs="Times New Roman"/>
                <w:iCs/>
                <w:sz w:val="24"/>
                <w:szCs w:val="24"/>
                <w:lang w:eastAsia="lv-LV"/>
              </w:rPr>
              <w:t xml:space="preserve"> netik</w:t>
            </w:r>
            <w:r w:rsidR="00982641">
              <w:rPr>
                <w:rFonts w:ascii="Times New Roman" w:eastAsia="Times New Roman" w:hAnsi="Times New Roman" w:cs="Times New Roman"/>
                <w:iCs/>
                <w:sz w:val="24"/>
                <w:szCs w:val="24"/>
                <w:lang w:eastAsia="lv-LV"/>
              </w:rPr>
              <w:t>tu</w:t>
            </w:r>
            <w:r w:rsidR="00304544">
              <w:rPr>
                <w:rFonts w:ascii="Times New Roman" w:eastAsia="Times New Roman" w:hAnsi="Times New Roman" w:cs="Times New Roman"/>
                <w:iCs/>
                <w:sz w:val="24"/>
                <w:szCs w:val="24"/>
                <w:lang w:eastAsia="lv-LV"/>
              </w:rPr>
              <w:t xml:space="preserve"> ierobežotas komersanta</w:t>
            </w:r>
            <w:r w:rsidR="00FA203B">
              <w:rPr>
                <w:rFonts w:ascii="Times New Roman" w:eastAsia="Times New Roman" w:hAnsi="Times New Roman" w:cs="Times New Roman"/>
                <w:iCs/>
                <w:sz w:val="24"/>
                <w:szCs w:val="24"/>
                <w:lang w:eastAsia="lv-LV"/>
              </w:rPr>
              <w:t xml:space="preserve"> tiesības</w:t>
            </w:r>
            <w:r w:rsidR="00304544">
              <w:rPr>
                <w:rFonts w:ascii="Times New Roman" w:eastAsia="Times New Roman" w:hAnsi="Times New Roman" w:cs="Times New Roman"/>
                <w:iCs/>
                <w:sz w:val="24"/>
                <w:szCs w:val="24"/>
                <w:lang w:eastAsia="lv-LV"/>
              </w:rPr>
              <w:t xml:space="preserve"> brīvi izvēlēties pakalpojuma sniedzēju</w:t>
            </w:r>
            <w:r w:rsidR="00FA203B">
              <w:rPr>
                <w:rFonts w:ascii="Times New Roman" w:eastAsia="Times New Roman" w:hAnsi="Times New Roman" w:cs="Times New Roman"/>
                <w:iCs/>
                <w:sz w:val="24"/>
                <w:szCs w:val="24"/>
                <w:lang w:eastAsia="lv-LV"/>
              </w:rPr>
              <w:t>.</w:t>
            </w:r>
          </w:p>
          <w:p w:rsidR="00A6751D" w:rsidP="00487661" w14:paraId="1AC0BDE4" w14:textId="6F41814F">
            <w:pPr>
              <w:spacing w:after="0" w:line="240" w:lineRule="auto"/>
              <w:jc w:val="both"/>
              <w:rPr>
                <w:rFonts w:ascii="Times New Roman" w:eastAsia="Times New Roman" w:hAnsi="Times New Roman" w:cs="Times New Roman"/>
                <w:iCs/>
                <w:sz w:val="24"/>
                <w:szCs w:val="24"/>
                <w:lang w:eastAsia="lv-LV"/>
              </w:rPr>
            </w:pPr>
          </w:p>
          <w:p w:rsidR="00CE28E5" w:rsidP="00A6751D" w14:paraId="40D4186D" w14:textId="77777777">
            <w:pPr>
              <w:spacing w:after="0" w:line="240" w:lineRule="auto"/>
              <w:jc w:val="both"/>
              <w:rPr>
                <w:rFonts w:ascii="Times New Roman" w:eastAsia="Times New Roman" w:hAnsi="Times New Roman" w:cs="Times New Roman"/>
                <w:iCs/>
                <w:sz w:val="24"/>
                <w:szCs w:val="24"/>
                <w:lang w:eastAsia="lv-LV"/>
              </w:rPr>
            </w:pPr>
            <w:r w:rsidRPr="00A6751D">
              <w:rPr>
                <w:rFonts w:ascii="Times New Roman" w:eastAsia="Times New Roman" w:hAnsi="Times New Roman" w:cs="Times New Roman"/>
                <w:iCs/>
                <w:sz w:val="24"/>
                <w:szCs w:val="24"/>
                <w:lang w:eastAsia="lv-LV"/>
              </w:rPr>
              <w:t xml:space="preserve">MK noteikumu 171.1.12. apakšpunktā ir norādīts, ka Centrs izstrādā kārtību, kādā </w:t>
            </w:r>
            <w:r w:rsidRPr="00A6751D">
              <w:rPr>
                <w:rFonts w:ascii="Times New Roman" w:eastAsia="Times New Roman" w:hAnsi="Times New Roman" w:cs="Times New Roman"/>
                <w:iCs/>
                <w:sz w:val="24"/>
                <w:szCs w:val="24"/>
                <w:lang w:eastAsia="lv-LV"/>
              </w:rPr>
              <w:t>jaunuzņēmumiem</w:t>
            </w:r>
            <w:r w:rsidRPr="00A6751D">
              <w:rPr>
                <w:rFonts w:ascii="Times New Roman" w:eastAsia="Times New Roman" w:hAnsi="Times New Roman" w:cs="Times New Roman"/>
                <w:iCs/>
                <w:sz w:val="24"/>
                <w:szCs w:val="24"/>
                <w:lang w:eastAsia="lv-LV"/>
              </w:rPr>
              <w:t xml:space="preserve"> tiek piešķirts šajā punktā norādītais atbalsts un saskaņo to ar atbildīgo iestādi</w:t>
            </w:r>
            <w:r>
              <w:rPr>
                <w:rFonts w:ascii="Times New Roman" w:eastAsia="Times New Roman" w:hAnsi="Times New Roman" w:cs="Times New Roman"/>
                <w:iCs/>
                <w:sz w:val="24"/>
                <w:szCs w:val="24"/>
                <w:lang w:eastAsia="lv-LV"/>
              </w:rPr>
              <w:t xml:space="preserve">. Minētajā kārtībā attiecīgi tiek </w:t>
            </w:r>
            <w:r w:rsidRPr="00A6751D">
              <w:rPr>
                <w:rFonts w:ascii="Times New Roman" w:eastAsia="Times New Roman" w:hAnsi="Times New Roman" w:cs="Times New Roman"/>
                <w:iCs/>
                <w:sz w:val="24"/>
                <w:szCs w:val="24"/>
                <w:lang w:eastAsia="lv-LV"/>
              </w:rPr>
              <w:t>atrunāti gan kritēriji</w:t>
            </w:r>
            <w:r>
              <w:rPr>
                <w:rFonts w:ascii="Times New Roman" w:eastAsia="Times New Roman" w:hAnsi="Times New Roman" w:cs="Times New Roman"/>
                <w:iCs/>
                <w:sz w:val="24"/>
                <w:szCs w:val="24"/>
                <w:lang w:eastAsia="lv-LV"/>
              </w:rPr>
              <w:t>,</w:t>
            </w:r>
            <w:r w:rsidRPr="00A6751D">
              <w:rPr>
                <w:rFonts w:ascii="Times New Roman" w:eastAsia="Times New Roman" w:hAnsi="Times New Roman" w:cs="Times New Roman"/>
                <w:iCs/>
                <w:sz w:val="24"/>
                <w:szCs w:val="24"/>
                <w:lang w:eastAsia="lv-LV"/>
              </w:rPr>
              <w:t xml:space="preserve"> kādiem uzņēmumiem šis atbalsts tiks piešķirts, gan kā pasākumu izmaksu tiks sadalītas  uz komersantiem un uzskaitītas kā </w:t>
            </w:r>
            <w:r w:rsidRPr="001E783B">
              <w:rPr>
                <w:rFonts w:ascii="Times New Roman" w:eastAsia="Times New Roman" w:hAnsi="Times New Roman" w:cs="Times New Roman"/>
                <w:i/>
                <w:iCs/>
                <w:sz w:val="24"/>
                <w:szCs w:val="24"/>
                <w:lang w:eastAsia="lv-LV"/>
              </w:rPr>
              <w:t>de</w:t>
            </w:r>
            <w:r w:rsidRPr="001E783B">
              <w:rPr>
                <w:rFonts w:ascii="Times New Roman" w:eastAsia="Times New Roman" w:hAnsi="Times New Roman" w:cs="Times New Roman"/>
                <w:i/>
                <w:iCs/>
                <w:sz w:val="24"/>
                <w:szCs w:val="24"/>
                <w:lang w:eastAsia="lv-LV"/>
              </w:rPr>
              <w:t xml:space="preserve"> </w:t>
            </w:r>
            <w:r w:rsidRPr="001E783B">
              <w:rPr>
                <w:rFonts w:ascii="Times New Roman" w:eastAsia="Times New Roman" w:hAnsi="Times New Roman" w:cs="Times New Roman"/>
                <w:i/>
                <w:iCs/>
                <w:sz w:val="24"/>
                <w:szCs w:val="24"/>
                <w:lang w:eastAsia="lv-LV"/>
              </w:rPr>
              <w:t>minimiss</w:t>
            </w:r>
            <w:r w:rsidRPr="00A6751D">
              <w:rPr>
                <w:rFonts w:ascii="Times New Roman" w:eastAsia="Times New Roman" w:hAnsi="Times New Roman" w:cs="Times New Roman"/>
                <w:iCs/>
                <w:sz w:val="24"/>
                <w:szCs w:val="24"/>
                <w:lang w:eastAsia="lv-LV"/>
              </w:rPr>
              <w:t xml:space="preserve"> atbalsts.</w:t>
            </w:r>
          </w:p>
          <w:p w:rsidR="00CE28E5" w:rsidP="00A6751D" w14:paraId="2E5800B4" w14:textId="77777777">
            <w:pPr>
              <w:spacing w:after="0" w:line="240" w:lineRule="auto"/>
              <w:jc w:val="both"/>
              <w:rPr>
                <w:rFonts w:ascii="Times New Roman" w:eastAsia="Times New Roman" w:hAnsi="Times New Roman" w:cs="Times New Roman"/>
                <w:iCs/>
                <w:sz w:val="24"/>
                <w:szCs w:val="24"/>
                <w:lang w:eastAsia="lv-LV"/>
              </w:rPr>
            </w:pPr>
          </w:p>
          <w:p w:rsidR="00CE28E5" w:rsidRPr="00CE28E5" w:rsidP="00CE28E5" w14:paraId="54DE8809" w14:textId="42D01DFD">
            <w:pPr>
              <w:spacing w:after="0" w:line="240" w:lineRule="auto"/>
              <w:jc w:val="both"/>
              <w:rPr>
                <w:rFonts w:ascii="Times New Roman" w:eastAsia="Times New Roman" w:hAnsi="Times New Roman" w:cs="Times New Roman"/>
                <w:iCs/>
                <w:sz w:val="24"/>
                <w:szCs w:val="24"/>
                <w:lang w:eastAsia="lv-LV"/>
              </w:rPr>
            </w:pPr>
            <w:r w:rsidRPr="00CE28E5">
              <w:rPr>
                <w:rFonts w:ascii="Times New Roman" w:eastAsia="Times New Roman" w:hAnsi="Times New Roman" w:cs="Times New Roman"/>
                <w:iCs/>
                <w:sz w:val="24"/>
                <w:szCs w:val="24"/>
                <w:lang w:eastAsia="lv-LV"/>
              </w:rPr>
              <w:t xml:space="preserve">Darbības programmā “Izaugsme un nodarbinātība” 1.2.1. specifiskā atbalsta mērķa ietvaros tiek plānota trīs iznākuma rādītāju sasniegšana un vērtības tiek akumulētas no trim pasākumiem – 1.2.1.1.pasākuma “Atbalsts jaunu produktu un tehnoloģiju izstrādei kompetences centru </w:t>
            </w:r>
            <w:r w:rsidRPr="00CE28E5">
              <w:rPr>
                <w:rFonts w:ascii="Times New Roman" w:eastAsia="Times New Roman" w:hAnsi="Times New Roman" w:cs="Times New Roman"/>
                <w:iCs/>
                <w:sz w:val="24"/>
                <w:szCs w:val="24"/>
                <w:lang w:eastAsia="lv-LV"/>
              </w:rPr>
              <w:t xml:space="preserve">ietvaros”, 1.2.1.2.pasākuma “Atbalsts tehnoloģiju </w:t>
            </w:r>
            <w:r w:rsidRPr="00CE28E5">
              <w:rPr>
                <w:rFonts w:ascii="Times New Roman" w:eastAsia="Times New Roman" w:hAnsi="Times New Roman" w:cs="Times New Roman"/>
                <w:iCs/>
                <w:sz w:val="24"/>
                <w:szCs w:val="24"/>
                <w:lang w:eastAsia="lv-LV"/>
              </w:rPr>
              <w:t>pārneses</w:t>
            </w:r>
            <w:r w:rsidRPr="00CE28E5">
              <w:rPr>
                <w:rFonts w:ascii="Times New Roman" w:eastAsia="Times New Roman" w:hAnsi="Times New Roman" w:cs="Times New Roman"/>
                <w:iCs/>
                <w:sz w:val="24"/>
                <w:szCs w:val="24"/>
                <w:lang w:eastAsia="lv-LV"/>
              </w:rPr>
              <w:t xml:space="preserve"> sistēmas pilnveidošanai” un 1.2.1.4.pasākuma “Atbalsts jaunu produktu ieviešanai ražošanā”:</w:t>
            </w:r>
          </w:p>
          <w:p w:rsidR="00CE28E5" w:rsidRPr="00CE28E5" w:rsidP="00CE28E5" w14:paraId="781595B6" w14:textId="77777777">
            <w:pPr>
              <w:spacing w:after="0" w:line="240" w:lineRule="auto"/>
              <w:jc w:val="both"/>
              <w:rPr>
                <w:rFonts w:ascii="Times New Roman" w:eastAsia="Times New Roman" w:hAnsi="Times New Roman" w:cs="Times New Roman"/>
                <w:iCs/>
                <w:sz w:val="24"/>
                <w:szCs w:val="24"/>
                <w:lang w:eastAsia="lv-LV"/>
              </w:rPr>
            </w:pPr>
            <w:r w:rsidRPr="00CE28E5">
              <w:rPr>
                <w:rFonts w:ascii="Times New Roman" w:eastAsia="Times New Roman" w:hAnsi="Times New Roman" w:cs="Times New Roman"/>
                <w:iCs/>
                <w:sz w:val="24"/>
                <w:szCs w:val="24"/>
                <w:lang w:eastAsia="lv-LV"/>
              </w:rPr>
              <w:t>a.</w:t>
            </w:r>
            <w:r w:rsidRPr="00CE28E5">
              <w:rPr>
                <w:rFonts w:ascii="Times New Roman" w:eastAsia="Times New Roman" w:hAnsi="Times New Roman" w:cs="Times New Roman"/>
                <w:iCs/>
                <w:sz w:val="24"/>
                <w:szCs w:val="24"/>
                <w:lang w:eastAsia="lv-LV"/>
              </w:rPr>
              <w:tab/>
              <w:t>i.1.2.1.ak (CO01) “Atbalstīto komersantu skaits” (Plānotā vērtība uz 2023.gadu - 450)</w:t>
            </w:r>
          </w:p>
          <w:p w:rsidR="00CE28E5" w:rsidRPr="00CE28E5" w:rsidP="00CE28E5" w14:paraId="6F1D5C27" w14:textId="77777777">
            <w:pPr>
              <w:spacing w:after="0" w:line="240" w:lineRule="auto"/>
              <w:jc w:val="both"/>
              <w:rPr>
                <w:rFonts w:ascii="Times New Roman" w:eastAsia="Times New Roman" w:hAnsi="Times New Roman" w:cs="Times New Roman"/>
                <w:iCs/>
                <w:sz w:val="24"/>
                <w:szCs w:val="24"/>
                <w:lang w:eastAsia="lv-LV"/>
              </w:rPr>
            </w:pPr>
            <w:r w:rsidRPr="00CE28E5">
              <w:rPr>
                <w:rFonts w:ascii="Times New Roman" w:eastAsia="Times New Roman" w:hAnsi="Times New Roman" w:cs="Times New Roman"/>
                <w:iCs/>
                <w:sz w:val="24"/>
                <w:szCs w:val="24"/>
                <w:lang w:eastAsia="lv-LV"/>
              </w:rPr>
              <w:t>b.</w:t>
            </w:r>
            <w:r w:rsidRPr="00CE28E5">
              <w:rPr>
                <w:rFonts w:ascii="Times New Roman" w:eastAsia="Times New Roman" w:hAnsi="Times New Roman" w:cs="Times New Roman"/>
                <w:iCs/>
                <w:sz w:val="24"/>
                <w:szCs w:val="24"/>
                <w:lang w:eastAsia="lv-LV"/>
              </w:rPr>
              <w:tab/>
              <w:t xml:space="preserve">i.1.2.1.bk (CO02) “Atbalstīto komersantu skaits, kas saņem </w:t>
            </w:r>
            <w:r w:rsidRPr="00CE28E5">
              <w:rPr>
                <w:rFonts w:ascii="Times New Roman" w:eastAsia="Times New Roman" w:hAnsi="Times New Roman" w:cs="Times New Roman"/>
                <w:iCs/>
                <w:sz w:val="24"/>
                <w:szCs w:val="24"/>
                <w:lang w:eastAsia="lv-LV"/>
              </w:rPr>
              <w:t>grantus</w:t>
            </w:r>
            <w:r w:rsidRPr="00CE28E5">
              <w:rPr>
                <w:rFonts w:ascii="Times New Roman" w:eastAsia="Times New Roman" w:hAnsi="Times New Roman" w:cs="Times New Roman"/>
                <w:iCs/>
                <w:sz w:val="24"/>
                <w:szCs w:val="24"/>
                <w:lang w:eastAsia="lv-LV"/>
              </w:rPr>
              <w:t>” (Plānotā vērtība uz 2023.gadu - 450)</w:t>
            </w:r>
          </w:p>
          <w:p w:rsidR="00A6751D" w:rsidP="00CE28E5" w14:paraId="5F14D514" w14:textId="6F105F97">
            <w:pPr>
              <w:spacing w:after="0" w:line="240" w:lineRule="auto"/>
              <w:jc w:val="both"/>
              <w:rPr>
                <w:rFonts w:ascii="Times New Roman" w:eastAsia="Times New Roman" w:hAnsi="Times New Roman" w:cs="Times New Roman"/>
                <w:iCs/>
                <w:sz w:val="24"/>
                <w:szCs w:val="24"/>
                <w:lang w:eastAsia="lv-LV"/>
              </w:rPr>
            </w:pPr>
            <w:r w:rsidRPr="00CE28E5">
              <w:rPr>
                <w:rFonts w:ascii="Times New Roman" w:eastAsia="Times New Roman" w:hAnsi="Times New Roman" w:cs="Times New Roman"/>
                <w:iCs/>
                <w:sz w:val="24"/>
                <w:szCs w:val="24"/>
                <w:lang w:eastAsia="lv-LV"/>
              </w:rPr>
              <w:t>c.</w:t>
            </w:r>
            <w:r w:rsidRPr="00CE28E5">
              <w:rPr>
                <w:rFonts w:ascii="Times New Roman" w:eastAsia="Times New Roman" w:hAnsi="Times New Roman" w:cs="Times New Roman"/>
                <w:iCs/>
                <w:sz w:val="24"/>
                <w:szCs w:val="24"/>
                <w:lang w:eastAsia="lv-LV"/>
              </w:rPr>
              <w:tab/>
              <w:t>i.1.2.1.ck (CO28) “To komersantu skaits, kuri saņem atbalstu, lai laistu tirgū jaunus produktus” (Plānotā vērtība uz 2023.gadu - 450)</w:t>
            </w:r>
            <w:r>
              <w:rPr>
                <w:rFonts w:ascii="Times New Roman" w:eastAsia="Times New Roman" w:hAnsi="Times New Roman" w:cs="Times New Roman"/>
                <w:iCs/>
                <w:sz w:val="24"/>
                <w:szCs w:val="24"/>
                <w:lang w:eastAsia="lv-LV"/>
              </w:rPr>
              <w:t>.</w:t>
            </w:r>
          </w:p>
          <w:p w:rsidR="00CE28E5" w:rsidRPr="00A6751D" w:rsidP="00CE28E5" w14:paraId="62301AEA" w14:textId="7809BE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Esošā MK noteikumu Nr.692 8.panta</w:t>
            </w:r>
            <w:r w:rsidRPr="00CE28E5">
              <w:rPr>
                <w:rFonts w:ascii="Times New Roman" w:eastAsia="Times New Roman" w:hAnsi="Times New Roman" w:cs="Times New Roman"/>
                <w:iCs/>
                <w:sz w:val="24"/>
                <w:szCs w:val="24"/>
                <w:lang w:eastAsia="lv-LV"/>
              </w:rPr>
              <w:t xml:space="preserve"> redakcija paredz tikai divu iznākuma rādītāju uzskaiti - i.1.2.1.bk (CO02) “Atbalstīto komersantu skaits, kas saņem </w:t>
            </w:r>
            <w:r w:rsidRPr="00CE28E5">
              <w:rPr>
                <w:rFonts w:ascii="Times New Roman" w:eastAsia="Times New Roman" w:hAnsi="Times New Roman" w:cs="Times New Roman"/>
                <w:iCs/>
                <w:sz w:val="24"/>
                <w:szCs w:val="24"/>
                <w:lang w:eastAsia="lv-LV"/>
              </w:rPr>
              <w:t>grantus</w:t>
            </w:r>
            <w:r w:rsidRPr="00CE28E5">
              <w:rPr>
                <w:rFonts w:ascii="Times New Roman" w:eastAsia="Times New Roman" w:hAnsi="Times New Roman" w:cs="Times New Roman"/>
                <w:iCs/>
                <w:sz w:val="24"/>
                <w:szCs w:val="24"/>
                <w:lang w:eastAsia="lv-LV"/>
              </w:rPr>
              <w:t>” un i.1.2.1.ck (CO28) “To komersantu skaits, kuri saņem atbalstu, lai</w:t>
            </w:r>
            <w:r>
              <w:rPr>
                <w:rFonts w:ascii="Times New Roman" w:eastAsia="Times New Roman" w:hAnsi="Times New Roman" w:cs="Times New Roman"/>
                <w:iCs/>
                <w:sz w:val="24"/>
                <w:szCs w:val="24"/>
                <w:lang w:eastAsia="lv-LV"/>
              </w:rPr>
              <w:t xml:space="preserve"> laistu tirgū jaunus produktus”, līdz ar to nepieciešams attiecīgi precizēt </w:t>
            </w:r>
            <w:r w:rsidRPr="00CE28E5">
              <w:rPr>
                <w:rFonts w:ascii="Times New Roman" w:eastAsia="Times New Roman" w:hAnsi="Times New Roman" w:cs="Times New Roman"/>
                <w:iCs/>
                <w:sz w:val="24"/>
                <w:szCs w:val="24"/>
                <w:lang w:eastAsia="lv-LV"/>
              </w:rPr>
              <w:t>MK noteikumu Nr.692</w:t>
            </w:r>
            <w:r>
              <w:rPr>
                <w:rFonts w:ascii="Times New Roman" w:eastAsia="Times New Roman" w:hAnsi="Times New Roman" w:cs="Times New Roman"/>
                <w:iCs/>
                <w:sz w:val="24"/>
                <w:szCs w:val="24"/>
                <w:lang w:eastAsia="lv-LV"/>
              </w:rPr>
              <w:t xml:space="preserve"> 8.panta  8.2.apakšpunktu.</w:t>
            </w:r>
          </w:p>
          <w:p w:rsidR="00CE765A" w:rsidP="00487661" w14:paraId="7BF26CE8" w14:textId="0C0F75FB">
            <w:pPr>
              <w:spacing w:after="0" w:line="240" w:lineRule="auto"/>
              <w:jc w:val="both"/>
              <w:rPr>
                <w:rFonts w:ascii="Times New Roman" w:eastAsia="Times New Roman" w:hAnsi="Times New Roman" w:cs="Times New Roman"/>
                <w:iCs/>
                <w:sz w:val="24"/>
                <w:szCs w:val="24"/>
                <w:lang w:eastAsia="lv-LV"/>
              </w:rPr>
            </w:pPr>
          </w:p>
          <w:p w:rsidR="003E6003" w:rsidP="00487661" w14:paraId="4E675FFB" w14:textId="110337E4">
            <w:pPr>
              <w:spacing w:after="0" w:line="240" w:lineRule="auto"/>
              <w:jc w:val="both"/>
              <w:rPr>
                <w:rFonts w:ascii="Times New Roman" w:eastAsia="Times New Roman" w:hAnsi="Times New Roman" w:cs="Times New Roman"/>
                <w:iCs/>
                <w:sz w:val="24"/>
                <w:szCs w:val="24"/>
                <w:lang w:eastAsia="lv-LV"/>
              </w:rPr>
            </w:pPr>
            <w:r w:rsidRPr="00CE765A">
              <w:rPr>
                <w:rFonts w:ascii="Times New Roman" w:eastAsia="Times New Roman" w:hAnsi="Times New Roman" w:cs="Times New Roman"/>
                <w:iCs/>
                <w:sz w:val="24"/>
                <w:szCs w:val="24"/>
                <w:lang w:eastAsia="lv-LV"/>
              </w:rPr>
              <w:t>Saskaņā ar darbības programmas “Izaugsme un nodarbinātība” papildinājuma 1.pielikumā noteikto, 1.2.1.2.pasākums atbilst 62</w:t>
            </w:r>
            <w:r w:rsidR="00362F4A">
              <w:rPr>
                <w:rFonts w:ascii="Times New Roman" w:eastAsia="Times New Roman" w:hAnsi="Times New Roman" w:cs="Times New Roman"/>
                <w:iCs/>
                <w:sz w:val="24"/>
                <w:szCs w:val="24"/>
                <w:lang w:eastAsia="lv-LV"/>
              </w:rPr>
              <w:t>. (</w:t>
            </w:r>
            <w:r w:rsidR="00362F4A">
              <w:rPr>
                <w:rFonts w:ascii="Times New Roman" w:eastAsia="Times New Roman" w:hAnsi="Times New Roman" w:cs="Times New Roman"/>
                <w:iCs/>
                <w:sz w:val="24"/>
                <w:szCs w:val="24"/>
                <w:lang w:eastAsia="lv-LV"/>
              </w:rPr>
              <w:t>Tehnoiloģiju</w:t>
            </w:r>
            <w:r w:rsidR="00362F4A">
              <w:rPr>
                <w:rFonts w:ascii="Times New Roman" w:eastAsia="Times New Roman" w:hAnsi="Times New Roman" w:cs="Times New Roman"/>
                <w:iCs/>
                <w:sz w:val="24"/>
                <w:szCs w:val="24"/>
                <w:lang w:eastAsia="lv-LV"/>
              </w:rPr>
              <w:t xml:space="preserve"> </w:t>
            </w:r>
            <w:r w:rsidR="00362F4A">
              <w:rPr>
                <w:rFonts w:ascii="Times New Roman" w:eastAsia="Times New Roman" w:hAnsi="Times New Roman" w:cs="Times New Roman"/>
                <w:iCs/>
                <w:sz w:val="24"/>
                <w:szCs w:val="24"/>
                <w:lang w:eastAsia="lv-LV"/>
              </w:rPr>
              <w:t>pārnese</w:t>
            </w:r>
            <w:r w:rsidR="00362F4A">
              <w:rPr>
                <w:rFonts w:ascii="Times New Roman" w:eastAsia="Times New Roman" w:hAnsi="Times New Roman" w:cs="Times New Roman"/>
                <w:iCs/>
                <w:sz w:val="24"/>
                <w:szCs w:val="24"/>
                <w:lang w:eastAsia="lv-LV"/>
              </w:rPr>
              <w:t xml:space="preserve"> un augstskolu uz uzņēmumu sadarbība)</w:t>
            </w:r>
            <w:r>
              <w:rPr>
                <w:rFonts w:ascii="Times New Roman" w:eastAsia="Times New Roman" w:hAnsi="Times New Roman" w:cs="Times New Roman"/>
                <w:iCs/>
                <w:sz w:val="24"/>
                <w:szCs w:val="24"/>
                <w:lang w:eastAsia="lv-LV"/>
              </w:rPr>
              <w:t xml:space="preserve"> un 64</w:t>
            </w:r>
            <w:r w:rsidR="00362F4A">
              <w:rPr>
                <w:rFonts w:ascii="Times New Roman" w:eastAsia="Times New Roman" w:hAnsi="Times New Roman" w:cs="Times New Roman"/>
                <w:iCs/>
                <w:sz w:val="24"/>
                <w:szCs w:val="24"/>
                <w:lang w:eastAsia="lv-LV"/>
              </w:rPr>
              <w:t>.</w:t>
            </w:r>
            <w:r w:rsidRPr="00CE765A">
              <w:rPr>
                <w:rFonts w:ascii="Times New Roman" w:eastAsia="Times New Roman" w:hAnsi="Times New Roman" w:cs="Times New Roman"/>
                <w:iCs/>
                <w:sz w:val="24"/>
                <w:szCs w:val="24"/>
                <w:lang w:eastAsia="lv-LV"/>
              </w:rPr>
              <w:t>intervences kodam</w:t>
            </w:r>
            <w:r w:rsidR="00362F4A">
              <w:rPr>
                <w:rFonts w:ascii="Times New Roman" w:eastAsia="Times New Roman" w:hAnsi="Times New Roman" w:cs="Times New Roman"/>
                <w:iCs/>
                <w:sz w:val="24"/>
                <w:szCs w:val="24"/>
                <w:lang w:eastAsia="lv-LV"/>
              </w:rPr>
              <w:t xml:space="preserve"> (Pētniecības un inovācijas procesi MVU)</w:t>
            </w:r>
            <w:r w:rsidRPr="00CE765A">
              <w:rPr>
                <w:rFonts w:ascii="Times New Roman" w:eastAsia="Times New Roman" w:hAnsi="Times New Roman" w:cs="Times New Roman"/>
                <w:iCs/>
                <w:sz w:val="24"/>
                <w:szCs w:val="24"/>
                <w:lang w:eastAsia="lv-LV"/>
              </w:rPr>
              <w:t>.</w:t>
            </w:r>
          </w:p>
          <w:p w:rsidR="003E6003" w:rsidP="00487661" w14:paraId="39B2FCDD" w14:textId="77777777">
            <w:pPr>
              <w:spacing w:after="0" w:line="240" w:lineRule="auto"/>
              <w:jc w:val="both"/>
              <w:rPr>
                <w:rFonts w:ascii="Times New Roman" w:eastAsia="Times New Roman" w:hAnsi="Times New Roman" w:cs="Times New Roman"/>
                <w:iCs/>
                <w:sz w:val="24"/>
                <w:szCs w:val="24"/>
                <w:lang w:eastAsia="lv-LV"/>
              </w:rPr>
            </w:pPr>
          </w:p>
          <w:p w:rsidR="00E5323B" w:rsidRPr="00487661" w:rsidP="00487661" w14:paraId="35079922" w14:textId="7DF695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to, ka noteikumu projekts paredz vairākas būtiskas izmaiņas, LIAA kā finansējuma saņēmējam</w:t>
            </w:r>
            <w:r w:rsidR="00C45AC4">
              <w:rPr>
                <w:rFonts w:ascii="Times New Roman" w:eastAsia="Times New Roman" w:hAnsi="Times New Roman" w:cs="Times New Roman"/>
                <w:iCs/>
                <w:sz w:val="24"/>
                <w:szCs w:val="24"/>
                <w:lang w:eastAsia="lv-LV"/>
              </w:rPr>
              <w:t xml:space="preserve"> iespējams</w:t>
            </w:r>
            <w:r>
              <w:rPr>
                <w:rFonts w:ascii="Times New Roman" w:eastAsia="Times New Roman" w:hAnsi="Times New Roman" w:cs="Times New Roman"/>
                <w:iCs/>
                <w:sz w:val="24"/>
                <w:szCs w:val="24"/>
                <w:lang w:eastAsia="lv-LV"/>
              </w:rPr>
              <w:t xml:space="preserve"> būs nepieciešams veikt attiecīgas izmaiņas tās iekšējās kārtības noteikumos par atbalsta piešķiršanu pētniecības organizācijām un komersantiem.</w:t>
            </w:r>
          </w:p>
        </w:tc>
      </w:tr>
      <w:tr w14:paraId="5DF1B5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C7A821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02DEDC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D5576" w:rsidP="00E5323B" w14:paraId="3AAB6FED" w14:textId="35CC692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Pr="003D5576" w:rsid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Pr="003D5576" w:rsidR="003D5576">
              <w:rPr>
                <w:rFonts w:ascii="Times New Roman" w:eastAsia="Times New Roman" w:hAnsi="Times New Roman" w:cs="Times New Roman"/>
                <w:sz w:val="24"/>
              </w:rPr>
              <w:t>.</w:t>
            </w:r>
          </w:p>
        </w:tc>
      </w:tr>
      <w:tr w14:paraId="152A74E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1CC1A87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C69B56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0E600848"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18D42F2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5CBDB12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1F2154C4"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F4B0DD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441153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7FD854E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r w:rsidRPr="00487661">
              <w:rPr>
                <w:rFonts w:ascii="Times New Roman" w:eastAsia="Times New Roman" w:hAnsi="Times New Roman" w:cs="Times New Roman"/>
                <w:iCs/>
                <w:sz w:val="24"/>
                <w:szCs w:val="24"/>
                <w:lang w:eastAsia="lv-LV"/>
              </w:rPr>
              <w:t>mērķgrupas</w:t>
            </w:r>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2E798B" w14:paraId="293DB4BA" w14:textId="6E40DD04">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 xml:space="preserve">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 </w:t>
            </w:r>
            <w:r w:rsidR="00983D4A">
              <w:rPr>
                <w:rFonts w:ascii="Times New Roman" w:eastAsia="Calibri" w:hAnsi="Times New Roman" w:cs="Times New Roman"/>
                <w:sz w:val="24"/>
                <w:szCs w:val="24"/>
                <w:lang w:eastAsia="lv-LV"/>
              </w:rPr>
              <w:t>mikro, mazie,</w:t>
            </w:r>
            <w:r w:rsidRPr="002E798B">
              <w:rPr>
                <w:rFonts w:ascii="Times New Roman" w:eastAsia="Calibri" w:hAnsi="Times New Roman" w:cs="Times New Roman"/>
                <w:sz w:val="24"/>
                <w:szCs w:val="24"/>
                <w:lang w:eastAsia="lv-LV"/>
              </w:rPr>
              <w:t xml:space="preserve"> vidējie</w:t>
            </w:r>
            <w:r w:rsidR="00983D4A">
              <w:rPr>
                <w:rFonts w:ascii="Times New Roman" w:eastAsia="Calibri" w:hAnsi="Times New Roman" w:cs="Times New Roman"/>
                <w:sz w:val="24"/>
                <w:szCs w:val="24"/>
                <w:lang w:eastAsia="lv-LV"/>
              </w:rPr>
              <w:t xml:space="preserve"> un lielie</w:t>
            </w:r>
            <w:r w:rsidRPr="002E798B">
              <w:rPr>
                <w:rFonts w:ascii="Times New Roman" w:eastAsia="Calibri" w:hAnsi="Times New Roman" w:cs="Times New Roman"/>
                <w:sz w:val="24"/>
                <w:szCs w:val="24"/>
                <w:lang w:eastAsia="lv-LV"/>
              </w:rPr>
              <w:t xml:space="preserve"> komersanti</w:t>
            </w:r>
            <w:r w:rsidR="000740EB">
              <w:rPr>
                <w:rFonts w:ascii="Times New Roman" w:eastAsia="Calibri" w:hAnsi="Times New Roman" w:cs="Times New Roman"/>
                <w:sz w:val="24"/>
                <w:szCs w:val="24"/>
                <w:lang w:eastAsia="lv-LV"/>
              </w:rPr>
              <w:t>, tai</w:t>
            </w:r>
            <w:r w:rsidR="00983D4A">
              <w:rPr>
                <w:rFonts w:ascii="Times New Roman" w:eastAsia="Calibri" w:hAnsi="Times New Roman" w:cs="Times New Roman"/>
                <w:sz w:val="24"/>
                <w:szCs w:val="24"/>
                <w:lang w:eastAsia="lv-LV"/>
              </w:rPr>
              <w:t xml:space="preserve"> arī</w:t>
            </w:r>
            <w:r w:rsidR="000740EB">
              <w:rPr>
                <w:rFonts w:ascii="Times New Roman" w:eastAsia="Calibri" w:hAnsi="Times New Roman" w:cs="Times New Roman"/>
                <w:sz w:val="24"/>
                <w:szCs w:val="24"/>
                <w:lang w:eastAsia="lv-LV"/>
              </w:rPr>
              <w:t xml:space="preserve"> skaitā </w:t>
            </w:r>
            <w:r w:rsidR="000740EB">
              <w:rPr>
                <w:rFonts w:ascii="Times New Roman" w:eastAsia="Calibri" w:hAnsi="Times New Roman" w:cs="Times New Roman"/>
                <w:sz w:val="24"/>
                <w:szCs w:val="24"/>
                <w:lang w:eastAsia="lv-LV"/>
              </w:rPr>
              <w:t>jaunuzņēmumi</w:t>
            </w:r>
            <w:r w:rsidR="000740EB">
              <w:rPr>
                <w:rFonts w:ascii="Times New Roman" w:eastAsia="Calibri" w:hAnsi="Times New Roman" w:cs="Times New Roman"/>
                <w:sz w:val="24"/>
                <w:szCs w:val="24"/>
                <w:lang w:eastAsia="lv-LV"/>
              </w:rPr>
              <w:t>.</w:t>
            </w:r>
          </w:p>
        </w:tc>
      </w:tr>
      <w:tr w14:paraId="5C6D93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3D5E31B7"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B0C8F" w:rsidP="00E5323B" w14:paraId="61A6200E" w14:textId="77777777">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E63A8" w:rsidRPr="00FB0C8F" w:rsidP="00C96EC9" w14:paraId="37E601BC" w14:textId="6A8E36A2">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w:t>
            </w:r>
            <w:r w:rsidRPr="00FB0C8F">
              <w:rPr>
                <w:rFonts w:ascii="Times New Roman" w:eastAsia="Times New Roman" w:hAnsi="Times New Roman" w:cs="Times New Roman"/>
                <w:iCs/>
                <w:sz w:val="24"/>
                <w:szCs w:val="24"/>
                <w:lang w:eastAsia="lv-LV"/>
              </w:rPr>
              <w:t>iesību akta projekta tiesiskais regulējums</w:t>
            </w:r>
            <w:r w:rsidRPr="00FB0C8F" w:rsidR="008E3ED5">
              <w:rPr>
                <w:rFonts w:ascii="Times New Roman" w:eastAsia="Times New Roman" w:hAnsi="Times New Roman" w:cs="Times New Roman"/>
                <w:iCs/>
                <w:sz w:val="24"/>
                <w:szCs w:val="24"/>
                <w:lang w:eastAsia="lv-LV"/>
              </w:rPr>
              <w:t xml:space="preserve"> radīs</w:t>
            </w:r>
            <w:r w:rsidRPr="00FB0C8F">
              <w:rPr>
                <w:rFonts w:ascii="Times New Roman" w:eastAsia="Times New Roman" w:hAnsi="Times New Roman" w:cs="Times New Roman"/>
                <w:iCs/>
                <w:sz w:val="24"/>
                <w:szCs w:val="24"/>
                <w:lang w:eastAsia="lv-LV"/>
              </w:rPr>
              <w:t xml:space="preserve"> pozitīvu ietekmi uz uzņēmējdarbības vidi un mikro, mazajiem</w:t>
            </w:r>
            <w:r w:rsidR="00983D4A">
              <w:rPr>
                <w:rFonts w:ascii="Times New Roman" w:eastAsia="Times New Roman" w:hAnsi="Times New Roman" w:cs="Times New Roman"/>
                <w:iCs/>
                <w:sz w:val="24"/>
                <w:szCs w:val="24"/>
                <w:lang w:eastAsia="lv-LV"/>
              </w:rPr>
              <w:t>,</w:t>
            </w:r>
            <w:r w:rsidRPr="00FB0C8F">
              <w:rPr>
                <w:rFonts w:ascii="Times New Roman" w:eastAsia="Times New Roman" w:hAnsi="Times New Roman" w:cs="Times New Roman"/>
                <w:iCs/>
                <w:sz w:val="24"/>
                <w:szCs w:val="24"/>
                <w:lang w:eastAsia="lv-LV"/>
              </w:rPr>
              <w:t xml:space="preserve"> </w:t>
            </w:r>
            <w:r w:rsidR="00983D4A">
              <w:rPr>
                <w:rFonts w:ascii="Times New Roman" w:eastAsia="Times New Roman" w:hAnsi="Times New Roman" w:cs="Times New Roman"/>
                <w:iCs/>
                <w:sz w:val="24"/>
                <w:szCs w:val="24"/>
                <w:lang w:eastAsia="lv-LV"/>
              </w:rPr>
              <w:t xml:space="preserve"> </w:t>
            </w:r>
            <w:r w:rsidRPr="00FB0C8F">
              <w:rPr>
                <w:rFonts w:ascii="Times New Roman" w:eastAsia="Times New Roman" w:hAnsi="Times New Roman" w:cs="Times New Roman"/>
                <w:iCs/>
                <w:sz w:val="24"/>
                <w:szCs w:val="24"/>
                <w:lang w:eastAsia="lv-LV"/>
              </w:rPr>
              <w:t>vidējiem</w:t>
            </w:r>
            <w:r w:rsidR="00983D4A">
              <w:rPr>
                <w:rFonts w:ascii="Times New Roman" w:eastAsia="Times New Roman" w:hAnsi="Times New Roman" w:cs="Times New Roman"/>
                <w:iCs/>
                <w:sz w:val="24"/>
                <w:szCs w:val="24"/>
                <w:lang w:eastAsia="lv-LV"/>
              </w:rPr>
              <w:t xml:space="preserve"> un lielajiem</w:t>
            </w:r>
            <w:r w:rsidRPr="00FB0C8F">
              <w:rPr>
                <w:rFonts w:ascii="Times New Roman" w:eastAsia="Times New Roman" w:hAnsi="Times New Roman" w:cs="Times New Roman"/>
                <w:iCs/>
                <w:sz w:val="24"/>
                <w:szCs w:val="24"/>
                <w:lang w:eastAsia="lv-LV"/>
              </w:rPr>
              <w:t xml:space="preserve"> komersantiem, nodrošinot labvēlīgus nosacījumus konkurences paaugstināšanai, inovāciju </w:t>
            </w:r>
            <w:r w:rsidRPr="00FB0C8F">
              <w:rPr>
                <w:rFonts w:ascii="Times New Roman" w:eastAsia="Times New Roman" w:hAnsi="Times New Roman" w:cs="Times New Roman"/>
                <w:iCs/>
                <w:sz w:val="24"/>
                <w:szCs w:val="24"/>
                <w:lang w:eastAsia="lv-LV"/>
              </w:rPr>
              <w:t>apjoma pieaugumam un ilgtermiņa ekonomiskās efektivitātes pieaugumam.</w:t>
            </w:r>
          </w:p>
          <w:p w:rsidR="000740EB" w:rsidP="00C96EC9" w14:paraId="3DA48321" w14:textId="452FC3F6">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 xml:space="preserve">Turklāt, projekta tiesiskais regulējums pozitīvi ietekmēs arī konkurenci – tas neierobežo </w:t>
            </w:r>
            <w:r w:rsidRPr="00FB0C8F" w:rsidR="000C2DA0">
              <w:rPr>
                <w:rFonts w:ascii="Times New Roman" w:eastAsia="Times New Roman" w:hAnsi="Times New Roman" w:cs="Times New Roman"/>
                <w:iCs/>
                <w:sz w:val="24"/>
                <w:szCs w:val="24"/>
                <w:lang w:eastAsia="lv-LV"/>
              </w:rPr>
              <w:t>pakalpojumu sniedzēju loku,</w:t>
            </w:r>
            <w:r w:rsidRPr="00FB0C8F">
              <w:rPr>
                <w:rFonts w:ascii="Times New Roman" w:eastAsia="Times New Roman" w:hAnsi="Times New Roman" w:cs="Times New Roman"/>
                <w:iCs/>
                <w:sz w:val="24"/>
                <w:szCs w:val="24"/>
                <w:lang w:eastAsia="lv-LV"/>
              </w:rPr>
              <w:t xml:space="preserve"> neierobežo piegādātāju iespējas konkurēt, kā arī neierobežo  pircējiem vai pakalpojumu saņēmējiem pieejamo izvēli.</w:t>
            </w:r>
            <w:r w:rsidRPr="00FB0C8F" w:rsidR="000B3FFE">
              <w:rPr>
                <w:rFonts w:ascii="Times New Roman" w:eastAsia="Times New Roman" w:hAnsi="Times New Roman" w:cs="Times New Roman"/>
                <w:iCs/>
                <w:sz w:val="24"/>
                <w:szCs w:val="24"/>
                <w:lang w:eastAsia="lv-LV"/>
              </w:rPr>
              <w:t xml:space="preserve"> Visām projekta </w:t>
            </w:r>
            <w:r w:rsidRPr="00FB0C8F" w:rsidR="000B3FFE">
              <w:rPr>
                <w:rFonts w:ascii="Times New Roman" w:eastAsia="Times New Roman" w:hAnsi="Times New Roman" w:cs="Times New Roman"/>
                <w:iCs/>
                <w:sz w:val="24"/>
                <w:szCs w:val="24"/>
                <w:lang w:eastAsia="lv-LV"/>
              </w:rPr>
              <w:t>mērķgrupām</w:t>
            </w:r>
            <w:r w:rsidRPr="00FB0C8F" w:rsidR="000B3FFE">
              <w:rPr>
                <w:rFonts w:ascii="Times New Roman" w:eastAsia="Times New Roman" w:hAnsi="Times New Roman" w:cs="Times New Roman"/>
                <w:iCs/>
                <w:sz w:val="24"/>
                <w:szCs w:val="24"/>
                <w:lang w:eastAsia="lv-LV"/>
              </w:rPr>
              <w:t xml:space="preserve"> atbilstoši pieejamajam atbalsta pasākumam tiek nodrošinātas vienlīdzīgas iespējas, neradot priekšrocības</w:t>
            </w:r>
            <w:r w:rsidRPr="00FB0C8F" w:rsidR="00C7350E">
              <w:rPr>
                <w:rFonts w:ascii="Times New Roman" w:eastAsia="Times New Roman" w:hAnsi="Times New Roman" w:cs="Times New Roman"/>
                <w:iCs/>
                <w:sz w:val="24"/>
                <w:szCs w:val="24"/>
                <w:lang w:eastAsia="lv-LV"/>
              </w:rPr>
              <w:t xml:space="preserve"> atsevišķām </w:t>
            </w:r>
            <w:r w:rsidRPr="00FB0C8F" w:rsidR="00C7350E">
              <w:rPr>
                <w:rFonts w:ascii="Times New Roman" w:eastAsia="Times New Roman" w:hAnsi="Times New Roman" w:cs="Times New Roman"/>
                <w:iCs/>
                <w:sz w:val="24"/>
                <w:szCs w:val="24"/>
                <w:lang w:eastAsia="lv-LV"/>
              </w:rPr>
              <w:t>mērķgrupām</w:t>
            </w:r>
            <w:r w:rsidRPr="00FB0C8F" w:rsidR="000B3FFE">
              <w:rPr>
                <w:rFonts w:ascii="Times New Roman" w:eastAsia="Times New Roman" w:hAnsi="Times New Roman" w:cs="Times New Roman"/>
                <w:iCs/>
                <w:sz w:val="24"/>
                <w:szCs w:val="24"/>
                <w:lang w:eastAsia="lv-LV"/>
              </w:rPr>
              <w:t>.</w:t>
            </w:r>
          </w:p>
          <w:p w:rsidR="00BC16B9" w:rsidRPr="00FB0C8F" w:rsidP="00C96EC9" w14:paraId="547D82F7" w14:textId="77777777">
            <w:pPr>
              <w:spacing w:after="0" w:line="240" w:lineRule="auto"/>
              <w:jc w:val="both"/>
              <w:rPr>
                <w:rFonts w:ascii="Times New Roman" w:eastAsia="Times New Roman" w:hAnsi="Times New Roman" w:cs="Times New Roman"/>
                <w:iCs/>
                <w:sz w:val="24"/>
                <w:szCs w:val="24"/>
                <w:lang w:eastAsia="lv-LV"/>
              </w:rPr>
            </w:pPr>
          </w:p>
          <w:p w:rsidR="00120820" w:rsidRPr="00FB0C8F" w:rsidP="00C96EC9" w14:paraId="38209CA2" w14:textId="3FE053B7">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Pr="00FB0C8F" w:rsidR="000C2DA0">
              <w:rPr>
                <w:rFonts w:ascii="Times New Roman" w:eastAsia="Times New Roman" w:hAnsi="Times New Roman" w:cs="Times New Roman"/>
                <w:iCs/>
                <w:sz w:val="24"/>
                <w:szCs w:val="24"/>
                <w:lang w:eastAsia="lv-LV"/>
              </w:rPr>
              <w:t>rojekts paredz, ka a</w:t>
            </w:r>
            <w:r w:rsidRPr="00FB0C8F" w:rsidR="00C139D9">
              <w:rPr>
                <w:rFonts w:ascii="Times New Roman" w:eastAsia="Times New Roman" w:hAnsi="Times New Roman" w:cs="Times New Roman"/>
                <w:iCs/>
                <w:sz w:val="24"/>
                <w:szCs w:val="24"/>
                <w:lang w:eastAsia="lv-LV"/>
              </w:rPr>
              <w:t xml:space="preserve">tsevišķiem pakalpojumiem tiek paplašināts pakalpojumu sniedzēju loks, piemēram, turpmāk tehniski ekonomisko </w:t>
            </w:r>
            <w:r w:rsidRPr="00FB0C8F" w:rsidR="00C139D9">
              <w:rPr>
                <w:rFonts w:ascii="Times New Roman" w:eastAsia="Times New Roman" w:hAnsi="Times New Roman" w:cs="Times New Roman"/>
                <w:iCs/>
                <w:sz w:val="24"/>
                <w:szCs w:val="24"/>
                <w:lang w:eastAsia="lv-LV"/>
              </w:rPr>
              <w:t>priekšizpēti</w:t>
            </w:r>
            <w:r w:rsidRPr="00FB0C8F" w:rsidR="00C139D9">
              <w:rPr>
                <w:rFonts w:ascii="Times New Roman" w:eastAsia="Times New Roman" w:hAnsi="Times New Roman" w:cs="Times New Roman"/>
                <w:iCs/>
                <w:sz w:val="24"/>
                <w:szCs w:val="24"/>
                <w:lang w:eastAsia="lv-LV"/>
              </w:rPr>
              <w:t xml:space="preserve"> un produkta rūpnieciskā dizaina izstrādi varēs veikt ne tikai pētnieciskās organizācijas, bet arī </w:t>
            </w:r>
            <w:r w:rsidRPr="00FB0C8F" w:rsidR="002D4E7F">
              <w:rPr>
                <w:rFonts w:ascii="Times New Roman" w:eastAsia="Times New Roman" w:hAnsi="Times New Roman" w:cs="Times New Roman"/>
                <w:iCs/>
                <w:sz w:val="24"/>
                <w:szCs w:val="24"/>
                <w:lang w:eastAsia="lv-LV"/>
              </w:rPr>
              <w:t>ES dalībvalstī, EEZ valstī vai Šveices konfederācijā reģistrēts komersants.</w:t>
            </w:r>
          </w:p>
          <w:p w:rsidR="00C96EC9" w:rsidP="00C96EC9" w14:paraId="221629AF" w14:textId="6CD2C4AF">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Inovāciju atbalsta pakalpojumu</w:t>
            </w:r>
            <w:r w:rsidRPr="00FB0C8F" w:rsidR="00120820">
              <w:rPr>
                <w:rFonts w:ascii="Times New Roman" w:eastAsia="Times New Roman" w:hAnsi="Times New Roman" w:cs="Times New Roman"/>
                <w:iCs/>
                <w:sz w:val="24"/>
                <w:szCs w:val="24"/>
                <w:lang w:eastAsia="lv-LV"/>
              </w:rPr>
              <w:t xml:space="preserve"> mērķis ir veicināt inov</w:t>
            </w:r>
            <w:r w:rsidRPr="00FB0C8F">
              <w:rPr>
                <w:rFonts w:ascii="Times New Roman" w:eastAsia="Times New Roman" w:hAnsi="Times New Roman" w:cs="Times New Roman"/>
                <w:iCs/>
                <w:sz w:val="24"/>
                <w:szCs w:val="24"/>
                <w:lang w:eastAsia="lv-LV"/>
              </w:rPr>
              <w:t>ācijas aktivitāti</w:t>
            </w:r>
            <w:r w:rsidRPr="00FB0C8F" w:rsidR="00120820">
              <w:rPr>
                <w:rFonts w:ascii="Times New Roman" w:eastAsia="Times New Roman" w:hAnsi="Times New Roman" w:cs="Times New Roman"/>
                <w:iCs/>
                <w:sz w:val="24"/>
                <w:szCs w:val="24"/>
                <w:lang w:eastAsia="lv-LV"/>
              </w:rPr>
              <w:t xml:space="preserve"> komersantos, </w:t>
            </w:r>
            <w:r w:rsidRPr="00FB0C8F">
              <w:rPr>
                <w:rFonts w:ascii="Times New Roman" w:eastAsia="Times New Roman" w:hAnsi="Times New Roman" w:cs="Times New Roman"/>
                <w:iCs/>
                <w:sz w:val="24"/>
                <w:szCs w:val="24"/>
                <w:lang w:eastAsia="lv-LV"/>
              </w:rPr>
              <w:t>līdz ar to</w:t>
            </w:r>
            <w:r w:rsidRPr="00FB0C8F" w:rsidR="00120820">
              <w:rPr>
                <w:rFonts w:ascii="Times New Roman" w:eastAsia="Times New Roman" w:hAnsi="Times New Roman" w:cs="Times New Roman"/>
                <w:iCs/>
                <w:sz w:val="24"/>
                <w:szCs w:val="24"/>
                <w:lang w:eastAsia="lv-LV"/>
              </w:rPr>
              <w:t xml:space="preserve"> projekts veicinās arī patērētāju iespējas izvēlēties, kur iegādāties preci vai pakalpojum</w:t>
            </w:r>
            <w:r w:rsidRPr="00FB0C8F" w:rsidR="000C2DA0">
              <w:rPr>
                <w:rFonts w:ascii="Times New Roman" w:eastAsia="Times New Roman" w:hAnsi="Times New Roman" w:cs="Times New Roman"/>
                <w:iCs/>
                <w:sz w:val="24"/>
                <w:szCs w:val="24"/>
                <w:lang w:eastAsia="lv-LV"/>
              </w:rPr>
              <w:t>u</w:t>
            </w:r>
            <w:r w:rsidRPr="00FB0C8F" w:rsidR="001C717D">
              <w:rPr>
                <w:rFonts w:ascii="Times New Roman" w:eastAsia="Times New Roman" w:hAnsi="Times New Roman" w:cs="Times New Roman"/>
                <w:iCs/>
                <w:sz w:val="24"/>
                <w:szCs w:val="24"/>
                <w:lang w:eastAsia="lv-LV"/>
              </w:rPr>
              <w:t>, kā rezultātā tiks sekmēta</w:t>
            </w:r>
            <w:r w:rsidRPr="00FB0C8F" w:rsidR="00120820">
              <w:rPr>
                <w:rFonts w:ascii="Times New Roman" w:eastAsia="Times New Roman" w:hAnsi="Times New Roman" w:cs="Times New Roman"/>
                <w:iCs/>
                <w:sz w:val="24"/>
                <w:szCs w:val="24"/>
                <w:lang w:eastAsia="lv-LV"/>
              </w:rPr>
              <w:t xml:space="preserve"> arī klientu mobilit</w:t>
            </w:r>
            <w:r w:rsidRPr="00FB0C8F" w:rsidR="001C717D">
              <w:rPr>
                <w:rFonts w:ascii="Times New Roman" w:eastAsia="Times New Roman" w:hAnsi="Times New Roman" w:cs="Times New Roman"/>
                <w:iCs/>
                <w:sz w:val="24"/>
                <w:szCs w:val="24"/>
                <w:lang w:eastAsia="lv-LV"/>
              </w:rPr>
              <w:t>āte</w:t>
            </w:r>
            <w:r w:rsidRPr="00FB0C8F" w:rsidR="00120820">
              <w:rPr>
                <w:rFonts w:ascii="Times New Roman" w:eastAsia="Times New Roman" w:hAnsi="Times New Roman" w:cs="Times New Roman"/>
                <w:iCs/>
                <w:sz w:val="24"/>
                <w:szCs w:val="24"/>
                <w:lang w:eastAsia="lv-LV"/>
              </w:rPr>
              <w:t>.</w:t>
            </w:r>
          </w:p>
          <w:p w:rsidR="00BC16B9" w:rsidRPr="00FB0C8F" w:rsidP="00C96EC9" w14:paraId="26408205" w14:textId="77777777">
            <w:pPr>
              <w:spacing w:after="0" w:line="240" w:lineRule="auto"/>
              <w:jc w:val="both"/>
              <w:rPr>
                <w:rFonts w:ascii="Times New Roman" w:eastAsia="Times New Roman" w:hAnsi="Times New Roman" w:cs="Times New Roman"/>
                <w:iCs/>
                <w:sz w:val="24"/>
                <w:szCs w:val="24"/>
                <w:lang w:eastAsia="lv-LV"/>
              </w:rPr>
            </w:pPr>
          </w:p>
          <w:p w:rsidR="008802EF" w:rsidP="000C23A4" w14:paraId="3F612A23" w14:textId="77777777">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Pr="00FB0C8F" w:rsidR="002364E8">
              <w:rPr>
                <w:rFonts w:ascii="Times New Roman" w:eastAsia="Times New Roman" w:hAnsi="Times New Roman" w:cs="Times New Roman"/>
                <w:iCs/>
                <w:sz w:val="24"/>
                <w:szCs w:val="24"/>
                <w:lang w:eastAsia="lv-LV"/>
              </w:rPr>
              <w:t xml:space="preserve">rojekta tiesiskais regulējums nerada tiešu ietekmi uz </w:t>
            </w:r>
            <w:r w:rsidRPr="00FB0C8F" w:rsidR="00B66F6A">
              <w:rPr>
                <w:rFonts w:ascii="Times New Roman" w:eastAsia="Times New Roman" w:hAnsi="Times New Roman" w:cs="Times New Roman"/>
                <w:iCs/>
                <w:sz w:val="24"/>
                <w:szCs w:val="24"/>
                <w:lang w:eastAsia="lv-LV"/>
              </w:rPr>
              <w:t>vidi</w:t>
            </w:r>
            <w:r w:rsidRPr="00FB0C8F" w:rsidR="002364E8">
              <w:rPr>
                <w:rFonts w:ascii="Times New Roman" w:eastAsia="Times New Roman" w:hAnsi="Times New Roman" w:cs="Times New Roman"/>
                <w:iCs/>
                <w:sz w:val="24"/>
                <w:szCs w:val="24"/>
                <w:lang w:eastAsia="lv-LV"/>
              </w:rPr>
              <w:t>, cilvēka veselību</w:t>
            </w:r>
            <w:r w:rsidRPr="00FB0C8F" w:rsidR="00C565DE">
              <w:rPr>
                <w:rFonts w:ascii="Times New Roman" w:eastAsia="Times New Roman" w:hAnsi="Times New Roman" w:cs="Times New Roman"/>
                <w:iCs/>
                <w:sz w:val="24"/>
                <w:szCs w:val="24"/>
                <w:lang w:eastAsia="lv-LV"/>
              </w:rPr>
              <w:t xml:space="preserve"> un NVO.</w:t>
            </w:r>
          </w:p>
          <w:p w:rsidR="004351A0" w:rsidP="000C23A4" w14:paraId="7745B799" w14:textId="77777777">
            <w:pPr>
              <w:spacing w:after="0" w:line="240" w:lineRule="auto"/>
              <w:jc w:val="both"/>
              <w:rPr>
                <w:rFonts w:ascii="Times New Roman" w:eastAsia="Times New Roman" w:hAnsi="Times New Roman" w:cs="Times New Roman"/>
                <w:iCs/>
                <w:sz w:val="24"/>
                <w:szCs w:val="24"/>
                <w:lang w:eastAsia="lv-LV"/>
              </w:rPr>
            </w:pPr>
          </w:p>
          <w:p w:rsidR="004351A0" w:rsidRPr="00FB0C8F" w:rsidP="000C23A4" w14:paraId="3D28AC7A" w14:textId="4B5BFB5C">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iesību akta projekta tiesiskā</w:t>
            </w:r>
            <w:r w:rsidRPr="00FB0C8F">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a apstiprināšanas gadījumā Latvijas Investīciju un attīstības aģentūrai kā finansējuma saņēmējam būs jāveic grozījumi noslēgtajā vienošanās ar Centrālo finanšu un līgumu aģentūru, lai pielāgotu to grozījumu būtībai attiecībā uz jaunajiem atbalsta pasākumiem un esošā budžeta sadalījumu. Papildus, iespējams, būs jāveic precizējumi arī LIAA izstrādātajās kārtībās par atbalsta piešķiršanu.</w:t>
            </w:r>
          </w:p>
        </w:tc>
      </w:tr>
      <w:tr w14:paraId="4222056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2C6EEA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54BF175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41F07E17" w14:textId="4BFE4C2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E5A8F">
              <w:rPr>
                <w:rFonts w:ascii="Times New Roman" w:eastAsia="Times New Roman" w:hAnsi="Times New Roman" w:cs="Times New Roman"/>
                <w:iCs/>
                <w:sz w:val="24"/>
                <w:szCs w:val="24"/>
                <w:lang w:eastAsia="lv-LV"/>
              </w:rPr>
              <w:t>.</w:t>
            </w:r>
          </w:p>
        </w:tc>
      </w:tr>
      <w:tr w14:paraId="75476B6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2E354FF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4E4904D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624B13E7" w14:textId="5FFD7E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E5A8F">
              <w:rPr>
                <w:rFonts w:ascii="Times New Roman" w:eastAsia="Times New Roman" w:hAnsi="Times New Roman" w:cs="Times New Roman"/>
                <w:iCs/>
                <w:sz w:val="24"/>
                <w:szCs w:val="24"/>
                <w:lang w:eastAsia="lv-LV"/>
              </w:rPr>
              <w:t>.</w:t>
            </w:r>
          </w:p>
        </w:tc>
      </w:tr>
      <w:tr w14:paraId="4E6D505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4FF0D44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650D14C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41E3778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52AFA1F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14:paraId="47C83C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6E69AAA"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14:paraId="1F3A72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A7583" w:rsidRPr="00EA7583" w:rsidP="00EA7583" w14:paraId="67BB806B" w14:textId="77777777">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rsidR="00E5323B" w:rsidP="00E5323B" w14:paraId="204DF63F" w14:textId="11DC4F5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43F82C62" w14:textId="77777777" w:rsidTr="00514E6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5C6" w:rsidRPr="00487661" w:rsidP="00514E69" w14:paraId="6B194851" w14:textId="01239EE3">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w:t>
            </w:r>
            <w:r w:rsidRPr="00487661">
              <w:rPr>
                <w:rFonts w:ascii="Times New Roman" w:eastAsia="Times New Roman" w:hAnsi="Times New Roman" w:cs="Times New Roman"/>
                <w:b/>
                <w:bCs/>
                <w:iCs/>
                <w:sz w:val="24"/>
                <w:szCs w:val="24"/>
                <w:lang w:eastAsia="lv-LV"/>
              </w:rPr>
              <w:t>V. Tiesību akta projekta ietekme uz spēkā esošo tiesību normu sistēmu</w:t>
            </w:r>
          </w:p>
        </w:tc>
      </w:tr>
      <w:tr w14:paraId="1BB1A3C0" w14:textId="77777777" w:rsidTr="00514E6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C55C6" w:rsidRPr="00487661" w:rsidP="00514E69" w14:paraId="22CB873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C55C6" w:rsidRPr="004C55C6" w:rsidP="00514E69" w14:paraId="75100E9E" w14:textId="3019AFBA">
            <w:pPr>
              <w:spacing w:after="0" w:line="240" w:lineRule="auto"/>
              <w:rPr>
                <w:rFonts w:ascii="Times New Roman" w:eastAsia="Times New Roman" w:hAnsi="Times New Roman" w:cs="Times New Roman"/>
                <w:iCs/>
                <w:sz w:val="24"/>
                <w:szCs w:val="24"/>
                <w:lang w:eastAsia="lv-LV"/>
              </w:rPr>
            </w:pPr>
            <w:r w:rsidRPr="004C55C6">
              <w:rPr>
                <w:rFonts w:ascii="Times New Roman" w:eastAsia="Times New Roman" w:hAnsi="Times New Roman" w:cs="Times New Roman"/>
                <w:iCs/>
                <w:sz w:val="24"/>
                <w:szCs w:val="24"/>
                <w:lang w:val="en-US" w:eastAsia="lv-LV"/>
              </w:rPr>
              <w:t>Saistītie</w:t>
            </w:r>
            <w:r w:rsidRPr="004C55C6">
              <w:rPr>
                <w:rFonts w:ascii="Times New Roman" w:eastAsia="Times New Roman" w:hAnsi="Times New Roman" w:cs="Times New Roman"/>
                <w:iCs/>
                <w:sz w:val="24"/>
                <w:szCs w:val="24"/>
                <w:lang w:val="en-US" w:eastAsia="lv-LV"/>
              </w:rPr>
              <w:t xml:space="preserve"> </w:t>
            </w:r>
            <w:r w:rsidRPr="004C55C6">
              <w:rPr>
                <w:rFonts w:ascii="Times New Roman" w:eastAsia="Times New Roman" w:hAnsi="Times New Roman" w:cs="Times New Roman"/>
                <w:iCs/>
                <w:sz w:val="24"/>
                <w:szCs w:val="24"/>
                <w:lang w:val="en-US" w:eastAsia="lv-LV"/>
              </w:rPr>
              <w:t>tiesību</w:t>
            </w:r>
            <w:r w:rsidRPr="004C55C6">
              <w:rPr>
                <w:rFonts w:ascii="Times New Roman" w:eastAsia="Times New Roman" w:hAnsi="Times New Roman" w:cs="Times New Roman"/>
                <w:iCs/>
                <w:sz w:val="24"/>
                <w:szCs w:val="24"/>
                <w:lang w:val="en-US" w:eastAsia="lv-LV"/>
              </w:rPr>
              <w:t xml:space="preserve"> </w:t>
            </w:r>
            <w:r w:rsidRPr="004C55C6">
              <w:rPr>
                <w:rFonts w:ascii="Times New Roman" w:eastAsia="Times New Roman" w:hAnsi="Times New Roman" w:cs="Times New Roman"/>
                <w:iCs/>
                <w:sz w:val="24"/>
                <w:szCs w:val="24"/>
                <w:lang w:val="en-US" w:eastAsia="lv-LV"/>
              </w:rPr>
              <w:t>aktu</w:t>
            </w:r>
            <w:r w:rsidRPr="004C55C6">
              <w:rPr>
                <w:rFonts w:ascii="Times New Roman" w:eastAsia="Times New Roman" w:hAnsi="Times New Roman" w:cs="Times New Roman"/>
                <w:iCs/>
                <w:sz w:val="24"/>
                <w:szCs w:val="24"/>
                <w:lang w:val="en-US" w:eastAsia="lv-LV"/>
              </w:rPr>
              <w:t xml:space="preserve"> </w:t>
            </w:r>
            <w:r w:rsidRPr="004C55C6">
              <w:rPr>
                <w:rFonts w:ascii="Times New Roman" w:eastAsia="Times New Roman" w:hAnsi="Times New Roman" w:cs="Times New Roman"/>
                <w:iCs/>
                <w:sz w:val="24"/>
                <w:szCs w:val="24"/>
                <w:lang w:val="en-US"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rsidR="004C55C6" w:rsidRPr="004C55C6" w:rsidP="00514E69" w14:paraId="040DACFA" w14:textId="1BBE3F81">
            <w:pPr>
              <w:spacing w:after="0" w:line="240" w:lineRule="auto"/>
              <w:jc w:val="both"/>
              <w:rPr>
                <w:rFonts w:ascii="Times New Roman" w:eastAsia="Times New Roman" w:hAnsi="Times New Roman" w:cs="Times New Roman"/>
                <w:iCs/>
                <w:sz w:val="24"/>
                <w:szCs w:val="24"/>
                <w:lang w:eastAsia="lv-LV"/>
              </w:rPr>
            </w:pPr>
            <w:r w:rsidRPr="004C55C6">
              <w:rPr>
                <w:rFonts w:ascii="Times New Roman" w:eastAsia="Times New Roman" w:hAnsi="Times New Roman" w:cs="Times New Roman"/>
                <w:iCs/>
                <w:sz w:val="24"/>
                <w:szCs w:val="24"/>
                <w:lang w:eastAsia="lv-LV"/>
              </w:rPr>
              <w:t>Līdz ar sertificējamo izdevumu samazināšanu 1.2.1.2.pasākumā tie tiks attiecī</w:t>
            </w:r>
            <w:r w:rsidR="008E104C">
              <w:rPr>
                <w:rFonts w:ascii="Times New Roman" w:eastAsia="Times New Roman" w:hAnsi="Times New Roman" w:cs="Times New Roman"/>
                <w:iCs/>
                <w:sz w:val="24"/>
                <w:szCs w:val="24"/>
                <w:lang w:eastAsia="lv-LV"/>
              </w:rPr>
              <w:t>gi palielināti 1.2.1.1.pasākumā</w:t>
            </w:r>
            <w:r w:rsidRPr="004C55C6">
              <w:rPr>
                <w:rFonts w:ascii="Times New Roman" w:eastAsia="Times New Roman" w:hAnsi="Times New Roman" w:cs="Times New Roman"/>
                <w:iCs/>
                <w:sz w:val="24"/>
                <w:szCs w:val="24"/>
                <w:lang w:eastAsia="lv-LV"/>
              </w:rPr>
              <w:t xml:space="preserve">, un ir nepieciešams veikt grozījumus </w:t>
            </w:r>
            <w:r w:rsidRPr="008E104C" w:rsidR="008E104C">
              <w:rPr>
                <w:rFonts w:ascii="Times New Roman" w:eastAsia="Times New Roman" w:hAnsi="Times New Roman" w:cs="Times New Roman"/>
                <w:iCs/>
                <w:sz w:val="24"/>
                <w:szCs w:val="24"/>
                <w:lang w:eastAsia="lv-LV"/>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w:t>
            </w:r>
            <w:r w:rsidR="002928E6">
              <w:rPr>
                <w:rFonts w:ascii="Times New Roman" w:eastAsia="Times New Roman" w:hAnsi="Times New Roman" w:cs="Times New Roman"/>
                <w:iCs/>
                <w:sz w:val="24"/>
                <w:szCs w:val="24"/>
                <w:lang w:eastAsia="lv-LV"/>
              </w:rPr>
              <w:t>ses kārtas īstenošanas noteikumos</w:t>
            </w:r>
            <w:r w:rsidR="00BE2455">
              <w:rPr>
                <w:rFonts w:ascii="Times New Roman" w:eastAsia="Times New Roman" w:hAnsi="Times New Roman" w:cs="Times New Roman"/>
                <w:iCs/>
                <w:sz w:val="24"/>
                <w:szCs w:val="24"/>
                <w:lang w:eastAsia="lv-LV"/>
              </w:rPr>
              <w:t>.</w:t>
            </w:r>
          </w:p>
        </w:tc>
      </w:tr>
      <w:tr w14:paraId="6F78545D" w14:textId="77777777" w:rsidTr="00514E6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4C55C6" w:rsidRPr="00487661" w:rsidP="00514E69" w14:paraId="78988057" w14:textId="205A3E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4C55C6" w:rsidRPr="004C55C6" w:rsidP="00514E69" w14:paraId="0D807727" w14:textId="01C528E6">
            <w:pPr>
              <w:spacing w:after="0" w:line="240" w:lineRule="auto"/>
              <w:rPr>
                <w:rFonts w:ascii="Times New Roman" w:eastAsia="Times New Roman" w:hAnsi="Times New Roman" w:cs="Times New Roman"/>
                <w:iCs/>
                <w:sz w:val="24"/>
                <w:szCs w:val="24"/>
                <w:lang w:eastAsia="lv-LV"/>
              </w:rPr>
            </w:pPr>
            <w:r w:rsidRPr="004C55C6">
              <w:rPr>
                <w:rFonts w:ascii="Times New Roman" w:eastAsia="Times New Roman" w:hAnsi="Times New Roman" w:cs="Times New Roman"/>
                <w:iCs/>
                <w:sz w:val="24"/>
                <w:szCs w:val="24"/>
                <w:lang w:val="en-US" w:eastAsia="lv-LV"/>
              </w:rPr>
              <w:t>Atbildīgā</w:t>
            </w:r>
            <w:r w:rsidRPr="004C55C6">
              <w:rPr>
                <w:rFonts w:ascii="Times New Roman" w:eastAsia="Times New Roman" w:hAnsi="Times New Roman" w:cs="Times New Roman"/>
                <w:iCs/>
                <w:sz w:val="24"/>
                <w:szCs w:val="24"/>
                <w:lang w:val="en-US" w:eastAsia="lv-LV"/>
              </w:rPr>
              <w:t xml:space="preserve"> </w:t>
            </w:r>
            <w:r w:rsidRPr="004C55C6">
              <w:rPr>
                <w:rFonts w:ascii="Times New Roman" w:eastAsia="Times New Roman" w:hAnsi="Times New Roman" w:cs="Times New Roman"/>
                <w:iCs/>
                <w:sz w:val="24"/>
                <w:szCs w:val="24"/>
                <w:lang w:val="en-US" w:eastAsia="lv-LV"/>
              </w:rPr>
              <w:t>institūcija</w:t>
            </w:r>
          </w:p>
        </w:tc>
        <w:tc>
          <w:tcPr>
            <w:tcW w:w="3000" w:type="pct"/>
            <w:tcBorders>
              <w:top w:val="outset" w:sz="6" w:space="0" w:color="auto"/>
              <w:left w:val="outset" w:sz="6" w:space="0" w:color="auto"/>
              <w:bottom w:val="outset" w:sz="6" w:space="0" w:color="auto"/>
              <w:right w:val="outset" w:sz="6" w:space="0" w:color="auto"/>
            </w:tcBorders>
          </w:tcPr>
          <w:p w:rsidR="004C55C6" w:rsidRPr="004C55C6" w:rsidP="00514E69" w14:paraId="1467DC3A" w14:textId="5F9A6D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181CDA73" w14:textId="77777777" w:rsidTr="00514E6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4C55C6" w:rsidRPr="00487661" w:rsidP="00514E69" w14:paraId="41CA96A6" w14:textId="386F2D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4C55C6" w:rsidRPr="004C55C6" w:rsidP="00514E69" w14:paraId="140244CF" w14:textId="244A3DDE">
            <w:pPr>
              <w:spacing w:after="0" w:line="240" w:lineRule="auto"/>
              <w:rPr>
                <w:rFonts w:ascii="Times New Roman" w:eastAsia="Times New Roman" w:hAnsi="Times New Roman" w:cs="Times New Roman"/>
                <w:iCs/>
                <w:sz w:val="24"/>
                <w:szCs w:val="24"/>
                <w:lang w:eastAsia="lv-LV"/>
              </w:rPr>
            </w:pPr>
            <w:r w:rsidRPr="004C55C6">
              <w:rPr>
                <w:rFonts w:ascii="Times New Roman" w:eastAsia="Times New Roman" w:hAnsi="Times New Roman" w:cs="Times New Roman"/>
                <w:iCs/>
                <w:sz w:val="24"/>
                <w:szCs w:val="24"/>
                <w:lang w:val="en-US" w:eastAsia="lv-LV"/>
              </w:rPr>
              <w:t>Cita</w:t>
            </w:r>
            <w:r w:rsidRPr="004C55C6">
              <w:rPr>
                <w:rFonts w:ascii="Times New Roman" w:eastAsia="Times New Roman" w:hAnsi="Times New Roman" w:cs="Times New Roman"/>
                <w:iCs/>
                <w:sz w:val="24"/>
                <w:szCs w:val="24"/>
                <w:lang w:val="en-US" w:eastAsia="lv-LV"/>
              </w:rPr>
              <w:t xml:space="preserve"> </w:t>
            </w:r>
            <w:r w:rsidRPr="004C55C6">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tcPr>
          <w:p w:rsidR="004C55C6" w:rsidRPr="004C55C6" w:rsidP="00514E69" w14:paraId="36167F42" w14:textId="6DEBCCB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C55C6" w:rsidP="00E5323B" w14:paraId="4BDC709B" w14:textId="62D8C66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68DF04F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2A53B8A3"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3A1686B8" w14:textId="77777777" w:rsidTr="004C55C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7661" w:rsidP="00E5323B" w14:paraId="4ECEDAC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rsidR="00E5323B" w:rsidRPr="00487661" w:rsidP="00E5323B" w14:paraId="70AB52E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rsidR="00E5323B" w:rsidP="002C512C" w14:paraId="1FC8C8EC" w14:textId="77777777">
            <w:pPr>
              <w:spacing w:after="0" w:line="240" w:lineRule="auto"/>
              <w:jc w:val="both"/>
              <w:rPr>
                <w:rFonts w:ascii="Times New Roman" w:eastAsia="Times New Roman" w:hAnsi="Times New Roman" w:cs="Times New Roman"/>
                <w:iCs/>
                <w:sz w:val="24"/>
                <w:szCs w:val="24"/>
                <w:lang w:eastAsia="lv-LV"/>
              </w:rPr>
            </w:pPr>
            <w:r w:rsidRPr="002C512C">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p w:rsidR="00414781" w:rsidRPr="00487661" w:rsidP="002C512C" w14:paraId="7798C04F" w14:textId="2DD71BEC">
            <w:pPr>
              <w:spacing w:after="0" w:line="240" w:lineRule="auto"/>
              <w:jc w:val="both"/>
              <w:rPr>
                <w:rFonts w:ascii="Times New Roman" w:eastAsia="Times New Roman" w:hAnsi="Times New Roman" w:cs="Times New Roman"/>
                <w:iCs/>
                <w:sz w:val="24"/>
                <w:szCs w:val="24"/>
                <w:lang w:eastAsia="lv-LV"/>
              </w:rPr>
            </w:pPr>
            <w:r w:rsidRPr="00414781">
              <w:rPr>
                <w:rFonts w:ascii="Times New Roman" w:eastAsia="Times New Roman" w:hAnsi="Times New Roman" w:cs="Times New Roman"/>
                <w:iCs/>
                <w:sz w:val="24"/>
                <w:szCs w:val="24"/>
                <w:lang w:eastAsia="lv-LV"/>
              </w:rPr>
              <w:t xml:space="preserve">Komisijas 2013. gada 18. decembra Regula (EK) Nr. 1407/2013 par Līguma par Eiropas Savienības darbību 107. un 108. panta piemērošanu </w:t>
            </w:r>
            <w:r w:rsidRPr="002E39C0">
              <w:rPr>
                <w:rFonts w:ascii="Times New Roman" w:eastAsia="Times New Roman" w:hAnsi="Times New Roman" w:cs="Times New Roman"/>
                <w:i/>
                <w:iCs/>
                <w:sz w:val="24"/>
                <w:szCs w:val="24"/>
                <w:lang w:eastAsia="lv-LV"/>
              </w:rPr>
              <w:t>de</w:t>
            </w:r>
            <w:r w:rsidRPr="002E39C0">
              <w:rPr>
                <w:rFonts w:ascii="Times New Roman" w:eastAsia="Times New Roman" w:hAnsi="Times New Roman" w:cs="Times New Roman"/>
                <w:i/>
                <w:iCs/>
                <w:sz w:val="24"/>
                <w:szCs w:val="24"/>
                <w:lang w:eastAsia="lv-LV"/>
              </w:rPr>
              <w:t xml:space="preserve"> </w:t>
            </w:r>
            <w:r w:rsidRPr="002E39C0">
              <w:rPr>
                <w:rFonts w:ascii="Times New Roman" w:eastAsia="Times New Roman" w:hAnsi="Times New Roman" w:cs="Times New Roman"/>
                <w:i/>
                <w:iCs/>
                <w:sz w:val="24"/>
                <w:szCs w:val="24"/>
                <w:lang w:eastAsia="lv-LV"/>
              </w:rPr>
              <w:t>minimis</w:t>
            </w:r>
            <w:r w:rsidRPr="00414781">
              <w:rPr>
                <w:rFonts w:ascii="Times New Roman" w:eastAsia="Times New Roman" w:hAnsi="Times New Roman" w:cs="Times New Roman"/>
                <w:iCs/>
                <w:sz w:val="24"/>
                <w:szCs w:val="24"/>
                <w:lang w:eastAsia="lv-LV"/>
              </w:rPr>
              <w:t xml:space="preserve"> atbalstam</w:t>
            </w:r>
          </w:p>
        </w:tc>
      </w:tr>
      <w:tr w14:paraId="07730ACB" w14:textId="77777777" w:rsidTr="004C55C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7661" w:rsidP="00E5323B" w14:paraId="0D3B099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rsidR="00E5323B" w:rsidRPr="00487661" w:rsidP="00E5323B" w14:paraId="2CEC1AB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rsidR="00E5323B" w:rsidRPr="00487661" w:rsidP="00E5323B" w14:paraId="78CA643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14:paraId="318F5C4C" w14:textId="77777777" w:rsidTr="004C55C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7661" w:rsidP="00E5323B" w14:paraId="6371B07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rsidR="00E5323B" w:rsidRPr="00487661" w:rsidP="00E5323B" w14:paraId="1B8A965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rsidR="00E5323B" w:rsidRPr="00487661" w:rsidP="00E5323B" w14:paraId="2EB6B01F"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63D48A9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83"/>
        <w:gridCol w:w="2063"/>
        <w:gridCol w:w="2165"/>
        <w:gridCol w:w="3311"/>
      </w:tblGrid>
      <w:tr w14:paraId="6B62143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BD527BB"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1. tabula</w:t>
            </w:r>
            <w:r w:rsidRPr="00487661">
              <w:rPr>
                <w:rFonts w:ascii="Times New Roman" w:eastAsia="Times New Roman" w:hAnsi="Times New Roman" w:cs="Times New Roman"/>
                <w:b/>
                <w:bCs/>
                <w:iCs/>
                <w:sz w:val="24"/>
                <w:szCs w:val="24"/>
                <w:lang w:eastAsia="lv-LV"/>
              </w:rPr>
              <w:br/>
              <w:t>Tiesību akta projekta atbilstība ES tiesību aktiem</w:t>
            </w:r>
          </w:p>
        </w:tc>
      </w:tr>
      <w:tr w14:paraId="3E8CE4C7"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rsidR="00E5323B" w:rsidRPr="00487661" w:rsidP="00E5323B" w14:paraId="2CAE4F6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datums, numurs un nosaukums</w:t>
            </w:r>
          </w:p>
        </w:tc>
        <w:tc>
          <w:tcPr>
            <w:tcW w:w="3887" w:type="pct"/>
            <w:gridSpan w:val="3"/>
            <w:tcBorders>
              <w:top w:val="outset" w:sz="6" w:space="0" w:color="auto"/>
              <w:left w:val="outset" w:sz="6" w:space="0" w:color="auto"/>
              <w:bottom w:val="outset" w:sz="6" w:space="0" w:color="auto"/>
              <w:right w:val="outset" w:sz="6" w:space="0" w:color="auto"/>
            </w:tcBorders>
            <w:hideMark/>
          </w:tcPr>
          <w:p w:rsidR="00E5323B" w:rsidRPr="00487661" w:rsidP="00AD477F" w14:paraId="36282E81" w14:textId="77777777">
            <w:pPr>
              <w:spacing w:after="0" w:line="240" w:lineRule="auto"/>
              <w:jc w:val="both"/>
              <w:rPr>
                <w:rFonts w:ascii="Times New Roman" w:eastAsia="Times New Roman" w:hAnsi="Times New Roman" w:cs="Times New Roman"/>
                <w:iCs/>
                <w:sz w:val="24"/>
                <w:szCs w:val="24"/>
                <w:lang w:eastAsia="lv-LV"/>
              </w:rPr>
            </w:pPr>
            <w:r w:rsidRPr="00AD477F">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tc>
      </w:tr>
      <w:tr w14:paraId="2C7E228E"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E317EEF"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w:t>
            </w:r>
          </w:p>
        </w:tc>
        <w:tc>
          <w:tcPr>
            <w:tcW w:w="1063"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0BDF6C19"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B</w:t>
            </w:r>
          </w:p>
        </w:tc>
        <w:tc>
          <w:tcPr>
            <w:tcW w:w="1116"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1542A35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w:t>
            </w:r>
          </w:p>
        </w:tc>
        <w:tc>
          <w:tcPr>
            <w:tcW w:w="1676" w:type="pct"/>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388049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D</w:t>
            </w:r>
          </w:p>
        </w:tc>
      </w:tr>
      <w:tr w14:paraId="4DE0976E"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rsidR="00E5323B" w:rsidRPr="00487661" w:rsidP="00E5323B" w14:paraId="7E005DFA"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63" w:type="pct"/>
            <w:tcBorders>
              <w:top w:val="outset" w:sz="6" w:space="0" w:color="auto"/>
              <w:left w:val="outset" w:sz="6" w:space="0" w:color="auto"/>
              <w:bottom w:val="outset" w:sz="6" w:space="0" w:color="auto"/>
              <w:right w:val="outset" w:sz="6" w:space="0" w:color="auto"/>
            </w:tcBorders>
            <w:hideMark/>
          </w:tcPr>
          <w:p w:rsidR="00E5323B" w:rsidRPr="00487661" w:rsidP="00E5323B" w14:paraId="6F22291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16" w:type="pct"/>
            <w:tcBorders>
              <w:top w:val="outset" w:sz="6" w:space="0" w:color="auto"/>
              <w:left w:val="outset" w:sz="6" w:space="0" w:color="auto"/>
              <w:bottom w:val="outset" w:sz="6" w:space="0" w:color="auto"/>
              <w:right w:val="outset" w:sz="6" w:space="0" w:color="auto"/>
            </w:tcBorders>
            <w:hideMark/>
          </w:tcPr>
          <w:p w:rsidR="00E5323B" w:rsidRPr="00487661" w:rsidP="00E5323B" w14:paraId="0C8F5F81"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8766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87661">
              <w:rPr>
                <w:rFonts w:ascii="Times New Roman" w:eastAsia="Times New Roman" w:hAnsi="Times New Roman" w:cs="Times New Roman"/>
                <w:iCs/>
                <w:sz w:val="24"/>
                <w:szCs w:val="24"/>
                <w:lang w:eastAsia="lv-LV"/>
              </w:rPr>
              <w:br/>
              <w:t xml:space="preserve">Norāda institūciju, </w:t>
            </w:r>
            <w:r w:rsidRPr="00487661">
              <w:rPr>
                <w:rFonts w:ascii="Times New Roman" w:eastAsia="Times New Roman" w:hAnsi="Times New Roman" w:cs="Times New Roman"/>
                <w:iCs/>
                <w:sz w:val="24"/>
                <w:szCs w:val="24"/>
                <w:lang w:eastAsia="lv-LV"/>
              </w:rPr>
              <w:t>kas ir atbildīga par šo saistību izpildi pilnībā</w:t>
            </w:r>
          </w:p>
        </w:tc>
        <w:tc>
          <w:tcPr>
            <w:tcW w:w="1676" w:type="pct"/>
            <w:tcBorders>
              <w:top w:val="outset" w:sz="6" w:space="0" w:color="auto"/>
              <w:left w:val="outset" w:sz="6" w:space="0" w:color="auto"/>
              <w:bottom w:val="outset" w:sz="6" w:space="0" w:color="auto"/>
              <w:right w:val="outset" w:sz="6" w:space="0" w:color="auto"/>
            </w:tcBorders>
            <w:hideMark/>
          </w:tcPr>
          <w:p w:rsidR="00E5323B" w:rsidRPr="00487661" w:rsidP="00E5323B" w14:paraId="734F8CF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8766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8766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5BCCB702"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F116E5" w:rsidRPr="001D6E01" w:rsidP="00F116E5" w14:paraId="3C1E48C7" w14:textId="5874DB8D">
            <w:pPr>
              <w:rPr>
                <w:rFonts w:ascii="Times New Roman" w:hAnsi="Times New Roman" w:cs="Times New Roman"/>
                <w:sz w:val="24"/>
              </w:rPr>
            </w:pPr>
            <w:r w:rsidRPr="001D6E01">
              <w:rPr>
                <w:rFonts w:ascii="Times New Roman" w:hAnsi="Times New Roman" w:cs="Times New Roman"/>
                <w:sz w:val="24"/>
              </w:rPr>
              <w:t>Regulas Nr.651/2014 1</w:t>
            </w:r>
            <w:r w:rsidRPr="001D6E01">
              <w:rPr>
                <w:rFonts w:ascii="Times New Roman" w:hAnsi="Times New Roman" w:cs="Times New Roman"/>
                <w:sz w:val="24"/>
              </w:rPr>
              <w:t xml:space="preserve">.panta </w:t>
            </w:r>
            <w:r w:rsidRPr="001D6E01">
              <w:rPr>
                <w:rFonts w:ascii="Times New Roman" w:hAnsi="Times New Roman" w:cs="Times New Roman"/>
                <w:sz w:val="24"/>
              </w:rPr>
              <w:t>3</w:t>
            </w:r>
            <w:r w:rsidRPr="001D6E01">
              <w:rPr>
                <w:rFonts w:ascii="Times New Roman" w:hAnsi="Times New Roman" w:cs="Times New Roman"/>
                <w:sz w:val="24"/>
              </w:rPr>
              <w:t>.</w:t>
            </w:r>
            <w:r w:rsidR="00FE2BAD">
              <w:rPr>
                <w:rFonts w:ascii="Times New Roman" w:hAnsi="Times New Roman" w:cs="Times New Roman"/>
                <w:sz w:val="24"/>
              </w:rPr>
              <w:t xml:space="preserve">punkta </w:t>
            </w:r>
            <w:r w:rsidRPr="00FE2BAD" w:rsidR="00FE2BAD">
              <w:rPr>
                <w:rFonts w:ascii="Times New Roman" w:hAnsi="Times New Roman" w:cs="Times New Roman"/>
                <w:sz w:val="24"/>
              </w:rPr>
              <w:t xml:space="preserve">“c”, “d” </w:t>
            </w:r>
            <w:r w:rsidR="00FE2BAD">
              <w:rPr>
                <w:rFonts w:ascii="Times New Roman" w:hAnsi="Times New Roman" w:cs="Times New Roman"/>
                <w:sz w:val="24"/>
              </w:rPr>
              <w:t>un</w:t>
            </w:r>
            <w:r w:rsidRPr="00FE2BAD" w:rsidR="00FE2BAD">
              <w:rPr>
                <w:rFonts w:ascii="Times New Roman" w:hAnsi="Times New Roman" w:cs="Times New Roman"/>
                <w:sz w:val="24"/>
              </w:rPr>
              <w:t xml:space="preserve"> “e” apakšpunkt</w:t>
            </w:r>
            <w:r w:rsidR="00FE2BAD">
              <w:rPr>
                <w:rFonts w:ascii="Times New Roman" w:hAnsi="Times New Roman" w:cs="Times New Roman"/>
                <w:sz w:val="24"/>
              </w:rPr>
              <w:t>s</w:t>
            </w:r>
            <w:r w:rsidRPr="001D6E01" w:rsidR="001D6E01">
              <w:rPr>
                <w:rFonts w:ascii="Times New Roman" w:hAnsi="Times New Roman" w:cs="Times New Roman"/>
                <w:sz w:val="24"/>
              </w:rPr>
              <w:t>, 4.punkta “a” apakšpunkts un</w:t>
            </w:r>
            <w:r w:rsidRPr="001D6E01">
              <w:rPr>
                <w:rFonts w:ascii="Times New Roman" w:hAnsi="Times New Roman" w:cs="Times New Roman"/>
                <w:sz w:val="24"/>
              </w:rPr>
              <w:t xml:space="preserve"> 5.punkts</w:t>
            </w:r>
          </w:p>
        </w:tc>
        <w:tc>
          <w:tcPr>
            <w:tcW w:w="1063" w:type="pct"/>
            <w:tcBorders>
              <w:top w:val="outset" w:sz="6" w:space="0" w:color="auto"/>
              <w:left w:val="outset" w:sz="6" w:space="0" w:color="auto"/>
              <w:bottom w:val="outset" w:sz="6" w:space="0" w:color="auto"/>
              <w:right w:val="outset" w:sz="6" w:space="0" w:color="auto"/>
            </w:tcBorders>
          </w:tcPr>
          <w:p w:rsidR="00F116E5" w:rsidRPr="001D6E01" w:rsidP="00F116E5" w14:paraId="70DAD0C2" w14:textId="451B4063">
            <w:pPr>
              <w:rPr>
                <w:rFonts w:ascii="Times New Roman" w:hAnsi="Times New Roman" w:cs="Times New Roman"/>
                <w:sz w:val="24"/>
              </w:rPr>
            </w:pPr>
            <w:r w:rsidRPr="001D6E01">
              <w:rPr>
                <w:rFonts w:ascii="Times New Roman" w:hAnsi="Times New Roman" w:cs="Times New Roman"/>
                <w:sz w:val="24"/>
              </w:rPr>
              <w:t xml:space="preserve">Noteikumu projekta </w:t>
            </w:r>
            <w:r w:rsidR="00C5033B">
              <w:rPr>
                <w:rFonts w:ascii="Times New Roman" w:hAnsi="Times New Roman" w:cs="Times New Roman"/>
                <w:sz w:val="24"/>
              </w:rPr>
              <w:t>5</w:t>
            </w:r>
            <w:r w:rsidR="00EE0B8B">
              <w:rPr>
                <w:rFonts w:ascii="Times New Roman" w:hAnsi="Times New Roman" w:cs="Times New Roman"/>
                <w:sz w:val="24"/>
              </w:rPr>
              <w:t>2</w:t>
            </w:r>
            <w:r w:rsidRPr="001D6E01" w:rsidR="0065647E">
              <w:rPr>
                <w:rFonts w:ascii="Times New Roman" w:hAnsi="Times New Roman" w:cs="Times New Roman"/>
                <w:sz w:val="24"/>
              </w:rPr>
              <w:t>.</w:t>
            </w:r>
            <w:r w:rsidRPr="001D6E01">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F116E5" w:rsidRPr="001D6E01" w:rsidP="00F116E5" w14:paraId="158793D9" w14:textId="77777777">
            <w:pPr>
              <w:jc w:val="center"/>
              <w:rPr>
                <w:rFonts w:ascii="Times New Roman" w:hAnsi="Times New Roman" w:cs="Times New Roman"/>
                <w:iCs/>
                <w:color w:val="000000"/>
                <w:sz w:val="24"/>
              </w:rPr>
            </w:pPr>
            <w:r w:rsidRPr="001D6E01">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F116E5" w:rsidRPr="00F116E5" w:rsidP="00F116E5" w14:paraId="0D3F9891" w14:textId="77777777">
            <w:pPr>
              <w:jc w:val="center"/>
              <w:rPr>
                <w:rFonts w:ascii="Times New Roman" w:hAnsi="Times New Roman" w:cs="Times New Roman"/>
                <w:iCs/>
                <w:color w:val="000000"/>
                <w:sz w:val="24"/>
              </w:rPr>
            </w:pPr>
            <w:r w:rsidRPr="001D6E01">
              <w:rPr>
                <w:rFonts w:ascii="Times New Roman" w:hAnsi="Times New Roman" w:cs="Times New Roman"/>
                <w:color w:val="000000"/>
                <w:sz w:val="24"/>
              </w:rPr>
              <w:t>Stingrākas prasības neparedz</w:t>
            </w:r>
          </w:p>
        </w:tc>
      </w:tr>
      <w:tr w14:paraId="3EDBF8E0"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DF7915" w:rsidRPr="00DF7915" w:rsidP="00DF7915" w14:paraId="27327BD1" w14:textId="6512F785">
            <w:pPr>
              <w:rPr>
                <w:rFonts w:ascii="Times New Roman" w:hAnsi="Times New Roman" w:cs="Times New Roman"/>
                <w:sz w:val="24"/>
              </w:rPr>
            </w:pPr>
            <w:r w:rsidRPr="00DF7915">
              <w:rPr>
                <w:rFonts w:ascii="Times New Roman" w:hAnsi="Times New Roman" w:cs="Times New Roman"/>
                <w:sz w:val="24"/>
              </w:rPr>
              <w:t>Regulas Nr.651/2014 2.panta 18.punkts</w:t>
            </w:r>
          </w:p>
        </w:tc>
        <w:tc>
          <w:tcPr>
            <w:tcW w:w="1063" w:type="pct"/>
            <w:tcBorders>
              <w:top w:val="outset" w:sz="6" w:space="0" w:color="auto"/>
              <w:left w:val="outset" w:sz="6" w:space="0" w:color="auto"/>
              <w:bottom w:val="outset" w:sz="6" w:space="0" w:color="auto"/>
              <w:right w:val="outset" w:sz="6" w:space="0" w:color="auto"/>
            </w:tcBorders>
          </w:tcPr>
          <w:p w:rsidR="00DF7915" w:rsidRPr="00DF7915" w:rsidP="00DF7915" w14:paraId="56C4CBC7" w14:textId="4181E8C3">
            <w:pPr>
              <w:rPr>
                <w:rFonts w:ascii="Times New Roman" w:hAnsi="Times New Roman" w:cs="Times New Roman"/>
                <w:sz w:val="24"/>
              </w:rPr>
            </w:pPr>
            <w:r>
              <w:rPr>
                <w:rFonts w:ascii="Times New Roman" w:hAnsi="Times New Roman" w:cs="Times New Roman"/>
                <w:sz w:val="24"/>
              </w:rPr>
              <w:t>Noteikumu projekta 3</w:t>
            </w:r>
            <w:r w:rsidR="00EE0B8B">
              <w:rPr>
                <w:rFonts w:ascii="Times New Roman" w:hAnsi="Times New Roman" w:cs="Times New Roman"/>
                <w:sz w:val="24"/>
              </w:rPr>
              <w:t>9</w:t>
            </w:r>
            <w:r w:rsidRPr="00DF791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DF7915" w:rsidRPr="00DF7915" w:rsidP="00DF7915" w14:paraId="56CA7CBD" w14:textId="7B574B44">
            <w:pPr>
              <w:jc w:val="center"/>
              <w:rPr>
                <w:rFonts w:ascii="Times New Roman" w:hAnsi="Times New Roman" w:cs="Times New Roman"/>
                <w:color w:val="000000"/>
                <w:sz w:val="24"/>
              </w:rPr>
            </w:pPr>
            <w:r w:rsidRPr="00DF7915">
              <w:rPr>
                <w:rFonts w:ascii="Times New Roman" w:hAnsi="Times New Roman" w:cs="Times New Roman"/>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DF7915" w:rsidRPr="00DF7915" w:rsidP="00DF7915" w14:paraId="31204AA2" w14:textId="5EEF67A9">
            <w:pPr>
              <w:jc w:val="center"/>
              <w:rPr>
                <w:rFonts w:ascii="Times New Roman" w:hAnsi="Times New Roman" w:cs="Times New Roman"/>
                <w:color w:val="000000"/>
                <w:sz w:val="24"/>
              </w:rPr>
            </w:pPr>
            <w:r w:rsidRPr="00DF7915">
              <w:rPr>
                <w:rFonts w:ascii="Times New Roman" w:hAnsi="Times New Roman" w:cs="Times New Roman"/>
                <w:sz w:val="24"/>
              </w:rPr>
              <w:t>Stingrākas prasības neparedz</w:t>
            </w:r>
          </w:p>
        </w:tc>
      </w:tr>
      <w:tr w14:paraId="779EF60E"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C602DD" w:rsidRPr="00F116E5" w:rsidP="008D2F52" w14:paraId="2652249C" w14:textId="6F1759C8">
            <w:pPr>
              <w:rPr>
                <w:rFonts w:ascii="Times New Roman" w:hAnsi="Times New Roman" w:cs="Times New Roman"/>
                <w:sz w:val="24"/>
              </w:rPr>
            </w:pPr>
            <w:r>
              <w:rPr>
                <w:rFonts w:ascii="Times New Roman" w:hAnsi="Times New Roman" w:cs="Times New Roman"/>
                <w:sz w:val="24"/>
              </w:rPr>
              <w:t>Regulas Nr.651/2014 6.panta 2</w:t>
            </w:r>
            <w:r w:rsidRPr="00F116E5">
              <w:rPr>
                <w:rFonts w:ascii="Times New Roman" w:hAnsi="Times New Roman" w:cs="Times New Roman"/>
                <w:sz w:val="24"/>
              </w:rPr>
              <w:t>.punkts</w:t>
            </w:r>
            <w:r w:rsidR="00A15209">
              <w:rPr>
                <w:rFonts w:ascii="Times New Roman" w:hAnsi="Times New Roman" w:cs="Times New Roman"/>
                <w:sz w:val="24"/>
              </w:rPr>
              <w:t xml:space="preserve"> un 2.panta 23.punkts</w:t>
            </w:r>
          </w:p>
        </w:tc>
        <w:tc>
          <w:tcPr>
            <w:tcW w:w="1063" w:type="pct"/>
            <w:tcBorders>
              <w:top w:val="outset" w:sz="6" w:space="0" w:color="auto"/>
              <w:left w:val="outset" w:sz="6" w:space="0" w:color="auto"/>
              <w:bottom w:val="outset" w:sz="6" w:space="0" w:color="auto"/>
              <w:right w:val="outset" w:sz="6" w:space="0" w:color="auto"/>
            </w:tcBorders>
          </w:tcPr>
          <w:p w:rsidR="00C602DD" w:rsidRPr="00F116E5" w:rsidP="008D2F52" w14:paraId="38534658" w14:textId="2FCB4FAA">
            <w:pPr>
              <w:rPr>
                <w:rFonts w:ascii="Times New Roman" w:hAnsi="Times New Roman" w:cs="Times New Roman"/>
                <w:sz w:val="24"/>
              </w:rPr>
            </w:pPr>
            <w:r w:rsidRPr="00F116E5">
              <w:rPr>
                <w:rFonts w:ascii="Times New Roman" w:hAnsi="Times New Roman" w:cs="Times New Roman"/>
                <w:sz w:val="24"/>
              </w:rPr>
              <w:t xml:space="preserve">Noteikumu projekta </w:t>
            </w:r>
            <w:r w:rsidR="00C5033B">
              <w:rPr>
                <w:rFonts w:ascii="Times New Roman" w:hAnsi="Times New Roman" w:cs="Times New Roman"/>
                <w:sz w:val="24"/>
              </w:rPr>
              <w:t>5</w:t>
            </w:r>
            <w:r w:rsidR="00EE0B8B">
              <w:rPr>
                <w:rFonts w:ascii="Times New Roman" w:hAnsi="Times New Roman" w:cs="Times New Roman"/>
                <w:sz w:val="24"/>
              </w:rPr>
              <w:t>2</w:t>
            </w:r>
            <w:r>
              <w:rPr>
                <w:rFonts w:ascii="Times New Roman" w:hAnsi="Times New Roman" w:cs="Times New Roman"/>
                <w:sz w:val="24"/>
              </w:rPr>
              <w:t>.</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C602DD" w:rsidRPr="00F116E5" w:rsidP="008D2F52" w14:paraId="6DBE775B"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C602DD" w:rsidRPr="00F116E5" w:rsidP="008D2F52" w14:paraId="3EF5D2A6"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2FDA1A1B"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F116E5" w:rsidRPr="00F116E5" w:rsidP="00F116E5" w14:paraId="7D4ED4CE" w14:textId="21B55E7D">
            <w:pPr>
              <w:rPr>
                <w:rFonts w:ascii="Times New Roman" w:hAnsi="Times New Roman" w:cs="Times New Roman"/>
                <w:sz w:val="24"/>
              </w:rPr>
            </w:pPr>
            <w:r w:rsidRPr="00F116E5">
              <w:rPr>
                <w:rFonts w:ascii="Times New Roman" w:hAnsi="Times New Roman" w:cs="Times New Roman"/>
                <w:sz w:val="24"/>
              </w:rPr>
              <w:t>Regulas Nr.651/2014 9.panta</w:t>
            </w:r>
            <w:r w:rsidR="009F2929">
              <w:rPr>
                <w:rFonts w:ascii="Times New Roman" w:hAnsi="Times New Roman" w:cs="Times New Roman"/>
                <w:sz w:val="24"/>
              </w:rPr>
              <w:t xml:space="preserve"> 1. un</w:t>
            </w:r>
            <w:r w:rsidRPr="00F116E5">
              <w:rPr>
                <w:rFonts w:ascii="Times New Roman" w:hAnsi="Times New Roman" w:cs="Times New Roman"/>
                <w:sz w:val="24"/>
              </w:rPr>
              <w:t xml:space="preserve"> 4.punkts</w:t>
            </w:r>
          </w:p>
        </w:tc>
        <w:tc>
          <w:tcPr>
            <w:tcW w:w="1063" w:type="pct"/>
            <w:tcBorders>
              <w:top w:val="outset" w:sz="6" w:space="0" w:color="auto"/>
              <w:left w:val="outset" w:sz="6" w:space="0" w:color="auto"/>
              <w:bottom w:val="outset" w:sz="6" w:space="0" w:color="auto"/>
              <w:right w:val="outset" w:sz="6" w:space="0" w:color="auto"/>
            </w:tcBorders>
          </w:tcPr>
          <w:p w:rsidR="00F116E5" w:rsidRPr="00F116E5" w:rsidP="00F116E5" w14:paraId="5446D34D" w14:textId="25BC09E5">
            <w:pPr>
              <w:rPr>
                <w:rFonts w:ascii="Times New Roman" w:hAnsi="Times New Roman" w:cs="Times New Roman"/>
                <w:sz w:val="24"/>
              </w:rPr>
            </w:pPr>
            <w:r w:rsidRPr="00F116E5">
              <w:rPr>
                <w:rFonts w:ascii="Times New Roman" w:hAnsi="Times New Roman" w:cs="Times New Roman"/>
                <w:sz w:val="24"/>
              </w:rPr>
              <w:t xml:space="preserve">Noteikumu projekta </w:t>
            </w:r>
            <w:r w:rsidR="00C5033B">
              <w:rPr>
                <w:rFonts w:ascii="Times New Roman" w:hAnsi="Times New Roman" w:cs="Times New Roman"/>
                <w:sz w:val="24"/>
              </w:rPr>
              <w:t>5</w:t>
            </w:r>
            <w:r w:rsidR="00EE0B8B">
              <w:rPr>
                <w:rFonts w:ascii="Times New Roman" w:hAnsi="Times New Roman" w:cs="Times New Roman"/>
                <w:sz w:val="24"/>
              </w:rPr>
              <w:t>2</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F116E5" w:rsidRPr="00F116E5" w:rsidP="00F116E5" w14:paraId="3C25238A"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F116E5" w:rsidRPr="00F116E5" w:rsidP="00F116E5" w14:paraId="77D1348E"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0D8B5113"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F8662F" w:rsidRPr="00F116E5" w:rsidP="00F8662F" w14:paraId="002B5752" w14:textId="128FB138">
            <w:pPr>
              <w:rPr>
                <w:rFonts w:ascii="Times New Roman" w:hAnsi="Times New Roman" w:cs="Times New Roman"/>
                <w:sz w:val="24"/>
              </w:rPr>
            </w:pPr>
            <w:r w:rsidRPr="00F116E5">
              <w:rPr>
                <w:rFonts w:ascii="Times New Roman" w:hAnsi="Times New Roman" w:cs="Times New Roman"/>
                <w:sz w:val="24"/>
              </w:rPr>
              <w:t xml:space="preserve">Regulas Nr.651/2014 </w:t>
            </w:r>
            <w:r>
              <w:rPr>
                <w:rFonts w:ascii="Times New Roman" w:hAnsi="Times New Roman" w:cs="Times New Roman"/>
                <w:sz w:val="24"/>
              </w:rPr>
              <w:t>12.panta 1.punkts</w:t>
            </w:r>
          </w:p>
        </w:tc>
        <w:tc>
          <w:tcPr>
            <w:tcW w:w="1063" w:type="pct"/>
            <w:tcBorders>
              <w:top w:val="outset" w:sz="6" w:space="0" w:color="auto"/>
              <w:left w:val="outset" w:sz="6" w:space="0" w:color="auto"/>
              <w:bottom w:val="outset" w:sz="6" w:space="0" w:color="auto"/>
              <w:right w:val="outset" w:sz="6" w:space="0" w:color="auto"/>
            </w:tcBorders>
          </w:tcPr>
          <w:p w:rsidR="00F8662F" w:rsidRPr="00F116E5" w:rsidP="00F8662F" w14:paraId="19C18B4E" w14:textId="39D46790">
            <w:pPr>
              <w:rPr>
                <w:rFonts w:ascii="Times New Roman" w:hAnsi="Times New Roman" w:cs="Times New Roman"/>
                <w:sz w:val="24"/>
              </w:rPr>
            </w:pPr>
            <w:r w:rsidRPr="00F116E5">
              <w:rPr>
                <w:rFonts w:ascii="Times New Roman" w:hAnsi="Times New Roman" w:cs="Times New Roman"/>
                <w:sz w:val="24"/>
              </w:rPr>
              <w:t xml:space="preserve">Noteikumu projekta </w:t>
            </w:r>
            <w:r>
              <w:rPr>
                <w:rFonts w:ascii="Times New Roman" w:hAnsi="Times New Roman" w:cs="Times New Roman"/>
                <w:sz w:val="24"/>
              </w:rPr>
              <w:t>5</w:t>
            </w:r>
            <w:r w:rsidR="00EE0B8B">
              <w:rPr>
                <w:rFonts w:ascii="Times New Roman" w:hAnsi="Times New Roman" w:cs="Times New Roman"/>
                <w:sz w:val="24"/>
              </w:rPr>
              <w:t>2</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F8662F" w:rsidRPr="00F116E5" w:rsidP="00F8662F" w14:paraId="3109F0C0" w14:textId="045AC903">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F8662F" w:rsidRPr="00F116E5" w:rsidP="00F8662F" w14:paraId="6565CD8C" w14:textId="29DE3010">
            <w:pPr>
              <w:jc w:val="center"/>
              <w:rPr>
                <w:rFonts w:ascii="Times New Roman" w:hAnsi="Times New Roman" w:cs="Times New Roman"/>
                <w:color w:val="000000"/>
                <w:sz w:val="24"/>
              </w:rPr>
            </w:pPr>
            <w:r w:rsidRPr="00F116E5">
              <w:rPr>
                <w:rFonts w:ascii="Times New Roman" w:hAnsi="Times New Roman" w:cs="Times New Roman"/>
                <w:color w:val="000000"/>
                <w:sz w:val="24"/>
              </w:rPr>
              <w:t>Stingrākas prasības neparedz</w:t>
            </w:r>
          </w:p>
        </w:tc>
      </w:tr>
      <w:tr w14:paraId="3828E055"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F116E5" w:rsidRPr="00F116E5" w:rsidP="00F116E5" w14:paraId="5D2854A6" w14:textId="00EB0B35">
            <w:pPr>
              <w:rPr>
                <w:rFonts w:ascii="Times New Roman" w:hAnsi="Times New Roman" w:cs="Times New Roman"/>
                <w:sz w:val="24"/>
              </w:rPr>
            </w:pPr>
            <w:r w:rsidRPr="00F116E5">
              <w:rPr>
                <w:rFonts w:ascii="Times New Roman" w:hAnsi="Times New Roman" w:cs="Times New Roman"/>
                <w:sz w:val="24"/>
              </w:rPr>
              <w:t xml:space="preserve">Regulas Nr.651/2014 </w:t>
            </w:r>
            <w:r w:rsidR="003301BF">
              <w:rPr>
                <w:rFonts w:ascii="Times New Roman" w:hAnsi="Times New Roman" w:cs="Times New Roman"/>
                <w:sz w:val="24"/>
              </w:rPr>
              <w:t>1</w:t>
            </w:r>
            <w:r w:rsidRPr="00F116E5" w:rsidR="003301BF">
              <w:rPr>
                <w:rFonts w:ascii="Times New Roman" w:hAnsi="Times New Roman" w:cs="Times New Roman"/>
                <w:sz w:val="24"/>
              </w:rPr>
              <w:t>8.pants</w:t>
            </w:r>
            <w:r w:rsidR="003301BF">
              <w:rPr>
                <w:rFonts w:ascii="Times New Roman" w:hAnsi="Times New Roman" w:cs="Times New Roman"/>
                <w:sz w:val="24"/>
              </w:rPr>
              <w:t>,</w:t>
            </w:r>
            <w:r w:rsidRPr="00F116E5" w:rsidR="003301BF">
              <w:rPr>
                <w:rFonts w:ascii="Times New Roman" w:hAnsi="Times New Roman" w:cs="Times New Roman"/>
                <w:sz w:val="24"/>
              </w:rPr>
              <w:t xml:space="preserve"> </w:t>
            </w:r>
            <w:r w:rsidRPr="00F116E5">
              <w:rPr>
                <w:rFonts w:ascii="Times New Roman" w:hAnsi="Times New Roman" w:cs="Times New Roman"/>
                <w:sz w:val="24"/>
              </w:rPr>
              <w:t>25.pant</w:t>
            </w:r>
            <w:r w:rsidR="001E2915">
              <w:rPr>
                <w:rFonts w:ascii="Times New Roman" w:hAnsi="Times New Roman" w:cs="Times New Roman"/>
                <w:sz w:val="24"/>
              </w:rPr>
              <w:t xml:space="preserve">s </w:t>
            </w:r>
            <w:r w:rsidRPr="00F116E5">
              <w:rPr>
                <w:rFonts w:ascii="Times New Roman" w:hAnsi="Times New Roman" w:cs="Times New Roman"/>
                <w:sz w:val="24"/>
              </w:rPr>
              <w:t xml:space="preserve"> </w:t>
            </w:r>
            <w:r w:rsidR="001E2915">
              <w:rPr>
                <w:rFonts w:ascii="Times New Roman" w:hAnsi="Times New Roman" w:cs="Times New Roman"/>
                <w:sz w:val="24"/>
              </w:rPr>
              <w:t>un 28.pants</w:t>
            </w:r>
          </w:p>
        </w:tc>
        <w:tc>
          <w:tcPr>
            <w:tcW w:w="1063" w:type="pct"/>
            <w:tcBorders>
              <w:top w:val="outset" w:sz="6" w:space="0" w:color="auto"/>
              <w:left w:val="outset" w:sz="6" w:space="0" w:color="auto"/>
              <w:bottom w:val="outset" w:sz="6" w:space="0" w:color="auto"/>
              <w:right w:val="outset" w:sz="6" w:space="0" w:color="auto"/>
            </w:tcBorders>
          </w:tcPr>
          <w:p w:rsidR="00F116E5" w:rsidRPr="00F116E5" w:rsidP="00F116E5" w14:paraId="6F445226" w14:textId="2495E332">
            <w:pPr>
              <w:rPr>
                <w:rFonts w:ascii="Times New Roman" w:hAnsi="Times New Roman" w:cs="Times New Roman"/>
                <w:sz w:val="24"/>
              </w:rPr>
            </w:pPr>
            <w:r>
              <w:rPr>
                <w:rFonts w:ascii="Times New Roman" w:hAnsi="Times New Roman" w:cs="Times New Roman"/>
                <w:sz w:val="24"/>
              </w:rPr>
              <w:t xml:space="preserve">Noteikumu projekta </w:t>
            </w:r>
            <w:r w:rsidR="00C5033B">
              <w:rPr>
                <w:rFonts w:ascii="Times New Roman" w:hAnsi="Times New Roman" w:cs="Times New Roman"/>
                <w:sz w:val="24"/>
              </w:rPr>
              <w:t>5</w:t>
            </w:r>
            <w:r w:rsidR="00EE0B8B">
              <w:rPr>
                <w:rFonts w:ascii="Times New Roman" w:hAnsi="Times New Roman" w:cs="Times New Roman"/>
                <w:sz w:val="24"/>
              </w:rPr>
              <w:t>2</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F116E5" w:rsidRPr="00F116E5" w:rsidP="00F116E5" w14:paraId="2B106096"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F116E5" w:rsidRPr="00F116E5" w:rsidP="00F116E5" w14:paraId="2E5619CF"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763A7DDE"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F116E5" w:rsidRPr="00F116E5" w:rsidP="00F116E5" w14:paraId="1332F752" w14:textId="784E13F7">
            <w:pPr>
              <w:rPr>
                <w:rFonts w:ascii="Times New Roman" w:hAnsi="Times New Roman" w:cs="Times New Roman"/>
                <w:sz w:val="24"/>
              </w:rPr>
            </w:pPr>
            <w:bookmarkStart w:id="0" w:name="_Hlk510517513"/>
            <w:r w:rsidRPr="00F116E5">
              <w:rPr>
                <w:rFonts w:ascii="Times New Roman" w:hAnsi="Times New Roman" w:cs="Times New Roman"/>
                <w:sz w:val="24"/>
              </w:rPr>
              <w:t xml:space="preserve">Regulas Nr.651/2014 </w:t>
            </w:r>
            <w:r w:rsidR="00D87E06">
              <w:rPr>
                <w:rFonts w:ascii="Times New Roman" w:hAnsi="Times New Roman" w:cs="Times New Roman"/>
                <w:sz w:val="24"/>
              </w:rPr>
              <w:t xml:space="preserve">18.panta 2.punkts, </w:t>
            </w:r>
            <w:r w:rsidRPr="00F116E5">
              <w:rPr>
                <w:rFonts w:ascii="Times New Roman" w:hAnsi="Times New Roman" w:cs="Times New Roman"/>
                <w:sz w:val="24"/>
              </w:rPr>
              <w:t>25.panta 5.punkta “b”</w:t>
            </w:r>
            <w:r w:rsidR="001E007E">
              <w:rPr>
                <w:rFonts w:ascii="Times New Roman" w:hAnsi="Times New Roman" w:cs="Times New Roman"/>
                <w:sz w:val="24"/>
              </w:rPr>
              <w:t>, “c”</w:t>
            </w:r>
            <w:r w:rsidRPr="00F116E5">
              <w:rPr>
                <w:rFonts w:ascii="Times New Roman" w:hAnsi="Times New Roman" w:cs="Times New Roman"/>
                <w:sz w:val="24"/>
              </w:rPr>
              <w:t xml:space="preserve"> un “d” apakšpunkts, </w:t>
            </w:r>
            <w:r w:rsidRPr="00F116E5" w:rsidR="002F4CC3">
              <w:rPr>
                <w:rFonts w:ascii="Times New Roman" w:hAnsi="Times New Roman" w:cs="Times New Roman"/>
                <w:sz w:val="24"/>
              </w:rPr>
              <w:t>25.panta 6.punkta “a”</w:t>
            </w:r>
            <w:r w:rsidR="002F4CC3">
              <w:rPr>
                <w:rFonts w:ascii="Times New Roman" w:hAnsi="Times New Roman" w:cs="Times New Roman"/>
                <w:sz w:val="24"/>
              </w:rPr>
              <w:t xml:space="preserve"> </w:t>
            </w:r>
            <w:r w:rsidRPr="00F116E5" w:rsidR="002F4CC3">
              <w:rPr>
                <w:rFonts w:ascii="Times New Roman" w:hAnsi="Times New Roman" w:cs="Times New Roman"/>
                <w:sz w:val="24"/>
              </w:rPr>
              <w:t xml:space="preserve">apakšpunkts un </w:t>
            </w:r>
            <w:r w:rsidR="004023B3">
              <w:rPr>
                <w:rFonts w:ascii="Times New Roman" w:hAnsi="Times New Roman" w:cs="Times New Roman"/>
                <w:sz w:val="24"/>
              </w:rPr>
              <w:t xml:space="preserve">25.panta </w:t>
            </w:r>
            <w:r w:rsidRPr="00F116E5" w:rsidR="002F4CC3">
              <w:rPr>
                <w:rFonts w:ascii="Times New Roman" w:hAnsi="Times New Roman" w:cs="Times New Roman"/>
                <w:sz w:val="24"/>
              </w:rPr>
              <w:t>7.punkts</w:t>
            </w:r>
            <w:r w:rsidR="002F4CC3">
              <w:rPr>
                <w:rFonts w:ascii="Times New Roman" w:hAnsi="Times New Roman" w:cs="Times New Roman"/>
                <w:sz w:val="24"/>
              </w:rPr>
              <w:t>,</w:t>
            </w:r>
            <w:r w:rsidRPr="00F116E5" w:rsidR="002F4CC3">
              <w:rPr>
                <w:rFonts w:ascii="Times New Roman" w:hAnsi="Times New Roman" w:cs="Times New Roman"/>
                <w:sz w:val="24"/>
              </w:rPr>
              <w:t xml:space="preserve"> </w:t>
            </w:r>
            <w:r w:rsidRPr="00F116E5">
              <w:rPr>
                <w:rFonts w:ascii="Times New Roman" w:hAnsi="Times New Roman" w:cs="Times New Roman"/>
                <w:sz w:val="24"/>
              </w:rPr>
              <w:t>28.panta 3.punkts</w:t>
            </w:r>
          </w:p>
        </w:tc>
        <w:tc>
          <w:tcPr>
            <w:tcW w:w="1063" w:type="pct"/>
            <w:tcBorders>
              <w:top w:val="outset" w:sz="6" w:space="0" w:color="auto"/>
              <w:left w:val="outset" w:sz="6" w:space="0" w:color="auto"/>
              <w:bottom w:val="outset" w:sz="6" w:space="0" w:color="auto"/>
              <w:right w:val="outset" w:sz="6" w:space="0" w:color="auto"/>
            </w:tcBorders>
          </w:tcPr>
          <w:p w:rsidR="00F116E5" w:rsidRPr="00F116E5" w:rsidP="00F116E5" w14:paraId="2546C17C" w14:textId="2539AD83">
            <w:pPr>
              <w:rPr>
                <w:rFonts w:ascii="Times New Roman" w:hAnsi="Times New Roman" w:cs="Times New Roman"/>
                <w:sz w:val="24"/>
              </w:rPr>
            </w:pPr>
            <w:r w:rsidRPr="00F116E5">
              <w:rPr>
                <w:rFonts w:ascii="Times New Roman" w:hAnsi="Times New Roman" w:cs="Times New Roman"/>
                <w:sz w:val="24"/>
              </w:rPr>
              <w:t xml:space="preserve">Noteikumu projekta </w:t>
            </w:r>
            <w:r w:rsidR="00C5033B">
              <w:rPr>
                <w:rFonts w:ascii="Times New Roman" w:eastAsia="Times New Roman" w:hAnsi="Times New Roman"/>
                <w:sz w:val="24"/>
                <w:szCs w:val="24"/>
              </w:rPr>
              <w:t>5</w:t>
            </w:r>
            <w:r w:rsidR="00EE0B8B">
              <w:rPr>
                <w:rFonts w:ascii="Times New Roman" w:eastAsia="Times New Roman" w:hAnsi="Times New Roman"/>
                <w:sz w:val="24"/>
                <w:szCs w:val="24"/>
              </w:rPr>
              <w:t>2</w:t>
            </w:r>
            <w:r w:rsidR="006F0FD2">
              <w:rPr>
                <w:rFonts w:ascii="Times New Roman" w:eastAsia="Times New Roman" w:hAnsi="Times New Roman"/>
                <w:sz w:val="24"/>
                <w:szCs w:val="24"/>
              </w:rPr>
              <w:t>.</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F116E5" w:rsidRPr="00F116E5" w:rsidP="00F116E5" w14:paraId="26796A78"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F116E5" w:rsidRPr="00F116E5" w:rsidP="00F116E5" w14:paraId="1AF64ED2"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0A7D443F"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C3297A" w:rsidRPr="00F116E5" w:rsidP="00C3297A" w14:paraId="0D9F654B" w14:textId="219A03FC">
            <w:pPr>
              <w:rPr>
                <w:rFonts w:ascii="Times New Roman" w:hAnsi="Times New Roman" w:cs="Times New Roman"/>
                <w:sz w:val="24"/>
              </w:rPr>
            </w:pPr>
            <w:bookmarkEnd w:id="0"/>
            <w:r w:rsidRPr="00F116E5">
              <w:rPr>
                <w:rFonts w:ascii="Times New Roman" w:hAnsi="Times New Roman" w:cs="Times New Roman"/>
                <w:sz w:val="24"/>
              </w:rPr>
              <w:t xml:space="preserve">Regulas Nr.651/2014 </w:t>
            </w:r>
            <w:r w:rsidR="00B21D88">
              <w:rPr>
                <w:rFonts w:ascii="Times New Roman" w:hAnsi="Times New Roman" w:cs="Times New Roman"/>
                <w:sz w:val="24"/>
              </w:rPr>
              <w:t xml:space="preserve">18.panta 3.punkts, </w:t>
            </w:r>
            <w:r w:rsidRPr="00F116E5">
              <w:rPr>
                <w:rFonts w:ascii="Times New Roman" w:hAnsi="Times New Roman" w:cs="Times New Roman"/>
                <w:sz w:val="24"/>
              </w:rPr>
              <w:t xml:space="preserve">25.panta </w:t>
            </w:r>
            <w:r>
              <w:rPr>
                <w:rFonts w:ascii="Times New Roman" w:hAnsi="Times New Roman" w:cs="Times New Roman"/>
                <w:sz w:val="24"/>
              </w:rPr>
              <w:t>3. un 4</w:t>
            </w:r>
            <w:r w:rsidRPr="00F116E5">
              <w:rPr>
                <w:rFonts w:ascii="Times New Roman" w:hAnsi="Times New Roman" w:cs="Times New Roman"/>
                <w:sz w:val="24"/>
              </w:rPr>
              <w:t>.punkt</w:t>
            </w:r>
            <w:r>
              <w:rPr>
                <w:rFonts w:ascii="Times New Roman" w:hAnsi="Times New Roman" w:cs="Times New Roman"/>
                <w:sz w:val="24"/>
              </w:rPr>
              <w:t>s, 28.panta 2</w:t>
            </w:r>
            <w:r w:rsidR="004023B3">
              <w:rPr>
                <w:rFonts w:ascii="Times New Roman" w:hAnsi="Times New Roman" w:cs="Times New Roman"/>
                <w:sz w:val="24"/>
              </w:rPr>
              <w:t>.punkta “a</w:t>
            </w:r>
            <w:r w:rsidR="007D46F0">
              <w:rPr>
                <w:rFonts w:ascii="Times New Roman" w:hAnsi="Times New Roman" w:cs="Times New Roman"/>
                <w:sz w:val="24"/>
              </w:rPr>
              <w:t>” a</w:t>
            </w:r>
            <w:r w:rsidR="004023B3">
              <w:rPr>
                <w:rFonts w:ascii="Times New Roman" w:hAnsi="Times New Roman" w:cs="Times New Roman"/>
                <w:sz w:val="24"/>
              </w:rPr>
              <w:t>pakšpunkts</w:t>
            </w:r>
          </w:p>
        </w:tc>
        <w:tc>
          <w:tcPr>
            <w:tcW w:w="1063" w:type="pct"/>
            <w:tcBorders>
              <w:top w:val="outset" w:sz="6" w:space="0" w:color="auto"/>
              <w:left w:val="outset" w:sz="6" w:space="0" w:color="auto"/>
              <w:bottom w:val="outset" w:sz="6" w:space="0" w:color="auto"/>
              <w:right w:val="outset" w:sz="6" w:space="0" w:color="auto"/>
            </w:tcBorders>
          </w:tcPr>
          <w:p w:rsidR="00C3297A" w:rsidRPr="00F116E5" w:rsidP="00C3297A" w14:paraId="36FDB1D6" w14:textId="2C97A793">
            <w:pPr>
              <w:rPr>
                <w:rFonts w:ascii="Times New Roman" w:hAnsi="Times New Roman" w:cs="Times New Roman"/>
                <w:sz w:val="24"/>
              </w:rPr>
            </w:pPr>
            <w:r w:rsidRPr="00F116E5">
              <w:rPr>
                <w:rFonts w:ascii="Times New Roman" w:hAnsi="Times New Roman" w:cs="Times New Roman"/>
                <w:sz w:val="24"/>
              </w:rPr>
              <w:t xml:space="preserve">Noteikumu projekta </w:t>
            </w:r>
            <w:r w:rsidR="003F096A">
              <w:rPr>
                <w:rFonts w:ascii="Times New Roman" w:eastAsia="Times New Roman" w:hAnsi="Times New Roman"/>
                <w:sz w:val="24"/>
                <w:szCs w:val="24"/>
              </w:rPr>
              <w:t>5</w:t>
            </w:r>
            <w:r w:rsidR="00EE0B8B">
              <w:rPr>
                <w:rFonts w:ascii="Times New Roman" w:eastAsia="Times New Roman" w:hAnsi="Times New Roman"/>
                <w:sz w:val="24"/>
                <w:szCs w:val="24"/>
              </w:rPr>
              <w:t>2</w:t>
            </w:r>
            <w:r>
              <w:rPr>
                <w:rFonts w:ascii="Times New Roman" w:eastAsia="Times New Roman" w:hAnsi="Times New Roman"/>
                <w:sz w:val="24"/>
                <w:szCs w:val="24"/>
              </w:rPr>
              <w:t>.</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C3297A" w:rsidRPr="00F116E5" w:rsidP="00C3297A" w14:paraId="3D9C2314" w14:textId="4E8F012D">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C3297A" w:rsidRPr="00F116E5" w:rsidP="00C3297A" w14:paraId="29FA82EB" w14:textId="5F2CE873">
            <w:pPr>
              <w:jc w:val="center"/>
              <w:rPr>
                <w:rFonts w:ascii="Times New Roman" w:hAnsi="Times New Roman" w:cs="Times New Roman"/>
                <w:color w:val="000000"/>
                <w:sz w:val="24"/>
              </w:rPr>
            </w:pPr>
            <w:r w:rsidRPr="00F116E5">
              <w:rPr>
                <w:rFonts w:ascii="Times New Roman" w:hAnsi="Times New Roman" w:cs="Times New Roman"/>
                <w:color w:val="000000"/>
                <w:sz w:val="24"/>
              </w:rPr>
              <w:t>Stingrākas prasības neparedz</w:t>
            </w:r>
          </w:p>
        </w:tc>
      </w:tr>
      <w:tr w14:paraId="57770D3E"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C3297A" w:rsidRPr="00F116E5" w:rsidP="00C3297A" w14:paraId="1CAEAF0B" w14:textId="6F73D0B1">
            <w:pPr>
              <w:rPr>
                <w:rFonts w:ascii="Times New Roman" w:hAnsi="Times New Roman" w:cs="Times New Roman"/>
                <w:sz w:val="24"/>
              </w:rPr>
            </w:pPr>
            <w:r w:rsidRPr="00F116E5">
              <w:rPr>
                <w:rFonts w:ascii="Times New Roman" w:hAnsi="Times New Roman" w:cs="Times New Roman"/>
                <w:sz w:val="24"/>
              </w:rPr>
              <w:t>Regulas Nr.651/2014</w:t>
            </w:r>
            <w:r>
              <w:rPr>
                <w:rFonts w:ascii="Times New Roman" w:hAnsi="Times New Roman" w:cs="Times New Roman"/>
                <w:sz w:val="24"/>
              </w:rPr>
              <w:t xml:space="preserve"> </w:t>
            </w:r>
            <w:r w:rsidR="003F096A">
              <w:rPr>
                <w:rFonts w:ascii="Times New Roman" w:hAnsi="Times New Roman" w:cs="Times New Roman"/>
                <w:sz w:val="24"/>
              </w:rPr>
              <w:t>2.panta 24.punkts</w:t>
            </w:r>
            <w:r w:rsidR="0074428A">
              <w:rPr>
                <w:rFonts w:ascii="Times New Roman" w:hAnsi="Times New Roman" w:cs="Times New Roman"/>
                <w:sz w:val="24"/>
              </w:rPr>
              <w:t>, 1.pielikums</w:t>
            </w:r>
          </w:p>
        </w:tc>
        <w:tc>
          <w:tcPr>
            <w:tcW w:w="1063" w:type="pct"/>
            <w:tcBorders>
              <w:top w:val="outset" w:sz="6" w:space="0" w:color="auto"/>
              <w:left w:val="outset" w:sz="6" w:space="0" w:color="auto"/>
              <w:bottom w:val="outset" w:sz="6" w:space="0" w:color="auto"/>
              <w:right w:val="outset" w:sz="6" w:space="0" w:color="auto"/>
            </w:tcBorders>
          </w:tcPr>
          <w:p w:rsidR="00C3297A" w:rsidRPr="00F116E5" w:rsidP="00C3297A" w14:paraId="747E026C" w14:textId="510481C0">
            <w:pPr>
              <w:rPr>
                <w:rFonts w:ascii="Times New Roman" w:hAnsi="Times New Roman" w:cs="Times New Roman"/>
                <w:sz w:val="24"/>
              </w:rPr>
            </w:pPr>
            <w:r>
              <w:rPr>
                <w:rFonts w:ascii="Times New Roman" w:hAnsi="Times New Roman" w:cs="Times New Roman"/>
                <w:sz w:val="24"/>
              </w:rPr>
              <w:t>Noteikumu projekta 2</w:t>
            </w:r>
            <w:r w:rsidR="0074428A">
              <w:rPr>
                <w:rFonts w:ascii="Times New Roman" w:hAnsi="Times New Roman" w:cs="Times New Roman"/>
                <w:sz w:val="24"/>
              </w:rPr>
              <w:t>4</w:t>
            </w:r>
            <w:r>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C3297A" w:rsidRPr="00F116E5" w:rsidP="00C3297A" w14:paraId="212FE9BD" w14:textId="2157BF8A">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tc>
        <w:tc>
          <w:tcPr>
            <w:tcW w:w="1676" w:type="pct"/>
            <w:tcBorders>
              <w:top w:val="outset" w:sz="6" w:space="0" w:color="auto"/>
              <w:left w:val="outset" w:sz="6" w:space="0" w:color="auto"/>
              <w:bottom w:val="outset" w:sz="6" w:space="0" w:color="auto"/>
              <w:right w:val="outset" w:sz="6" w:space="0" w:color="auto"/>
            </w:tcBorders>
          </w:tcPr>
          <w:p w:rsidR="00C3297A" w:rsidRPr="00F116E5" w:rsidP="00C3297A" w14:paraId="4626BEEB" w14:textId="5907F53B">
            <w:pPr>
              <w:jc w:val="center"/>
              <w:rPr>
                <w:rFonts w:ascii="Times New Roman" w:hAnsi="Times New Roman" w:cs="Times New Roman"/>
                <w:color w:val="000000"/>
                <w:sz w:val="24"/>
              </w:rPr>
            </w:pPr>
            <w:r w:rsidRPr="00F116E5">
              <w:rPr>
                <w:rFonts w:ascii="Times New Roman" w:hAnsi="Times New Roman" w:cs="Times New Roman"/>
                <w:color w:val="000000"/>
                <w:sz w:val="24"/>
              </w:rPr>
              <w:t>Stingrākas prasības neparedz</w:t>
            </w:r>
          </w:p>
        </w:tc>
      </w:tr>
      <w:tr w14:paraId="4E3D77EF"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C3297A" w:rsidRPr="00F116E5" w:rsidP="00C3297A" w14:paraId="02730C24" w14:textId="75DEADDA">
            <w:pPr>
              <w:rPr>
                <w:rFonts w:ascii="Times New Roman" w:hAnsi="Times New Roman" w:cs="Times New Roman"/>
                <w:sz w:val="24"/>
              </w:rPr>
            </w:pPr>
            <w:r w:rsidRPr="00F116E5">
              <w:rPr>
                <w:rFonts w:ascii="Times New Roman" w:hAnsi="Times New Roman" w:cs="Times New Roman"/>
                <w:sz w:val="24"/>
              </w:rPr>
              <w:t>Vispārēja atsauce uz Regulas Nr. 651/2014 darbības periodu</w:t>
            </w:r>
          </w:p>
        </w:tc>
        <w:tc>
          <w:tcPr>
            <w:tcW w:w="1063" w:type="pct"/>
            <w:tcBorders>
              <w:top w:val="outset" w:sz="6" w:space="0" w:color="auto"/>
              <w:left w:val="outset" w:sz="6" w:space="0" w:color="auto"/>
              <w:bottom w:val="outset" w:sz="6" w:space="0" w:color="auto"/>
              <w:right w:val="outset" w:sz="6" w:space="0" w:color="auto"/>
            </w:tcBorders>
          </w:tcPr>
          <w:p w:rsidR="00C3297A" w:rsidRPr="00F116E5" w:rsidP="00C3297A" w14:paraId="12A56040" w14:textId="34F28A4D">
            <w:pPr>
              <w:rPr>
                <w:rFonts w:ascii="Times New Roman" w:hAnsi="Times New Roman" w:cs="Times New Roman"/>
                <w:sz w:val="24"/>
              </w:rPr>
            </w:pPr>
            <w:r w:rsidRPr="00F116E5">
              <w:rPr>
                <w:rFonts w:ascii="Times New Roman" w:hAnsi="Times New Roman" w:cs="Times New Roman"/>
                <w:sz w:val="24"/>
              </w:rPr>
              <w:t xml:space="preserve">Noteikumu projekta </w:t>
            </w:r>
            <w:r w:rsidR="00D34F6B">
              <w:rPr>
                <w:rFonts w:ascii="Times New Roman" w:hAnsi="Times New Roman" w:cs="Times New Roman"/>
                <w:sz w:val="24"/>
              </w:rPr>
              <w:t>5</w:t>
            </w:r>
            <w:r w:rsidR="00EE0B8B">
              <w:rPr>
                <w:rFonts w:ascii="Times New Roman" w:hAnsi="Times New Roman" w:cs="Times New Roman"/>
                <w:sz w:val="24"/>
              </w:rPr>
              <w:t>2</w:t>
            </w:r>
            <w:r w:rsidRPr="00F116E5">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C3297A" w:rsidRPr="00F116E5" w:rsidP="00C3297A" w14:paraId="6D6A404E" w14:textId="77777777">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p w:rsidR="00C3297A" w:rsidRPr="00F116E5" w:rsidP="00C3297A" w14:paraId="2031E500" w14:textId="77777777">
            <w:pPr>
              <w:jc w:val="center"/>
              <w:rPr>
                <w:rFonts w:ascii="Times New Roman" w:hAnsi="Times New Roman" w:cs="Times New Roman"/>
                <w:iCs/>
                <w:color w:val="000000"/>
                <w:sz w:val="24"/>
              </w:rPr>
            </w:pPr>
          </w:p>
        </w:tc>
        <w:tc>
          <w:tcPr>
            <w:tcW w:w="1676" w:type="pct"/>
            <w:tcBorders>
              <w:top w:val="outset" w:sz="6" w:space="0" w:color="auto"/>
              <w:left w:val="outset" w:sz="6" w:space="0" w:color="auto"/>
              <w:bottom w:val="outset" w:sz="6" w:space="0" w:color="auto"/>
              <w:right w:val="outset" w:sz="6" w:space="0" w:color="auto"/>
            </w:tcBorders>
          </w:tcPr>
          <w:p w:rsidR="00C3297A" w:rsidRPr="00F116E5" w:rsidP="00C3297A" w14:paraId="352B03CC" w14:textId="77777777">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14:paraId="42492042"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tcPr>
          <w:p w:rsidR="00DD0325" w:rsidP="00DD0325" w14:paraId="6452F010" w14:textId="487E18F5">
            <w:pPr>
              <w:rPr>
                <w:rFonts w:ascii="Times New Roman" w:hAnsi="Times New Roman" w:cs="Times New Roman"/>
                <w:sz w:val="24"/>
              </w:rPr>
            </w:pPr>
            <w:r>
              <w:rPr>
                <w:rFonts w:ascii="Times New Roman" w:hAnsi="Times New Roman" w:cs="Times New Roman"/>
                <w:sz w:val="24"/>
              </w:rPr>
              <w:t>Vispārēja atsauce uz Regulu</w:t>
            </w:r>
            <w:r w:rsidRPr="00F116E5">
              <w:rPr>
                <w:rFonts w:ascii="Times New Roman" w:hAnsi="Times New Roman" w:cs="Times New Roman"/>
                <w:sz w:val="24"/>
              </w:rPr>
              <w:t xml:space="preserve"> Nr. </w:t>
            </w:r>
            <w:r>
              <w:rPr>
                <w:rFonts w:ascii="Times New Roman" w:hAnsi="Times New Roman" w:cs="Times New Roman"/>
                <w:sz w:val="24"/>
              </w:rPr>
              <w:t>1407/2013</w:t>
            </w:r>
          </w:p>
        </w:tc>
        <w:tc>
          <w:tcPr>
            <w:tcW w:w="1063" w:type="pct"/>
            <w:tcBorders>
              <w:top w:val="outset" w:sz="6" w:space="0" w:color="auto"/>
              <w:left w:val="outset" w:sz="6" w:space="0" w:color="auto"/>
              <w:bottom w:val="outset" w:sz="6" w:space="0" w:color="auto"/>
              <w:right w:val="outset" w:sz="6" w:space="0" w:color="auto"/>
            </w:tcBorders>
          </w:tcPr>
          <w:p w:rsidR="00DD0325" w:rsidP="00DD0325" w14:paraId="5CD074F8" w14:textId="2A328C6D">
            <w:pPr>
              <w:rPr>
                <w:rFonts w:ascii="Times New Roman" w:hAnsi="Times New Roman" w:cs="Times New Roman"/>
                <w:sz w:val="24"/>
              </w:rPr>
            </w:pPr>
            <w:r>
              <w:rPr>
                <w:rFonts w:ascii="Times New Roman" w:hAnsi="Times New Roman" w:cs="Times New Roman"/>
                <w:sz w:val="24"/>
              </w:rPr>
              <w:t>Noteikumu projekta</w:t>
            </w:r>
            <w:r w:rsidR="00C66120">
              <w:rPr>
                <w:rFonts w:ascii="Times New Roman" w:hAnsi="Times New Roman" w:cs="Times New Roman"/>
                <w:sz w:val="24"/>
              </w:rPr>
              <w:t xml:space="preserve"> 4</w:t>
            </w:r>
            <w:r w:rsidR="00EE0B8B">
              <w:rPr>
                <w:rFonts w:ascii="Times New Roman" w:hAnsi="Times New Roman" w:cs="Times New Roman"/>
                <w:sz w:val="24"/>
              </w:rPr>
              <w:t>9</w:t>
            </w:r>
            <w:r w:rsidR="00C66120">
              <w:rPr>
                <w:rFonts w:ascii="Times New Roman" w:hAnsi="Times New Roman" w:cs="Times New Roman"/>
                <w:sz w:val="24"/>
              </w:rPr>
              <w:t>. un</w:t>
            </w:r>
            <w:r>
              <w:rPr>
                <w:rFonts w:ascii="Times New Roman" w:hAnsi="Times New Roman" w:cs="Times New Roman"/>
                <w:sz w:val="24"/>
              </w:rPr>
              <w:t xml:space="preserve"> </w:t>
            </w:r>
            <w:r w:rsidR="00EE0B8B">
              <w:rPr>
                <w:rFonts w:ascii="Times New Roman" w:hAnsi="Times New Roman" w:cs="Times New Roman"/>
                <w:sz w:val="24"/>
              </w:rPr>
              <w:t>50</w:t>
            </w:r>
            <w:r>
              <w:rPr>
                <w:rFonts w:ascii="Times New Roman" w:hAnsi="Times New Roman" w:cs="Times New Roman"/>
                <w:sz w:val="24"/>
              </w:rPr>
              <w:t>.punkts</w:t>
            </w:r>
          </w:p>
        </w:tc>
        <w:tc>
          <w:tcPr>
            <w:tcW w:w="1116" w:type="pct"/>
            <w:tcBorders>
              <w:top w:val="outset" w:sz="6" w:space="0" w:color="auto"/>
              <w:left w:val="outset" w:sz="6" w:space="0" w:color="auto"/>
              <w:bottom w:val="outset" w:sz="6" w:space="0" w:color="auto"/>
              <w:right w:val="outset" w:sz="6" w:space="0" w:color="auto"/>
            </w:tcBorders>
          </w:tcPr>
          <w:p w:rsidR="00DD0325" w:rsidRPr="00F116E5" w:rsidP="00DD0325" w14:paraId="7B79307C" w14:textId="77777777">
            <w:pPr>
              <w:jc w:val="center"/>
              <w:rPr>
                <w:rFonts w:ascii="Times New Roman" w:hAnsi="Times New Roman" w:cs="Times New Roman"/>
                <w:color w:val="000000"/>
                <w:sz w:val="24"/>
              </w:rPr>
            </w:pPr>
            <w:r w:rsidRPr="00F116E5">
              <w:rPr>
                <w:rFonts w:ascii="Times New Roman" w:hAnsi="Times New Roman" w:cs="Times New Roman"/>
                <w:color w:val="000000"/>
                <w:sz w:val="24"/>
              </w:rPr>
              <w:t>Ieviests pilnībā.</w:t>
            </w:r>
          </w:p>
          <w:p w:rsidR="00DD0325" w:rsidRPr="00F116E5" w:rsidP="00DD0325" w14:paraId="44244228" w14:textId="77777777">
            <w:pPr>
              <w:jc w:val="center"/>
              <w:rPr>
                <w:rFonts w:ascii="Times New Roman" w:hAnsi="Times New Roman" w:cs="Times New Roman"/>
                <w:color w:val="000000"/>
                <w:sz w:val="24"/>
              </w:rPr>
            </w:pPr>
          </w:p>
        </w:tc>
        <w:tc>
          <w:tcPr>
            <w:tcW w:w="1676" w:type="pct"/>
            <w:tcBorders>
              <w:top w:val="outset" w:sz="6" w:space="0" w:color="auto"/>
              <w:left w:val="outset" w:sz="6" w:space="0" w:color="auto"/>
              <w:bottom w:val="outset" w:sz="6" w:space="0" w:color="auto"/>
              <w:right w:val="outset" w:sz="6" w:space="0" w:color="auto"/>
            </w:tcBorders>
          </w:tcPr>
          <w:p w:rsidR="00DD0325" w:rsidRPr="00F116E5" w:rsidP="00DD0325" w14:paraId="3E0AE03C" w14:textId="7345FFB4">
            <w:pPr>
              <w:jc w:val="center"/>
              <w:rPr>
                <w:rFonts w:ascii="Times New Roman" w:hAnsi="Times New Roman" w:cs="Times New Roman"/>
                <w:color w:val="000000"/>
                <w:sz w:val="24"/>
              </w:rPr>
            </w:pPr>
            <w:r w:rsidRPr="00F116E5">
              <w:rPr>
                <w:rFonts w:ascii="Times New Roman" w:hAnsi="Times New Roman" w:cs="Times New Roman"/>
                <w:color w:val="000000"/>
                <w:sz w:val="24"/>
              </w:rPr>
              <w:t>Stingrākas prasības neparedz</w:t>
            </w:r>
          </w:p>
        </w:tc>
      </w:tr>
      <w:tr w14:paraId="5925948A"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rsidR="00C3297A" w:rsidRPr="00487661" w:rsidP="00C3297A" w14:paraId="272EE8F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87" w:type="pct"/>
            <w:gridSpan w:val="3"/>
            <w:tcBorders>
              <w:top w:val="outset" w:sz="6" w:space="0" w:color="auto"/>
              <w:left w:val="outset" w:sz="6" w:space="0" w:color="auto"/>
              <w:bottom w:val="outset" w:sz="6" w:space="0" w:color="auto"/>
              <w:right w:val="outset" w:sz="6" w:space="0" w:color="auto"/>
            </w:tcBorders>
            <w:hideMark/>
          </w:tcPr>
          <w:p w:rsidR="00C3297A" w:rsidRPr="002A4D17" w:rsidP="00C3297A" w14:paraId="4DABF6BD" w14:textId="6DADD53C">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14:paraId="498EEB45"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rsidR="00C3297A" w:rsidRPr="00487661" w:rsidP="00C3297A" w14:paraId="11C050D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7" w:type="pct"/>
            <w:gridSpan w:val="3"/>
            <w:tcBorders>
              <w:top w:val="outset" w:sz="6" w:space="0" w:color="auto"/>
              <w:left w:val="outset" w:sz="6" w:space="0" w:color="auto"/>
              <w:bottom w:val="outset" w:sz="6" w:space="0" w:color="auto"/>
              <w:right w:val="outset" w:sz="6" w:space="0" w:color="auto"/>
            </w:tcBorders>
            <w:hideMark/>
          </w:tcPr>
          <w:p w:rsidR="00C3297A" w:rsidP="00C3297A" w14:paraId="3E388C43" w14:textId="2918522C">
            <w:pPr>
              <w:spacing w:after="0" w:line="240" w:lineRule="auto"/>
              <w:rPr>
                <w:rFonts w:ascii="Times New Roman" w:hAnsi="Times New Roman" w:cs="Times New Roman"/>
                <w:iCs/>
                <w:color w:val="000000"/>
                <w:sz w:val="24"/>
              </w:rPr>
            </w:pPr>
          </w:p>
          <w:p w:rsidR="00C3297A" w:rsidP="00C3297A" w14:paraId="22417F4D" w14:textId="620F836C">
            <w:pPr>
              <w:spacing w:after="0" w:line="240" w:lineRule="auto"/>
              <w:rPr>
                <w:rFonts w:ascii="Times New Roman" w:eastAsia="Times New Roman" w:hAnsi="Times New Roman" w:cs="Times New Roman"/>
                <w:iCs/>
                <w:sz w:val="24"/>
                <w:szCs w:val="24"/>
                <w:lang w:eastAsia="lv-LV"/>
              </w:rPr>
            </w:pPr>
          </w:p>
          <w:p w:rsidR="00CB0FC1" w:rsidP="00C3297A" w14:paraId="105D2898" w14:textId="77777777">
            <w:pPr>
              <w:spacing w:after="0" w:line="240" w:lineRule="auto"/>
              <w:rPr>
                <w:rFonts w:ascii="Times New Roman" w:eastAsia="Times New Roman" w:hAnsi="Times New Roman" w:cs="Times New Roman"/>
                <w:iCs/>
                <w:sz w:val="24"/>
                <w:szCs w:val="24"/>
                <w:lang w:eastAsia="lv-LV"/>
              </w:rPr>
            </w:pPr>
          </w:p>
          <w:p w:rsidR="00CB0FC1" w:rsidRPr="002A4D17" w:rsidP="00C3297A" w14:paraId="19EA38BA" w14:textId="2EBE5852">
            <w:pPr>
              <w:spacing w:after="0" w:line="240" w:lineRule="auto"/>
              <w:rPr>
                <w:rFonts w:ascii="Times New Roman" w:eastAsia="Times New Roman" w:hAnsi="Times New Roman" w:cs="Times New Roman"/>
                <w:iCs/>
                <w:sz w:val="24"/>
                <w:szCs w:val="24"/>
                <w:lang w:eastAsia="lv-LV"/>
              </w:rPr>
            </w:pPr>
            <w:r w:rsidRPr="00CB0FC1">
              <w:rPr>
                <w:rFonts w:ascii="Times New Roman" w:eastAsia="Times New Roman" w:hAnsi="Times New Roman" w:cs="Times New Roman"/>
                <w:iCs/>
                <w:sz w:val="24"/>
                <w:szCs w:val="24"/>
                <w:lang w:eastAsia="lv-LV"/>
              </w:rPr>
              <w:t>20 darbdienu laikā no atbalsta pasākuma stāšanās spēkā Eiropas Komisijai tiks nosūtīta kopsavilkuma informācija par atbalsta pasākumu, izmantojot Komisijas elektroniskās paziņošanas sistēmu, ievērojot regulas Nr.651/2014 11.panta a)apakšpunktu.</w:t>
            </w:r>
          </w:p>
        </w:tc>
      </w:tr>
      <w:tr w14:paraId="42622371" w14:textId="77777777" w:rsidTr="00BC3634">
        <w:tblPrEx>
          <w:tblW w:w="5000" w:type="pct"/>
          <w:tblCellSpacing w:w="15" w:type="dxa"/>
          <w:tblCellMar>
            <w:top w:w="30" w:type="dxa"/>
            <w:left w:w="30" w:type="dxa"/>
            <w:bottom w:w="30" w:type="dxa"/>
            <w:right w:w="30" w:type="dxa"/>
          </w:tblCellMar>
          <w:tblLook w:val="04A0"/>
        </w:tblPrEx>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rsidR="00C3297A" w:rsidRPr="00487661" w:rsidP="00C3297A" w14:paraId="0AE49CA6"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887" w:type="pct"/>
            <w:gridSpan w:val="3"/>
            <w:tcBorders>
              <w:top w:val="outset" w:sz="6" w:space="0" w:color="auto"/>
              <w:left w:val="outset" w:sz="6" w:space="0" w:color="auto"/>
              <w:bottom w:val="outset" w:sz="6" w:space="0" w:color="auto"/>
              <w:right w:val="outset" w:sz="6" w:space="0" w:color="auto"/>
            </w:tcBorders>
            <w:hideMark/>
          </w:tcPr>
          <w:p w:rsidR="00C3297A" w:rsidRPr="00487661" w:rsidP="00C3297A" w14:paraId="7F5A32F7" w14:textId="05A3A6D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12A607B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297A" w:rsidRPr="00487661" w:rsidP="00C3297A" w14:paraId="49F68DAD"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2. tabula</w:t>
            </w:r>
            <w:r w:rsidRPr="0048766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87661">
              <w:rPr>
                <w:rFonts w:ascii="Times New Roman" w:eastAsia="Times New Roman" w:hAnsi="Times New Roman" w:cs="Times New Roman"/>
                <w:b/>
                <w:bCs/>
                <w:iCs/>
                <w:sz w:val="24"/>
                <w:szCs w:val="24"/>
                <w:lang w:eastAsia="lv-LV"/>
              </w:rPr>
              <w:br/>
              <w:t>Pasākumi šo saistību izpildei</w:t>
            </w:r>
          </w:p>
        </w:tc>
      </w:tr>
      <w:tr w14:paraId="15E5B5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C3297A" w:rsidRPr="0055608A" w:rsidP="00C3297A" w14:paraId="3BB7D150" w14:textId="637D9158">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iCs/>
                <w:color w:val="000000"/>
                <w:sz w:val="24"/>
              </w:rPr>
              <w:t>P</w:t>
            </w:r>
            <w:r w:rsidRPr="0055608A">
              <w:rPr>
                <w:rFonts w:ascii="Times New Roman" w:hAnsi="Times New Roman" w:cs="Times New Roman"/>
                <w:iCs/>
                <w:color w:val="000000"/>
                <w:sz w:val="24"/>
              </w:rPr>
              <w:t>rojekts šo jomu neskar.</w:t>
            </w:r>
          </w:p>
        </w:tc>
      </w:tr>
    </w:tbl>
    <w:p w:rsidR="00E5323B" w:rsidRPr="00487661" w:rsidP="00E5323B" w14:paraId="64FD79A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01"/>
        <w:gridCol w:w="3260"/>
        <w:gridCol w:w="5661"/>
      </w:tblGrid>
      <w:tr w14:paraId="765A8021" w14:textId="77777777" w:rsidTr="00473514">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6B31F39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14:paraId="4A21590A"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08F26C8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57391D6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7B3F93" w14:paraId="4528D287" w14:textId="75EBFA07">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14:paraId="0B00F44C"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7C619FDC"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rsidR="00E5323B" w:rsidRPr="004A246F" w:rsidP="00E5323B" w14:paraId="483EA2D9" w14:textId="77777777">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rsidR="00473514" w:rsidP="00983780" w14:paraId="0B63437B" w14:textId="4CAA8E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2018.gada </w:t>
            </w:r>
            <w:r w:rsidR="002F349B">
              <w:rPr>
                <w:rFonts w:ascii="Times New Roman" w:eastAsia="Times New Roman" w:hAnsi="Times New Roman" w:cs="Times New Roman"/>
                <w:iCs/>
                <w:sz w:val="24"/>
                <w:szCs w:val="24"/>
                <w:lang w:eastAsia="lv-LV"/>
              </w:rPr>
              <w:t>16</w:t>
            </w:r>
            <w:r w:rsidRPr="004A246F">
              <w:rPr>
                <w:rFonts w:ascii="Times New Roman" w:eastAsia="Times New Roman" w:hAnsi="Times New Roman" w:cs="Times New Roman"/>
                <w:iCs/>
                <w:sz w:val="24"/>
                <w:szCs w:val="24"/>
                <w:lang w:eastAsia="lv-LV"/>
              </w:rPr>
              <w:t>.janvārī</w:t>
            </w:r>
            <w:r>
              <w:rPr>
                <w:rFonts w:ascii="Times New Roman" w:eastAsia="Times New Roman" w:hAnsi="Times New Roman" w:cs="Times New Roman"/>
                <w:iCs/>
                <w:sz w:val="24"/>
                <w:szCs w:val="24"/>
                <w:lang w:eastAsia="lv-LV"/>
              </w:rPr>
              <w:t xml:space="preserve"> ievietots </w:t>
            </w:r>
            <w:r w:rsidRPr="007B3F93" w:rsidR="007B3F9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ministrijas tīmekļa vietnē:</w:t>
            </w:r>
          </w:p>
          <w:p w:rsidR="007B3F93" w:rsidRPr="00473514" w:rsidP="00983780" w14:paraId="25FA3646" w14:textId="7898053B">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"https://em.gov.lv/lv/par_ministriju/sabiedribas_lidzdaliba/diskusiju_dokumenti/industriala_politika/" </w:instrText>
            </w:r>
            <w:r>
              <w:fldChar w:fldCharType="separate"/>
            </w:r>
            <w:r w:rsidRPr="001F21EF" w:rsidR="00473514">
              <w:rPr>
                <w:rStyle w:val="Hyperlink"/>
              </w:rPr>
              <w:t>https://em.gov.lv/lv/par_ministriju/sabiedribas_lidzdaliba/diskusiju_dokumenti/industriala_politika/</w:t>
            </w:r>
            <w:r>
              <w:fldChar w:fldCharType="end"/>
            </w:r>
            <w:r w:rsidR="00795649">
              <w:rPr>
                <w:rFonts w:ascii="Times New Roman" w:eastAsia="Times New Roman" w:hAnsi="Times New Roman" w:cs="Times New Roman"/>
                <w:iCs/>
                <w:sz w:val="24"/>
                <w:szCs w:val="24"/>
                <w:lang w:eastAsia="lv-LV"/>
              </w:rPr>
              <w:t xml:space="preserve">, lūdzot sniegt priekšlikumus par projektu līdz 2018.gada </w:t>
            </w:r>
            <w:r w:rsidR="002F349B">
              <w:rPr>
                <w:rFonts w:ascii="Times New Roman" w:eastAsia="Times New Roman" w:hAnsi="Times New Roman" w:cs="Times New Roman"/>
                <w:iCs/>
                <w:sz w:val="24"/>
                <w:szCs w:val="24"/>
                <w:lang w:eastAsia="lv-LV"/>
              </w:rPr>
              <w:t>30</w:t>
            </w:r>
            <w:r w:rsidRPr="004A246F" w:rsidR="004A246F">
              <w:rPr>
                <w:rFonts w:ascii="Times New Roman" w:eastAsia="Times New Roman" w:hAnsi="Times New Roman" w:cs="Times New Roman"/>
                <w:iCs/>
                <w:sz w:val="24"/>
                <w:szCs w:val="24"/>
                <w:lang w:eastAsia="lv-LV"/>
              </w:rPr>
              <w:t>.janvārim.</w:t>
            </w:r>
          </w:p>
        </w:tc>
      </w:tr>
      <w:tr w14:paraId="6BC05F4E"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3EA8CB6B"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6C90B07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E5323B" w14:paraId="05CEDB51" w14:textId="7CC28A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6F0A3C98" w14:textId="77777777" w:rsidTr="00473514">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655F2C" w:rsidRPr="00487661" w:rsidP="00E5323B" w14:paraId="4E152BF8"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rsidR="00E5323B" w:rsidRPr="00487661" w:rsidP="00E5323B" w14:paraId="1D44B405"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rsidR="00E5323B" w:rsidRPr="00487661" w:rsidP="00E5323B" w14:paraId="6FBADF02" w14:textId="6AFCC1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487661" w:rsidP="00E5323B" w14:paraId="76C39092"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14:paraId="345D30C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7661" w:rsidP="00E5323B" w14:paraId="478E2CE5" w14:textId="77777777">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DC5A2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7624DEC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7F82DFF0"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26D45" w:rsidP="00B26D45" w14:paraId="5AD5F931" w14:textId="3F37E35F">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 un Latvijas Investīciju un attīstības aģentūra</w:t>
            </w:r>
            <w:r w:rsidRPr="00B26D45">
              <w:rPr>
                <w:rFonts w:ascii="Times New Roman" w:hAnsi="Times New Roman" w:cs="Times New Roman"/>
                <w:sz w:val="24"/>
              </w:rPr>
              <w:t xml:space="preserve"> kā projekta īstenotājs, kā arī Centrālā finanšu un līgumu aģentūra kā sadarbības iestāde.</w:t>
            </w:r>
          </w:p>
        </w:tc>
      </w:tr>
      <w:tr w14:paraId="2D8AF3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01EA3B03"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11E6A634"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B26D45" w14:paraId="5882D0A3" w14:textId="6A370FD0">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14:paraId="34135BF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7661" w:rsidP="00E5323B" w14:paraId="46AA74B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7661" w:rsidP="00E5323B" w14:paraId="144D816E" w14:textId="77777777">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7661" w:rsidP="00E5323B" w14:paraId="7C6B1BB8" w14:textId="4A16D1A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487661" w:rsidP="00894C55" w14:paraId="65BC62A8" w14:textId="77777777">
      <w:pPr>
        <w:spacing w:after="0" w:line="240" w:lineRule="auto"/>
        <w:rPr>
          <w:rFonts w:ascii="Times New Roman" w:hAnsi="Times New Roman" w:cs="Times New Roman"/>
          <w:sz w:val="28"/>
          <w:szCs w:val="28"/>
        </w:rPr>
      </w:pPr>
    </w:p>
    <w:p w:rsidR="00E5323B" w:rsidRPr="00487661" w:rsidP="00894C55" w14:paraId="0721A2E6" w14:textId="77777777">
      <w:pPr>
        <w:spacing w:after="0" w:line="240" w:lineRule="auto"/>
        <w:rPr>
          <w:rFonts w:ascii="Times New Roman" w:hAnsi="Times New Roman" w:cs="Times New Roman"/>
          <w:sz w:val="28"/>
          <w:szCs w:val="28"/>
        </w:rPr>
      </w:pPr>
    </w:p>
    <w:p w:rsidR="00CF69CD" w:rsidRPr="00CF69CD" w:rsidP="00CF69CD" w14:paraId="07C7C45D" w14:textId="77777777">
      <w:pPr>
        <w:spacing w:after="0" w:line="240" w:lineRule="auto"/>
        <w:jc w:val="both"/>
        <w:rPr>
          <w:rFonts w:ascii="Times New Roman" w:hAnsi="Times New Roman" w:cs="Times New Roman"/>
          <w:sz w:val="24"/>
        </w:rPr>
      </w:pPr>
      <w:r w:rsidRPr="00CF69CD">
        <w:rPr>
          <w:rFonts w:ascii="Times New Roman" w:hAnsi="Times New Roman" w:cs="Times New Roman"/>
          <w:sz w:val="24"/>
        </w:rPr>
        <w:t>Ministru prezidenta biedrs,</w:t>
      </w:r>
    </w:p>
    <w:p w:rsidR="00CF69CD" w:rsidRPr="00CF69CD" w:rsidP="00CF69CD" w14:paraId="15C4E20E" w14:textId="77777777">
      <w:pPr>
        <w:spacing w:after="0" w:line="240" w:lineRule="auto"/>
        <w:rPr>
          <w:rFonts w:ascii="Times New Roman" w:hAnsi="Times New Roman" w:cs="Times New Roman"/>
          <w:sz w:val="24"/>
        </w:rPr>
      </w:pPr>
      <w:r w:rsidRPr="00CF69CD">
        <w:rPr>
          <w:rFonts w:ascii="Times New Roman" w:hAnsi="Times New Roman" w:cs="Times New Roman"/>
          <w:sz w:val="24"/>
        </w:rPr>
        <w:t xml:space="preserve">ekonomikas ministrs </w:t>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A.Ašeradens</w:t>
      </w:r>
    </w:p>
    <w:p w:rsidR="003F024F" w:rsidP="00CC6694" w14:paraId="2A98F5C8" w14:textId="6F7DF67E">
      <w:pPr>
        <w:tabs>
          <w:tab w:val="left" w:pos="6237"/>
        </w:tabs>
        <w:spacing w:after="0" w:line="240" w:lineRule="auto"/>
        <w:rPr>
          <w:rFonts w:ascii="Times New Roman" w:hAnsi="Times New Roman" w:cs="Times New Roman"/>
          <w:sz w:val="28"/>
          <w:szCs w:val="28"/>
        </w:rPr>
      </w:pPr>
    </w:p>
    <w:p w:rsidR="00DD0159" w:rsidP="00CC6694" w14:paraId="4E664406" w14:textId="444C701F">
      <w:pPr>
        <w:tabs>
          <w:tab w:val="left" w:pos="6237"/>
        </w:tabs>
        <w:spacing w:after="0" w:line="240" w:lineRule="auto"/>
        <w:rPr>
          <w:rFonts w:ascii="Times New Roman" w:hAnsi="Times New Roman" w:cs="Times New Roman"/>
          <w:sz w:val="28"/>
          <w:szCs w:val="28"/>
        </w:rPr>
      </w:pPr>
    </w:p>
    <w:p w:rsidR="00DD0159" w:rsidP="00CC6694" w14:paraId="43763C37" w14:textId="29F0D37D">
      <w:pPr>
        <w:tabs>
          <w:tab w:val="left" w:pos="6237"/>
        </w:tabs>
        <w:spacing w:after="0" w:line="240" w:lineRule="auto"/>
        <w:rPr>
          <w:rFonts w:ascii="Times New Roman" w:hAnsi="Times New Roman" w:cs="Times New Roman"/>
          <w:sz w:val="28"/>
          <w:szCs w:val="28"/>
        </w:rPr>
      </w:pPr>
    </w:p>
    <w:p w:rsidR="00DD0159" w:rsidRPr="00487661" w:rsidP="00CC6694" w14:paraId="16EE1D28" w14:textId="77777777">
      <w:pPr>
        <w:tabs>
          <w:tab w:val="left" w:pos="6237"/>
        </w:tabs>
        <w:spacing w:after="0" w:line="240" w:lineRule="auto"/>
        <w:rPr>
          <w:rFonts w:ascii="Times New Roman" w:hAnsi="Times New Roman" w:cs="Times New Roman"/>
          <w:sz w:val="28"/>
          <w:szCs w:val="28"/>
        </w:rPr>
      </w:pPr>
      <w:bookmarkStart w:id="1" w:name="_GoBack"/>
      <w:bookmarkEnd w:id="1"/>
    </w:p>
    <w:p w:rsidR="00894C55" w:rsidRPr="00CC6694" w:rsidP="00894C55" w14:paraId="617E6D9F" w14:textId="3614530C">
      <w:pPr>
        <w:tabs>
          <w:tab w:val="left" w:pos="6237"/>
        </w:tabs>
        <w:spacing w:after="0" w:line="240" w:lineRule="auto"/>
        <w:rPr>
          <w:rFonts w:ascii="Times New Roman" w:hAnsi="Times New Roman" w:cs="Times New Roman"/>
          <w:sz w:val="20"/>
          <w:szCs w:val="28"/>
        </w:rPr>
      </w:pPr>
      <w:r w:rsidRPr="00CC6694">
        <w:rPr>
          <w:rFonts w:ascii="Times New Roman" w:hAnsi="Times New Roman" w:cs="Times New Roman"/>
          <w:sz w:val="20"/>
          <w:szCs w:val="28"/>
        </w:rPr>
        <w:t>Rubika,</w:t>
      </w:r>
      <w:r w:rsidRPr="00CC6694" w:rsidR="00D133F8">
        <w:rPr>
          <w:rFonts w:ascii="Times New Roman" w:hAnsi="Times New Roman" w:cs="Times New Roman"/>
          <w:sz w:val="20"/>
          <w:szCs w:val="28"/>
        </w:rPr>
        <w:t xml:space="preserve"> </w:t>
      </w:r>
      <w:r w:rsidRPr="00CC6694">
        <w:rPr>
          <w:rFonts w:ascii="Times New Roman" w:hAnsi="Times New Roman" w:cs="Times New Roman"/>
          <w:sz w:val="20"/>
          <w:szCs w:val="28"/>
        </w:rPr>
        <w:t>67013022</w:t>
      </w:r>
    </w:p>
    <w:p w:rsidR="00894C55" w:rsidRPr="00CC6694" w:rsidP="00894C55" w14:paraId="4A405549" w14:textId="245D880F">
      <w:pPr>
        <w:tabs>
          <w:tab w:val="left" w:pos="6237"/>
        </w:tabs>
        <w:spacing w:after="0" w:line="240" w:lineRule="auto"/>
        <w:rPr>
          <w:rFonts w:ascii="Times New Roman" w:hAnsi="Times New Roman" w:cs="Times New Roman"/>
          <w:sz w:val="20"/>
          <w:szCs w:val="28"/>
        </w:rPr>
      </w:pPr>
      <w:r>
        <w:fldChar w:fldCharType="begin"/>
      </w:r>
      <w:r>
        <w:instrText xml:space="preserve"> HYPERLINK "mailto:Iveta.Rubika@em.gov.lv" </w:instrText>
      </w:r>
      <w:r>
        <w:fldChar w:fldCharType="separate"/>
      </w:r>
      <w:r w:rsidRPr="00CC6694" w:rsidR="00CF69CD">
        <w:rPr>
          <w:rStyle w:val="Hyperlink"/>
          <w:rFonts w:ascii="Times New Roman" w:hAnsi="Times New Roman" w:cs="Times New Roman"/>
          <w:sz w:val="20"/>
          <w:szCs w:val="28"/>
        </w:rPr>
        <w:t>Iveta.Rubika@em.gov.lv</w:t>
      </w:r>
      <w:r>
        <w:fldChar w:fldCharType="end"/>
      </w:r>
      <w:r w:rsidRPr="00CC6694" w:rsidR="00CF69CD">
        <w:rPr>
          <w:rFonts w:ascii="Times New Roman" w:hAnsi="Times New Roman" w:cs="Times New Roman"/>
          <w:sz w:val="20"/>
          <w:szCs w:val="28"/>
        </w:rPr>
        <w:t xml:space="preserve"> </w:t>
      </w:r>
    </w:p>
    <w:sectPr w:rsidSect="00CC6472">
      <w:headerReference w:type="default" r:id="rId5"/>
      <w:footerReference w:type="default" r:id="rId6"/>
      <w:footerReference w:type="first" r:id="rId7"/>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DB7CC0" w:rsidP="00DB7CC0" w14:paraId="51632431" w14:textId="2301C522">
    <w:pPr>
      <w:pStyle w:val="Footer"/>
      <w:jc w:val="both"/>
      <w:rPr>
        <w:rFonts w:ascii="Times New Roman" w:hAnsi="Times New Roman" w:cs="Times New Roman"/>
      </w:rPr>
    </w:pPr>
    <w:r>
      <w:rPr>
        <w:rFonts w:ascii="Times New Roman" w:hAnsi="Times New Roman" w:cs="Times New Roman"/>
        <w:bCs/>
        <w:noProof/>
        <w:sz w:val="20"/>
        <w:szCs w:val="20"/>
      </w:rPr>
      <w:t>EMAnot_</w:t>
    </w:r>
    <w:r w:rsidR="00986274">
      <w:rPr>
        <w:rFonts w:ascii="Times New Roman" w:hAnsi="Times New Roman" w:cs="Times New Roman"/>
        <w:bCs/>
        <w:noProof/>
        <w:sz w:val="20"/>
        <w:szCs w:val="20"/>
      </w:rPr>
      <w:t>31</w:t>
    </w:r>
    <w:r w:rsidR="00D019AB">
      <w:rPr>
        <w:rFonts w:ascii="Times New Roman" w:hAnsi="Times New Roman" w:cs="Times New Roman"/>
        <w:bCs/>
        <w:noProof/>
        <w:sz w:val="20"/>
        <w:szCs w:val="20"/>
      </w:rPr>
      <w:t>07</w:t>
    </w:r>
    <w:r>
      <w:rPr>
        <w:rFonts w:ascii="Times New Roman" w:hAnsi="Times New Roman" w:cs="Times New Roman"/>
        <w:bCs/>
        <w:noProof/>
        <w:sz w:val="20"/>
        <w:szCs w:val="20"/>
      </w:rPr>
      <w:t>18</w:t>
    </w:r>
    <w:r w:rsidRPr="00DB7CC0" w:rsidR="00DB7CC0">
      <w:rPr>
        <w:rFonts w:ascii="Times New Roman" w:hAnsi="Times New Roman" w:cs="Times New Roman"/>
        <w:bCs/>
        <w:noProof/>
        <w:sz w:val="20"/>
        <w:szCs w:val="20"/>
      </w:rPr>
      <w:t>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DB7CC0" w:rsidP="00DB7CC0" w14:paraId="668566BB" w14:textId="3B48E83F">
    <w:pPr>
      <w:pStyle w:val="Footer"/>
      <w:jc w:val="both"/>
      <w:rPr>
        <w:rFonts w:ascii="Times New Roman" w:hAnsi="Times New Roman" w:cs="Times New Roman"/>
      </w:rPr>
    </w:pPr>
    <w:r>
      <w:rPr>
        <w:rFonts w:ascii="Times New Roman" w:hAnsi="Times New Roman" w:cs="Times New Roman"/>
        <w:bCs/>
        <w:noProof/>
        <w:sz w:val="20"/>
        <w:szCs w:val="20"/>
      </w:rPr>
      <w:t>EMAnot_</w:t>
    </w:r>
    <w:r w:rsidR="00986274">
      <w:rPr>
        <w:rFonts w:ascii="Times New Roman" w:hAnsi="Times New Roman" w:cs="Times New Roman"/>
        <w:bCs/>
        <w:noProof/>
        <w:sz w:val="20"/>
        <w:szCs w:val="20"/>
      </w:rPr>
      <w:t>31</w:t>
    </w:r>
    <w:r w:rsidR="00D019AB">
      <w:rPr>
        <w:rFonts w:ascii="Times New Roman" w:hAnsi="Times New Roman" w:cs="Times New Roman"/>
        <w:bCs/>
        <w:noProof/>
        <w:sz w:val="20"/>
        <w:szCs w:val="20"/>
      </w:rPr>
      <w:t>07</w:t>
    </w:r>
    <w:r>
      <w:rPr>
        <w:rFonts w:ascii="Times New Roman" w:hAnsi="Times New Roman" w:cs="Times New Roman"/>
        <w:bCs/>
        <w:noProof/>
        <w:sz w:val="20"/>
        <w:szCs w:val="20"/>
      </w:rPr>
      <w:t>18</w:t>
    </w:r>
    <w:r w:rsidRPr="00DB7CC0" w:rsidR="00DB7CC0">
      <w:rPr>
        <w:rFonts w:ascii="Times New Roman" w:hAnsi="Times New Roman" w:cs="Times New Roman"/>
        <w:bCs/>
        <w:noProof/>
        <w:sz w:val="20"/>
        <w:szCs w:val="20"/>
      </w:rPr>
      <w:t>_groz692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7828655"/>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620F274B" w14:textId="169F36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22D5">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C67448"/>
    <w:multiLevelType w:val="hybridMultilevel"/>
    <w:tmpl w:val="C09247E0"/>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F5"/>
    <w:rsid w:val="00006C2C"/>
    <w:rsid w:val="00011975"/>
    <w:rsid w:val="00026F5A"/>
    <w:rsid w:val="000307AF"/>
    <w:rsid w:val="00030996"/>
    <w:rsid w:val="0003439A"/>
    <w:rsid w:val="00041AC5"/>
    <w:rsid w:val="0005362A"/>
    <w:rsid w:val="00055D4A"/>
    <w:rsid w:val="00056B7A"/>
    <w:rsid w:val="000577E8"/>
    <w:rsid w:val="000621B7"/>
    <w:rsid w:val="000740EB"/>
    <w:rsid w:val="00091902"/>
    <w:rsid w:val="0009560B"/>
    <w:rsid w:val="00095B40"/>
    <w:rsid w:val="000A5019"/>
    <w:rsid w:val="000B2F5B"/>
    <w:rsid w:val="000B3FFE"/>
    <w:rsid w:val="000C1B32"/>
    <w:rsid w:val="000C23A4"/>
    <w:rsid w:val="000C2DA0"/>
    <w:rsid w:val="000C3C8B"/>
    <w:rsid w:val="000C5405"/>
    <w:rsid w:val="000C7A78"/>
    <w:rsid w:val="000D0E77"/>
    <w:rsid w:val="000D67CE"/>
    <w:rsid w:val="000D7098"/>
    <w:rsid w:val="001011E8"/>
    <w:rsid w:val="0011073D"/>
    <w:rsid w:val="0011233B"/>
    <w:rsid w:val="00112955"/>
    <w:rsid w:val="00120820"/>
    <w:rsid w:val="0013767C"/>
    <w:rsid w:val="00150DE0"/>
    <w:rsid w:val="00162656"/>
    <w:rsid w:val="0017086A"/>
    <w:rsid w:val="00175902"/>
    <w:rsid w:val="0019010E"/>
    <w:rsid w:val="00190AB1"/>
    <w:rsid w:val="00192C0D"/>
    <w:rsid w:val="001B1C14"/>
    <w:rsid w:val="001B5138"/>
    <w:rsid w:val="001B571A"/>
    <w:rsid w:val="001C0DA0"/>
    <w:rsid w:val="001C329C"/>
    <w:rsid w:val="001C46D4"/>
    <w:rsid w:val="001C5A1B"/>
    <w:rsid w:val="001C5C23"/>
    <w:rsid w:val="001C717D"/>
    <w:rsid w:val="001D0637"/>
    <w:rsid w:val="001D6E01"/>
    <w:rsid w:val="001E007E"/>
    <w:rsid w:val="001E0233"/>
    <w:rsid w:val="001E2915"/>
    <w:rsid w:val="001E783B"/>
    <w:rsid w:val="001F21EF"/>
    <w:rsid w:val="001F2DAC"/>
    <w:rsid w:val="001F46B9"/>
    <w:rsid w:val="001F71E9"/>
    <w:rsid w:val="00207BF4"/>
    <w:rsid w:val="00211C1B"/>
    <w:rsid w:val="00216C4F"/>
    <w:rsid w:val="00216D67"/>
    <w:rsid w:val="00221A5A"/>
    <w:rsid w:val="00227E59"/>
    <w:rsid w:val="00232C70"/>
    <w:rsid w:val="002342B5"/>
    <w:rsid w:val="002364E8"/>
    <w:rsid w:val="00243426"/>
    <w:rsid w:val="00247BBA"/>
    <w:rsid w:val="002534D1"/>
    <w:rsid w:val="002665FE"/>
    <w:rsid w:val="00267F34"/>
    <w:rsid w:val="00272F61"/>
    <w:rsid w:val="00273DD7"/>
    <w:rsid w:val="00287BB5"/>
    <w:rsid w:val="002928E6"/>
    <w:rsid w:val="002A4D17"/>
    <w:rsid w:val="002A6005"/>
    <w:rsid w:val="002C40B1"/>
    <w:rsid w:val="002C512C"/>
    <w:rsid w:val="002D145D"/>
    <w:rsid w:val="002D4E7F"/>
    <w:rsid w:val="002E1C05"/>
    <w:rsid w:val="002E2F05"/>
    <w:rsid w:val="002E39C0"/>
    <w:rsid w:val="002E4E5A"/>
    <w:rsid w:val="002E798B"/>
    <w:rsid w:val="002F0F4A"/>
    <w:rsid w:val="002F2BA1"/>
    <w:rsid w:val="002F349B"/>
    <w:rsid w:val="002F40CF"/>
    <w:rsid w:val="002F4CC3"/>
    <w:rsid w:val="002F7EFD"/>
    <w:rsid w:val="00304544"/>
    <w:rsid w:val="003079B0"/>
    <w:rsid w:val="003129F5"/>
    <w:rsid w:val="00314B5C"/>
    <w:rsid w:val="00325B93"/>
    <w:rsid w:val="003301BF"/>
    <w:rsid w:val="0033151A"/>
    <w:rsid w:val="00337547"/>
    <w:rsid w:val="00345B07"/>
    <w:rsid w:val="0034756C"/>
    <w:rsid w:val="00355A8C"/>
    <w:rsid w:val="00362F4A"/>
    <w:rsid w:val="003751AD"/>
    <w:rsid w:val="00377022"/>
    <w:rsid w:val="0037707A"/>
    <w:rsid w:val="00383CB9"/>
    <w:rsid w:val="00383D42"/>
    <w:rsid w:val="003A1517"/>
    <w:rsid w:val="003B0BF9"/>
    <w:rsid w:val="003B7C3E"/>
    <w:rsid w:val="003C4FA7"/>
    <w:rsid w:val="003D3F72"/>
    <w:rsid w:val="003D5576"/>
    <w:rsid w:val="003E0791"/>
    <w:rsid w:val="003E28C7"/>
    <w:rsid w:val="003E3DE1"/>
    <w:rsid w:val="003E6003"/>
    <w:rsid w:val="003F024F"/>
    <w:rsid w:val="003F096A"/>
    <w:rsid w:val="003F0A08"/>
    <w:rsid w:val="003F0D5B"/>
    <w:rsid w:val="003F28AC"/>
    <w:rsid w:val="00400F9E"/>
    <w:rsid w:val="004023B3"/>
    <w:rsid w:val="0041030E"/>
    <w:rsid w:val="00414781"/>
    <w:rsid w:val="00414A03"/>
    <w:rsid w:val="0042037A"/>
    <w:rsid w:val="00426924"/>
    <w:rsid w:val="00431D24"/>
    <w:rsid w:val="00431F5C"/>
    <w:rsid w:val="004351A0"/>
    <w:rsid w:val="004428B7"/>
    <w:rsid w:val="00444072"/>
    <w:rsid w:val="004454FE"/>
    <w:rsid w:val="00447B49"/>
    <w:rsid w:val="00452B0A"/>
    <w:rsid w:val="004557AB"/>
    <w:rsid w:val="00456E40"/>
    <w:rsid w:val="004637CC"/>
    <w:rsid w:val="004646FE"/>
    <w:rsid w:val="00464947"/>
    <w:rsid w:val="00465EE3"/>
    <w:rsid w:val="00471F27"/>
    <w:rsid w:val="00473514"/>
    <w:rsid w:val="00475218"/>
    <w:rsid w:val="0048312B"/>
    <w:rsid w:val="00487661"/>
    <w:rsid w:val="0049255D"/>
    <w:rsid w:val="0049361D"/>
    <w:rsid w:val="004942E4"/>
    <w:rsid w:val="004A246F"/>
    <w:rsid w:val="004A3ED7"/>
    <w:rsid w:val="004B50F5"/>
    <w:rsid w:val="004B64C2"/>
    <w:rsid w:val="004C55C6"/>
    <w:rsid w:val="004C7664"/>
    <w:rsid w:val="004F1F02"/>
    <w:rsid w:val="004F7B5E"/>
    <w:rsid w:val="0050178F"/>
    <w:rsid w:val="00501BE3"/>
    <w:rsid w:val="00506A24"/>
    <w:rsid w:val="0051445F"/>
    <w:rsid w:val="00514E69"/>
    <w:rsid w:val="00526F49"/>
    <w:rsid w:val="00532852"/>
    <w:rsid w:val="005337D2"/>
    <w:rsid w:val="00542267"/>
    <w:rsid w:val="00542EED"/>
    <w:rsid w:val="0054304C"/>
    <w:rsid w:val="0054400B"/>
    <w:rsid w:val="005531D5"/>
    <w:rsid w:val="0055608A"/>
    <w:rsid w:val="00556CE7"/>
    <w:rsid w:val="00557FAE"/>
    <w:rsid w:val="00563955"/>
    <w:rsid w:val="00572B9E"/>
    <w:rsid w:val="00594F86"/>
    <w:rsid w:val="005972D3"/>
    <w:rsid w:val="005A6FD0"/>
    <w:rsid w:val="005B52C8"/>
    <w:rsid w:val="005B5E5C"/>
    <w:rsid w:val="005C7B74"/>
    <w:rsid w:val="005D5E36"/>
    <w:rsid w:val="005E13A4"/>
    <w:rsid w:val="005E2CE5"/>
    <w:rsid w:val="005E320B"/>
    <w:rsid w:val="005E4A41"/>
    <w:rsid w:val="005F5115"/>
    <w:rsid w:val="00602587"/>
    <w:rsid w:val="00611D55"/>
    <w:rsid w:val="00612F5B"/>
    <w:rsid w:val="0062004D"/>
    <w:rsid w:val="00634752"/>
    <w:rsid w:val="006364F3"/>
    <w:rsid w:val="00636A19"/>
    <w:rsid w:val="006373E1"/>
    <w:rsid w:val="00646FC6"/>
    <w:rsid w:val="00654121"/>
    <w:rsid w:val="00655F2C"/>
    <w:rsid w:val="0065647E"/>
    <w:rsid w:val="006674C3"/>
    <w:rsid w:val="00670AE5"/>
    <w:rsid w:val="006801C6"/>
    <w:rsid w:val="00684C23"/>
    <w:rsid w:val="006861CE"/>
    <w:rsid w:val="00686BF3"/>
    <w:rsid w:val="0069322F"/>
    <w:rsid w:val="00695570"/>
    <w:rsid w:val="00695664"/>
    <w:rsid w:val="006A03D5"/>
    <w:rsid w:val="006A6126"/>
    <w:rsid w:val="006B259A"/>
    <w:rsid w:val="006C4BCB"/>
    <w:rsid w:val="006C5CF0"/>
    <w:rsid w:val="006C7817"/>
    <w:rsid w:val="006D1B1B"/>
    <w:rsid w:val="006D37E5"/>
    <w:rsid w:val="006E1081"/>
    <w:rsid w:val="006E62D2"/>
    <w:rsid w:val="006F0FD2"/>
    <w:rsid w:val="006F25CF"/>
    <w:rsid w:val="006F404D"/>
    <w:rsid w:val="006F5153"/>
    <w:rsid w:val="006F5E42"/>
    <w:rsid w:val="00701934"/>
    <w:rsid w:val="0071055D"/>
    <w:rsid w:val="00720585"/>
    <w:rsid w:val="00726B84"/>
    <w:rsid w:val="00732C4C"/>
    <w:rsid w:val="00737C18"/>
    <w:rsid w:val="00741326"/>
    <w:rsid w:val="00741EAE"/>
    <w:rsid w:val="0074428A"/>
    <w:rsid w:val="00750025"/>
    <w:rsid w:val="00765FBB"/>
    <w:rsid w:val="0077337E"/>
    <w:rsid w:val="00773AF6"/>
    <w:rsid w:val="00780A02"/>
    <w:rsid w:val="0078311D"/>
    <w:rsid w:val="00787DD2"/>
    <w:rsid w:val="00787E2C"/>
    <w:rsid w:val="007936FB"/>
    <w:rsid w:val="00795649"/>
    <w:rsid w:val="00795F71"/>
    <w:rsid w:val="007A2BF2"/>
    <w:rsid w:val="007B3F93"/>
    <w:rsid w:val="007C195D"/>
    <w:rsid w:val="007C7F4F"/>
    <w:rsid w:val="007D46F0"/>
    <w:rsid w:val="007D50EE"/>
    <w:rsid w:val="007D7381"/>
    <w:rsid w:val="007E23B7"/>
    <w:rsid w:val="007E2852"/>
    <w:rsid w:val="007E5A8F"/>
    <w:rsid w:val="007E5F7A"/>
    <w:rsid w:val="007E73AB"/>
    <w:rsid w:val="007F4E3C"/>
    <w:rsid w:val="007F5C34"/>
    <w:rsid w:val="00813164"/>
    <w:rsid w:val="00816C11"/>
    <w:rsid w:val="00816DD6"/>
    <w:rsid w:val="00817798"/>
    <w:rsid w:val="0082035C"/>
    <w:rsid w:val="00825E6D"/>
    <w:rsid w:val="00830534"/>
    <w:rsid w:val="00831373"/>
    <w:rsid w:val="00835079"/>
    <w:rsid w:val="00835229"/>
    <w:rsid w:val="00842562"/>
    <w:rsid w:val="00845DC0"/>
    <w:rsid w:val="0085183E"/>
    <w:rsid w:val="0086077B"/>
    <w:rsid w:val="008645FC"/>
    <w:rsid w:val="0086526C"/>
    <w:rsid w:val="00871A9B"/>
    <w:rsid w:val="008729C6"/>
    <w:rsid w:val="00873608"/>
    <w:rsid w:val="008775D1"/>
    <w:rsid w:val="008802EF"/>
    <w:rsid w:val="00884EF7"/>
    <w:rsid w:val="00894C55"/>
    <w:rsid w:val="008A7374"/>
    <w:rsid w:val="008C6EEE"/>
    <w:rsid w:val="008D2F52"/>
    <w:rsid w:val="008D39EB"/>
    <w:rsid w:val="008D68FC"/>
    <w:rsid w:val="008E104C"/>
    <w:rsid w:val="008E3ED5"/>
    <w:rsid w:val="008E771C"/>
    <w:rsid w:val="008F0518"/>
    <w:rsid w:val="008F3BA7"/>
    <w:rsid w:val="00906FDD"/>
    <w:rsid w:val="00906FF2"/>
    <w:rsid w:val="00913579"/>
    <w:rsid w:val="009144C3"/>
    <w:rsid w:val="00915A2F"/>
    <w:rsid w:val="009204D7"/>
    <w:rsid w:val="009317C9"/>
    <w:rsid w:val="0093466B"/>
    <w:rsid w:val="00934773"/>
    <w:rsid w:val="00934B6D"/>
    <w:rsid w:val="00941CF7"/>
    <w:rsid w:val="0095242F"/>
    <w:rsid w:val="009543C7"/>
    <w:rsid w:val="00954E03"/>
    <w:rsid w:val="00960B93"/>
    <w:rsid w:val="00967A13"/>
    <w:rsid w:val="0097107F"/>
    <w:rsid w:val="0098126F"/>
    <w:rsid w:val="00981A62"/>
    <w:rsid w:val="00982641"/>
    <w:rsid w:val="00983780"/>
    <w:rsid w:val="00983B4D"/>
    <w:rsid w:val="00983D4A"/>
    <w:rsid w:val="00986274"/>
    <w:rsid w:val="00991598"/>
    <w:rsid w:val="009A2654"/>
    <w:rsid w:val="009A5FA9"/>
    <w:rsid w:val="009A635E"/>
    <w:rsid w:val="009B08FA"/>
    <w:rsid w:val="009B2B13"/>
    <w:rsid w:val="009C1D19"/>
    <w:rsid w:val="009C3B94"/>
    <w:rsid w:val="009C5C05"/>
    <w:rsid w:val="009C6F4B"/>
    <w:rsid w:val="009D0584"/>
    <w:rsid w:val="009D1178"/>
    <w:rsid w:val="009E471B"/>
    <w:rsid w:val="009E62E3"/>
    <w:rsid w:val="009E6309"/>
    <w:rsid w:val="009E6653"/>
    <w:rsid w:val="009E7D11"/>
    <w:rsid w:val="009F2929"/>
    <w:rsid w:val="00A00EBF"/>
    <w:rsid w:val="00A0114E"/>
    <w:rsid w:val="00A03BBA"/>
    <w:rsid w:val="00A10FC3"/>
    <w:rsid w:val="00A122D2"/>
    <w:rsid w:val="00A14094"/>
    <w:rsid w:val="00A15209"/>
    <w:rsid w:val="00A17B14"/>
    <w:rsid w:val="00A26404"/>
    <w:rsid w:val="00A269F8"/>
    <w:rsid w:val="00A27636"/>
    <w:rsid w:val="00A332F6"/>
    <w:rsid w:val="00A37F51"/>
    <w:rsid w:val="00A43DF5"/>
    <w:rsid w:val="00A45AB0"/>
    <w:rsid w:val="00A51B4F"/>
    <w:rsid w:val="00A52600"/>
    <w:rsid w:val="00A6073E"/>
    <w:rsid w:val="00A6179F"/>
    <w:rsid w:val="00A6751D"/>
    <w:rsid w:val="00A67FF8"/>
    <w:rsid w:val="00A707D5"/>
    <w:rsid w:val="00A70A3B"/>
    <w:rsid w:val="00A71427"/>
    <w:rsid w:val="00A71DD6"/>
    <w:rsid w:val="00A75039"/>
    <w:rsid w:val="00A80535"/>
    <w:rsid w:val="00A8639F"/>
    <w:rsid w:val="00A9761D"/>
    <w:rsid w:val="00AA43E8"/>
    <w:rsid w:val="00AB6711"/>
    <w:rsid w:val="00AC3B6F"/>
    <w:rsid w:val="00AD477F"/>
    <w:rsid w:val="00AE3727"/>
    <w:rsid w:val="00AE457C"/>
    <w:rsid w:val="00AE5567"/>
    <w:rsid w:val="00AF1239"/>
    <w:rsid w:val="00AF7E80"/>
    <w:rsid w:val="00B074DA"/>
    <w:rsid w:val="00B07EC6"/>
    <w:rsid w:val="00B11664"/>
    <w:rsid w:val="00B13507"/>
    <w:rsid w:val="00B16480"/>
    <w:rsid w:val="00B2041C"/>
    <w:rsid w:val="00B2165C"/>
    <w:rsid w:val="00B21D88"/>
    <w:rsid w:val="00B25443"/>
    <w:rsid w:val="00B26D45"/>
    <w:rsid w:val="00B272EB"/>
    <w:rsid w:val="00B32035"/>
    <w:rsid w:val="00B51CA9"/>
    <w:rsid w:val="00B53237"/>
    <w:rsid w:val="00B579A5"/>
    <w:rsid w:val="00B66F6A"/>
    <w:rsid w:val="00B675DE"/>
    <w:rsid w:val="00B87B0E"/>
    <w:rsid w:val="00B90BF2"/>
    <w:rsid w:val="00B92E64"/>
    <w:rsid w:val="00B93744"/>
    <w:rsid w:val="00B93BC8"/>
    <w:rsid w:val="00BA20AA"/>
    <w:rsid w:val="00BA5EDB"/>
    <w:rsid w:val="00BA6A57"/>
    <w:rsid w:val="00BB1E65"/>
    <w:rsid w:val="00BB4F20"/>
    <w:rsid w:val="00BB6AE8"/>
    <w:rsid w:val="00BC16B9"/>
    <w:rsid w:val="00BC3634"/>
    <w:rsid w:val="00BC47FB"/>
    <w:rsid w:val="00BD4425"/>
    <w:rsid w:val="00BD6793"/>
    <w:rsid w:val="00BE2455"/>
    <w:rsid w:val="00BE2F85"/>
    <w:rsid w:val="00BE6144"/>
    <w:rsid w:val="00BF2AAE"/>
    <w:rsid w:val="00C0035E"/>
    <w:rsid w:val="00C07A9E"/>
    <w:rsid w:val="00C13951"/>
    <w:rsid w:val="00C139D9"/>
    <w:rsid w:val="00C155B9"/>
    <w:rsid w:val="00C17CF1"/>
    <w:rsid w:val="00C209EA"/>
    <w:rsid w:val="00C20F2A"/>
    <w:rsid w:val="00C23343"/>
    <w:rsid w:val="00C25B49"/>
    <w:rsid w:val="00C3297A"/>
    <w:rsid w:val="00C34419"/>
    <w:rsid w:val="00C43531"/>
    <w:rsid w:val="00C45AC4"/>
    <w:rsid w:val="00C5033B"/>
    <w:rsid w:val="00C55590"/>
    <w:rsid w:val="00C565DE"/>
    <w:rsid w:val="00C57AC0"/>
    <w:rsid w:val="00C602DD"/>
    <w:rsid w:val="00C65D9B"/>
    <w:rsid w:val="00C66120"/>
    <w:rsid w:val="00C678BE"/>
    <w:rsid w:val="00C7350E"/>
    <w:rsid w:val="00C7784A"/>
    <w:rsid w:val="00C77DA6"/>
    <w:rsid w:val="00C825EB"/>
    <w:rsid w:val="00C83367"/>
    <w:rsid w:val="00C84977"/>
    <w:rsid w:val="00C8556F"/>
    <w:rsid w:val="00C92469"/>
    <w:rsid w:val="00C95848"/>
    <w:rsid w:val="00C96EC9"/>
    <w:rsid w:val="00CA0C39"/>
    <w:rsid w:val="00CA0D93"/>
    <w:rsid w:val="00CB0FC1"/>
    <w:rsid w:val="00CC0D2D"/>
    <w:rsid w:val="00CC6472"/>
    <w:rsid w:val="00CC6694"/>
    <w:rsid w:val="00CD32F1"/>
    <w:rsid w:val="00CD6028"/>
    <w:rsid w:val="00CD720D"/>
    <w:rsid w:val="00CD7D63"/>
    <w:rsid w:val="00CE28E5"/>
    <w:rsid w:val="00CE33E6"/>
    <w:rsid w:val="00CE5657"/>
    <w:rsid w:val="00CE63A8"/>
    <w:rsid w:val="00CE765A"/>
    <w:rsid w:val="00CF0AAB"/>
    <w:rsid w:val="00CF0C91"/>
    <w:rsid w:val="00CF3A69"/>
    <w:rsid w:val="00CF612E"/>
    <w:rsid w:val="00CF69CD"/>
    <w:rsid w:val="00D019AB"/>
    <w:rsid w:val="00D133F8"/>
    <w:rsid w:val="00D14A3E"/>
    <w:rsid w:val="00D267C9"/>
    <w:rsid w:val="00D32B7A"/>
    <w:rsid w:val="00D34F6B"/>
    <w:rsid w:val="00D52983"/>
    <w:rsid w:val="00D540F8"/>
    <w:rsid w:val="00D626CB"/>
    <w:rsid w:val="00D64585"/>
    <w:rsid w:val="00D66B7D"/>
    <w:rsid w:val="00D67F8E"/>
    <w:rsid w:val="00D775FF"/>
    <w:rsid w:val="00D81728"/>
    <w:rsid w:val="00D8360B"/>
    <w:rsid w:val="00D87E06"/>
    <w:rsid w:val="00DA1291"/>
    <w:rsid w:val="00DA6182"/>
    <w:rsid w:val="00DB7CC0"/>
    <w:rsid w:val="00DC0A71"/>
    <w:rsid w:val="00DC22D5"/>
    <w:rsid w:val="00DC7712"/>
    <w:rsid w:val="00DD0159"/>
    <w:rsid w:val="00DD0325"/>
    <w:rsid w:val="00DD6657"/>
    <w:rsid w:val="00DD66B5"/>
    <w:rsid w:val="00DD7268"/>
    <w:rsid w:val="00DF650B"/>
    <w:rsid w:val="00DF760E"/>
    <w:rsid w:val="00DF7915"/>
    <w:rsid w:val="00E01D97"/>
    <w:rsid w:val="00E060D3"/>
    <w:rsid w:val="00E061BD"/>
    <w:rsid w:val="00E066BB"/>
    <w:rsid w:val="00E076C5"/>
    <w:rsid w:val="00E140A6"/>
    <w:rsid w:val="00E20460"/>
    <w:rsid w:val="00E22526"/>
    <w:rsid w:val="00E27573"/>
    <w:rsid w:val="00E27DB3"/>
    <w:rsid w:val="00E30120"/>
    <w:rsid w:val="00E33C0A"/>
    <w:rsid w:val="00E350B3"/>
    <w:rsid w:val="00E3716B"/>
    <w:rsid w:val="00E46515"/>
    <w:rsid w:val="00E47BA0"/>
    <w:rsid w:val="00E5323B"/>
    <w:rsid w:val="00E534C4"/>
    <w:rsid w:val="00E8704E"/>
    <w:rsid w:val="00E8749E"/>
    <w:rsid w:val="00E90C01"/>
    <w:rsid w:val="00E9328B"/>
    <w:rsid w:val="00E93E87"/>
    <w:rsid w:val="00E94FEC"/>
    <w:rsid w:val="00EA486E"/>
    <w:rsid w:val="00EA4C9D"/>
    <w:rsid w:val="00EA7583"/>
    <w:rsid w:val="00EB2221"/>
    <w:rsid w:val="00EC1F24"/>
    <w:rsid w:val="00EC279B"/>
    <w:rsid w:val="00EC43DF"/>
    <w:rsid w:val="00EC4749"/>
    <w:rsid w:val="00ED0AED"/>
    <w:rsid w:val="00EE0B8B"/>
    <w:rsid w:val="00EF3A64"/>
    <w:rsid w:val="00EF3E5A"/>
    <w:rsid w:val="00EF496E"/>
    <w:rsid w:val="00F001B9"/>
    <w:rsid w:val="00F02589"/>
    <w:rsid w:val="00F072B9"/>
    <w:rsid w:val="00F116E5"/>
    <w:rsid w:val="00F16053"/>
    <w:rsid w:val="00F2479F"/>
    <w:rsid w:val="00F52041"/>
    <w:rsid w:val="00F56EB8"/>
    <w:rsid w:val="00F57B0C"/>
    <w:rsid w:val="00F605B6"/>
    <w:rsid w:val="00F7129A"/>
    <w:rsid w:val="00F8471C"/>
    <w:rsid w:val="00F8662F"/>
    <w:rsid w:val="00FA203B"/>
    <w:rsid w:val="00FA3ED6"/>
    <w:rsid w:val="00FA5A09"/>
    <w:rsid w:val="00FB0C8F"/>
    <w:rsid w:val="00FB1F87"/>
    <w:rsid w:val="00FB62BF"/>
    <w:rsid w:val="00FC0511"/>
    <w:rsid w:val="00FC3521"/>
    <w:rsid w:val="00FC39A0"/>
    <w:rsid w:val="00FD2CCD"/>
    <w:rsid w:val="00FE2BAD"/>
    <w:rsid w:val="00FF78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F2BB-7C37-4FB5-A28B-025C8A24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17</Pages>
  <Words>5648</Words>
  <Characters>32198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EMAnot_180718_groz692;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EMAnot_310718_groz692;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Iveta Rubika</dc:creator>
  <cp:keywords>Anotācija</cp:keywords>
  <cp:lastModifiedBy>Iveta Rubika</cp:lastModifiedBy>
  <cp:revision>414</cp:revision>
  <dcterms:created xsi:type="dcterms:W3CDTF">2018-01-02T10:18:00Z</dcterms:created>
  <dcterms:modified xsi:type="dcterms:W3CDTF">2018-07-31T06:18:00Z</dcterms:modified>
</cp:coreProperties>
</file>