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D8B" w:rsidRPr="00A739EF" w:rsidRDefault="00F66D8B" w:rsidP="00F66D8B">
      <w:pPr>
        <w:spacing w:after="0" w:line="240" w:lineRule="auto"/>
        <w:jc w:val="center"/>
        <w:rPr>
          <w:rFonts w:ascii="Times New Roman" w:hAnsi="Times New Roman"/>
          <w:b/>
          <w:sz w:val="24"/>
          <w:szCs w:val="24"/>
        </w:rPr>
      </w:pPr>
    </w:p>
    <w:p w:rsidR="00F66D8B" w:rsidRPr="00A739EF" w:rsidRDefault="00F66D8B" w:rsidP="00F66D8B">
      <w:pPr>
        <w:spacing w:after="0" w:line="240" w:lineRule="auto"/>
        <w:jc w:val="center"/>
        <w:rPr>
          <w:rFonts w:ascii="Times New Roman" w:hAnsi="Times New Roman"/>
          <w:b/>
          <w:sz w:val="24"/>
          <w:szCs w:val="24"/>
        </w:rPr>
      </w:pPr>
    </w:p>
    <w:p w:rsidR="00F66D8B" w:rsidRPr="00074E4B" w:rsidRDefault="00F66D8B" w:rsidP="00F66D8B">
      <w:pPr>
        <w:spacing w:after="0" w:line="240" w:lineRule="auto"/>
        <w:jc w:val="center"/>
        <w:rPr>
          <w:rFonts w:ascii="Times New Roman" w:hAnsi="Times New Roman"/>
          <w:b/>
          <w:sz w:val="24"/>
          <w:szCs w:val="24"/>
        </w:rPr>
      </w:pPr>
      <w:r w:rsidRPr="00074E4B">
        <w:rPr>
          <w:rFonts w:ascii="Times New Roman" w:hAnsi="Times New Roman"/>
          <w:b/>
          <w:sz w:val="24"/>
          <w:szCs w:val="24"/>
        </w:rPr>
        <w:t xml:space="preserve">Likumprojekta “Grozījumi </w:t>
      </w:r>
      <w:r w:rsidR="004905EC">
        <w:rPr>
          <w:rFonts w:ascii="Times New Roman" w:hAnsi="Times New Roman"/>
          <w:b/>
          <w:sz w:val="24"/>
          <w:szCs w:val="24"/>
        </w:rPr>
        <w:t xml:space="preserve">Prokuratūras </w:t>
      </w:r>
      <w:r w:rsidRPr="00074E4B">
        <w:rPr>
          <w:rFonts w:ascii="Times New Roman" w:hAnsi="Times New Roman"/>
          <w:b/>
          <w:sz w:val="24"/>
          <w:szCs w:val="24"/>
        </w:rPr>
        <w:t>likumā” sākotnējās ietekmes novērtējuma ziņojums (anotācija)</w:t>
      </w:r>
    </w:p>
    <w:p w:rsidR="00F66D8B" w:rsidRPr="00074E4B" w:rsidRDefault="00F66D8B" w:rsidP="00F66D8B">
      <w:pPr>
        <w:spacing w:after="0" w:line="240" w:lineRule="auto"/>
        <w:jc w:val="center"/>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F66D8B" w:rsidRPr="00074E4B" w:rsidTr="00153D4C">
        <w:trPr>
          <w:trHeight w:val="444"/>
        </w:trPr>
        <w:tc>
          <w:tcPr>
            <w:tcW w:w="9464" w:type="dxa"/>
            <w:gridSpan w:val="2"/>
            <w:shd w:val="clear" w:color="auto" w:fill="auto"/>
            <w:vAlign w:val="center"/>
          </w:tcPr>
          <w:p w:rsidR="00F66D8B" w:rsidRPr="00074E4B" w:rsidRDefault="00F66D8B" w:rsidP="00153D4C">
            <w:pPr>
              <w:spacing w:after="0" w:line="240" w:lineRule="auto"/>
              <w:jc w:val="center"/>
              <w:rPr>
                <w:rFonts w:ascii="Times New Roman" w:hAnsi="Times New Roman"/>
                <w:b/>
                <w:sz w:val="24"/>
                <w:szCs w:val="24"/>
              </w:rPr>
            </w:pPr>
            <w:r w:rsidRPr="00074E4B">
              <w:rPr>
                <w:rFonts w:ascii="Times New Roman" w:hAnsi="Times New Roman"/>
                <w:b/>
                <w:sz w:val="24"/>
                <w:szCs w:val="24"/>
              </w:rPr>
              <w:t>Tiesību akta projekta anotācijas kopsavilkums</w:t>
            </w:r>
          </w:p>
        </w:tc>
      </w:tr>
      <w:tr w:rsidR="00F66D8B" w:rsidRPr="00074E4B" w:rsidTr="00153D4C">
        <w:trPr>
          <w:trHeight w:val="1701"/>
        </w:trPr>
        <w:tc>
          <w:tcPr>
            <w:tcW w:w="2802" w:type="dxa"/>
            <w:shd w:val="clear" w:color="auto" w:fill="auto"/>
          </w:tcPr>
          <w:p w:rsidR="00F66D8B" w:rsidRPr="00074E4B" w:rsidRDefault="00F66D8B" w:rsidP="00153D4C">
            <w:pPr>
              <w:spacing w:after="0" w:line="240" w:lineRule="auto"/>
              <w:rPr>
                <w:rFonts w:ascii="Times New Roman" w:hAnsi="Times New Roman"/>
                <w:sz w:val="24"/>
                <w:szCs w:val="24"/>
              </w:rPr>
            </w:pPr>
            <w:r w:rsidRPr="00074E4B">
              <w:rPr>
                <w:rFonts w:ascii="Times New Roman" w:hAnsi="Times New Roman"/>
                <w:sz w:val="24"/>
                <w:szCs w:val="24"/>
              </w:rPr>
              <w:t>Mērķis, risinājums un projekta spēkā stāšanās laiks (500 zīmes bez atstarpēm)</w:t>
            </w:r>
          </w:p>
        </w:tc>
        <w:tc>
          <w:tcPr>
            <w:tcW w:w="6662" w:type="dxa"/>
            <w:shd w:val="clear" w:color="auto" w:fill="auto"/>
          </w:tcPr>
          <w:p w:rsidR="00EF41EC" w:rsidRPr="00074E4B" w:rsidRDefault="00EF41EC" w:rsidP="004B768E">
            <w:pPr>
              <w:spacing w:after="0" w:line="240" w:lineRule="auto"/>
              <w:jc w:val="both"/>
              <w:rPr>
                <w:rFonts w:ascii="Times New Roman" w:hAnsi="Times New Roman"/>
                <w:sz w:val="24"/>
                <w:szCs w:val="24"/>
              </w:rPr>
            </w:pPr>
            <w:r>
              <w:rPr>
                <w:rFonts w:ascii="Times New Roman" w:hAnsi="Times New Roman"/>
                <w:sz w:val="24"/>
                <w:szCs w:val="24"/>
              </w:rPr>
              <w:t>Lai</w:t>
            </w:r>
            <w:r w:rsidRPr="00074E4B">
              <w:rPr>
                <w:rFonts w:ascii="Times New Roman" w:hAnsi="Times New Roman"/>
                <w:sz w:val="24"/>
                <w:szCs w:val="24"/>
              </w:rPr>
              <w:t xml:space="preserve"> stiprinātu Noziedzīgi iegūtu līdzekļu legalizācijas novēršanas dienesta (turpmāk – Kontroles dienests jeb KD, arī FIU) institucionālās pārraudzības modeli, funkcionālo kapacitāti, neatkarību un dienesta priekšnieka neatkarību un pilnvaras</w:t>
            </w:r>
            <w:r>
              <w:rPr>
                <w:rFonts w:ascii="Times New Roman" w:hAnsi="Times New Roman"/>
                <w:sz w:val="24"/>
                <w:szCs w:val="24"/>
              </w:rPr>
              <w:t xml:space="preserve"> ir izstrādāti divi likumprojekti (kā likumprojektu pakete):</w:t>
            </w:r>
          </w:p>
          <w:p w:rsidR="00EF41EC" w:rsidRPr="00074E4B" w:rsidRDefault="00EF41EC" w:rsidP="004B768E">
            <w:pPr>
              <w:spacing w:after="0" w:line="240" w:lineRule="auto"/>
              <w:jc w:val="both"/>
              <w:rPr>
                <w:rFonts w:ascii="Times New Roman" w:hAnsi="Times New Roman"/>
                <w:sz w:val="24"/>
                <w:szCs w:val="24"/>
              </w:rPr>
            </w:pPr>
            <w:r w:rsidRPr="00074E4B">
              <w:rPr>
                <w:rFonts w:ascii="Times New Roman" w:hAnsi="Times New Roman"/>
                <w:sz w:val="24"/>
                <w:szCs w:val="24"/>
              </w:rPr>
              <w:t xml:space="preserve">1) likumprojekts “Grozījumi Noziedzīgi iegūtu līdzekļu legalizācijas un terorisma finansēšanas novēršanas likumā”; </w:t>
            </w:r>
          </w:p>
          <w:p w:rsidR="00EF41EC" w:rsidRDefault="00EF41EC" w:rsidP="004B768E">
            <w:pPr>
              <w:spacing w:after="0" w:line="240" w:lineRule="auto"/>
              <w:jc w:val="both"/>
              <w:rPr>
                <w:rFonts w:ascii="Times New Roman" w:hAnsi="Times New Roman"/>
                <w:sz w:val="24"/>
                <w:szCs w:val="24"/>
              </w:rPr>
            </w:pPr>
            <w:r w:rsidRPr="00074E4B">
              <w:rPr>
                <w:rFonts w:ascii="Times New Roman" w:hAnsi="Times New Roman"/>
                <w:sz w:val="24"/>
                <w:szCs w:val="24"/>
              </w:rPr>
              <w:t>2) likumprojekts “Grozījumi Prokuratūras likumā”</w:t>
            </w:r>
          </w:p>
          <w:p w:rsidR="00EF41EC" w:rsidRPr="00074E4B" w:rsidRDefault="00EF41EC" w:rsidP="004B768E">
            <w:pPr>
              <w:spacing w:after="0" w:line="240" w:lineRule="auto"/>
              <w:jc w:val="both"/>
              <w:rPr>
                <w:rFonts w:ascii="Times New Roman" w:hAnsi="Times New Roman"/>
                <w:sz w:val="24"/>
                <w:szCs w:val="24"/>
              </w:rPr>
            </w:pPr>
            <w:r>
              <w:rPr>
                <w:rFonts w:ascii="Times New Roman" w:hAnsi="Times New Roman"/>
                <w:sz w:val="24"/>
                <w:szCs w:val="24"/>
              </w:rPr>
              <w:t>(turpmāk – likumprojekti)</w:t>
            </w:r>
            <w:r w:rsidRPr="00074E4B">
              <w:rPr>
                <w:rFonts w:ascii="Times New Roman" w:hAnsi="Times New Roman"/>
                <w:sz w:val="24"/>
                <w:szCs w:val="24"/>
              </w:rPr>
              <w:t xml:space="preserve">. </w:t>
            </w:r>
          </w:p>
          <w:p w:rsidR="00EF41EC" w:rsidRPr="00074E4B" w:rsidRDefault="00EF41EC" w:rsidP="00EF41EC">
            <w:pPr>
              <w:spacing w:after="0" w:line="240" w:lineRule="auto"/>
              <w:jc w:val="both"/>
              <w:rPr>
                <w:rFonts w:ascii="Times New Roman" w:hAnsi="Times New Roman"/>
                <w:sz w:val="24"/>
                <w:szCs w:val="24"/>
              </w:rPr>
            </w:pPr>
          </w:p>
          <w:p w:rsidR="00F66D8B" w:rsidRPr="00074E4B" w:rsidRDefault="00EF41EC" w:rsidP="00EF41EC">
            <w:pPr>
              <w:spacing w:after="0" w:line="240" w:lineRule="auto"/>
              <w:jc w:val="both"/>
              <w:rPr>
                <w:rFonts w:ascii="Times New Roman" w:hAnsi="Times New Roman"/>
                <w:sz w:val="24"/>
                <w:szCs w:val="24"/>
              </w:rPr>
            </w:pPr>
            <w:r w:rsidRPr="00074E4B">
              <w:rPr>
                <w:rFonts w:ascii="Times New Roman" w:hAnsi="Times New Roman"/>
                <w:sz w:val="24"/>
                <w:szCs w:val="24"/>
              </w:rPr>
              <w:t>Abi likumprojekti paredz, ka attiecīgie grozījumi stājas spēkā 2019.gada 1.janvārī.</w:t>
            </w:r>
          </w:p>
        </w:tc>
      </w:tr>
    </w:tbl>
    <w:p w:rsidR="00F66D8B" w:rsidRPr="00074E4B" w:rsidRDefault="00F66D8B" w:rsidP="00F66D8B">
      <w:pPr>
        <w:spacing w:after="0" w:line="240" w:lineRule="auto"/>
        <w:jc w:val="center"/>
        <w:rPr>
          <w:rFonts w:ascii="Times New Roman" w:hAnsi="Times New Roman"/>
          <w:b/>
          <w:sz w:val="24"/>
          <w:szCs w:val="24"/>
        </w:rPr>
      </w:pPr>
    </w:p>
    <w:tbl>
      <w:tblPr>
        <w:tblW w:w="94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2191"/>
        <w:gridCol w:w="337"/>
        <w:gridCol w:w="6471"/>
      </w:tblGrid>
      <w:tr w:rsidR="00F66D8B" w:rsidRPr="00074E4B" w:rsidTr="00153D4C">
        <w:tc>
          <w:tcPr>
            <w:tcW w:w="9474" w:type="dxa"/>
            <w:gridSpan w:val="4"/>
          </w:tcPr>
          <w:p w:rsidR="00F66D8B" w:rsidRPr="00074E4B" w:rsidRDefault="00F66D8B" w:rsidP="00153D4C">
            <w:pPr>
              <w:pStyle w:val="BodyText"/>
              <w:spacing w:after="0"/>
              <w:jc w:val="center"/>
              <w:rPr>
                <w:lang w:val="lv-LV" w:eastAsia="en-US"/>
              </w:rPr>
            </w:pPr>
            <w:r w:rsidRPr="00074E4B">
              <w:rPr>
                <w:b/>
                <w:lang w:val="lv-LV" w:eastAsia="en-US"/>
              </w:rPr>
              <w:t>I. Tiesību akta projekta izstrādes nepieciešamība</w:t>
            </w:r>
          </w:p>
        </w:tc>
      </w:tr>
      <w:tr w:rsidR="00F66D8B" w:rsidRPr="00074E4B" w:rsidTr="00153D4C">
        <w:tc>
          <w:tcPr>
            <w:tcW w:w="515" w:type="dxa"/>
          </w:tcPr>
          <w:p w:rsidR="00F66D8B" w:rsidRPr="00074E4B" w:rsidRDefault="00F66D8B" w:rsidP="00153D4C">
            <w:pPr>
              <w:spacing w:after="0" w:line="240" w:lineRule="auto"/>
              <w:rPr>
                <w:rFonts w:ascii="Times New Roman" w:hAnsi="Times New Roman"/>
                <w:sz w:val="24"/>
                <w:szCs w:val="24"/>
              </w:rPr>
            </w:pPr>
            <w:r w:rsidRPr="00074E4B">
              <w:rPr>
                <w:rFonts w:ascii="Times New Roman" w:hAnsi="Times New Roman"/>
                <w:sz w:val="24"/>
                <w:szCs w:val="24"/>
              </w:rPr>
              <w:t>1.</w:t>
            </w:r>
          </w:p>
        </w:tc>
        <w:tc>
          <w:tcPr>
            <w:tcW w:w="2310" w:type="dxa"/>
          </w:tcPr>
          <w:p w:rsidR="00F66D8B" w:rsidRPr="00074E4B" w:rsidRDefault="00F66D8B" w:rsidP="00153D4C">
            <w:pPr>
              <w:spacing w:after="0" w:line="240" w:lineRule="auto"/>
              <w:rPr>
                <w:rFonts w:ascii="Times New Roman" w:hAnsi="Times New Roman"/>
                <w:sz w:val="24"/>
                <w:szCs w:val="24"/>
              </w:rPr>
            </w:pPr>
            <w:r w:rsidRPr="00074E4B">
              <w:rPr>
                <w:rFonts w:ascii="Times New Roman" w:hAnsi="Times New Roman"/>
                <w:sz w:val="24"/>
                <w:szCs w:val="24"/>
              </w:rPr>
              <w:t>Pamatojums</w:t>
            </w:r>
          </w:p>
        </w:tc>
        <w:tc>
          <w:tcPr>
            <w:tcW w:w="6649" w:type="dxa"/>
            <w:gridSpan w:val="2"/>
          </w:tcPr>
          <w:p w:rsidR="00F66D8B" w:rsidRPr="00074E4B" w:rsidRDefault="00F66D8B" w:rsidP="00153D4C">
            <w:pPr>
              <w:spacing w:after="0" w:line="240" w:lineRule="auto"/>
              <w:jc w:val="both"/>
              <w:rPr>
                <w:rFonts w:ascii="Times New Roman" w:hAnsi="Times New Roman"/>
                <w:sz w:val="24"/>
                <w:szCs w:val="24"/>
              </w:rPr>
            </w:pPr>
            <w:r w:rsidRPr="00074E4B">
              <w:rPr>
                <w:rFonts w:ascii="Times New Roman" w:hAnsi="Times New Roman"/>
                <w:sz w:val="24"/>
                <w:szCs w:val="24"/>
              </w:rPr>
              <w:t>Valdības rīcības plāna 51.1.punkts - Koordinēti īstenosim steidzamus finanšu sektora politikas sakārtošanas pasākumus, definēsim sektora vidēja un ilgtermiņa attīstības redzējumu, īpašu uzmanību pievēršot noziedzīgi iegūtu līdzekļu legalizēšanas un terorisma finansēšanas risku mazināšanai.</w:t>
            </w:r>
          </w:p>
          <w:p w:rsidR="00F66D8B" w:rsidRPr="00074E4B" w:rsidRDefault="00F66D8B" w:rsidP="00153D4C">
            <w:pPr>
              <w:spacing w:after="0" w:line="240" w:lineRule="auto"/>
              <w:jc w:val="both"/>
              <w:rPr>
                <w:rFonts w:ascii="Times New Roman" w:hAnsi="Times New Roman"/>
                <w:sz w:val="24"/>
                <w:szCs w:val="24"/>
              </w:rPr>
            </w:pPr>
          </w:p>
          <w:p w:rsidR="00F66D8B" w:rsidRPr="00074E4B" w:rsidRDefault="00F66D8B" w:rsidP="00153D4C">
            <w:pPr>
              <w:spacing w:after="0" w:line="240" w:lineRule="auto"/>
              <w:jc w:val="both"/>
              <w:rPr>
                <w:rFonts w:ascii="Times New Roman" w:hAnsi="Times New Roman"/>
                <w:sz w:val="24"/>
                <w:szCs w:val="24"/>
              </w:rPr>
            </w:pPr>
            <w:r w:rsidRPr="00074E4B">
              <w:rPr>
                <w:rFonts w:ascii="Times New Roman" w:hAnsi="Times New Roman"/>
                <w:sz w:val="24"/>
                <w:szCs w:val="24"/>
              </w:rPr>
              <w:t xml:space="preserve">Finanšu sektora attīstības plāna 2017.-2019.gadam </w:t>
            </w:r>
            <w:r w:rsidRPr="00074E4B">
              <w:rPr>
                <w:rFonts w:ascii="Times New Roman" w:hAnsi="Times New Roman"/>
                <w:bCs/>
                <w:color w:val="414142"/>
                <w:sz w:val="24"/>
                <w:szCs w:val="24"/>
                <w:bdr w:val="none" w:sz="0" w:space="0" w:color="auto" w:frame="1"/>
                <w:shd w:val="clear" w:color="auto" w:fill="FFFFFF"/>
              </w:rPr>
              <w:t>2.</w:t>
            </w:r>
            <w:r w:rsidRPr="00074E4B">
              <w:rPr>
                <w:rFonts w:ascii="Times New Roman" w:hAnsi="Times New Roman"/>
                <w:bCs/>
                <w:color w:val="414142"/>
                <w:sz w:val="24"/>
                <w:szCs w:val="24"/>
                <w:bdr w:val="none" w:sz="0" w:space="0" w:color="auto" w:frame="1"/>
                <w:shd w:val="clear" w:color="auto" w:fill="FFFFFF"/>
                <w:vertAlign w:val="superscript"/>
              </w:rPr>
              <w:t>1</w:t>
            </w:r>
            <w:r w:rsidRPr="00074E4B">
              <w:rPr>
                <w:rFonts w:ascii="Times New Roman" w:hAnsi="Times New Roman"/>
                <w:bCs/>
                <w:color w:val="414142"/>
                <w:sz w:val="24"/>
                <w:szCs w:val="24"/>
                <w:bdr w:val="none" w:sz="0" w:space="0" w:color="auto" w:frame="1"/>
                <w:shd w:val="clear" w:color="auto" w:fill="FFFFFF"/>
              </w:rPr>
              <w:t xml:space="preserve"> sadaļas 8.punkts</w:t>
            </w:r>
            <w:r w:rsidRPr="00074E4B">
              <w:rPr>
                <w:rFonts w:ascii="Times New Roman" w:hAnsi="Times New Roman"/>
                <w:bCs/>
                <w:sz w:val="24"/>
                <w:szCs w:val="24"/>
              </w:rPr>
              <w:t>; Ministru kabineta 2018.gada 11.jūnija rīkojums nr.260 “</w:t>
            </w:r>
            <w:r w:rsidRPr="00074E4B">
              <w:rPr>
                <w:rFonts w:ascii="Times New Roman" w:hAnsi="Times New Roman"/>
                <w:sz w:val="24"/>
                <w:szCs w:val="24"/>
              </w:rPr>
              <w:t>Par darba grupu Noziedzīgi iegūtu līdzekļu legalizācijas novēršanas dienesta pārraudzības modeļa maiņai</w:t>
            </w:r>
            <w:r w:rsidRPr="00074E4B">
              <w:rPr>
                <w:rFonts w:ascii="Times New Roman" w:hAnsi="Times New Roman"/>
                <w:bCs/>
                <w:sz w:val="24"/>
                <w:szCs w:val="24"/>
              </w:rPr>
              <w:t xml:space="preserve">”. </w:t>
            </w:r>
          </w:p>
        </w:tc>
      </w:tr>
      <w:tr w:rsidR="00F66D8B" w:rsidRPr="00074E4B" w:rsidTr="00153D4C">
        <w:tc>
          <w:tcPr>
            <w:tcW w:w="515" w:type="dxa"/>
          </w:tcPr>
          <w:p w:rsidR="00F66D8B" w:rsidRPr="00074E4B" w:rsidRDefault="00F66D8B" w:rsidP="00153D4C">
            <w:pPr>
              <w:spacing w:after="0" w:line="240" w:lineRule="auto"/>
              <w:rPr>
                <w:rFonts w:ascii="Times New Roman" w:hAnsi="Times New Roman"/>
                <w:sz w:val="24"/>
                <w:szCs w:val="24"/>
              </w:rPr>
            </w:pPr>
            <w:r w:rsidRPr="00074E4B">
              <w:rPr>
                <w:rFonts w:ascii="Times New Roman" w:hAnsi="Times New Roman"/>
                <w:sz w:val="24"/>
                <w:szCs w:val="24"/>
              </w:rPr>
              <w:t>2.</w:t>
            </w:r>
          </w:p>
        </w:tc>
        <w:tc>
          <w:tcPr>
            <w:tcW w:w="2310" w:type="dxa"/>
          </w:tcPr>
          <w:p w:rsidR="00F66D8B" w:rsidRPr="00074E4B" w:rsidRDefault="00F66D8B" w:rsidP="00153D4C">
            <w:pPr>
              <w:spacing w:after="0" w:line="240" w:lineRule="auto"/>
              <w:rPr>
                <w:rFonts w:ascii="Times New Roman" w:hAnsi="Times New Roman"/>
                <w:sz w:val="24"/>
                <w:szCs w:val="24"/>
              </w:rPr>
            </w:pPr>
            <w:r w:rsidRPr="00074E4B">
              <w:rPr>
                <w:rFonts w:ascii="Times New Roman" w:hAnsi="Times New Roman"/>
                <w:sz w:val="24"/>
                <w:szCs w:val="24"/>
              </w:rPr>
              <w:t>Pašreizējā situācija un problēmas, kuru risināšanai tiesību akta projekts izstrādāts, tiesiskā regulējuma mērķis un būtība</w:t>
            </w:r>
          </w:p>
          <w:p w:rsidR="00F66D8B" w:rsidRPr="00074E4B" w:rsidRDefault="00F66D8B" w:rsidP="00153D4C">
            <w:pPr>
              <w:spacing w:after="0" w:line="240" w:lineRule="auto"/>
              <w:rPr>
                <w:rFonts w:ascii="Times New Roman" w:hAnsi="Times New Roman"/>
                <w:sz w:val="24"/>
                <w:szCs w:val="24"/>
              </w:rPr>
            </w:pPr>
          </w:p>
          <w:p w:rsidR="00F66D8B" w:rsidRPr="00074E4B" w:rsidRDefault="00F66D8B" w:rsidP="00153D4C">
            <w:pPr>
              <w:spacing w:after="0" w:line="240" w:lineRule="auto"/>
              <w:rPr>
                <w:rFonts w:ascii="Times New Roman" w:hAnsi="Times New Roman"/>
                <w:sz w:val="24"/>
                <w:szCs w:val="24"/>
              </w:rPr>
            </w:pPr>
          </w:p>
          <w:p w:rsidR="00F66D8B" w:rsidRPr="00074E4B" w:rsidRDefault="00F66D8B" w:rsidP="00153D4C">
            <w:pPr>
              <w:spacing w:after="0" w:line="240" w:lineRule="auto"/>
              <w:rPr>
                <w:rFonts w:ascii="Times New Roman" w:hAnsi="Times New Roman"/>
                <w:sz w:val="24"/>
                <w:szCs w:val="24"/>
              </w:rPr>
            </w:pPr>
          </w:p>
          <w:p w:rsidR="00F66D8B" w:rsidRPr="00074E4B" w:rsidRDefault="00F66D8B" w:rsidP="00153D4C">
            <w:pPr>
              <w:spacing w:after="0" w:line="240" w:lineRule="auto"/>
              <w:rPr>
                <w:rFonts w:ascii="Times New Roman" w:hAnsi="Times New Roman"/>
                <w:sz w:val="24"/>
                <w:szCs w:val="24"/>
              </w:rPr>
            </w:pPr>
          </w:p>
          <w:p w:rsidR="00F66D8B" w:rsidRPr="00074E4B" w:rsidRDefault="00F66D8B" w:rsidP="00153D4C">
            <w:pPr>
              <w:spacing w:after="0" w:line="240" w:lineRule="auto"/>
              <w:rPr>
                <w:rFonts w:ascii="Times New Roman" w:hAnsi="Times New Roman"/>
                <w:sz w:val="24"/>
                <w:szCs w:val="24"/>
              </w:rPr>
            </w:pPr>
          </w:p>
          <w:p w:rsidR="00F66D8B" w:rsidRPr="00074E4B" w:rsidRDefault="00F66D8B" w:rsidP="00153D4C">
            <w:pPr>
              <w:spacing w:after="0" w:line="240" w:lineRule="auto"/>
              <w:rPr>
                <w:rFonts w:ascii="Times New Roman" w:hAnsi="Times New Roman"/>
                <w:sz w:val="24"/>
                <w:szCs w:val="24"/>
              </w:rPr>
            </w:pPr>
          </w:p>
          <w:p w:rsidR="00F66D8B" w:rsidRPr="00074E4B" w:rsidRDefault="00F66D8B" w:rsidP="00153D4C">
            <w:pPr>
              <w:spacing w:after="0" w:line="240" w:lineRule="auto"/>
              <w:rPr>
                <w:rFonts w:ascii="Times New Roman" w:hAnsi="Times New Roman"/>
                <w:sz w:val="24"/>
                <w:szCs w:val="24"/>
              </w:rPr>
            </w:pPr>
          </w:p>
          <w:p w:rsidR="00F66D8B" w:rsidRPr="00074E4B" w:rsidRDefault="00F66D8B" w:rsidP="00153D4C">
            <w:pPr>
              <w:spacing w:after="0" w:line="240" w:lineRule="auto"/>
              <w:rPr>
                <w:rFonts w:ascii="Times New Roman" w:hAnsi="Times New Roman"/>
                <w:sz w:val="24"/>
                <w:szCs w:val="24"/>
              </w:rPr>
            </w:pPr>
          </w:p>
        </w:tc>
        <w:tc>
          <w:tcPr>
            <w:tcW w:w="6649" w:type="dxa"/>
            <w:gridSpan w:val="2"/>
          </w:tcPr>
          <w:p w:rsidR="00F66D8B" w:rsidRPr="00074E4B" w:rsidRDefault="00F66D8B" w:rsidP="00153D4C">
            <w:pPr>
              <w:spacing w:after="0" w:line="240" w:lineRule="auto"/>
              <w:jc w:val="both"/>
              <w:rPr>
                <w:rFonts w:ascii="Times New Roman" w:hAnsi="Times New Roman"/>
                <w:sz w:val="24"/>
                <w:szCs w:val="24"/>
              </w:rPr>
            </w:pPr>
            <w:r w:rsidRPr="00074E4B">
              <w:rPr>
                <w:rFonts w:ascii="Times New Roman" w:hAnsi="Times New Roman"/>
                <w:sz w:val="24"/>
                <w:szCs w:val="24"/>
              </w:rPr>
              <w:t xml:space="preserve">Kontroles dienesta funkcionalitātes un līdzšinējās darbības trūkumu </w:t>
            </w:r>
            <w:proofErr w:type="spellStart"/>
            <w:r w:rsidRPr="00074E4B">
              <w:rPr>
                <w:rFonts w:ascii="Times New Roman" w:hAnsi="Times New Roman"/>
                <w:sz w:val="24"/>
                <w:szCs w:val="24"/>
              </w:rPr>
              <w:t>izvērtējuma</w:t>
            </w:r>
            <w:proofErr w:type="spellEnd"/>
            <w:r w:rsidRPr="00074E4B">
              <w:rPr>
                <w:rFonts w:ascii="Times New Roman" w:hAnsi="Times New Roman"/>
                <w:sz w:val="24"/>
                <w:szCs w:val="24"/>
              </w:rPr>
              <w:t xml:space="preserve"> nepieciešamību pamato Finanšu sektora attīstības plāna 2017.-2019.gadam </w:t>
            </w:r>
            <w:r w:rsidRPr="00074E4B">
              <w:rPr>
                <w:rFonts w:ascii="Times New Roman" w:hAnsi="Times New Roman"/>
                <w:bCs/>
                <w:sz w:val="24"/>
                <w:szCs w:val="24"/>
                <w:bdr w:val="none" w:sz="0" w:space="0" w:color="auto" w:frame="1"/>
                <w:shd w:val="clear" w:color="auto" w:fill="FFFFFF"/>
              </w:rPr>
              <w:t>2.</w:t>
            </w:r>
            <w:r w:rsidRPr="00074E4B">
              <w:rPr>
                <w:rFonts w:ascii="Times New Roman" w:hAnsi="Times New Roman"/>
                <w:bCs/>
                <w:sz w:val="24"/>
                <w:szCs w:val="24"/>
                <w:bdr w:val="none" w:sz="0" w:space="0" w:color="auto" w:frame="1"/>
                <w:shd w:val="clear" w:color="auto" w:fill="FFFFFF"/>
                <w:vertAlign w:val="superscript"/>
              </w:rPr>
              <w:t>1</w:t>
            </w:r>
            <w:r w:rsidRPr="00074E4B">
              <w:rPr>
                <w:rFonts w:ascii="Times New Roman" w:hAnsi="Times New Roman"/>
                <w:bCs/>
                <w:sz w:val="24"/>
                <w:szCs w:val="24"/>
                <w:bdr w:val="none" w:sz="0" w:space="0" w:color="auto" w:frame="1"/>
                <w:shd w:val="clear" w:color="auto" w:fill="FFFFFF"/>
              </w:rPr>
              <w:t xml:space="preserve"> sadaļas 8.punkts, kurš paredz veikt </w:t>
            </w:r>
            <w:proofErr w:type="spellStart"/>
            <w:r w:rsidRPr="00074E4B">
              <w:rPr>
                <w:rFonts w:ascii="Times New Roman" w:hAnsi="Times New Roman"/>
                <w:bCs/>
                <w:sz w:val="24"/>
                <w:szCs w:val="24"/>
                <w:bdr w:val="none" w:sz="0" w:space="0" w:color="auto" w:frame="1"/>
                <w:shd w:val="clear" w:color="auto" w:fill="FFFFFF"/>
              </w:rPr>
              <w:t>izvērtējumu</w:t>
            </w:r>
            <w:proofErr w:type="spellEnd"/>
            <w:r w:rsidRPr="00074E4B">
              <w:rPr>
                <w:rFonts w:ascii="Times New Roman" w:hAnsi="Times New Roman"/>
                <w:bCs/>
                <w:sz w:val="24"/>
                <w:szCs w:val="24"/>
                <w:bdr w:val="none" w:sz="0" w:space="0" w:color="auto" w:frame="1"/>
                <w:shd w:val="clear" w:color="auto" w:fill="FFFFFF"/>
              </w:rPr>
              <w:t xml:space="preserve"> par Kontroles dienesta institucionālo modeli, ievērojot Latvijas Komercbanku asociācijas un </w:t>
            </w:r>
            <w:proofErr w:type="spellStart"/>
            <w:r w:rsidRPr="00074E4B">
              <w:rPr>
                <w:rFonts w:ascii="Times New Roman" w:hAnsi="Times New Roman"/>
                <w:bCs/>
                <w:sz w:val="24"/>
                <w:szCs w:val="24"/>
                <w:bdr w:val="none" w:sz="0" w:space="0" w:color="auto" w:frame="1"/>
                <w:shd w:val="clear" w:color="auto" w:fill="FFFFFF"/>
              </w:rPr>
              <w:t>Moneyval</w:t>
            </w:r>
            <w:proofErr w:type="spellEnd"/>
            <w:r w:rsidRPr="00074E4B">
              <w:rPr>
                <w:rFonts w:ascii="Times New Roman" w:hAnsi="Times New Roman"/>
                <w:bCs/>
                <w:sz w:val="24"/>
                <w:szCs w:val="24"/>
                <w:bdr w:val="none" w:sz="0" w:space="0" w:color="auto" w:frame="1"/>
                <w:shd w:val="clear" w:color="auto" w:fill="FFFFFF"/>
              </w:rPr>
              <w:t xml:space="preserve">  ietvaros secināto. Pasākuma izpilde uzdota ar </w:t>
            </w:r>
            <w:r w:rsidRPr="00074E4B">
              <w:rPr>
                <w:rFonts w:ascii="Times New Roman" w:hAnsi="Times New Roman"/>
                <w:sz w:val="24"/>
                <w:szCs w:val="24"/>
              </w:rPr>
              <w:t>Ministru Kabineta 2018.gada 8.maija protokolu Nr. 23, 30.§, kas paredz darba grupas  (turpmāk- Darba grupa) izveidi, kas lemtu par KD pārraudzības modeļa maiņu, kā arī Ministru kabineta 2018.gada 11.jūnija rīkojumu nr.260 “Par darba grupu Noziedzīgi iegūtu līdzekļu legalizācijas novēršanas dienesta pārraudzības modeļa maiņai”.</w:t>
            </w:r>
          </w:p>
          <w:p w:rsidR="00F66D8B" w:rsidRPr="00074E4B" w:rsidRDefault="00F66D8B" w:rsidP="00153D4C">
            <w:pPr>
              <w:spacing w:after="0" w:line="240" w:lineRule="auto"/>
              <w:jc w:val="both"/>
              <w:rPr>
                <w:rFonts w:ascii="Times New Roman" w:hAnsi="Times New Roman"/>
                <w:sz w:val="24"/>
                <w:szCs w:val="24"/>
              </w:rPr>
            </w:pPr>
          </w:p>
          <w:p w:rsidR="00F66D8B" w:rsidRPr="00074E4B" w:rsidRDefault="00F66D8B" w:rsidP="00153D4C">
            <w:pPr>
              <w:spacing w:after="0" w:line="240" w:lineRule="auto"/>
              <w:jc w:val="both"/>
              <w:rPr>
                <w:rFonts w:ascii="Times New Roman" w:eastAsia="Times New Roman" w:hAnsi="Times New Roman"/>
                <w:sz w:val="24"/>
                <w:szCs w:val="24"/>
              </w:rPr>
            </w:pPr>
            <w:r w:rsidRPr="00074E4B">
              <w:rPr>
                <w:rFonts w:ascii="Times New Roman" w:hAnsi="Times New Roman"/>
                <w:sz w:val="24"/>
                <w:szCs w:val="24"/>
              </w:rPr>
              <w:t xml:space="preserve">Kontroles dienests saskaņā ar Noziedzīgi iegūtu līdzekļu legalizācijas un terorisma finansēšanas novēršanas likuma 50.panta pirmo daļu ir </w:t>
            </w:r>
            <w:r w:rsidRPr="00074E4B">
              <w:rPr>
                <w:rFonts w:ascii="Times New Roman" w:eastAsia="Times New Roman" w:hAnsi="Times New Roman"/>
                <w:sz w:val="24"/>
                <w:szCs w:val="24"/>
              </w:rPr>
              <w:t xml:space="preserve">speciāli izveidota valsts institūcija, kas saskaņā ar šo likumu veic neparastu un aizdomīgu darījumu kontroli un iegūst, saņem, reģistrē, apstrādā, apkopo, uzglabā, analizē un sniedz </w:t>
            </w:r>
            <w:proofErr w:type="spellStart"/>
            <w:r w:rsidRPr="00074E4B">
              <w:rPr>
                <w:rFonts w:ascii="Times New Roman" w:eastAsia="Times New Roman" w:hAnsi="Times New Roman"/>
                <w:sz w:val="24"/>
                <w:szCs w:val="24"/>
              </w:rPr>
              <w:t>pirmstiesas</w:t>
            </w:r>
            <w:proofErr w:type="spellEnd"/>
            <w:r w:rsidRPr="00074E4B">
              <w:rPr>
                <w:rFonts w:ascii="Times New Roman" w:eastAsia="Times New Roman" w:hAnsi="Times New Roman"/>
                <w:sz w:val="24"/>
                <w:szCs w:val="24"/>
              </w:rPr>
              <w:t xml:space="preserve"> izmeklēšanas iestādēm, prokuratūrai un tiesai informāciju, kuru var izmantot noziedzīgi iegūtu līdzekļu legalizācijas, terorisma finansēšanas vai šo darbību mēģinājuma, vai cita ar to saistīta noziedzīga nodarījuma novēršanai, atklāšanai, </w:t>
            </w:r>
            <w:proofErr w:type="spellStart"/>
            <w:r w:rsidRPr="00074E4B">
              <w:rPr>
                <w:rFonts w:ascii="Times New Roman" w:eastAsia="Times New Roman" w:hAnsi="Times New Roman"/>
                <w:sz w:val="24"/>
                <w:szCs w:val="24"/>
              </w:rPr>
              <w:t>pirmstiesas</w:t>
            </w:r>
            <w:proofErr w:type="spellEnd"/>
            <w:r w:rsidRPr="00074E4B">
              <w:rPr>
                <w:rFonts w:ascii="Times New Roman" w:eastAsia="Times New Roman" w:hAnsi="Times New Roman"/>
                <w:sz w:val="24"/>
                <w:szCs w:val="24"/>
              </w:rPr>
              <w:t xml:space="preserve"> </w:t>
            </w:r>
            <w:r w:rsidRPr="00074E4B">
              <w:rPr>
                <w:rFonts w:ascii="Times New Roman" w:eastAsia="Times New Roman" w:hAnsi="Times New Roman"/>
                <w:sz w:val="24"/>
                <w:szCs w:val="24"/>
              </w:rPr>
              <w:lastRenderedPageBreak/>
              <w:t xml:space="preserve">kriminālprocesam vai iztiesāšanai. Savukārt minētā panta otrā daļa nosaka, ka Kontroles dienests darbojas prokuratūras pārraudzībā. KD šobrīd ir vienīgā valsts institūcija, kura vēsturisku iemeslu dēļ darbojas prokuratūras pārraudzībā. </w:t>
            </w:r>
          </w:p>
          <w:p w:rsidR="00F66D8B" w:rsidRPr="00074E4B" w:rsidRDefault="00F66D8B" w:rsidP="00153D4C">
            <w:pPr>
              <w:spacing w:after="0" w:line="240" w:lineRule="auto"/>
              <w:jc w:val="both"/>
              <w:rPr>
                <w:rFonts w:ascii="Times New Roman" w:hAnsi="Times New Roman"/>
                <w:sz w:val="24"/>
                <w:szCs w:val="24"/>
              </w:rPr>
            </w:pPr>
          </w:p>
          <w:p w:rsidR="00F66D8B" w:rsidRPr="00074E4B" w:rsidRDefault="00F66D8B" w:rsidP="00153D4C">
            <w:pPr>
              <w:spacing w:after="0" w:line="240" w:lineRule="auto"/>
              <w:jc w:val="both"/>
              <w:rPr>
                <w:rFonts w:ascii="Times New Roman" w:hAnsi="Times New Roman"/>
                <w:sz w:val="24"/>
                <w:szCs w:val="24"/>
              </w:rPr>
            </w:pPr>
            <w:r w:rsidRPr="00074E4B">
              <w:rPr>
                <w:rFonts w:ascii="Times New Roman" w:hAnsi="Times New Roman"/>
                <w:sz w:val="24"/>
                <w:szCs w:val="24"/>
              </w:rPr>
              <w:t>Augstāk minētā Ministru kabineta uzdevuma izpildei ir izvērtēti Noziedzīgi iegūtu līdzekļu legalizācijas un terorisma finansēšanas novēršanas likuma, kā arī Prokuratūras likuma nosacījumi, Latvijas Republikas Ģenerālprokuratūras argume</w:t>
            </w:r>
            <w:r w:rsidR="003419A5">
              <w:rPr>
                <w:rFonts w:ascii="Times New Roman" w:hAnsi="Times New Roman"/>
                <w:sz w:val="24"/>
                <w:szCs w:val="24"/>
              </w:rPr>
              <w:t>nti</w:t>
            </w:r>
            <w:r w:rsidRPr="00074E4B">
              <w:rPr>
                <w:rFonts w:ascii="Times New Roman" w:hAnsi="Times New Roman"/>
                <w:sz w:val="24"/>
                <w:szCs w:val="24"/>
              </w:rPr>
              <w:t xml:space="preserve"> par esošā KD pārraudzības modeļa neatbilstību Satversmei, kā arī analizēti citu valstu KD pārraudzības modeļi un argumenti, kas ietverti:</w:t>
            </w:r>
          </w:p>
          <w:p w:rsidR="00F66D8B" w:rsidRPr="00074E4B" w:rsidRDefault="00F66D8B" w:rsidP="00153D4C">
            <w:pPr>
              <w:pStyle w:val="ListParagraph"/>
              <w:spacing w:after="0" w:line="240" w:lineRule="auto"/>
              <w:ind w:left="0"/>
              <w:jc w:val="both"/>
              <w:rPr>
                <w:rFonts w:ascii="Times New Roman" w:hAnsi="Times New Roman"/>
                <w:sz w:val="24"/>
                <w:szCs w:val="24"/>
              </w:rPr>
            </w:pPr>
            <w:r w:rsidRPr="00074E4B">
              <w:rPr>
                <w:rFonts w:ascii="Times New Roman" w:hAnsi="Times New Roman"/>
                <w:sz w:val="24"/>
                <w:szCs w:val="24"/>
              </w:rPr>
              <w:t>1) Eiropas Padomes</w:t>
            </w:r>
            <w:r w:rsidRPr="00074E4B">
              <w:rPr>
                <w:rFonts w:ascii="Times New Roman" w:eastAsia="SimSun" w:hAnsi="Times New Roman"/>
                <w:kern w:val="2"/>
                <w:sz w:val="24"/>
                <w:szCs w:val="24"/>
                <w:lang w:eastAsia="zh-CN" w:bidi="hi-IN"/>
              </w:rPr>
              <w:t xml:space="preserve"> </w:t>
            </w:r>
            <w:r w:rsidRPr="00074E4B">
              <w:rPr>
                <w:rFonts w:ascii="Times New Roman" w:hAnsi="Times New Roman"/>
                <w:sz w:val="24"/>
                <w:szCs w:val="24"/>
              </w:rPr>
              <w:t xml:space="preserve">Ekspertu komitejas par noziedzīgi iegūtu līdzekļu un terorisma finansēšanas novēršanu (turpmāk – </w:t>
            </w:r>
            <w:proofErr w:type="spellStart"/>
            <w:r w:rsidRPr="00074E4B">
              <w:rPr>
                <w:rFonts w:ascii="Times New Roman" w:hAnsi="Times New Roman"/>
                <w:sz w:val="24"/>
                <w:szCs w:val="24"/>
              </w:rPr>
              <w:t>Moneyval</w:t>
            </w:r>
            <w:proofErr w:type="spellEnd"/>
            <w:r w:rsidRPr="00074E4B">
              <w:rPr>
                <w:rFonts w:ascii="Times New Roman" w:hAnsi="Times New Roman"/>
                <w:sz w:val="24"/>
                <w:szCs w:val="24"/>
              </w:rPr>
              <w:t>) 2018.gada 5.kārtas novērtējumā par Latvijas NILLTFN sistēmas efektivitāti;</w:t>
            </w:r>
          </w:p>
          <w:p w:rsidR="00F66D8B" w:rsidRPr="00074E4B" w:rsidRDefault="00F66D8B" w:rsidP="00153D4C">
            <w:pPr>
              <w:pStyle w:val="ListParagraph"/>
              <w:spacing w:after="0" w:line="240" w:lineRule="auto"/>
              <w:ind w:left="0"/>
              <w:jc w:val="both"/>
              <w:rPr>
                <w:rFonts w:ascii="Times New Roman" w:hAnsi="Times New Roman"/>
                <w:sz w:val="24"/>
                <w:szCs w:val="24"/>
              </w:rPr>
            </w:pPr>
            <w:r w:rsidRPr="00074E4B">
              <w:rPr>
                <w:rFonts w:ascii="Times New Roman" w:hAnsi="Times New Roman"/>
                <w:sz w:val="24"/>
                <w:szCs w:val="24"/>
              </w:rPr>
              <w:t>2) Valsts Kontroles 2017.gada ziņojumā “Par Latvijas Republikas Prokuratūras 2016. gada pārskatu”;</w:t>
            </w:r>
          </w:p>
          <w:p w:rsidR="00F66D8B" w:rsidRPr="00074E4B" w:rsidRDefault="00F66D8B" w:rsidP="00153D4C">
            <w:pPr>
              <w:pStyle w:val="ListParagraph"/>
              <w:spacing w:after="0" w:line="240" w:lineRule="auto"/>
              <w:ind w:left="0"/>
              <w:jc w:val="both"/>
              <w:rPr>
                <w:rFonts w:ascii="Times New Roman" w:hAnsi="Times New Roman"/>
                <w:sz w:val="24"/>
                <w:szCs w:val="24"/>
              </w:rPr>
            </w:pPr>
            <w:r w:rsidRPr="00074E4B">
              <w:rPr>
                <w:rFonts w:ascii="Times New Roman" w:hAnsi="Times New Roman"/>
                <w:sz w:val="24"/>
                <w:szCs w:val="24"/>
              </w:rPr>
              <w:t>3) Egmont grupas</w:t>
            </w:r>
            <w:r w:rsidRPr="00074E4B">
              <w:rPr>
                <w:rStyle w:val="FootnoteReference"/>
                <w:rFonts w:ascii="Times New Roman" w:hAnsi="Times New Roman"/>
                <w:sz w:val="24"/>
                <w:szCs w:val="24"/>
              </w:rPr>
              <w:footnoteReference w:id="1"/>
            </w:r>
            <w:r w:rsidRPr="00074E4B">
              <w:rPr>
                <w:rFonts w:ascii="Times New Roman" w:hAnsi="Times New Roman"/>
                <w:sz w:val="24"/>
                <w:szCs w:val="24"/>
              </w:rPr>
              <w:t xml:space="preserve"> </w:t>
            </w:r>
            <w:proofErr w:type="spellStart"/>
            <w:r w:rsidRPr="00074E4B">
              <w:rPr>
                <w:rFonts w:ascii="Times New Roman" w:hAnsi="Times New Roman"/>
                <w:sz w:val="24"/>
                <w:szCs w:val="24"/>
              </w:rPr>
              <w:t>izvērtējuma</w:t>
            </w:r>
            <w:proofErr w:type="spellEnd"/>
            <w:r w:rsidRPr="00074E4B">
              <w:rPr>
                <w:rFonts w:ascii="Times New Roman" w:hAnsi="Times New Roman"/>
                <w:sz w:val="24"/>
                <w:szCs w:val="24"/>
              </w:rPr>
              <w:t xml:space="preserve"> projektā par FIU autonomiju un darbības neatkarību (</w:t>
            </w:r>
            <w:r w:rsidRPr="00074E4B">
              <w:rPr>
                <w:rFonts w:ascii="Times New Roman" w:hAnsi="Times New Roman"/>
                <w:i/>
                <w:sz w:val="24"/>
                <w:szCs w:val="24"/>
              </w:rPr>
              <w:t>PAPER ON FIU AUTONOMY AND OPERATIONAL INDEPENDENCE</w:t>
            </w:r>
            <w:r w:rsidRPr="00074E4B">
              <w:rPr>
                <w:rFonts w:ascii="Times New Roman" w:hAnsi="Times New Roman"/>
                <w:sz w:val="24"/>
                <w:szCs w:val="24"/>
              </w:rPr>
              <w:t>).</w:t>
            </w:r>
          </w:p>
          <w:p w:rsidR="00F66D8B" w:rsidRPr="00074E4B" w:rsidRDefault="00F66D8B" w:rsidP="00153D4C">
            <w:pPr>
              <w:pStyle w:val="ListParagraph"/>
              <w:spacing w:after="0" w:line="240" w:lineRule="auto"/>
              <w:ind w:left="0"/>
              <w:jc w:val="both"/>
              <w:rPr>
                <w:rFonts w:ascii="Times New Roman" w:hAnsi="Times New Roman"/>
                <w:sz w:val="24"/>
                <w:szCs w:val="24"/>
              </w:rPr>
            </w:pPr>
          </w:p>
          <w:p w:rsidR="00F66D8B" w:rsidRPr="00074E4B" w:rsidRDefault="00F66D8B" w:rsidP="00153D4C">
            <w:pPr>
              <w:pStyle w:val="ListParagraph"/>
              <w:spacing w:after="0" w:line="240" w:lineRule="auto"/>
              <w:ind w:left="0"/>
              <w:jc w:val="both"/>
              <w:rPr>
                <w:rFonts w:ascii="Times New Roman" w:hAnsi="Times New Roman"/>
                <w:sz w:val="24"/>
                <w:szCs w:val="24"/>
              </w:rPr>
            </w:pPr>
            <w:r w:rsidRPr="00074E4B">
              <w:rPr>
                <w:rFonts w:ascii="Times New Roman" w:hAnsi="Times New Roman"/>
                <w:sz w:val="24"/>
                <w:szCs w:val="24"/>
              </w:rPr>
              <w:t xml:space="preserve">Informācija par KD (vai FIU) pārraudzības modeļiem ir norādīta šajā tabulā: </w:t>
            </w:r>
          </w:p>
          <w:p w:rsidR="00F66D8B" w:rsidRPr="00074E4B" w:rsidRDefault="00F66D8B" w:rsidP="00153D4C">
            <w:pPr>
              <w:pStyle w:val="ListParagraph"/>
              <w:spacing w:after="0" w:line="240" w:lineRule="auto"/>
              <w:ind w:left="0"/>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969"/>
              <w:gridCol w:w="987"/>
              <w:gridCol w:w="994"/>
              <w:gridCol w:w="1161"/>
              <w:gridCol w:w="906"/>
            </w:tblGrid>
            <w:tr w:rsidR="00F66D8B" w:rsidRPr="00074E4B" w:rsidTr="00153D4C">
              <w:tc>
                <w:tcPr>
                  <w:tcW w:w="1536" w:type="dxa"/>
                  <w:shd w:val="clear" w:color="auto" w:fill="auto"/>
                </w:tcPr>
                <w:p w:rsidR="00F66D8B" w:rsidRPr="00074E4B" w:rsidRDefault="00F66D8B" w:rsidP="00153D4C">
                  <w:pPr>
                    <w:pStyle w:val="ListParagraph"/>
                    <w:spacing w:after="0" w:line="240" w:lineRule="auto"/>
                    <w:ind w:left="0"/>
                    <w:jc w:val="both"/>
                    <w:rPr>
                      <w:rFonts w:ascii="Times New Roman" w:hAnsi="Times New Roman"/>
                      <w:sz w:val="20"/>
                      <w:szCs w:val="24"/>
                    </w:rPr>
                  </w:pPr>
                </w:p>
              </w:tc>
              <w:tc>
                <w:tcPr>
                  <w:tcW w:w="969" w:type="dxa"/>
                  <w:shd w:val="clear" w:color="auto" w:fill="auto"/>
                </w:tcPr>
                <w:p w:rsidR="00F66D8B" w:rsidRPr="00074E4B" w:rsidRDefault="00F66D8B" w:rsidP="00153D4C">
                  <w:pPr>
                    <w:pStyle w:val="ListParagraph"/>
                    <w:spacing w:after="0" w:line="240" w:lineRule="auto"/>
                    <w:ind w:left="0"/>
                    <w:jc w:val="both"/>
                    <w:rPr>
                      <w:rFonts w:ascii="Times New Roman" w:hAnsi="Times New Roman"/>
                      <w:sz w:val="20"/>
                      <w:szCs w:val="24"/>
                    </w:rPr>
                  </w:pPr>
                  <w:proofErr w:type="spellStart"/>
                  <w:r w:rsidRPr="00074E4B">
                    <w:rPr>
                      <w:rFonts w:ascii="Times New Roman" w:hAnsi="Times New Roman"/>
                      <w:sz w:val="20"/>
                      <w:szCs w:val="24"/>
                    </w:rPr>
                    <w:t>Iekšlietu</w:t>
                  </w:r>
                  <w:proofErr w:type="spellEnd"/>
                  <w:r w:rsidRPr="00074E4B">
                    <w:rPr>
                      <w:rFonts w:ascii="Times New Roman" w:hAnsi="Times New Roman"/>
                      <w:sz w:val="20"/>
                      <w:szCs w:val="24"/>
                    </w:rPr>
                    <w:t xml:space="preserve"> sistēma (daļa no policijas)</w:t>
                  </w:r>
                </w:p>
              </w:tc>
              <w:tc>
                <w:tcPr>
                  <w:tcW w:w="987" w:type="dxa"/>
                  <w:shd w:val="clear" w:color="auto" w:fill="auto"/>
                </w:tcPr>
                <w:p w:rsidR="00F66D8B" w:rsidRPr="00074E4B" w:rsidRDefault="00F66D8B" w:rsidP="00153D4C">
                  <w:pPr>
                    <w:pStyle w:val="ListParagraph"/>
                    <w:spacing w:after="0" w:line="240" w:lineRule="auto"/>
                    <w:ind w:left="0"/>
                    <w:jc w:val="both"/>
                    <w:rPr>
                      <w:rFonts w:ascii="Times New Roman" w:hAnsi="Times New Roman"/>
                      <w:sz w:val="20"/>
                      <w:szCs w:val="24"/>
                    </w:rPr>
                  </w:pPr>
                  <w:r w:rsidRPr="00074E4B">
                    <w:rPr>
                      <w:rFonts w:ascii="Times New Roman" w:hAnsi="Times New Roman"/>
                      <w:sz w:val="20"/>
                      <w:szCs w:val="24"/>
                    </w:rPr>
                    <w:t>Finanšu ministrija</w:t>
                  </w:r>
                </w:p>
              </w:tc>
              <w:tc>
                <w:tcPr>
                  <w:tcW w:w="994" w:type="dxa"/>
                  <w:shd w:val="clear" w:color="auto" w:fill="auto"/>
                </w:tcPr>
                <w:p w:rsidR="00F66D8B" w:rsidRPr="00074E4B" w:rsidRDefault="00F66D8B" w:rsidP="00153D4C">
                  <w:pPr>
                    <w:pStyle w:val="ListParagraph"/>
                    <w:spacing w:after="0" w:line="240" w:lineRule="auto"/>
                    <w:ind w:left="0"/>
                    <w:jc w:val="both"/>
                    <w:rPr>
                      <w:rFonts w:ascii="Times New Roman" w:hAnsi="Times New Roman"/>
                      <w:sz w:val="20"/>
                      <w:szCs w:val="24"/>
                    </w:rPr>
                  </w:pPr>
                  <w:r w:rsidRPr="00074E4B">
                    <w:rPr>
                      <w:rFonts w:ascii="Times New Roman" w:hAnsi="Times New Roman"/>
                      <w:sz w:val="20"/>
                      <w:szCs w:val="24"/>
                    </w:rPr>
                    <w:t>Atsevišķs uzraugs</w:t>
                  </w:r>
                </w:p>
              </w:tc>
              <w:tc>
                <w:tcPr>
                  <w:tcW w:w="1161" w:type="dxa"/>
                  <w:shd w:val="clear" w:color="auto" w:fill="auto"/>
                </w:tcPr>
                <w:p w:rsidR="00F66D8B" w:rsidRPr="00074E4B" w:rsidRDefault="00F66D8B" w:rsidP="00153D4C">
                  <w:pPr>
                    <w:pStyle w:val="ListParagraph"/>
                    <w:spacing w:after="0" w:line="240" w:lineRule="auto"/>
                    <w:ind w:left="0"/>
                    <w:jc w:val="both"/>
                    <w:rPr>
                      <w:rFonts w:ascii="Times New Roman" w:hAnsi="Times New Roman"/>
                      <w:sz w:val="20"/>
                      <w:szCs w:val="24"/>
                    </w:rPr>
                  </w:pPr>
                  <w:r w:rsidRPr="00074E4B">
                    <w:rPr>
                      <w:rFonts w:ascii="Times New Roman" w:hAnsi="Times New Roman"/>
                      <w:sz w:val="20"/>
                      <w:szCs w:val="24"/>
                    </w:rPr>
                    <w:t>Prokuratūra</w:t>
                  </w:r>
                </w:p>
              </w:tc>
              <w:tc>
                <w:tcPr>
                  <w:tcW w:w="906" w:type="dxa"/>
                  <w:shd w:val="clear" w:color="auto" w:fill="auto"/>
                </w:tcPr>
                <w:p w:rsidR="00F66D8B" w:rsidRPr="00074E4B" w:rsidRDefault="00F66D8B" w:rsidP="00153D4C">
                  <w:pPr>
                    <w:pStyle w:val="ListParagraph"/>
                    <w:spacing w:after="0" w:line="240" w:lineRule="auto"/>
                    <w:ind w:left="0"/>
                    <w:jc w:val="both"/>
                    <w:rPr>
                      <w:rFonts w:ascii="Times New Roman" w:hAnsi="Times New Roman"/>
                      <w:sz w:val="20"/>
                      <w:szCs w:val="24"/>
                    </w:rPr>
                  </w:pPr>
                  <w:r w:rsidRPr="00074E4B">
                    <w:rPr>
                      <w:rFonts w:ascii="Times New Roman" w:hAnsi="Times New Roman"/>
                      <w:sz w:val="20"/>
                      <w:szCs w:val="24"/>
                    </w:rPr>
                    <w:t>Centrālā banka</w:t>
                  </w:r>
                </w:p>
              </w:tc>
            </w:tr>
            <w:tr w:rsidR="00F66D8B" w:rsidRPr="00074E4B" w:rsidTr="00153D4C">
              <w:tc>
                <w:tcPr>
                  <w:tcW w:w="1536" w:type="dxa"/>
                  <w:shd w:val="clear" w:color="auto" w:fill="auto"/>
                </w:tcPr>
                <w:p w:rsidR="00F66D8B" w:rsidRPr="00074E4B" w:rsidRDefault="00F66D8B" w:rsidP="00153D4C">
                  <w:pPr>
                    <w:pStyle w:val="ListParagraph"/>
                    <w:spacing w:after="0" w:line="240" w:lineRule="auto"/>
                    <w:ind w:left="0"/>
                    <w:jc w:val="both"/>
                    <w:rPr>
                      <w:rFonts w:ascii="Times New Roman" w:hAnsi="Times New Roman"/>
                      <w:sz w:val="24"/>
                      <w:szCs w:val="24"/>
                    </w:rPr>
                  </w:pPr>
                  <w:r w:rsidRPr="00074E4B">
                    <w:rPr>
                      <w:rFonts w:ascii="Times New Roman" w:hAnsi="Times New Roman"/>
                      <w:sz w:val="24"/>
                      <w:szCs w:val="24"/>
                    </w:rPr>
                    <w:t>Austrija</w:t>
                  </w:r>
                </w:p>
              </w:tc>
              <w:tc>
                <w:tcPr>
                  <w:tcW w:w="969"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r w:rsidRPr="00074E4B">
                    <w:rPr>
                      <w:rFonts w:ascii="Times New Roman" w:hAnsi="Times New Roman"/>
                      <w:sz w:val="24"/>
                      <w:szCs w:val="24"/>
                    </w:rPr>
                    <w:t>X</w:t>
                  </w:r>
                </w:p>
              </w:tc>
              <w:tc>
                <w:tcPr>
                  <w:tcW w:w="987"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94"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1161"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06"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r>
            <w:tr w:rsidR="00F66D8B" w:rsidRPr="00074E4B" w:rsidTr="00153D4C">
              <w:tc>
                <w:tcPr>
                  <w:tcW w:w="1536" w:type="dxa"/>
                  <w:shd w:val="clear" w:color="auto" w:fill="auto"/>
                </w:tcPr>
                <w:p w:rsidR="00F66D8B" w:rsidRPr="00074E4B" w:rsidRDefault="00F66D8B" w:rsidP="00153D4C">
                  <w:pPr>
                    <w:pStyle w:val="ListParagraph"/>
                    <w:spacing w:after="0" w:line="240" w:lineRule="auto"/>
                    <w:ind w:left="0"/>
                    <w:jc w:val="both"/>
                    <w:rPr>
                      <w:rFonts w:ascii="Times New Roman" w:hAnsi="Times New Roman"/>
                      <w:sz w:val="24"/>
                      <w:szCs w:val="24"/>
                    </w:rPr>
                  </w:pPr>
                  <w:r w:rsidRPr="00074E4B">
                    <w:rPr>
                      <w:rFonts w:ascii="Times New Roman" w:hAnsi="Times New Roman"/>
                      <w:sz w:val="24"/>
                      <w:szCs w:val="24"/>
                    </w:rPr>
                    <w:t>Beļģija</w:t>
                  </w:r>
                </w:p>
              </w:tc>
              <w:tc>
                <w:tcPr>
                  <w:tcW w:w="969"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87"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r w:rsidRPr="00074E4B">
                    <w:rPr>
                      <w:rFonts w:ascii="Times New Roman" w:hAnsi="Times New Roman"/>
                      <w:sz w:val="24"/>
                      <w:szCs w:val="24"/>
                    </w:rPr>
                    <w:t>X</w:t>
                  </w:r>
                </w:p>
              </w:tc>
              <w:tc>
                <w:tcPr>
                  <w:tcW w:w="994"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1161"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06"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r>
            <w:tr w:rsidR="00F66D8B" w:rsidRPr="00074E4B" w:rsidTr="00153D4C">
              <w:tc>
                <w:tcPr>
                  <w:tcW w:w="1536" w:type="dxa"/>
                  <w:shd w:val="clear" w:color="auto" w:fill="auto"/>
                </w:tcPr>
                <w:p w:rsidR="00F66D8B" w:rsidRPr="00074E4B" w:rsidRDefault="00F66D8B" w:rsidP="00153D4C">
                  <w:pPr>
                    <w:pStyle w:val="ListParagraph"/>
                    <w:spacing w:after="0" w:line="240" w:lineRule="auto"/>
                    <w:ind w:left="0"/>
                    <w:jc w:val="both"/>
                    <w:rPr>
                      <w:rFonts w:ascii="Times New Roman" w:hAnsi="Times New Roman"/>
                      <w:sz w:val="24"/>
                      <w:szCs w:val="24"/>
                    </w:rPr>
                  </w:pPr>
                  <w:r w:rsidRPr="00074E4B">
                    <w:rPr>
                      <w:rFonts w:ascii="Times New Roman" w:hAnsi="Times New Roman"/>
                      <w:sz w:val="24"/>
                      <w:szCs w:val="24"/>
                    </w:rPr>
                    <w:t>Horvātija</w:t>
                  </w:r>
                </w:p>
              </w:tc>
              <w:tc>
                <w:tcPr>
                  <w:tcW w:w="969"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87"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r w:rsidRPr="00074E4B">
                    <w:rPr>
                      <w:rFonts w:ascii="Times New Roman" w:hAnsi="Times New Roman"/>
                      <w:sz w:val="24"/>
                      <w:szCs w:val="24"/>
                    </w:rPr>
                    <w:t>X</w:t>
                  </w:r>
                </w:p>
              </w:tc>
              <w:tc>
                <w:tcPr>
                  <w:tcW w:w="994"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1161"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06"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r>
            <w:tr w:rsidR="00F66D8B" w:rsidRPr="00074E4B" w:rsidTr="00153D4C">
              <w:tc>
                <w:tcPr>
                  <w:tcW w:w="1536" w:type="dxa"/>
                  <w:shd w:val="clear" w:color="auto" w:fill="auto"/>
                </w:tcPr>
                <w:p w:rsidR="00F66D8B" w:rsidRPr="00074E4B" w:rsidRDefault="00F66D8B" w:rsidP="00153D4C">
                  <w:pPr>
                    <w:pStyle w:val="ListParagraph"/>
                    <w:spacing w:after="0" w:line="240" w:lineRule="auto"/>
                    <w:ind w:left="0"/>
                    <w:jc w:val="both"/>
                    <w:rPr>
                      <w:rFonts w:ascii="Times New Roman" w:hAnsi="Times New Roman"/>
                      <w:sz w:val="24"/>
                      <w:szCs w:val="24"/>
                    </w:rPr>
                  </w:pPr>
                  <w:r w:rsidRPr="00074E4B">
                    <w:rPr>
                      <w:rFonts w:ascii="Times New Roman" w:hAnsi="Times New Roman"/>
                      <w:sz w:val="24"/>
                      <w:szCs w:val="24"/>
                    </w:rPr>
                    <w:t>Bulgārija</w:t>
                  </w:r>
                </w:p>
              </w:tc>
              <w:tc>
                <w:tcPr>
                  <w:tcW w:w="969"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87"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94"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r w:rsidRPr="00074E4B">
                    <w:rPr>
                      <w:rFonts w:ascii="Times New Roman" w:hAnsi="Times New Roman"/>
                      <w:sz w:val="24"/>
                      <w:szCs w:val="24"/>
                    </w:rPr>
                    <w:t xml:space="preserve">X </w:t>
                  </w:r>
                </w:p>
              </w:tc>
              <w:tc>
                <w:tcPr>
                  <w:tcW w:w="1161"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06"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r>
            <w:tr w:rsidR="00F66D8B" w:rsidRPr="00074E4B" w:rsidTr="00153D4C">
              <w:tc>
                <w:tcPr>
                  <w:tcW w:w="1536" w:type="dxa"/>
                  <w:shd w:val="clear" w:color="auto" w:fill="auto"/>
                </w:tcPr>
                <w:p w:rsidR="00F66D8B" w:rsidRPr="00074E4B" w:rsidRDefault="00F66D8B" w:rsidP="00153D4C">
                  <w:pPr>
                    <w:pStyle w:val="ListParagraph"/>
                    <w:spacing w:after="0" w:line="240" w:lineRule="auto"/>
                    <w:ind w:left="0"/>
                    <w:jc w:val="both"/>
                    <w:rPr>
                      <w:rFonts w:ascii="Times New Roman" w:hAnsi="Times New Roman"/>
                      <w:sz w:val="24"/>
                      <w:szCs w:val="24"/>
                    </w:rPr>
                  </w:pPr>
                  <w:r w:rsidRPr="00074E4B">
                    <w:rPr>
                      <w:rFonts w:ascii="Times New Roman" w:hAnsi="Times New Roman"/>
                      <w:sz w:val="24"/>
                      <w:szCs w:val="24"/>
                    </w:rPr>
                    <w:t>Kipra</w:t>
                  </w:r>
                </w:p>
              </w:tc>
              <w:tc>
                <w:tcPr>
                  <w:tcW w:w="969"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87"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94"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1161"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r w:rsidRPr="00074E4B">
                    <w:rPr>
                      <w:rFonts w:ascii="Times New Roman" w:hAnsi="Times New Roman"/>
                      <w:sz w:val="24"/>
                      <w:szCs w:val="24"/>
                    </w:rPr>
                    <w:t>X</w:t>
                  </w:r>
                </w:p>
              </w:tc>
              <w:tc>
                <w:tcPr>
                  <w:tcW w:w="906"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r>
            <w:tr w:rsidR="00F66D8B" w:rsidRPr="00074E4B" w:rsidTr="00153D4C">
              <w:tc>
                <w:tcPr>
                  <w:tcW w:w="1536" w:type="dxa"/>
                  <w:shd w:val="clear" w:color="auto" w:fill="auto"/>
                </w:tcPr>
                <w:p w:rsidR="00F66D8B" w:rsidRPr="00074E4B" w:rsidRDefault="00F66D8B" w:rsidP="00153D4C">
                  <w:pPr>
                    <w:pStyle w:val="ListParagraph"/>
                    <w:spacing w:after="0" w:line="240" w:lineRule="auto"/>
                    <w:ind w:left="0"/>
                    <w:jc w:val="both"/>
                    <w:rPr>
                      <w:rFonts w:ascii="Times New Roman" w:hAnsi="Times New Roman"/>
                      <w:sz w:val="24"/>
                      <w:szCs w:val="24"/>
                    </w:rPr>
                  </w:pPr>
                  <w:r w:rsidRPr="00074E4B">
                    <w:rPr>
                      <w:rFonts w:ascii="Times New Roman" w:hAnsi="Times New Roman"/>
                      <w:sz w:val="24"/>
                      <w:szCs w:val="24"/>
                    </w:rPr>
                    <w:t>Čehija</w:t>
                  </w:r>
                </w:p>
              </w:tc>
              <w:tc>
                <w:tcPr>
                  <w:tcW w:w="969"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87"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r w:rsidRPr="00074E4B">
                    <w:rPr>
                      <w:rFonts w:ascii="Times New Roman" w:hAnsi="Times New Roman"/>
                      <w:sz w:val="24"/>
                      <w:szCs w:val="24"/>
                    </w:rPr>
                    <w:t>X</w:t>
                  </w:r>
                </w:p>
              </w:tc>
              <w:tc>
                <w:tcPr>
                  <w:tcW w:w="994"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1161"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06"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r>
            <w:tr w:rsidR="00F66D8B" w:rsidRPr="00074E4B" w:rsidTr="00153D4C">
              <w:tc>
                <w:tcPr>
                  <w:tcW w:w="1536" w:type="dxa"/>
                  <w:shd w:val="clear" w:color="auto" w:fill="auto"/>
                </w:tcPr>
                <w:p w:rsidR="00F66D8B" w:rsidRPr="00074E4B" w:rsidRDefault="00F66D8B" w:rsidP="00153D4C">
                  <w:pPr>
                    <w:pStyle w:val="ListParagraph"/>
                    <w:spacing w:after="0" w:line="240" w:lineRule="auto"/>
                    <w:ind w:left="0"/>
                    <w:jc w:val="both"/>
                    <w:rPr>
                      <w:rFonts w:ascii="Times New Roman" w:hAnsi="Times New Roman"/>
                      <w:sz w:val="24"/>
                      <w:szCs w:val="24"/>
                    </w:rPr>
                  </w:pPr>
                  <w:r w:rsidRPr="00074E4B">
                    <w:rPr>
                      <w:rFonts w:ascii="Times New Roman" w:hAnsi="Times New Roman"/>
                      <w:sz w:val="24"/>
                      <w:szCs w:val="24"/>
                    </w:rPr>
                    <w:t>Igaunija</w:t>
                  </w:r>
                </w:p>
              </w:tc>
              <w:tc>
                <w:tcPr>
                  <w:tcW w:w="969"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r w:rsidRPr="00074E4B">
                    <w:rPr>
                      <w:rFonts w:ascii="Times New Roman" w:hAnsi="Times New Roman"/>
                      <w:sz w:val="24"/>
                      <w:szCs w:val="24"/>
                    </w:rPr>
                    <w:t>X</w:t>
                  </w:r>
                </w:p>
              </w:tc>
              <w:tc>
                <w:tcPr>
                  <w:tcW w:w="987"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94"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1161"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06"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r>
            <w:tr w:rsidR="00F66D8B" w:rsidRPr="00074E4B" w:rsidTr="00153D4C">
              <w:tc>
                <w:tcPr>
                  <w:tcW w:w="1536" w:type="dxa"/>
                  <w:shd w:val="clear" w:color="auto" w:fill="auto"/>
                </w:tcPr>
                <w:p w:rsidR="00F66D8B" w:rsidRPr="00074E4B" w:rsidRDefault="00F66D8B" w:rsidP="00153D4C">
                  <w:pPr>
                    <w:pStyle w:val="ListParagraph"/>
                    <w:spacing w:after="0" w:line="240" w:lineRule="auto"/>
                    <w:ind w:left="0"/>
                    <w:jc w:val="both"/>
                    <w:rPr>
                      <w:rFonts w:ascii="Times New Roman" w:hAnsi="Times New Roman"/>
                      <w:sz w:val="24"/>
                      <w:szCs w:val="24"/>
                    </w:rPr>
                  </w:pPr>
                  <w:r w:rsidRPr="00074E4B">
                    <w:rPr>
                      <w:rFonts w:ascii="Times New Roman" w:hAnsi="Times New Roman"/>
                      <w:sz w:val="24"/>
                      <w:szCs w:val="24"/>
                    </w:rPr>
                    <w:t>Somija</w:t>
                  </w:r>
                </w:p>
              </w:tc>
              <w:tc>
                <w:tcPr>
                  <w:tcW w:w="969"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r w:rsidRPr="00074E4B">
                    <w:rPr>
                      <w:rFonts w:ascii="Times New Roman" w:hAnsi="Times New Roman"/>
                      <w:sz w:val="24"/>
                      <w:szCs w:val="24"/>
                    </w:rPr>
                    <w:t>X</w:t>
                  </w:r>
                </w:p>
              </w:tc>
              <w:tc>
                <w:tcPr>
                  <w:tcW w:w="987"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94"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1161"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06"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r>
            <w:tr w:rsidR="00F66D8B" w:rsidRPr="00074E4B" w:rsidTr="00153D4C">
              <w:tc>
                <w:tcPr>
                  <w:tcW w:w="1536" w:type="dxa"/>
                  <w:shd w:val="clear" w:color="auto" w:fill="auto"/>
                </w:tcPr>
                <w:p w:rsidR="00F66D8B" w:rsidRPr="00074E4B" w:rsidRDefault="00F66D8B" w:rsidP="00153D4C">
                  <w:pPr>
                    <w:pStyle w:val="ListParagraph"/>
                    <w:spacing w:after="0" w:line="240" w:lineRule="auto"/>
                    <w:ind w:left="0"/>
                    <w:jc w:val="both"/>
                    <w:rPr>
                      <w:rFonts w:ascii="Times New Roman" w:hAnsi="Times New Roman"/>
                      <w:sz w:val="24"/>
                      <w:szCs w:val="24"/>
                    </w:rPr>
                  </w:pPr>
                  <w:r w:rsidRPr="00074E4B">
                    <w:rPr>
                      <w:rFonts w:ascii="Times New Roman" w:hAnsi="Times New Roman"/>
                      <w:sz w:val="24"/>
                      <w:szCs w:val="24"/>
                    </w:rPr>
                    <w:t>Francija</w:t>
                  </w:r>
                </w:p>
              </w:tc>
              <w:tc>
                <w:tcPr>
                  <w:tcW w:w="969"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87"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r w:rsidRPr="00074E4B">
                    <w:rPr>
                      <w:rFonts w:ascii="Times New Roman" w:hAnsi="Times New Roman"/>
                      <w:sz w:val="24"/>
                      <w:szCs w:val="24"/>
                    </w:rPr>
                    <w:t>X</w:t>
                  </w:r>
                </w:p>
              </w:tc>
              <w:tc>
                <w:tcPr>
                  <w:tcW w:w="994"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1161"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06"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r>
            <w:tr w:rsidR="00F66D8B" w:rsidRPr="00074E4B" w:rsidTr="00153D4C">
              <w:tc>
                <w:tcPr>
                  <w:tcW w:w="1536" w:type="dxa"/>
                  <w:shd w:val="clear" w:color="auto" w:fill="auto"/>
                </w:tcPr>
                <w:p w:rsidR="00F66D8B" w:rsidRPr="00074E4B" w:rsidRDefault="00F66D8B" w:rsidP="00153D4C">
                  <w:pPr>
                    <w:pStyle w:val="ListParagraph"/>
                    <w:spacing w:after="0" w:line="240" w:lineRule="auto"/>
                    <w:ind w:left="0"/>
                    <w:jc w:val="both"/>
                    <w:rPr>
                      <w:rFonts w:ascii="Times New Roman" w:hAnsi="Times New Roman"/>
                      <w:sz w:val="24"/>
                      <w:szCs w:val="24"/>
                    </w:rPr>
                  </w:pPr>
                  <w:r w:rsidRPr="00074E4B">
                    <w:rPr>
                      <w:rFonts w:ascii="Times New Roman" w:hAnsi="Times New Roman"/>
                      <w:sz w:val="24"/>
                      <w:szCs w:val="24"/>
                    </w:rPr>
                    <w:t>Vācija</w:t>
                  </w:r>
                </w:p>
              </w:tc>
              <w:tc>
                <w:tcPr>
                  <w:tcW w:w="969"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r w:rsidRPr="00074E4B">
                    <w:rPr>
                      <w:rFonts w:ascii="Times New Roman" w:hAnsi="Times New Roman"/>
                      <w:sz w:val="24"/>
                      <w:szCs w:val="24"/>
                    </w:rPr>
                    <w:t>X</w:t>
                  </w:r>
                </w:p>
              </w:tc>
              <w:tc>
                <w:tcPr>
                  <w:tcW w:w="987"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94"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1161"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06"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r>
            <w:tr w:rsidR="00F66D8B" w:rsidRPr="00074E4B" w:rsidTr="00153D4C">
              <w:tc>
                <w:tcPr>
                  <w:tcW w:w="1536" w:type="dxa"/>
                  <w:shd w:val="clear" w:color="auto" w:fill="auto"/>
                </w:tcPr>
                <w:p w:rsidR="00F66D8B" w:rsidRPr="00074E4B" w:rsidRDefault="00F66D8B" w:rsidP="00153D4C">
                  <w:pPr>
                    <w:pStyle w:val="ListParagraph"/>
                    <w:spacing w:after="0" w:line="240" w:lineRule="auto"/>
                    <w:ind w:left="0"/>
                    <w:jc w:val="both"/>
                    <w:rPr>
                      <w:rFonts w:ascii="Times New Roman" w:hAnsi="Times New Roman"/>
                      <w:sz w:val="24"/>
                      <w:szCs w:val="24"/>
                    </w:rPr>
                  </w:pPr>
                  <w:r w:rsidRPr="00074E4B">
                    <w:rPr>
                      <w:rFonts w:ascii="Times New Roman" w:hAnsi="Times New Roman"/>
                      <w:sz w:val="24"/>
                      <w:szCs w:val="24"/>
                    </w:rPr>
                    <w:t>Ungārija</w:t>
                  </w:r>
                </w:p>
              </w:tc>
              <w:tc>
                <w:tcPr>
                  <w:tcW w:w="969"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87"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r w:rsidRPr="00074E4B">
                    <w:rPr>
                      <w:rFonts w:ascii="Times New Roman" w:hAnsi="Times New Roman"/>
                      <w:sz w:val="24"/>
                      <w:szCs w:val="24"/>
                    </w:rPr>
                    <w:t>X</w:t>
                  </w:r>
                </w:p>
              </w:tc>
              <w:tc>
                <w:tcPr>
                  <w:tcW w:w="994"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1161"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06"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r>
            <w:tr w:rsidR="00F66D8B" w:rsidRPr="00074E4B" w:rsidTr="00153D4C">
              <w:tc>
                <w:tcPr>
                  <w:tcW w:w="1536" w:type="dxa"/>
                  <w:shd w:val="clear" w:color="auto" w:fill="auto"/>
                </w:tcPr>
                <w:p w:rsidR="00F66D8B" w:rsidRPr="00074E4B" w:rsidRDefault="00F66D8B" w:rsidP="00153D4C">
                  <w:pPr>
                    <w:pStyle w:val="ListParagraph"/>
                    <w:spacing w:after="0" w:line="240" w:lineRule="auto"/>
                    <w:ind w:left="0"/>
                    <w:jc w:val="both"/>
                    <w:rPr>
                      <w:rFonts w:ascii="Times New Roman" w:hAnsi="Times New Roman"/>
                      <w:sz w:val="24"/>
                      <w:szCs w:val="24"/>
                    </w:rPr>
                  </w:pPr>
                  <w:r w:rsidRPr="00074E4B">
                    <w:rPr>
                      <w:rFonts w:ascii="Times New Roman" w:hAnsi="Times New Roman"/>
                      <w:sz w:val="24"/>
                      <w:szCs w:val="24"/>
                    </w:rPr>
                    <w:t>Latvija</w:t>
                  </w:r>
                </w:p>
              </w:tc>
              <w:tc>
                <w:tcPr>
                  <w:tcW w:w="969"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87"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94"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1161"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r w:rsidRPr="00074E4B">
                    <w:rPr>
                      <w:rFonts w:ascii="Times New Roman" w:hAnsi="Times New Roman"/>
                      <w:sz w:val="24"/>
                      <w:szCs w:val="24"/>
                    </w:rPr>
                    <w:t>X</w:t>
                  </w:r>
                </w:p>
              </w:tc>
              <w:tc>
                <w:tcPr>
                  <w:tcW w:w="906"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r>
            <w:tr w:rsidR="00F66D8B" w:rsidRPr="00074E4B" w:rsidTr="00153D4C">
              <w:tc>
                <w:tcPr>
                  <w:tcW w:w="1536" w:type="dxa"/>
                  <w:shd w:val="clear" w:color="auto" w:fill="auto"/>
                </w:tcPr>
                <w:p w:rsidR="00F66D8B" w:rsidRPr="00074E4B" w:rsidRDefault="00F66D8B" w:rsidP="00153D4C">
                  <w:pPr>
                    <w:pStyle w:val="ListParagraph"/>
                    <w:spacing w:after="0" w:line="240" w:lineRule="auto"/>
                    <w:ind w:left="0"/>
                    <w:jc w:val="both"/>
                    <w:rPr>
                      <w:rFonts w:ascii="Times New Roman" w:hAnsi="Times New Roman"/>
                      <w:sz w:val="24"/>
                      <w:szCs w:val="24"/>
                    </w:rPr>
                  </w:pPr>
                  <w:r w:rsidRPr="00074E4B">
                    <w:rPr>
                      <w:rFonts w:ascii="Times New Roman" w:hAnsi="Times New Roman"/>
                      <w:sz w:val="24"/>
                      <w:szCs w:val="24"/>
                    </w:rPr>
                    <w:t>Islande</w:t>
                  </w:r>
                </w:p>
              </w:tc>
              <w:tc>
                <w:tcPr>
                  <w:tcW w:w="969"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r w:rsidRPr="00074E4B">
                    <w:rPr>
                      <w:rFonts w:ascii="Times New Roman" w:hAnsi="Times New Roman"/>
                      <w:sz w:val="24"/>
                      <w:szCs w:val="24"/>
                    </w:rPr>
                    <w:t>X</w:t>
                  </w:r>
                </w:p>
              </w:tc>
              <w:tc>
                <w:tcPr>
                  <w:tcW w:w="987"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94"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1161"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06"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r>
            <w:tr w:rsidR="00F66D8B" w:rsidRPr="00074E4B" w:rsidTr="00153D4C">
              <w:tc>
                <w:tcPr>
                  <w:tcW w:w="1536" w:type="dxa"/>
                  <w:shd w:val="clear" w:color="auto" w:fill="auto"/>
                </w:tcPr>
                <w:p w:rsidR="00F66D8B" w:rsidRPr="00074E4B" w:rsidRDefault="00F66D8B" w:rsidP="00153D4C">
                  <w:pPr>
                    <w:pStyle w:val="ListParagraph"/>
                    <w:spacing w:after="0" w:line="240" w:lineRule="auto"/>
                    <w:ind w:left="0"/>
                    <w:jc w:val="both"/>
                    <w:rPr>
                      <w:rFonts w:ascii="Times New Roman" w:hAnsi="Times New Roman"/>
                      <w:sz w:val="24"/>
                      <w:szCs w:val="24"/>
                    </w:rPr>
                  </w:pPr>
                  <w:r w:rsidRPr="00074E4B">
                    <w:rPr>
                      <w:rFonts w:ascii="Times New Roman" w:hAnsi="Times New Roman"/>
                      <w:sz w:val="24"/>
                      <w:szCs w:val="24"/>
                    </w:rPr>
                    <w:t>Īrija</w:t>
                  </w:r>
                </w:p>
              </w:tc>
              <w:tc>
                <w:tcPr>
                  <w:tcW w:w="969"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r w:rsidRPr="00074E4B">
                    <w:rPr>
                      <w:rFonts w:ascii="Times New Roman" w:hAnsi="Times New Roman"/>
                      <w:sz w:val="24"/>
                      <w:szCs w:val="24"/>
                    </w:rPr>
                    <w:t>X</w:t>
                  </w:r>
                </w:p>
              </w:tc>
              <w:tc>
                <w:tcPr>
                  <w:tcW w:w="987"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94"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1161"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06"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r>
            <w:tr w:rsidR="00F66D8B" w:rsidRPr="00074E4B" w:rsidTr="00153D4C">
              <w:tc>
                <w:tcPr>
                  <w:tcW w:w="1536" w:type="dxa"/>
                  <w:shd w:val="clear" w:color="auto" w:fill="auto"/>
                </w:tcPr>
                <w:p w:rsidR="00F66D8B" w:rsidRPr="00074E4B" w:rsidRDefault="00F66D8B" w:rsidP="00153D4C">
                  <w:pPr>
                    <w:pStyle w:val="ListParagraph"/>
                    <w:spacing w:after="0" w:line="240" w:lineRule="auto"/>
                    <w:ind w:left="0"/>
                    <w:jc w:val="both"/>
                    <w:rPr>
                      <w:rFonts w:ascii="Times New Roman" w:hAnsi="Times New Roman"/>
                      <w:sz w:val="24"/>
                      <w:szCs w:val="24"/>
                    </w:rPr>
                  </w:pPr>
                  <w:r w:rsidRPr="00074E4B">
                    <w:rPr>
                      <w:rFonts w:ascii="Times New Roman" w:hAnsi="Times New Roman"/>
                      <w:sz w:val="24"/>
                      <w:szCs w:val="24"/>
                    </w:rPr>
                    <w:t>Itālija</w:t>
                  </w:r>
                </w:p>
              </w:tc>
              <w:tc>
                <w:tcPr>
                  <w:tcW w:w="969"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87"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94"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1161"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06"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r w:rsidRPr="00074E4B">
                    <w:rPr>
                      <w:rFonts w:ascii="Times New Roman" w:hAnsi="Times New Roman"/>
                      <w:sz w:val="24"/>
                      <w:szCs w:val="24"/>
                    </w:rPr>
                    <w:t>X</w:t>
                  </w:r>
                </w:p>
              </w:tc>
            </w:tr>
            <w:tr w:rsidR="00F66D8B" w:rsidRPr="00074E4B" w:rsidTr="00153D4C">
              <w:tc>
                <w:tcPr>
                  <w:tcW w:w="1536" w:type="dxa"/>
                  <w:shd w:val="clear" w:color="auto" w:fill="auto"/>
                </w:tcPr>
                <w:p w:rsidR="00F66D8B" w:rsidRPr="00074E4B" w:rsidRDefault="00F66D8B" w:rsidP="00153D4C">
                  <w:pPr>
                    <w:pStyle w:val="ListParagraph"/>
                    <w:spacing w:after="0" w:line="240" w:lineRule="auto"/>
                    <w:ind w:left="0"/>
                    <w:jc w:val="both"/>
                    <w:rPr>
                      <w:rFonts w:ascii="Times New Roman" w:hAnsi="Times New Roman"/>
                      <w:sz w:val="24"/>
                      <w:szCs w:val="24"/>
                    </w:rPr>
                  </w:pPr>
                  <w:r w:rsidRPr="00074E4B">
                    <w:rPr>
                      <w:rFonts w:ascii="Times New Roman" w:hAnsi="Times New Roman"/>
                      <w:sz w:val="24"/>
                      <w:szCs w:val="24"/>
                    </w:rPr>
                    <w:t>Lietuva</w:t>
                  </w:r>
                </w:p>
              </w:tc>
              <w:tc>
                <w:tcPr>
                  <w:tcW w:w="969"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r w:rsidRPr="00074E4B">
                    <w:rPr>
                      <w:rFonts w:ascii="Times New Roman" w:hAnsi="Times New Roman"/>
                      <w:sz w:val="24"/>
                      <w:szCs w:val="24"/>
                    </w:rPr>
                    <w:t>X</w:t>
                  </w:r>
                </w:p>
              </w:tc>
              <w:tc>
                <w:tcPr>
                  <w:tcW w:w="987"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94"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1161"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06"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r>
            <w:tr w:rsidR="00F66D8B" w:rsidRPr="00074E4B" w:rsidTr="00153D4C">
              <w:tc>
                <w:tcPr>
                  <w:tcW w:w="1536" w:type="dxa"/>
                  <w:shd w:val="clear" w:color="auto" w:fill="auto"/>
                </w:tcPr>
                <w:p w:rsidR="00F66D8B" w:rsidRPr="00074E4B" w:rsidRDefault="00F66D8B" w:rsidP="00153D4C">
                  <w:pPr>
                    <w:pStyle w:val="ListParagraph"/>
                    <w:spacing w:after="0" w:line="240" w:lineRule="auto"/>
                    <w:ind w:left="0"/>
                    <w:jc w:val="both"/>
                    <w:rPr>
                      <w:rFonts w:ascii="Times New Roman" w:hAnsi="Times New Roman"/>
                      <w:sz w:val="24"/>
                      <w:szCs w:val="24"/>
                    </w:rPr>
                  </w:pPr>
                  <w:r w:rsidRPr="00074E4B">
                    <w:rPr>
                      <w:rFonts w:ascii="Times New Roman" w:hAnsi="Times New Roman"/>
                      <w:sz w:val="24"/>
                      <w:szCs w:val="24"/>
                    </w:rPr>
                    <w:t>Luksemburga</w:t>
                  </w:r>
                </w:p>
              </w:tc>
              <w:tc>
                <w:tcPr>
                  <w:tcW w:w="969"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87"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94"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1161"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r w:rsidRPr="00074E4B">
                    <w:rPr>
                      <w:rFonts w:ascii="Times New Roman" w:hAnsi="Times New Roman"/>
                      <w:sz w:val="24"/>
                      <w:szCs w:val="24"/>
                    </w:rPr>
                    <w:t>X</w:t>
                  </w:r>
                </w:p>
              </w:tc>
              <w:tc>
                <w:tcPr>
                  <w:tcW w:w="906"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r>
            <w:tr w:rsidR="00F66D8B" w:rsidRPr="00074E4B" w:rsidTr="00153D4C">
              <w:tc>
                <w:tcPr>
                  <w:tcW w:w="1536" w:type="dxa"/>
                  <w:shd w:val="clear" w:color="auto" w:fill="auto"/>
                </w:tcPr>
                <w:p w:rsidR="00F66D8B" w:rsidRPr="00074E4B" w:rsidRDefault="00F66D8B" w:rsidP="00153D4C">
                  <w:pPr>
                    <w:pStyle w:val="ListParagraph"/>
                    <w:spacing w:after="0" w:line="240" w:lineRule="auto"/>
                    <w:ind w:left="0"/>
                    <w:jc w:val="both"/>
                    <w:rPr>
                      <w:rFonts w:ascii="Times New Roman" w:hAnsi="Times New Roman"/>
                      <w:sz w:val="24"/>
                      <w:szCs w:val="24"/>
                    </w:rPr>
                  </w:pPr>
                  <w:r w:rsidRPr="00074E4B">
                    <w:rPr>
                      <w:rFonts w:ascii="Times New Roman" w:hAnsi="Times New Roman"/>
                      <w:sz w:val="24"/>
                      <w:szCs w:val="24"/>
                    </w:rPr>
                    <w:t>Malta</w:t>
                  </w:r>
                </w:p>
              </w:tc>
              <w:tc>
                <w:tcPr>
                  <w:tcW w:w="969"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87"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r w:rsidRPr="00074E4B">
                    <w:rPr>
                      <w:rFonts w:ascii="Times New Roman" w:hAnsi="Times New Roman"/>
                      <w:sz w:val="24"/>
                      <w:szCs w:val="24"/>
                    </w:rPr>
                    <w:t>X</w:t>
                  </w:r>
                </w:p>
              </w:tc>
              <w:tc>
                <w:tcPr>
                  <w:tcW w:w="994"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1161"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06"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r>
            <w:tr w:rsidR="00F66D8B" w:rsidRPr="00074E4B" w:rsidTr="00153D4C">
              <w:tc>
                <w:tcPr>
                  <w:tcW w:w="1536" w:type="dxa"/>
                  <w:shd w:val="clear" w:color="auto" w:fill="auto"/>
                </w:tcPr>
                <w:p w:rsidR="00F66D8B" w:rsidRPr="00074E4B" w:rsidRDefault="00F66D8B" w:rsidP="00153D4C">
                  <w:pPr>
                    <w:pStyle w:val="ListParagraph"/>
                    <w:spacing w:after="0" w:line="240" w:lineRule="auto"/>
                    <w:ind w:left="0"/>
                    <w:jc w:val="both"/>
                    <w:rPr>
                      <w:rFonts w:ascii="Times New Roman" w:hAnsi="Times New Roman"/>
                      <w:sz w:val="24"/>
                      <w:szCs w:val="24"/>
                    </w:rPr>
                  </w:pPr>
                  <w:r w:rsidRPr="00074E4B">
                    <w:rPr>
                      <w:rFonts w:ascii="Times New Roman" w:hAnsi="Times New Roman"/>
                      <w:sz w:val="24"/>
                      <w:szCs w:val="24"/>
                    </w:rPr>
                    <w:t>Nīderlande</w:t>
                  </w:r>
                </w:p>
              </w:tc>
              <w:tc>
                <w:tcPr>
                  <w:tcW w:w="969"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r w:rsidRPr="00074E4B">
                    <w:rPr>
                      <w:rFonts w:ascii="Times New Roman" w:hAnsi="Times New Roman"/>
                      <w:sz w:val="24"/>
                      <w:szCs w:val="24"/>
                    </w:rPr>
                    <w:t>X</w:t>
                  </w:r>
                </w:p>
              </w:tc>
              <w:tc>
                <w:tcPr>
                  <w:tcW w:w="987"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94"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1161"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06"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r>
            <w:tr w:rsidR="00F66D8B" w:rsidRPr="00074E4B" w:rsidTr="00153D4C">
              <w:tc>
                <w:tcPr>
                  <w:tcW w:w="1536" w:type="dxa"/>
                  <w:shd w:val="clear" w:color="auto" w:fill="auto"/>
                </w:tcPr>
                <w:p w:rsidR="00F66D8B" w:rsidRPr="00074E4B" w:rsidRDefault="00F66D8B" w:rsidP="00153D4C">
                  <w:pPr>
                    <w:pStyle w:val="ListParagraph"/>
                    <w:spacing w:after="0" w:line="240" w:lineRule="auto"/>
                    <w:ind w:left="0"/>
                    <w:jc w:val="both"/>
                    <w:rPr>
                      <w:rFonts w:ascii="Times New Roman" w:hAnsi="Times New Roman"/>
                      <w:sz w:val="24"/>
                      <w:szCs w:val="24"/>
                    </w:rPr>
                  </w:pPr>
                  <w:r w:rsidRPr="00074E4B">
                    <w:rPr>
                      <w:rFonts w:ascii="Times New Roman" w:hAnsi="Times New Roman"/>
                      <w:sz w:val="24"/>
                      <w:szCs w:val="24"/>
                    </w:rPr>
                    <w:t>Norvēģija</w:t>
                  </w:r>
                </w:p>
              </w:tc>
              <w:tc>
                <w:tcPr>
                  <w:tcW w:w="969"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87"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94"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1161"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r w:rsidRPr="00074E4B">
                    <w:rPr>
                      <w:rFonts w:ascii="Times New Roman" w:hAnsi="Times New Roman"/>
                      <w:sz w:val="24"/>
                      <w:szCs w:val="24"/>
                    </w:rPr>
                    <w:t>X</w:t>
                  </w:r>
                </w:p>
              </w:tc>
              <w:tc>
                <w:tcPr>
                  <w:tcW w:w="906"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r>
            <w:tr w:rsidR="00F66D8B" w:rsidRPr="00074E4B" w:rsidTr="00153D4C">
              <w:tc>
                <w:tcPr>
                  <w:tcW w:w="1536" w:type="dxa"/>
                  <w:shd w:val="clear" w:color="auto" w:fill="auto"/>
                </w:tcPr>
                <w:p w:rsidR="00F66D8B" w:rsidRPr="00074E4B" w:rsidRDefault="00F66D8B" w:rsidP="00153D4C">
                  <w:pPr>
                    <w:pStyle w:val="ListParagraph"/>
                    <w:spacing w:after="0" w:line="240" w:lineRule="auto"/>
                    <w:ind w:left="0"/>
                    <w:jc w:val="both"/>
                    <w:rPr>
                      <w:rFonts w:ascii="Times New Roman" w:hAnsi="Times New Roman"/>
                      <w:sz w:val="24"/>
                      <w:szCs w:val="24"/>
                    </w:rPr>
                  </w:pPr>
                  <w:r w:rsidRPr="00074E4B">
                    <w:rPr>
                      <w:rFonts w:ascii="Times New Roman" w:hAnsi="Times New Roman"/>
                      <w:sz w:val="24"/>
                      <w:szCs w:val="24"/>
                    </w:rPr>
                    <w:t>Polija</w:t>
                  </w:r>
                </w:p>
              </w:tc>
              <w:tc>
                <w:tcPr>
                  <w:tcW w:w="969"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87"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r w:rsidRPr="00074E4B">
                    <w:rPr>
                      <w:rFonts w:ascii="Times New Roman" w:hAnsi="Times New Roman"/>
                      <w:sz w:val="24"/>
                      <w:szCs w:val="24"/>
                    </w:rPr>
                    <w:t>X</w:t>
                  </w:r>
                </w:p>
              </w:tc>
              <w:tc>
                <w:tcPr>
                  <w:tcW w:w="994"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1161"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06"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r>
            <w:tr w:rsidR="00F66D8B" w:rsidRPr="00074E4B" w:rsidTr="00153D4C">
              <w:tc>
                <w:tcPr>
                  <w:tcW w:w="1536" w:type="dxa"/>
                  <w:shd w:val="clear" w:color="auto" w:fill="auto"/>
                </w:tcPr>
                <w:p w:rsidR="00F66D8B" w:rsidRPr="00074E4B" w:rsidRDefault="00F66D8B" w:rsidP="00153D4C">
                  <w:pPr>
                    <w:pStyle w:val="ListParagraph"/>
                    <w:spacing w:after="0" w:line="240" w:lineRule="auto"/>
                    <w:ind w:left="0"/>
                    <w:jc w:val="both"/>
                    <w:rPr>
                      <w:rFonts w:ascii="Times New Roman" w:hAnsi="Times New Roman"/>
                      <w:sz w:val="24"/>
                      <w:szCs w:val="24"/>
                    </w:rPr>
                  </w:pPr>
                  <w:r w:rsidRPr="00074E4B">
                    <w:rPr>
                      <w:rFonts w:ascii="Times New Roman" w:hAnsi="Times New Roman"/>
                      <w:sz w:val="24"/>
                      <w:szCs w:val="24"/>
                    </w:rPr>
                    <w:t>Portugāle</w:t>
                  </w:r>
                </w:p>
              </w:tc>
              <w:tc>
                <w:tcPr>
                  <w:tcW w:w="969"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87"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94"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r w:rsidRPr="00074E4B">
                    <w:rPr>
                      <w:rFonts w:ascii="Times New Roman" w:hAnsi="Times New Roman"/>
                      <w:sz w:val="24"/>
                      <w:szCs w:val="24"/>
                    </w:rPr>
                    <w:t>X</w:t>
                  </w:r>
                </w:p>
              </w:tc>
              <w:tc>
                <w:tcPr>
                  <w:tcW w:w="1161"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06"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r>
            <w:tr w:rsidR="00F66D8B" w:rsidRPr="00074E4B" w:rsidTr="00153D4C">
              <w:tc>
                <w:tcPr>
                  <w:tcW w:w="1536" w:type="dxa"/>
                  <w:shd w:val="clear" w:color="auto" w:fill="auto"/>
                </w:tcPr>
                <w:p w:rsidR="00F66D8B" w:rsidRPr="00074E4B" w:rsidRDefault="00F66D8B" w:rsidP="00153D4C">
                  <w:pPr>
                    <w:pStyle w:val="ListParagraph"/>
                    <w:spacing w:after="0" w:line="240" w:lineRule="auto"/>
                    <w:ind w:left="0"/>
                    <w:jc w:val="both"/>
                    <w:rPr>
                      <w:rFonts w:ascii="Times New Roman" w:hAnsi="Times New Roman"/>
                      <w:sz w:val="24"/>
                      <w:szCs w:val="24"/>
                    </w:rPr>
                  </w:pPr>
                  <w:r w:rsidRPr="00074E4B">
                    <w:rPr>
                      <w:rFonts w:ascii="Times New Roman" w:hAnsi="Times New Roman"/>
                      <w:sz w:val="24"/>
                      <w:szCs w:val="24"/>
                    </w:rPr>
                    <w:t>Slovākija</w:t>
                  </w:r>
                </w:p>
              </w:tc>
              <w:tc>
                <w:tcPr>
                  <w:tcW w:w="969"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r w:rsidRPr="00074E4B">
                    <w:rPr>
                      <w:rFonts w:ascii="Times New Roman" w:hAnsi="Times New Roman"/>
                      <w:sz w:val="24"/>
                      <w:szCs w:val="24"/>
                    </w:rPr>
                    <w:t xml:space="preserve">X </w:t>
                  </w:r>
                </w:p>
              </w:tc>
              <w:tc>
                <w:tcPr>
                  <w:tcW w:w="987"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94"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1161"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06"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r>
            <w:tr w:rsidR="00F66D8B" w:rsidRPr="00074E4B" w:rsidTr="00153D4C">
              <w:tc>
                <w:tcPr>
                  <w:tcW w:w="1536" w:type="dxa"/>
                  <w:shd w:val="clear" w:color="auto" w:fill="auto"/>
                </w:tcPr>
                <w:p w:rsidR="00F66D8B" w:rsidRPr="00074E4B" w:rsidRDefault="00F66D8B" w:rsidP="00153D4C">
                  <w:pPr>
                    <w:pStyle w:val="ListParagraph"/>
                    <w:spacing w:after="0" w:line="240" w:lineRule="auto"/>
                    <w:ind w:left="0"/>
                    <w:jc w:val="both"/>
                    <w:rPr>
                      <w:rFonts w:ascii="Times New Roman" w:hAnsi="Times New Roman"/>
                      <w:sz w:val="24"/>
                      <w:szCs w:val="24"/>
                    </w:rPr>
                  </w:pPr>
                  <w:r w:rsidRPr="00074E4B">
                    <w:rPr>
                      <w:rFonts w:ascii="Times New Roman" w:hAnsi="Times New Roman"/>
                      <w:sz w:val="24"/>
                      <w:szCs w:val="24"/>
                    </w:rPr>
                    <w:t>Slovēnija</w:t>
                  </w:r>
                </w:p>
              </w:tc>
              <w:tc>
                <w:tcPr>
                  <w:tcW w:w="969"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87"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r w:rsidRPr="00074E4B">
                    <w:rPr>
                      <w:rFonts w:ascii="Times New Roman" w:hAnsi="Times New Roman"/>
                      <w:sz w:val="24"/>
                      <w:szCs w:val="24"/>
                    </w:rPr>
                    <w:t>X</w:t>
                  </w:r>
                </w:p>
              </w:tc>
              <w:tc>
                <w:tcPr>
                  <w:tcW w:w="994"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1161"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06"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r>
            <w:tr w:rsidR="00F66D8B" w:rsidRPr="00074E4B" w:rsidTr="00153D4C">
              <w:tc>
                <w:tcPr>
                  <w:tcW w:w="1536" w:type="dxa"/>
                  <w:shd w:val="clear" w:color="auto" w:fill="auto"/>
                </w:tcPr>
                <w:p w:rsidR="00F66D8B" w:rsidRPr="00074E4B" w:rsidRDefault="00F66D8B" w:rsidP="00153D4C">
                  <w:pPr>
                    <w:pStyle w:val="ListParagraph"/>
                    <w:spacing w:after="0" w:line="240" w:lineRule="auto"/>
                    <w:ind w:left="0"/>
                    <w:jc w:val="both"/>
                    <w:rPr>
                      <w:rFonts w:ascii="Times New Roman" w:hAnsi="Times New Roman"/>
                      <w:sz w:val="24"/>
                      <w:szCs w:val="24"/>
                    </w:rPr>
                  </w:pPr>
                  <w:r w:rsidRPr="00074E4B">
                    <w:rPr>
                      <w:rFonts w:ascii="Times New Roman" w:hAnsi="Times New Roman"/>
                      <w:sz w:val="24"/>
                      <w:szCs w:val="24"/>
                    </w:rPr>
                    <w:t>Spānija</w:t>
                  </w:r>
                </w:p>
              </w:tc>
              <w:tc>
                <w:tcPr>
                  <w:tcW w:w="969"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87"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94"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r w:rsidRPr="00074E4B">
                    <w:rPr>
                      <w:rFonts w:ascii="Times New Roman" w:hAnsi="Times New Roman"/>
                      <w:sz w:val="24"/>
                      <w:szCs w:val="24"/>
                    </w:rPr>
                    <w:t>X</w:t>
                  </w:r>
                </w:p>
              </w:tc>
              <w:tc>
                <w:tcPr>
                  <w:tcW w:w="1161"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06"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r>
            <w:tr w:rsidR="00F66D8B" w:rsidRPr="00074E4B" w:rsidTr="00153D4C">
              <w:tc>
                <w:tcPr>
                  <w:tcW w:w="1536" w:type="dxa"/>
                  <w:shd w:val="clear" w:color="auto" w:fill="auto"/>
                </w:tcPr>
                <w:p w:rsidR="00F66D8B" w:rsidRPr="00074E4B" w:rsidRDefault="00F66D8B" w:rsidP="00153D4C">
                  <w:pPr>
                    <w:pStyle w:val="ListParagraph"/>
                    <w:spacing w:after="0" w:line="240" w:lineRule="auto"/>
                    <w:ind w:left="0"/>
                    <w:jc w:val="both"/>
                    <w:rPr>
                      <w:rFonts w:ascii="Times New Roman" w:hAnsi="Times New Roman"/>
                      <w:sz w:val="24"/>
                      <w:szCs w:val="24"/>
                    </w:rPr>
                  </w:pPr>
                  <w:r w:rsidRPr="00074E4B">
                    <w:rPr>
                      <w:rFonts w:ascii="Times New Roman" w:hAnsi="Times New Roman"/>
                      <w:sz w:val="24"/>
                      <w:szCs w:val="24"/>
                    </w:rPr>
                    <w:t>Zviedrija</w:t>
                  </w:r>
                </w:p>
              </w:tc>
              <w:tc>
                <w:tcPr>
                  <w:tcW w:w="969"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r w:rsidRPr="00074E4B">
                    <w:rPr>
                      <w:rFonts w:ascii="Times New Roman" w:hAnsi="Times New Roman"/>
                      <w:sz w:val="24"/>
                      <w:szCs w:val="24"/>
                    </w:rPr>
                    <w:t>X</w:t>
                  </w:r>
                </w:p>
              </w:tc>
              <w:tc>
                <w:tcPr>
                  <w:tcW w:w="987"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94"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1161"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06"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r>
            <w:tr w:rsidR="00F66D8B" w:rsidRPr="00074E4B" w:rsidTr="00153D4C">
              <w:tc>
                <w:tcPr>
                  <w:tcW w:w="1536" w:type="dxa"/>
                  <w:shd w:val="clear" w:color="auto" w:fill="auto"/>
                </w:tcPr>
                <w:p w:rsidR="00F66D8B" w:rsidRPr="00074E4B" w:rsidRDefault="00F66D8B" w:rsidP="00153D4C">
                  <w:pPr>
                    <w:pStyle w:val="ListParagraph"/>
                    <w:spacing w:after="0" w:line="240" w:lineRule="auto"/>
                    <w:ind w:left="0"/>
                    <w:jc w:val="both"/>
                    <w:rPr>
                      <w:rFonts w:ascii="Times New Roman" w:hAnsi="Times New Roman"/>
                      <w:sz w:val="24"/>
                      <w:szCs w:val="24"/>
                    </w:rPr>
                  </w:pPr>
                  <w:r w:rsidRPr="00074E4B">
                    <w:rPr>
                      <w:rFonts w:ascii="Times New Roman" w:hAnsi="Times New Roman"/>
                      <w:sz w:val="24"/>
                      <w:szCs w:val="24"/>
                    </w:rPr>
                    <w:t>Lielbritānija</w:t>
                  </w:r>
                </w:p>
              </w:tc>
              <w:tc>
                <w:tcPr>
                  <w:tcW w:w="969"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r w:rsidRPr="00074E4B">
                    <w:rPr>
                      <w:rFonts w:ascii="Times New Roman" w:hAnsi="Times New Roman"/>
                      <w:sz w:val="24"/>
                      <w:szCs w:val="24"/>
                    </w:rPr>
                    <w:t>X</w:t>
                  </w:r>
                </w:p>
              </w:tc>
              <w:tc>
                <w:tcPr>
                  <w:tcW w:w="987"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94"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1161"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c>
                <w:tcPr>
                  <w:tcW w:w="906" w:type="dxa"/>
                  <w:shd w:val="clear" w:color="auto" w:fill="auto"/>
                </w:tcPr>
                <w:p w:rsidR="00F66D8B" w:rsidRPr="00074E4B" w:rsidRDefault="00F66D8B" w:rsidP="00153D4C">
                  <w:pPr>
                    <w:pStyle w:val="ListParagraph"/>
                    <w:spacing w:after="0" w:line="240" w:lineRule="auto"/>
                    <w:ind w:left="0"/>
                    <w:jc w:val="center"/>
                    <w:rPr>
                      <w:rFonts w:ascii="Times New Roman" w:hAnsi="Times New Roman"/>
                      <w:sz w:val="24"/>
                      <w:szCs w:val="24"/>
                    </w:rPr>
                  </w:pPr>
                </w:p>
              </w:tc>
            </w:tr>
          </w:tbl>
          <w:p w:rsidR="00F66D8B" w:rsidRPr="00074E4B" w:rsidRDefault="00F66D8B" w:rsidP="00153D4C">
            <w:pPr>
              <w:pStyle w:val="ListParagraph"/>
              <w:spacing w:after="0" w:line="240" w:lineRule="auto"/>
              <w:ind w:left="0"/>
              <w:jc w:val="both"/>
              <w:rPr>
                <w:rFonts w:ascii="Times New Roman" w:hAnsi="Times New Roman"/>
                <w:sz w:val="24"/>
                <w:szCs w:val="24"/>
              </w:rPr>
            </w:pPr>
          </w:p>
          <w:p w:rsidR="00F66D8B" w:rsidRPr="00074E4B" w:rsidRDefault="00F66D8B" w:rsidP="00153D4C">
            <w:pPr>
              <w:pStyle w:val="ListParagraph"/>
              <w:spacing w:after="0" w:line="240" w:lineRule="auto"/>
              <w:ind w:left="0"/>
              <w:jc w:val="both"/>
              <w:rPr>
                <w:rFonts w:ascii="Times New Roman" w:hAnsi="Times New Roman"/>
                <w:sz w:val="24"/>
                <w:szCs w:val="24"/>
              </w:rPr>
            </w:pPr>
          </w:p>
          <w:p w:rsidR="00F66D8B" w:rsidRPr="00074E4B" w:rsidRDefault="00F66D8B" w:rsidP="00153D4C">
            <w:pPr>
              <w:spacing w:after="0" w:line="240" w:lineRule="auto"/>
              <w:jc w:val="both"/>
              <w:rPr>
                <w:rFonts w:ascii="Times New Roman" w:hAnsi="Times New Roman"/>
                <w:sz w:val="24"/>
                <w:szCs w:val="24"/>
              </w:rPr>
            </w:pPr>
            <w:r w:rsidRPr="00074E4B">
              <w:rPr>
                <w:rFonts w:ascii="Times New Roman" w:hAnsi="Times New Roman"/>
                <w:sz w:val="24"/>
                <w:szCs w:val="24"/>
              </w:rPr>
              <w:t>Būtiskākie vērtētie argumenti:</w:t>
            </w:r>
          </w:p>
          <w:p w:rsidR="00F66D8B" w:rsidRPr="00074E4B" w:rsidRDefault="00F66D8B" w:rsidP="00153D4C">
            <w:pPr>
              <w:spacing w:after="0" w:line="240" w:lineRule="auto"/>
              <w:jc w:val="both"/>
              <w:rPr>
                <w:rFonts w:ascii="Times New Roman" w:hAnsi="Times New Roman"/>
                <w:b/>
                <w:sz w:val="24"/>
                <w:szCs w:val="24"/>
              </w:rPr>
            </w:pPr>
            <w:r w:rsidRPr="00074E4B">
              <w:rPr>
                <w:rFonts w:ascii="Times New Roman" w:hAnsi="Times New Roman"/>
                <w:b/>
                <w:sz w:val="24"/>
                <w:szCs w:val="24"/>
              </w:rPr>
              <w:t xml:space="preserve">1) </w:t>
            </w:r>
            <w:proofErr w:type="spellStart"/>
            <w:r w:rsidRPr="00074E4B">
              <w:rPr>
                <w:rFonts w:ascii="Times New Roman" w:hAnsi="Times New Roman"/>
                <w:b/>
                <w:sz w:val="24"/>
                <w:szCs w:val="24"/>
              </w:rPr>
              <w:t>Moneyval</w:t>
            </w:r>
            <w:proofErr w:type="spellEnd"/>
            <w:r w:rsidRPr="00074E4B">
              <w:rPr>
                <w:rFonts w:ascii="Times New Roman" w:hAnsi="Times New Roman"/>
                <w:b/>
                <w:sz w:val="24"/>
                <w:szCs w:val="24"/>
              </w:rPr>
              <w:t xml:space="preserve"> IO6 rekomendācijas 6.5. izpilde, t.i., “Nodrošināt, ka Ģenerālprokuratūras pārraudzība neietekmē Kontroles dienesta (turpmāk – KD) autonomiju, kā arī neietekmē iespējas savlaicīgai sadarbībai ar partneriem.”</w:t>
            </w:r>
          </w:p>
          <w:p w:rsidR="00F66D8B" w:rsidRPr="00074E4B" w:rsidRDefault="00F66D8B" w:rsidP="00153D4C">
            <w:pPr>
              <w:spacing w:after="0" w:line="240" w:lineRule="auto"/>
              <w:jc w:val="both"/>
              <w:rPr>
                <w:rFonts w:ascii="Times New Roman" w:hAnsi="Times New Roman"/>
                <w:sz w:val="24"/>
                <w:szCs w:val="24"/>
                <w:u w:val="single"/>
              </w:rPr>
            </w:pPr>
            <w:proofErr w:type="spellStart"/>
            <w:r w:rsidRPr="00074E4B">
              <w:rPr>
                <w:rFonts w:ascii="Times New Roman" w:hAnsi="Times New Roman"/>
                <w:sz w:val="24"/>
                <w:szCs w:val="24"/>
              </w:rPr>
              <w:t>Moneyval</w:t>
            </w:r>
            <w:proofErr w:type="spellEnd"/>
            <w:r w:rsidRPr="00074E4B">
              <w:rPr>
                <w:rFonts w:ascii="Times New Roman" w:hAnsi="Times New Roman"/>
                <w:sz w:val="24"/>
                <w:szCs w:val="24"/>
              </w:rPr>
              <w:t xml:space="preserve"> ekspertu ieskatā Ģenerālprokuratūras pārraudzība būtu jāpārvērtē arī no KD autonomijas viedokļa. Proti, tiek norādīts, ka prasība, lai tiesību aizsardzības iestādes pieprasījumu pēc informācijas apstiprinātu Ģenerālprokuratūras īpaši pilnvarots prokurors, ierobežo KD iespēju pašam izvērtēt visus gadījumus, kad tiek prasīta informācija. Attiecīgi varētu būt situācijas, kad informācijas pieprasījums nenonāk KD. </w:t>
            </w:r>
            <w:proofErr w:type="spellStart"/>
            <w:r w:rsidRPr="00074E4B">
              <w:rPr>
                <w:rFonts w:ascii="Times New Roman" w:hAnsi="Times New Roman"/>
                <w:sz w:val="24"/>
                <w:szCs w:val="24"/>
              </w:rPr>
              <w:t>Moneyval</w:t>
            </w:r>
            <w:proofErr w:type="spellEnd"/>
            <w:r w:rsidRPr="00074E4B">
              <w:rPr>
                <w:rFonts w:ascii="Times New Roman" w:hAnsi="Times New Roman"/>
                <w:sz w:val="24"/>
                <w:szCs w:val="24"/>
              </w:rPr>
              <w:t xml:space="preserve"> ekspertu ieskatā, šāds regulējums ietekmē KD autonomiju.</w:t>
            </w:r>
          </w:p>
          <w:p w:rsidR="00F66D8B" w:rsidRPr="00074E4B" w:rsidRDefault="00F66D8B" w:rsidP="00153D4C">
            <w:pPr>
              <w:spacing w:after="0" w:line="240" w:lineRule="auto"/>
              <w:jc w:val="both"/>
              <w:rPr>
                <w:rFonts w:ascii="Times New Roman" w:hAnsi="Times New Roman"/>
                <w:sz w:val="24"/>
                <w:szCs w:val="24"/>
              </w:rPr>
            </w:pPr>
          </w:p>
          <w:p w:rsidR="00F66D8B" w:rsidRPr="00074E4B" w:rsidRDefault="00F66D8B" w:rsidP="00153D4C">
            <w:pPr>
              <w:spacing w:after="0" w:line="240" w:lineRule="auto"/>
              <w:jc w:val="both"/>
              <w:rPr>
                <w:rFonts w:ascii="Times New Roman" w:hAnsi="Times New Roman"/>
                <w:b/>
                <w:sz w:val="24"/>
                <w:szCs w:val="24"/>
              </w:rPr>
            </w:pPr>
            <w:r w:rsidRPr="00074E4B">
              <w:rPr>
                <w:rFonts w:ascii="Times New Roman" w:hAnsi="Times New Roman"/>
                <w:b/>
                <w:sz w:val="24"/>
                <w:szCs w:val="24"/>
              </w:rPr>
              <w:t>2) Likumā noteiktās KD koordinēšanas funkcijas izpilde.</w:t>
            </w:r>
          </w:p>
          <w:p w:rsidR="00F66D8B" w:rsidRPr="00074E4B" w:rsidRDefault="00F66D8B" w:rsidP="00153D4C">
            <w:pPr>
              <w:pStyle w:val="ListParagraph"/>
              <w:spacing w:after="0" w:line="240" w:lineRule="auto"/>
              <w:ind w:left="0"/>
              <w:jc w:val="both"/>
              <w:rPr>
                <w:rFonts w:ascii="Times New Roman" w:hAnsi="Times New Roman"/>
                <w:sz w:val="24"/>
                <w:szCs w:val="24"/>
              </w:rPr>
            </w:pPr>
            <w:r w:rsidRPr="00074E4B">
              <w:rPr>
                <w:rFonts w:ascii="Times New Roman" w:hAnsi="Times New Roman"/>
                <w:sz w:val="24"/>
                <w:szCs w:val="24"/>
              </w:rPr>
              <w:t>Ar g</w:t>
            </w:r>
            <w:r w:rsidRPr="00074E4B">
              <w:rPr>
                <w:rFonts w:ascii="Times New Roman" w:hAnsi="Times New Roman"/>
                <w:bCs/>
                <w:sz w:val="24"/>
                <w:szCs w:val="24"/>
              </w:rPr>
              <w:t>rozījumiem Likumā</w:t>
            </w:r>
            <w:r w:rsidRPr="00074E4B">
              <w:rPr>
                <w:rFonts w:ascii="Times New Roman" w:hAnsi="Times New Roman"/>
                <w:sz w:val="24"/>
                <w:szCs w:val="24"/>
              </w:rPr>
              <w:t>, kas stājās spēkā 08.05.2018, KD noteikts par atbildīgo iestādi, kas koordinē operatīvās darbības subjektu, izmeklēšanas iestāžu, prokuratūras, Valsts ieņēmumu dienesta, kā arī likuma subjektu sadarbību. Nereti koordinēšana ietver arī konkrētu uzdevumu došanu, izpildes termiņu norādi un informācijas iesniegšanu. Atbilstoši esošajam regulējumam un struktūrai, rodas situācija, kad KD vienlaikus ir gan Ģenerālprokurora pārraudzībā, gan sniedz norādījumus</w:t>
            </w:r>
          </w:p>
          <w:p w:rsidR="00F66D8B" w:rsidRPr="00074E4B" w:rsidRDefault="00F66D8B" w:rsidP="00153D4C">
            <w:pPr>
              <w:spacing w:after="0" w:line="240" w:lineRule="auto"/>
              <w:jc w:val="both"/>
              <w:rPr>
                <w:rFonts w:ascii="Times New Roman" w:hAnsi="Times New Roman"/>
                <w:b/>
                <w:sz w:val="24"/>
                <w:szCs w:val="24"/>
              </w:rPr>
            </w:pPr>
          </w:p>
          <w:p w:rsidR="00F66D8B" w:rsidRPr="00074E4B" w:rsidRDefault="00F66D8B" w:rsidP="00153D4C">
            <w:pPr>
              <w:spacing w:after="0" w:line="240" w:lineRule="auto"/>
              <w:jc w:val="both"/>
              <w:rPr>
                <w:rFonts w:ascii="Times New Roman" w:hAnsi="Times New Roman"/>
                <w:b/>
                <w:sz w:val="24"/>
                <w:szCs w:val="24"/>
              </w:rPr>
            </w:pPr>
            <w:r w:rsidRPr="00074E4B">
              <w:rPr>
                <w:rFonts w:ascii="Times New Roman" w:hAnsi="Times New Roman"/>
                <w:b/>
                <w:sz w:val="24"/>
                <w:szCs w:val="24"/>
              </w:rPr>
              <w:t>3) Valsts kontroles (turpmāk - VK) ziņojumā “Par Latvijas Republikas Prokuratūras 2016. gada pārskatu” konstatētie trūkumi Kontroles dienesta (KD) darbības un attīstības plānošanā un kapacitātes stiprināšanā</w:t>
            </w:r>
          </w:p>
          <w:p w:rsidR="00F66D8B" w:rsidRPr="00074E4B" w:rsidRDefault="00F66D8B" w:rsidP="00153D4C">
            <w:pPr>
              <w:spacing w:after="0" w:line="240" w:lineRule="auto"/>
              <w:jc w:val="both"/>
              <w:rPr>
                <w:rFonts w:ascii="Times New Roman" w:hAnsi="Times New Roman"/>
                <w:sz w:val="24"/>
                <w:szCs w:val="24"/>
              </w:rPr>
            </w:pPr>
            <w:r w:rsidRPr="00074E4B">
              <w:rPr>
                <w:rFonts w:ascii="Times New Roman" w:hAnsi="Times New Roman"/>
                <w:sz w:val="24"/>
                <w:szCs w:val="24"/>
              </w:rPr>
              <w:t>VK pamato savu secinājumu uz šādiem normatīvajiem aktiem:</w:t>
            </w:r>
          </w:p>
          <w:p w:rsidR="00F66D8B" w:rsidRPr="00074E4B" w:rsidRDefault="00F66D8B" w:rsidP="00F66D8B">
            <w:pPr>
              <w:pStyle w:val="ListParagraph"/>
              <w:numPr>
                <w:ilvl w:val="0"/>
                <w:numId w:val="1"/>
              </w:numPr>
              <w:spacing w:after="0" w:line="240" w:lineRule="auto"/>
              <w:jc w:val="both"/>
              <w:rPr>
                <w:rFonts w:ascii="Times New Roman" w:hAnsi="Times New Roman"/>
                <w:sz w:val="24"/>
                <w:szCs w:val="24"/>
              </w:rPr>
            </w:pPr>
            <w:r w:rsidRPr="00074E4B">
              <w:rPr>
                <w:rFonts w:ascii="Times New Roman" w:hAnsi="Times New Roman"/>
                <w:sz w:val="24"/>
                <w:szCs w:val="24"/>
              </w:rPr>
              <w:t>MK 02.12.2014. noteikumi Nr. 737 “Attīstības plānošanas dokumentu izstrādes un ietekmes izvērtēšanas noteikumi” VIII. daļa “ Institūciju vadības dokumenti, to veidi un saturs”</w:t>
            </w:r>
          </w:p>
          <w:p w:rsidR="00F66D8B" w:rsidRPr="00074E4B" w:rsidRDefault="00F66D8B" w:rsidP="00F66D8B">
            <w:pPr>
              <w:pStyle w:val="ListParagraph"/>
              <w:numPr>
                <w:ilvl w:val="0"/>
                <w:numId w:val="1"/>
              </w:numPr>
              <w:spacing w:after="0" w:line="240" w:lineRule="auto"/>
              <w:jc w:val="both"/>
              <w:rPr>
                <w:rFonts w:ascii="Times New Roman" w:hAnsi="Times New Roman"/>
                <w:sz w:val="24"/>
                <w:szCs w:val="24"/>
              </w:rPr>
            </w:pPr>
            <w:r w:rsidRPr="00074E4B">
              <w:rPr>
                <w:rFonts w:ascii="Times New Roman" w:hAnsi="Times New Roman"/>
                <w:sz w:val="24"/>
                <w:szCs w:val="24"/>
              </w:rPr>
              <w:t>Attīstības plānošanas sistēmas likums</w:t>
            </w:r>
          </w:p>
          <w:p w:rsidR="00F66D8B" w:rsidRPr="00074E4B" w:rsidRDefault="00F66D8B" w:rsidP="00F66D8B">
            <w:pPr>
              <w:pStyle w:val="ListParagraph"/>
              <w:numPr>
                <w:ilvl w:val="0"/>
                <w:numId w:val="1"/>
              </w:numPr>
              <w:spacing w:after="0" w:line="240" w:lineRule="auto"/>
              <w:jc w:val="both"/>
              <w:rPr>
                <w:rFonts w:ascii="Times New Roman" w:hAnsi="Times New Roman"/>
                <w:sz w:val="24"/>
                <w:szCs w:val="24"/>
              </w:rPr>
            </w:pPr>
            <w:r w:rsidRPr="00074E4B">
              <w:rPr>
                <w:rFonts w:ascii="Times New Roman" w:hAnsi="Times New Roman"/>
                <w:sz w:val="24"/>
                <w:szCs w:val="24"/>
              </w:rPr>
              <w:t>Eiropas Parlamenta un Padomes Direktīva 2005/60/EK</w:t>
            </w:r>
          </w:p>
          <w:p w:rsidR="00F66D8B" w:rsidRPr="00074E4B" w:rsidRDefault="00F66D8B" w:rsidP="00153D4C">
            <w:pPr>
              <w:spacing w:after="0" w:line="240" w:lineRule="auto"/>
              <w:jc w:val="both"/>
              <w:rPr>
                <w:rFonts w:ascii="Times New Roman" w:hAnsi="Times New Roman"/>
                <w:sz w:val="24"/>
                <w:szCs w:val="24"/>
              </w:rPr>
            </w:pPr>
          </w:p>
          <w:p w:rsidR="00F66D8B" w:rsidRPr="00074E4B" w:rsidRDefault="00F66D8B" w:rsidP="00153D4C">
            <w:pPr>
              <w:spacing w:after="0" w:line="240" w:lineRule="auto"/>
              <w:jc w:val="both"/>
              <w:rPr>
                <w:rFonts w:ascii="Times New Roman" w:hAnsi="Times New Roman"/>
                <w:sz w:val="24"/>
                <w:szCs w:val="24"/>
              </w:rPr>
            </w:pPr>
            <w:r w:rsidRPr="00074E4B">
              <w:rPr>
                <w:rFonts w:ascii="Times New Roman" w:hAnsi="Times New Roman"/>
                <w:sz w:val="24"/>
                <w:szCs w:val="24"/>
              </w:rPr>
              <w:t>Prokuratūra norādīja, ka “KD kā Prokuratūras pārraudzībā esoša</w:t>
            </w:r>
            <w:r w:rsidR="001F71BA">
              <w:rPr>
                <w:rFonts w:ascii="Times New Roman" w:hAnsi="Times New Roman"/>
                <w:sz w:val="24"/>
                <w:szCs w:val="24"/>
              </w:rPr>
              <w:t xml:space="preserve"> iestāde institucionāli pakļauta</w:t>
            </w:r>
            <w:r w:rsidRPr="00074E4B">
              <w:rPr>
                <w:rFonts w:ascii="Times New Roman" w:hAnsi="Times New Roman"/>
                <w:sz w:val="24"/>
                <w:szCs w:val="24"/>
              </w:rPr>
              <w:t xml:space="preserve"> tiesu varai, uz kuru pilnā apjomā valsts pārvaldes principi neattiecas. Ievērojot Attīstības plānošanas sistēmas likuma 1. pantā definēto likuma mērķi (nosakot attīstības plānošanas sistēmu, sekmēt valsts ilgtspējīgu un stabilu attīstību, kā arī iedzīvotāju dzīves kvalitātes uzlabošanos) un 2. pantā likuma darbības jomu (likums attiecas uz attīstības plānošanu Saeimā, Ministru kabinetā, tiešās valsts pārvaldes iestādēs, plānošanas reģionos, pašvaldībās un valsts pārvaldes iestādēs, kas nav padotas Ministru kabinetam), likums neparedz par pienākumu KD kā iestādei, kas nav valsts pārvaldes iestāde, vadības dokumentu izstrādi.</w:t>
            </w:r>
          </w:p>
          <w:p w:rsidR="00F66D8B" w:rsidRPr="00074E4B" w:rsidRDefault="00F66D8B" w:rsidP="00153D4C">
            <w:pPr>
              <w:spacing w:after="0" w:line="240" w:lineRule="auto"/>
              <w:jc w:val="both"/>
              <w:rPr>
                <w:rFonts w:ascii="Times New Roman" w:hAnsi="Times New Roman"/>
                <w:sz w:val="24"/>
                <w:szCs w:val="24"/>
              </w:rPr>
            </w:pPr>
          </w:p>
          <w:p w:rsidR="00F66D8B" w:rsidRPr="00074E4B" w:rsidRDefault="00F66D8B" w:rsidP="00153D4C">
            <w:pPr>
              <w:spacing w:after="0" w:line="240" w:lineRule="auto"/>
              <w:jc w:val="both"/>
              <w:rPr>
                <w:rFonts w:ascii="Times New Roman" w:hAnsi="Times New Roman"/>
                <w:sz w:val="24"/>
                <w:szCs w:val="24"/>
              </w:rPr>
            </w:pPr>
            <w:r w:rsidRPr="00074E4B">
              <w:rPr>
                <w:rFonts w:ascii="Times New Roman" w:hAnsi="Times New Roman"/>
                <w:sz w:val="24"/>
                <w:szCs w:val="24"/>
              </w:rPr>
              <w:t xml:space="preserve">Tāpat saskaņā ar Direktīvas 2005/60/EK (Eiropas Parlamenta un Padomes Direktīva) prasībām dalībvalstis nodrošina, ka tās spējīgas pārskatīt savu sistēmu efektivitāti cīņā pret nelikumīgi iegūtu līdzekļu legalizēšanu vai teroristu finansēšanu. Kā arī pēc Valsts pārvaldes iekārtas likumā noteiktajiem valsts pārvaldes darbības pamatprincipiem, valsts iestādes darbības efektivitātes princips paredz, ka valsts pārvaldi organizē pēc iespējas efektīvi un valsts pārvaldes institucionālo sistēmu pastāvīgi pārbauda un, ja nepieciešams, pilnveido. </w:t>
            </w:r>
          </w:p>
          <w:p w:rsidR="00F66D8B" w:rsidRPr="00074E4B" w:rsidRDefault="00F66D8B" w:rsidP="00153D4C">
            <w:pPr>
              <w:spacing w:after="0" w:line="240" w:lineRule="auto"/>
              <w:jc w:val="both"/>
              <w:rPr>
                <w:rFonts w:ascii="Times New Roman" w:hAnsi="Times New Roman"/>
                <w:sz w:val="24"/>
                <w:szCs w:val="24"/>
              </w:rPr>
            </w:pPr>
          </w:p>
          <w:p w:rsidR="00F66D8B" w:rsidRPr="00074E4B" w:rsidRDefault="00F66D8B" w:rsidP="00153D4C">
            <w:pPr>
              <w:spacing w:after="0" w:line="240" w:lineRule="auto"/>
              <w:jc w:val="both"/>
              <w:rPr>
                <w:rFonts w:ascii="Times New Roman" w:hAnsi="Times New Roman"/>
                <w:sz w:val="24"/>
                <w:szCs w:val="24"/>
              </w:rPr>
            </w:pPr>
            <w:r w:rsidRPr="00074E4B">
              <w:rPr>
                <w:rFonts w:ascii="Times New Roman" w:hAnsi="Times New Roman"/>
                <w:sz w:val="24"/>
                <w:szCs w:val="24"/>
              </w:rPr>
              <w:t xml:space="preserve">Ja reorganizācijas rezultātā KD vairs nebūtu tiesu varas iestādes pārraudzībā, bet būtu valsts pārvaldes iestāde, tad uz KD pilnā apjomā attiektos Attīstības plānošanas sistēmas likuma prasības, tai skaitā prasība darbību balstīt uz mērķtiecīgu darbu plānošanu, mērķu un sasniedzamo rezultātu noteikšanu, izpildes termiņu noteikšanu, regulāru darbības rezultātu izvērtēšanu un, ja nepieciešams, pārskatīšanu. </w:t>
            </w:r>
          </w:p>
          <w:p w:rsidR="00F66D8B" w:rsidRPr="00074E4B" w:rsidRDefault="00F66D8B" w:rsidP="00153D4C">
            <w:pPr>
              <w:spacing w:after="0" w:line="240" w:lineRule="auto"/>
              <w:jc w:val="both"/>
              <w:rPr>
                <w:rFonts w:ascii="Times New Roman" w:hAnsi="Times New Roman"/>
                <w:sz w:val="24"/>
                <w:szCs w:val="24"/>
              </w:rPr>
            </w:pPr>
          </w:p>
          <w:p w:rsidR="00F66D8B" w:rsidRPr="00074E4B" w:rsidRDefault="00F66D8B" w:rsidP="00153D4C">
            <w:pPr>
              <w:spacing w:after="0" w:line="240" w:lineRule="auto"/>
              <w:jc w:val="both"/>
              <w:rPr>
                <w:rFonts w:ascii="Times New Roman" w:hAnsi="Times New Roman"/>
                <w:sz w:val="24"/>
                <w:szCs w:val="24"/>
              </w:rPr>
            </w:pPr>
            <w:r w:rsidRPr="00074E4B">
              <w:rPr>
                <w:rFonts w:ascii="Times New Roman" w:hAnsi="Times New Roman"/>
                <w:sz w:val="24"/>
                <w:szCs w:val="24"/>
              </w:rPr>
              <w:t xml:space="preserve">Attiecinot uz KD šī likuma prasības, KD tiktu uzlikts par pienākumu regulāri veidot pārskatāmus, pamatotus un efektīvus plānošanas un stratēģijas (kā arī citus likumā noteiktos vadības dokumentus), kas paaugstinātu KD darbības kvalitāti, uzlabotu KD darbības caurskatāmību un padarītu pārskatāmu KD darbības izvērtēšanu, kas kopumā ilgtermiņā paaugstinātu KD darba ražīgumu, uzlabotu reputāciju un uzlabotu kopīgo valsts tēlu </w:t>
            </w:r>
            <w:r w:rsidR="00D67F1A">
              <w:rPr>
                <w:rFonts w:ascii="Times New Roman" w:hAnsi="Times New Roman"/>
                <w:sz w:val="24"/>
                <w:szCs w:val="24"/>
              </w:rPr>
              <w:t>noziedzīgi iegūtu līdzekļu legalizācijas novēršanas</w:t>
            </w:r>
            <w:r w:rsidRPr="00074E4B">
              <w:rPr>
                <w:rFonts w:ascii="Times New Roman" w:hAnsi="Times New Roman"/>
                <w:sz w:val="24"/>
                <w:szCs w:val="24"/>
              </w:rPr>
              <w:t xml:space="preserve"> jomā, kā arī sekmētu valsts ilgtspējīgu un stabilu attīstību, kā arī iedzīvotāju dzīves kvalitātes uzlabošanos.</w:t>
            </w:r>
          </w:p>
          <w:p w:rsidR="00F66D8B" w:rsidRPr="00074E4B" w:rsidRDefault="00F66D8B" w:rsidP="00153D4C">
            <w:pPr>
              <w:spacing w:after="0" w:line="240" w:lineRule="auto"/>
              <w:jc w:val="both"/>
              <w:rPr>
                <w:rFonts w:ascii="Times New Roman" w:hAnsi="Times New Roman"/>
                <w:b/>
                <w:sz w:val="24"/>
                <w:szCs w:val="24"/>
              </w:rPr>
            </w:pPr>
          </w:p>
          <w:p w:rsidR="00F66D8B" w:rsidRPr="00074E4B" w:rsidRDefault="00F66D8B" w:rsidP="00153D4C">
            <w:pPr>
              <w:spacing w:after="0" w:line="240" w:lineRule="auto"/>
              <w:jc w:val="both"/>
              <w:rPr>
                <w:rFonts w:ascii="Times New Roman" w:hAnsi="Times New Roman"/>
                <w:sz w:val="24"/>
                <w:szCs w:val="24"/>
              </w:rPr>
            </w:pPr>
            <w:r w:rsidRPr="00074E4B">
              <w:rPr>
                <w:rFonts w:ascii="Times New Roman" w:hAnsi="Times New Roman"/>
                <w:b/>
                <w:sz w:val="24"/>
                <w:szCs w:val="24"/>
              </w:rPr>
              <w:t xml:space="preserve">4) Egmont grupas dokumenta projektā par FIU autonomiju un darbības neatkarību, ar mērķi palīdzēt valstīm identificēt kritērijus, kas varētu tikt ieviesti, lai sasniegtu darbības neatkarību un autonomiju </w:t>
            </w:r>
            <w:r w:rsidRPr="00074E4B">
              <w:rPr>
                <w:rFonts w:ascii="Times New Roman" w:hAnsi="Times New Roman"/>
                <w:sz w:val="24"/>
                <w:szCs w:val="24"/>
              </w:rPr>
              <w:t>(</w:t>
            </w:r>
            <w:r w:rsidRPr="00074E4B">
              <w:rPr>
                <w:rFonts w:ascii="Times New Roman" w:hAnsi="Times New Roman"/>
                <w:i/>
                <w:sz w:val="24"/>
                <w:szCs w:val="24"/>
              </w:rPr>
              <w:t>PAPER ON FIU AUTONOMY AND OPERATIONAL INDEPENDENCE</w:t>
            </w:r>
            <w:r w:rsidRPr="00074E4B">
              <w:rPr>
                <w:rFonts w:ascii="Times New Roman" w:hAnsi="Times New Roman"/>
                <w:sz w:val="24"/>
                <w:szCs w:val="24"/>
              </w:rPr>
              <w:t xml:space="preserve">) noteiktie principi: </w:t>
            </w:r>
          </w:p>
          <w:p w:rsidR="00F66D8B" w:rsidRPr="00074E4B" w:rsidRDefault="00F66D8B" w:rsidP="00153D4C">
            <w:pPr>
              <w:spacing w:after="0" w:line="240" w:lineRule="auto"/>
              <w:jc w:val="both"/>
              <w:rPr>
                <w:rFonts w:ascii="Times New Roman" w:hAnsi="Times New Roman"/>
                <w:sz w:val="24"/>
                <w:szCs w:val="24"/>
              </w:rPr>
            </w:pPr>
          </w:p>
          <w:p w:rsidR="00F66D8B" w:rsidRPr="00074E4B" w:rsidRDefault="00F66D8B" w:rsidP="00153D4C">
            <w:pPr>
              <w:spacing w:after="0" w:line="240" w:lineRule="auto"/>
              <w:jc w:val="both"/>
              <w:rPr>
                <w:rFonts w:ascii="Times New Roman" w:hAnsi="Times New Roman"/>
                <w:b/>
                <w:sz w:val="24"/>
                <w:szCs w:val="24"/>
              </w:rPr>
            </w:pPr>
            <w:r w:rsidRPr="00074E4B">
              <w:rPr>
                <w:rFonts w:ascii="Times New Roman" w:hAnsi="Times New Roman"/>
                <w:b/>
                <w:sz w:val="24"/>
                <w:szCs w:val="24"/>
              </w:rPr>
              <w:t>4.1.)</w:t>
            </w:r>
            <w:r w:rsidRPr="00074E4B">
              <w:rPr>
                <w:rFonts w:ascii="Times New Roman" w:hAnsi="Times New Roman"/>
                <w:sz w:val="24"/>
                <w:szCs w:val="24"/>
              </w:rPr>
              <w:t> </w:t>
            </w:r>
            <w:r w:rsidRPr="00074E4B">
              <w:rPr>
                <w:rFonts w:ascii="Times New Roman" w:hAnsi="Times New Roman"/>
                <w:b/>
                <w:sz w:val="24"/>
                <w:szCs w:val="24"/>
              </w:rPr>
              <w:t>Darbības neatkarības un autonomijas koncepts kā prasība aprakstīts Finanšu darbību darba grupas ieteikumos (</w:t>
            </w:r>
            <w:r w:rsidRPr="00074E4B">
              <w:rPr>
                <w:rFonts w:ascii="Times New Roman" w:hAnsi="Times New Roman"/>
                <w:b/>
                <w:i/>
                <w:sz w:val="24"/>
                <w:szCs w:val="24"/>
              </w:rPr>
              <w:t>FATF rekomendācijas</w:t>
            </w:r>
            <w:r w:rsidRPr="00074E4B">
              <w:rPr>
                <w:rFonts w:ascii="Times New Roman" w:hAnsi="Times New Roman"/>
                <w:b/>
                <w:sz w:val="24"/>
                <w:szCs w:val="24"/>
              </w:rPr>
              <w:t>)</w:t>
            </w:r>
          </w:p>
          <w:p w:rsidR="00F66D8B" w:rsidRPr="00074E4B" w:rsidRDefault="00F66D8B" w:rsidP="00153D4C">
            <w:pPr>
              <w:spacing w:after="0" w:line="240" w:lineRule="auto"/>
              <w:jc w:val="both"/>
              <w:rPr>
                <w:rFonts w:ascii="Times New Roman" w:hAnsi="Times New Roman"/>
                <w:b/>
                <w:sz w:val="24"/>
                <w:szCs w:val="24"/>
              </w:rPr>
            </w:pPr>
          </w:p>
          <w:p w:rsidR="00F66D8B" w:rsidRPr="00074E4B" w:rsidRDefault="00F66D8B" w:rsidP="00153D4C">
            <w:pPr>
              <w:spacing w:after="0" w:line="240" w:lineRule="auto"/>
              <w:jc w:val="both"/>
              <w:rPr>
                <w:rFonts w:ascii="Times New Roman" w:hAnsi="Times New Roman"/>
                <w:sz w:val="24"/>
                <w:szCs w:val="24"/>
              </w:rPr>
            </w:pPr>
            <w:r w:rsidRPr="00074E4B">
              <w:rPr>
                <w:rFonts w:ascii="Times New Roman" w:hAnsi="Times New Roman"/>
                <w:sz w:val="24"/>
                <w:szCs w:val="24"/>
              </w:rPr>
              <w:t xml:space="preserve">FATF rekomendācijas nosaka starptautisko standartu attiecībā uz FIU autonomiju un neatkarību, un uzsver, ka neatkarīgi no tā, kādu FIU modeli valsts izvēlas, tai jānodrošina, ka FIU funkcionāli ir autonoma un neatkarīga, proti, FIU ir tiesības veikt savas funkcijas neatkarīgi, tai skaitā pieņemt lēmumus analizēt, pieprasīt un/vai nodot citām kompetentām iestādēm informāciju. FATF standarts nosaka, ka valsts FIU ir jāspēj darboties neatkarīgi un autonomi, bez politiskās iejaukšanās.  Piebilde par politisko iejaukšanos ir būtiska, jo FIU var veikt finanšu izlūkošanu attiecībā uz politiķiem, valsts amatpersonām. Tāpat tiek uzsvērts, ka FIU autonomija ir svarīgs pretkorupcijas elements. </w:t>
            </w:r>
          </w:p>
          <w:p w:rsidR="00F66D8B" w:rsidRPr="00074E4B" w:rsidRDefault="00F66D8B" w:rsidP="00153D4C">
            <w:pPr>
              <w:spacing w:after="0" w:line="240" w:lineRule="auto"/>
              <w:jc w:val="both"/>
              <w:rPr>
                <w:rFonts w:ascii="Times New Roman" w:hAnsi="Times New Roman"/>
                <w:b/>
                <w:sz w:val="24"/>
                <w:szCs w:val="24"/>
              </w:rPr>
            </w:pPr>
          </w:p>
          <w:p w:rsidR="00F66D8B" w:rsidRPr="00074E4B" w:rsidRDefault="00F66D8B" w:rsidP="00153D4C">
            <w:pPr>
              <w:spacing w:after="0" w:line="240" w:lineRule="auto"/>
              <w:jc w:val="both"/>
              <w:rPr>
                <w:rFonts w:ascii="Times New Roman" w:hAnsi="Times New Roman"/>
                <w:sz w:val="24"/>
                <w:szCs w:val="24"/>
              </w:rPr>
            </w:pPr>
            <w:r w:rsidRPr="00074E4B">
              <w:rPr>
                <w:rFonts w:ascii="Times New Roman" w:hAnsi="Times New Roman"/>
                <w:sz w:val="24"/>
                <w:szCs w:val="24"/>
              </w:rPr>
              <w:t>Darbības neatkarības un autonomijas nozīmība ir arī minēta Egmont Hartā (</w:t>
            </w:r>
            <w:proofErr w:type="spellStart"/>
            <w:r w:rsidRPr="00074E4B">
              <w:rPr>
                <w:rFonts w:ascii="Times New Roman" w:hAnsi="Times New Roman"/>
                <w:i/>
                <w:sz w:val="24"/>
                <w:szCs w:val="24"/>
              </w:rPr>
              <w:t>The</w:t>
            </w:r>
            <w:proofErr w:type="spellEnd"/>
            <w:r w:rsidRPr="00074E4B">
              <w:rPr>
                <w:rFonts w:ascii="Times New Roman" w:hAnsi="Times New Roman"/>
                <w:i/>
                <w:sz w:val="24"/>
                <w:szCs w:val="24"/>
              </w:rPr>
              <w:t xml:space="preserve"> Egmont </w:t>
            </w:r>
            <w:proofErr w:type="spellStart"/>
            <w:r w:rsidRPr="00074E4B">
              <w:rPr>
                <w:rFonts w:ascii="Times New Roman" w:hAnsi="Times New Roman"/>
                <w:i/>
                <w:sz w:val="24"/>
                <w:szCs w:val="24"/>
              </w:rPr>
              <w:t>Charter</w:t>
            </w:r>
            <w:proofErr w:type="spellEnd"/>
            <w:r w:rsidRPr="00074E4B">
              <w:rPr>
                <w:rFonts w:ascii="Times New Roman" w:hAnsi="Times New Roman"/>
                <w:sz w:val="24"/>
                <w:szCs w:val="24"/>
              </w:rPr>
              <w:t xml:space="preserve">) un netieši Egmont informācijas apmaiņas principos </w:t>
            </w:r>
            <w:r w:rsidRPr="00074E4B">
              <w:rPr>
                <w:rFonts w:ascii="Times New Roman" w:hAnsi="Times New Roman"/>
                <w:i/>
                <w:sz w:val="24"/>
                <w:szCs w:val="24"/>
              </w:rPr>
              <w:t>(</w:t>
            </w:r>
            <w:proofErr w:type="spellStart"/>
            <w:r w:rsidRPr="00074E4B">
              <w:rPr>
                <w:rFonts w:ascii="Times New Roman" w:hAnsi="Times New Roman"/>
                <w:i/>
                <w:sz w:val="24"/>
                <w:szCs w:val="24"/>
              </w:rPr>
              <w:t>The</w:t>
            </w:r>
            <w:proofErr w:type="spellEnd"/>
            <w:r w:rsidRPr="00074E4B">
              <w:rPr>
                <w:rFonts w:ascii="Times New Roman" w:hAnsi="Times New Roman"/>
                <w:i/>
                <w:sz w:val="24"/>
                <w:szCs w:val="24"/>
              </w:rPr>
              <w:t xml:space="preserve"> Egmont </w:t>
            </w:r>
            <w:proofErr w:type="spellStart"/>
            <w:r w:rsidRPr="00074E4B">
              <w:rPr>
                <w:rFonts w:ascii="Times New Roman" w:hAnsi="Times New Roman"/>
                <w:i/>
                <w:sz w:val="24"/>
                <w:szCs w:val="24"/>
              </w:rPr>
              <w:t>Principles</w:t>
            </w:r>
            <w:proofErr w:type="spellEnd"/>
            <w:r w:rsidRPr="00074E4B">
              <w:rPr>
                <w:rFonts w:ascii="Times New Roman" w:hAnsi="Times New Roman"/>
                <w:i/>
                <w:sz w:val="24"/>
                <w:szCs w:val="24"/>
              </w:rPr>
              <w:t xml:space="preserve"> </w:t>
            </w:r>
            <w:proofErr w:type="spellStart"/>
            <w:r w:rsidRPr="00074E4B">
              <w:rPr>
                <w:rFonts w:ascii="Times New Roman" w:hAnsi="Times New Roman"/>
                <w:i/>
                <w:sz w:val="24"/>
                <w:szCs w:val="24"/>
              </w:rPr>
              <w:t>of</w:t>
            </w:r>
            <w:proofErr w:type="spellEnd"/>
            <w:r w:rsidRPr="00074E4B">
              <w:rPr>
                <w:rFonts w:ascii="Times New Roman" w:hAnsi="Times New Roman"/>
                <w:i/>
                <w:sz w:val="24"/>
                <w:szCs w:val="24"/>
              </w:rPr>
              <w:t xml:space="preserve"> </w:t>
            </w:r>
            <w:proofErr w:type="spellStart"/>
            <w:r w:rsidRPr="00074E4B">
              <w:rPr>
                <w:rFonts w:ascii="Times New Roman" w:hAnsi="Times New Roman"/>
                <w:i/>
                <w:sz w:val="24"/>
                <w:szCs w:val="24"/>
              </w:rPr>
              <w:t>information</w:t>
            </w:r>
            <w:proofErr w:type="spellEnd"/>
            <w:r w:rsidRPr="00074E4B">
              <w:rPr>
                <w:rFonts w:ascii="Times New Roman" w:hAnsi="Times New Roman"/>
                <w:i/>
                <w:sz w:val="24"/>
                <w:szCs w:val="24"/>
              </w:rPr>
              <w:t xml:space="preserve"> </w:t>
            </w:r>
            <w:proofErr w:type="spellStart"/>
            <w:r w:rsidRPr="00074E4B">
              <w:rPr>
                <w:rFonts w:ascii="Times New Roman" w:hAnsi="Times New Roman"/>
                <w:i/>
                <w:sz w:val="24"/>
                <w:szCs w:val="24"/>
              </w:rPr>
              <w:t>exchange</w:t>
            </w:r>
            <w:proofErr w:type="spellEnd"/>
            <w:r w:rsidRPr="00074E4B">
              <w:rPr>
                <w:rFonts w:ascii="Times New Roman" w:hAnsi="Times New Roman"/>
                <w:i/>
                <w:sz w:val="24"/>
                <w:szCs w:val="24"/>
              </w:rPr>
              <w:t xml:space="preserve">) </w:t>
            </w:r>
            <w:r w:rsidRPr="00074E4B">
              <w:rPr>
                <w:rFonts w:ascii="Times New Roman" w:hAnsi="Times New Roman"/>
                <w:sz w:val="24"/>
                <w:szCs w:val="24"/>
              </w:rPr>
              <w:t xml:space="preserve">un Egmont grupas kritērijos dalībai </w:t>
            </w:r>
            <w:r w:rsidRPr="00074E4B">
              <w:rPr>
                <w:rFonts w:ascii="Times New Roman" w:hAnsi="Times New Roman"/>
                <w:i/>
                <w:sz w:val="24"/>
                <w:szCs w:val="24"/>
              </w:rPr>
              <w:t>(</w:t>
            </w:r>
            <w:proofErr w:type="spellStart"/>
            <w:r w:rsidRPr="00074E4B">
              <w:rPr>
                <w:rFonts w:ascii="Times New Roman" w:hAnsi="Times New Roman"/>
                <w:i/>
                <w:sz w:val="24"/>
                <w:szCs w:val="24"/>
              </w:rPr>
              <w:t>The</w:t>
            </w:r>
            <w:proofErr w:type="spellEnd"/>
            <w:r w:rsidRPr="00074E4B">
              <w:rPr>
                <w:rFonts w:ascii="Times New Roman" w:hAnsi="Times New Roman"/>
                <w:i/>
                <w:sz w:val="24"/>
                <w:szCs w:val="24"/>
              </w:rPr>
              <w:t xml:space="preserve"> Egmont </w:t>
            </w:r>
            <w:proofErr w:type="spellStart"/>
            <w:r w:rsidRPr="00074E4B">
              <w:rPr>
                <w:rFonts w:ascii="Times New Roman" w:hAnsi="Times New Roman"/>
                <w:i/>
                <w:sz w:val="24"/>
                <w:szCs w:val="24"/>
              </w:rPr>
              <w:t>Group</w:t>
            </w:r>
            <w:proofErr w:type="spellEnd"/>
            <w:r w:rsidRPr="00074E4B">
              <w:rPr>
                <w:rFonts w:ascii="Times New Roman" w:hAnsi="Times New Roman"/>
                <w:i/>
                <w:sz w:val="24"/>
                <w:szCs w:val="24"/>
              </w:rPr>
              <w:t xml:space="preserve"> </w:t>
            </w:r>
            <w:proofErr w:type="spellStart"/>
            <w:r w:rsidRPr="00074E4B">
              <w:rPr>
                <w:rFonts w:ascii="Times New Roman" w:hAnsi="Times New Roman"/>
                <w:i/>
                <w:sz w:val="24"/>
                <w:szCs w:val="24"/>
              </w:rPr>
              <w:t>Criteria</w:t>
            </w:r>
            <w:proofErr w:type="spellEnd"/>
            <w:r w:rsidRPr="00074E4B">
              <w:rPr>
                <w:rFonts w:ascii="Times New Roman" w:hAnsi="Times New Roman"/>
                <w:i/>
                <w:sz w:val="24"/>
                <w:szCs w:val="24"/>
              </w:rPr>
              <w:t xml:space="preserve"> </w:t>
            </w:r>
            <w:proofErr w:type="spellStart"/>
            <w:r w:rsidRPr="00074E4B">
              <w:rPr>
                <w:rFonts w:ascii="Times New Roman" w:hAnsi="Times New Roman"/>
                <w:i/>
                <w:sz w:val="24"/>
                <w:szCs w:val="24"/>
              </w:rPr>
              <w:t>for</w:t>
            </w:r>
            <w:proofErr w:type="spellEnd"/>
            <w:r w:rsidRPr="00074E4B">
              <w:rPr>
                <w:rFonts w:ascii="Times New Roman" w:hAnsi="Times New Roman"/>
                <w:i/>
                <w:sz w:val="24"/>
                <w:szCs w:val="24"/>
              </w:rPr>
              <w:t xml:space="preserve"> </w:t>
            </w:r>
            <w:proofErr w:type="spellStart"/>
            <w:r w:rsidRPr="00074E4B">
              <w:rPr>
                <w:rFonts w:ascii="Times New Roman" w:hAnsi="Times New Roman"/>
                <w:i/>
                <w:sz w:val="24"/>
                <w:szCs w:val="24"/>
              </w:rPr>
              <w:t>Membershi</w:t>
            </w:r>
            <w:r w:rsidRPr="00074E4B">
              <w:rPr>
                <w:rFonts w:ascii="Times New Roman" w:hAnsi="Times New Roman"/>
                <w:sz w:val="24"/>
                <w:szCs w:val="24"/>
              </w:rPr>
              <w:t>p</w:t>
            </w:r>
            <w:proofErr w:type="spellEnd"/>
            <w:r w:rsidRPr="00074E4B">
              <w:rPr>
                <w:rFonts w:ascii="Times New Roman" w:hAnsi="Times New Roman"/>
                <w:sz w:val="24"/>
                <w:szCs w:val="24"/>
              </w:rPr>
              <w:t xml:space="preserve">). </w:t>
            </w:r>
          </w:p>
          <w:p w:rsidR="00F66D8B" w:rsidRPr="00074E4B" w:rsidRDefault="00F66D8B" w:rsidP="00153D4C">
            <w:pPr>
              <w:spacing w:after="0" w:line="240" w:lineRule="auto"/>
              <w:jc w:val="both"/>
              <w:rPr>
                <w:rFonts w:ascii="Times New Roman" w:hAnsi="Times New Roman"/>
                <w:sz w:val="24"/>
                <w:szCs w:val="24"/>
              </w:rPr>
            </w:pPr>
          </w:p>
          <w:p w:rsidR="00F66D8B" w:rsidRPr="00074E4B" w:rsidRDefault="00F66D8B" w:rsidP="00153D4C">
            <w:pPr>
              <w:spacing w:after="0" w:line="240" w:lineRule="auto"/>
              <w:jc w:val="both"/>
              <w:rPr>
                <w:rFonts w:ascii="Times New Roman" w:hAnsi="Times New Roman"/>
                <w:sz w:val="24"/>
                <w:szCs w:val="24"/>
              </w:rPr>
            </w:pPr>
            <w:r w:rsidRPr="00074E4B">
              <w:rPr>
                <w:rFonts w:ascii="Times New Roman" w:hAnsi="Times New Roman"/>
                <w:sz w:val="24"/>
                <w:szCs w:val="24"/>
              </w:rPr>
              <w:t>FATF novērtēšanas metodoloģijas 29.7. kritērijs definē FIU rīcības neatkarības un autonomijas obligātumu. FATF 29. rekomendācijas skaidrojošajā piezīmē noteikts, ka: “FIU jābūt rīcībā neatkarīgai un autonomai iestādei, tas nozīmē, ka FIU jābūt pilnvarām un spējai veikt savas funkcijas, tostarp pieņemt autonomu lēmumu analizēt, pieprasīt un/vai izpaust konkrētu informāciju. Tas vienmēr nozīmē, ka FIU ir patstāvīgas tiesības nosūtīt vai izplatīt informāciju kompetentajām iestādēm;</w:t>
            </w:r>
          </w:p>
          <w:p w:rsidR="00F66D8B" w:rsidRPr="00074E4B" w:rsidRDefault="00F66D8B" w:rsidP="00153D4C">
            <w:pPr>
              <w:spacing w:after="0" w:line="240" w:lineRule="auto"/>
              <w:jc w:val="both"/>
              <w:rPr>
                <w:rFonts w:ascii="Times New Roman" w:hAnsi="Times New Roman"/>
                <w:sz w:val="24"/>
                <w:szCs w:val="24"/>
              </w:rPr>
            </w:pPr>
          </w:p>
          <w:p w:rsidR="00F66D8B" w:rsidRPr="00074E4B" w:rsidRDefault="00F66D8B" w:rsidP="00153D4C">
            <w:pPr>
              <w:spacing w:after="0" w:line="240" w:lineRule="auto"/>
              <w:jc w:val="both"/>
              <w:rPr>
                <w:rFonts w:ascii="Times New Roman" w:hAnsi="Times New Roman"/>
                <w:b/>
                <w:sz w:val="24"/>
                <w:szCs w:val="24"/>
              </w:rPr>
            </w:pPr>
            <w:r w:rsidRPr="00074E4B">
              <w:rPr>
                <w:rFonts w:ascii="Times New Roman" w:hAnsi="Times New Roman"/>
                <w:b/>
                <w:sz w:val="24"/>
                <w:szCs w:val="24"/>
              </w:rPr>
              <w:t>4.2.)</w:t>
            </w:r>
            <w:r w:rsidRPr="00074E4B">
              <w:rPr>
                <w:rFonts w:ascii="Times New Roman" w:hAnsi="Times New Roman"/>
                <w:sz w:val="24"/>
                <w:szCs w:val="24"/>
              </w:rPr>
              <w:t xml:space="preserve"> </w:t>
            </w:r>
            <w:r w:rsidRPr="00074E4B">
              <w:rPr>
                <w:rFonts w:ascii="Times New Roman" w:hAnsi="Times New Roman"/>
                <w:b/>
                <w:sz w:val="24"/>
                <w:szCs w:val="24"/>
              </w:rPr>
              <w:t>valsts iestādēm, kam ir preventīvā un kontrolējošā funkcija, piemēram, prokurori, policija, korupcijas novēršanas aģentūras un finanšu nozares uzraugi, darbības neatkarība un autonomija ir prasība praksē vai starptautiskos standartos, nodrošinot tiesiskumu vai finanšu sistēmas integritāti. FIU ir viena no tām iestādēm, kuru darbības neatkarība un autonomija ir būtisks nosacījums efektīvai piešķirto pilnvaru īstenošanai.</w:t>
            </w:r>
          </w:p>
          <w:p w:rsidR="00F66D8B" w:rsidRPr="00074E4B" w:rsidRDefault="00F66D8B" w:rsidP="00153D4C">
            <w:pPr>
              <w:spacing w:after="0" w:line="240" w:lineRule="auto"/>
              <w:jc w:val="both"/>
              <w:rPr>
                <w:rFonts w:ascii="Times New Roman" w:hAnsi="Times New Roman"/>
                <w:sz w:val="24"/>
                <w:szCs w:val="24"/>
              </w:rPr>
            </w:pPr>
            <w:r w:rsidRPr="00074E4B">
              <w:rPr>
                <w:rFonts w:ascii="Times New Roman" w:hAnsi="Times New Roman"/>
                <w:sz w:val="24"/>
                <w:szCs w:val="24"/>
              </w:rPr>
              <w:t xml:space="preserve">Finanšu sektora uzraugiem piemērojamie starptautiskie standarti ietver rīcības neatkarības un autonomijas prasības. Bāzeles pamatprincipi </w:t>
            </w:r>
            <w:r w:rsidRPr="00074E4B">
              <w:rPr>
                <w:rFonts w:ascii="Times New Roman" w:hAnsi="Times New Roman"/>
                <w:i/>
                <w:sz w:val="24"/>
                <w:szCs w:val="24"/>
              </w:rPr>
              <w:t>(</w:t>
            </w:r>
            <w:proofErr w:type="spellStart"/>
            <w:r w:rsidRPr="00074E4B">
              <w:rPr>
                <w:rFonts w:ascii="Times New Roman" w:hAnsi="Times New Roman"/>
                <w:i/>
                <w:sz w:val="24"/>
                <w:szCs w:val="24"/>
              </w:rPr>
              <w:t>The</w:t>
            </w:r>
            <w:proofErr w:type="spellEnd"/>
            <w:r w:rsidRPr="00074E4B">
              <w:rPr>
                <w:rFonts w:ascii="Times New Roman" w:hAnsi="Times New Roman"/>
                <w:i/>
                <w:sz w:val="24"/>
                <w:szCs w:val="24"/>
              </w:rPr>
              <w:t xml:space="preserve"> </w:t>
            </w:r>
            <w:proofErr w:type="spellStart"/>
            <w:r w:rsidRPr="00074E4B">
              <w:rPr>
                <w:rFonts w:ascii="Times New Roman" w:hAnsi="Times New Roman"/>
                <w:i/>
                <w:sz w:val="24"/>
                <w:szCs w:val="24"/>
              </w:rPr>
              <w:t>Basel</w:t>
            </w:r>
            <w:proofErr w:type="spellEnd"/>
            <w:r w:rsidRPr="00074E4B">
              <w:rPr>
                <w:rFonts w:ascii="Times New Roman" w:hAnsi="Times New Roman"/>
                <w:i/>
                <w:sz w:val="24"/>
                <w:szCs w:val="24"/>
              </w:rPr>
              <w:t xml:space="preserve"> </w:t>
            </w:r>
            <w:proofErr w:type="spellStart"/>
            <w:r w:rsidRPr="00074E4B">
              <w:rPr>
                <w:rFonts w:ascii="Times New Roman" w:hAnsi="Times New Roman"/>
                <w:i/>
                <w:sz w:val="24"/>
                <w:szCs w:val="24"/>
              </w:rPr>
              <w:t>Core</w:t>
            </w:r>
            <w:proofErr w:type="spellEnd"/>
            <w:r w:rsidRPr="00074E4B">
              <w:rPr>
                <w:rFonts w:ascii="Times New Roman" w:hAnsi="Times New Roman"/>
                <w:i/>
                <w:sz w:val="24"/>
                <w:szCs w:val="24"/>
              </w:rPr>
              <w:t xml:space="preserve"> </w:t>
            </w:r>
            <w:proofErr w:type="spellStart"/>
            <w:r w:rsidRPr="00074E4B">
              <w:rPr>
                <w:rFonts w:ascii="Times New Roman" w:hAnsi="Times New Roman"/>
                <w:i/>
                <w:sz w:val="24"/>
                <w:szCs w:val="24"/>
              </w:rPr>
              <w:t>Principles</w:t>
            </w:r>
            <w:proofErr w:type="spellEnd"/>
            <w:r w:rsidRPr="00074E4B">
              <w:rPr>
                <w:rFonts w:ascii="Times New Roman" w:hAnsi="Times New Roman"/>
                <w:i/>
                <w:sz w:val="24"/>
                <w:szCs w:val="24"/>
              </w:rPr>
              <w:t>)</w:t>
            </w:r>
            <w:r w:rsidRPr="00074E4B">
              <w:rPr>
                <w:rFonts w:ascii="Times New Roman" w:hAnsi="Times New Roman"/>
                <w:sz w:val="24"/>
                <w:szCs w:val="24"/>
              </w:rPr>
              <w:t xml:space="preserve">, Apdrošināšanas pamatprincipi </w:t>
            </w:r>
            <w:r w:rsidRPr="00074E4B">
              <w:rPr>
                <w:rFonts w:ascii="Times New Roman" w:hAnsi="Times New Roman"/>
                <w:i/>
                <w:sz w:val="24"/>
                <w:szCs w:val="24"/>
              </w:rPr>
              <w:t>(</w:t>
            </w:r>
            <w:proofErr w:type="spellStart"/>
            <w:r w:rsidRPr="00074E4B">
              <w:rPr>
                <w:rFonts w:ascii="Times New Roman" w:hAnsi="Times New Roman"/>
                <w:i/>
                <w:sz w:val="24"/>
                <w:szCs w:val="24"/>
              </w:rPr>
              <w:t>the</w:t>
            </w:r>
            <w:proofErr w:type="spellEnd"/>
            <w:r w:rsidRPr="00074E4B">
              <w:rPr>
                <w:rFonts w:ascii="Times New Roman" w:hAnsi="Times New Roman"/>
                <w:i/>
                <w:sz w:val="24"/>
                <w:szCs w:val="24"/>
              </w:rPr>
              <w:t xml:space="preserve"> Insurance </w:t>
            </w:r>
            <w:proofErr w:type="spellStart"/>
            <w:r w:rsidRPr="00074E4B">
              <w:rPr>
                <w:rFonts w:ascii="Times New Roman" w:hAnsi="Times New Roman"/>
                <w:i/>
                <w:sz w:val="24"/>
                <w:szCs w:val="24"/>
              </w:rPr>
              <w:t>Core</w:t>
            </w:r>
            <w:proofErr w:type="spellEnd"/>
            <w:r w:rsidRPr="00074E4B">
              <w:rPr>
                <w:rFonts w:ascii="Times New Roman" w:hAnsi="Times New Roman"/>
                <w:i/>
                <w:sz w:val="24"/>
                <w:szCs w:val="24"/>
              </w:rPr>
              <w:t xml:space="preserve"> </w:t>
            </w:r>
            <w:proofErr w:type="spellStart"/>
            <w:r w:rsidRPr="00074E4B">
              <w:rPr>
                <w:rFonts w:ascii="Times New Roman" w:hAnsi="Times New Roman"/>
                <w:i/>
                <w:sz w:val="24"/>
                <w:szCs w:val="24"/>
              </w:rPr>
              <w:t>Principles</w:t>
            </w:r>
            <w:proofErr w:type="spellEnd"/>
            <w:r w:rsidRPr="00074E4B">
              <w:rPr>
                <w:rFonts w:ascii="Times New Roman" w:hAnsi="Times New Roman"/>
                <w:i/>
                <w:sz w:val="24"/>
                <w:szCs w:val="24"/>
              </w:rPr>
              <w:t>)</w:t>
            </w:r>
            <w:r w:rsidRPr="00074E4B">
              <w:rPr>
                <w:rFonts w:ascii="Times New Roman" w:hAnsi="Times New Roman"/>
                <w:sz w:val="24"/>
                <w:szCs w:val="24"/>
              </w:rPr>
              <w:t xml:space="preserve">, Vērtspapīru regulas mērķi un principi </w:t>
            </w:r>
            <w:r w:rsidRPr="00074E4B">
              <w:rPr>
                <w:rFonts w:ascii="Times New Roman" w:hAnsi="Times New Roman"/>
                <w:i/>
                <w:sz w:val="24"/>
                <w:szCs w:val="24"/>
              </w:rPr>
              <w:t>(</w:t>
            </w:r>
            <w:proofErr w:type="spellStart"/>
            <w:r w:rsidRPr="00074E4B">
              <w:rPr>
                <w:rFonts w:ascii="Times New Roman" w:hAnsi="Times New Roman"/>
                <w:i/>
                <w:sz w:val="24"/>
                <w:szCs w:val="24"/>
              </w:rPr>
              <w:t>the</w:t>
            </w:r>
            <w:proofErr w:type="spellEnd"/>
            <w:r w:rsidRPr="00074E4B">
              <w:rPr>
                <w:rFonts w:ascii="Times New Roman" w:hAnsi="Times New Roman"/>
                <w:i/>
                <w:sz w:val="24"/>
                <w:szCs w:val="24"/>
              </w:rPr>
              <w:t xml:space="preserve"> </w:t>
            </w:r>
            <w:proofErr w:type="spellStart"/>
            <w:r w:rsidRPr="00074E4B">
              <w:rPr>
                <w:rFonts w:ascii="Times New Roman" w:hAnsi="Times New Roman"/>
                <w:i/>
                <w:sz w:val="24"/>
                <w:szCs w:val="24"/>
              </w:rPr>
              <w:t>Objectives</w:t>
            </w:r>
            <w:proofErr w:type="spellEnd"/>
            <w:r w:rsidRPr="00074E4B">
              <w:rPr>
                <w:rFonts w:ascii="Times New Roman" w:hAnsi="Times New Roman"/>
                <w:i/>
                <w:sz w:val="24"/>
                <w:szCs w:val="24"/>
              </w:rPr>
              <w:t xml:space="preserve"> </w:t>
            </w:r>
            <w:proofErr w:type="spellStart"/>
            <w:r w:rsidRPr="00074E4B">
              <w:rPr>
                <w:rFonts w:ascii="Times New Roman" w:hAnsi="Times New Roman"/>
                <w:i/>
                <w:sz w:val="24"/>
                <w:szCs w:val="24"/>
              </w:rPr>
              <w:t>and</w:t>
            </w:r>
            <w:proofErr w:type="spellEnd"/>
            <w:r w:rsidRPr="00074E4B">
              <w:rPr>
                <w:rFonts w:ascii="Times New Roman" w:hAnsi="Times New Roman"/>
                <w:i/>
                <w:sz w:val="24"/>
                <w:szCs w:val="24"/>
              </w:rPr>
              <w:t xml:space="preserve"> </w:t>
            </w:r>
            <w:proofErr w:type="spellStart"/>
            <w:r w:rsidRPr="00074E4B">
              <w:rPr>
                <w:rFonts w:ascii="Times New Roman" w:hAnsi="Times New Roman"/>
                <w:i/>
                <w:sz w:val="24"/>
                <w:szCs w:val="24"/>
              </w:rPr>
              <w:t>Principles</w:t>
            </w:r>
            <w:proofErr w:type="spellEnd"/>
            <w:r w:rsidRPr="00074E4B">
              <w:rPr>
                <w:rFonts w:ascii="Times New Roman" w:hAnsi="Times New Roman"/>
                <w:i/>
                <w:sz w:val="24"/>
                <w:szCs w:val="24"/>
              </w:rPr>
              <w:t xml:space="preserve"> </w:t>
            </w:r>
            <w:proofErr w:type="spellStart"/>
            <w:r w:rsidRPr="00074E4B">
              <w:rPr>
                <w:rFonts w:ascii="Times New Roman" w:hAnsi="Times New Roman"/>
                <w:i/>
                <w:sz w:val="24"/>
                <w:szCs w:val="24"/>
              </w:rPr>
              <w:t>of</w:t>
            </w:r>
            <w:proofErr w:type="spellEnd"/>
            <w:r w:rsidRPr="00074E4B">
              <w:rPr>
                <w:rFonts w:ascii="Times New Roman" w:hAnsi="Times New Roman"/>
                <w:i/>
                <w:sz w:val="24"/>
                <w:szCs w:val="24"/>
              </w:rPr>
              <w:t xml:space="preserve"> </w:t>
            </w:r>
            <w:proofErr w:type="spellStart"/>
            <w:r w:rsidRPr="00074E4B">
              <w:rPr>
                <w:rFonts w:ascii="Times New Roman" w:hAnsi="Times New Roman"/>
                <w:i/>
                <w:sz w:val="24"/>
                <w:szCs w:val="24"/>
              </w:rPr>
              <w:t>Securities</w:t>
            </w:r>
            <w:proofErr w:type="spellEnd"/>
            <w:r w:rsidRPr="00074E4B">
              <w:rPr>
                <w:rFonts w:ascii="Times New Roman" w:hAnsi="Times New Roman"/>
                <w:i/>
                <w:sz w:val="24"/>
                <w:szCs w:val="24"/>
              </w:rPr>
              <w:t xml:space="preserve"> </w:t>
            </w:r>
            <w:proofErr w:type="spellStart"/>
            <w:r w:rsidRPr="00074E4B">
              <w:rPr>
                <w:rFonts w:ascii="Times New Roman" w:hAnsi="Times New Roman"/>
                <w:i/>
                <w:sz w:val="24"/>
                <w:szCs w:val="24"/>
              </w:rPr>
              <w:t>Regulation</w:t>
            </w:r>
            <w:proofErr w:type="spellEnd"/>
            <w:r w:rsidRPr="00074E4B">
              <w:rPr>
                <w:rFonts w:ascii="Times New Roman" w:hAnsi="Times New Roman"/>
                <w:i/>
                <w:sz w:val="24"/>
                <w:szCs w:val="24"/>
              </w:rPr>
              <w:t>)</w:t>
            </w:r>
            <w:r w:rsidRPr="00074E4B">
              <w:rPr>
                <w:rFonts w:ascii="Times New Roman" w:hAnsi="Times New Roman"/>
                <w:sz w:val="24"/>
                <w:szCs w:val="24"/>
              </w:rPr>
              <w:t xml:space="preserve"> uzsver rīcības neatkarības nozīmīgumu. Tajos ietvertas prasības, kas veicina rīcības neatkarību t.i.: spēja darboties bez politikas iesaistes, valdības un nozares iejaukšanās (</w:t>
            </w:r>
            <w:proofErr w:type="spellStart"/>
            <w:r w:rsidRPr="00074E4B">
              <w:rPr>
                <w:rFonts w:ascii="Times New Roman" w:hAnsi="Times New Roman"/>
                <w:sz w:val="24"/>
                <w:szCs w:val="24"/>
              </w:rPr>
              <w:t>governmental</w:t>
            </w:r>
            <w:proofErr w:type="spellEnd"/>
            <w:r w:rsidRPr="00074E4B">
              <w:rPr>
                <w:rFonts w:ascii="Times New Roman" w:hAnsi="Times New Roman"/>
                <w:sz w:val="24"/>
                <w:szCs w:val="24"/>
              </w:rPr>
              <w:t xml:space="preserve"> </w:t>
            </w:r>
            <w:proofErr w:type="spellStart"/>
            <w:r w:rsidRPr="00074E4B">
              <w:rPr>
                <w:rFonts w:ascii="Times New Roman" w:hAnsi="Times New Roman"/>
                <w:sz w:val="24"/>
                <w:szCs w:val="24"/>
              </w:rPr>
              <w:t>and</w:t>
            </w:r>
            <w:proofErr w:type="spellEnd"/>
            <w:r w:rsidRPr="00074E4B">
              <w:rPr>
                <w:rFonts w:ascii="Times New Roman" w:hAnsi="Times New Roman"/>
                <w:sz w:val="24"/>
                <w:szCs w:val="24"/>
              </w:rPr>
              <w:t xml:space="preserve"> </w:t>
            </w:r>
            <w:proofErr w:type="spellStart"/>
            <w:r w:rsidRPr="00074E4B">
              <w:rPr>
                <w:rFonts w:ascii="Times New Roman" w:hAnsi="Times New Roman"/>
                <w:sz w:val="24"/>
                <w:szCs w:val="24"/>
              </w:rPr>
              <w:t>industry</w:t>
            </w:r>
            <w:proofErr w:type="spellEnd"/>
            <w:r w:rsidRPr="00074E4B">
              <w:rPr>
                <w:rFonts w:ascii="Times New Roman" w:hAnsi="Times New Roman"/>
                <w:sz w:val="24"/>
                <w:szCs w:val="24"/>
              </w:rPr>
              <w:t xml:space="preserve"> interference), resursu pietiekamība, savā pārvaldībā esošās informācijas aizsardzība, atbilstoša juridiskā aizsardzība, augstu profesionālo standartu ievērošana, kā arī ieviesti iestādes vadītāja iecelšanas un atstādināšanas noteikumi. </w:t>
            </w:r>
          </w:p>
          <w:p w:rsidR="00F66D8B" w:rsidRPr="00074E4B" w:rsidRDefault="00F66D8B" w:rsidP="00153D4C">
            <w:pPr>
              <w:spacing w:after="0" w:line="240" w:lineRule="auto"/>
              <w:jc w:val="both"/>
              <w:rPr>
                <w:rFonts w:ascii="Times New Roman" w:hAnsi="Times New Roman"/>
                <w:sz w:val="24"/>
                <w:szCs w:val="24"/>
              </w:rPr>
            </w:pPr>
            <w:r w:rsidRPr="00074E4B">
              <w:rPr>
                <w:rFonts w:ascii="Times New Roman" w:hAnsi="Times New Roman"/>
                <w:sz w:val="24"/>
                <w:szCs w:val="24"/>
              </w:rPr>
              <w:t xml:space="preserve">Arī prokuroru un pretkorupcijas aģentūru darbību reglamentējošie starptautiskie regulējumi nosaka rīcības neatkarības ieviešanu šajās organizācijās. Prokuroru profesionālās atbildības, </w:t>
            </w:r>
            <w:proofErr w:type="spellStart"/>
            <w:r w:rsidRPr="00074E4B">
              <w:rPr>
                <w:rFonts w:ascii="Times New Roman" w:hAnsi="Times New Roman"/>
                <w:sz w:val="24"/>
                <w:szCs w:val="24"/>
              </w:rPr>
              <w:t>pamattiesību</w:t>
            </w:r>
            <w:proofErr w:type="spellEnd"/>
            <w:r w:rsidRPr="00074E4B">
              <w:rPr>
                <w:rFonts w:ascii="Times New Roman" w:hAnsi="Times New Roman"/>
                <w:sz w:val="24"/>
                <w:szCs w:val="24"/>
              </w:rPr>
              <w:t xml:space="preserve"> un pienākumu standarti </w:t>
            </w:r>
            <w:r w:rsidRPr="00074E4B">
              <w:rPr>
                <w:rFonts w:ascii="Times New Roman" w:hAnsi="Times New Roman"/>
                <w:i/>
                <w:sz w:val="24"/>
                <w:szCs w:val="24"/>
              </w:rPr>
              <w:t>(</w:t>
            </w:r>
            <w:proofErr w:type="spellStart"/>
            <w:r w:rsidRPr="00074E4B">
              <w:rPr>
                <w:rFonts w:ascii="Times New Roman" w:hAnsi="Times New Roman"/>
                <w:i/>
                <w:sz w:val="24"/>
                <w:szCs w:val="24"/>
              </w:rPr>
              <w:t>The</w:t>
            </w:r>
            <w:proofErr w:type="spellEnd"/>
            <w:r w:rsidRPr="00074E4B">
              <w:rPr>
                <w:rFonts w:ascii="Times New Roman" w:hAnsi="Times New Roman"/>
                <w:i/>
                <w:sz w:val="24"/>
                <w:szCs w:val="24"/>
              </w:rPr>
              <w:t xml:space="preserve"> </w:t>
            </w:r>
            <w:proofErr w:type="spellStart"/>
            <w:r w:rsidRPr="00074E4B">
              <w:rPr>
                <w:rFonts w:ascii="Times New Roman" w:hAnsi="Times New Roman"/>
                <w:i/>
                <w:sz w:val="24"/>
                <w:szCs w:val="24"/>
              </w:rPr>
              <w:t>Standards</w:t>
            </w:r>
            <w:proofErr w:type="spellEnd"/>
            <w:r w:rsidRPr="00074E4B">
              <w:rPr>
                <w:rFonts w:ascii="Times New Roman" w:hAnsi="Times New Roman"/>
                <w:i/>
                <w:sz w:val="24"/>
                <w:szCs w:val="24"/>
              </w:rPr>
              <w:t xml:space="preserve"> </w:t>
            </w:r>
            <w:proofErr w:type="spellStart"/>
            <w:r w:rsidRPr="00074E4B">
              <w:rPr>
                <w:rFonts w:ascii="Times New Roman" w:hAnsi="Times New Roman"/>
                <w:i/>
                <w:sz w:val="24"/>
                <w:szCs w:val="24"/>
              </w:rPr>
              <w:t>of</w:t>
            </w:r>
            <w:proofErr w:type="spellEnd"/>
            <w:r w:rsidRPr="00074E4B">
              <w:rPr>
                <w:rFonts w:ascii="Times New Roman" w:hAnsi="Times New Roman"/>
                <w:i/>
                <w:sz w:val="24"/>
                <w:szCs w:val="24"/>
              </w:rPr>
              <w:t xml:space="preserve"> </w:t>
            </w:r>
            <w:proofErr w:type="spellStart"/>
            <w:r w:rsidRPr="00074E4B">
              <w:rPr>
                <w:rFonts w:ascii="Times New Roman" w:hAnsi="Times New Roman"/>
                <w:i/>
                <w:sz w:val="24"/>
                <w:szCs w:val="24"/>
              </w:rPr>
              <w:t>professional</w:t>
            </w:r>
            <w:proofErr w:type="spellEnd"/>
            <w:r w:rsidRPr="00074E4B">
              <w:rPr>
                <w:rFonts w:ascii="Times New Roman" w:hAnsi="Times New Roman"/>
                <w:i/>
                <w:sz w:val="24"/>
                <w:szCs w:val="24"/>
              </w:rPr>
              <w:t xml:space="preserve"> </w:t>
            </w:r>
            <w:proofErr w:type="spellStart"/>
            <w:r w:rsidRPr="00074E4B">
              <w:rPr>
                <w:rFonts w:ascii="Times New Roman" w:hAnsi="Times New Roman"/>
                <w:i/>
                <w:sz w:val="24"/>
                <w:szCs w:val="24"/>
              </w:rPr>
              <w:t>responsibility</w:t>
            </w:r>
            <w:proofErr w:type="spellEnd"/>
            <w:r w:rsidRPr="00074E4B">
              <w:rPr>
                <w:rFonts w:ascii="Times New Roman" w:hAnsi="Times New Roman"/>
                <w:i/>
                <w:sz w:val="24"/>
                <w:szCs w:val="24"/>
              </w:rPr>
              <w:t xml:space="preserve"> </w:t>
            </w:r>
            <w:proofErr w:type="spellStart"/>
            <w:r w:rsidRPr="00074E4B">
              <w:rPr>
                <w:rFonts w:ascii="Times New Roman" w:hAnsi="Times New Roman"/>
                <w:i/>
                <w:sz w:val="24"/>
                <w:szCs w:val="24"/>
              </w:rPr>
              <w:t>and</w:t>
            </w:r>
            <w:proofErr w:type="spellEnd"/>
            <w:r w:rsidRPr="00074E4B">
              <w:rPr>
                <w:rFonts w:ascii="Times New Roman" w:hAnsi="Times New Roman"/>
                <w:i/>
                <w:sz w:val="24"/>
                <w:szCs w:val="24"/>
              </w:rPr>
              <w:t xml:space="preserve"> </w:t>
            </w:r>
            <w:proofErr w:type="spellStart"/>
            <w:r w:rsidRPr="00074E4B">
              <w:rPr>
                <w:rFonts w:ascii="Times New Roman" w:hAnsi="Times New Roman"/>
                <w:i/>
                <w:sz w:val="24"/>
                <w:szCs w:val="24"/>
              </w:rPr>
              <w:t>statement</w:t>
            </w:r>
            <w:proofErr w:type="spellEnd"/>
            <w:r w:rsidRPr="00074E4B">
              <w:rPr>
                <w:rFonts w:ascii="Times New Roman" w:hAnsi="Times New Roman"/>
                <w:i/>
                <w:sz w:val="24"/>
                <w:szCs w:val="24"/>
              </w:rPr>
              <w:t xml:space="preserve"> </w:t>
            </w:r>
            <w:proofErr w:type="spellStart"/>
            <w:r w:rsidRPr="00074E4B">
              <w:rPr>
                <w:rFonts w:ascii="Times New Roman" w:hAnsi="Times New Roman"/>
                <w:i/>
                <w:sz w:val="24"/>
                <w:szCs w:val="24"/>
              </w:rPr>
              <w:t>of</w:t>
            </w:r>
            <w:proofErr w:type="spellEnd"/>
            <w:r w:rsidRPr="00074E4B">
              <w:rPr>
                <w:rFonts w:ascii="Times New Roman" w:hAnsi="Times New Roman"/>
                <w:i/>
                <w:sz w:val="24"/>
                <w:szCs w:val="24"/>
              </w:rPr>
              <w:t xml:space="preserve"> </w:t>
            </w:r>
            <w:proofErr w:type="spellStart"/>
            <w:r w:rsidRPr="00074E4B">
              <w:rPr>
                <w:rFonts w:ascii="Times New Roman" w:hAnsi="Times New Roman"/>
                <w:i/>
                <w:sz w:val="24"/>
                <w:szCs w:val="24"/>
              </w:rPr>
              <w:t>the</w:t>
            </w:r>
            <w:proofErr w:type="spellEnd"/>
            <w:r w:rsidRPr="00074E4B">
              <w:rPr>
                <w:rFonts w:ascii="Times New Roman" w:hAnsi="Times New Roman"/>
                <w:i/>
                <w:sz w:val="24"/>
                <w:szCs w:val="24"/>
              </w:rPr>
              <w:t xml:space="preserve"> </w:t>
            </w:r>
            <w:proofErr w:type="spellStart"/>
            <w:r w:rsidRPr="00074E4B">
              <w:rPr>
                <w:rFonts w:ascii="Times New Roman" w:hAnsi="Times New Roman"/>
                <w:i/>
                <w:sz w:val="24"/>
                <w:szCs w:val="24"/>
              </w:rPr>
              <w:t>essential</w:t>
            </w:r>
            <w:proofErr w:type="spellEnd"/>
            <w:r w:rsidRPr="00074E4B">
              <w:rPr>
                <w:rFonts w:ascii="Times New Roman" w:hAnsi="Times New Roman"/>
                <w:i/>
                <w:sz w:val="24"/>
                <w:szCs w:val="24"/>
              </w:rPr>
              <w:t xml:space="preserve"> </w:t>
            </w:r>
            <w:proofErr w:type="spellStart"/>
            <w:r w:rsidRPr="00074E4B">
              <w:rPr>
                <w:rFonts w:ascii="Times New Roman" w:hAnsi="Times New Roman"/>
                <w:i/>
                <w:sz w:val="24"/>
                <w:szCs w:val="24"/>
              </w:rPr>
              <w:t>duties</w:t>
            </w:r>
            <w:proofErr w:type="spellEnd"/>
            <w:r w:rsidRPr="00074E4B">
              <w:rPr>
                <w:rFonts w:ascii="Times New Roman" w:hAnsi="Times New Roman"/>
                <w:i/>
                <w:sz w:val="24"/>
                <w:szCs w:val="24"/>
              </w:rPr>
              <w:t xml:space="preserve"> </w:t>
            </w:r>
            <w:proofErr w:type="spellStart"/>
            <w:r w:rsidRPr="00074E4B">
              <w:rPr>
                <w:rFonts w:ascii="Times New Roman" w:hAnsi="Times New Roman"/>
                <w:i/>
                <w:sz w:val="24"/>
                <w:szCs w:val="24"/>
              </w:rPr>
              <w:t>and</w:t>
            </w:r>
            <w:proofErr w:type="spellEnd"/>
            <w:r w:rsidRPr="00074E4B">
              <w:rPr>
                <w:rFonts w:ascii="Times New Roman" w:hAnsi="Times New Roman"/>
                <w:i/>
                <w:sz w:val="24"/>
                <w:szCs w:val="24"/>
              </w:rPr>
              <w:t xml:space="preserve"> </w:t>
            </w:r>
            <w:proofErr w:type="spellStart"/>
            <w:r w:rsidRPr="00074E4B">
              <w:rPr>
                <w:rFonts w:ascii="Times New Roman" w:hAnsi="Times New Roman"/>
                <w:i/>
                <w:sz w:val="24"/>
                <w:szCs w:val="24"/>
              </w:rPr>
              <w:t>rights</w:t>
            </w:r>
            <w:proofErr w:type="spellEnd"/>
            <w:r w:rsidRPr="00074E4B">
              <w:rPr>
                <w:rFonts w:ascii="Times New Roman" w:hAnsi="Times New Roman"/>
                <w:i/>
                <w:sz w:val="24"/>
                <w:szCs w:val="24"/>
              </w:rPr>
              <w:t xml:space="preserve"> </w:t>
            </w:r>
            <w:proofErr w:type="spellStart"/>
            <w:r w:rsidRPr="00074E4B">
              <w:rPr>
                <w:rFonts w:ascii="Times New Roman" w:hAnsi="Times New Roman"/>
                <w:i/>
                <w:sz w:val="24"/>
                <w:szCs w:val="24"/>
              </w:rPr>
              <w:t>of</w:t>
            </w:r>
            <w:proofErr w:type="spellEnd"/>
            <w:r w:rsidRPr="00074E4B">
              <w:rPr>
                <w:rFonts w:ascii="Times New Roman" w:hAnsi="Times New Roman"/>
                <w:i/>
                <w:sz w:val="24"/>
                <w:szCs w:val="24"/>
              </w:rPr>
              <w:t xml:space="preserve"> </w:t>
            </w:r>
            <w:proofErr w:type="spellStart"/>
            <w:r w:rsidRPr="00074E4B">
              <w:rPr>
                <w:rFonts w:ascii="Times New Roman" w:hAnsi="Times New Roman"/>
                <w:i/>
                <w:sz w:val="24"/>
                <w:szCs w:val="24"/>
              </w:rPr>
              <w:t>prosecutors</w:t>
            </w:r>
            <w:proofErr w:type="spellEnd"/>
            <w:r w:rsidRPr="00074E4B">
              <w:rPr>
                <w:rFonts w:ascii="Times New Roman" w:hAnsi="Times New Roman"/>
                <w:i/>
                <w:sz w:val="24"/>
                <w:szCs w:val="24"/>
              </w:rPr>
              <w:t>)</w:t>
            </w:r>
            <w:r w:rsidRPr="00074E4B">
              <w:rPr>
                <w:rFonts w:ascii="Times New Roman" w:hAnsi="Times New Roman"/>
                <w:sz w:val="24"/>
                <w:szCs w:val="24"/>
              </w:rPr>
              <w:t xml:space="preserve"> nosaka, ka prokurori veica savas funkcijas bez iebiedēšanas, šķēršļiem, nepamatotas iejaukšanās un civiltiesiskām, kriminālam vai citām saistībām. Turklāt Apvienoto Nāciju Organizācijas Pretkorupcijas konvencija </w:t>
            </w:r>
            <w:r w:rsidRPr="00074E4B">
              <w:rPr>
                <w:rFonts w:ascii="Times New Roman" w:hAnsi="Times New Roman"/>
                <w:i/>
                <w:sz w:val="24"/>
                <w:szCs w:val="24"/>
              </w:rPr>
              <w:t>(</w:t>
            </w:r>
            <w:proofErr w:type="spellStart"/>
            <w:r w:rsidRPr="00074E4B">
              <w:rPr>
                <w:rFonts w:ascii="Times New Roman" w:hAnsi="Times New Roman"/>
                <w:i/>
                <w:sz w:val="24"/>
                <w:szCs w:val="24"/>
              </w:rPr>
              <w:t>the</w:t>
            </w:r>
            <w:proofErr w:type="spellEnd"/>
            <w:r w:rsidRPr="00074E4B">
              <w:rPr>
                <w:rFonts w:ascii="Times New Roman" w:hAnsi="Times New Roman"/>
                <w:i/>
                <w:sz w:val="24"/>
                <w:szCs w:val="24"/>
              </w:rPr>
              <w:t xml:space="preserve"> </w:t>
            </w:r>
            <w:proofErr w:type="spellStart"/>
            <w:r w:rsidRPr="00074E4B">
              <w:rPr>
                <w:rFonts w:ascii="Times New Roman" w:hAnsi="Times New Roman"/>
                <w:i/>
                <w:sz w:val="24"/>
                <w:szCs w:val="24"/>
              </w:rPr>
              <w:t>United</w:t>
            </w:r>
            <w:proofErr w:type="spellEnd"/>
            <w:r w:rsidRPr="00074E4B">
              <w:rPr>
                <w:rFonts w:ascii="Times New Roman" w:hAnsi="Times New Roman"/>
                <w:i/>
                <w:sz w:val="24"/>
                <w:szCs w:val="24"/>
              </w:rPr>
              <w:t xml:space="preserve"> </w:t>
            </w:r>
            <w:proofErr w:type="spellStart"/>
            <w:r w:rsidRPr="00074E4B">
              <w:rPr>
                <w:rFonts w:ascii="Times New Roman" w:hAnsi="Times New Roman"/>
                <w:i/>
                <w:sz w:val="24"/>
                <w:szCs w:val="24"/>
              </w:rPr>
              <w:t>Nations</w:t>
            </w:r>
            <w:proofErr w:type="spellEnd"/>
            <w:r w:rsidRPr="00074E4B">
              <w:rPr>
                <w:rFonts w:ascii="Times New Roman" w:hAnsi="Times New Roman"/>
                <w:i/>
                <w:sz w:val="24"/>
                <w:szCs w:val="24"/>
              </w:rPr>
              <w:t xml:space="preserve"> </w:t>
            </w:r>
            <w:proofErr w:type="spellStart"/>
            <w:r w:rsidRPr="00074E4B">
              <w:rPr>
                <w:rFonts w:ascii="Times New Roman" w:hAnsi="Times New Roman"/>
                <w:i/>
                <w:sz w:val="24"/>
                <w:szCs w:val="24"/>
              </w:rPr>
              <w:t>Convention</w:t>
            </w:r>
            <w:proofErr w:type="spellEnd"/>
            <w:r w:rsidRPr="00074E4B">
              <w:rPr>
                <w:rFonts w:ascii="Times New Roman" w:hAnsi="Times New Roman"/>
                <w:i/>
                <w:sz w:val="24"/>
                <w:szCs w:val="24"/>
              </w:rPr>
              <w:t xml:space="preserve"> </w:t>
            </w:r>
            <w:proofErr w:type="spellStart"/>
            <w:r w:rsidRPr="00074E4B">
              <w:rPr>
                <w:rFonts w:ascii="Times New Roman" w:hAnsi="Times New Roman"/>
                <w:i/>
                <w:sz w:val="24"/>
                <w:szCs w:val="24"/>
              </w:rPr>
              <w:t>against</w:t>
            </w:r>
            <w:proofErr w:type="spellEnd"/>
            <w:r w:rsidRPr="00074E4B">
              <w:rPr>
                <w:rFonts w:ascii="Times New Roman" w:hAnsi="Times New Roman"/>
                <w:i/>
                <w:sz w:val="24"/>
                <w:szCs w:val="24"/>
              </w:rPr>
              <w:t xml:space="preserve"> </w:t>
            </w:r>
            <w:proofErr w:type="spellStart"/>
            <w:r w:rsidRPr="00074E4B">
              <w:rPr>
                <w:rFonts w:ascii="Times New Roman" w:hAnsi="Times New Roman"/>
                <w:i/>
                <w:sz w:val="24"/>
                <w:szCs w:val="24"/>
              </w:rPr>
              <w:t>Corruption</w:t>
            </w:r>
            <w:proofErr w:type="spellEnd"/>
            <w:r w:rsidRPr="00074E4B">
              <w:rPr>
                <w:rFonts w:ascii="Times New Roman" w:hAnsi="Times New Roman"/>
                <w:i/>
                <w:sz w:val="24"/>
                <w:szCs w:val="24"/>
              </w:rPr>
              <w:t xml:space="preserve"> (UNCAC)) </w:t>
            </w:r>
            <w:r w:rsidRPr="00074E4B">
              <w:rPr>
                <w:rFonts w:ascii="Times New Roman" w:hAnsi="Times New Roman"/>
                <w:sz w:val="24"/>
                <w:szCs w:val="24"/>
              </w:rPr>
              <w:t>nosaka, ka pretkorupcijas iestādēm ir jāpiemīt “nepieciešamajai neatkarībai atbilstoši tās tiesību sistēmas pamatprincipiem, lai iestāde vai struktūras varētu efektīvi un brīvi no pārmērīgas ietekmes veikt savas funkcijas. Jānodrošina nepieciešamie materiālie resursi, kā arī atbilstošas specialitātes darbinieki, kā arī apmācības, kas būtu nepieciešamas pilnvērtīgai pienākumu veikšanai.”</w:t>
            </w:r>
          </w:p>
          <w:p w:rsidR="00F66D8B" w:rsidRPr="00074E4B" w:rsidRDefault="00F66D8B" w:rsidP="00153D4C">
            <w:pPr>
              <w:spacing w:after="0" w:line="240" w:lineRule="auto"/>
              <w:jc w:val="both"/>
              <w:rPr>
                <w:rFonts w:ascii="Times New Roman" w:hAnsi="Times New Roman"/>
                <w:sz w:val="24"/>
                <w:szCs w:val="24"/>
              </w:rPr>
            </w:pPr>
          </w:p>
          <w:p w:rsidR="00F66D8B" w:rsidRPr="00074E4B" w:rsidRDefault="00F66D8B" w:rsidP="00153D4C">
            <w:pPr>
              <w:spacing w:after="0" w:line="240" w:lineRule="auto"/>
              <w:jc w:val="both"/>
              <w:rPr>
                <w:rFonts w:ascii="Times New Roman" w:hAnsi="Times New Roman"/>
                <w:b/>
                <w:sz w:val="24"/>
                <w:szCs w:val="24"/>
              </w:rPr>
            </w:pPr>
            <w:r w:rsidRPr="00074E4B">
              <w:rPr>
                <w:rFonts w:ascii="Times New Roman" w:hAnsi="Times New Roman"/>
                <w:b/>
                <w:sz w:val="24"/>
                <w:szCs w:val="24"/>
              </w:rPr>
              <w:t xml:space="preserve">5) FIU neatkarību un autonomiju nodrošina 5 </w:t>
            </w:r>
            <w:proofErr w:type="spellStart"/>
            <w:r w:rsidRPr="00074E4B">
              <w:rPr>
                <w:rFonts w:ascii="Times New Roman" w:hAnsi="Times New Roman"/>
                <w:b/>
                <w:sz w:val="24"/>
                <w:szCs w:val="24"/>
              </w:rPr>
              <w:t>pamatpazīmju</w:t>
            </w:r>
            <w:proofErr w:type="spellEnd"/>
            <w:r w:rsidRPr="00074E4B">
              <w:rPr>
                <w:rFonts w:ascii="Times New Roman" w:hAnsi="Times New Roman"/>
                <w:b/>
                <w:sz w:val="24"/>
                <w:szCs w:val="24"/>
              </w:rPr>
              <w:t xml:space="preserve"> izpildīšana.</w:t>
            </w:r>
          </w:p>
          <w:p w:rsidR="00F66D8B" w:rsidRPr="00074E4B" w:rsidRDefault="00F66D8B" w:rsidP="00153D4C">
            <w:pPr>
              <w:spacing w:after="0" w:line="240" w:lineRule="auto"/>
              <w:jc w:val="both"/>
              <w:rPr>
                <w:rFonts w:ascii="Times New Roman" w:hAnsi="Times New Roman"/>
                <w:b/>
                <w:sz w:val="24"/>
                <w:szCs w:val="24"/>
              </w:rPr>
            </w:pPr>
          </w:p>
          <w:p w:rsidR="00F66D8B" w:rsidRPr="00074E4B" w:rsidRDefault="00F66D8B" w:rsidP="00153D4C">
            <w:pPr>
              <w:spacing w:after="0" w:line="240" w:lineRule="auto"/>
              <w:jc w:val="both"/>
              <w:rPr>
                <w:rFonts w:ascii="Times New Roman" w:hAnsi="Times New Roman"/>
                <w:sz w:val="24"/>
                <w:szCs w:val="24"/>
              </w:rPr>
            </w:pPr>
            <w:r w:rsidRPr="00074E4B">
              <w:rPr>
                <w:rFonts w:ascii="Times New Roman" w:hAnsi="Times New Roman"/>
                <w:sz w:val="24"/>
                <w:szCs w:val="24"/>
              </w:rPr>
              <w:t>FIU darbības neatkarību un autonomiju ietekmē:</w:t>
            </w:r>
            <w:r w:rsidRPr="00074E4B">
              <w:rPr>
                <w:rFonts w:ascii="Times New Roman" w:hAnsi="Times New Roman"/>
                <w:b/>
                <w:sz w:val="24"/>
                <w:szCs w:val="24"/>
              </w:rPr>
              <w:t xml:space="preserve"> </w:t>
            </w:r>
            <w:r w:rsidRPr="00074E4B">
              <w:rPr>
                <w:rFonts w:ascii="Times New Roman" w:hAnsi="Times New Roman"/>
                <w:sz w:val="24"/>
                <w:szCs w:val="24"/>
              </w:rPr>
              <w:t>pārvaldības un organizatoriskā struktūra, pieejamais budžets un resursi, augstākās</w:t>
            </w:r>
            <w:r w:rsidR="00D67F1A">
              <w:rPr>
                <w:rFonts w:ascii="Times New Roman" w:hAnsi="Times New Roman"/>
                <w:sz w:val="24"/>
                <w:szCs w:val="24"/>
              </w:rPr>
              <w:t xml:space="preserve"> vadības un personāla pieņemšanas</w:t>
            </w:r>
            <w:r w:rsidRPr="00074E4B">
              <w:rPr>
                <w:rFonts w:ascii="Times New Roman" w:hAnsi="Times New Roman"/>
                <w:sz w:val="24"/>
                <w:szCs w:val="24"/>
              </w:rPr>
              <w:t xml:space="preserve"> un atlaišanas noteikumi, informācijas apmaiņas un aizsardzības principi.</w:t>
            </w:r>
          </w:p>
          <w:p w:rsidR="00F66D8B" w:rsidRPr="00074E4B" w:rsidRDefault="00F66D8B" w:rsidP="00153D4C">
            <w:pPr>
              <w:spacing w:after="0" w:line="240" w:lineRule="auto"/>
              <w:jc w:val="both"/>
              <w:rPr>
                <w:rFonts w:ascii="Times New Roman" w:hAnsi="Times New Roman"/>
                <w:b/>
                <w:sz w:val="24"/>
                <w:szCs w:val="24"/>
              </w:rPr>
            </w:pPr>
          </w:p>
          <w:p w:rsidR="00F66D8B" w:rsidRPr="00074E4B" w:rsidRDefault="00F66D8B" w:rsidP="00153D4C">
            <w:pPr>
              <w:spacing w:after="0" w:line="240" w:lineRule="auto"/>
              <w:jc w:val="both"/>
              <w:rPr>
                <w:rFonts w:ascii="Times New Roman" w:hAnsi="Times New Roman"/>
                <w:b/>
                <w:sz w:val="24"/>
                <w:szCs w:val="24"/>
              </w:rPr>
            </w:pPr>
            <w:r w:rsidRPr="00074E4B">
              <w:rPr>
                <w:rFonts w:ascii="Times New Roman" w:hAnsi="Times New Roman"/>
                <w:sz w:val="24"/>
                <w:szCs w:val="24"/>
              </w:rPr>
              <w:t>Iesaistīto pušu izpratnes trūkums par FIU darbības principiem, prasībām attiecībā uz FIU neatkarību un autonomiju, vadības un personālā integritātes trūkums, ierobežojoša pārvaldības struktūra un prakse, kā arī politiķu, ONG un privātā sektora pārmērīga ietekme –faktori, kas var traucēt FIU rīcības brīvībai un autonomijai.</w:t>
            </w:r>
          </w:p>
          <w:p w:rsidR="00F66D8B" w:rsidRPr="00074E4B" w:rsidRDefault="00F66D8B" w:rsidP="00153D4C">
            <w:pPr>
              <w:spacing w:after="0" w:line="240" w:lineRule="auto"/>
              <w:jc w:val="both"/>
              <w:rPr>
                <w:rFonts w:ascii="Times New Roman" w:hAnsi="Times New Roman"/>
                <w:sz w:val="24"/>
                <w:szCs w:val="24"/>
              </w:rPr>
            </w:pPr>
          </w:p>
          <w:p w:rsidR="00F66D8B" w:rsidRPr="00074E4B" w:rsidRDefault="00F66D8B" w:rsidP="00153D4C">
            <w:pPr>
              <w:spacing w:after="0" w:line="240" w:lineRule="auto"/>
              <w:jc w:val="both"/>
              <w:rPr>
                <w:rFonts w:ascii="Times New Roman" w:hAnsi="Times New Roman"/>
                <w:b/>
                <w:sz w:val="24"/>
                <w:szCs w:val="24"/>
              </w:rPr>
            </w:pPr>
            <w:r w:rsidRPr="00074E4B">
              <w:rPr>
                <w:rFonts w:ascii="Times New Roman" w:hAnsi="Times New Roman"/>
                <w:b/>
                <w:sz w:val="24"/>
                <w:szCs w:val="24"/>
              </w:rPr>
              <w:t>6)</w:t>
            </w:r>
            <w:r w:rsidRPr="00074E4B">
              <w:rPr>
                <w:rFonts w:ascii="Times New Roman" w:hAnsi="Times New Roman"/>
                <w:sz w:val="24"/>
                <w:szCs w:val="24"/>
              </w:rPr>
              <w:t xml:space="preserve"> </w:t>
            </w:r>
            <w:r w:rsidRPr="00074E4B">
              <w:rPr>
                <w:rFonts w:ascii="Times New Roman" w:hAnsi="Times New Roman"/>
                <w:b/>
                <w:sz w:val="24"/>
                <w:szCs w:val="24"/>
              </w:rPr>
              <w:t xml:space="preserve">FATF 2018.gada maijā publicētajā pārskatā par Savstarpējās vērtēšanas ziņojumos (Mutual </w:t>
            </w:r>
            <w:proofErr w:type="spellStart"/>
            <w:r w:rsidRPr="00074E4B">
              <w:rPr>
                <w:rFonts w:ascii="Times New Roman" w:hAnsi="Times New Roman"/>
                <w:b/>
                <w:sz w:val="24"/>
                <w:szCs w:val="24"/>
              </w:rPr>
              <w:t>Evaluation</w:t>
            </w:r>
            <w:proofErr w:type="spellEnd"/>
            <w:r w:rsidRPr="00074E4B">
              <w:rPr>
                <w:rFonts w:ascii="Times New Roman" w:hAnsi="Times New Roman"/>
                <w:b/>
                <w:sz w:val="24"/>
                <w:szCs w:val="24"/>
              </w:rPr>
              <w:t xml:space="preserve"> </w:t>
            </w:r>
            <w:proofErr w:type="spellStart"/>
            <w:r w:rsidRPr="00074E4B">
              <w:rPr>
                <w:rFonts w:ascii="Times New Roman" w:hAnsi="Times New Roman"/>
                <w:b/>
                <w:sz w:val="24"/>
                <w:szCs w:val="24"/>
              </w:rPr>
              <w:t>Reports</w:t>
            </w:r>
            <w:proofErr w:type="spellEnd"/>
            <w:r w:rsidRPr="00074E4B">
              <w:rPr>
                <w:rFonts w:ascii="Times New Roman" w:hAnsi="Times New Roman"/>
                <w:b/>
                <w:sz w:val="24"/>
                <w:szCs w:val="24"/>
              </w:rPr>
              <w:t>) iegūtajiem rezultātiem</w:t>
            </w:r>
            <w:r w:rsidRPr="00074E4B">
              <w:rPr>
                <w:rFonts w:ascii="Times New Roman" w:hAnsi="Times New Roman"/>
                <w:sz w:val="24"/>
                <w:szCs w:val="24"/>
              </w:rPr>
              <w:t xml:space="preserve"> </w:t>
            </w:r>
            <w:r w:rsidRPr="00074E4B">
              <w:rPr>
                <w:rFonts w:ascii="Times New Roman" w:hAnsi="Times New Roman"/>
                <w:b/>
                <w:sz w:val="24"/>
                <w:szCs w:val="24"/>
              </w:rPr>
              <w:t xml:space="preserve">norādīts, ka FIU rīcības neatkarība un autonomija ir ne tikai tehniskās atbilstības, bet arī efektivitātes jautājums. </w:t>
            </w:r>
          </w:p>
          <w:p w:rsidR="00F66D8B" w:rsidRPr="00074E4B" w:rsidRDefault="00F66D8B" w:rsidP="00153D4C">
            <w:pPr>
              <w:spacing w:after="0" w:line="240" w:lineRule="auto"/>
              <w:jc w:val="both"/>
              <w:rPr>
                <w:rFonts w:ascii="Times New Roman" w:hAnsi="Times New Roman"/>
                <w:sz w:val="24"/>
                <w:szCs w:val="24"/>
              </w:rPr>
            </w:pPr>
          </w:p>
          <w:p w:rsidR="00F66D8B" w:rsidRPr="00074E4B" w:rsidRDefault="00F66D8B" w:rsidP="00153D4C">
            <w:pPr>
              <w:spacing w:after="0" w:line="240" w:lineRule="auto"/>
              <w:jc w:val="both"/>
              <w:rPr>
                <w:rFonts w:ascii="Times New Roman" w:hAnsi="Times New Roman"/>
                <w:sz w:val="24"/>
                <w:szCs w:val="24"/>
              </w:rPr>
            </w:pPr>
            <w:r w:rsidRPr="00074E4B">
              <w:rPr>
                <w:rFonts w:ascii="Times New Roman" w:hAnsi="Times New Roman"/>
                <w:sz w:val="24"/>
                <w:szCs w:val="24"/>
              </w:rPr>
              <w:t xml:space="preserve">FIU efektivitāti ietekmē sekojoši jautājumi: </w:t>
            </w:r>
          </w:p>
          <w:p w:rsidR="00F66D8B" w:rsidRPr="00074E4B" w:rsidRDefault="00F66D8B" w:rsidP="00F66D8B">
            <w:pPr>
              <w:pStyle w:val="ListParagraph"/>
              <w:numPr>
                <w:ilvl w:val="0"/>
                <w:numId w:val="2"/>
              </w:numPr>
              <w:spacing w:after="0" w:line="240" w:lineRule="auto"/>
              <w:ind w:left="318"/>
              <w:jc w:val="both"/>
              <w:rPr>
                <w:rFonts w:ascii="Times New Roman" w:hAnsi="Times New Roman"/>
                <w:sz w:val="24"/>
                <w:szCs w:val="24"/>
              </w:rPr>
            </w:pPr>
            <w:r w:rsidRPr="00074E4B">
              <w:rPr>
                <w:rFonts w:ascii="Times New Roman" w:hAnsi="Times New Roman"/>
                <w:sz w:val="24"/>
                <w:szCs w:val="24"/>
              </w:rPr>
              <w:t>FIU vadītāja iecelšana;</w:t>
            </w:r>
          </w:p>
          <w:p w:rsidR="00F66D8B" w:rsidRPr="00074E4B" w:rsidRDefault="00F66D8B" w:rsidP="00F66D8B">
            <w:pPr>
              <w:pStyle w:val="ListParagraph"/>
              <w:numPr>
                <w:ilvl w:val="0"/>
                <w:numId w:val="2"/>
              </w:numPr>
              <w:spacing w:after="0" w:line="240" w:lineRule="auto"/>
              <w:ind w:left="318"/>
              <w:jc w:val="both"/>
              <w:rPr>
                <w:rFonts w:ascii="Times New Roman" w:hAnsi="Times New Roman"/>
                <w:sz w:val="24"/>
                <w:szCs w:val="24"/>
              </w:rPr>
            </w:pPr>
            <w:r w:rsidRPr="00074E4B">
              <w:rPr>
                <w:rFonts w:ascii="Times New Roman" w:hAnsi="Times New Roman"/>
                <w:sz w:val="24"/>
                <w:szCs w:val="24"/>
              </w:rPr>
              <w:t>FIU atrašanās citas (lielas) organizācijas sastāvā;</w:t>
            </w:r>
          </w:p>
          <w:p w:rsidR="00F66D8B" w:rsidRPr="00074E4B" w:rsidRDefault="00F66D8B" w:rsidP="00F66D8B">
            <w:pPr>
              <w:pStyle w:val="ListParagraph"/>
              <w:numPr>
                <w:ilvl w:val="0"/>
                <w:numId w:val="2"/>
              </w:numPr>
              <w:spacing w:after="0" w:line="240" w:lineRule="auto"/>
              <w:ind w:left="318"/>
              <w:jc w:val="both"/>
              <w:rPr>
                <w:rFonts w:ascii="Times New Roman" w:hAnsi="Times New Roman"/>
                <w:sz w:val="24"/>
                <w:szCs w:val="24"/>
              </w:rPr>
            </w:pPr>
            <w:r w:rsidRPr="00074E4B">
              <w:rPr>
                <w:rFonts w:ascii="Times New Roman" w:hAnsi="Times New Roman"/>
                <w:sz w:val="24"/>
                <w:szCs w:val="24"/>
              </w:rPr>
              <w:t>Personāla atlases un pieņemšana darbā un uzdevumu deleģēšanas noteikumi;</w:t>
            </w:r>
          </w:p>
          <w:p w:rsidR="00F66D8B" w:rsidRPr="00074E4B" w:rsidRDefault="00F66D8B" w:rsidP="00F66D8B">
            <w:pPr>
              <w:pStyle w:val="ListParagraph"/>
              <w:numPr>
                <w:ilvl w:val="0"/>
                <w:numId w:val="2"/>
              </w:numPr>
              <w:spacing w:after="0" w:line="240" w:lineRule="auto"/>
              <w:ind w:left="318"/>
              <w:jc w:val="both"/>
              <w:rPr>
                <w:rFonts w:ascii="Times New Roman" w:hAnsi="Times New Roman"/>
                <w:sz w:val="24"/>
                <w:szCs w:val="24"/>
              </w:rPr>
            </w:pPr>
            <w:r w:rsidRPr="00074E4B">
              <w:rPr>
                <w:rFonts w:ascii="Times New Roman" w:hAnsi="Times New Roman"/>
                <w:sz w:val="24"/>
                <w:szCs w:val="24"/>
              </w:rPr>
              <w:t>Budžetā pieejamība un piešķiršana;</w:t>
            </w:r>
          </w:p>
          <w:p w:rsidR="00F66D8B" w:rsidRPr="00074E4B" w:rsidRDefault="00F66D8B" w:rsidP="00F66D8B">
            <w:pPr>
              <w:pStyle w:val="ListParagraph"/>
              <w:numPr>
                <w:ilvl w:val="0"/>
                <w:numId w:val="2"/>
              </w:numPr>
              <w:spacing w:after="0" w:line="240" w:lineRule="auto"/>
              <w:ind w:left="318"/>
              <w:jc w:val="both"/>
              <w:rPr>
                <w:rFonts w:ascii="Times New Roman" w:hAnsi="Times New Roman"/>
                <w:sz w:val="24"/>
                <w:szCs w:val="24"/>
              </w:rPr>
            </w:pPr>
            <w:r w:rsidRPr="00074E4B">
              <w:rPr>
                <w:rFonts w:ascii="Times New Roman" w:hAnsi="Times New Roman"/>
                <w:sz w:val="24"/>
                <w:szCs w:val="24"/>
              </w:rPr>
              <w:t>Administratīvās valdes vai komitejas esamība;</w:t>
            </w:r>
          </w:p>
          <w:p w:rsidR="00F66D8B" w:rsidRPr="00074E4B" w:rsidRDefault="00F66D8B" w:rsidP="00F66D8B">
            <w:pPr>
              <w:pStyle w:val="ListParagraph"/>
              <w:numPr>
                <w:ilvl w:val="0"/>
                <w:numId w:val="2"/>
              </w:numPr>
              <w:spacing w:after="0" w:line="240" w:lineRule="auto"/>
              <w:ind w:left="318"/>
              <w:jc w:val="both"/>
              <w:rPr>
                <w:rFonts w:ascii="Times New Roman" w:hAnsi="Times New Roman"/>
                <w:sz w:val="24"/>
                <w:szCs w:val="24"/>
              </w:rPr>
            </w:pPr>
            <w:r w:rsidRPr="00074E4B">
              <w:rPr>
                <w:rFonts w:ascii="Times New Roman" w:hAnsi="Times New Roman"/>
                <w:sz w:val="24"/>
                <w:szCs w:val="24"/>
              </w:rPr>
              <w:t>Lēmumu pieņemšanas kārtība;</w:t>
            </w:r>
          </w:p>
          <w:p w:rsidR="00F66D8B" w:rsidRPr="00074E4B" w:rsidRDefault="00F66D8B" w:rsidP="00F66D8B">
            <w:pPr>
              <w:pStyle w:val="ListParagraph"/>
              <w:numPr>
                <w:ilvl w:val="0"/>
                <w:numId w:val="2"/>
              </w:numPr>
              <w:spacing w:after="0" w:line="240" w:lineRule="auto"/>
              <w:ind w:left="318"/>
              <w:jc w:val="both"/>
              <w:rPr>
                <w:rFonts w:ascii="Times New Roman" w:hAnsi="Times New Roman"/>
                <w:sz w:val="24"/>
                <w:szCs w:val="24"/>
              </w:rPr>
            </w:pPr>
            <w:r w:rsidRPr="00074E4B">
              <w:rPr>
                <w:rFonts w:ascii="Times New Roman" w:hAnsi="Times New Roman"/>
                <w:sz w:val="24"/>
                <w:szCs w:val="24"/>
              </w:rPr>
              <w:t>Informācijas apmaiņa ar ārzemju partneriem.</w:t>
            </w:r>
          </w:p>
          <w:p w:rsidR="00F66D8B" w:rsidRPr="00074E4B" w:rsidRDefault="00F66D8B" w:rsidP="00153D4C">
            <w:pPr>
              <w:spacing w:after="0" w:line="240" w:lineRule="auto"/>
              <w:jc w:val="both"/>
              <w:rPr>
                <w:rFonts w:ascii="Times New Roman" w:hAnsi="Times New Roman"/>
                <w:sz w:val="24"/>
                <w:szCs w:val="24"/>
              </w:rPr>
            </w:pPr>
          </w:p>
          <w:p w:rsidR="00F66D8B" w:rsidRPr="00074E4B" w:rsidRDefault="00F66D8B" w:rsidP="00153D4C">
            <w:pPr>
              <w:spacing w:after="0" w:line="240" w:lineRule="auto"/>
              <w:jc w:val="both"/>
              <w:rPr>
                <w:rFonts w:ascii="Times New Roman" w:hAnsi="Times New Roman"/>
                <w:sz w:val="24"/>
                <w:szCs w:val="24"/>
              </w:rPr>
            </w:pPr>
            <w:r w:rsidRPr="00074E4B">
              <w:rPr>
                <w:rFonts w:ascii="Times New Roman" w:hAnsi="Times New Roman"/>
                <w:sz w:val="24"/>
                <w:szCs w:val="24"/>
              </w:rPr>
              <w:t xml:space="preserve">Ziņojuma projektā norādīts, ka bažas varētu rasties par gadījumiem, kad: </w:t>
            </w:r>
          </w:p>
          <w:p w:rsidR="00F66D8B" w:rsidRPr="00074E4B" w:rsidRDefault="00F66D8B" w:rsidP="00F66D8B">
            <w:pPr>
              <w:pStyle w:val="ListParagraph"/>
              <w:numPr>
                <w:ilvl w:val="0"/>
                <w:numId w:val="3"/>
              </w:numPr>
              <w:spacing w:after="0" w:line="240" w:lineRule="auto"/>
              <w:ind w:left="459"/>
              <w:jc w:val="both"/>
              <w:rPr>
                <w:rFonts w:ascii="Times New Roman" w:hAnsi="Times New Roman"/>
                <w:sz w:val="24"/>
                <w:szCs w:val="24"/>
              </w:rPr>
            </w:pPr>
            <w:r w:rsidRPr="00074E4B">
              <w:rPr>
                <w:rFonts w:ascii="Times New Roman" w:hAnsi="Times New Roman"/>
                <w:sz w:val="24"/>
                <w:szCs w:val="24"/>
              </w:rPr>
              <w:t>Darbinieku pieņemšanai, atlaišanas vai aizvietošanai ir nepieciešams citas organizācijas apstiprinājums;</w:t>
            </w:r>
          </w:p>
          <w:p w:rsidR="00F66D8B" w:rsidRPr="00074E4B" w:rsidRDefault="00F66D8B" w:rsidP="00F66D8B">
            <w:pPr>
              <w:pStyle w:val="ListParagraph"/>
              <w:numPr>
                <w:ilvl w:val="0"/>
                <w:numId w:val="3"/>
              </w:numPr>
              <w:spacing w:after="0" w:line="240" w:lineRule="auto"/>
              <w:ind w:left="459"/>
              <w:jc w:val="both"/>
              <w:rPr>
                <w:rFonts w:ascii="Times New Roman" w:hAnsi="Times New Roman"/>
                <w:sz w:val="24"/>
                <w:szCs w:val="24"/>
              </w:rPr>
            </w:pPr>
            <w:r w:rsidRPr="00074E4B">
              <w:rPr>
                <w:rFonts w:ascii="Times New Roman" w:hAnsi="Times New Roman"/>
                <w:sz w:val="24"/>
                <w:szCs w:val="24"/>
              </w:rPr>
              <w:t>Darbiniekiem ir jāveic darba pienākumi, kas nav saistīti FIU pamatfunkcijām;</w:t>
            </w:r>
          </w:p>
          <w:p w:rsidR="00F66D8B" w:rsidRPr="00074E4B" w:rsidRDefault="00F66D8B" w:rsidP="00F66D8B">
            <w:pPr>
              <w:pStyle w:val="ListParagraph"/>
              <w:numPr>
                <w:ilvl w:val="0"/>
                <w:numId w:val="3"/>
              </w:numPr>
              <w:spacing w:after="0" w:line="240" w:lineRule="auto"/>
              <w:ind w:left="459"/>
              <w:jc w:val="both"/>
              <w:rPr>
                <w:rFonts w:ascii="Times New Roman" w:hAnsi="Times New Roman"/>
                <w:sz w:val="24"/>
                <w:szCs w:val="24"/>
              </w:rPr>
            </w:pPr>
            <w:r w:rsidRPr="00074E4B">
              <w:rPr>
                <w:rFonts w:ascii="Times New Roman" w:hAnsi="Times New Roman"/>
                <w:sz w:val="24"/>
                <w:szCs w:val="24"/>
              </w:rPr>
              <w:t>FIU nav sava budžeta, bet tas ir iekļauts lielākas organizācijas budžetā;</w:t>
            </w:r>
          </w:p>
          <w:p w:rsidR="00F66D8B" w:rsidRPr="00074E4B" w:rsidRDefault="00F66D8B" w:rsidP="00F66D8B">
            <w:pPr>
              <w:pStyle w:val="ListParagraph"/>
              <w:numPr>
                <w:ilvl w:val="0"/>
                <w:numId w:val="3"/>
              </w:numPr>
              <w:spacing w:after="0" w:line="240" w:lineRule="auto"/>
              <w:ind w:left="459"/>
              <w:jc w:val="both"/>
              <w:rPr>
                <w:rFonts w:ascii="Times New Roman" w:hAnsi="Times New Roman"/>
                <w:sz w:val="24"/>
                <w:szCs w:val="24"/>
              </w:rPr>
            </w:pPr>
            <w:r w:rsidRPr="00074E4B">
              <w:rPr>
                <w:rFonts w:ascii="Times New Roman" w:hAnsi="Times New Roman"/>
                <w:sz w:val="24"/>
                <w:szCs w:val="24"/>
              </w:rPr>
              <w:t>FIU nav pilnvaru piešķirt budžetu, piemēram, FIU ir nepieciešams iepriekšējs apstiprinājums, lai uzlabotu savu infrastruktūru vai pieņemtu jaunus darbiniekus;</w:t>
            </w:r>
          </w:p>
          <w:p w:rsidR="00F66D8B" w:rsidRPr="00074E4B" w:rsidRDefault="00F66D8B" w:rsidP="00F66D8B">
            <w:pPr>
              <w:pStyle w:val="ListParagraph"/>
              <w:numPr>
                <w:ilvl w:val="0"/>
                <w:numId w:val="3"/>
              </w:numPr>
              <w:spacing w:after="0" w:line="240" w:lineRule="auto"/>
              <w:ind w:left="459"/>
              <w:jc w:val="both"/>
              <w:rPr>
                <w:rFonts w:ascii="Times New Roman" w:hAnsi="Times New Roman"/>
                <w:sz w:val="24"/>
                <w:szCs w:val="24"/>
              </w:rPr>
            </w:pPr>
            <w:r w:rsidRPr="00074E4B">
              <w:rPr>
                <w:rFonts w:ascii="Times New Roman" w:hAnsi="Times New Roman"/>
                <w:sz w:val="24"/>
                <w:szCs w:val="24"/>
              </w:rPr>
              <w:t>FIU nesaņem vajadzīgos resursus, lai pildītu savas pilnvaras un funkcijas.</w:t>
            </w:r>
          </w:p>
          <w:p w:rsidR="00F66D8B" w:rsidRPr="00074E4B" w:rsidRDefault="00F66D8B" w:rsidP="00153D4C">
            <w:pPr>
              <w:spacing w:after="0" w:line="240" w:lineRule="auto"/>
              <w:jc w:val="both"/>
              <w:rPr>
                <w:rFonts w:ascii="Times New Roman" w:hAnsi="Times New Roman"/>
                <w:b/>
                <w:sz w:val="24"/>
                <w:szCs w:val="24"/>
              </w:rPr>
            </w:pPr>
          </w:p>
          <w:p w:rsidR="00F66D8B" w:rsidRPr="00074E4B" w:rsidRDefault="00F66D8B" w:rsidP="00153D4C">
            <w:pPr>
              <w:spacing w:after="0" w:line="240" w:lineRule="auto"/>
              <w:jc w:val="both"/>
              <w:rPr>
                <w:rFonts w:ascii="Times New Roman" w:hAnsi="Times New Roman"/>
                <w:b/>
                <w:sz w:val="24"/>
                <w:szCs w:val="24"/>
              </w:rPr>
            </w:pPr>
            <w:r w:rsidRPr="00074E4B">
              <w:rPr>
                <w:rFonts w:ascii="Times New Roman" w:hAnsi="Times New Roman"/>
                <w:b/>
                <w:sz w:val="24"/>
                <w:szCs w:val="24"/>
              </w:rPr>
              <w:t xml:space="preserve">Augstāk minētā </w:t>
            </w:r>
            <w:proofErr w:type="spellStart"/>
            <w:r w:rsidRPr="00074E4B">
              <w:rPr>
                <w:rFonts w:ascii="Times New Roman" w:hAnsi="Times New Roman"/>
                <w:b/>
                <w:sz w:val="24"/>
                <w:szCs w:val="24"/>
              </w:rPr>
              <w:t>izvērtējuma</w:t>
            </w:r>
            <w:proofErr w:type="spellEnd"/>
            <w:r w:rsidRPr="00074E4B">
              <w:rPr>
                <w:rFonts w:ascii="Times New Roman" w:hAnsi="Times New Roman"/>
                <w:b/>
                <w:sz w:val="24"/>
                <w:szCs w:val="24"/>
              </w:rPr>
              <w:t xml:space="preserve"> rezultātā secināms, ka lēmums veikt Kontroles dienesta pārraudzības modeļa reformu ir pamatots un KD efektivitāti un tai doto pamatuzdevumu izpildes kvalitāti paaugstinās KD reorganizēšana par administratīvā tipa finanšu izlūkošanas iestādi, kas atrodas Ministru kabineta pārraudzībā. </w:t>
            </w:r>
          </w:p>
          <w:p w:rsidR="00F66D8B" w:rsidRPr="00074E4B" w:rsidRDefault="00F66D8B" w:rsidP="00153D4C">
            <w:pPr>
              <w:spacing w:after="0" w:line="240" w:lineRule="auto"/>
              <w:jc w:val="both"/>
              <w:rPr>
                <w:rFonts w:ascii="Times New Roman" w:hAnsi="Times New Roman"/>
                <w:sz w:val="24"/>
                <w:szCs w:val="24"/>
              </w:rPr>
            </w:pPr>
          </w:p>
          <w:p w:rsidR="00F66D8B" w:rsidRPr="00074E4B" w:rsidRDefault="00F66D8B" w:rsidP="00153D4C">
            <w:pPr>
              <w:spacing w:after="0" w:line="240" w:lineRule="auto"/>
              <w:jc w:val="both"/>
              <w:rPr>
                <w:rFonts w:ascii="Times New Roman" w:hAnsi="Times New Roman"/>
                <w:sz w:val="24"/>
                <w:szCs w:val="24"/>
              </w:rPr>
            </w:pPr>
            <w:r w:rsidRPr="00074E4B">
              <w:rPr>
                <w:rFonts w:ascii="Times New Roman" w:hAnsi="Times New Roman"/>
                <w:sz w:val="24"/>
                <w:szCs w:val="24"/>
              </w:rPr>
              <w:t xml:space="preserve">Ņemot vērā, ka Kontroles dienests bija vienīgā valsts iestāde, kura atradās kopš tā izveidošanas 1998.gadā Ģenerālprokuratūras pārraudzībā, likumprojekts </w:t>
            </w:r>
            <w:r w:rsidRPr="00074E4B">
              <w:rPr>
                <w:rFonts w:ascii="Times New Roman" w:hAnsi="Times New Roman"/>
                <w:b/>
                <w:sz w:val="24"/>
                <w:szCs w:val="24"/>
              </w:rPr>
              <w:t>“Grozījumi Prokuratūras likumā”</w:t>
            </w:r>
            <w:r w:rsidRPr="00074E4B">
              <w:rPr>
                <w:rFonts w:ascii="Times New Roman" w:hAnsi="Times New Roman"/>
                <w:sz w:val="24"/>
                <w:szCs w:val="24"/>
              </w:rPr>
              <w:t xml:space="preserve"> paredz precizēt tās Prokuratūras likuma normas, kurās iekļauta atsauce uz valsts iestādēm, t.sk.: </w:t>
            </w:r>
          </w:p>
          <w:p w:rsidR="00F66D8B" w:rsidRPr="00074E4B" w:rsidRDefault="00F66D8B" w:rsidP="00F66D8B">
            <w:pPr>
              <w:numPr>
                <w:ilvl w:val="0"/>
                <w:numId w:val="5"/>
              </w:numPr>
              <w:spacing w:after="0" w:line="240" w:lineRule="auto"/>
              <w:jc w:val="both"/>
              <w:rPr>
                <w:rFonts w:ascii="Times New Roman" w:hAnsi="Times New Roman"/>
                <w:sz w:val="24"/>
                <w:szCs w:val="24"/>
              </w:rPr>
            </w:pPr>
            <w:r w:rsidRPr="00074E4B">
              <w:rPr>
                <w:rFonts w:ascii="Times New Roman" w:hAnsi="Times New Roman"/>
                <w:sz w:val="24"/>
                <w:szCs w:val="24"/>
              </w:rPr>
              <w:t>prokuratūras pārraudzībā esošās iestādes (svītrota Prokuratūras likuma 4.panta trešā daļa, 23.panta trešās daļas 9.punkts);</w:t>
            </w:r>
          </w:p>
          <w:p w:rsidR="00F66D8B" w:rsidRPr="00074E4B" w:rsidRDefault="00F66D8B" w:rsidP="00F66D8B">
            <w:pPr>
              <w:numPr>
                <w:ilvl w:val="0"/>
                <w:numId w:val="5"/>
              </w:numPr>
              <w:spacing w:after="0" w:line="240" w:lineRule="auto"/>
              <w:jc w:val="both"/>
              <w:rPr>
                <w:rFonts w:ascii="Times New Roman" w:hAnsi="Times New Roman"/>
                <w:sz w:val="24"/>
                <w:szCs w:val="24"/>
              </w:rPr>
            </w:pPr>
            <w:r w:rsidRPr="00074E4B">
              <w:rPr>
                <w:rFonts w:ascii="Times New Roman" w:hAnsi="Times New Roman"/>
                <w:sz w:val="24"/>
                <w:szCs w:val="24"/>
              </w:rPr>
              <w:t>no Ģenerālprokurora padomes sastāva svītroti prokuratūras pārraudzībā esošo valsts iestāžu vadītāji (faktiski – tikai viens, Kontroles dienesta priekšnieks; skat. Prokuratūras likuma 29.panta pirmo daļu un minētā panta trešās daļas 1.punktu);</w:t>
            </w:r>
          </w:p>
          <w:p w:rsidR="00F66D8B" w:rsidRPr="00074E4B" w:rsidRDefault="00F66D8B" w:rsidP="00F66D8B">
            <w:pPr>
              <w:numPr>
                <w:ilvl w:val="0"/>
                <w:numId w:val="5"/>
              </w:numPr>
              <w:spacing w:after="0" w:line="240" w:lineRule="auto"/>
              <w:jc w:val="both"/>
              <w:rPr>
                <w:rFonts w:ascii="Times New Roman" w:hAnsi="Times New Roman"/>
                <w:sz w:val="24"/>
                <w:szCs w:val="24"/>
              </w:rPr>
            </w:pPr>
            <w:r w:rsidRPr="00074E4B">
              <w:rPr>
                <w:rFonts w:ascii="Times New Roman" w:hAnsi="Times New Roman"/>
                <w:sz w:val="24"/>
                <w:szCs w:val="24"/>
              </w:rPr>
              <w:t xml:space="preserve">izslēgta “Piektā A nodaļa”, kura saturēja regulējumu par prokuratūras pārraudzībā esošajām valsts iestādēm; </w:t>
            </w:r>
          </w:p>
          <w:p w:rsidR="00F66D8B" w:rsidRPr="00074E4B" w:rsidRDefault="00F66D8B" w:rsidP="00F66D8B">
            <w:pPr>
              <w:numPr>
                <w:ilvl w:val="0"/>
                <w:numId w:val="5"/>
              </w:numPr>
              <w:spacing w:after="0" w:line="240" w:lineRule="auto"/>
              <w:jc w:val="both"/>
              <w:rPr>
                <w:rFonts w:ascii="Times New Roman" w:hAnsi="Times New Roman"/>
                <w:sz w:val="24"/>
                <w:szCs w:val="24"/>
              </w:rPr>
            </w:pPr>
            <w:r w:rsidRPr="00074E4B">
              <w:rPr>
                <w:rFonts w:ascii="Times New Roman" w:hAnsi="Times New Roman"/>
                <w:sz w:val="24"/>
                <w:szCs w:val="24"/>
              </w:rPr>
              <w:t xml:space="preserve">precizēt prokuratūras finansēšanas kārtība, izslēdzot norādi par valsts iestādēm (precizēts </w:t>
            </w:r>
            <w:proofErr w:type="spellStart"/>
            <w:r w:rsidRPr="00074E4B">
              <w:rPr>
                <w:rFonts w:ascii="Times New Roman" w:hAnsi="Times New Roman"/>
                <w:sz w:val="24"/>
                <w:szCs w:val="24"/>
              </w:rPr>
              <w:t>Prokutatūras</w:t>
            </w:r>
            <w:proofErr w:type="spellEnd"/>
            <w:r w:rsidRPr="00074E4B">
              <w:rPr>
                <w:rFonts w:ascii="Times New Roman" w:hAnsi="Times New Roman"/>
                <w:sz w:val="24"/>
                <w:szCs w:val="24"/>
              </w:rPr>
              <w:t xml:space="preserve"> likuma 50.pants). </w:t>
            </w:r>
          </w:p>
          <w:p w:rsidR="00F66D8B" w:rsidRPr="00B14387" w:rsidRDefault="00B14387" w:rsidP="00153D4C">
            <w:pPr>
              <w:spacing w:after="0" w:line="240" w:lineRule="auto"/>
              <w:jc w:val="both"/>
              <w:rPr>
                <w:rFonts w:ascii="Times New Roman" w:hAnsi="Times New Roman"/>
                <w:sz w:val="24"/>
                <w:szCs w:val="24"/>
              </w:rPr>
            </w:pPr>
            <w:r w:rsidRPr="00B14387">
              <w:rPr>
                <w:rFonts w:ascii="Times New Roman" w:hAnsi="Times New Roman"/>
                <w:sz w:val="24"/>
                <w:szCs w:val="24"/>
              </w:rPr>
              <w:t xml:space="preserve">Saistībā ar pārraudzības </w:t>
            </w:r>
            <w:r>
              <w:rPr>
                <w:rFonts w:ascii="Times New Roman" w:hAnsi="Times New Roman"/>
                <w:sz w:val="24"/>
                <w:szCs w:val="24"/>
              </w:rPr>
              <w:t>modeļa maiņu nodrošinot Kontroles dienesta finansiālās un saimnieciskās darbības nepārtrauktību, likumprojektā ir ietverts pārejas periods – saistībā ar grozījumiem 46.panta otrajā daļā prokuratūras Administratīvā direktora dienests turpina nodrošināt kontroles dienesta finansiālo un saimniecisko darbību līdz pilnīgai tās pārņemšanai, bet ne ilgāk kā līdz 2019.gada 30.jūnijam.</w:t>
            </w:r>
          </w:p>
          <w:p w:rsidR="00B14387" w:rsidRDefault="00B14387" w:rsidP="00153D4C">
            <w:pPr>
              <w:spacing w:after="0" w:line="240" w:lineRule="auto"/>
              <w:jc w:val="both"/>
              <w:rPr>
                <w:rFonts w:ascii="Times New Roman" w:hAnsi="Times New Roman"/>
                <w:sz w:val="24"/>
                <w:szCs w:val="24"/>
              </w:rPr>
            </w:pPr>
          </w:p>
          <w:p w:rsidR="00F66D8B" w:rsidRPr="00074E4B" w:rsidRDefault="00F66D8B" w:rsidP="00153D4C">
            <w:pPr>
              <w:spacing w:after="0" w:line="240" w:lineRule="auto"/>
              <w:jc w:val="both"/>
              <w:rPr>
                <w:rFonts w:ascii="Times New Roman" w:hAnsi="Times New Roman"/>
                <w:sz w:val="24"/>
                <w:szCs w:val="24"/>
              </w:rPr>
            </w:pPr>
            <w:r w:rsidRPr="00074E4B">
              <w:rPr>
                <w:rFonts w:ascii="Times New Roman" w:hAnsi="Times New Roman"/>
                <w:sz w:val="24"/>
                <w:szCs w:val="24"/>
              </w:rPr>
              <w:t>Abiem likumprojektiem paredzēta vienlaicīga spēkā stāšanās</w:t>
            </w:r>
            <w:r w:rsidR="008170B7">
              <w:rPr>
                <w:rFonts w:ascii="Times New Roman" w:hAnsi="Times New Roman"/>
                <w:sz w:val="24"/>
                <w:szCs w:val="24"/>
              </w:rPr>
              <w:t xml:space="preserve"> diena - </w:t>
            </w:r>
            <w:bookmarkStart w:id="0" w:name="_GoBack"/>
            <w:bookmarkEnd w:id="0"/>
            <w:r w:rsidRPr="00074E4B">
              <w:rPr>
                <w:rFonts w:ascii="Times New Roman" w:hAnsi="Times New Roman"/>
                <w:sz w:val="24"/>
                <w:szCs w:val="24"/>
              </w:rPr>
              <w:t xml:space="preserve"> 2019.gada 1.janvārī. </w:t>
            </w:r>
          </w:p>
          <w:p w:rsidR="00F66D8B" w:rsidRPr="00074E4B" w:rsidRDefault="00F66D8B" w:rsidP="00153D4C">
            <w:pPr>
              <w:spacing w:after="0" w:line="240" w:lineRule="auto"/>
              <w:jc w:val="both"/>
              <w:rPr>
                <w:rFonts w:ascii="Times New Roman" w:hAnsi="Times New Roman"/>
                <w:sz w:val="24"/>
                <w:szCs w:val="24"/>
              </w:rPr>
            </w:pPr>
          </w:p>
        </w:tc>
      </w:tr>
      <w:tr w:rsidR="00F66D8B" w:rsidRPr="00074E4B" w:rsidTr="00153D4C">
        <w:tc>
          <w:tcPr>
            <w:tcW w:w="515" w:type="dxa"/>
            <w:tcBorders>
              <w:bottom w:val="single" w:sz="4" w:space="0" w:color="auto"/>
            </w:tcBorders>
          </w:tcPr>
          <w:p w:rsidR="00F66D8B" w:rsidRPr="00074E4B" w:rsidRDefault="00F66D8B" w:rsidP="00153D4C">
            <w:pPr>
              <w:spacing w:after="0" w:line="240" w:lineRule="auto"/>
              <w:rPr>
                <w:rFonts w:ascii="Times New Roman" w:hAnsi="Times New Roman"/>
                <w:sz w:val="24"/>
                <w:szCs w:val="24"/>
              </w:rPr>
            </w:pPr>
            <w:r w:rsidRPr="00074E4B">
              <w:rPr>
                <w:rFonts w:ascii="Times New Roman" w:hAnsi="Times New Roman"/>
                <w:sz w:val="24"/>
                <w:szCs w:val="24"/>
              </w:rPr>
              <w:lastRenderedPageBreak/>
              <w:t>3.</w:t>
            </w:r>
          </w:p>
        </w:tc>
        <w:tc>
          <w:tcPr>
            <w:tcW w:w="2310" w:type="dxa"/>
            <w:tcBorders>
              <w:bottom w:val="single" w:sz="4" w:space="0" w:color="auto"/>
            </w:tcBorders>
          </w:tcPr>
          <w:p w:rsidR="00F66D8B" w:rsidRPr="00074E4B" w:rsidRDefault="00F66D8B" w:rsidP="00153D4C">
            <w:pPr>
              <w:spacing w:after="0" w:line="240" w:lineRule="auto"/>
              <w:rPr>
                <w:rFonts w:ascii="Times New Roman" w:hAnsi="Times New Roman"/>
                <w:sz w:val="24"/>
                <w:szCs w:val="24"/>
              </w:rPr>
            </w:pPr>
            <w:r w:rsidRPr="00074E4B">
              <w:rPr>
                <w:rFonts w:ascii="Times New Roman" w:hAnsi="Times New Roman"/>
                <w:sz w:val="24"/>
                <w:szCs w:val="24"/>
              </w:rPr>
              <w:t>Projekta izstrādē iesaistītās institūcijas un publiskas personas kapitālsabiedrības</w:t>
            </w:r>
          </w:p>
        </w:tc>
        <w:tc>
          <w:tcPr>
            <w:tcW w:w="6649" w:type="dxa"/>
            <w:gridSpan w:val="2"/>
            <w:tcBorders>
              <w:bottom w:val="single" w:sz="4" w:space="0" w:color="auto"/>
            </w:tcBorders>
          </w:tcPr>
          <w:p w:rsidR="00F66D8B" w:rsidRPr="00074E4B" w:rsidRDefault="00F66D8B" w:rsidP="00153D4C">
            <w:pPr>
              <w:autoSpaceDE w:val="0"/>
              <w:autoSpaceDN w:val="0"/>
              <w:adjustRightInd w:val="0"/>
              <w:spacing w:after="0" w:line="240" w:lineRule="auto"/>
              <w:jc w:val="both"/>
              <w:rPr>
                <w:rFonts w:ascii="Times New Roman" w:hAnsi="Times New Roman"/>
                <w:sz w:val="24"/>
                <w:szCs w:val="24"/>
              </w:rPr>
            </w:pPr>
            <w:r w:rsidRPr="00074E4B">
              <w:rPr>
                <w:rFonts w:ascii="Times New Roman" w:hAnsi="Times New Roman"/>
                <w:sz w:val="24"/>
                <w:szCs w:val="24"/>
              </w:rPr>
              <w:t xml:space="preserve">Projekta izstrādē iesaistīta darba grupas, kuras sastāvā bija Kontroles dienesta, </w:t>
            </w:r>
            <w:proofErr w:type="spellStart"/>
            <w:r w:rsidRPr="00074E4B">
              <w:rPr>
                <w:rFonts w:ascii="Times New Roman" w:hAnsi="Times New Roman"/>
                <w:sz w:val="24"/>
                <w:szCs w:val="24"/>
              </w:rPr>
              <w:t>Iekšlietu</w:t>
            </w:r>
            <w:proofErr w:type="spellEnd"/>
            <w:r w:rsidRPr="00074E4B">
              <w:rPr>
                <w:rFonts w:ascii="Times New Roman" w:hAnsi="Times New Roman"/>
                <w:sz w:val="24"/>
                <w:szCs w:val="24"/>
              </w:rPr>
              <w:t xml:space="preserve"> ministrijas, Finanšu ministrijas, Latvijas Republikas Ģenerālprokuratūras, Tieslietu ministrijas, Finanšu un kapitāla tirgus komisijas, Valsts policijas un Valsts kancelejas pārstāvji.</w:t>
            </w:r>
          </w:p>
        </w:tc>
      </w:tr>
      <w:tr w:rsidR="00F66D8B" w:rsidRPr="00074E4B" w:rsidTr="00153D4C">
        <w:tc>
          <w:tcPr>
            <w:tcW w:w="515" w:type="dxa"/>
            <w:tcBorders>
              <w:bottom w:val="single" w:sz="4" w:space="0" w:color="auto"/>
            </w:tcBorders>
          </w:tcPr>
          <w:p w:rsidR="00F66D8B" w:rsidRPr="00074E4B" w:rsidRDefault="00F66D8B" w:rsidP="00153D4C">
            <w:pPr>
              <w:spacing w:after="0" w:line="240" w:lineRule="auto"/>
              <w:rPr>
                <w:rFonts w:ascii="Times New Roman" w:hAnsi="Times New Roman"/>
                <w:sz w:val="24"/>
                <w:szCs w:val="24"/>
              </w:rPr>
            </w:pPr>
            <w:r w:rsidRPr="00074E4B">
              <w:rPr>
                <w:rFonts w:ascii="Times New Roman" w:hAnsi="Times New Roman"/>
                <w:sz w:val="24"/>
                <w:szCs w:val="24"/>
              </w:rPr>
              <w:t>4.</w:t>
            </w:r>
          </w:p>
        </w:tc>
        <w:tc>
          <w:tcPr>
            <w:tcW w:w="2310" w:type="dxa"/>
            <w:tcBorders>
              <w:bottom w:val="single" w:sz="4" w:space="0" w:color="auto"/>
            </w:tcBorders>
          </w:tcPr>
          <w:p w:rsidR="00F66D8B" w:rsidRPr="00074E4B" w:rsidRDefault="00F66D8B" w:rsidP="00153D4C">
            <w:pPr>
              <w:spacing w:after="0" w:line="240" w:lineRule="auto"/>
              <w:rPr>
                <w:rFonts w:ascii="Times New Roman" w:hAnsi="Times New Roman"/>
                <w:sz w:val="24"/>
                <w:szCs w:val="24"/>
              </w:rPr>
            </w:pPr>
            <w:r w:rsidRPr="00074E4B">
              <w:rPr>
                <w:rFonts w:ascii="Times New Roman" w:hAnsi="Times New Roman"/>
                <w:sz w:val="24"/>
                <w:szCs w:val="24"/>
              </w:rPr>
              <w:t xml:space="preserve">Cita informācija </w:t>
            </w:r>
          </w:p>
        </w:tc>
        <w:tc>
          <w:tcPr>
            <w:tcW w:w="6649" w:type="dxa"/>
            <w:gridSpan w:val="2"/>
            <w:tcBorders>
              <w:bottom w:val="single" w:sz="4" w:space="0" w:color="auto"/>
            </w:tcBorders>
          </w:tcPr>
          <w:p w:rsidR="00F66D8B" w:rsidRPr="00074E4B" w:rsidRDefault="00F66D8B" w:rsidP="00153D4C">
            <w:pPr>
              <w:spacing w:after="0" w:line="240" w:lineRule="auto"/>
              <w:jc w:val="both"/>
              <w:rPr>
                <w:rFonts w:ascii="Times New Roman" w:hAnsi="Times New Roman"/>
                <w:sz w:val="24"/>
                <w:szCs w:val="24"/>
              </w:rPr>
            </w:pPr>
            <w:r w:rsidRPr="00074E4B">
              <w:rPr>
                <w:rFonts w:ascii="Times New Roman" w:hAnsi="Times New Roman"/>
                <w:sz w:val="24"/>
                <w:szCs w:val="24"/>
              </w:rPr>
              <w:t>Nav</w:t>
            </w:r>
          </w:p>
        </w:tc>
      </w:tr>
      <w:tr w:rsidR="00F66D8B" w:rsidRPr="00074E4B" w:rsidTr="00153D4C">
        <w:tc>
          <w:tcPr>
            <w:tcW w:w="515" w:type="dxa"/>
            <w:tcBorders>
              <w:top w:val="single" w:sz="4" w:space="0" w:color="auto"/>
              <w:left w:val="nil"/>
              <w:bottom w:val="single" w:sz="4" w:space="0" w:color="auto"/>
              <w:right w:val="nil"/>
            </w:tcBorders>
          </w:tcPr>
          <w:p w:rsidR="00F66D8B" w:rsidRPr="00074E4B" w:rsidRDefault="00F66D8B" w:rsidP="00153D4C">
            <w:pPr>
              <w:spacing w:after="0" w:line="240" w:lineRule="auto"/>
              <w:rPr>
                <w:rFonts w:ascii="Times New Roman" w:hAnsi="Times New Roman"/>
                <w:sz w:val="24"/>
                <w:szCs w:val="24"/>
              </w:rPr>
            </w:pPr>
          </w:p>
        </w:tc>
        <w:tc>
          <w:tcPr>
            <w:tcW w:w="2310" w:type="dxa"/>
            <w:tcBorders>
              <w:top w:val="single" w:sz="4" w:space="0" w:color="auto"/>
              <w:left w:val="nil"/>
              <w:bottom w:val="single" w:sz="4" w:space="0" w:color="auto"/>
              <w:right w:val="nil"/>
            </w:tcBorders>
          </w:tcPr>
          <w:p w:rsidR="00F66D8B" w:rsidRPr="00074E4B" w:rsidRDefault="00F66D8B" w:rsidP="00153D4C">
            <w:pPr>
              <w:spacing w:after="0" w:line="240" w:lineRule="auto"/>
              <w:rPr>
                <w:rFonts w:ascii="Times New Roman" w:hAnsi="Times New Roman"/>
                <w:sz w:val="24"/>
                <w:szCs w:val="24"/>
              </w:rPr>
            </w:pPr>
          </w:p>
        </w:tc>
        <w:tc>
          <w:tcPr>
            <w:tcW w:w="6649" w:type="dxa"/>
            <w:gridSpan w:val="2"/>
            <w:tcBorders>
              <w:top w:val="single" w:sz="4" w:space="0" w:color="auto"/>
              <w:left w:val="nil"/>
              <w:bottom w:val="single" w:sz="4" w:space="0" w:color="auto"/>
              <w:right w:val="nil"/>
            </w:tcBorders>
          </w:tcPr>
          <w:p w:rsidR="00F66D8B" w:rsidRPr="00074E4B" w:rsidRDefault="00F66D8B" w:rsidP="00153D4C">
            <w:pPr>
              <w:spacing w:after="0" w:line="240" w:lineRule="auto"/>
              <w:jc w:val="both"/>
              <w:rPr>
                <w:rFonts w:ascii="Times New Roman" w:hAnsi="Times New Roman"/>
                <w:sz w:val="24"/>
                <w:szCs w:val="24"/>
              </w:rPr>
            </w:pPr>
          </w:p>
          <w:p w:rsidR="00F66D8B" w:rsidRPr="00074E4B" w:rsidRDefault="00F66D8B" w:rsidP="00153D4C">
            <w:pPr>
              <w:spacing w:after="0" w:line="240" w:lineRule="auto"/>
              <w:jc w:val="both"/>
              <w:rPr>
                <w:rFonts w:ascii="Times New Roman" w:hAnsi="Times New Roman"/>
                <w:sz w:val="24"/>
                <w:szCs w:val="24"/>
              </w:rPr>
            </w:pPr>
          </w:p>
        </w:tc>
      </w:tr>
      <w:tr w:rsidR="00F66D8B" w:rsidRPr="00074E4B" w:rsidTr="00153D4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746"/>
          <w:tblCellSpacing w:w="15" w:type="dxa"/>
        </w:trPr>
        <w:tc>
          <w:tcPr>
            <w:tcW w:w="9474" w:type="dxa"/>
            <w:gridSpan w:val="4"/>
            <w:tcBorders>
              <w:top w:val="outset" w:sz="6" w:space="0" w:color="auto"/>
              <w:left w:val="outset" w:sz="6" w:space="0" w:color="auto"/>
              <w:bottom w:val="outset" w:sz="6" w:space="0" w:color="auto"/>
              <w:right w:val="outset" w:sz="6" w:space="0" w:color="auto"/>
            </w:tcBorders>
            <w:vAlign w:val="center"/>
          </w:tcPr>
          <w:p w:rsidR="00F66D8B" w:rsidRPr="00074E4B" w:rsidRDefault="00F66D8B" w:rsidP="00153D4C">
            <w:pPr>
              <w:spacing w:after="0" w:line="240" w:lineRule="auto"/>
              <w:jc w:val="center"/>
              <w:rPr>
                <w:rFonts w:ascii="Times New Roman" w:eastAsia="Times New Roman" w:hAnsi="Times New Roman"/>
                <w:b/>
                <w:bCs/>
                <w:sz w:val="24"/>
                <w:szCs w:val="24"/>
                <w:lang w:eastAsia="lv-LV"/>
              </w:rPr>
            </w:pPr>
            <w:r w:rsidRPr="00074E4B">
              <w:rPr>
                <w:rFonts w:ascii="Times New Roman" w:eastAsia="Times New Roman" w:hAnsi="Times New Roman"/>
                <w:b/>
                <w:bCs/>
                <w:sz w:val="24"/>
                <w:szCs w:val="24"/>
                <w:lang w:eastAsia="lv-LV"/>
              </w:rPr>
              <w:t>II. Tiesību akta projekta ietekme uz sabiedrību, tautsaimniecības attīstību un administratīvo slogu</w:t>
            </w:r>
          </w:p>
        </w:tc>
      </w:tr>
      <w:tr w:rsidR="00F66D8B" w:rsidRPr="00074E4B" w:rsidTr="00153D4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465"/>
          <w:tblCellSpacing w:w="15" w:type="dxa"/>
        </w:trPr>
        <w:tc>
          <w:tcPr>
            <w:tcW w:w="515" w:type="dxa"/>
            <w:tcBorders>
              <w:top w:val="outset" w:sz="6" w:space="0" w:color="auto"/>
              <w:left w:val="outset" w:sz="6" w:space="0" w:color="auto"/>
              <w:bottom w:val="outset" w:sz="6" w:space="0" w:color="auto"/>
              <w:right w:val="outset" w:sz="6" w:space="0" w:color="auto"/>
            </w:tcBorders>
          </w:tcPr>
          <w:p w:rsidR="00F66D8B" w:rsidRPr="00074E4B" w:rsidRDefault="00F66D8B" w:rsidP="00153D4C">
            <w:pPr>
              <w:spacing w:after="0" w:line="240" w:lineRule="auto"/>
              <w:rPr>
                <w:rFonts w:ascii="Times New Roman" w:eastAsia="Times New Roman" w:hAnsi="Times New Roman"/>
                <w:sz w:val="24"/>
                <w:szCs w:val="24"/>
                <w:lang w:eastAsia="lv-LV"/>
              </w:rPr>
            </w:pPr>
            <w:r w:rsidRPr="00074E4B">
              <w:rPr>
                <w:rFonts w:ascii="Times New Roman" w:eastAsia="Times New Roman" w:hAnsi="Times New Roman"/>
                <w:sz w:val="24"/>
                <w:szCs w:val="24"/>
                <w:lang w:eastAsia="lv-LV"/>
              </w:rPr>
              <w:t>1.</w:t>
            </w:r>
          </w:p>
        </w:tc>
        <w:tc>
          <w:tcPr>
            <w:tcW w:w="2673" w:type="dxa"/>
            <w:gridSpan w:val="2"/>
            <w:tcBorders>
              <w:top w:val="outset" w:sz="6" w:space="0" w:color="auto"/>
              <w:left w:val="outset" w:sz="6" w:space="0" w:color="auto"/>
              <w:bottom w:val="outset" w:sz="6" w:space="0" w:color="auto"/>
              <w:right w:val="outset" w:sz="6" w:space="0" w:color="auto"/>
            </w:tcBorders>
          </w:tcPr>
          <w:p w:rsidR="00F66D8B" w:rsidRPr="00074E4B" w:rsidRDefault="00F66D8B" w:rsidP="00153D4C">
            <w:pPr>
              <w:spacing w:after="0" w:line="240" w:lineRule="auto"/>
              <w:rPr>
                <w:rFonts w:ascii="Times New Roman" w:eastAsia="Times New Roman" w:hAnsi="Times New Roman"/>
                <w:sz w:val="24"/>
                <w:szCs w:val="24"/>
                <w:lang w:eastAsia="lv-LV"/>
              </w:rPr>
            </w:pPr>
            <w:r w:rsidRPr="00074E4B">
              <w:rPr>
                <w:rFonts w:ascii="Times New Roman" w:eastAsia="Times New Roman" w:hAnsi="Times New Roman"/>
                <w:sz w:val="24"/>
                <w:szCs w:val="24"/>
                <w:lang w:eastAsia="lv-LV"/>
              </w:rPr>
              <w:t xml:space="preserve">Sabiedrības </w:t>
            </w:r>
            <w:proofErr w:type="spellStart"/>
            <w:r w:rsidRPr="00074E4B">
              <w:rPr>
                <w:rFonts w:ascii="Times New Roman" w:eastAsia="Times New Roman" w:hAnsi="Times New Roman"/>
                <w:sz w:val="24"/>
                <w:szCs w:val="24"/>
                <w:lang w:eastAsia="lv-LV"/>
              </w:rPr>
              <w:t>mērķgrupas</w:t>
            </w:r>
            <w:proofErr w:type="spellEnd"/>
            <w:r w:rsidRPr="00074E4B">
              <w:rPr>
                <w:rFonts w:ascii="Times New Roman" w:eastAsia="Times New Roman" w:hAnsi="Times New Roman"/>
                <w:sz w:val="24"/>
                <w:szCs w:val="24"/>
                <w:lang w:eastAsia="lv-LV"/>
              </w:rPr>
              <w:t>, kuras tiesiskais regulējums ietekmē vai varētu ietekmēt</w:t>
            </w:r>
          </w:p>
        </w:tc>
        <w:tc>
          <w:tcPr>
            <w:tcW w:w="6286" w:type="dxa"/>
            <w:tcBorders>
              <w:top w:val="outset" w:sz="6" w:space="0" w:color="auto"/>
              <w:left w:val="outset" w:sz="6" w:space="0" w:color="auto"/>
              <w:bottom w:val="outset" w:sz="6" w:space="0" w:color="auto"/>
              <w:right w:val="outset" w:sz="6" w:space="0" w:color="auto"/>
            </w:tcBorders>
          </w:tcPr>
          <w:p w:rsidR="00F66D8B" w:rsidRPr="00074E4B" w:rsidRDefault="00F66D8B" w:rsidP="00153D4C">
            <w:pPr>
              <w:spacing w:after="0" w:line="240" w:lineRule="auto"/>
              <w:ind w:left="58" w:right="84"/>
              <w:jc w:val="both"/>
              <w:rPr>
                <w:rFonts w:ascii="Times New Roman" w:eastAsia="Times New Roman" w:hAnsi="Times New Roman"/>
                <w:sz w:val="24"/>
                <w:szCs w:val="24"/>
                <w:lang w:eastAsia="lv-LV"/>
              </w:rPr>
            </w:pPr>
            <w:r w:rsidRPr="00074E4B">
              <w:rPr>
                <w:rFonts w:ascii="Times New Roman" w:eastAsia="Times New Roman" w:hAnsi="Times New Roman"/>
                <w:sz w:val="24"/>
                <w:szCs w:val="24"/>
                <w:lang w:eastAsia="lv-LV"/>
              </w:rPr>
              <w:t xml:space="preserve">Netieši – visa sabiedrība. Tieši – </w:t>
            </w:r>
            <w:r w:rsidR="00C3252C">
              <w:rPr>
                <w:rFonts w:ascii="Times New Roman" w:eastAsia="Times New Roman" w:hAnsi="Times New Roman"/>
                <w:sz w:val="24"/>
                <w:szCs w:val="24"/>
                <w:lang w:eastAsia="lv-LV"/>
              </w:rPr>
              <w:t xml:space="preserve">Noziedzīgi iegūtu līdzekļu legalizācijas un terorisma finansēšanas novēršanas </w:t>
            </w:r>
            <w:r w:rsidRPr="00074E4B">
              <w:rPr>
                <w:rFonts w:ascii="Times New Roman" w:eastAsia="Times New Roman" w:hAnsi="Times New Roman"/>
                <w:sz w:val="24"/>
                <w:szCs w:val="24"/>
                <w:lang w:eastAsia="lv-LV"/>
              </w:rPr>
              <w:t xml:space="preserve">likuma 3.panta pirmajā daļā noteiktie subjekti (kredītiestādes, finanšu iestādes, nodokļu konsultanti, ārpakalpojumu grāmatveži, zvērināti revidenti u to komercsabiedrības, zvērināti notāri un advokāti, citi neatkarīgi juridisko pakalpojumu sniedzēji; aģenti vai  starpnieki darījumos ar nekustamo īpašumu u.c.). </w:t>
            </w:r>
          </w:p>
        </w:tc>
      </w:tr>
      <w:tr w:rsidR="00F66D8B" w:rsidRPr="00074E4B" w:rsidTr="00153D4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510"/>
          <w:tblCellSpacing w:w="15" w:type="dxa"/>
        </w:trPr>
        <w:tc>
          <w:tcPr>
            <w:tcW w:w="515" w:type="dxa"/>
            <w:tcBorders>
              <w:top w:val="outset" w:sz="6" w:space="0" w:color="auto"/>
              <w:left w:val="outset" w:sz="6" w:space="0" w:color="auto"/>
              <w:bottom w:val="outset" w:sz="6" w:space="0" w:color="auto"/>
              <w:right w:val="outset" w:sz="6" w:space="0" w:color="auto"/>
            </w:tcBorders>
          </w:tcPr>
          <w:p w:rsidR="00F66D8B" w:rsidRPr="00074E4B" w:rsidRDefault="00F66D8B" w:rsidP="00153D4C">
            <w:pPr>
              <w:spacing w:after="0" w:line="240" w:lineRule="auto"/>
              <w:rPr>
                <w:rFonts w:ascii="Times New Roman" w:eastAsia="Times New Roman" w:hAnsi="Times New Roman"/>
                <w:sz w:val="24"/>
                <w:szCs w:val="24"/>
                <w:lang w:eastAsia="lv-LV"/>
              </w:rPr>
            </w:pPr>
            <w:r w:rsidRPr="00074E4B">
              <w:rPr>
                <w:rFonts w:ascii="Times New Roman" w:eastAsia="Times New Roman" w:hAnsi="Times New Roman"/>
                <w:sz w:val="24"/>
                <w:szCs w:val="24"/>
                <w:lang w:eastAsia="lv-LV"/>
              </w:rPr>
              <w:t>2.</w:t>
            </w:r>
          </w:p>
        </w:tc>
        <w:tc>
          <w:tcPr>
            <w:tcW w:w="2673" w:type="dxa"/>
            <w:gridSpan w:val="2"/>
            <w:tcBorders>
              <w:top w:val="outset" w:sz="6" w:space="0" w:color="auto"/>
              <w:left w:val="outset" w:sz="6" w:space="0" w:color="auto"/>
              <w:bottom w:val="outset" w:sz="6" w:space="0" w:color="auto"/>
              <w:right w:val="outset" w:sz="6" w:space="0" w:color="auto"/>
            </w:tcBorders>
          </w:tcPr>
          <w:p w:rsidR="00F66D8B" w:rsidRPr="00074E4B" w:rsidRDefault="00F66D8B" w:rsidP="00153D4C">
            <w:pPr>
              <w:spacing w:after="0" w:line="240" w:lineRule="auto"/>
              <w:rPr>
                <w:rFonts w:ascii="Times New Roman" w:eastAsia="Times New Roman" w:hAnsi="Times New Roman"/>
                <w:sz w:val="24"/>
                <w:szCs w:val="24"/>
                <w:lang w:eastAsia="lv-LV"/>
              </w:rPr>
            </w:pPr>
            <w:r w:rsidRPr="00074E4B">
              <w:rPr>
                <w:rFonts w:ascii="Times New Roman" w:eastAsia="Times New Roman" w:hAnsi="Times New Roman"/>
                <w:sz w:val="24"/>
                <w:szCs w:val="24"/>
                <w:lang w:eastAsia="lv-LV"/>
              </w:rPr>
              <w:t>Tiesiskā regulējuma ietekme uz tautsaimniecību un administratīvo slogu</w:t>
            </w:r>
          </w:p>
        </w:tc>
        <w:tc>
          <w:tcPr>
            <w:tcW w:w="6286" w:type="dxa"/>
            <w:tcBorders>
              <w:top w:val="outset" w:sz="6" w:space="0" w:color="auto"/>
              <w:left w:val="outset" w:sz="6" w:space="0" w:color="auto"/>
              <w:bottom w:val="outset" w:sz="6" w:space="0" w:color="auto"/>
              <w:right w:val="outset" w:sz="6" w:space="0" w:color="auto"/>
            </w:tcBorders>
          </w:tcPr>
          <w:p w:rsidR="00F66D8B" w:rsidRPr="00074E4B" w:rsidRDefault="00F66D8B" w:rsidP="00C3252C">
            <w:pPr>
              <w:tabs>
                <w:tab w:val="left" w:pos="0"/>
                <w:tab w:val="left" w:pos="705"/>
                <w:tab w:val="left" w:pos="885"/>
              </w:tabs>
              <w:spacing w:after="0" w:line="240" w:lineRule="auto"/>
              <w:ind w:right="174"/>
              <w:jc w:val="both"/>
              <w:rPr>
                <w:rFonts w:ascii="Times New Roman" w:eastAsia="Times New Roman" w:hAnsi="Times New Roman"/>
                <w:sz w:val="24"/>
                <w:szCs w:val="24"/>
                <w:lang w:eastAsia="lv-LV"/>
              </w:rPr>
            </w:pPr>
            <w:r w:rsidRPr="00074E4B">
              <w:rPr>
                <w:rFonts w:ascii="Times New Roman" w:eastAsia="Times New Roman" w:hAnsi="Times New Roman"/>
                <w:sz w:val="24"/>
                <w:szCs w:val="24"/>
                <w:lang w:eastAsia="lv-LV"/>
              </w:rPr>
              <w:t>Likumprojekt</w:t>
            </w:r>
            <w:r w:rsidR="00C3252C">
              <w:rPr>
                <w:rFonts w:ascii="Times New Roman" w:eastAsia="Times New Roman" w:hAnsi="Times New Roman"/>
                <w:sz w:val="24"/>
                <w:szCs w:val="24"/>
                <w:lang w:eastAsia="lv-LV"/>
              </w:rPr>
              <w:t>i</w:t>
            </w:r>
            <w:r w:rsidRPr="00074E4B">
              <w:rPr>
                <w:rFonts w:ascii="Times New Roman" w:eastAsia="Times New Roman" w:hAnsi="Times New Roman"/>
                <w:sz w:val="24"/>
                <w:szCs w:val="24"/>
                <w:lang w:eastAsia="lv-LV"/>
              </w:rPr>
              <w:t xml:space="preserve"> administratīvo slogu neietekmē. Prioritārais pasākums tieši ietekmē Finanšu sektora attīstības plāna 2017.-2019. gadam horizontālo prioritāti – finanšu sektora noziedzīgi iegūtu līdzekļu legalizācijas un terorisma finansēšanas novēršanas atbilstības un valsts reputācijas paaugstināšana. Attiecīgie galvenie rādītāji, uz kuriem ir ietekme - finanšu sektora kopējo aktīvu apjoms pret IKP; valsts un finanšu sektora reputācijas rādītāji - tai skaitā starptautiskais kredītreitings; korespondējošās attiecības ar ASV; banku kontroles sistēmu stiprināšana.</w:t>
            </w:r>
          </w:p>
        </w:tc>
      </w:tr>
      <w:tr w:rsidR="00F66D8B" w:rsidRPr="00074E4B" w:rsidTr="00153D4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510"/>
          <w:tblCellSpacing w:w="15" w:type="dxa"/>
        </w:trPr>
        <w:tc>
          <w:tcPr>
            <w:tcW w:w="515" w:type="dxa"/>
            <w:tcBorders>
              <w:top w:val="outset" w:sz="6" w:space="0" w:color="auto"/>
              <w:left w:val="outset" w:sz="6" w:space="0" w:color="auto"/>
              <w:bottom w:val="outset" w:sz="6" w:space="0" w:color="auto"/>
              <w:right w:val="outset" w:sz="6" w:space="0" w:color="auto"/>
            </w:tcBorders>
          </w:tcPr>
          <w:p w:rsidR="00F66D8B" w:rsidRPr="00074E4B" w:rsidRDefault="00F66D8B" w:rsidP="00153D4C">
            <w:pPr>
              <w:spacing w:after="0" w:line="240" w:lineRule="auto"/>
              <w:rPr>
                <w:rFonts w:ascii="Times New Roman" w:eastAsia="Times New Roman" w:hAnsi="Times New Roman"/>
                <w:sz w:val="24"/>
                <w:szCs w:val="24"/>
                <w:lang w:eastAsia="lv-LV"/>
              </w:rPr>
            </w:pPr>
            <w:r w:rsidRPr="00074E4B">
              <w:rPr>
                <w:rFonts w:ascii="Times New Roman" w:eastAsia="Times New Roman" w:hAnsi="Times New Roman"/>
                <w:sz w:val="24"/>
                <w:szCs w:val="24"/>
                <w:lang w:eastAsia="lv-LV"/>
              </w:rPr>
              <w:t>3.</w:t>
            </w:r>
          </w:p>
        </w:tc>
        <w:tc>
          <w:tcPr>
            <w:tcW w:w="2673" w:type="dxa"/>
            <w:gridSpan w:val="2"/>
            <w:tcBorders>
              <w:top w:val="outset" w:sz="6" w:space="0" w:color="auto"/>
              <w:left w:val="outset" w:sz="6" w:space="0" w:color="auto"/>
              <w:bottom w:val="outset" w:sz="6" w:space="0" w:color="auto"/>
              <w:right w:val="outset" w:sz="6" w:space="0" w:color="auto"/>
            </w:tcBorders>
          </w:tcPr>
          <w:p w:rsidR="00F66D8B" w:rsidRPr="00074E4B" w:rsidRDefault="00F66D8B" w:rsidP="00153D4C">
            <w:pPr>
              <w:spacing w:after="0" w:line="240" w:lineRule="auto"/>
              <w:rPr>
                <w:rFonts w:ascii="Times New Roman" w:eastAsia="Times New Roman" w:hAnsi="Times New Roman"/>
                <w:sz w:val="24"/>
                <w:szCs w:val="24"/>
                <w:lang w:eastAsia="lv-LV"/>
              </w:rPr>
            </w:pPr>
            <w:r w:rsidRPr="00074E4B">
              <w:rPr>
                <w:rFonts w:ascii="Times New Roman" w:eastAsia="Times New Roman" w:hAnsi="Times New Roman"/>
                <w:sz w:val="24"/>
                <w:szCs w:val="24"/>
                <w:lang w:eastAsia="lv-LV"/>
              </w:rPr>
              <w:t>Administratīvo izmaksu monetārs novērtējums</w:t>
            </w:r>
          </w:p>
        </w:tc>
        <w:tc>
          <w:tcPr>
            <w:tcW w:w="6286" w:type="dxa"/>
            <w:tcBorders>
              <w:top w:val="outset" w:sz="6" w:space="0" w:color="auto"/>
              <w:left w:val="outset" w:sz="6" w:space="0" w:color="auto"/>
              <w:bottom w:val="outset" w:sz="6" w:space="0" w:color="auto"/>
              <w:right w:val="outset" w:sz="6" w:space="0" w:color="auto"/>
            </w:tcBorders>
          </w:tcPr>
          <w:p w:rsidR="00F66D8B" w:rsidRPr="00074E4B" w:rsidRDefault="00F66D8B" w:rsidP="00153D4C">
            <w:pPr>
              <w:spacing w:after="0" w:line="240" w:lineRule="auto"/>
              <w:jc w:val="both"/>
              <w:rPr>
                <w:rFonts w:ascii="Times New Roman" w:eastAsia="Times New Roman" w:hAnsi="Times New Roman"/>
                <w:sz w:val="24"/>
                <w:szCs w:val="24"/>
                <w:lang w:eastAsia="lv-LV"/>
              </w:rPr>
            </w:pPr>
            <w:r w:rsidRPr="00074E4B">
              <w:rPr>
                <w:rFonts w:ascii="Times New Roman" w:eastAsia="Times New Roman" w:hAnsi="Times New Roman"/>
                <w:sz w:val="24"/>
                <w:szCs w:val="24"/>
                <w:lang w:eastAsia="lv-LV"/>
              </w:rPr>
              <w:t xml:space="preserve">Projekts šo jomu neskar. </w:t>
            </w:r>
          </w:p>
          <w:p w:rsidR="00F66D8B" w:rsidRPr="00074E4B" w:rsidRDefault="00F66D8B" w:rsidP="00153D4C">
            <w:pPr>
              <w:spacing w:after="0" w:line="240" w:lineRule="auto"/>
              <w:jc w:val="both"/>
              <w:rPr>
                <w:rFonts w:ascii="Times New Roman" w:eastAsia="Times New Roman" w:hAnsi="Times New Roman"/>
                <w:sz w:val="24"/>
                <w:szCs w:val="24"/>
                <w:lang w:eastAsia="lv-LV"/>
              </w:rPr>
            </w:pPr>
          </w:p>
        </w:tc>
      </w:tr>
      <w:tr w:rsidR="00F66D8B" w:rsidRPr="00074E4B" w:rsidTr="00153D4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510"/>
          <w:tblCellSpacing w:w="15" w:type="dxa"/>
        </w:trPr>
        <w:tc>
          <w:tcPr>
            <w:tcW w:w="515" w:type="dxa"/>
            <w:tcBorders>
              <w:top w:val="outset" w:sz="6" w:space="0" w:color="auto"/>
              <w:left w:val="outset" w:sz="6" w:space="0" w:color="auto"/>
              <w:bottom w:val="outset" w:sz="6" w:space="0" w:color="auto"/>
              <w:right w:val="outset" w:sz="6" w:space="0" w:color="auto"/>
            </w:tcBorders>
          </w:tcPr>
          <w:p w:rsidR="00F66D8B" w:rsidRPr="00074E4B" w:rsidRDefault="00F66D8B" w:rsidP="00153D4C">
            <w:pPr>
              <w:spacing w:after="0" w:line="240" w:lineRule="auto"/>
              <w:rPr>
                <w:rFonts w:ascii="Times New Roman" w:eastAsia="Times New Roman" w:hAnsi="Times New Roman"/>
                <w:sz w:val="24"/>
                <w:szCs w:val="24"/>
                <w:lang w:eastAsia="lv-LV"/>
              </w:rPr>
            </w:pPr>
            <w:r w:rsidRPr="00074E4B">
              <w:rPr>
                <w:rFonts w:ascii="Times New Roman" w:eastAsia="Times New Roman" w:hAnsi="Times New Roman"/>
                <w:sz w:val="24"/>
                <w:szCs w:val="24"/>
                <w:lang w:eastAsia="lv-LV"/>
              </w:rPr>
              <w:t>4.</w:t>
            </w:r>
          </w:p>
        </w:tc>
        <w:tc>
          <w:tcPr>
            <w:tcW w:w="2673" w:type="dxa"/>
            <w:gridSpan w:val="2"/>
            <w:tcBorders>
              <w:top w:val="outset" w:sz="6" w:space="0" w:color="auto"/>
              <w:left w:val="outset" w:sz="6" w:space="0" w:color="auto"/>
              <w:bottom w:val="outset" w:sz="6" w:space="0" w:color="auto"/>
              <w:right w:val="outset" w:sz="6" w:space="0" w:color="auto"/>
            </w:tcBorders>
          </w:tcPr>
          <w:p w:rsidR="00F66D8B" w:rsidRPr="00074E4B" w:rsidRDefault="00F66D8B" w:rsidP="00153D4C">
            <w:pPr>
              <w:spacing w:after="0" w:line="240" w:lineRule="auto"/>
              <w:rPr>
                <w:rFonts w:ascii="Times New Roman" w:eastAsia="Times New Roman" w:hAnsi="Times New Roman"/>
                <w:sz w:val="24"/>
                <w:szCs w:val="24"/>
                <w:lang w:eastAsia="lv-LV"/>
              </w:rPr>
            </w:pPr>
            <w:r w:rsidRPr="00074E4B">
              <w:rPr>
                <w:rFonts w:ascii="Times New Roman" w:eastAsia="Times New Roman" w:hAnsi="Times New Roman"/>
                <w:sz w:val="24"/>
                <w:szCs w:val="24"/>
                <w:lang w:eastAsia="lv-LV"/>
              </w:rPr>
              <w:t>Atbilstības izmaksu monetārs novērtējums</w:t>
            </w:r>
          </w:p>
        </w:tc>
        <w:tc>
          <w:tcPr>
            <w:tcW w:w="6286" w:type="dxa"/>
            <w:tcBorders>
              <w:top w:val="outset" w:sz="6" w:space="0" w:color="auto"/>
              <w:left w:val="outset" w:sz="6" w:space="0" w:color="auto"/>
              <w:bottom w:val="outset" w:sz="6" w:space="0" w:color="auto"/>
              <w:right w:val="outset" w:sz="6" w:space="0" w:color="auto"/>
            </w:tcBorders>
          </w:tcPr>
          <w:p w:rsidR="00F66D8B" w:rsidRPr="00074E4B" w:rsidRDefault="00F66D8B" w:rsidP="00153D4C">
            <w:pPr>
              <w:spacing w:after="0" w:line="240" w:lineRule="auto"/>
              <w:rPr>
                <w:rFonts w:ascii="Times New Roman" w:eastAsia="Times New Roman" w:hAnsi="Times New Roman"/>
                <w:sz w:val="24"/>
                <w:szCs w:val="24"/>
                <w:lang w:eastAsia="lv-LV"/>
              </w:rPr>
            </w:pPr>
            <w:r w:rsidRPr="00074E4B">
              <w:rPr>
                <w:rFonts w:ascii="Times New Roman" w:eastAsia="Times New Roman" w:hAnsi="Times New Roman"/>
                <w:sz w:val="24"/>
                <w:szCs w:val="24"/>
                <w:lang w:eastAsia="lv-LV"/>
              </w:rPr>
              <w:t>Projekts šo jomu neskar.</w:t>
            </w:r>
          </w:p>
        </w:tc>
      </w:tr>
      <w:tr w:rsidR="00F66D8B" w:rsidRPr="00074E4B" w:rsidTr="00153D4C">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trHeight w:val="345"/>
          <w:tblCellSpacing w:w="15" w:type="dxa"/>
        </w:trPr>
        <w:tc>
          <w:tcPr>
            <w:tcW w:w="515" w:type="dxa"/>
            <w:tcBorders>
              <w:top w:val="outset" w:sz="6" w:space="0" w:color="auto"/>
              <w:left w:val="outset" w:sz="6" w:space="0" w:color="auto"/>
              <w:bottom w:val="outset" w:sz="6" w:space="0" w:color="auto"/>
              <w:right w:val="outset" w:sz="6" w:space="0" w:color="auto"/>
            </w:tcBorders>
          </w:tcPr>
          <w:p w:rsidR="00F66D8B" w:rsidRPr="00074E4B" w:rsidRDefault="00F66D8B" w:rsidP="00153D4C">
            <w:pPr>
              <w:spacing w:after="0" w:line="240" w:lineRule="auto"/>
              <w:rPr>
                <w:rFonts w:ascii="Times New Roman" w:eastAsia="Times New Roman" w:hAnsi="Times New Roman"/>
                <w:sz w:val="24"/>
                <w:szCs w:val="24"/>
                <w:lang w:eastAsia="lv-LV"/>
              </w:rPr>
            </w:pPr>
            <w:r w:rsidRPr="00074E4B">
              <w:rPr>
                <w:rFonts w:ascii="Times New Roman" w:eastAsia="Times New Roman" w:hAnsi="Times New Roman"/>
                <w:sz w:val="24"/>
                <w:szCs w:val="24"/>
                <w:lang w:eastAsia="lv-LV"/>
              </w:rPr>
              <w:t>5.</w:t>
            </w:r>
          </w:p>
        </w:tc>
        <w:tc>
          <w:tcPr>
            <w:tcW w:w="2673" w:type="dxa"/>
            <w:gridSpan w:val="2"/>
            <w:tcBorders>
              <w:top w:val="outset" w:sz="6" w:space="0" w:color="auto"/>
              <w:left w:val="outset" w:sz="6" w:space="0" w:color="auto"/>
              <w:bottom w:val="outset" w:sz="6" w:space="0" w:color="auto"/>
              <w:right w:val="outset" w:sz="6" w:space="0" w:color="auto"/>
            </w:tcBorders>
          </w:tcPr>
          <w:p w:rsidR="00F66D8B" w:rsidRPr="00074E4B" w:rsidRDefault="00F66D8B" w:rsidP="00153D4C">
            <w:pPr>
              <w:spacing w:after="0" w:line="240" w:lineRule="auto"/>
              <w:rPr>
                <w:rFonts w:ascii="Times New Roman" w:eastAsia="Times New Roman" w:hAnsi="Times New Roman"/>
                <w:sz w:val="24"/>
                <w:szCs w:val="24"/>
                <w:lang w:eastAsia="lv-LV"/>
              </w:rPr>
            </w:pPr>
            <w:r w:rsidRPr="00074E4B">
              <w:rPr>
                <w:rFonts w:ascii="Times New Roman" w:eastAsia="Times New Roman" w:hAnsi="Times New Roman"/>
                <w:sz w:val="24"/>
                <w:szCs w:val="24"/>
                <w:lang w:eastAsia="lv-LV"/>
              </w:rPr>
              <w:t>Cita informācija</w:t>
            </w:r>
          </w:p>
        </w:tc>
        <w:tc>
          <w:tcPr>
            <w:tcW w:w="6286" w:type="dxa"/>
            <w:tcBorders>
              <w:top w:val="outset" w:sz="6" w:space="0" w:color="auto"/>
              <w:left w:val="outset" w:sz="6" w:space="0" w:color="auto"/>
              <w:bottom w:val="outset" w:sz="6" w:space="0" w:color="auto"/>
              <w:right w:val="outset" w:sz="6" w:space="0" w:color="auto"/>
            </w:tcBorders>
          </w:tcPr>
          <w:p w:rsidR="00F66D8B" w:rsidRPr="00074E4B" w:rsidRDefault="00F66D8B" w:rsidP="00153D4C">
            <w:pPr>
              <w:spacing w:after="0" w:line="240" w:lineRule="auto"/>
              <w:rPr>
                <w:rFonts w:ascii="Times New Roman" w:eastAsia="Times New Roman" w:hAnsi="Times New Roman"/>
                <w:sz w:val="24"/>
                <w:szCs w:val="24"/>
                <w:lang w:eastAsia="lv-LV"/>
              </w:rPr>
            </w:pPr>
            <w:r w:rsidRPr="00074E4B">
              <w:rPr>
                <w:rFonts w:ascii="Times New Roman" w:eastAsia="Times New Roman" w:hAnsi="Times New Roman"/>
                <w:sz w:val="24"/>
                <w:szCs w:val="24"/>
                <w:lang w:eastAsia="lv-LV"/>
              </w:rPr>
              <w:t>Nav.</w:t>
            </w:r>
          </w:p>
        </w:tc>
      </w:tr>
    </w:tbl>
    <w:p w:rsidR="00F66D8B" w:rsidRPr="00074E4B" w:rsidRDefault="00F66D8B" w:rsidP="00F66D8B">
      <w:pPr>
        <w:spacing w:after="0" w:line="240" w:lineRule="auto"/>
        <w:rPr>
          <w:rFonts w:ascii="Times New Roman" w:hAnsi="Times New Roman"/>
          <w:sz w:val="24"/>
          <w:szCs w:val="24"/>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F66D8B" w:rsidRPr="009700EC" w:rsidTr="00CA2678">
        <w:tc>
          <w:tcPr>
            <w:tcW w:w="9350" w:type="dxa"/>
            <w:shd w:val="clear" w:color="auto" w:fill="auto"/>
            <w:hideMark/>
          </w:tcPr>
          <w:p w:rsidR="00F66D8B" w:rsidRDefault="00F66D8B" w:rsidP="00153D4C">
            <w:pPr>
              <w:spacing w:after="0" w:line="240" w:lineRule="auto"/>
              <w:rPr>
                <w:rFonts w:ascii="Times New Roman" w:hAnsi="Times New Roman"/>
                <w:b/>
                <w:bCs/>
                <w:sz w:val="24"/>
                <w:szCs w:val="24"/>
              </w:rPr>
            </w:pPr>
            <w:r w:rsidRPr="009700EC">
              <w:rPr>
                <w:rFonts w:ascii="Times New Roman" w:hAnsi="Times New Roman"/>
                <w:b/>
                <w:bCs/>
                <w:sz w:val="24"/>
                <w:szCs w:val="24"/>
              </w:rPr>
              <w:t>III. Tiesību akta projekta ietekme uz valsts budžetu un pašvaldību budžetiem</w:t>
            </w:r>
            <w:r w:rsidR="00CA2678">
              <w:rPr>
                <w:rFonts w:ascii="Times New Roman" w:hAnsi="Times New Roman"/>
                <w:b/>
                <w:bCs/>
                <w:sz w:val="24"/>
                <w:szCs w:val="24"/>
              </w:rPr>
              <w:t xml:space="preserve"> </w:t>
            </w:r>
          </w:p>
          <w:p w:rsidR="00CA2678" w:rsidRPr="00CA2678" w:rsidRDefault="00CA2678" w:rsidP="00CA2678">
            <w:pPr>
              <w:spacing w:after="0" w:line="240" w:lineRule="auto"/>
              <w:rPr>
                <w:rFonts w:ascii="Times New Roman" w:hAnsi="Times New Roman"/>
                <w:bCs/>
                <w:i/>
                <w:sz w:val="24"/>
                <w:szCs w:val="24"/>
              </w:rPr>
            </w:pPr>
            <w:r>
              <w:rPr>
                <w:rFonts w:ascii="Times New Roman" w:hAnsi="Times New Roman"/>
                <w:bCs/>
                <w:i/>
                <w:sz w:val="24"/>
                <w:szCs w:val="24"/>
              </w:rPr>
              <w:t>N</w:t>
            </w:r>
            <w:r w:rsidRPr="00CA2678">
              <w:rPr>
                <w:rFonts w:ascii="Times New Roman" w:hAnsi="Times New Roman"/>
                <w:bCs/>
                <w:i/>
                <w:sz w:val="24"/>
                <w:szCs w:val="24"/>
              </w:rPr>
              <w:t xml:space="preserve">orādītā informācija </w:t>
            </w:r>
            <w:r>
              <w:rPr>
                <w:rFonts w:ascii="Times New Roman" w:hAnsi="Times New Roman"/>
                <w:bCs/>
                <w:i/>
                <w:sz w:val="24"/>
                <w:szCs w:val="24"/>
              </w:rPr>
              <w:t xml:space="preserve">atspoguļota likumprojekta “Grozījumi Noziedzīgi iegūtu līdzekļu legalizācijas un terorisma finansēšanas novēršanas likumā” </w:t>
            </w:r>
            <w:r w:rsidRPr="00CA2678">
              <w:rPr>
                <w:rFonts w:ascii="Times New Roman" w:hAnsi="Times New Roman"/>
                <w:bCs/>
                <w:i/>
                <w:sz w:val="24"/>
                <w:szCs w:val="24"/>
              </w:rPr>
              <w:t>sākotnējās ietekmes novērtējuma ziņojum</w:t>
            </w:r>
            <w:r>
              <w:rPr>
                <w:rFonts w:ascii="Times New Roman" w:hAnsi="Times New Roman"/>
                <w:bCs/>
                <w:i/>
                <w:sz w:val="24"/>
                <w:szCs w:val="24"/>
              </w:rPr>
              <w:t>ā (anotācijā</w:t>
            </w:r>
            <w:r w:rsidRPr="00CA2678">
              <w:rPr>
                <w:rFonts w:ascii="Times New Roman" w:hAnsi="Times New Roman"/>
                <w:bCs/>
                <w:i/>
                <w:sz w:val="24"/>
                <w:szCs w:val="24"/>
              </w:rPr>
              <w:t>)</w:t>
            </w:r>
            <w:r>
              <w:rPr>
                <w:rFonts w:ascii="Times New Roman" w:hAnsi="Times New Roman"/>
                <w:bCs/>
                <w:i/>
                <w:sz w:val="24"/>
                <w:szCs w:val="24"/>
              </w:rPr>
              <w:t>.</w:t>
            </w:r>
          </w:p>
        </w:tc>
      </w:tr>
    </w:tbl>
    <w:p w:rsidR="00F66D8B" w:rsidRPr="00074E4B" w:rsidRDefault="00F66D8B" w:rsidP="00F66D8B">
      <w:pPr>
        <w:spacing w:after="0" w:line="240" w:lineRule="auto"/>
        <w:rPr>
          <w:rFonts w:ascii="Times New Roman" w:hAnsi="Times New Roman"/>
          <w:sz w:val="24"/>
          <w:szCs w:val="24"/>
        </w:rPr>
      </w:pPr>
    </w:p>
    <w:tbl>
      <w:tblPr>
        <w:tblW w:w="94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0"/>
        <w:gridCol w:w="1966"/>
        <w:gridCol w:w="7106"/>
      </w:tblGrid>
      <w:tr w:rsidR="00F66D8B" w:rsidRPr="00074E4B" w:rsidTr="00CA2678">
        <w:tc>
          <w:tcPr>
            <w:tcW w:w="9472" w:type="dxa"/>
            <w:gridSpan w:val="3"/>
          </w:tcPr>
          <w:p w:rsidR="00F66D8B" w:rsidRPr="00074E4B" w:rsidRDefault="00F66D8B" w:rsidP="00153D4C">
            <w:pPr>
              <w:spacing w:after="0" w:line="240" w:lineRule="auto"/>
              <w:jc w:val="center"/>
              <w:rPr>
                <w:rFonts w:ascii="Times New Roman" w:hAnsi="Times New Roman"/>
                <w:sz w:val="24"/>
                <w:szCs w:val="24"/>
              </w:rPr>
            </w:pPr>
            <w:r w:rsidRPr="00074E4B">
              <w:rPr>
                <w:rFonts w:ascii="Times New Roman" w:hAnsi="Times New Roman"/>
                <w:b/>
                <w:sz w:val="24"/>
                <w:szCs w:val="24"/>
              </w:rPr>
              <w:t> IV. Tiesību akta projekta ietekme uz spēkā esošo tiesību normu sistēmu</w:t>
            </w:r>
          </w:p>
        </w:tc>
      </w:tr>
      <w:tr w:rsidR="00F66D8B" w:rsidRPr="00074E4B" w:rsidTr="00CA2678">
        <w:tc>
          <w:tcPr>
            <w:tcW w:w="400" w:type="dxa"/>
          </w:tcPr>
          <w:p w:rsidR="00F66D8B" w:rsidRPr="00074E4B" w:rsidRDefault="00F66D8B" w:rsidP="00153D4C">
            <w:pPr>
              <w:spacing w:after="0" w:line="240" w:lineRule="auto"/>
              <w:ind w:right="-57"/>
              <w:rPr>
                <w:rFonts w:ascii="Times New Roman" w:hAnsi="Times New Roman"/>
                <w:sz w:val="24"/>
                <w:szCs w:val="24"/>
              </w:rPr>
            </w:pPr>
            <w:r w:rsidRPr="00074E4B">
              <w:rPr>
                <w:rFonts w:ascii="Times New Roman" w:hAnsi="Times New Roman"/>
                <w:sz w:val="24"/>
                <w:szCs w:val="24"/>
              </w:rPr>
              <w:t>1.</w:t>
            </w:r>
          </w:p>
        </w:tc>
        <w:tc>
          <w:tcPr>
            <w:tcW w:w="1966" w:type="dxa"/>
          </w:tcPr>
          <w:p w:rsidR="00F66D8B" w:rsidRPr="00074E4B" w:rsidRDefault="00F66D8B" w:rsidP="00153D4C">
            <w:pPr>
              <w:spacing w:after="0" w:line="240" w:lineRule="auto"/>
              <w:ind w:right="-57"/>
              <w:rPr>
                <w:rFonts w:ascii="Times New Roman" w:hAnsi="Times New Roman"/>
                <w:sz w:val="24"/>
                <w:szCs w:val="24"/>
              </w:rPr>
            </w:pPr>
            <w:r w:rsidRPr="00074E4B">
              <w:rPr>
                <w:rFonts w:ascii="Times New Roman" w:hAnsi="Times New Roman"/>
                <w:sz w:val="24"/>
                <w:szCs w:val="24"/>
              </w:rPr>
              <w:t>Nepieciešamie saistītie tiesību aktu projekti</w:t>
            </w:r>
          </w:p>
        </w:tc>
        <w:tc>
          <w:tcPr>
            <w:tcW w:w="7106" w:type="dxa"/>
          </w:tcPr>
          <w:p w:rsidR="00F66D8B" w:rsidRDefault="002136D1" w:rsidP="00153D4C">
            <w:pPr>
              <w:pStyle w:val="Footer"/>
              <w:tabs>
                <w:tab w:val="clear" w:pos="4153"/>
                <w:tab w:val="clear" w:pos="8306"/>
                <w:tab w:val="left" w:pos="3150"/>
              </w:tabs>
              <w:jc w:val="both"/>
              <w:rPr>
                <w:lang w:val="lv-LV"/>
              </w:rPr>
            </w:pPr>
            <w:r w:rsidRPr="00074E4B">
              <w:rPr>
                <w:lang w:val="lv-LV"/>
              </w:rPr>
              <w:t>Grozījumi “Prokuratūras likumā”</w:t>
            </w:r>
            <w:r w:rsidR="00767360">
              <w:rPr>
                <w:lang w:val="lv-LV"/>
              </w:rPr>
              <w:t>, sagatavot</w:t>
            </w:r>
            <w:r w:rsidR="001E57BB">
              <w:rPr>
                <w:lang w:val="lv-LV"/>
              </w:rPr>
              <w:t>i un</w:t>
            </w:r>
            <w:r>
              <w:rPr>
                <w:lang w:val="lv-LV"/>
              </w:rPr>
              <w:t xml:space="preserve"> tiek virzīti kopā ar likumprojektu “Grozījumi Noziedzīgi iegūtu līdzekļu legalizācijas un terorisma finansēšanas novēršanas likumā”. </w:t>
            </w:r>
          </w:p>
          <w:p w:rsidR="00F66D8B" w:rsidRPr="00074E4B" w:rsidRDefault="00F66D8B" w:rsidP="00153D4C">
            <w:pPr>
              <w:pStyle w:val="Footer"/>
              <w:tabs>
                <w:tab w:val="clear" w:pos="4153"/>
                <w:tab w:val="clear" w:pos="8306"/>
                <w:tab w:val="left" w:pos="3150"/>
              </w:tabs>
              <w:jc w:val="both"/>
              <w:rPr>
                <w:lang w:val="lv-LV"/>
              </w:rPr>
            </w:pPr>
            <w:r>
              <w:rPr>
                <w:lang w:val="lv-LV"/>
              </w:rPr>
              <w:t xml:space="preserve">Grozījumi “Valsts un pašvaldību institūciju amatpersonu un darbinieku atlīdzības likumā” attiecībā uz Kontroles dienesta atlīdzības sistēmas maiņu – pieņemti Saeimā 2.lasījumā š.g. 7.jūnijā (Saeimas reģistrācijas numurs 1178/Lp12). Minētā likumprojekta spēkā stāšanās laiks paredzēts 2019.gada 1.janvārī, tādejādi nodrošinot visu saistīto likumprojektu vienlaicīgu spēkā stāšanos. </w:t>
            </w:r>
          </w:p>
        </w:tc>
      </w:tr>
      <w:tr w:rsidR="00F66D8B" w:rsidRPr="00074E4B" w:rsidTr="00CA2678">
        <w:tc>
          <w:tcPr>
            <w:tcW w:w="400" w:type="dxa"/>
          </w:tcPr>
          <w:p w:rsidR="00F66D8B" w:rsidRPr="00074E4B" w:rsidRDefault="00F66D8B" w:rsidP="00153D4C">
            <w:pPr>
              <w:spacing w:after="0" w:line="240" w:lineRule="auto"/>
              <w:ind w:right="-57"/>
              <w:rPr>
                <w:rFonts w:ascii="Times New Roman" w:hAnsi="Times New Roman"/>
                <w:sz w:val="24"/>
                <w:szCs w:val="24"/>
              </w:rPr>
            </w:pPr>
            <w:r w:rsidRPr="00074E4B">
              <w:rPr>
                <w:rFonts w:ascii="Times New Roman" w:hAnsi="Times New Roman"/>
                <w:sz w:val="24"/>
                <w:szCs w:val="24"/>
              </w:rPr>
              <w:t xml:space="preserve">2. </w:t>
            </w:r>
          </w:p>
        </w:tc>
        <w:tc>
          <w:tcPr>
            <w:tcW w:w="1966" w:type="dxa"/>
          </w:tcPr>
          <w:p w:rsidR="00F66D8B" w:rsidRPr="00074E4B" w:rsidRDefault="00F66D8B" w:rsidP="00153D4C">
            <w:pPr>
              <w:spacing w:after="0" w:line="240" w:lineRule="auto"/>
              <w:ind w:right="-57"/>
              <w:rPr>
                <w:rFonts w:ascii="Times New Roman" w:hAnsi="Times New Roman"/>
                <w:sz w:val="24"/>
                <w:szCs w:val="24"/>
              </w:rPr>
            </w:pPr>
            <w:r w:rsidRPr="00074E4B">
              <w:rPr>
                <w:rFonts w:ascii="Times New Roman" w:hAnsi="Times New Roman"/>
                <w:sz w:val="24"/>
                <w:szCs w:val="24"/>
              </w:rPr>
              <w:t>Atbildīgā institūcija</w:t>
            </w:r>
          </w:p>
        </w:tc>
        <w:tc>
          <w:tcPr>
            <w:tcW w:w="7106" w:type="dxa"/>
          </w:tcPr>
          <w:p w:rsidR="00F66D8B" w:rsidRPr="00074E4B" w:rsidRDefault="00F66D8B" w:rsidP="00153D4C">
            <w:pPr>
              <w:pStyle w:val="Footer"/>
              <w:tabs>
                <w:tab w:val="clear" w:pos="4153"/>
                <w:tab w:val="clear" w:pos="8306"/>
                <w:tab w:val="left" w:pos="3150"/>
              </w:tabs>
              <w:jc w:val="both"/>
              <w:rPr>
                <w:lang w:val="lv-LV"/>
              </w:rPr>
            </w:pPr>
            <w:r w:rsidRPr="00074E4B">
              <w:rPr>
                <w:lang w:val="lv-LV"/>
              </w:rPr>
              <w:t xml:space="preserve">Kontroles dienests. </w:t>
            </w:r>
          </w:p>
        </w:tc>
      </w:tr>
      <w:tr w:rsidR="00F66D8B" w:rsidRPr="00074E4B" w:rsidTr="00CA2678">
        <w:tc>
          <w:tcPr>
            <w:tcW w:w="400" w:type="dxa"/>
          </w:tcPr>
          <w:p w:rsidR="00F66D8B" w:rsidRPr="00074E4B" w:rsidRDefault="00F66D8B" w:rsidP="00153D4C">
            <w:pPr>
              <w:spacing w:after="0" w:line="240" w:lineRule="auto"/>
              <w:rPr>
                <w:rFonts w:ascii="Times New Roman" w:hAnsi="Times New Roman"/>
                <w:sz w:val="24"/>
                <w:szCs w:val="24"/>
              </w:rPr>
            </w:pPr>
            <w:r w:rsidRPr="00074E4B">
              <w:rPr>
                <w:rFonts w:ascii="Times New Roman" w:hAnsi="Times New Roman"/>
                <w:sz w:val="24"/>
                <w:szCs w:val="24"/>
              </w:rPr>
              <w:t>3.</w:t>
            </w:r>
          </w:p>
        </w:tc>
        <w:tc>
          <w:tcPr>
            <w:tcW w:w="1966" w:type="dxa"/>
          </w:tcPr>
          <w:p w:rsidR="00F66D8B" w:rsidRPr="00074E4B" w:rsidRDefault="00F66D8B" w:rsidP="00153D4C">
            <w:pPr>
              <w:spacing w:after="0" w:line="240" w:lineRule="auto"/>
              <w:rPr>
                <w:rFonts w:ascii="Times New Roman" w:hAnsi="Times New Roman"/>
                <w:sz w:val="24"/>
                <w:szCs w:val="24"/>
              </w:rPr>
            </w:pPr>
            <w:r w:rsidRPr="00074E4B">
              <w:rPr>
                <w:rFonts w:ascii="Times New Roman" w:hAnsi="Times New Roman"/>
                <w:sz w:val="24"/>
                <w:szCs w:val="24"/>
              </w:rPr>
              <w:t xml:space="preserve">Cita informācija </w:t>
            </w:r>
          </w:p>
        </w:tc>
        <w:tc>
          <w:tcPr>
            <w:tcW w:w="7106" w:type="dxa"/>
          </w:tcPr>
          <w:p w:rsidR="00F66D8B" w:rsidRPr="00074E4B" w:rsidRDefault="00F66D8B" w:rsidP="00153D4C">
            <w:pPr>
              <w:spacing w:after="0" w:line="240" w:lineRule="auto"/>
              <w:ind w:firstLine="34"/>
              <w:jc w:val="both"/>
              <w:rPr>
                <w:rFonts w:ascii="Times New Roman" w:hAnsi="Times New Roman"/>
                <w:i/>
                <w:sz w:val="24"/>
                <w:szCs w:val="24"/>
              </w:rPr>
            </w:pPr>
            <w:r w:rsidRPr="00074E4B">
              <w:rPr>
                <w:rFonts w:ascii="Times New Roman" w:hAnsi="Times New Roman"/>
                <w:sz w:val="24"/>
                <w:szCs w:val="24"/>
              </w:rPr>
              <w:t>Nav</w:t>
            </w:r>
            <w:r w:rsidRPr="00074E4B">
              <w:rPr>
                <w:rFonts w:ascii="Times New Roman" w:hAnsi="Times New Roman"/>
                <w:i/>
                <w:sz w:val="24"/>
                <w:szCs w:val="24"/>
              </w:rPr>
              <w:t>.</w:t>
            </w:r>
          </w:p>
        </w:tc>
      </w:tr>
    </w:tbl>
    <w:p w:rsidR="00F66D8B" w:rsidRPr="00074E4B" w:rsidRDefault="00F66D8B" w:rsidP="00F66D8B">
      <w:pPr>
        <w:pStyle w:val="naisf"/>
        <w:spacing w:before="0" w:beforeAutospacing="0" w:after="0" w:afterAutospacing="0"/>
        <w:jc w:val="center"/>
        <w:rPr>
          <w:lang w:eastAsia="lv-LV"/>
        </w:rPr>
      </w:pPr>
    </w:p>
    <w:tbl>
      <w:tblPr>
        <w:tblW w:w="9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2771"/>
        <w:gridCol w:w="6139"/>
      </w:tblGrid>
      <w:tr w:rsidR="00F66D8B" w:rsidRPr="00074E4B" w:rsidTr="00153D4C">
        <w:trPr>
          <w:jc w:val="center"/>
        </w:trPr>
        <w:tc>
          <w:tcPr>
            <w:tcW w:w="9327" w:type="dxa"/>
            <w:gridSpan w:val="3"/>
          </w:tcPr>
          <w:p w:rsidR="00F66D8B" w:rsidRPr="00074E4B" w:rsidRDefault="00F66D8B" w:rsidP="00153D4C">
            <w:pPr>
              <w:pStyle w:val="naisf"/>
              <w:spacing w:before="0" w:beforeAutospacing="0" w:after="0" w:afterAutospacing="0"/>
              <w:jc w:val="center"/>
              <w:rPr>
                <w:b/>
                <w:bCs/>
                <w:lang w:val="lv-LV" w:eastAsia="lv-LV"/>
              </w:rPr>
            </w:pPr>
            <w:r w:rsidRPr="00074E4B">
              <w:rPr>
                <w:b/>
                <w:bCs/>
                <w:lang w:val="lv-LV" w:eastAsia="lv-LV"/>
              </w:rPr>
              <w:t>V. Tiesību akta projekta atbilstība Latvijas Republikas starptautiskajām saistībām</w:t>
            </w:r>
          </w:p>
        </w:tc>
      </w:tr>
      <w:tr w:rsidR="00F66D8B" w:rsidRPr="00074E4B" w:rsidTr="00153D4C">
        <w:trPr>
          <w:jc w:val="center"/>
        </w:trPr>
        <w:tc>
          <w:tcPr>
            <w:tcW w:w="417" w:type="dxa"/>
          </w:tcPr>
          <w:p w:rsidR="00F66D8B" w:rsidRPr="00074E4B" w:rsidRDefault="00F66D8B" w:rsidP="00153D4C">
            <w:pPr>
              <w:pStyle w:val="naisf"/>
              <w:spacing w:before="0" w:beforeAutospacing="0" w:after="0" w:afterAutospacing="0"/>
              <w:rPr>
                <w:iCs/>
                <w:lang w:val="lv-LV" w:eastAsia="lv-LV"/>
              </w:rPr>
            </w:pPr>
            <w:r w:rsidRPr="00074E4B">
              <w:rPr>
                <w:iCs/>
                <w:lang w:val="lv-LV" w:eastAsia="lv-LV"/>
              </w:rPr>
              <w:t>1.</w:t>
            </w:r>
          </w:p>
        </w:tc>
        <w:tc>
          <w:tcPr>
            <w:tcW w:w="2771" w:type="dxa"/>
          </w:tcPr>
          <w:p w:rsidR="00F66D8B" w:rsidRPr="00074E4B" w:rsidRDefault="00F66D8B" w:rsidP="00153D4C">
            <w:pPr>
              <w:pStyle w:val="naisf"/>
              <w:spacing w:before="0" w:beforeAutospacing="0" w:after="0" w:afterAutospacing="0"/>
              <w:jc w:val="center"/>
              <w:rPr>
                <w:iCs/>
                <w:lang w:val="lv-LV" w:eastAsia="lv-LV"/>
              </w:rPr>
            </w:pPr>
            <w:r w:rsidRPr="00074E4B">
              <w:rPr>
                <w:lang w:val="lv-LV" w:eastAsia="lv-LV"/>
              </w:rPr>
              <w:t>Saistības pret Eiropas Savienību</w:t>
            </w:r>
          </w:p>
        </w:tc>
        <w:tc>
          <w:tcPr>
            <w:tcW w:w="6139" w:type="dxa"/>
          </w:tcPr>
          <w:p w:rsidR="00F66D8B" w:rsidRPr="00074E4B" w:rsidRDefault="00F66D8B" w:rsidP="00153D4C">
            <w:pPr>
              <w:pStyle w:val="naisf"/>
              <w:spacing w:before="0" w:beforeAutospacing="0" w:after="0" w:afterAutospacing="0"/>
              <w:jc w:val="both"/>
              <w:rPr>
                <w:lang w:val="lv-LV" w:eastAsia="lv-LV"/>
              </w:rPr>
            </w:pPr>
            <w:r w:rsidRPr="00074E4B">
              <w:rPr>
                <w:lang w:val="lv-LV" w:eastAsia="lv-LV"/>
              </w:rPr>
              <w:t>Projekts šo jomu neskar.</w:t>
            </w:r>
          </w:p>
        </w:tc>
      </w:tr>
      <w:tr w:rsidR="00F66D8B" w:rsidRPr="00074E4B" w:rsidTr="00153D4C">
        <w:trPr>
          <w:jc w:val="center"/>
        </w:trPr>
        <w:tc>
          <w:tcPr>
            <w:tcW w:w="417" w:type="dxa"/>
          </w:tcPr>
          <w:p w:rsidR="00F66D8B" w:rsidRPr="00074E4B" w:rsidRDefault="00F66D8B" w:rsidP="00153D4C">
            <w:pPr>
              <w:pStyle w:val="naisf"/>
              <w:spacing w:before="0" w:beforeAutospacing="0" w:after="0" w:afterAutospacing="0"/>
              <w:rPr>
                <w:iCs/>
                <w:lang w:val="lv-LV" w:eastAsia="lv-LV"/>
              </w:rPr>
            </w:pPr>
            <w:r w:rsidRPr="00074E4B">
              <w:rPr>
                <w:iCs/>
                <w:lang w:val="lv-LV" w:eastAsia="lv-LV"/>
              </w:rPr>
              <w:t>2.</w:t>
            </w:r>
          </w:p>
        </w:tc>
        <w:tc>
          <w:tcPr>
            <w:tcW w:w="2771" w:type="dxa"/>
          </w:tcPr>
          <w:p w:rsidR="00F66D8B" w:rsidRPr="00074E4B" w:rsidRDefault="00F66D8B" w:rsidP="00153D4C">
            <w:pPr>
              <w:pStyle w:val="naisf"/>
              <w:spacing w:before="0" w:beforeAutospacing="0" w:after="0" w:afterAutospacing="0"/>
              <w:jc w:val="center"/>
              <w:rPr>
                <w:iCs/>
                <w:lang w:val="lv-LV" w:eastAsia="lv-LV"/>
              </w:rPr>
            </w:pPr>
            <w:r w:rsidRPr="00074E4B">
              <w:rPr>
                <w:lang w:val="lv-LV" w:eastAsia="lv-LV"/>
              </w:rPr>
              <w:t>Citas starptautiskās saistības</w:t>
            </w:r>
          </w:p>
        </w:tc>
        <w:tc>
          <w:tcPr>
            <w:tcW w:w="6139" w:type="dxa"/>
          </w:tcPr>
          <w:p w:rsidR="00F66D8B" w:rsidRPr="00074E4B" w:rsidRDefault="00F66D8B" w:rsidP="00153D4C">
            <w:pPr>
              <w:pStyle w:val="naisf"/>
              <w:spacing w:before="0" w:beforeAutospacing="0" w:after="0" w:afterAutospacing="0"/>
              <w:jc w:val="both"/>
              <w:rPr>
                <w:iCs/>
                <w:lang w:val="lv-LV" w:eastAsia="lv-LV"/>
              </w:rPr>
            </w:pPr>
            <w:r w:rsidRPr="00074E4B">
              <w:rPr>
                <w:iCs/>
                <w:lang w:val="lv-LV" w:eastAsia="lv-LV"/>
              </w:rPr>
              <w:t>Projekts šo jomu neskar.</w:t>
            </w:r>
          </w:p>
        </w:tc>
      </w:tr>
      <w:tr w:rsidR="00F66D8B" w:rsidRPr="00074E4B" w:rsidTr="00153D4C">
        <w:trPr>
          <w:jc w:val="center"/>
        </w:trPr>
        <w:tc>
          <w:tcPr>
            <w:tcW w:w="417" w:type="dxa"/>
          </w:tcPr>
          <w:p w:rsidR="00F66D8B" w:rsidRPr="00074E4B" w:rsidRDefault="00F66D8B" w:rsidP="00153D4C">
            <w:pPr>
              <w:pStyle w:val="naisf"/>
              <w:spacing w:before="0" w:beforeAutospacing="0" w:after="0" w:afterAutospacing="0"/>
              <w:rPr>
                <w:iCs/>
                <w:lang w:val="lv-LV" w:eastAsia="lv-LV"/>
              </w:rPr>
            </w:pPr>
            <w:r w:rsidRPr="00074E4B">
              <w:rPr>
                <w:iCs/>
                <w:lang w:val="lv-LV" w:eastAsia="lv-LV"/>
              </w:rPr>
              <w:t>3.</w:t>
            </w:r>
          </w:p>
        </w:tc>
        <w:tc>
          <w:tcPr>
            <w:tcW w:w="2771" w:type="dxa"/>
          </w:tcPr>
          <w:p w:rsidR="00F66D8B" w:rsidRPr="00074E4B" w:rsidRDefault="00F66D8B" w:rsidP="00153D4C">
            <w:pPr>
              <w:pStyle w:val="naisf"/>
              <w:spacing w:before="0" w:beforeAutospacing="0" w:after="0" w:afterAutospacing="0"/>
              <w:jc w:val="center"/>
              <w:rPr>
                <w:lang w:val="lv-LV" w:eastAsia="lv-LV"/>
              </w:rPr>
            </w:pPr>
            <w:r w:rsidRPr="00074E4B">
              <w:rPr>
                <w:lang w:val="lv-LV" w:eastAsia="lv-LV"/>
              </w:rPr>
              <w:t>Cita informācija</w:t>
            </w:r>
          </w:p>
        </w:tc>
        <w:tc>
          <w:tcPr>
            <w:tcW w:w="6139" w:type="dxa"/>
          </w:tcPr>
          <w:p w:rsidR="00F66D8B" w:rsidRPr="00074E4B" w:rsidRDefault="00F66D8B" w:rsidP="00153D4C">
            <w:pPr>
              <w:pStyle w:val="naisf"/>
              <w:spacing w:before="0" w:beforeAutospacing="0" w:after="0" w:afterAutospacing="0"/>
              <w:jc w:val="both"/>
              <w:rPr>
                <w:iCs/>
                <w:lang w:val="lv-LV" w:eastAsia="lv-LV"/>
              </w:rPr>
            </w:pPr>
            <w:r w:rsidRPr="00074E4B">
              <w:rPr>
                <w:iCs/>
                <w:lang w:val="lv-LV" w:eastAsia="lv-LV"/>
              </w:rPr>
              <w:t xml:space="preserve">Nav. </w:t>
            </w:r>
          </w:p>
        </w:tc>
      </w:tr>
    </w:tbl>
    <w:p w:rsidR="00F66D8B" w:rsidRPr="00074E4B" w:rsidRDefault="00F66D8B" w:rsidP="00F66D8B">
      <w:pPr>
        <w:pStyle w:val="naisf"/>
        <w:spacing w:before="0" w:beforeAutospacing="0" w:after="0" w:afterAutospacing="0"/>
        <w:jc w:val="center"/>
        <w:rPr>
          <w:i/>
          <w:lang w:eastAsia="lv-LV"/>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0"/>
        <w:gridCol w:w="3827"/>
        <w:gridCol w:w="5135"/>
      </w:tblGrid>
      <w:tr w:rsidR="00F66D8B" w:rsidRPr="00074E4B" w:rsidTr="00153D4C">
        <w:trPr>
          <w:trHeight w:val="421"/>
          <w:jc w:val="center"/>
        </w:trPr>
        <w:tc>
          <w:tcPr>
            <w:tcW w:w="9422" w:type="dxa"/>
            <w:gridSpan w:val="3"/>
            <w:tcBorders>
              <w:top w:val="single" w:sz="4" w:space="0" w:color="auto"/>
              <w:left w:val="single" w:sz="4" w:space="0" w:color="auto"/>
              <w:bottom w:val="single" w:sz="4" w:space="0" w:color="auto"/>
              <w:right w:val="single" w:sz="4" w:space="0" w:color="auto"/>
            </w:tcBorders>
            <w:vAlign w:val="center"/>
            <w:hideMark/>
          </w:tcPr>
          <w:p w:rsidR="00F66D8B" w:rsidRPr="00074E4B" w:rsidRDefault="00F66D8B" w:rsidP="00153D4C">
            <w:pPr>
              <w:pStyle w:val="naisnod"/>
              <w:spacing w:before="0" w:beforeAutospacing="0" w:after="0" w:afterAutospacing="0"/>
              <w:ind w:right="57"/>
              <w:jc w:val="center"/>
            </w:pPr>
            <w:r w:rsidRPr="00074E4B">
              <w:rPr>
                <w:b/>
              </w:rPr>
              <w:t>VI. Sabiedrības līdzdalība un komunikācijas aktivitātes</w:t>
            </w:r>
          </w:p>
        </w:tc>
      </w:tr>
      <w:tr w:rsidR="00F66D8B" w:rsidRPr="00074E4B" w:rsidTr="00153D4C">
        <w:trPr>
          <w:trHeight w:val="553"/>
          <w:jc w:val="center"/>
        </w:trPr>
        <w:tc>
          <w:tcPr>
            <w:tcW w:w="460" w:type="dxa"/>
            <w:tcBorders>
              <w:top w:val="single" w:sz="4" w:space="0" w:color="auto"/>
              <w:left w:val="single" w:sz="4" w:space="0" w:color="auto"/>
              <w:bottom w:val="single" w:sz="4" w:space="0" w:color="auto"/>
              <w:right w:val="single" w:sz="4" w:space="0" w:color="auto"/>
            </w:tcBorders>
            <w:hideMark/>
          </w:tcPr>
          <w:p w:rsidR="00F66D8B" w:rsidRPr="00074E4B" w:rsidRDefault="00F66D8B" w:rsidP="00153D4C">
            <w:pPr>
              <w:spacing w:after="0" w:line="240" w:lineRule="auto"/>
              <w:ind w:right="57"/>
              <w:jc w:val="both"/>
              <w:rPr>
                <w:rFonts w:ascii="Times New Roman" w:hAnsi="Times New Roman"/>
                <w:bCs/>
                <w:sz w:val="24"/>
                <w:szCs w:val="24"/>
              </w:rPr>
            </w:pPr>
            <w:r w:rsidRPr="00074E4B">
              <w:rPr>
                <w:rFonts w:ascii="Times New Roman" w:hAnsi="Times New Roman"/>
                <w:bCs/>
                <w:sz w:val="24"/>
                <w:szCs w:val="24"/>
              </w:rPr>
              <w:t>1.</w:t>
            </w:r>
          </w:p>
        </w:tc>
        <w:tc>
          <w:tcPr>
            <w:tcW w:w="3827" w:type="dxa"/>
            <w:tcBorders>
              <w:top w:val="single" w:sz="4" w:space="0" w:color="auto"/>
              <w:left w:val="single" w:sz="4" w:space="0" w:color="auto"/>
              <w:bottom w:val="single" w:sz="4" w:space="0" w:color="auto"/>
              <w:right w:val="single" w:sz="4" w:space="0" w:color="auto"/>
            </w:tcBorders>
            <w:hideMark/>
          </w:tcPr>
          <w:p w:rsidR="00F66D8B" w:rsidRPr="00074E4B" w:rsidRDefault="00F66D8B" w:rsidP="00153D4C">
            <w:pPr>
              <w:tabs>
                <w:tab w:val="left" w:pos="170"/>
              </w:tabs>
              <w:spacing w:after="0" w:line="240" w:lineRule="auto"/>
              <w:ind w:right="57"/>
              <w:rPr>
                <w:rFonts w:ascii="Times New Roman" w:hAnsi="Times New Roman"/>
                <w:sz w:val="24"/>
                <w:szCs w:val="24"/>
                <w:lang w:eastAsia="lv-LV"/>
              </w:rPr>
            </w:pPr>
            <w:r w:rsidRPr="00074E4B">
              <w:rPr>
                <w:rFonts w:ascii="Times New Roman" w:hAnsi="Times New Roman"/>
                <w:sz w:val="24"/>
                <w:szCs w:val="24"/>
                <w:lang w:eastAsia="lv-LV"/>
              </w:rPr>
              <w:t>Plānotās sabiedrības līdzdalības un komunikācijas aktivitātes saistībā ar projektu</w:t>
            </w:r>
          </w:p>
        </w:tc>
        <w:tc>
          <w:tcPr>
            <w:tcW w:w="5135" w:type="dxa"/>
            <w:tcBorders>
              <w:top w:val="single" w:sz="4" w:space="0" w:color="auto"/>
              <w:left w:val="single" w:sz="4" w:space="0" w:color="auto"/>
              <w:bottom w:val="single" w:sz="4" w:space="0" w:color="auto"/>
              <w:right w:val="single" w:sz="4" w:space="0" w:color="auto"/>
            </w:tcBorders>
            <w:hideMark/>
          </w:tcPr>
          <w:p w:rsidR="00F66D8B" w:rsidRPr="00074E4B" w:rsidRDefault="00F66D8B" w:rsidP="00153D4C">
            <w:pPr>
              <w:autoSpaceDE w:val="0"/>
              <w:autoSpaceDN w:val="0"/>
              <w:adjustRightInd w:val="0"/>
              <w:spacing w:after="0" w:line="240" w:lineRule="auto"/>
              <w:jc w:val="both"/>
              <w:rPr>
                <w:rFonts w:ascii="Times New Roman" w:hAnsi="Times New Roman"/>
                <w:sz w:val="24"/>
                <w:szCs w:val="24"/>
              </w:rPr>
            </w:pPr>
            <w:bookmarkStart w:id="1" w:name="p61"/>
            <w:bookmarkEnd w:id="1"/>
            <w:r>
              <w:rPr>
                <w:rFonts w:ascii="Times New Roman" w:hAnsi="Times New Roman"/>
                <w:sz w:val="24"/>
                <w:szCs w:val="24"/>
              </w:rPr>
              <w:t xml:space="preserve">Likumprojekti apspriesti un atbalstīti </w:t>
            </w:r>
            <w:r w:rsidRPr="00074E4B">
              <w:rPr>
                <w:rFonts w:ascii="Times New Roman" w:hAnsi="Times New Roman"/>
                <w:sz w:val="24"/>
                <w:szCs w:val="24"/>
              </w:rPr>
              <w:t>Finanšu sektora attīstības padomē</w:t>
            </w:r>
            <w:r>
              <w:rPr>
                <w:rFonts w:ascii="Times New Roman" w:hAnsi="Times New Roman"/>
                <w:sz w:val="24"/>
                <w:szCs w:val="24"/>
              </w:rPr>
              <w:t xml:space="preserve"> š.g. 11.septembrī. Ievērojot, ka Finanšu sektora attīstības padomē darbojas arī sektora nevalstisko organizāciju pārstāvji (Finanšu nozares asociācija, Latvijas Apdrošinātāju asociācija, Latvijas Maksājumu pakalpojumu un elektroniskās naudas iestāžu asociācija, Latvijas Alternatīvo finanšu pakalpojumu asociācija), likumprojekti no nozares NVO puses tiek atbalstīti. </w:t>
            </w:r>
          </w:p>
        </w:tc>
      </w:tr>
      <w:tr w:rsidR="00F66D8B" w:rsidRPr="00074E4B" w:rsidTr="00153D4C">
        <w:trPr>
          <w:trHeight w:val="266"/>
          <w:jc w:val="center"/>
        </w:trPr>
        <w:tc>
          <w:tcPr>
            <w:tcW w:w="460" w:type="dxa"/>
            <w:tcBorders>
              <w:top w:val="single" w:sz="4" w:space="0" w:color="auto"/>
              <w:left w:val="single" w:sz="4" w:space="0" w:color="auto"/>
              <w:bottom w:val="single" w:sz="4" w:space="0" w:color="auto"/>
              <w:right w:val="single" w:sz="4" w:space="0" w:color="auto"/>
            </w:tcBorders>
            <w:hideMark/>
          </w:tcPr>
          <w:p w:rsidR="00F66D8B" w:rsidRPr="00074E4B" w:rsidRDefault="00F66D8B" w:rsidP="00153D4C">
            <w:pPr>
              <w:spacing w:after="0" w:line="240" w:lineRule="auto"/>
              <w:ind w:right="57"/>
              <w:jc w:val="both"/>
              <w:rPr>
                <w:rFonts w:ascii="Times New Roman" w:hAnsi="Times New Roman"/>
                <w:bCs/>
                <w:sz w:val="24"/>
                <w:szCs w:val="24"/>
              </w:rPr>
            </w:pPr>
            <w:r w:rsidRPr="00074E4B">
              <w:rPr>
                <w:rFonts w:ascii="Times New Roman" w:hAnsi="Times New Roman"/>
                <w:bCs/>
                <w:sz w:val="24"/>
                <w:szCs w:val="24"/>
              </w:rPr>
              <w:t>2.</w:t>
            </w:r>
          </w:p>
        </w:tc>
        <w:tc>
          <w:tcPr>
            <w:tcW w:w="3827" w:type="dxa"/>
            <w:tcBorders>
              <w:top w:val="single" w:sz="4" w:space="0" w:color="auto"/>
              <w:left w:val="single" w:sz="4" w:space="0" w:color="auto"/>
              <w:bottom w:val="single" w:sz="4" w:space="0" w:color="auto"/>
              <w:right w:val="single" w:sz="4" w:space="0" w:color="auto"/>
            </w:tcBorders>
            <w:hideMark/>
          </w:tcPr>
          <w:p w:rsidR="00F66D8B" w:rsidRPr="00074E4B" w:rsidRDefault="00F66D8B" w:rsidP="00153D4C">
            <w:pPr>
              <w:spacing w:after="0" w:line="240" w:lineRule="auto"/>
              <w:ind w:right="57"/>
              <w:rPr>
                <w:rFonts w:ascii="Times New Roman" w:hAnsi="Times New Roman"/>
                <w:sz w:val="24"/>
                <w:szCs w:val="24"/>
                <w:lang w:eastAsia="lv-LV"/>
              </w:rPr>
            </w:pPr>
            <w:r w:rsidRPr="00074E4B">
              <w:rPr>
                <w:rFonts w:ascii="Times New Roman" w:hAnsi="Times New Roman"/>
                <w:sz w:val="24"/>
                <w:szCs w:val="24"/>
                <w:lang w:eastAsia="lv-LV"/>
              </w:rPr>
              <w:t>Sabiedrības līdzdalība projekta izstrādē</w:t>
            </w:r>
          </w:p>
        </w:tc>
        <w:tc>
          <w:tcPr>
            <w:tcW w:w="5135" w:type="dxa"/>
            <w:tcBorders>
              <w:top w:val="single" w:sz="4" w:space="0" w:color="auto"/>
              <w:left w:val="single" w:sz="4" w:space="0" w:color="auto"/>
              <w:bottom w:val="single" w:sz="4" w:space="0" w:color="auto"/>
              <w:right w:val="single" w:sz="4" w:space="0" w:color="auto"/>
            </w:tcBorders>
            <w:hideMark/>
          </w:tcPr>
          <w:p w:rsidR="00F66D8B" w:rsidRPr="00074E4B" w:rsidRDefault="00F66D8B" w:rsidP="00153D4C">
            <w:pPr>
              <w:pStyle w:val="NoSpacing"/>
              <w:ind w:right="27"/>
              <w:jc w:val="both"/>
              <w:rPr>
                <w:rFonts w:ascii="Times New Roman" w:eastAsia="Times New Roman" w:hAnsi="Times New Roman"/>
                <w:sz w:val="24"/>
                <w:szCs w:val="24"/>
                <w:lang w:val="lv-LV"/>
              </w:rPr>
            </w:pPr>
            <w:bookmarkStart w:id="2" w:name="p62"/>
            <w:bookmarkEnd w:id="2"/>
            <w:r w:rsidRPr="00074E4B">
              <w:rPr>
                <w:rFonts w:ascii="Times New Roman" w:eastAsia="Times New Roman" w:hAnsi="Times New Roman"/>
                <w:sz w:val="24"/>
                <w:szCs w:val="24"/>
                <w:lang w:val="lv-LV"/>
              </w:rPr>
              <w:t>Fin</w:t>
            </w:r>
            <w:r>
              <w:rPr>
                <w:rFonts w:ascii="Times New Roman" w:eastAsia="Times New Roman" w:hAnsi="Times New Roman"/>
                <w:sz w:val="24"/>
                <w:szCs w:val="24"/>
                <w:lang w:val="lv-LV"/>
              </w:rPr>
              <w:t xml:space="preserve">anšu sektora attīstības padomē izteiktie priekšlikumi ņemti vērā un likumprojekts attiecīgi precizēts. </w:t>
            </w:r>
          </w:p>
        </w:tc>
      </w:tr>
      <w:tr w:rsidR="00F66D8B" w:rsidRPr="00074E4B" w:rsidTr="00153D4C">
        <w:trPr>
          <w:trHeight w:val="274"/>
          <w:jc w:val="center"/>
        </w:trPr>
        <w:tc>
          <w:tcPr>
            <w:tcW w:w="460" w:type="dxa"/>
            <w:tcBorders>
              <w:top w:val="single" w:sz="4" w:space="0" w:color="auto"/>
              <w:left w:val="single" w:sz="4" w:space="0" w:color="auto"/>
              <w:bottom w:val="single" w:sz="4" w:space="0" w:color="auto"/>
              <w:right w:val="single" w:sz="4" w:space="0" w:color="auto"/>
            </w:tcBorders>
            <w:hideMark/>
          </w:tcPr>
          <w:p w:rsidR="00F66D8B" w:rsidRPr="00074E4B" w:rsidRDefault="00F66D8B" w:rsidP="00153D4C">
            <w:pPr>
              <w:spacing w:after="0" w:line="240" w:lineRule="auto"/>
              <w:ind w:right="57"/>
              <w:jc w:val="both"/>
              <w:rPr>
                <w:rFonts w:ascii="Times New Roman" w:hAnsi="Times New Roman"/>
                <w:bCs/>
                <w:sz w:val="24"/>
                <w:szCs w:val="24"/>
              </w:rPr>
            </w:pPr>
            <w:r w:rsidRPr="00074E4B">
              <w:rPr>
                <w:rFonts w:ascii="Times New Roman" w:hAnsi="Times New Roman"/>
                <w:bCs/>
                <w:sz w:val="24"/>
                <w:szCs w:val="24"/>
              </w:rPr>
              <w:t>3.</w:t>
            </w:r>
          </w:p>
        </w:tc>
        <w:tc>
          <w:tcPr>
            <w:tcW w:w="3827" w:type="dxa"/>
            <w:tcBorders>
              <w:top w:val="single" w:sz="4" w:space="0" w:color="auto"/>
              <w:left w:val="single" w:sz="4" w:space="0" w:color="auto"/>
              <w:bottom w:val="single" w:sz="4" w:space="0" w:color="auto"/>
              <w:right w:val="single" w:sz="4" w:space="0" w:color="auto"/>
            </w:tcBorders>
            <w:hideMark/>
          </w:tcPr>
          <w:p w:rsidR="00F66D8B" w:rsidRPr="00074E4B" w:rsidRDefault="00F66D8B" w:rsidP="00153D4C">
            <w:pPr>
              <w:spacing w:after="0" w:line="240" w:lineRule="auto"/>
              <w:ind w:right="57"/>
              <w:rPr>
                <w:rFonts w:ascii="Times New Roman" w:hAnsi="Times New Roman"/>
                <w:sz w:val="24"/>
                <w:szCs w:val="24"/>
                <w:lang w:eastAsia="lv-LV"/>
              </w:rPr>
            </w:pPr>
            <w:r w:rsidRPr="00074E4B">
              <w:rPr>
                <w:rFonts w:ascii="Times New Roman" w:hAnsi="Times New Roman"/>
                <w:sz w:val="24"/>
                <w:szCs w:val="24"/>
                <w:lang w:eastAsia="lv-LV"/>
              </w:rPr>
              <w:t>Sabiedrības līdzdalības rezultāti</w:t>
            </w:r>
          </w:p>
        </w:tc>
        <w:tc>
          <w:tcPr>
            <w:tcW w:w="5135" w:type="dxa"/>
            <w:tcBorders>
              <w:top w:val="single" w:sz="4" w:space="0" w:color="auto"/>
              <w:left w:val="single" w:sz="4" w:space="0" w:color="auto"/>
              <w:bottom w:val="single" w:sz="4" w:space="0" w:color="auto"/>
              <w:right w:val="single" w:sz="4" w:space="0" w:color="auto"/>
            </w:tcBorders>
            <w:hideMark/>
          </w:tcPr>
          <w:p w:rsidR="00F66D8B" w:rsidRPr="00074E4B" w:rsidRDefault="00F66D8B" w:rsidP="00153D4C">
            <w:pPr>
              <w:pStyle w:val="NoSpacing"/>
              <w:ind w:right="27"/>
              <w:jc w:val="both"/>
              <w:rPr>
                <w:rFonts w:ascii="Times New Roman" w:eastAsia="Times New Roman" w:hAnsi="Times New Roman"/>
                <w:sz w:val="24"/>
                <w:szCs w:val="24"/>
                <w:lang w:val="lv-LV"/>
              </w:rPr>
            </w:pPr>
            <w:r w:rsidRPr="00074E4B">
              <w:rPr>
                <w:rFonts w:ascii="Times New Roman" w:eastAsia="Times New Roman" w:hAnsi="Times New Roman"/>
                <w:sz w:val="24"/>
                <w:szCs w:val="24"/>
                <w:lang w:val="lv-LV"/>
              </w:rPr>
              <w:t>Fin</w:t>
            </w:r>
            <w:r>
              <w:rPr>
                <w:rFonts w:ascii="Times New Roman" w:eastAsia="Times New Roman" w:hAnsi="Times New Roman"/>
                <w:sz w:val="24"/>
                <w:szCs w:val="24"/>
                <w:lang w:val="lv-LV"/>
              </w:rPr>
              <w:t>anšu sektora attīstības padomē izteiktie priekšlikumi ņemti vērā un likumprojekts attiecīgi precizēts.</w:t>
            </w:r>
          </w:p>
        </w:tc>
      </w:tr>
      <w:tr w:rsidR="00F66D8B" w:rsidRPr="00074E4B" w:rsidTr="00153D4C">
        <w:trPr>
          <w:trHeight w:val="476"/>
          <w:jc w:val="center"/>
        </w:trPr>
        <w:tc>
          <w:tcPr>
            <w:tcW w:w="460" w:type="dxa"/>
            <w:tcBorders>
              <w:top w:val="single" w:sz="4" w:space="0" w:color="auto"/>
              <w:left w:val="single" w:sz="4" w:space="0" w:color="auto"/>
              <w:bottom w:val="single" w:sz="4" w:space="0" w:color="auto"/>
              <w:right w:val="single" w:sz="4" w:space="0" w:color="auto"/>
            </w:tcBorders>
            <w:hideMark/>
          </w:tcPr>
          <w:p w:rsidR="00F66D8B" w:rsidRPr="00074E4B" w:rsidRDefault="00F66D8B" w:rsidP="00153D4C">
            <w:pPr>
              <w:spacing w:after="0" w:line="240" w:lineRule="auto"/>
              <w:ind w:right="57"/>
              <w:jc w:val="both"/>
              <w:rPr>
                <w:rFonts w:ascii="Times New Roman" w:hAnsi="Times New Roman"/>
                <w:bCs/>
                <w:sz w:val="24"/>
                <w:szCs w:val="24"/>
              </w:rPr>
            </w:pPr>
            <w:r w:rsidRPr="00074E4B">
              <w:rPr>
                <w:rFonts w:ascii="Times New Roman" w:hAnsi="Times New Roman"/>
                <w:bCs/>
                <w:sz w:val="24"/>
                <w:szCs w:val="24"/>
              </w:rPr>
              <w:t>4.</w:t>
            </w:r>
          </w:p>
        </w:tc>
        <w:tc>
          <w:tcPr>
            <w:tcW w:w="3827" w:type="dxa"/>
            <w:tcBorders>
              <w:top w:val="single" w:sz="4" w:space="0" w:color="auto"/>
              <w:left w:val="single" w:sz="4" w:space="0" w:color="auto"/>
              <w:bottom w:val="single" w:sz="4" w:space="0" w:color="auto"/>
              <w:right w:val="single" w:sz="4" w:space="0" w:color="auto"/>
            </w:tcBorders>
            <w:hideMark/>
          </w:tcPr>
          <w:p w:rsidR="00F66D8B" w:rsidRPr="00074E4B" w:rsidRDefault="00F66D8B" w:rsidP="00153D4C">
            <w:pPr>
              <w:spacing w:after="0" w:line="240" w:lineRule="auto"/>
              <w:ind w:right="57"/>
              <w:rPr>
                <w:rFonts w:ascii="Times New Roman" w:hAnsi="Times New Roman"/>
                <w:sz w:val="24"/>
                <w:szCs w:val="24"/>
                <w:lang w:eastAsia="lv-LV"/>
              </w:rPr>
            </w:pPr>
            <w:r w:rsidRPr="00074E4B">
              <w:rPr>
                <w:rFonts w:ascii="Times New Roman" w:hAnsi="Times New Roman"/>
                <w:sz w:val="24"/>
                <w:szCs w:val="24"/>
                <w:lang w:eastAsia="lv-LV"/>
              </w:rPr>
              <w:t>Cita informācija</w:t>
            </w:r>
          </w:p>
        </w:tc>
        <w:tc>
          <w:tcPr>
            <w:tcW w:w="5135" w:type="dxa"/>
            <w:tcBorders>
              <w:top w:val="single" w:sz="4" w:space="0" w:color="auto"/>
              <w:left w:val="single" w:sz="4" w:space="0" w:color="auto"/>
              <w:bottom w:val="single" w:sz="4" w:space="0" w:color="auto"/>
              <w:right w:val="single" w:sz="4" w:space="0" w:color="auto"/>
            </w:tcBorders>
            <w:hideMark/>
          </w:tcPr>
          <w:p w:rsidR="00F66D8B" w:rsidRPr="00074E4B" w:rsidRDefault="00F66D8B" w:rsidP="00153D4C">
            <w:pPr>
              <w:spacing w:after="0" w:line="240" w:lineRule="auto"/>
              <w:ind w:right="57"/>
              <w:jc w:val="both"/>
              <w:rPr>
                <w:rFonts w:ascii="Times New Roman" w:hAnsi="Times New Roman"/>
                <w:sz w:val="24"/>
                <w:szCs w:val="24"/>
                <w:lang w:eastAsia="lv-LV"/>
              </w:rPr>
            </w:pPr>
            <w:r w:rsidRPr="00074E4B">
              <w:rPr>
                <w:rFonts w:ascii="Times New Roman" w:hAnsi="Times New Roman"/>
                <w:sz w:val="24"/>
                <w:szCs w:val="24"/>
                <w:lang w:eastAsia="lv-LV"/>
              </w:rPr>
              <w:t>Nav.</w:t>
            </w:r>
          </w:p>
        </w:tc>
      </w:tr>
    </w:tbl>
    <w:p w:rsidR="00F66D8B" w:rsidRPr="00074E4B" w:rsidRDefault="00F66D8B" w:rsidP="00F66D8B">
      <w:pPr>
        <w:spacing w:after="0" w:line="240" w:lineRule="auto"/>
        <w:rPr>
          <w:rFonts w:ascii="Times New Roman" w:hAnsi="Times New Roman"/>
          <w:sz w:val="24"/>
          <w:szCs w:val="24"/>
        </w:rPr>
      </w:pPr>
    </w:p>
    <w:tbl>
      <w:tblPr>
        <w:tblW w:w="9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10"/>
        <w:gridCol w:w="3784"/>
        <w:gridCol w:w="5142"/>
      </w:tblGrid>
      <w:tr w:rsidR="00F66D8B" w:rsidRPr="00074E4B" w:rsidTr="00153D4C">
        <w:trPr>
          <w:trHeight w:val="381"/>
          <w:jc w:val="center"/>
        </w:trPr>
        <w:tc>
          <w:tcPr>
            <w:tcW w:w="9436" w:type="dxa"/>
            <w:gridSpan w:val="3"/>
            <w:tcBorders>
              <w:top w:val="single" w:sz="4" w:space="0" w:color="auto"/>
              <w:left w:val="single" w:sz="4" w:space="0" w:color="auto"/>
              <w:bottom w:val="single" w:sz="4" w:space="0" w:color="auto"/>
              <w:right w:val="single" w:sz="4" w:space="0" w:color="auto"/>
            </w:tcBorders>
            <w:vAlign w:val="center"/>
            <w:hideMark/>
          </w:tcPr>
          <w:p w:rsidR="00F66D8B" w:rsidRPr="00074E4B" w:rsidRDefault="00F66D8B" w:rsidP="00153D4C">
            <w:pPr>
              <w:pStyle w:val="naisnod"/>
              <w:spacing w:before="0" w:beforeAutospacing="0" w:after="0" w:afterAutospacing="0"/>
              <w:ind w:right="57"/>
              <w:jc w:val="center"/>
            </w:pPr>
            <w:r w:rsidRPr="00074E4B">
              <w:rPr>
                <w:b/>
              </w:rPr>
              <w:t>VII. Tiesību akta projekta izpildes nodrošināšana un tās ietekme uz institūcijām</w:t>
            </w:r>
          </w:p>
        </w:tc>
      </w:tr>
      <w:tr w:rsidR="00F66D8B" w:rsidRPr="00074E4B" w:rsidTr="00153D4C">
        <w:trPr>
          <w:trHeight w:val="427"/>
          <w:jc w:val="center"/>
        </w:trPr>
        <w:tc>
          <w:tcPr>
            <w:tcW w:w="510" w:type="dxa"/>
            <w:tcBorders>
              <w:top w:val="single" w:sz="4" w:space="0" w:color="auto"/>
              <w:left w:val="single" w:sz="4" w:space="0" w:color="auto"/>
              <w:bottom w:val="single" w:sz="4" w:space="0" w:color="auto"/>
              <w:right w:val="single" w:sz="4" w:space="0" w:color="auto"/>
            </w:tcBorders>
            <w:hideMark/>
          </w:tcPr>
          <w:p w:rsidR="00F66D8B" w:rsidRPr="00074E4B" w:rsidRDefault="00F66D8B" w:rsidP="00153D4C">
            <w:pPr>
              <w:pStyle w:val="naisnod"/>
              <w:spacing w:before="0" w:beforeAutospacing="0" w:after="0" w:afterAutospacing="0"/>
              <w:ind w:right="57"/>
              <w:jc w:val="both"/>
            </w:pPr>
            <w:r w:rsidRPr="00074E4B">
              <w:t>1.</w:t>
            </w:r>
          </w:p>
        </w:tc>
        <w:tc>
          <w:tcPr>
            <w:tcW w:w="3784" w:type="dxa"/>
            <w:tcBorders>
              <w:top w:val="single" w:sz="4" w:space="0" w:color="auto"/>
              <w:left w:val="single" w:sz="4" w:space="0" w:color="auto"/>
              <w:bottom w:val="single" w:sz="4" w:space="0" w:color="auto"/>
              <w:right w:val="single" w:sz="4" w:space="0" w:color="auto"/>
            </w:tcBorders>
            <w:hideMark/>
          </w:tcPr>
          <w:p w:rsidR="00F66D8B" w:rsidRPr="00074E4B" w:rsidRDefault="00F66D8B" w:rsidP="00153D4C">
            <w:pPr>
              <w:pStyle w:val="naisf"/>
              <w:spacing w:before="0" w:beforeAutospacing="0" w:after="0" w:afterAutospacing="0"/>
              <w:ind w:right="57"/>
              <w:rPr>
                <w:lang w:val="lv-LV"/>
              </w:rPr>
            </w:pPr>
            <w:r w:rsidRPr="00074E4B">
              <w:rPr>
                <w:lang w:val="lv-LV"/>
              </w:rPr>
              <w:t>Projekta izpildē iesaistītās institūcijas</w:t>
            </w:r>
          </w:p>
        </w:tc>
        <w:tc>
          <w:tcPr>
            <w:tcW w:w="5142" w:type="dxa"/>
            <w:tcBorders>
              <w:top w:val="single" w:sz="4" w:space="0" w:color="auto"/>
              <w:left w:val="single" w:sz="4" w:space="0" w:color="auto"/>
              <w:bottom w:val="single" w:sz="4" w:space="0" w:color="auto"/>
              <w:right w:val="single" w:sz="4" w:space="0" w:color="auto"/>
            </w:tcBorders>
          </w:tcPr>
          <w:p w:rsidR="00F66D8B" w:rsidRPr="00074E4B" w:rsidRDefault="00F66D8B" w:rsidP="00153D4C">
            <w:pPr>
              <w:spacing w:after="0" w:line="240" w:lineRule="auto"/>
              <w:jc w:val="both"/>
              <w:rPr>
                <w:rFonts w:ascii="Times New Roman" w:hAnsi="Times New Roman"/>
                <w:sz w:val="24"/>
                <w:szCs w:val="24"/>
              </w:rPr>
            </w:pPr>
            <w:bookmarkStart w:id="3" w:name="p69"/>
            <w:bookmarkStart w:id="4" w:name="p68"/>
            <w:bookmarkStart w:id="5" w:name="p67"/>
            <w:bookmarkStart w:id="6" w:name="p66"/>
            <w:bookmarkEnd w:id="3"/>
            <w:bookmarkEnd w:id="4"/>
            <w:bookmarkEnd w:id="5"/>
            <w:bookmarkEnd w:id="6"/>
            <w:r w:rsidRPr="00074E4B">
              <w:rPr>
                <w:rFonts w:ascii="Times New Roman" w:hAnsi="Times New Roman"/>
                <w:sz w:val="24"/>
                <w:szCs w:val="24"/>
              </w:rPr>
              <w:t xml:space="preserve">Ministru kabinets, Kontroles dienests, Latvijas Republikas Ģenerālprokuratūra. </w:t>
            </w:r>
          </w:p>
        </w:tc>
      </w:tr>
      <w:tr w:rsidR="00F66D8B" w:rsidRPr="00074E4B" w:rsidTr="00153D4C">
        <w:trPr>
          <w:trHeight w:val="463"/>
          <w:jc w:val="center"/>
        </w:trPr>
        <w:tc>
          <w:tcPr>
            <w:tcW w:w="510" w:type="dxa"/>
            <w:tcBorders>
              <w:top w:val="single" w:sz="4" w:space="0" w:color="auto"/>
              <w:left w:val="single" w:sz="4" w:space="0" w:color="auto"/>
              <w:bottom w:val="single" w:sz="4" w:space="0" w:color="auto"/>
              <w:right w:val="single" w:sz="4" w:space="0" w:color="auto"/>
            </w:tcBorders>
            <w:hideMark/>
          </w:tcPr>
          <w:p w:rsidR="00F66D8B" w:rsidRPr="00074E4B" w:rsidRDefault="00F66D8B" w:rsidP="00153D4C">
            <w:pPr>
              <w:pStyle w:val="naisnod"/>
              <w:spacing w:before="0" w:beforeAutospacing="0" w:after="0" w:afterAutospacing="0"/>
              <w:ind w:right="57"/>
              <w:jc w:val="both"/>
            </w:pPr>
            <w:r w:rsidRPr="00074E4B">
              <w:t>2.</w:t>
            </w:r>
          </w:p>
        </w:tc>
        <w:tc>
          <w:tcPr>
            <w:tcW w:w="3784" w:type="dxa"/>
            <w:tcBorders>
              <w:top w:val="single" w:sz="4" w:space="0" w:color="auto"/>
              <w:left w:val="single" w:sz="4" w:space="0" w:color="auto"/>
              <w:bottom w:val="single" w:sz="4" w:space="0" w:color="auto"/>
              <w:right w:val="single" w:sz="4" w:space="0" w:color="auto"/>
            </w:tcBorders>
            <w:hideMark/>
          </w:tcPr>
          <w:p w:rsidR="00F66D8B" w:rsidRPr="00074E4B" w:rsidRDefault="00F66D8B" w:rsidP="00153D4C">
            <w:pPr>
              <w:pStyle w:val="naisf"/>
              <w:spacing w:before="0" w:beforeAutospacing="0" w:after="0" w:afterAutospacing="0"/>
              <w:ind w:right="57"/>
              <w:rPr>
                <w:lang w:val="lv-LV" w:eastAsia="lv-LV"/>
              </w:rPr>
            </w:pPr>
            <w:r w:rsidRPr="00074E4B">
              <w:rPr>
                <w:lang w:val="lv-LV"/>
              </w:rPr>
              <w:t>Projekta izpildes ietekme uz pār</w:t>
            </w:r>
            <w:r w:rsidRPr="00074E4B">
              <w:rPr>
                <w:lang w:val="lv-LV"/>
              </w:rPr>
              <w:softHyphen/>
              <w:t>valdes funkcijām un institucionālo struktūru.</w:t>
            </w:r>
          </w:p>
          <w:p w:rsidR="00F66D8B" w:rsidRPr="00074E4B" w:rsidRDefault="00F66D8B" w:rsidP="00153D4C">
            <w:pPr>
              <w:pStyle w:val="naisf"/>
              <w:spacing w:before="0" w:beforeAutospacing="0" w:after="0" w:afterAutospacing="0"/>
              <w:ind w:right="57"/>
              <w:rPr>
                <w:lang w:val="lv-LV"/>
              </w:rPr>
            </w:pPr>
            <w:r w:rsidRPr="00074E4B">
              <w:rPr>
                <w:lang w:val="lv-LV"/>
              </w:rPr>
              <w:t>Jaunu institūciju izveide, esošu institūciju likvidācija vai reorga</w:t>
            </w:r>
            <w:r w:rsidRPr="00074E4B">
              <w:rPr>
                <w:lang w:val="lv-LV"/>
              </w:rPr>
              <w:softHyphen/>
              <w:t>nizācija, to ietekme uz institūcijas cilvēkresursiem</w:t>
            </w:r>
          </w:p>
        </w:tc>
        <w:tc>
          <w:tcPr>
            <w:tcW w:w="5142" w:type="dxa"/>
            <w:tcBorders>
              <w:top w:val="single" w:sz="4" w:space="0" w:color="auto"/>
              <w:left w:val="single" w:sz="4" w:space="0" w:color="auto"/>
              <w:bottom w:val="single" w:sz="4" w:space="0" w:color="auto"/>
              <w:right w:val="single" w:sz="4" w:space="0" w:color="auto"/>
            </w:tcBorders>
          </w:tcPr>
          <w:p w:rsidR="00F66D8B" w:rsidRDefault="00F66D8B" w:rsidP="00153D4C">
            <w:pPr>
              <w:spacing w:after="0" w:line="240" w:lineRule="auto"/>
              <w:jc w:val="both"/>
              <w:rPr>
                <w:rFonts w:ascii="Times New Roman" w:hAnsi="Times New Roman"/>
                <w:sz w:val="24"/>
                <w:szCs w:val="24"/>
              </w:rPr>
            </w:pPr>
            <w:r w:rsidRPr="00074E4B">
              <w:rPr>
                <w:rFonts w:ascii="Times New Roman" w:hAnsi="Times New Roman"/>
                <w:sz w:val="24"/>
                <w:szCs w:val="24"/>
              </w:rPr>
              <w:t xml:space="preserve">Projekta izpildes rezultātā ir paredzēta pārraudzības modeļa maiņa, kā arī Kontroles dienesta iekšēja reorganizācija. </w:t>
            </w:r>
          </w:p>
          <w:p w:rsidR="00F66D8B" w:rsidRPr="00074E4B" w:rsidRDefault="00F66D8B" w:rsidP="00153D4C">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Projekts paredz divu amata vietu pārdali starp Finanšu ministriju</w:t>
            </w:r>
            <w:r w:rsidRPr="008D409E">
              <w:rPr>
                <w:rFonts w:ascii="Times New Roman" w:eastAsia="Times New Roman" w:hAnsi="Times New Roman"/>
                <w:sz w:val="24"/>
                <w:szCs w:val="24"/>
                <w:lang w:eastAsia="lv-LV"/>
              </w:rPr>
              <w:t xml:space="preserve"> un </w:t>
            </w:r>
            <w:proofErr w:type="spellStart"/>
            <w:r>
              <w:rPr>
                <w:rFonts w:ascii="Times New Roman" w:eastAsia="Times New Roman" w:hAnsi="Times New Roman"/>
                <w:sz w:val="24"/>
                <w:szCs w:val="24"/>
                <w:lang w:eastAsia="lv-LV"/>
              </w:rPr>
              <w:t>Iekšlietu</w:t>
            </w:r>
            <w:proofErr w:type="spellEnd"/>
            <w:r>
              <w:rPr>
                <w:rFonts w:ascii="Times New Roman" w:eastAsia="Times New Roman" w:hAnsi="Times New Roman"/>
                <w:sz w:val="24"/>
                <w:szCs w:val="24"/>
                <w:lang w:eastAsia="lv-LV"/>
              </w:rPr>
              <w:t xml:space="preserve"> ministriju.</w:t>
            </w:r>
          </w:p>
        </w:tc>
      </w:tr>
      <w:tr w:rsidR="00F66D8B" w:rsidRPr="00A739EF" w:rsidTr="00153D4C">
        <w:trPr>
          <w:trHeight w:val="263"/>
          <w:jc w:val="center"/>
        </w:trPr>
        <w:tc>
          <w:tcPr>
            <w:tcW w:w="510" w:type="dxa"/>
            <w:tcBorders>
              <w:top w:val="single" w:sz="4" w:space="0" w:color="auto"/>
              <w:left w:val="single" w:sz="4" w:space="0" w:color="auto"/>
              <w:bottom w:val="single" w:sz="4" w:space="0" w:color="auto"/>
              <w:right w:val="single" w:sz="4" w:space="0" w:color="auto"/>
            </w:tcBorders>
            <w:hideMark/>
          </w:tcPr>
          <w:p w:rsidR="00F66D8B" w:rsidRPr="00074E4B" w:rsidRDefault="00F66D8B" w:rsidP="00153D4C">
            <w:pPr>
              <w:pStyle w:val="naisnod"/>
              <w:spacing w:before="0" w:beforeAutospacing="0" w:after="0" w:afterAutospacing="0"/>
              <w:ind w:right="57"/>
              <w:jc w:val="both"/>
            </w:pPr>
            <w:r w:rsidRPr="00074E4B">
              <w:t>3.</w:t>
            </w:r>
          </w:p>
        </w:tc>
        <w:tc>
          <w:tcPr>
            <w:tcW w:w="3784" w:type="dxa"/>
            <w:tcBorders>
              <w:top w:val="single" w:sz="4" w:space="0" w:color="auto"/>
              <w:left w:val="single" w:sz="4" w:space="0" w:color="auto"/>
              <w:bottom w:val="single" w:sz="4" w:space="0" w:color="auto"/>
              <w:right w:val="single" w:sz="4" w:space="0" w:color="auto"/>
            </w:tcBorders>
            <w:hideMark/>
          </w:tcPr>
          <w:p w:rsidR="00F66D8B" w:rsidRPr="00074E4B" w:rsidRDefault="00F66D8B" w:rsidP="00153D4C">
            <w:pPr>
              <w:pStyle w:val="naisf"/>
              <w:spacing w:before="0" w:beforeAutospacing="0" w:after="0" w:afterAutospacing="0"/>
              <w:ind w:right="57"/>
              <w:rPr>
                <w:lang w:val="lv-LV"/>
              </w:rPr>
            </w:pPr>
            <w:r w:rsidRPr="00074E4B">
              <w:rPr>
                <w:lang w:val="lv-LV"/>
              </w:rPr>
              <w:t>Cita informācija</w:t>
            </w:r>
          </w:p>
        </w:tc>
        <w:tc>
          <w:tcPr>
            <w:tcW w:w="5142" w:type="dxa"/>
            <w:tcBorders>
              <w:top w:val="single" w:sz="4" w:space="0" w:color="auto"/>
              <w:left w:val="single" w:sz="4" w:space="0" w:color="auto"/>
              <w:bottom w:val="single" w:sz="4" w:space="0" w:color="auto"/>
              <w:right w:val="single" w:sz="4" w:space="0" w:color="auto"/>
            </w:tcBorders>
            <w:hideMark/>
          </w:tcPr>
          <w:p w:rsidR="00F66D8B" w:rsidRPr="00A739EF" w:rsidRDefault="00F66D8B" w:rsidP="00153D4C">
            <w:pPr>
              <w:spacing w:after="0" w:line="240" w:lineRule="auto"/>
              <w:ind w:right="57"/>
              <w:jc w:val="both"/>
              <w:rPr>
                <w:rFonts w:ascii="Times New Roman" w:hAnsi="Times New Roman"/>
                <w:sz w:val="24"/>
                <w:szCs w:val="24"/>
                <w:lang w:eastAsia="lv-LV"/>
              </w:rPr>
            </w:pPr>
            <w:r w:rsidRPr="00074E4B">
              <w:rPr>
                <w:rFonts w:ascii="Times New Roman" w:hAnsi="Times New Roman"/>
                <w:sz w:val="24"/>
                <w:szCs w:val="24"/>
              </w:rPr>
              <w:t>Nav.</w:t>
            </w:r>
          </w:p>
        </w:tc>
      </w:tr>
    </w:tbl>
    <w:p w:rsidR="00F66D8B" w:rsidRPr="00A739EF" w:rsidRDefault="00F66D8B" w:rsidP="00F66D8B">
      <w:pPr>
        <w:spacing w:after="0" w:line="240" w:lineRule="auto"/>
        <w:rPr>
          <w:rFonts w:ascii="Times New Roman" w:hAnsi="Times New Roman"/>
          <w:sz w:val="24"/>
          <w:szCs w:val="24"/>
        </w:rPr>
      </w:pPr>
    </w:p>
    <w:p w:rsidR="00F66D8B" w:rsidRPr="00A739EF" w:rsidRDefault="00F66D8B" w:rsidP="00F66D8B">
      <w:pPr>
        <w:spacing w:after="0" w:line="240" w:lineRule="auto"/>
        <w:rPr>
          <w:rFonts w:ascii="Times New Roman" w:hAnsi="Times New Roman"/>
          <w:sz w:val="24"/>
          <w:szCs w:val="24"/>
        </w:rPr>
      </w:pPr>
    </w:p>
    <w:p w:rsidR="00F66D8B" w:rsidRPr="00A739EF" w:rsidRDefault="00F66D8B" w:rsidP="00F66D8B">
      <w:pPr>
        <w:spacing w:after="0" w:line="240" w:lineRule="auto"/>
        <w:rPr>
          <w:rFonts w:ascii="Times New Roman" w:hAnsi="Times New Roman"/>
          <w:sz w:val="24"/>
          <w:szCs w:val="24"/>
        </w:rPr>
      </w:pPr>
    </w:p>
    <w:p w:rsidR="00F66D8B" w:rsidRPr="00A739EF" w:rsidRDefault="00F66D8B" w:rsidP="00F66D8B">
      <w:pPr>
        <w:spacing w:after="0" w:line="240" w:lineRule="auto"/>
        <w:rPr>
          <w:rFonts w:ascii="Times New Roman" w:hAnsi="Times New Roman"/>
          <w:sz w:val="24"/>
          <w:szCs w:val="24"/>
        </w:rPr>
      </w:pPr>
    </w:p>
    <w:p w:rsidR="00F66D8B" w:rsidRPr="00A12387" w:rsidRDefault="00F66D8B" w:rsidP="00F66D8B">
      <w:pPr>
        <w:tabs>
          <w:tab w:val="left" w:pos="6765"/>
        </w:tabs>
        <w:jc w:val="both"/>
        <w:rPr>
          <w:rFonts w:ascii="Times New Roman" w:hAnsi="Times New Roman"/>
          <w:color w:val="000000"/>
          <w:sz w:val="24"/>
          <w:szCs w:val="24"/>
        </w:rPr>
      </w:pPr>
      <w:r w:rsidRPr="00A12387">
        <w:rPr>
          <w:rFonts w:ascii="Times New Roman" w:hAnsi="Times New Roman"/>
          <w:color w:val="000000"/>
          <w:sz w:val="24"/>
          <w:szCs w:val="24"/>
        </w:rPr>
        <w:t>Finanšu ministre</w:t>
      </w:r>
      <w:r w:rsidRPr="00A12387">
        <w:rPr>
          <w:rFonts w:ascii="Times New Roman" w:hAnsi="Times New Roman"/>
          <w:color w:val="000000"/>
          <w:sz w:val="24"/>
          <w:szCs w:val="24"/>
        </w:rPr>
        <w:tab/>
      </w:r>
      <w:proofErr w:type="spellStart"/>
      <w:r w:rsidRPr="00A12387">
        <w:rPr>
          <w:rFonts w:ascii="Times New Roman" w:hAnsi="Times New Roman"/>
          <w:color w:val="000000"/>
          <w:sz w:val="24"/>
          <w:szCs w:val="24"/>
        </w:rPr>
        <w:t>D.Reizniece</w:t>
      </w:r>
      <w:proofErr w:type="spellEnd"/>
      <w:r w:rsidRPr="00A12387">
        <w:rPr>
          <w:rFonts w:ascii="Times New Roman" w:hAnsi="Times New Roman"/>
          <w:color w:val="000000"/>
          <w:sz w:val="24"/>
          <w:szCs w:val="24"/>
        </w:rPr>
        <w:t xml:space="preserve"> - Ozola</w:t>
      </w:r>
    </w:p>
    <w:p w:rsidR="00F66D8B" w:rsidRPr="00A12387" w:rsidRDefault="00F66D8B" w:rsidP="00F66D8B">
      <w:pPr>
        <w:jc w:val="both"/>
        <w:rPr>
          <w:rFonts w:ascii="Times New Roman" w:hAnsi="Times New Roman"/>
          <w:color w:val="000000"/>
          <w:sz w:val="28"/>
          <w:szCs w:val="28"/>
        </w:rPr>
      </w:pPr>
    </w:p>
    <w:p w:rsidR="00F66D8B" w:rsidRPr="00A12387" w:rsidRDefault="00F66D8B" w:rsidP="00F66D8B">
      <w:pPr>
        <w:tabs>
          <w:tab w:val="left" w:pos="6237"/>
        </w:tabs>
        <w:spacing w:after="0" w:line="240" w:lineRule="auto"/>
        <w:rPr>
          <w:rFonts w:ascii="Times New Roman" w:hAnsi="Times New Roman"/>
          <w:color w:val="000000"/>
          <w:sz w:val="20"/>
          <w:szCs w:val="20"/>
        </w:rPr>
      </w:pPr>
      <w:r>
        <w:rPr>
          <w:rFonts w:ascii="Times New Roman" w:hAnsi="Times New Roman"/>
          <w:color w:val="000000"/>
          <w:sz w:val="20"/>
          <w:szCs w:val="20"/>
        </w:rPr>
        <w:t>Zūkere</w:t>
      </w:r>
      <w:r w:rsidRPr="00A12387">
        <w:rPr>
          <w:rFonts w:ascii="Times New Roman" w:hAnsi="Times New Roman"/>
          <w:color w:val="000000"/>
          <w:sz w:val="20"/>
          <w:szCs w:val="20"/>
        </w:rPr>
        <w:t xml:space="preserve"> 67095490</w:t>
      </w:r>
      <w:r w:rsidRPr="00A12387">
        <w:rPr>
          <w:rFonts w:ascii="Times New Roman" w:hAnsi="Times New Roman"/>
          <w:color w:val="000000"/>
          <w:sz w:val="20"/>
          <w:szCs w:val="20"/>
        </w:rPr>
        <w:tab/>
      </w:r>
    </w:p>
    <w:p w:rsidR="00F66D8B" w:rsidRPr="00A12387" w:rsidRDefault="00F66D8B" w:rsidP="00F66D8B">
      <w:pPr>
        <w:tabs>
          <w:tab w:val="left" w:pos="6237"/>
        </w:tabs>
        <w:spacing w:after="0" w:line="240" w:lineRule="auto"/>
        <w:rPr>
          <w:rFonts w:ascii="Times New Roman" w:hAnsi="Times New Roman"/>
          <w:color w:val="000000"/>
          <w:sz w:val="20"/>
          <w:szCs w:val="20"/>
        </w:rPr>
      </w:pPr>
      <w:r w:rsidRPr="00A12387">
        <w:rPr>
          <w:rFonts w:ascii="Times New Roman" w:hAnsi="Times New Roman"/>
          <w:color w:val="000000"/>
          <w:sz w:val="20"/>
          <w:szCs w:val="20"/>
        </w:rPr>
        <w:t>Vineta.</w:t>
      </w:r>
      <w:r>
        <w:rPr>
          <w:rFonts w:ascii="Times New Roman" w:hAnsi="Times New Roman"/>
          <w:color w:val="000000"/>
          <w:sz w:val="20"/>
          <w:szCs w:val="20"/>
        </w:rPr>
        <w:t>Zukere</w:t>
      </w:r>
      <w:r w:rsidRPr="00A12387">
        <w:rPr>
          <w:rFonts w:ascii="Times New Roman" w:hAnsi="Times New Roman"/>
          <w:color w:val="000000"/>
          <w:sz w:val="20"/>
          <w:szCs w:val="20"/>
        </w:rPr>
        <w:t>@fm.gov.lv</w:t>
      </w:r>
    </w:p>
    <w:p w:rsidR="00F66D8B" w:rsidRPr="00A739EF" w:rsidRDefault="00F66D8B" w:rsidP="00F66D8B">
      <w:pPr>
        <w:tabs>
          <w:tab w:val="left" w:pos="1005"/>
        </w:tabs>
        <w:spacing w:after="0" w:line="240" w:lineRule="auto"/>
        <w:rPr>
          <w:rFonts w:ascii="Times New Roman" w:hAnsi="Times New Roman"/>
          <w:sz w:val="24"/>
          <w:szCs w:val="24"/>
        </w:rPr>
      </w:pPr>
    </w:p>
    <w:p w:rsidR="00AE5C99" w:rsidRPr="00845776" w:rsidRDefault="00AE5C99">
      <w:pPr>
        <w:rPr>
          <w:rFonts w:ascii="Times New Roman" w:hAnsi="Times New Roman"/>
          <w:sz w:val="24"/>
        </w:rPr>
      </w:pPr>
    </w:p>
    <w:sectPr w:rsidR="00AE5C99" w:rsidRPr="00845776" w:rsidSect="00F81FA4">
      <w:headerReference w:type="even" r:id="rId7"/>
      <w:headerReference w:type="default" r:id="rId8"/>
      <w:footerReference w:type="even" r:id="rId9"/>
      <w:footerReference w:type="default" r:id="rId10"/>
      <w:headerReference w:type="first" r:id="rId11"/>
      <w:footerReference w:type="first" r:id="rId12"/>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B4E" w:rsidRDefault="00D06B4E" w:rsidP="00F66D8B">
      <w:pPr>
        <w:spacing w:after="0" w:line="240" w:lineRule="auto"/>
      </w:pPr>
      <w:r>
        <w:separator/>
      </w:r>
    </w:p>
  </w:endnote>
  <w:endnote w:type="continuationSeparator" w:id="0">
    <w:p w:rsidR="00D06B4E" w:rsidRDefault="00D06B4E" w:rsidP="00F66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DE" w:rsidRDefault="003514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D7E" w:rsidRPr="007E0FFF" w:rsidRDefault="003514DE" w:rsidP="00F72D7E">
    <w:pPr>
      <w:pStyle w:val="Footer"/>
      <w:rPr>
        <w:sz w:val="20"/>
      </w:rPr>
    </w:pPr>
    <w:r>
      <w:rPr>
        <w:rFonts w:eastAsia="Calibri"/>
        <w:sz w:val="20"/>
        <w:lang w:val="lv-LV" w:eastAsia="en-US"/>
      </w:rPr>
      <w:t>FMAnot_20</w:t>
    </w:r>
    <w:r w:rsidR="00E628AE" w:rsidRPr="00F72D7E">
      <w:rPr>
        <w:rFonts w:eastAsia="Calibri"/>
        <w:sz w:val="20"/>
        <w:lang w:val="lv-LV" w:eastAsia="en-US"/>
      </w:rPr>
      <w:t>092018_</w:t>
    </w:r>
    <w:r w:rsidR="00F66D8B">
      <w:rPr>
        <w:rFonts w:eastAsia="Calibri"/>
        <w:sz w:val="20"/>
        <w:lang w:val="lv-LV" w:eastAsia="en-US"/>
      </w:rPr>
      <w:t>PL</w:t>
    </w:r>
  </w:p>
  <w:p w:rsidR="007E0FFF" w:rsidRPr="007E0FFF" w:rsidRDefault="00D06B4E" w:rsidP="007E0FFF">
    <w:pPr>
      <w:pStyle w:val="Footer"/>
      <w:rPr>
        <w:sz w:val="20"/>
      </w:rPr>
    </w:pPr>
  </w:p>
  <w:p w:rsidR="00D02170" w:rsidRPr="007E0FFF" w:rsidRDefault="00D06B4E" w:rsidP="007E0F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4E" w:rsidRPr="007E0FFF" w:rsidRDefault="003514DE" w:rsidP="007E0FFF">
    <w:pPr>
      <w:pStyle w:val="Footer"/>
      <w:rPr>
        <w:sz w:val="20"/>
      </w:rPr>
    </w:pPr>
    <w:r>
      <w:rPr>
        <w:rFonts w:eastAsia="Calibri"/>
        <w:sz w:val="20"/>
        <w:lang w:val="lv-LV" w:eastAsia="en-US"/>
      </w:rPr>
      <w:t>FMAnot_20</w:t>
    </w:r>
    <w:r w:rsidR="00E628AE" w:rsidRPr="00F72D7E">
      <w:rPr>
        <w:rFonts w:eastAsia="Calibri"/>
        <w:sz w:val="20"/>
        <w:lang w:val="lv-LV" w:eastAsia="en-US"/>
      </w:rPr>
      <w:t>092018_</w:t>
    </w:r>
    <w:r w:rsidR="00F66D8B">
      <w:rPr>
        <w:rFonts w:eastAsia="Calibri"/>
        <w:sz w:val="20"/>
        <w:lang w:val="lv-LV" w:eastAsia="en-US"/>
      </w:rPr>
      <w:t>PL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B4E" w:rsidRDefault="00D06B4E" w:rsidP="00F66D8B">
      <w:pPr>
        <w:spacing w:after="0" w:line="240" w:lineRule="auto"/>
      </w:pPr>
      <w:r>
        <w:separator/>
      </w:r>
    </w:p>
  </w:footnote>
  <w:footnote w:type="continuationSeparator" w:id="0">
    <w:p w:rsidR="00D06B4E" w:rsidRDefault="00D06B4E" w:rsidP="00F66D8B">
      <w:pPr>
        <w:spacing w:after="0" w:line="240" w:lineRule="auto"/>
      </w:pPr>
      <w:r>
        <w:continuationSeparator/>
      </w:r>
    </w:p>
  </w:footnote>
  <w:footnote w:id="1">
    <w:p w:rsidR="00F66D8B" w:rsidRPr="00296ABD" w:rsidRDefault="00F66D8B" w:rsidP="00F66D8B">
      <w:pPr>
        <w:pStyle w:val="FootnoteText"/>
      </w:pPr>
      <w:r>
        <w:rPr>
          <w:rStyle w:val="FootnoteReference"/>
        </w:rPr>
        <w:footnoteRef/>
      </w:r>
      <w:r>
        <w:t xml:space="preserve"> Egmont Grupa-starptautiska organizācija, kas apvieno dažādu valstu finanšu izlūkošanas iestādes (FIU). Latviju minētajā organizācijā pārstāv Kontroles dienests.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DE" w:rsidRDefault="003514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F3E" w:rsidRDefault="00E628AE">
    <w:pPr>
      <w:pStyle w:val="Header"/>
      <w:jc w:val="center"/>
    </w:pPr>
    <w:r>
      <w:fldChar w:fldCharType="begin"/>
    </w:r>
    <w:r>
      <w:instrText xml:space="preserve"> PAGE   \* MERGEFORMAT </w:instrText>
    </w:r>
    <w:r>
      <w:fldChar w:fldCharType="separate"/>
    </w:r>
    <w:r w:rsidR="008170B7">
      <w:rPr>
        <w:noProof/>
      </w:rPr>
      <w:t>7</w:t>
    </w:r>
    <w:r>
      <w:rPr>
        <w:noProof/>
      </w:rPr>
      <w:fldChar w:fldCharType="end"/>
    </w:r>
  </w:p>
  <w:p w:rsidR="00AC4F3E" w:rsidRDefault="00D06B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DE" w:rsidRDefault="003514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D1244"/>
    <w:multiLevelType w:val="hybridMultilevel"/>
    <w:tmpl w:val="ECBEE756"/>
    <w:lvl w:ilvl="0" w:tplc="8C5C23F4">
      <w:start w:val="6"/>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31D97CDD"/>
    <w:multiLevelType w:val="hybridMultilevel"/>
    <w:tmpl w:val="00A63F9A"/>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abstractNum w:abstractNumId="2" w15:restartNumberingAfterBreak="0">
    <w:nsid w:val="3E7A146D"/>
    <w:multiLevelType w:val="hybridMultilevel"/>
    <w:tmpl w:val="6A64DF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1C6FEA"/>
    <w:multiLevelType w:val="hybridMultilevel"/>
    <w:tmpl w:val="EAE603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8E5C5E"/>
    <w:multiLevelType w:val="hybridMultilevel"/>
    <w:tmpl w:val="A62A34A0"/>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start w:val="1"/>
      <w:numFmt w:val="bullet"/>
      <w:lvlText w:val=""/>
      <w:lvlJc w:val="left"/>
      <w:pPr>
        <w:ind w:left="3240" w:hanging="360"/>
      </w:pPr>
      <w:rPr>
        <w:rFonts w:ascii="Wingdings" w:hAnsi="Wingdings" w:hint="default"/>
      </w:rPr>
    </w:lvl>
    <w:lvl w:ilvl="3" w:tplc="04260001">
      <w:start w:val="1"/>
      <w:numFmt w:val="bullet"/>
      <w:lvlText w:val=""/>
      <w:lvlJc w:val="left"/>
      <w:pPr>
        <w:ind w:left="3960" w:hanging="360"/>
      </w:pPr>
      <w:rPr>
        <w:rFonts w:ascii="Symbol" w:hAnsi="Symbol" w:hint="default"/>
      </w:rPr>
    </w:lvl>
    <w:lvl w:ilvl="4" w:tplc="04260003">
      <w:start w:val="1"/>
      <w:numFmt w:val="bullet"/>
      <w:lvlText w:val="o"/>
      <w:lvlJc w:val="left"/>
      <w:pPr>
        <w:ind w:left="4680" w:hanging="360"/>
      </w:pPr>
      <w:rPr>
        <w:rFonts w:ascii="Courier New" w:hAnsi="Courier New" w:cs="Courier New" w:hint="default"/>
      </w:rPr>
    </w:lvl>
    <w:lvl w:ilvl="5" w:tplc="04260005">
      <w:start w:val="1"/>
      <w:numFmt w:val="bullet"/>
      <w:lvlText w:val=""/>
      <w:lvlJc w:val="left"/>
      <w:pPr>
        <w:ind w:left="5400" w:hanging="360"/>
      </w:pPr>
      <w:rPr>
        <w:rFonts w:ascii="Wingdings" w:hAnsi="Wingdings" w:hint="default"/>
      </w:rPr>
    </w:lvl>
    <w:lvl w:ilvl="6" w:tplc="04260001">
      <w:start w:val="1"/>
      <w:numFmt w:val="bullet"/>
      <w:lvlText w:val=""/>
      <w:lvlJc w:val="left"/>
      <w:pPr>
        <w:ind w:left="6120" w:hanging="360"/>
      </w:pPr>
      <w:rPr>
        <w:rFonts w:ascii="Symbol" w:hAnsi="Symbol" w:hint="default"/>
      </w:rPr>
    </w:lvl>
    <w:lvl w:ilvl="7" w:tplc="04260003">
      <w:start w:val="1"/>
      <w:numFmt w:val="bullet"/>
      <w:lvlText w:val="o"/>
      <w:lvlJc w:val="left"/>
      <w:pPr>
        <w:ind w:left="6840" w:hanging="360"/>
      </w:pPr>
      <w:rPr>
        <w:rFonts w:ascii="Courier New" w:hAnsi="Courier New" w:cs="Courier New" w:hint="default"/>
      </w:rPr>
    </w:lvl>
    <w:lvl w:ilvl="8" w:tplc="04260005">
      <w:start w:val="1"/>
      <w:numFmt w:val="bullet"/>
      <w:lvlText w:val=""/>
      <w:lvlJc w:val="left"/>
      <w:pPr>
        <w:ind w:left="756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8B"/>
    <w:rsid w:val="00070F4C"/>
    <w:rsid w:val="001E57BB"/>
    <w:rsid w:val="001F71BA"/>
    <w:rsid w:val="002136D1"/>
    <w:rsid w:val="002F747E"/>
    <w:rsid w:val="003419A5"/>
    <w:rsid w:val="003514DE"/>
    <w:rsid w:val="00356CA4"/>
    <w:rsid w:val="003D009C"/>
    <w:rsid w:val="004905EC"/>
    <w:rsid w:val="004B768E"/>
    <w:rsid w:val="00767360"/>
    <w:rsid w:val="008170B7"/>
    <w:rsid w:val="00845776"/>
    <w:rsid w:val="008A16E8"/>
    <w:rsid w:val="008B754F"/>
    <w:rsid w:val="00AE5C99"/>
    <w:rsid w:val="00AE79DF"/>
    <w:rsid w:val="00B14387"/>
    <w:rsid w:val="00C3252C"/>
    <w:rsid w:val="00CA2678"/>
    <w:rsid w:val="00D06B4E"/>
    <w:rsid w:val="00D67F1A"/>
    <w:rsid w:val="00DC0441"/>
    <w:rsid w:val="00E628AE"/>
    <w:rsid w:val="00EF41EC"/>
    <w:rsid w:val="00F6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6CF9"/>
  <w15:chartTrackingRefBased/>
  <w15:docId w15:val="{8E45529E-6D77-4173-BFDA-73A685A8A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D8B"/>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6D8B"/>
    <w:pPr>
      <w:tabs>
        <w:tab w:val="center" w:pos="4153"/>
        <w:tab w:val="right" w:pos="8306"/>
      </w:tabs>
      <w:spacing w:after="0" w:line="240" w:lineRule="auto"/>
    </w:pPr>
    <w:rPr>
      <w:rFonts w:ascii="Times New Roman" w:eastAsia="Times New Roman" w:hAnsi="Times New Roman"/>
      <w:sz w:val="24"/>
      <w:szCs w:val="24"/>
      <w:lang w:val="x-none" w:eastAsia="lv-LV"/>
    </w:rPr>
  </w:style>
  <w:style w:type="character" w:customStyle="1" w:styleId="FooterChar">
    <w:name w:val="Footer Char"/>
    <w:basedOn w:val="DefaultParagraphFont"/>
    <w:link w:val="Footer"/>
    <w:uiPriority w:val="99"/>
    <w:rsid w:val="00F66D8B"/>
    <w:rPr>
      <w:rFonts w:ascii="Times New Roman" w:eastAsia="Times New Roman" w:hAnsi="Times New Roman" w:cs="Times New Roman"/>
      <w:sz w:val="24"/>
      <w:szCs w:val="24"/>
      <w:lang w:val="x-none" w:eastAsia="lv-LV"/>
    </w:rPr>
  </w:style>
  <w:style w:type="paragraph" w:styleId="BodyText">
    <w:name w:val="Body Text"/>
    <w:basedOn w:val="Normal"/>
    <w:link w:val="BodyTextChar"/>
    <w:unhideWhenUsed/>
    <w:rsid w:val="00F66D8B"/>
    <w:pPr>
      <w:spacing w:after="120" w:line="240" w:lineRule="auto"/>
    </w:pPr>
    <w:rPr>
      <w:rFonts w:ascii="Times New Roman" w:eastAsia="Times New Roman" w:hAnsi="Times New Roman"/>
      <w:sz w:val="24"/>
      <w:szCs w:val="24"/>
      <w:lang w:val="en-GB" w:eastAsia="x-none"/>
    </w:rPr>
  </w:style>
  <w:style w:type="character" w:customStyle="1" w:styleId="BodyTextChar">
    <w:name w:val="Body Text Char"/>
    <w:basedOn w:val="DefaultParagraphFont"/>
    <w:link w:val="BodyText"/>
    <w:rsid w:val="00F66D8B"/>
    <w:rPr>
      <w:rFonts w:ascii="Times New Roman" w:eastAsia="Times New Roman" w:hAnsi="Times New Roman" w:cs="Times New Roman"/>
      <w:sz w:val="24"/>
      <w:szCs w:val="24"/>
      <w:lang w:val="en-GB" w:eastAsia="x-none"/>
    </w:rPr>
  </w:style>
  <w:style w:type="paragraph" w:styleId="NoSpacing">
    <w:name w:val="No Spacing"/>
    <w:qFormat/>
    <w:rsid w:val="00F66D8B"/>
    <w:rPr>
      <w:rFonts w:ascii="Calibri" w:eastAsia="Calibri" w:hAnsi="Calibri" w:cs="Times New Roman"/>
    </w:rPr>
  </w:style>
  <w:style w:type="character" w:customStyle="1" w:styleId="naisfChar">
    <w:name w:val="naisf Char"/>
    <w:link w:val="naisf"/>
    <w:locked/>
    <w:rsid w:val="00F66D8B"/>
    <w:rPr>
      <w:rFonts w:ascii="Times New Roman" w:eastAsia="Times New Roman" w:hAnsi="Times New Roman" w:cs="Times New Roman"/>
      <w:sz w:val="24"/>
      <w:szCs w:val="24"/>
    </w:rPr>
  </w:style>
  <w:style w:type="paragraph" w:customStyle="1" w:styleId="naisf">
    <w:name w:val="naisf"/>
    <w:basedOn w:val="Normal"/>
    <w:link w:val="naisfChar"/>
    <w:rsid w:val="00F66D8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aisnod">
    <w:name w:val="naisnod"/>
    <w:basedOn w:val="Normal"/>
    <w:rsid w:val="00F66D8B"/>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F66D8B"/>
    <w:pPr>
      <w:tabs>
        <w:tab w:val="center" w:pos="4153"/>
        <w:tab w:val="right" w:pos="8306"/>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F66D8B"/>
    <w:rPr>
      <w:rFonts w:ascii="Calibri" w:eastAsia="Calibri" w:hAnsi="Calibri" w:cs="Times New Roman"/>
      <w:sz w:val="20"/>
      <w:szCs w:val="20"/>
      <w:lang w:val="x-none" w:eastAsia="x-none"/>
    </w:rPr>
  </w:style>
  <w:style w:type="paragraph" w:styleId="FootnoteText">
    <w:name w:val="footnote text"/>
    <w:basedOn w:val="Normal"/>
    <w:link w:val="FootnoteTextChar"/>
    <w:uiPriority w:val="99"/>
    <w:semiHidden/>
    <w:unhideWhenUsed/>
    <w:rsid w:val="00F66D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6D8B"/>
    <w:rPr>
      <w:rFonts w:ascii="Calibri" w:eastAsia="Calibri" w:hAnsi="Calibri" w:cs="Times New Roman"/>
      <w:sz w:val="20"/>
      <w:szCs w:val="20"/>
      <w:lang w:val="lv-LV"/>
    </w:rPr>
  </w:style>
  <w:style w:type="paragraph" w:styleId="ListParagraph">
    <w:name w:val="List Paragraph"/>
    <w:basedOn w:val="Normal"/>
    <w:uiPriority w:val="34"/>
    <w:qFormat/>
    <w:rsid w:val="00F66D8B"/>
    <w:pPr>
      <w:spacing w:after="160" w:line="256" w:lineRule="auto"/>
      <w:ind w:left="720"/>
      <w:contextualSpacing/>
    </w:pPr>
  </w:style>
  <w:style w:type="character" w:styleId="FootnoteReference">
    <w:name w:val="footnote reference"/>
    <w:uiPriority w:val="99"/>
    <w:semiHidden/>
    <w:unhideWhenUsed/>
    <w:rsid w:val="00F66D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13271</Words>
  <Characters>7566</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Likumprojekta "grozījumi Prokuratūras likumā"sākotnējās ietekmes novērtējuma ziņojums (anotācija)</vt:lpstr>
    </vt:vector>
  </TitlesOfParts>
  <Company>Finanšu Ministrija</Company>
  <LinksUpToDate>false</LinksUpToDate>
  <CharactersWithSpaces>20796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Prokuratūras likumā"sākotnējās ietekmes novērtējuma ziņojums (anotācija)</dc:title>
  <dc:subject>Anotācija</dc:subject>
  <dc:creator>Vineta Zūkere</dc:creator>
  <cp:keywords/>
  <dc:description>67095490</dc:description>
  <cp:lastModifiedBy>Vineta Zūkere</cp:lastModifiedBy>
  <cp:revision>19</cp:revision>
  <dcterms:created xsi:type="dcterms:W3CDTF">2018-09-13T11:30:00Z</dcterms:created>
  <dcterms:modified xsi:type="dcterms:W3CDTF">2018-09-20T06:51:00Z</dcterms:modified>
</cp:coreProperties>
</file>