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0B673" w14:textId="77777777" w:rsidR="00B54574" w:rsidRDefault="00D27A81" w:rsidP="00B54574">
      <w:pPr>
        <w:jc w:val="right"/>
        <w:rPr>
          <w:sz w:val="26"/>
          <w:szCs w:val="26"/>
        </w:rPr>
      </w:pPr>
      <w:r>
        <w:rPr>
          <w:sz w:val="26"/>
          <w:szCs w:val="26"/>
        </w:rPr>
        <w:t>Projekts</w:t>
      </w:r>
    </w:p>
    <w:p w14:paraId="011E30B2" w14:textId="77777777" w:rsidR="0053362A" w:rsidRDefault="00D27A81" w:rsidP="00B54574">
      <w:pPr>
        <w:jc w:val="center"/>
        <w:rPr>
          <w:b/>
          <w:sz w:val="26"/>
          <w:szCs w:val="26"/>
        </w:rPr>
      </w:pPr>
      <w:r w:rsidRPr="0053362A">
        <w:rPr>
          <w:b/>
          <w:sz w:val="26"/>
          <w:szCs w:val="26"/>
        </w:rPr>
        <w:t xml:space="preserve">Ministru kabineta noteikumu projekta </w:t>
      </w:r>
    </w:p>
    <w:p w14:paraId="5C7E3203" w14:textId="70517C65" w:rsidR="0053362A" w:rsidRDefault="00D27A81" w:rsidP="00B54574">
      <w:pPr>
        <w:jc w:val="center"/>
        <w:rPr>
          <w:b/>
          <w:sz w:val="26"/>
          <w:szCs w:val="26"/>
        </w:rPr>
      </w:pPr>
      <w:r w:rsidRPr="0053362A">
        <w:rPr>
          <w:b/>
          <w:sz w:val="26"/>
          <w:szCs w:val="26"/>
        </w:rPr>
        <w:t>"Noteikumi par Valsts ieņēmumu dienesta ierēdņu formas tērpiem, dienesta pakāpju atšķirības zīmēm un žetoniem" sākotnējās ietekmes novērtējuma ziņojums (anotācija)</w:t>
      </w:r>
    </w:p>
    <w:p w14:paraId="20E7E807" w14:textId="77777777" w:rsidR="00B54574" w:rsidRDefault="00B54574" w:rsidP="00B54574">
      <w:pPr>
        <w:jc w:val="center"/>
        <w:rPr>
          <w:b/>
          <w:sz w:val="26"/>
          <w:szCs w:val="26"/>
        </w:rPr>
      </w:pPr>
    </w:p>
    <w:tbl>
      <w:tblPr>
        <w:tblW w:w="5080"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94"/>
        <w:gridCol w:w="6793"/>
      </w:tblGrid>
      <w:tr w:rsidR="005F6BC7" w14:paraId="22086A07" w14:textId="77777777" w:rsidTr="000114A9">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BBD2384" w14:textId="77777777" w:rsidR="00B54574" w:rsidRPr="00D60DF0" w:rsidRDefault="00D27A81" w:rsidP="001C6169">
            <w:pPr>
              <w:spacing w:before="100" w:beforeAutospacing="1" w:after="100" w:afterAutospacing="1"/>
              <w:ind w:firstLine="301"/>
              <w:jc w:val="center"/>
              <w:rPr>
                <w:b/>
                <w:bCs/>
              </w:rPr>
            </w:pPr>
            <w:r w:rsidRPr="00D60DF0">
              <w:rPr>
                <w:b/>
                <w:bCs/>
              </w:rPr>
              <w:t>Tiesību akta projekta anotācijas kopsavilkums</w:t>
            </w:r>
          </w:p>
        </w:tc>
      </w:tr>
      <w:tr w:rsidR="005F6BC7" w14:paraId="77C647CA" w14:textId="77777777" w:rsidTr="000114A9">
        <w:tc>
          <w:tcPr>
            <w:tcW w:w="1420" w:type="pct"/>
            <w:tcBorders>
              <w:top w:val="outset" w:sz="6" w:space="0" w:color="414142"/>
              <w:left w:val="outset" w:sz="6" w:space="0" w:color="414142"/>
              <w:bottom w:val="outset" w:sz="6" w:space="0" w:color="414142"/>
              <w:right w:val="outset" w:sz="6" w:space="0" w:color="414142"/>
            </w:tcBorders>
            <w:hideMark/>
          </w:tcPr>
          <w:p w14:paraId="37D857C0" w14:textId="77777777" w:rsidR="00B54574" w:rsidRPr="00D60DF0" w:rsidRDefault="00D27A81" w:rsidP="001C6169">
            <w:r w:rsidRPr="00D60DF0">
              <w:t>Mērķis, risinājums un projekta spēkā stāšanās laiks (500 zīmes bez atstarpēm)</w:t>
            </w:r>
          </w:p>
        </w:tc>
        <w:tc>
          <w:tcPr>
            <w:tcW w:w="3580" w:type="pct"/>
            <w:tcBorders>
              <w:top w:val="outset" w:sz="6" w:space="0" w:color="414142"/>
              <w:left w:val="outset" w:sz="6" w:space="0" w:color="414142"/>
              <w:bottom w:val="outset" w:sz="6" w:space="0" w:color="414142"/>
              <w:right w:val="outset" w:sz="6" w:space="0" w:color="414142"/>
            </w:tcBorders>
            <w:hideMark/>
          </w:tcPr>
          <w:p w14:paraId="26214865" w14:textId="365D70F1" w:rsidR="007C7D3D" w:rsidRDefault="00D27A81" w:rsidP="00F36115">
            <w:pPr>
              <w:tabs>
                <w:tab w:val="center" w:pos="4680"/>
                <w:tab w:val="right" w:pos="9360"/>
              </w:tabs>
              <w:ind w:firstLine="220"/>
              <w:jc w:val="both"/>
            </w:pPr>
            <w:r>
              <w:t>Ar</w:t>
            </w:r>
            <w:r w:rsidRPr="00F81153">
              <w:t xml:space="preserve"> </w:t>
            </w:r>
            <w:r w:rsidR="00B54574" w:rsidRPr="00F81153">
              <w:t>2018.gada 1.</w:t>
            </w:r>
            <w:r w:rsidRPr="00F81153">
              <w:t>janvār</w:t>
            </w:r>
            <w:r>
              <w:t>i</w:t>
            </w:r>
            <w:r w:rsidRPr="00F81153">
              <w:t xml:space="preserve"> </w:t>
            </w:r>
            <w:r w:rsidR="00B54574" w:rsidRPr="00F81153">
              <w:t>finanšu policija un muitas policija ir apvienota vienā izmeklēšanas iestādē –</w:t>
            </w:r>
            <w:r w:rsidR="000114A9">
              <w:t xml:space="preserve"> </w:t>
            </w:r>
            <w:r w:rsidR="00CD2A8D">
              <w:t>n</w:t>
            </w:r>
            <w:r w:rsidR="00B54574" w:rsidRPr="00F81153">
              <w:t>odokļu un muitas policij</w:t>
            </w:r>
            <w:r w:rsidR="00CD2A8D">
              <w:t>ā</w:t>
            </w:r>
            <w:r>
              <w:t xml:space="preserve"> un izveidota</w:t>
            </w:r>
            <w:r w:rsidR="00F36115">
              <w:t xml:space="preserve"> </w:t>
            </w:r>
            <w:r w:rsidR="00CD2A8D" w:rsidRPr="00F36115">
              <w:t>Valsts ieņēmumu dienesta (turpmāk – VID)</w:t>
            </w:r>
            <w:r w:rsidR="00F36115">
              <w:t xml:space="preserve"> Iekšējās drošības pārvalde</w:t>
            </w:r>
            <w:r w:rsidRPr="007C7D3D">
              <w:t>.</w:t>
            </w:r>
            <w:r>
              <w:t xml:space="preserve"> </w:t>
            </w:r>
          </w:p>
          <w:p w14:paraId="238DC8DA" w14:textId="5781A0A7" w:rsidR="0043448E" w:rsidRDefault="00DA00B0" w:rsidP="00F36115">
            <w:pPr>
              <w:tabs>
                <w:tab w:val="center" w:pos="4680"/>
                <w:tab w:val="right" w:pos="9360"/>
              </w:tabs>
              <w:ind w:firstLine="220"/>
              <w:jc w:val="both"/>
            </w:pPr>
            <w:r>
              <w:t>N</w:t>
            </w:r>
            <w:r w:rsidR="0043448E">
              <w:t>oteikumu projekts izstrādāts, lai noteiktu:</w:t>
            </w:r>
          </w:p>
          <w:p w14:paraId="684C2A2F" w14:textId="28480920" w:rsidR="00F36115" w:rsidRDefault="00D27A81" w:rsidP="000114A9">
            <w:pPr>
              <w:pStyle w:val="ListParagraph"/>
              <w:numPr>
                <w:ilvl w:val="0"/>
                <w:numId w:val="3"/>
              </w:numPr>
              <w:tabs>
                <w:tab w:val="center" w:pos="4680"/>
                <w:tab w:val="right" w:pos="9360"/>
              </w:tabs>
              <w:jc w:val="both"/>
            </w:pPr>
            <w:r>
              <w:t>jaun</w:t>
            </w:r>
            <w:r w:rsidR="0043448E">
              <w:t>o</w:t>
            </w:r>
            <w:r>
              <w:t xml:space="preserve"> VID struktūrvienību </w:t>
            </w:r>
            <w:r w:rsidR="008C35FF">
              <w:t xml:space="preserve">un </w:t>
            </w:r>
            <w:r w:rsidR="00BE6C90">
              <w:t>VID Muitas pārvaldes ierēdņiem vienotas</w:t>
            </w:r>
            <w:r w:rsidR="008C35FF">
              <w:t xml:space="preserve"> </w:t>
            </w:r>
            <w:r>
              <w:t>formas tērpu sastāvdaļas, to aprakstu</w:t>
            </w:r>
            <w:r w:rsidR="00DA00B0">
              <w:t>s</w:t>
            </w:r>
            <w:r w:rsidR="00DE383D">
              <w:t>,</w:t>
            </w:r>
            <w:r>
              <w:t xml:space="preserve"> ierēdņu dienesta pakāpēm atbilstoš</w:t>
            </w:r>
            <w:r w:rsidR="000114A9">
              <w:t>as</w:t>
            </w:r>
            <w:r>
              <w:t xml:space="preserve"> atšķirības zīm</w:t>
            </w:r>
            <w:r w:rsidR="000114A9">
              <w:t>es un ž</w:t>
            </w:r>
            <w:r w:rsidR="00BE6C90">
              <w:t>etonus</w:t>
            </w:r>
            <w:r>
              <w:t>;</w:t>
            </w:r>
          </w:p>
          <w:p w14:paraId="23C1C05F" w14:textId="58606D23" w:rsidR="008416FD" w:rsidRDefault="00D27A81" w:rsidP="000114A9">
            <w:pPr>
              <w:pStyle w:val="ListParagraph"/>
              <w:numPr>
                <w:ilvl w:val="0"/>
                <w:numId w:val="3"/>
              </w:numPr>
              <w:tabs>
                <w:tab w:val="center" w:pos="4680"/>
                <w:tab w:val="right" w:pos="9360"/>
              </w:tabs>
              <w:jc w:val="both"/>
            </w:pPr>
            <w:r>
              <w:t>trīs gadu pārejas periodu jauno formas tērpu ieviešana</w:t>
            </w:r>
            <w:r w:rsidR="00350C64">
              <w:t>i</w:t>
            </w:r>
            <w:r>
              <w:t>.</w:t>
            </w:r>
          </w:p>
          <w:p w14:paraId="438C4881" w14:textId="29679727" w:rsidR="00B54574" w:rsidRPr="00F1611E" w:rsidRDefault="00DA6324" w:rsidP="00CD2A8D">
            <w:pPr>
              <w:tabs>
                <w:tab w:val="center" w:pos="4680"/>
                <w:tab w:val="right" w:pos="9360"/>
              </w:tabs>
              <w:ind w:firstLine="220"/>
              <w:jc w:val="both"/>
            </w:pPr>
            <w:r>
              <w:t>Ministru kabinet</w:t>
            </w:r>
            <w:r w:rsidR="0071613F">
              <w:t>a</w:t>
            </w:r>
            <w:r>
              <w:t xml:space="preserve"> n</w:t>
            </w:r>
            <w:r w:rsidR="00D27A81">
              <w:t>oteikum</w:t>
            </w:r>
            <w:r w:rsidR="00BE19F6">
              <w:t>i</w:t>
            </w:r>
            <w:r w:rsidR="00D27A81">
              <w:t xml:space="preserve"> </w:t>
            </w:r>
            <w:r>
              <w:t>s</w:t>
            </w:r>
            <w:r w:rsidR="00D27A81">
              <w:t>tāsies spēkā</w:t>
            </w:r>
            <w:r w:rsidR="00D27A81" w:rsidRPr="00DA02DF">
              <w:t xml:space="preserve"> </w:t>
            </w:r>
            <w:r w:rsidR="007C7D3D" w:rsidRPr="00DA02DF">
              <w:t>nākamajā dienā pēc t</w:t>
            </w:r>
            <w:r w:rsidR="00CD2A8D">
              <w:t>o</w:t>
            </w:r>
            <w:r w:rsidR="007C7D3D" w:rsidRPr="00DA02DF">
              <w:t xml:space="preserve"> izsludināšanas</w:t>
            </w:r>
            <w:r w:rsidR="00D27A81" w:rsidRPr="00DA02DF">
              <w:t>.</w:t>
            </w:r>
          </w:p>
        </w:tc>
      </w:tr>
    </w:tbl>
    <w:p w14:paraId="0542BAD1" w14:textId="73338EA6" w:rsidR="00B54574" w:rsidRPr="00843C36" w:rsidRDefault="00B54574" w:rsidP="00843C36">
      <w:pPr>
        <w:tabs>
          <w:tab w:val="left" w:pos="1410"/>
        </w:tabs>
        <w:rPr>
          <w:sz w:val="26"/>
          <w:szCs w:val="26"/>
        </w:rPr>
      </w:pPr>
    </w:p>
    <w:tbl>
      <w:tblPr>
        <w:tblpPr w:leftFromText="180" w:rightFromText="180" w:vertAnchor="text" w:horzAnchor="margin" w:tblpXSpec="center" w:tblpY="149"/>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295"/>
        <w:gridCol w:w="5640"/>
      </w:tblGrid>
      <w:tr w:rsidR="005F6BC7" w14:paraId="0DE2831D" w14:textId="77777777" w:rsidTr="001C6169">
        <w:tc>
          <w:tcPr>
            <w:tcW w:w="9485" w:type="dxa"/>
            <w:gridSpan w:val="3"/>
            <w:vAlign w:val="center"/>
          </w:tcPr>
          <w:p w14:paraId="76D614A2" w14:textId="77777777" w:rsidR="00B54574" w:rsidRPr="00D7205D" w:rsidRDefault="00D27A81" w:rsidP="001C6169">
            <w:pPr>
              <w:pStyle w:val="naisnod"/>
              <w:spacing w:before="0" w:after="0"/>
            </w:pPr>
            <w:r w:rsidRPr="00D7205D">
              <w:t>I. Tiesību akta projekta izstrādes nepieciešamība</w:t>
            </w:r>
          </w:p>
        </w:tc>
      </w:tr>
      <w:tr w:rsidR="005F6BC7" w14:paraId="19AD9A38" w14:textId="77777777" w:rsidTr="001C6169">
        <w:trPr>
          <w:trHeight w:val="630"/>
        </w:trPr>
        <w:tc>
          <w:tcPr>
            <w:tcW w:w="550" w:type="dxa"/>
          </w:tcPr>
          <w:p w14:paraId="45CCB78B" w14:textId="77777777" w:rsidR="00B54574" w:rsidRPr="00D7205D" w:rsidRDefault="00D27A81" w:rsidP="001C6169">
            <w:pPr>
              <w:pStyle w:val="naiskr"/>
              <w:spacing w:before="0" w:after="0"/>
            </w:pPr>
            <w:r w:rsidRPr="00D7205D">
              <w:t>1.</w:t>
            </w:r>
          </w:p>
        </w:tc>
        <w:tc>
          <w:tcPr>
            <w:tcW w:w="3295" w:type="dxa"/>
          </w:tcPr>
          <w:p w14:paraId="59AA1853" w14:textId="77777777" w:rsidR="00B54574" w:rsidRPr="00E71511" w:rsidRDefault="00D27A81" w:rsidP="001C6169">
            <w:pPr>
              <w:pStyle w:val="naiskr"/>
              <w:spacing w:before="0" w:after="0"/>
              <w:ind w:hanging="10"/>
            </w:pPr>
            <w:r w:rsidRPr="00E71511">
              <w:t>Pamatojums</w:t>
            </w:r>
          </w:p>
        </w:tc>
        <w:tc>
          <w:tcPr>
            <w:tcW w:w="5640" w:type="dxa"/>
          </w:tcPr>
          <w:p w14:paraId="4A8907CF" w14:textId="1F2638CB" w:rsidR="00B54574" w:rsidRDefault="00D27A81" w:rsidP="00F235FE">
            <w:pPr>
              <w:pStyle w:val="naiskr"/>
              <w:ind w:firstLine="115"/>
              <w:jc w:val="both"/>
            </w:pPr>
            <w:r w:rsidRPr="00B54574">
              <w:t xml:space="preserve">Ministru prezidenta </w:t>
            </w:r>
            <w:proofErr w:type="spellStart"/>
            <w:r w:rsidRPr="00B54574">
              <w:t>M.Kučinska</w:t>
            </w:r>
            <w:proofErr w:type="spellEnd"/>
            <w:r w:rsidRPr="00B54574">
              <w:t xml:space="preserve"> 2017.gada 12.jūlija rezolūcijā Nr.12/2017-JUR-136 dotais uzdevums – sagatavot un noteiktā kārtībā iesniegt līdz 2018.gada 1.jūnijam Ministru kabinetā likuma </w:t>
            </w:r>
            <w:r w:rsidR="0017782D" w:rsidRPr="00DA02DF">
              <w:t>"</w:t>
            </w:r>
            <w:r w:rsidRPr="00B54574">
              <w:t>Par Valsts ieņēmumu dienestu</w:t>
            </w:r>
            <w:r w:rsidR="0017782D" w:rsidRPr="00DA02DF">
              <w:t>"</w:t>
            </w:r>
            <w:r w:rsidRPr="00B54574">
              <w:t xml:space="preserve"> (</w:t>
            </w:r>
            <w:r w:rsidRPr="0053362A">
              <w:rPr>
                <w:i/>
              </w:rPr>
              <w:t xml:space="preserve">2017. gada 22. jūnija likuma </w:t>
            </w:r>
            <w:r w:rsidR="0017782D" w:rsidRPr="008B51E7">
              <w:rPr>
                <w:i/>
              </w:rPr>
              <w:t>"</w:t>
            </w:r>
            <w:r w:rsidRPr="0053362A">
              <w:rPr>
                <w:i/>
              </w:rPr>
              <w:t xml:space="preserve">Grozījumi likumā </w:t>
            </w:r>
            <w:r w:rsidR="0017782D" w:rsidRPr="008B51E7">
              <w:rPr>
                <w:i/>
              </w:rPr>
              <w:t>"</w:t>
            </w:r>
            <w:r w:rsidRPr="0053362A">
              <w:rPr>
                <w:i/>
              </w:rPr>
              <w:t>Par Valsts ieņēmumu dienestu</w:t>
            </w:r>
            <w:r w:rsidR="0017782D" w:rsidRPr="00B76957">
              <w:rPr>
                <w:i/>
              </w:rPr>
              <w:t>""</w:t>
            </w:r>
            <w:r w:rsidRPr="0053362A">
              <w:rPr>
                <w:i/>
              </w:rPr>
              <w:t xml:space="preserve"> redakcijā</w:t>
            </w:r>
            <w:r w:rsidRPr="00B54574">
              <w:t>) 25.panta trešajā daļā minēto tiesību aktu projektu, attiecīgi nodrošinot Ministru kabinetam dotā uzdevuma izpildi</w:t>
            </w:r>
            <w:r w:rsidR="00ED572D">
              <w:t>.</w:t>
            </w:r>
          </w:p>
          <w:p w14:paraId="6D741745" w14:textId="56A4E101" w:rsidR="00ED572D" w:rsidRPr="00E71511" w:rsidRDefault="00D27A81" w:rsidP="00DE383D">
            <w:pPr>
              <w:pStyle w:val="naiskr"/>
              <w:ind w:firstLine="115"/>
              <w:jc w:val="both"/>
            </w:pPr>
            <w:r>
              <w:t xml:space="preserve">Noteikumu projekts izstrādāts, pamatojoties uz </w:t>
            </w:r>
            <w:r w:rsidRPr="00ED572D">
              <w:t xml:space="preserve">likuma </w:t>
            </w:r>
            <w:r w:rsidR="004C6360" w:rsidRPr="00DA02DF">
              <w:t>"</w:t>
            </w:r>
            <w:r w:rsidRPr="00ED572D">
              <w:t>Par Valsts ieņēmumu dienestu</w:t>
            </w:r>
            <w:r w:rsidR="004C6360" w:rsidRPr="00DA02DF">
              <w:t>"</w:t>
            </w:r>
            <w:r w:rsidRPr="00ED572D">
              <w:t xml:space="preserve"> 25.panta trešajā daļā noteikt</w:t>
            </w:r>
            <w:r>
              <w:t xml:space="preserve">o </w:t>
            </w:r>
            <w:r w:rsidR="00AD2226">
              <w:t>pilnvarojumu Ministru kabinetam</w:t>
            </w:r>
            <w:r>
              <w:t xml:space="preserve"> un </w:t>
            </w:r>
            <w:r w:rsidR="00433E66">
              <w:t xml:space="preserve">šā likuma </w:t>
            </w:r>
            <w:r>
              <w:t>pārejas noteikumu 39.punktu.</w:t>
            </w:r>
          </w:p>
        </w:tc>
      </w:tr>
      <w:tr w:rsidR="005F6BC7" w14:paraId="6F798795" w14:textId="77777777" w:rsidTr="001C6169">
        <w:trPr>
          <w:trHeight w:val="472"/>
        </w:trPr>
        <w:tc>
          <w:tcPr>
            <w:tcW w:w="550" w:type="dxa"/>
          </w:tcPr>
          <w:p w14:paraId="34021C67" w14:textId="77777777" w:rsidR="00B54574" w:rsidRPr="00460984" w:rsidRDefault="00D27A81" w:rsidP="001C6169">
            <w:pPr>
              <w:pStyle w:val="naiskr"/>
              <w:spacing w:before="0" w:after="0"/>
            </w:pPr>
            <w:r w:rsidRPr="00460984">
              <w:t>2.</w:t>
            </w:r>
          </w:p>
        </w:tc>
        <w:tc>
          <w:tcPr>
            <w:tcW w:w="3295" w:type="dxa"/>
          </w:tcPr>
          <w:p w14:paraId="50086EE3" w14:textId="77777777" w:rsidR="00B54574" w:rsidRPr="008F5E41" w:rsidRDefault="00D27A81" w:rsidP="001C6169">
            <w:pPr>
              <w:pStyle w:val="naiskr"/>
              <w:tabs>
                <w:tab w:val="left" w:pos="170"/>
              </w:tabs>
              <w:spacing w:before="0" w:after="0"/>
            </w:pPr>
            <w:r w:rsidRPr="008F5E41">
              <w:t>Pašreizējā situācija un problēmas, kuru risināšanai tiesību akta projekts izstrādāts, tiesiskā regulējuma mērķis un būtība</w:t>
            </w:r>
          </w:p>
        </w:tc>
        <w:tc>
          <w:tcPr>
            <w:tcW w:w="5640" w:type="dxa"/>
          </w:tcPr>
          <w:p w14:paraId="0787D05D" w14:textId="73813C7E" w:rsidR="007C2E7E" w:rsidRPr="008F5E41" w:rsidRDefault="00D27A81" w:rsidP="001C6169">
            <w:pPr>
              <w:autoSpaceDE w:val="0"/>
              <w:autoSpaceDN w:val="0"/>
              <w:adjustRightInd w:val="0"/>
              <w:jc w:val="both"/>
            </w:pPr>
            <w:r>
              <w:t>Pa</w:t>
            </w:r>
            <w:r w:rsidR="004C6360">
              <w:t>š</w:t>
            </w:r>
            <w:r>
              <w:t>reiz s</w:t>
            </w:r>
            <w:r w:rsidR="00FF0A42">
              <w:t xml:space="preserve">pēkā esošie </w:t>
            </w:r>
            <w:r w:rsidR="00FF0A42" w:rsidRPr="00FF0A42">
              <w:t xml:space="preserve">Ministru kabineta 2013.gada 3.septembra noteikumi Nr.705 </w:t>
            </w:r>
            <w:r w:rsidR="004C6360" w:rsidRPr="00DA02DF">
              <w:t>"</w:t>
            </w:r>
            <w:r w:rsidR="00FF0A42" w:rsidRPr="00FF0A42">
              <w:t>Noteikumi par Valsts ieņēmumu dienesta muitas iestāžu un finanšu policijas ierēdņu formas tērpiem, žetonu un dienesta pakāp</w:t>
            </w:r>
            <w:r w:rsidR="00FF0A42">
              <w:t>ju atšķirības zīmēm</w:t>
            </w:r>
            <w:r w:rsidR="00617580" w:rsidRPr="00DA02DF">
              <w:t>"</w:t>
            </w:r>
            <w:r w:rsidR="00FF0A42">
              <w:t xml:space="preserve"> </w:t>
            </w:r>
            <w:r>
              <w:t xml:space="preserve">(turpmāk – MK </w:t>
            </w:r>
            <w:r w:rsidR="00EC7A04" w:rsidRPr="00EC7A04">
              <w:t xml:space="preserve">2013.gada 3.septembra </w:t>
            </w:r>
            <w:r>
              <w:t>noteikumi Nr.</w:t>
            </w:r>
            <w:r w:rsidR="00EC7A04">
              <w:t>705</w:t>
            </w:r>
            <w:r>
              <w:t xml:space="preserve">) </w:t>
            </w:r>
            <w:r w:rsidRPr="008F5E41">
              <w:t xml:space="preserve">izdoti saskaņā ar likuma </w:t>
            </w:r>
            <w:r w:rsidR="00617580" w:rsidRPr="00DA02DF">
              <w:t>"</w:t>
            </w:r>
            <w:r w:rsidRPr="008F5E41">
              <w:t>Par Valsts ieņēmumu dienestu</w:t>
            </w:r>
            <w:r w:rsidR="00617580" w:rsidRPr="00DA02DF">
              <w:t>"</w:t>
            </w:r>
            <w:r w:rsidRPr="008F5E41">
              <w:t xml:space="preserve"> 25.panta </w:t>
            </w:r>
            <w:r w:rsidR="00FF0A42">
              <w:t>trešo</w:t>
            </w:r>
            <w:r w:rsidRPr="008F5E41">
              <w:t xml:space="preserve"> un </w:t>
            </w:r>
            <w:r w:rsidR="00FF0A42">
              <w:t>piekto</w:t>
            </w:r>
            <w:r w:rsidRPr="008F5E41">
              <w:t xml:space="preserve"> daļu</w:t>
            </w:r>
            <w:r>
              <w:t xml:space="preserve"> un nosaka </w:t>
            </w:r>
            <w:r w:rsidR="00617580">
              <w:t>VID</w:t>
            </w:r>
            <w:r>
              <w:t xml:space="preserve"> muitas iestāžu ierēdņu un </w:t>
            </w:r>
            <w:r w:rsidRPr="00B3336C">
              <w:t>finanšu policijas ierēdņu</w:t>
            </w:r>
            <w:r w:rsidR="00FF0A42">
              <w:t xml:space="preserve"> </w:t>
            </w:r>
            <w:r w:rsidRPr="007C2E7E">
              <w:t xml:space="preserve">formas tērpu, žetona un dienesta pakāpēm atbilstošu atšķirības zīmju aprakstu un paraugus. </w:t>
            </w:r>
            <w:r>
              <w:t xml:space="preserve">Saskaņā ar likumu </w:t>
            </w:r>
            <w:r w:rsidR="00617580" w:rsidRPr="00DA02DF">
              <w:t>"</w:t>
            </w:r>
            <w:r w:rsidRPr="007C2E7E">
              <w:t>Grozījumi likumā “Par Valsts ieņēmumu dienestu</w:t>
            </w:r>
            <w:r w:rsidR="00617580" w:rsidRPr="00DA02DF">
              <w:t>""</w:t>
            </w:r>
            <w:r>
              <w:t xml:space="preserve"> (</w:t>
            </w:r>
            <w:r w:rsidRPr="00DA4199">
              <w:rPr>
                <w:i/>
              </w:rPr>
              <w:t>redakcijā, kas stājās spēkā 2015.gada 18.jūnijā</w:t>
            </w:r>
            <w:r>
              <w:t xml:space="preserve">) izslēgta ir likuma </w:t>
            </w:r>
            <w:r w:rsidR="00617580" w:rsidRPr="00DA02DF">
              <w:t>"</w:t>
            </w:r>
            <w:r>
              <w:t>Par Valsts ieņēmumu dienestu</w:t>
            </w:r>
            <w:r w:rsidR="00617580" w:rsidRPr="00DA02DF">
              <w:t>"</w:t>
            </w:r>
            <w:r>
              <w:t xml:space="preserve"> 25.panta piektā daļa.</w:t>
            </w:r>
          </w:p>
          <w:p w14:paraId="13E72EFE" w14:textId="5103C6FB" w:rsidR="00B54574" w:rsidRDefault="00D27A81" w:rsidP="001C6169">
            <w:pPr>
              <w:pStyle w:val="NormalWeb"/>
              <w:spacing w:before="0" w:beforeAutospacing="0" w:after="0" w:afterAutospacing="0"/>
              <w:ind w:firstLine="271"/>
              <w:jc w:val="both"/>
            </w:pPr>
            <w:r>
              <w:t>Ar</w:t>
            </w:r>
            <w:r w:rsidRPr="00F81153">
              <w:t xml:space="preserve"> 2018.gada 1.janvār</w:t>
            </w:r>
            <w:r>
              <w:t>i</w:t>
            </w:r>
            <w:r w:rsidRPr="00F81153">
              <w:t xml:space="preserve"> saskaņā ar Saeimā 2017.gada 22.jūnijā pieņemto likumu </w:t>
            </w:r>
            <w:r w:rsidRPr="00DA02DF">
              <w:t>"</w:t>
            </w:r>
            <w:r w:rsidRPr="00F81153">
              <w:t xml:space="preserve">Grozījumi likumā </w:t>
            </w:r>
            <w:r w:rsidRPr="00DA02DF">
              <w:t>"</w:t>
            </w:r>
            <w:r w:rsidRPr="00F81153">
              <w:t>Par Valsts ieņēmumu dienestu</w:t>
            </w:r>
            <w:r w:rsidR="0026350B" w:rsidRPr="00DA02DF">
              <w:t>""</w:t>
            </w:r>
            <w:r w:rsidR="000E1539">
              <w:t xml:space="preserve"> </w:t>
            </w:r>
            <w:r w:rsidRPr="00F81153">
              <w:t xml:space="preserve">finanšu policija un muitas policija ir apvienota vienā izmeklēšanas iestādē – </w:t>
            </w:r>
            <w:r>
              <w:t>VID</w:t>
            </w:r>
            <w:r w:rsidRPr="00F81153">
              <w:t xml:space="preserve"> </w:t>
            </w:r>
            <w:r>
              <w:t>N</w:t>
            </w:r>
            <w:r w:rsidRPr="00F81153">
              <w:t xml:space="preserve">odokļu un </w:t>
            </w:r>
            <w:r w:rsidRPr="00F81153">
              <w:lastRenderedPageBreak/>
              <w:t>muitas policij</w:t>
            </w:r>
            <w:r>
              <w:t>as pārvaldē</w:t>
            </w:r>
            <w:r w:rsidRPr="00F81153">
              <w:t xml:space="preserve">, </w:t>
            </w:r>
            <w:r w:rsidR="00DE383D">
              <w:t>kā arī</w:t>
            </w:r>
            <w:r w:rsidRPr="00F81153">
              <w:t xml:space="preserve"> izveidot</w:t>
            </w:r>
            <w:r w:rsidR="00DA4199">
              <w:t>a</w:t>
            </w:r>
            <w:r w:rsidRPr="00F81153">
              <w:t xml:space="preserve"> VID Iekšējās drošības pārvald</w:t>
            </w:r>
            <w:r w:rsidR="00DA4199">
              <w:t>e</w:t>
            </w:r>
            <w:r w:rsidRPr="00F81153">
              <w:t>.</w:t>
            </w:r>
            <w:r w:rsidR="00AD2226">
              <w:t xml:space="preserve"> </w:t>
            </w:r>
            <w:r w:rsidR="008E5937">
              <w:t xml:space="preserve"> Likumprojekta anotācijā norādīts, ka </w:t>
            </w:r>
            <w:r w:rsidR="008E5937" w:rsidRPr="008E5937">
              <w:t>ir jāizstrādā un jāpieņem Ministru kabinetā noteikumi par VID ierēdņu, kam piešķir dienesta pakāpi formas tērpiem, žetonu un dienesta pakāpju atšķirības zīmēm, kas aizstās pašreiz spēkā esošos Ministru kabineta 2013.gada 3.septembra noteikumus Nr.705 “Noteikumi par Valsts ieņēmumu dienesta muitas iestāžu un finanšu policijas ierēdņu formas tērpiem, žetonu un dienesta pakāpju atšķirības zīmēm”.</w:t>
            </w:r>
          </w:p>
          <w:p w14:paraId="05E3B766" w14:textId="50725A74" w:rsidR="007C2E7E" w:rsidRDefault="00D27A81" w:rsidP="001C6169">
            <w:pPr>
              <w:pStyle w:val="NormalWeb"/>
              <w:spacing w:before="0" w:beforeAutospacing="0" w:after="0" w:afterAutospacing="0"/>
              <w:ind w:firstLine="271"/>
              <w:jc w:val="both"/>
            </w:pPr>
            <w:r>
              <w:t>L</w:t>
            </w:r>
            <w:r w:rsidR="00B54574" w:rsidRPr="008F5E41">
              <w:t>ikum</w:t>
            </w:r>
            <w:r w:rsidR="00433E66">
              <w:t>a</w:t>
            </w:r>
            <w:r w:rsidR="00B54574" w:rsidRPr="008F5E41">
              <w:t xml:space="preserve"> </w:t>
            </w:r>
            <w:r w:rsidR="0026350B" w:rsidRPr="00DA02DF">
              <w:t>"</w:t>
            </w:r>
            <w:r w:rsidR="00B54574" w:rsidRPr="008F5E41">
              <w:t>Par Valsts ieņēmumu dienestu</w:t>
            </w:r>
            <w:r w:rsidR="0026350B" w:rsidRPr="00DA02DF">
              <w:t>"</w:t>
            </w:r>
            <w:r w:rsidR="00433E66">
              <w:t xml:space="preserve"> </w:t>
            </w:r>
            <w:r>
              <w:t>25.panta trešajā</w:t>
            </w:r>
            <w:r w:rsidR="00B54574" w:rsidRPr="008F5E41">
              <w:t xml:space="preserve"> daļ</w:t>
            </w:r>
            <w:r w:rsidR="00B54574">
              <w:t>ā</w:t>
            </w:r>
            <w:r w:rsidR="00B54574" w:rsidRPr="008F5E41">
              <w:t xml:space="preserve"> </w:t>
            </w:r>
            <w:r w:rsidR="00433E66">
              <w:t>(</w:t>
            </w:r>
            <w:r w:rsidR="00433E66" w:rsidRPr="006E28FB">
              <w:rPr>
                <w:i/>
              </w:rPr>
              <w:t>redakcijā, kas stājas spēkā 2018.gada 1.janvārī</w:t>
            </w:r>
            <w:r w:rsidR="00433E66">
              <w:t>)</w:t>
            </w:r>
            <w:r w:rsidR="00433E66" w:rsidRPr="008F5E41">
              <w:t xml:space="preserve"> </w:t>
            </w:r>
            <w:r>
              <w:t>noteikts</w:t>
            </w:r>
            <w:r w:rsidR="00B54574">
              <w:t xml:space="preserve">, ka </w:t>
            </w:r>
            <w:r>
              <w:t xml:space="preserve">VID </w:t>
            </w:r>
            <w:r w:rsidRPr="007C2E7E">
              <w:t xml:space="preserve">Iekšējās drošības pārvaldes, muitas iestāžu, nodokļu un muitas policijas ierēdņi, pildot dienesta pienākumus, nēsā formas tērpus. </w:t>
            </w:r>
            <w:r>
              <w:t>VID</w:t>
            </w:r>
            <w:r w:rsidRPr="007C2E7E">
              <w:t xml:space="preserve"> Iekšējās drošības pārvaldes, muitas iestāžu, nodokļu un muitas policijas ierēdņiem ir dienesta pakāpju atšķirības zīmes un žetoni, kuru aprakstu nosaka Ministru kabinets, bet nēsāšanas kārtību </w:t>
            </w:r>
            <w:r w:rsidR="0026350B">
              <w:t>–</w:t>
            </w:r>
            <w:r w:rsidRPr="007C2E7E">
              <w:t xml:space="preserve"> </w:t>
            </w:r>
            <w:r w:rsidR="0026350B">
              <w:t>VID</w:t>
            </w:r>
            <w:r w:rsidRPr="007C2E7E">
              <w:t xml:space="preserve"> ģenerāldirektor</w:t>
            </w:r>
            <w:r>
              <w:t>s.</w:t>
            </w:r>
          </w:p>
          <w:p w14:paraId="2624CF57" w14:textId="3141044B" w:rsidR="007C2E7E" w:rsidRDefault="00D27A81" w:rsidP="007C2E7E">
            <w:pPr>
              <w:tabs>
                <w:tab w:val="center" w:pos="4680"/>
                <w:tab w:val="right" w:pos="9360"/>
              </w:tabs>
              <w:ind w:firstLine="257"/>
              <w:jc w:val="both"/>
            </w:pPr>
            <w:r>
              <w:t xml:space="preserve">Turklāt </w:t>
            </w:r>
            <w:r w:rsidR="00B54574">
              <w:t>likuma</w:t>
            </w:r>
            <w:r w:rsidR="00B54574" w:rsidRPr="008F5E41">
              <w:t xml:space="preserve"> </w:t>
            </w:r>
            <w:r w:rsidR="0026350B" w:rsidRPr="00DA02DF">
              <w:t>"</w:t>
            </w:r>
            <w:r w:rsidR="00B54574" w:rsidRPr="008F5E41">
              <w:t>Par Valsts ieņēmumu dienestu</w:t>
            </w:r>
            <w:r w:rsidR="0026350B" w:rsidRPr="00DA02DF">
              <w:t>"</w:t>
            </w:r>
            <w:r w:rsidR="00B54574">
              <w:t xml:space="preserve"> pārejas noteikumu 39.punkt</w:t>
            </w:r>
            <w:r>
              <w:t>ā noteikts, ka l</w:t>
            </w:r>
            <w:r w:rsidRPr="0053362A">
              <w:t>īdz jaunu šā likuma 25</w:t>
            </w:r>
            <w:r>
              <w:t>.</w:t>
            </w:r>
            <w:r w:rsidRPr="0053362A">
              <w:t>panta</w:t>
            </w:r>
            <w:r>
              <w:t xml:space="preserve"> </w:t>
            </w:r>
            <w:r w:rsidRPr="0053362A">
              <w:t>trešajā daļā minēto Ministru kabineta noteikumu spēkā stāšanās die</w:t>
            </w:r>
            <w:r>
              <w:t>nai, bet ne ilgāk kā līdz 2018.gada 1.</w:t>
            </w:r>
            <w:r w:rsidRPr="0053362A">
              <w:t xml:space="preserve">jūnijam piemērojami </w:t>
            </w:r>
            <w:r>
              <w:t>Ministru kabineta 2013.gada 3.</w:t>
            </w:r>
            <w:r w:rsidRPr="0053362A">
              <w:t>septembra noteikumi Nr. 705 "Noteikumi par Valsts ieņēmumu dienesta muitas iestāžu un finanšu policijas ierēdņu formas tērpiem, žetonu un dienesta pakāpju atšķirības zīmēm", ciktāl tie nav pretrunā ar šo likumu.</w:t>
            </w:r>
          </w:p>
          <w:p w14:paraId="0CEDDBC2" w14:textId="405923B6" w:rsidR="007C2E7E" w:rsidRDefault="00D27A81" w:rsidP="001C6169">
            <w:pPr>
              <w:pStyle w:val="NormalWeb"/>
              <w:spacing w:before="0" w:beforeAutospacing="0" w:after="0" w:afterAutospacing="0"/>
              <w:ind w:firstLine="271"/>
              <w:jc w:val="both"/>
            </w:pPr>
            <w:r>
              <w:t>Ņemot vērā minēto</w:t>
            </w:r>
            <w:r w:rsidR="00BA2789">
              <w:t xml:space="preserve">, saskaņā ar likuma </w:t>
            </w:r>
            <w:r w:rsidR="0026350B" w:rsidRPr="00DA02DF">
              <w:t>"</w:t>
            </w:r>
            <w:r w:rsidR="00BA2789">
              <w:t>Par Valsts ieņēmumu dienestu</w:t>
            </w:r>
            <w:r w:rsidR="0026350B" w:rsidRPr="00DA02DF">
              <w:t>"</w:t>
            </w:r>
            <w:r w:rsidR="00BA2789">
              <w:t xml:space="preserve"> 25.panta trešo daļu (</w:t>
            </w:r>
            <w:r w:rsidR="00BA2789">
              <w:rPr>
                <w:i/>
              </w:rPr>
              <w:t>redakcijā, kas stājā</w:t>
            </w:r>
            <w:r w:rsidR="00BA2789" w:rsidRPr="00242AB0">
              <w:rPr>
                <w:i/>
              </w:rPr>
              <w:t>s spēkā 2018.gada 1.janvārī</w:t>
            </w:r>
            <w:r w:rsidR="00BA2789">
              <w:t xml:space="preserve">) </w:t>
            </w:r>
            <w:r>
              <w:t xml:space="preserve">izstrādāts noteikumu projekts, kas paredz noteikt VID </w:t>
            </w:r>
            <w:r w:rsidRPr="007C2E7E">
              <w:t>Iekšējās drošības pārvaldes, muitas iestāžu, nodokļu un muitas policijas ierēdņiem formas tērpu, žetona un dienesta pakāpēm atbilstošu atšķirības zīmju aprakstu un paraugus.</w:t>
            </w:r>
          </w:p>
          <w:p w14:paraId="4A972A74" w14:textId="46DFCC58" w:rsidR="00BA2789" w:rsidRDefault="00D27A81" w:rsidP="008B51E7">
            <w:pPr>
              <w:autoSpaceDE w:val="0"/>
              <w:autoSpaceDN w:val="0"/>
              <w:adjustRightInd w:val="0"/>
              <w:ind w:firstLine="284"/>
              <w:jc w:val="both"/>
            </w:pPr>
            <w:r>
              <w:t xml:space="preserve">VID 2015.gada 1.aprīlī </w:t>
            </w:r>
            <w:r w:rsidR="001E19C0">
              <w:t xml:space="preserve">ar SIA </w:t>
            </w:r>
            <w:r w:rsidR="0026350B" w:rsidRPr="00DA02DF">
              <w:t>"</w:t>
            </w:r>
            <w:r w:rsidR="001E19C0">
              <w:t>VIK</w:t>
            </w:r>
            <w:r w:rsidR="0026350B" w:rsidRPr="00DA02DF">
              <w:t>"</w:t>
            </w:r>
            <w:r w:rsidR="001E19C0">
              <w:t xml:space="preserve"> </w:t>
            </w:r>
            <w:r>
              <w:t>noslēdza līgumu “Ikdienas un parādes formas tērpu, darba un speciālo apģērbu, apavu un aksesuāru tehnisko s</w:t>
            </w:r>
            <w:r w:rsidR="001E19C0">
              <w:t>pecifikāciju un paraugu izstrāde”</w:t>
            </w:r>
            <w:r w:rsidR="00EF1241">
              <w:t xml:space="preserve"> </w:t>
            </w:r>
            <w:r w:rsidR="001D2E97">
              <w:t xml:space="preserve">par </w:t>
            </w:r>
            <w:r w:rsidR="00EF1241">
              <w:t xml:space="preserve">finanšu policijas un muitas iestāžu ierēdņu ikdienas un parādes formas tērpu, darba un speciālo apģērbu, apavu un aksesuāru dizaina (t.sk. skices detalizēti zīmējumi līnija un krāsā (tostarp projektētas </w:t>
            </w:r>
            <w:proofErr w:type="spellStart"/>
            <w:r w:rsidR="00EF1241">
              <w:t>piegrieznes</w:t>
            </w:r>
            <w:proofErr w:type="spellEnd"/>
            <w:r w:rsidR="00EF1241">
              <w:t>, diegi, pogas, visa veida apdare</w:t>
            </w:r>
            <w:r w:rsidR="001D2E97">
              <w:t>, a</w:t>
            </w:r>
            <w:r w:rsidR="00EF1241">
              <w:t>pdares krāsas u</w:t>
            </w:r>
            <w:r w:rsidR="00617580">
              <w:t>.</w:t>
            </w:r>
            <w:r w:rsidR="00EF1241">
              <w:t>tml.) un detalizēti modeļu apraksti) izstrād</w:t>
            </w:r>
            <w:r w:rsidR="001D2E97">
              <w:t>i</w:t>
            </w:r>
            <w:r w:rsidR="00EF1241">
              <w:t xml:space="preserve"> un piedāvā</w:t>
            </w:r>
            <w:r w:rsidR="001D2E97">
              <w:t>jumu</w:t>
            </w:r>
            <w:r w:rsidR="00EF1241">
              <w:t xml:space="preserve"> (apaviem), paraugu izgatavošan</w:t>
            </w:r>
            <w:r w:rsidR="001D2E97">
              <w:t>u</w:t>
            </w:r>
            <w:r w:rsidR="00EF1241">
              <w:t>, piegād</w:t>
            </w:r>
            <w:r w:rsidR="001D2E97">
              <w:t>i</w:t>
            </w:r>
            <w:r w:rsidR="00EF1241">
              <w:t xml:space="preserve"> un tehniskās dokumentācijas izstrād</w:t>
            </w:r>
            <w:r w:rsidR="001D2E97">
              <w:t>i</w:t>
            </w:r>
            <w:r w:rsidR="00EF1241">
              <w:t xml:space="preserve"> </w:t>
            </w:r>
            <w:r w:rsidR="001D2E97">
              <w:t xml:space="preserve">72 </w:t>
            </w:r>
            <w:r w:rsidR="00AC6DBD">
              <w:t>formas tērpu sastāvdaļām</w:t>
            </w:r>
            <w:r w:rsidR="001D2E97">
              <w:t>.</w:t>
            </w:r>
          </w:p>
          <w:p w14:paraId="715466DB" w14:textId="0AA584A3" w:rsidR="00BA2789" w:rsidRDefault="00D27A81" w:rsidP="00433E66">
            <w:pPr>
              <w:autoSpaceDE w:val="0"/>
              <w:autoSpaceDN w:val="0"/>
              <w:adjustRightInd w:val="0"/>
              <w:ind w:firstLine="399"/>
              <w:jc w:val="both"/>
            </w:pPr>
            <w:r>
              <w:t xml:space="preserve">Saskaņā ar </w:t>
            </w:r>
            <w:r w:rsidR="00AC6DBD">
              <w:t>noslēgto līgumu</w:t>
            </w:r>
            <w:r>
              <w:t xml:space="preserve"> SIA </w:t>
            </w:r>
            <w:r w:rsidR="0026350B" w:rsidRPr="00DA02DF">
              <w:t>"</w:t>
            </w:r>
            <w:r>
              <w:t>VIK</w:t>
            </w:r>
            <w:r w:rsidR="0026350B" w:rsidRPr="00DA02DF">
              <w:t>"</w:t>
            </w:r>
            <w:r>
              <w:t xml:space="preserve"> </w:t>
            </w:r>
            <w:r w:rsidR="00AC6DBD">
              <w:t>līdz 2016.gada 31.decembrim izstrādāj</w:t>
            </w:r>
            <w:r w:rsidR="001D2E97">
              <w:t>a</w:t>
            </w:r>
            <w:r>
              <w:t xml:space="preserve"> jaun</w:t>
            </w:r>
            <w:r w:rsidR="00D101C1">
              <w:t>u</w:t>
            </w:r>
            <w:r>
              <w:t xml:space="preserve"> VID muitas iestāžu un finanšu policijas  ierēdņu ikdienas un parādes formas tērpu, darba un speciālo ap</w:t>
            </w:r>
            <w:r w:rsidR="00EF3373">
              <w:t>ģ</w:t>
            </w:r>
            <w:r>
              <w:t>ērbu, apavu un a</w:t>
            </w:r>
            <w:r w:rsidR="00EF3373">
              <w:t>k</w:t>
            </w:r>
            <w:r>
              <w:t>sesuāru</w:t>
            </w:r>
            <w:r w:rsidR="00EF3373">
              <w:t xml:space="preserve"> tehnisk</w:t>
            </w:r>
            <w:r w:rsidR="00AC6DBD">
              <w:t>o</w:t>
            </w:r>
            <w:r w:rsidR="00EF3373">
              <w:t xml:space="preserve"> specifikācij</w:t>
            </w:r>
            <w:r w:rsidR="00AC6DBD">
              <w:t>u, aprakstus</w:t>
            </w:r>
            <w:r w:rsidR="00EF3373">
              <w:t xml:space="preserve"> un </w:t>
            </w:r>
            <w:r w:rsidR="00AC6DBD">
              <w:t xml:space="preserve">formas tērpu </w:t>
            </w:r>
            <w:r>
              <w:t>paraug</w:t>
            </w:r>
            <w:r w:rsidR="00AC6DBD">
              <w:t>us</w:t>
            </w:r>
            <w:r w:rsidR="001D2E97">
              <w:t>.</w:t>
            </w:r>
          </w:p>
          <w:p w14:paraId="54200BD2" w14:textId="55CA8472" w:rsidR="00EF3373" w:rsidRDefault="00D27A81" w:rsidP="00433E66">
            <w:pPr>
              <w:autoSpaceDE w:val="0"/>
              <w:autoSpaceDN w:val="0"/>
              <w:adjustRightInd w:val="0"/>
              <w:ind w:firstLine="399"/>
              <w:jc w:val="both"/>
            </w:pPr>
            <w:r>
              <w:lastRenderedPageBreak/>
              <w:t>Noteikumu projektā iekļauti</w:t>
            </w:r>
            <w:r w:rsidR="00224826">
              <w:t xml:space="preserve"> </w:t>
            </w:r>
            <w:r>
              <w:t>muitas iestāžu, t.sk. nodokļu un muitas policijas un VID Iekšējās drošības pārvaldes ierēdņu ikdienas un parādes formas tērpu, darba un speciālo apģērbu, apavu un aksesuāri apraksti</w:t>
            </w:r>
            <w:r w:rsidR="00AC6DBD">
              <w:t xml:space="preserve">, </w:t>
            </w:r>
            <w:r w:rsidR="00224826">
              <w:t xml:space="preserve">kas </w:t>
            </w:r>
            <w:r>
              <w:t xml:space="preserve">izstrādāti atbilstoši SIA </w:t>
            </w:r>
            <w:r w:rsidR="0026350B" w:rsidRPr="00DA02DF">
              <w:t>"</w:t>
            </w:r>
            <w:r>
              <w:t>VIK</w:t>
            </w:r>
            <w:r w:rsidR="0026350B" w:rsidRPr="00DA02DF">
              <w:t>"</w:t>
            </w:r>
            <w:r>
              <w:t xml:space="preserve"> iesniegtajai tehniskajai specifikācijai un aprakstiem</w:t>
            </w:r>
            <w:r w:rsidR="00AC6DBD">
              <w:t>, kā arī iesniegtiem attēliem</w:t>
            </w:r>
            <w:r>
              <w:t>.</w:t>
            </w:r>
          </w:p>
          <w:p w14:paraId="2CAB0AAA" w14:textId="167074B4" w:rsidR="001C6169" w:rsidRDefault="00D27A81" w:rsidP="001C6169">
            <w:pPr>
              <w:autoSpaceDE w:val="0"/>
              <w:autoSpaceDN w:val="0"/>
              <w:adjustRightInd w:val="0"/>
              <w:ind w:firstLine="399"/>
              <w:jc w:val="both"/>
            </w:pPr>
            <w:r>
              <w:t xml:space="preserve">Tā kā </w:t>
            </w:r>
            <w:r w:rsidR="00617580">
              <w:t xml:space="preserve">ar </w:t>
            </w:r>
            <w:r>
              <w:t>2018.gada 1.janvār</w:t>
            </w:r>
            <w:r w:rsidR="00617580">
              <w:t>i</w:t>
            </w:r>
            <w:r>
              <w:t xml:space="preserve"> ir izveidotas jaunas divas izmeklēšanas iestādes </w:t>
            </w:r>
            <w:r w:rsidR="00617580">
              <w:t>–</w:t>
            </w:r>
            <w:r>
              <w:t xml:space="preserve"> nodokļu un muitas policija (iepriekš </w:t>
            </w:r>
            <w:r w:rsidRPr="00AC6DBD">
              <w:t>finanšu policija un muitas policija</w:t>
            </w:r>
            <w:r>
              <w:t xml:space="preserve">) un </w:t>
            </w:r>
            <w:r w:rsidRPr="00AC6DBD">
              <w:t>VID Iekšējās drošības pārvalde</w:t>
            </w:r>
            <w:r>
              <w:t xml:space="preserve"> (iepriekš finanšu policijas sastāvā), </w:t>
            </w:r>
            <w:r w:rsidR="00224826">
              <w:t xml:space="preserve">tad tika precizētas atsevišķas formas tērpu sastāvdaļas – nodokļu un muitas policijas </w:t>
            </w:r>
            <w:r w:rsidR="005865E8">
              <w:t>ž</w:t>
            </w:r>
            <w:r w:rsidR="00224826">
              <w:t>etons, žetona maks un uzšuve, kā arī VID Iekšējās drošības pārvaldes žetons</w:t>
            </w:r>
            <w:r w:rsidR="005865E8">
              <w:t xml:space="preserve">, </w:t>
            </w:r>
            <w:r w:rsidR="00224826">
              <w:t xml:space="preserve">žetona maks </w:t>
            </w:r>
            <w:r w:rsidR="005865E8">
              <w:t>un uzšuve</w:t>
            </w:r>
            <w:r w:rsidRPr="00AC6DBD">
              <w:t>.</w:t>
            </w:r>
          </w:p>
          <w:p w14:paraId="15938459" w14:textId="36BBD7C8" w:rsidR="001C6169" w:rsidRDefault="00D27A81" w:rsidP="001C6169">
            <w:pPr>
              <w:autoSpaceDE w:val="0"/>
              <w:autoSpaceDN w:val="0"/>
              <w:adjustRightInd w:val="0"/>
              <w:ind w:firstLine="399"/>
              <w:jc w:val="both"/>
            </w:pPr>
            <w:r>
              <w:t xml:space="preserve">Līdz ar jaunu VID struktūrvienību (VID </w:t>
            </w:r>
            <w:r w:rsidR="00617580">
              <w:t>N</w:t>
            </w:r>
            <w:r>
              <w:t xml:space="preserve">odokļu un muitas policijas </w:t>
            </w:r>
            <w:r w:rsidR="00617580">
              <w:t xml:space="preserve">pārvaldes </w:t>
            </w:r>
            <w:r>
              <w:t xml:space="preserve">un VID </w:t>
            </w:r>
            <w:r w:rsidR="00DB212E">
              <w:t>I</w:t>
            </w:r>
            <w:r>
              <w:t>ekšējās drošības pārvaldes) izveidi, šo struktūrvienību ierēdņiem ir izstrādāti formas tērpi, žetoni, kuros ir</w:t>
            </w:r>
            <w:r w:rsidR="00EE65EC">
              <w:t xml:space="preserve"> ietverts valsts ģerboņa attēls, kā arī VID nodokļu un muitas policijai muitas iestādes emblēma.</w:t>
            </w:r>
          </w:p>
          <w:p w14:paraId="57490766" w14:textId="0C25A54A" w:rsidR="001C6169" w:rsidRDefault="00D27A81" w:rsidP="001C6169">
            <w:pPr>
              <w:autoSpaceDE w:val="0"/>
              <w:autoSpaceDN w:val="0"/>
              <w:adjustRightInd w:val="0"/>
              <w:ind w:firstLine="399"/>
              <w:jc w:val="both"/>
            </w:pPr>
            <w:r>
              <w:t xml:space="preserve">No likuma </w:t>
            </w:r>
            <w:r w:rsidR="0026350B" w:rsidRPr="00DA02DF">
              <w:t>"</w:t>
            </w:r>
            <w:r>
              <w:t>Par Valsts ieņēmumu dienestu</w:t>
            </w:r>
            <w:r w:rsidR="0026350B" w:rsidRPr="00DA02DF">
              <w:t>"</w:t>
            </w:r>
            <w:r>
              <w:t xml:space="preserve"> 14.panta otrās daļas izriet, ka</w:t>
            </w:r>
            <w:r w:rsidR="00617580">
              <w:t>,</w:t>
            </w:r>
            <w:r>
              <w:t xml:space="preserve"> </w:t>
            </w:r>
            <w:r w:rsidRPr="00405092">
              <w:t>pild</w:t>
            </w:r>
            <w:r>
              <w:t>o</w:t>
            </w:r>
            <w:r w:rsidRPr="00405092">
              <w:t>t starptautiskās saistības, kuras valsts uzņēmusies attiecībā uz muitu;</w:t>
            </w:r>
            <w:r>
              <w:t xml:space="preserve"> veicot </w:t>
            </w:r>
            <w:r w:rsidRPr="00405092">
              <w:t>izmeklēšanu lietās par noziedzīgiem</w:t>
            </w:r>
            <w:r>
              <w:t xml:space="preserve"> nodarījumiem muitas lietu jomā </w:t>
            </w:r>
            <w:r w:rsidRPr="00405092">
              <w:t>un likumā noteikto operatīvo darbību, lai atklātu un novērstu noziedzīgus nodarījumus muitas lietu jomā</w:t>
            </w:r>
            <w:r>
              <w:t xml:space="preserve">, </w:t>
            </w:r>
            <w:r w:rsidR="00DB212E">
              <w:t>VID</w:t>
            </w:r>
            <w:r>
              <w:t xml:space="preserve"> nodokļu un muitas policijai ir muitas iestādes statuss. Turklāt Muitas likuma 4.pantā noteikts, ka muitas iestādes emblēmu veido divi dzelteni diagonāli krustoti </w:t>
            </w:r>
            <w:proofErr w:type="spellStart"/>
            <w:r>
              <w:t>Merkura</w:t>
            </w:r>
            <w:proofErr w:type="spellEnd"/>
            <w:r>
              <w:t xml:space="preserve"> zižļi, virs kuriem ir mazais valsts ģerbonis. Emblēmu lieto uz muitas iestādes amatpersonas formas tērpa. </w:t>
            </w:r>
          </w:p>
          <w:p w14:paraId="27ADAF52" w14:textId="61E4B4AC" w:rsidR="001C6169" w:rsidRDefault="00D27A81" w:rsidP="001C6169">
            <w:pPr>
              <w:autoSpaceDE w:val="0"/>
              <w:autoSpaceDN w:val="0"/>
              <w:adjustRightInd w:val="0"/>
              <w:ind w:firstLine="399"/>
              <w:jc w:val="both"/>
            </w:pPr>
            <w:r>
              <w:t xml:space="preserve">Saskaņā ar likuma </w:t>
            </w:r>
            <w:r w:rsidR="0026350B" w:rsidRPr="00DA02DF">
              <w:t>"</w:t>
            </w:r>
            <w:r>
              <w:t>Par Latvijas Valsts ģerboni</w:t>
            </w:r>
            <w:r w:rsidR="0026350B" w:rsidRPr="00DA02DF">
              <w:t>"</w:t>
            </w:r>
            <w:r>
              <w:t xml:space="preserve"> 8.panta sesto daļu šā likuma 5.</w:t>
            </w:r>
            <w:r w:rsidR="00617580">
              <w:t>–</w:t>
            </w:r>
            <w:r>
              <w:t>7.pantā minētā institūcija un amatpersona drīkst lietot jebkuru valsts ģerboni uz formas tērpa un amata zīmē (arī kā emblēmas sastāvdaļu) normatīvajos aktos paredzētajā kārtībā.</w:t>
            </w:r>
          </w:p>
          <w:p w14:paraId="4D2B9968" w14:textId="79B328B4" w:rsidR="001C6169" w:rsidRDefault="00D27A81" w:rsidP="001C6169">
            <w:pPr>
              <w:autoSpaceDE w:val="0"/>
              <w:autoSpaceDN w:val="0"/>
              <w:adjustRightInd w:val="0"/>
              <w:ind w:firstLine="399"/>
              <w:jc w:val="both"/>
            </w:pPr>
            <w:r>
              <w:t>Tādējādi VID nodokļu un muitas policijas ierēdņu fo</w:t>
            </w:r>
            <w:r w:rsidR="005865E8">
              <w:t xml:space="preserve">rmas tērpu sastāvdaļās uzšuvei, žetonam un žetona makam izmantota </w:t>
            </w:r>
            <w:r>
              <w:t>muitas iestādes emblēm</w:t>
            </w:r>
            <w:r w:rsidR="005865E8">
              <w:t>a</w:t>
            </w:r>
            <w:r>
              <w:t>, savukārt VID Iekšējās drošības pārvaldes formas tērp</w:t>
            </w:r>
            <w:r w:rsidR="00405092">
              <w:t>u sastāvdaļās</w:t>
            </w:r>
            <w:r>
              <w:t xml:space="preserve">, </w:t>
            </w:r>
            <w:r w:rsidR="005865E8">
              <w:t xml:space="preserve">t.sk. </w:t>
            </w:r>
            <w:r>
              <w:t>uzšuvēm, žetonam</w:t>
            </w:r>
            <w:r w:rsidR="005865E8">
              <w:t>,</w:t>
            </w:r>
            <w:r>
              <w:t xml:space="preserve"> izmantots valsts ģerbonis</w:t>
            </w:r>
            <w:r w:rsidR="00DB212E">
              <w:t>. Muitas iestāžu formas tērpā muitas emblēma ir saglabāta, bet</w:t>
            </w:r>
            <w:r>
              <w:t xml:space="preserve"> atsevišķās muitas iestāžu formas tērpu sastāvdaļās </w:t>
            </w:r>
            <w:r w:rsidR="005B7CB7">
              <w:t>(piem.</w:t>
            </w:r>
            <w:r>
              <w:t>,</w:t>
            </w:r>
            <w:r w:rsidR="005B7CB7">
              <w:t xml:space="preserve"> cepur</w:t>
            </w:r>
            <w:r w:rsidR="00D101C1">
              <w:t>ē</w:t>
            </w:r>
            <w:r w:rsidR="005B7CB7">
              <w:t xml:space="preserve">) muitas emblēmas vietā turpmāk </w:t>
            </w:r>
            <w:r w:rsidR="00DB212E">
              <w:t xml:space="preserve">lietots </w:t>
            </w:r>
            <w:r>
              <w:t>valsts ģerbonis.</w:t>
            </w:r>
          </w:p>
          <w:p w14:paraId="73D9A6FC" w14:textId="66C62BBF" w:rsidR="00734E91" w:rsidRDefault="00D27A81" w:rsidP="001C6169">
            <w:pPr>
              <w:autoSpaceDE w:val="0"/>
              <w:autoSpaceDN w:val="0"/>
              <w:adjustRightInd w:val="0"/>
              <w:ind w:firstLine="399"/>
              <w:jc w:val="both"/>
            </w:pPr>
            <w:r>
              <w:t xml:space="preserve">VID 2017.gada 22.novembra vēstulē Nr.6.7-2/333 </w:t>
            </w:r>
            <w:r w:rsidR="00974814">
              <w:t xml:space="preserve">lūdza </w:t>
            </w:r>
            <w:r>
              <w:t>Kultūras ministr</w:t>
            </w:r>
            <w:r w:rsidR="00405092">
              <w:t>ij</w:t>
            </w:r>
            <w:r w:rsidR="00974814">
              <w:t>u</w:t>
            </w:r>
            <w:r w:rsidR="00405092">
              <w:t xml:space="preserve"> (Heraldikas komisij</w:t>
            </w:r>
            <w:r w:rsidR="00974814">
              <w:t>u</w:t>
            </w:r>
            <w:r w:rsidR="00405092">
              <w:t xml:space="preserve">) </w:t>
            </w:r>
            <w:r>
              <w:t>apstiprināt</w:t>
            </w:r>
            <w:r w:rsidR="001C6169">
              <w:t xml:space="preserve"> </w:t>
            </w:r>
            <w:r>
              <w:t>atribūtikas ar</w:t>
            </w:r>
            <w:r w:rsidR="001C6169">
              <w:t xml:space="preserve"> valsts ģerbo</w:t>
            </w:r>
            <w:r>
              <w:t>ni</w:t>
            </w:r>
            <w:r w:rsidR="001C6169">
              <w:t xml:space="preserve"> izmantošanu VID formas tērpos, žetonam, to makam</w:t>
            </w:r>
            <w:r w:rsidR="005865E8">
              <w:t>, kokardei</w:t>
            </w:r>
            <w:r w:rsidR="001C6169">
              <w:t xml:space="preserve"> un citām formas tērpu sastāvdaļām (uzšuvēm, pogām, cepurēm)</w:t>
            </w:r>
            <w:r w:rsidR="00405092">
              <w:t>.</w:t>
            </w:r>
            <w:r w:rsidR="001C6169">
              <w:t xml:space="preserve">  </w:t>
            </w:r>
          </w:p>
          <w:p w14:paraId="6DD7E09E" w14:textId="77884E23" w:rsidR="001C6169" w:rsidRDefault="00D27A81" w:rsidP="001C6169">
            <w:pPr>
              <w:autoSpaceDE w:val="0"/>
              <w:autoSpaceDN w:val="0"/>
              <w:adjustRightInd w:val="0"/>
              <w:ind w:firstLine="399"/>
              <w:jc w:val="both"/>
            </w:pPr>
            <w:r>
              <w:t xml:space="preserve">Kultūras ministrija ar 2017.gada 6.decembra lēmumu Nr.2.6-18.2/25 </w:t>
            </w:r>
            <w:r w:rsidR="008D49FC">
              <w:t xml:space="preserve">akceptēja </w:t>
            </w:r>
            <w:r>
              <w:t>VID</w:t>
            </w:r>
            <w:r w:rsidR="008D49FC">
              <w:t xml:space="preserve"> iesniegt</w:t>
            </w:r>
            <w:r w:rsidR="00405092">
              <w:t>o</w:t>
            </w:r>
            <w:r w:rsidR="008D49FC">
              <w:t xml:space="preserve"> atribūtik</w:t>
            </w:r>
            <w:r w:rsidR="00405092">
              <w:t>u</w:t>
            </w:r>
            <w:r w:rsidR="008D49FC">
              <w:t xml:space="preserve"> ar valsts </w:t>
            </w:r>
            <w:r w:rsidR="008D49FC">
              <w:lastRenderedPageBreak/>
              <w:t xml:space="preserve">ģerboni projektus un apstiprināja </w:t>
            </w:r>
            <w:r w:rsidR="00405092">
              <w:t xml:space="preserve">šādu </w:t>
            </w:r>
            <w:r w:rsidR="008D49FC">
              <w:t xml:space="preserve">atribūtiku ar valsts ģerboni: </w:t>
            </w:r>
          </w:p>
          <w:p w14:paraId="6F957ED4" w14:textId="29517315" w:rsidR="008D49FC" w:rsidRDefault="00D27A81" w:rsidP="001C6169">
            <w:pPr>
              <w:autoSpaceDE w:val="0"/>
              <w:autoSpaceDN w:val="0"/>
              <w:adjustRightInd w:val="0"/>
              <w:ind w:firstLine="399"/>
              <w:jc w:val="both"/>
            </w:pPr>
            <w:r>
              <w:t>a) VID formas tērpu sastāvdaļās – metāla pogām un kokardei;</w:t>
            </w:r>
          </w:p>
          <w:p w14:paraId="715A1C8C" w14:textId="6BB9ADAC" w:rsidR="008D49FC" w:rsidRDefault="00D27A81" w:rsidP="001C6169">
            <w:pPr>
              <w:autoSpaceDE w:val="0"/>
              <w:autoSpaceDN w:val="0"/>
              <w:adjustRightInd w:val="0"/>
              <w:ind w:firstLine="399"/>
              <w:jc w:val="both"/>
            </w:pPr>
            <w:r>
              <w:t>b)  ģenerāļa kokardei;</w:t>
            </w:r>
          </w:p>
          <w:p w14:paraId="4D489AF7" w14:textId="6C75B4EE" w:rsidR="008D49FC" w:rsidRDefault="00D27A81" w:rsidP="001C6169">
            <w:pPr>
              <w:autoSpaceDE w:val="0"/>
              <w:autoSpaceDN w:val="0"/>
              <w:adjustRightInd w:val="0"/>
              <w:ind w:firstLine="399"/>
              <w:jc w:val="both"/>
            </w:pPr>
            <w:r>
              <w:t>c) VID Iekšējās drošības pārvaldes uzšuvei, žetonam un žetona makam;</w:t>
            </w:r>
          </w:p>
          <w:p w14:paraId="7AAB0478" w14:textId="15EF4B88" w:rsidR="008D49FC" w:rsidRDefault="00D27A81" w:rsidP="001C6169">
            <w:pPr>
              <w:autoSpaceDE w:val="0"/>
              <w:autoSpaceDN w:val="0"/>
              <w:adjustRightInd w:val="0"/>
              <w:ind w:firstLine="399"/>
              <w:jc w:val="both"/>
            </w:pPr>
            <w:r>
              <w:t>d) nodokļu un muitas policijas uzšuvei, žetonam un žetona makam.</w:t>
            </w:r>
          </w:p>
          <w:p w14:paraId="33457E5D" w14:textId="7D34A0C6" w:rsidR="006463AB" w:rsidRDefault="00D27A81" w:rsidP="006463AB">
            <w:pPr>
              <w:autoSpaceDE w:val="0"/>
              <w:autoSpaceDN w:val="0"/>
              <w:adjustRightInd w:val="0"/>
              <w:ind w:firstLine="399"/>
              <w:jc w:val="both"/>
            </w:pPr>
            <w:r>
              <w:t>Ņemot vērā, ka muitas iestādes,</w:t>
            </w:r>
            <w:r w:rsidR="00974814">
              <w:t xml:space="preserve"> </w:t>
            </w:r>
            <w:r>
              <w:t>nodokļu un muitas policija un VID Iekšējās drošības pārvalde ir VID struktūrvienības, tad n</w:t>
            </w:r>
            <w:r w:rsidR="00D2196E">
              <w:t>oteikumu projekts paredz vienotas formas tērpu sastāvdaļas un</w:t>
            </w:r>
            <w:r>
              <w:t xml:space="preserve"> to aprakstu</w:t>
            </w:r>
            <w:r w:rsidR="00974814">
              <w:t>,</w:t>
            </w:r>
            <w:r>
              <w:t xml:space="preserve"> un ierēdņu dienesta pakāpēm atbilstošu zīmju aprakstu. Tā kā muitas iestādēm formas tērpos ir izmantota muitas emblēma, tad katrai VID struktūrvienībai ir noteiktas atšķirīgas uzšuves un žetoni, kā arī saglabātas attiecīgām struktūrvienībām raksturīgās krāsas (VID Muitas pārvaldei tā ir tumši zila, VID Nodokļu un muitas policija</w:t>
            </w:r>
            <w:r w:rsidR="00617580">
              <w:t xml:space="preserve">s pārvaldei </w:t>
            </w:r>
            <w:r>
              <w:t xml:space="preserve"> un VID Iekšējās drošības pārvaldei – melna).</w:t>
            </w:r>
          </w:p>
          <w:p w14:paraId="0008C573" w14:textId="08EA54DD" w:rsidR="00E92AE9" w:rsidRDefault="00D27A81" w:rsidP="006463AB">
            <w:pPr>
              <w:autoSpaceDE w:val="0"/>
              <w:autoSpaceDN w:val="0"/>
              <w:adjustRightInd w:val="0"/>
              <w:ind w:firstLine="399"/>
              <w:jc w:val="both"/>
            </w:pPr>
            <w:r>
              <w:t>Tā kā formas tērpu lietošanas periods ir līdz tr</w:t>
            </w:r>
            <w:r w:rsidR="00D101C1">
              <w:t>im</w:t>
            </w:r>
            <w:r>
              <w:t xml:space="preserve"> gadiem un l</w:t>
            </w:r>
            <w:r w:rsidRPr="00E92AE9">
              <w:t>ai neradītu neplānotas papildu izmaksas, kas ļautu turpināt izmantot es</w:t>
            </w:r>
            <w:r w:rsidR="00974814">
              <w:t>ošos formas tērpus, bet ar jaunajām</w:t>
            </w:r>
            <w:r w:rsidRPr="00E92AE9">
              <w:t xml:space="preserve"> uz</w:t>
            </w:r>
            <w:r>
              <w:t>šu</w:t>
            </w:r>
            <w:r w:rsidRPr="00E92AE9">
              <w:t>v</w:t>
            </w:r>
            <w:r w:rsidR="00974814">
              <w:t>ēm</w:t>
            </w:r>
            <w:r>
              <w:t>, veiktu iepirkumu</w:t>
            </w:r>
            <w:r w:rsidR="00974814">
              <w:t>,</w:t>
            </w:r>
            <w:r>
              <w:t xml:space="preserve"> atbilstoši noteikumu projektā noteiktajam formas tērpu aprakstam, noteikumu projekt</w:t>
            </w:r>
            <w:r w:rsidR="00D101C1">
              <w:t>ā</w:t>
            </w:r>
            <w:r>
              <w:t xml:space="preserve"> paredzēts noteikt trīs gadu  pārejas periodu</w:t>
            </w:r>
            <w:r w:rsidR="00D101C1">
              <w:t>,</w:t>
            </w:r>
            <w:r>
              <w:t xml:space="preserve"> līdz vecie formas tērpi tiek nomainīti ar jauniem formas tērpiem.</w:t>
            </w:r>
          </w:p>
          <w:p w14:paraId="0FA96F37" w14:textId="77777777" w:rsidR="00E92AE9" w:rsidRDefault="00E92AE9" w:rsidP="006463AB">
            <w:pPr>
              <w:autoSpaceDE w:val="0"/>
              <w:autoSpaceDN w:val="0"/>
              <w:adjustRightInd w:val="0"/>
              <w:ind w:firstLine="399"/>
              <w:jc w:val="both"/>
            </w:pPr>
          </w:p>
          <w:p w14:paraId="01524E91" w14:textId="5447C19B" w:rsidR="00B54574" w:rsidRDefault="00D27A81" w:rsidP="001C6169">
            <w:pPr>
              <w:autoSpaceDE w:val="0"/>
              <w:autoSpaceDN w:val="0"/>
              <w:adjustRightInd w:val="0"/>
              <w:ind w:firstLine="399"/>
              <w:jc w:val="both"/>
            </w:pPr>
            <w:r>
              <w:t>N</w:t>
            </w:r>
            <w:r w:rsidR="00E92AE9">
              <w:t>oteikumu projekts</w:t>
            </w:r>
            <w:r>
              <w:t xml:space="preserve"> paredz:</w:t>
            </w:r>
          </w:p>
          <w:p w14:paraId="611E840C" w14:textId="1A0C47E0" w:rsidR="001475B6" w:rsidRDefault="00D27A81" w:rsidP="00B54574">
            <w:pPr>
              <w:numPr>
                <w:ilvl w:val="0"/>
                <w:numId w:val="1"/>
              </w:numPr>
              <w:autoSpaceDE w:val="0"/>
              <w:autoSpaceDN w:val="0"/>
              <w:adjustRightInd w:val="0"/>
              <w:jc w:val="both"/>
            </w:pPr>
            <w:r>
              <w:t xml:space="preserve">noteikt </w:t>
            </w:r>
            <w:r w:rsidR="00F36115">
              <w:t xml:space="preserve">jaunas </w:t>
            </w:r>
            <w:r w:rsidR="008C5B8C">
              <w:t>muitas iestāžu</w:t>
            </w:r>
            <w:r w:rsidR="007C78BF">
              <w:t xml:space="preserve">, </w:t>
            </w:r>
            <w:r w:rsidR="008C5B8C">
              <w:t>n</w:t>
            </w:r>
            <w:r w:rsidR="007C78BF">
              <w:t xml:space="preserve">odokļu un muitas policijas un VID Iekšējās drošības pārvaldes ierēdņu </w:t>
            </w:r>
            <w:r w:rsidR="00AC6DBD">
              <w:t>formas tērpu</w:t>
            </w:r>
            <w:r w:rsidR="007C78BF">
              <w:t xml:space="preserve"> sastāvdaļas</w:t>
            </w:r>
            <w:r>
              <w:t>, to aprakstu žetonus</w:t>
            </w:r>
            <w:r w:rsidR="007C78BF">
              <w:t xml:space="preserve"> un</w:t>
            </w:r>
            <w:r>
              <w:t xml:space="preserve"> </w:t>
            </w:r>
            <w:r w:rsidR="00D2196E">
              <w:t xml:space="preserve">ierēdņu dienesta pakāpēm atbilstošu atšķirības zīmju </w:t>
            </w:r>
            <w:r>
              <w:t>aprakstu;</w:t>
            </w:r>
          </w:p>
          <w:p w14:paraId="7017661F" w14:textId="45E8F56F" w:rsidR="00B54574" w:rsidRDefault="00D27A81" w:rsidP="00F33F4A">
            <w:pPr>
              <w:numPr>
                <w:ilvl w:val="0"/>
                <w:numId w:val="1"/>
              </w:numPr>
              <w:autoSpaceDE w:val="0"/>
              <w:autoSpaceDN w:val="0"/>
              <w:adjustRightInd w:val="0"/>
              <w:jc w:val="both"/>
            </w:pPr>
            <w:r>
              <w:t xml:space="preserve">noteikt trīs gadu pārejas periodu </w:t>
            </w:r>
            <w:r w:rsidRPr="00E92AE9">
              <w:t xml:space="preserve">jauno </w:t>
            </w:r>
            <w:r>
              <w:t>formas tērpu ieviešanai līdz 2021.gada 1.jūnijam.</w:t>
            </w:r>
          </w:p>
          <w:p w14:paraId="4CB5A4A1" w14:textId="3A237DFA" w:rsidR="00B54574" w:rsidRPr="006E28FB" w:rsidRDefault="00B54574" w:rsidP="0053362A">
            <w:pPr>
              <w:autoSpaceDE w:val="0"/>
              <w:autoSpaceDN w:val="0"/>
              <w:adjustRightInd w:val="0"/>
              <w:jc w:val="both"/>
              <w:rPr>
                <w:b/>
                <w:lang w:eastAsia="en-US"/>
              </w:rPr>
            </w:pPr>
          </w:p>
        </w:tc>
      </w:tr>
      <w:tr w:rsidR="005F6BC7" w14:paraId="0AC99612" w14:textId="77777777" w:rsidTr="001C6169">
        <w:trPr>
          <w:trHeight w:val="476"/>
        </w:trPr>
        <w:tc>
          <w:tcPr>
            <w:tcW w:w="550" w:type="dxa"/>
          </w:tcPr>
          <w:p w14:paraId="245349D4" w14:textId="77777777" w:rsidR="00B54574" w:rsidRPr="00460984" w:rsidRDefault="00D27A81" w:rsidP="001C6169">
            <w:pPr>
              <w:pStyle w:val="naiskr"/>
              <w:spacing w:before="0" w:after="0"/>
            </w:pPr>
            <w:r>
              <w:lastRenderedPageBreak/>
              <w:t>3</w:t>
            </w:r>
            <w:r w:rsidRPr="00460984">
              <w:t>.</w:t>
            </w:r>
          </w:p>
        </w:tc>
        <w:tc>
          <w:tcPr>
            <w:tcW w:w="3295" w:type="dxa"/>
          </w:tcPr>
          <w:p w14:paraId="2A4416AB" w14:textId="77777777" w:rsidR="00B54574" w:rsidRPr="00D46EF4" w:rsidRDefault="00D27A81" w:rsidP="001C6169">
            <w:pPr>
              <w:pStyle w:val="naiskr"/>
              <w:spacing w:before="0" w:after="0"/>
            </w:pPr>
            <w:r w:rsidRPr="00D46EF4">
              <w:t>Projekta izstrādē iesaistītās institūcijas</w:t>
            </w:r>
            <w:r>
              <w:t xml:space="preserve"> </w:t>
            </w:r>
            <w:r w:rsidRPr="00C3135F">
              <w:t>un publiskas personas kapitālsabiedrības</w:t>
            </w:r>
          </w:p>
        </w:tc>
        <w:tc>
          <w:tcPr>
            <w:tcW w:w="5640" w:type="dxa"/>
          </w:tcPr>
          <w:p w14:paraId="3D5B9C3D" w14:textId="20C66952" w:rsidR="00B54574" w:rsidRDefault="00D27A81" w:rsidP="001C6169">
            <w:pPr>
              <w:pStyle w:val="naiskr"/>
              <w:spacing w:before="0" w:after="0"/>
              <w:jc w:val="both"/>
            </w:pPr>
            <w:r w:rsidRPr="000967C3">
              <w:t>V</w:t>
            </w:r>
            <w:r w:rsidR="003B290D">
              <w:t>ID</w:t>
            </w:r>
            <w:r w:rsidR="008D49FC">
              <w:t xml:space="preserve">, Kultūras ministrijas (Heraldikas komisija) </w:t>
            </w:r>
          </w:p>
          <w:p w14:paraId="112670FF" w14:textId="7D43F2A9" w:rsidR="002456E1" w:rsidRPr="00B800EA" w:rsidRDefault="002456E1" w:rsidP="001C6169">
            <w:pPr>
              <w:pStyle w:val="naiskr"/>
              <w:spacing w:before="0" w:after="0"/>
              <w:jc w:val="both"/>
            </w:pPr>
          </w:p>
        </w:tc>
      </w:tr>
      <w:tr w:rsidR="005F6BC7" w14:paraId="30223D65" w14:textId="77777777" w:rsidTr="001C6169">
        <w:tc>
          <w:tcPr>
            <w:tcW w:w="550" w:type="dxa"/>
          </w:tcPr>
          <w:p w14:paraId="728EE330" w14:textId="77777777" w:rsidR="00B54574" w:rsidRPr="00B800EA" w:rsidRDefault="00D27A81" w:rsidP="001C6169">
            <w:pPr>
              <w:pStyle w:val="naiskr"/>
              <w:spacing w:before="0" w:after="0"/>
            </w:pPr>
            <w:r>
              <w:t>4</w:t>
            </w:r>
            <w:r w:rsidRPr="00B800EA">
              <w:t>.</w:t>
            </w:r>
          </w:p>
        </w:tc>
        <w:tc>
          <w:tcPr>
            <w:tcW w:w="3295" w:type="dxa"/>
          </w:tcPr>
          <w:p w14:paraId="6EAEA08C" w14:textId="77777777" w:rsidR="00B54574" w:rsidRPr="00B800EA" w:rsidRDefault="00D27A81" w:rsidP="001C6169">
            <w:pPr>
              <w:pStyle w:val="naiskr"/>
              <w:spacing w:before="0" w:after="0"/>
            </w:pPr>
            <w:r w:rsidRPr="00B800EA">
              <w:t>Cita informācija</w:t>
            </w:r>
          </w:p>
        </w:tc>
        <w:tc>
          <w:tcPr>
            <w:tcW w:w="5640" w:type="dxa"/>
          </w:tcPr>
          <w:p w14:paraId="3C51FB4B" w14:textId="77777777" w:rsidR="00B54574" w:rsidRPr="00B800EA" w:rsidRDefault="00D27A81" w:rsidP="001C6169">
            <w:pPr>
              <w:pStyle w:val="FootnoteText"/>
              <w:jc w:val="both"/>
              <w:rPr>
                <w:sz w:val="24"/>
                <w:szCs w:val="24"/>
              </w:rPr>
            </w:pPr>
            <w:r w:rsidRPr="00B800EA">
              <w:rPr>
                <w:sz w:val="24"/>
                <w:szCs w:val="24"/>
              </w:rPr>
              <w:t>Nav</w:t>
            </w:r>
          </w:p>
        </w:tc>
      </w:tr>
    </w:tbl>
    <w:p w14:paraId="2C9A1AAB" w14:textId="77777777" w:rsidR="00B54574" w:rsidRPr="00B800EA" w:rsidRDefault="00B54574" w:rsidP="00B54574">
      <w:pPr>
        <w:pStyle w:val="naisf"/>
        <w:spacing w:before="0" w:after="0"/>
        <w:ind w:firstLine="0"/>
      </w:pPr>
    </w:p>
    <w:tbl>
      <w:tblPr>
        <w:tblpPr w:leftFromText="180" w:rightFromText="180" w:vertAnchor="text" w:horzAnchor="margin" w:tblpXSpec="center" w:tblpY="149"/>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3402"/>
        <w:gridCol w:w="5631"/>
      </w:tblGrid>
      <w:tr w:rsidR="005F6BC7" w14:paraId="5B277282" w14:textId="77777777" w:rsidTr="001C6169">
        <w:tc>
          <w:tcPr>
            <w:tcW w:w="9605" w:type="dxa"/>
            <w:gridSpan w:val="3"/>
            <w:vAlign w:val="center"/>
          </w:tcPr>
          <w:p w14:paraId="2EFDD6D5" w14:textId="77777777" w:rsidR="00B54574" w:rsidRPr="00B800EA" w:rsidRDefault="00D27A81" w:rsidP="001C6169">
            <w:pPr>
              <w:pStyle w:val="naisnod"/>
              <w:spacing w:before="0" w:after="0"/>
            </w:pPr>
            <w:r w:rsidRPr="00B800EA">
              <w:t>II. Tiesību akta projekta ietekme uz sabiedrību, tautsaimniecības attīstību un administratīvo slogu</w:t>
            </w:r>
          </w:p>
        </w:tc>
      </w:tr>
      <w:tr w:rsidR="005F6BC7" w14:paraId="1C495EB8" w14:textId="77777777" w:rsidTr="001C6169">
        <w:trPr>
          <w:trHeight w:val="281"/>
        </w:trPr>
        <w:tc>
          <w:tcPr>
            <w:tcW w:w="572" w:type="dxa"/>
          </w:tcPr>
          <w:p w14:paraId="1360C9DC" w14:textId="77777777" w:rsidR="00B54574" w:rsidRPr="00B800EA" w:rsidRDefault="00D27A81" w:rsidP="001C6169">
            <w:pPr>
              <w:pStyle w:val="naiskr"/>
              <w:spacing w:before="0" w:after="0"/>
            </w:pPr>
            <w:r w:rsidRPr="00B800EA">
              <w:t>1.</w:t>
            </w:r>
          </w:p>
        </w:tc>
        <w:tc>
          <w:tcPr>
            <w:tcW w:w="3402" w:type="dxa"/>
          </w:tcPr>
          <w:p w14:paraId="032CAE3B" w14:textId="77777777" w:rsidR="00B54574" w:rsidRPr="00B800EA" w:rsidRDefault="00D27A81" w:rsidP="001C6169">
            <w:pPr>
              <w:pStyle w:val="naiskr"/>
              <w:spacing w:before="0" w:after="0"/>
            </w:pPr>
            <w:r w:rsidRPr="00B800EA">
              <w:t xml:space="preserve">Sabiedrības </w:t>
            </w:r>
            <w:proofErr w:type="spellStart"/>
            <w:r w:rsidRPr="00B800EA">
              <w:t>mērķgrupas</w:t>
            </w:r>
            <w:proofErr w:type="spellEnd"/>
            <w:r w:rsidRPr="00B800EA">
              <w:t>, kuras tiesiskais regulējums ietekmē vai varētu ietekmēt</w:t>
            </w:r>
          </w:p>
        </w:tc>
        <w:tc>
          <w:tcPr>
            <w:tcW w:w="5631" w:type="dxa"/>
          </w:tcPr>
          <w:p w14:paraId="6424AE7A" w14:textId="3F272CD5" w:rsidR="00B54574" w:rsidRPr="00B800EA" w:rsidRDefault="00D27A81" w:rsidP="001C6169">
            <w:pPr>
              <w:jc w:val="both"/>
            </w:pPr>
            <w:r>
              <w:t xml:space="preserve">VID Iekšējās drošības pārvaldes, muitas iestāžu, </w:t>
            </w:r>
            <w:r w:rsidR="00E92AE9">
              <w:t>n</w:t>
            </w:r>
            <w:r>
              <w:t xml:space="preserve">odokļu un muitas policijas </w:t>
            </w:r>
            <w:r w:rsidRPr="00B800EA">
              <w:t>ierēdņi</w:t>
            </w:r>
            <w:r>
              <w:t xml:space="preserve">, kuriem tiek piešķirtas dienesta pakāpes.  </w:t>
            </w:r>
          </w:p>
          <w:p w14:paraId="6E465C21" w14:textId="77777777" w:rsidR="00B54574" w:rsidRPr="00B800EA" w:rsidRDefault="00B54574" w:rsidP="001C6169">
            <w:pPr>
              <w:pStyle w:val="naiskr"/>
              <w:spacing w:before="0" w:after="0"/>
              <w:ind w:hanging="57"/>
              <w:jc w:val="both"/>
            </w:pPr>
          </w:p>
        </w:tc>
      </w:tr>
      <w:tr w:rsidR="005F6BC7" w14:paraId="68BE6FC3" w14:textId="77777777" w:rsidTr="001C6169">
        <w:trPr>
          <w:trHeight w:val="523"/>
        </w:trPr>
        <w:tc>
          <w:tcPr>
            <w:tcW w:w="572" w:type="dxa"/>
          </w:tcPr>
          <w:p w14:paraId="45C36EB8" w14:textId="77777777" w:rsidR="00B54574" w:rsidRPr="00B800EA" w:rsidRDefault="00D27A81" w:rsidP="001C6169">
            <w:pPr>
              <w:pStyle w:val="naiskr"/>
              <w:spacing w:before="0" w:after="0"/>
            </w:pPr>
            <w:r w:rsidRPr="00B800EA">
              <w:lastRenderedPageBreak/>
              <w:t>2.</w:t>
            </w:r>
          </w:p>
        </w:tc>
        <w:tc>
          <w:tcPr>
            <w:tcW w:w="3402" w:type="dxa"/>
          </w:tcPr>
          <w:p w14:paraId="757B5352" w14:textId="77777777" w:rsidR="00B54574" w:rsidRPr="00B800EA" w:rsidRDefault="00D27A81" w:rsidP="001C6169">
            <w:pPr>
              <w:pStyle w:val="naiskr"/>
              <w:spacing w:before="0" w:after="0"/>
            </w:pPr>
            <w:r w:rsidRPr="00B800EA">
              <w:t>Tiesiskā regulējuma ietekme uz tautsaimniecību un administratīvo slogu</w:t>
            </w:r>
          </w:p>
        </w:tc>
        <w:tc>
          <w:tcPr>
            <w:tcW w:w="5631" w:type="dxa"/>
          </w:tcPr>
          <w:p w14:paraId="17385FC3" w14:textId="69395E4F" w:rsidR="00B54574" w:rsidRPr="00B800EA" w:rsidRDefault="00D27A81" w:rsidP="002456E1">
            <w:pPr>
              <w:pStyle w:val="naiskr"/>
              <w:spacing w:before="0" w:after="0"/>
              <w:jc w:val="both"/>
            </w:pPr>
            <w:r>
              <w:t xml:space="preserve">Noteikumu projekta </w:t>
            </w:r>
            <w:r w:rsidRPr="00B800EA">
              <w:t xml:space="preserve">tiesiskais regulējums </w:t>
            </w:r>
            <w:r>
              <w:t>administratīvo slogu neietekmē</w:t>
            </w:r>
            <w:r w:rsidR="002456E1" w:rsidRPr="002456E1">
              <w:t xml:space="preserve"> un tiks īstenots no esošajiem administratīvajiem resursiem.</w:t>
            </w:r>
            <w:r w:rsidR="002456E1">
              <w:t xml:space="preserve"> </w:t>
            </w:r>
          </w:p>
        </w:tc>
      </w:tr>
      <w:tr w:rsidR="005F6BC7" w14:paraId="14FEB2EA" w14:textId="77777777" w:rsidTr="001C6169">
        <w:trPr>
          <w:trHeight w:val="523"/>
        </w:trPr>
        <w:tc>
          <w:tcPr>
            <w:tcW w:w="572" w:type="dxa"/>
          </w:tcPr>
          <w:p w14:paraId="6CD28752" w14:textId="77777777" w:rsidR="00B54574" w:rsidRPr="00B800EA" w:rsidRDefault="00D27A81" w:rsidP="001C6169">
            <w:pPr>
              <w:pStyle w:val="naiskr"/>
              <w:spacing w:before="0" w:after="0"/>
            </w:pPr>
            <w:r w:rsidRPr="00B800EA">
              <w:t>3.</w:t>
            </w:r>
          </w:p>
        </w:tc>
        <w:tc>
          <w:tcPr>
            <w:tcW w:w="3402" w:type="dxa"/>
          </w:tcPr>
          <w:p w14:paraId="639E3BD0" w14:textId="77777777" w:rsidR="00B54574" w:rsidRPr="00B800EA" w:rsidRDefault="00D27A81" w:rsidP="001C6169">
            <w:pPr>
              <w:pStyle w:val="naiskr"/>
              <w:spacing w:before="0" w:after="0"/>
            </w:pPr>
            <w:r w:rsidRPr="00B800EA">
              <w:t>Administratīvo izmaksu monetārs novērtējums</w:t>
            </w:r>
          </w:p>
        </w:tc>
        <w:tc>
          <w:tcPr>
            <w:tcW w:w="5631" w:type="dxa"/>
          </w:tcPr>
          <w:p w14:paraId="48699179" w14:textId="77777777" w:rsidR="00B54574" w:rsidRPr="00B800EA" w:rsidRDefault="00D27A81" w:rsidP="001C6169">
            <w:pPr>
              <w:pStyle w:val="naiskr"/>
              <w:spacing w:before="0" w:after="0"/>
              <w:jc w:val="both"/>
            </w:pPr>
            <w:r>
              <w:t>Projekts šo jomu neskar.</w:t>
            </w:r>
          </w:p>
        </w:tc>
      </w:tr>
      <w:tr w:rsidR="005F6BC7" w14:paraId="5877C40F" w14:textId="77777777" w:rsidTr="001C6169">
        <w:trPr>
          <w:trHeight w:val="523"/>
        </w:trPr>
        <w:tc>
          <w:tcPr>
            <w:tcW w:w="572" w:type="dxa"/>
          </w:tcPr>
          <w:p w14:paraId="0A227A53" w14:textId="77777777" w:rsidR="00B54574" w:rsidRPr="00B800EA" w:rsidRDefault="00D27A81" w:rsidP="001C6169">
            <w:pPr>
              <w:pStyle w:val="naiskr"/>
              <w:spacing w:before="0" w:after="0"/>
            </w:pPr>
            <w:r>
              <w:t>4.</w:t>
            </w:r>
          </w:p>
        </w:tc>
        <w:tc>
          <w:tcPr>
            <w:tcW w:w="3402" w:type="dxa"/>
          </w:tcPr>
          <w:p w14:paraId="67BB8848" w14:textId="77777777" w:rsidR="00B54574" w:rsidRPr="00B800EA" w:rsidRDefault="00D27A81" w:rsidP="001C6169">
            <w:pPr>
              <w:pStyle w:val="naiskr"/>
              <w:spacing w:before="0" w:after="0"/>
            </w:pPr>
            <w:r w:rsidRPr="0001483F">
              <w:t>Atbilstības izmaksu monetārs novērtējums</w:t>
            </w:r>
          </w:p>
        </w:tc>
        <w:tc>
          <w:tcPr>
            <w:tcW w:w="5631" w:type="dxa"/>
          </w:tcPr>
          <w:p w14:paraId="206832F6" w14:textId="77777777" w:rsidR="00B54574" w:rsidRDefault="00D27A81" w:rsidP="001C6169">
            <w:pPr>
              <w:pStyle w:val="naiskr"/>
              <w:spacing w:before="0" w:after="0"/>
              <w:jc w:val="both"/>
            </w:pPr>
            <w:r w:rsidRPr="0001483F">
              <w:t>Projekts šo jomu neskar</w:t>
            </w:r>
            <w:r>
              <w:t>.</w:t>
            </w:r>
          </w:p>
        </w:tc>
      </w:tr>
      <w:tr w:rsidR="005F6BC7" w14:paraId="3C883B6E" w14:textId="77777777" w:rsidTr="001C6169">
        <w:trPr>
          <w:trHeight w:val="201"/>
        </w:trPr>
        <w:tc>
          <w:tcPr>
            <w:tcW w:w="572" w:type="dxa"/>
          </w:tcPr>
          <w:p w14:paraId="05A9523D" w14:textId="77777777" w:rsidR="00B54574" w:rsidRPr="00460984" w:rsidRDefault="00D27A81" w:rsidP="001C6169">
            <w:pPr>
              <w:pStyle w:val="naiskr"/>
              <w:spacing w:before="0" w:after="0"/>
            </w:pPr>
            <w:r>
              <w:t>5</w:t>
            </w:r>
            <w:r w:rsidRPr="00460984">
              <w:t>.</w:t>
            </w:r>
          </w:p>
        </w:tc>
        <w:tc>
          <w:tcPr>
            <w:tcW w:w="3402" w:type="dxa"/>
          </w:tcPr>
          <w:p w14:paraId="4BC49905" w14:textId="77777777" w:rsidR="00B54574" w:rsidRPr="00D46EF4" w:rsidRDefault="00D27A81" w:rsidP="001C6169">
            <w:pPr>
              <w:pStyle w:val="naiskr"/>
              <w:spacing w:before="0" w:after="0"/>
            </w:pPr>
            <w:r w:rsidRPr="00D46EF4">
              <w:t>Cita informācija</w:t>
            </w:r>
          </w:p>
        </w:tc>
        <w:tc>
          <w:tcPr>
            <w:tcW w:w="5631" w:type="dxa"/>
          </w:tcPr>
          <w:p w14:paraId="502F2AC2" w14:textId="1D94057C" w:rsidR="00B54574" w:rsidRPr="000967C3" w:rsidRDefault="00D27A81" w:rsidP="001C6169">
            <w:pPr>
              <w:pStyle w:val="naiskr"/>
              <w:spacing w:before="0" w:after="0"/>
              <w:jc w:val="both"/>
            </w:pPr>
            <w:r w:rsidRPr="000967C3">
              <w:t>Nav</w:t>
            </w:r>
          </w:p>
        </w:tc>
      </w:tr>
    </w:tbl>
    <w:p w14:paraId="515CB477" w14:textId="04C67B3D" w:rsidR="00B54574" w:rsidRDefault="00B54574" w:rsidP="00B54574"/>
    <w:p w14:paraId="4D7285A9" w14:textId="77777777" w:rsidR="00927336" w:rsidRDefault="00927336" w:rsidP="00B54574"/>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1265"/>
        <w:gridCol w:w="1422"/>
        <w:gridCol w:w="1255"/>
        <w:gridCol w:w="1223"/>
        <w:gridCol w:w="1223"/>
      </w:tblGrid>
      <w:tr w:rsidR="005F6BC7" w14:paraId="22F33EAB" w14:textId="77777777" w:rsidTr="001C6169">
        <w:trPr>
          <w:trHeight w:val="361"/>
          <w:jc w:val="center"/>
        </w:trPr>
        <w:tc>
          <w:tcPr>
            <w:tcW w:w="9513" w:type="dxa"/>
            <w:gridSpan w:val="6"/>
            <w:vAlign w:val="center"/>
          </w:tcPr>
          <w:p w14:paraId="6C841A56" w14:textId="77777777" w:rsidR="00B54574" w:rsidRPr="00917978" w:rsidRDefault="00D27A81" w:rsidP="001C6169">
            <w:pPr>
              <w:pStyle w:val="naisnod"/>
              <w:spacing w:before="0" w:after="0"/>
              <w:rPr>
                <w:b w:val="0"/>
                <w:i/>
              </w:rPr>
            </w:pPr>
            <w:r w:rsidRPr="00917978">
              <w:br w:type="page"/>
              <w:t>III. Tiesību akta projekta ietekme uz valsts budžetu un pašvaldību budžetiem</w:t>
            </w:r>
          </w:p>
        </w:tc>
      </w:tr>
      <w:tr w:rsidR="005F6BC7" w14:paraId="4BEA7EDF" w14:textId="77777777" w:rsidTr="001C6169">
        <w:trPr>
          <w:jc w:val="center"/>
        </w:trPr>
        <w:tc>
          <w:tcPr>
            <w:tcW w:w="3199" w:type="dxa"/>
            <w:vMerge w:val="restart"/>
            <w:vAlign w:val="center"/>
          </w:tcPr>
          <w:p w14:paraId="68B7EF79" w14:textId="77777777" w:rsidR="00B54574" w:rsidRPr="000E431C" w:rsidRDefault="00D27A81" w:rsidP="001C6169">
            <w:pPr>
              <w:pStyle w:val="naisf"/>
              <w:spacing w:before="0" w:after="0"/>
              <w:jc w:val="center"/>
              <w:rPr>
                <w:b/>
              </w:rPr>
            </w:pPr>
            <w:r w:rsidRPr="000E431C">
              <w:rPr>
                <w:b/>
              </w:rPr>
              <w:t>Rādītāji</w:t>
            </w:r>
          </w:p>
        </w:tc>
        <w:tc>
          <w:tcPr>
            <w:tcW w:w="2712" w:type="dxa"/>
            <w:gridSpan w:val="2"/>
            <w:vMerge w:val="restart"/>
            <w:vAlign w:val="center"/>
          </w:tcPr>
          <w:p w14:paraId="736AEE7D" w14:textId="77777777" w:rsidR="00B54574" w:rsidRPr="000E431C" w:rsidRDefault="00D27A81" w:rsidP="001C6169">
            <w:pPr>
              <w:pStyle w:val="naisf"/>
              <w:spacing w:before="0" w:after="0"/>
              <w:jc w:val="center"/>
              <w:rPr>
                <w:b/>
              </w:rPr>
            </w:pPr>
            <w:r>
              <w:rPr>
                <w:b/>
              </w:rPr>
              <w:t>2018.</w:t>
            </w:r>
            <w:r w:rsidRPr="000E431C">
              <w:rPr>
                <w:b/>
              </w:rPr>
              <w:t>gads</w:t>
            </w:r>
          </w:p>
        </w:tc>
        <w:tc>
          <w:tcPr>
            <w:tcW w:w="3602" w:type="dxa"/>
            <w:gridSpan w:val="3"/>
            <w:vAlign w:val="center"/>
          </w:tcPr>
          <w:p w14:paraId="684C2313" w14:textId="77777777" w:rsidR="00B54574" w:rsidRPr="000E431C" w:rsidRDefault="00D27A81" w:rsidP="001C6169">
            <w:pPr>
              <w:pStyle w:val="naisf"/>
              <w:spacing w:before="0" w:after="0"/>
              <w:jc w:val="center"/>
              <w:rPr>
                <w:b/>
                <w:i/>
              </w:rPr>
            </w:pPr>
            <w:r w:rsidRPr="000E431C">
              <w:t>Turpmākie trīs gadi (</w:t>
            </w:r>
            <w:proofErr w:type="spellStart"/>
            <w:r w:rsidRPr="008C5B8C">
              <w:rPr>
                <w:i/>
              </w:rPr>
              <w:t>euro</w:t>
            </w:r>
            <w:proofErr w:type="spellEnd"/>
            <w:r w:rsidRPr="000E431C">
              <w:t>)</w:t>
            </w:r>
          </w:p>
        </w:tc>
      </w:tr>
      <w:tr w:rsidR="005F6BC7" w14:paraId="7B7FB78E" w14:textId="77777777" w:rsidTr="001C6169">
        <w:trPr>
          <w:jc w:val="center"/>
        </w:trPr>
        <w:tc>
          <w:tcPr>
            <w:tcW w:w="3199" w:type="dxa"/>
            <w:vMerge/>
            <w:vAlign w:val="center"/>
          </w:tcPr>
          <w:p w14:paraId="7E120B39" w14:textId="77777777" w:rsidR="00B54574" w:rsidRPr="000E431C" w:rsidRDefault="00B54574" w:rsidP="001C6169">
            <w:pPr>
              <w:pStyle w:val="naisf"/>
              <w:spacing w:before="0" w:after="0"/>
              <w:jc w:val="center"/>
              <w:rPr>
                <w:b/>
                <w:i/>
              </w:rPr>
            </w:pPr>
          </w:p>
        </w:tc>
        <w:tc>
          <w:tcPr>
            <w:tcW w:w="2712" w:type="dxa"/>
            <w:gridSpan w:val="2"/>
            <w:vMerge/>
            <w:vAlign w:val="center"/>
          </w:tcPr>
          <w:p w14:paraId="15457E39" w14:textId="77777777" w:rsidR="00B54574" w:rsidRPr="000E431C" w:rsidRDefault="00B54574" w:rsidP="001C6169">
            <w:pPr>
              <w:pStyle w:val="naisf"/>
              <w:spacing w:before="0" w:after="0"/>
              <w:jc w:val="center"/>
              <w:rPr>
                <w:b/>
                <w:i/>
              </w:rPr>
            </w:pPr>
          </w:p>
        </w:tc>
        <w:tc>
          <w:tcPr>
            <w:tcW w:w="1257" w:type="dxa"/>
            <w:vAlign w:val="center"/>
          </w:tcPr>
          <w:p w14:paraId="26081591" w14:textId="77777777" w:rsidR="00B54574" w:rsidRPr="000E431C" w:rsidRDefault="00D27A81" w:rsidP="001C6169">
            <w:pPr>
              <w:pStyle w:val="naisf"/>
              <w:spacing w:before="0" w:after="0"/>
              <w:ind w:hanging="15"/>
              <w:jc w:val="center"/>
              <w:rPr>
                <w:b/>
                <w:i/>
              </w:rPr>
            </w:pPr>
            <w:r>
              <w:rPr>
                <w:b/>
                <w:bCs/>
              </w:rPr>
              <w:t>2019.gads</w:t>
            </w:r>
          </w:p>
        </w:tc>
        <w:tc>
          <w:tcPr>
            <w:tcW w:w="1195" w:type="dxa"/>
            <w:vAlign w:val="center"/>
          </w:tcPr>
          <w:p w14:paraId="1F3032BF" w14:textId="77777777" w:rsidR="00B54574" w:rsidRPr="000E431C" w:rsidRDefault="00D27A81" w:rsidP="001C6169">
            <w:pPr>
              <w:pStyle w:val="naisf"/>
              <w:spacing w:before="0" w:after="0"/>
              <w:ind w:firstLine="0"/>
              <w:jc w:val="center"/>
              <w:rPr>
                <w:b/>
                <w:i/>
              </w:rPr>
            </w:pPr>
            <w:r>
              <w:rPr>
                <w:b/>
                <w:bCs/>
              </w:rPr>
              <w:t>2020.gads</w:t>
            </w:r>
          </w:p>
        </w:tc>
        <w:tc>
          <w:tcPr>
            <w:tcW w:w="1150" w:type="dxa"/>
            <w:vAlign w:val="center"/>
          </w:tcPr>
          <w:p w14:paraId="17177F6A" w14:textId="77777777" w:rsidR="00B54574" w:rsidRPr="000E431C" w:rsidRDefault="00D27A81" w:rsidP="001C6169">
            <w:pPr>
              <w:pStyle w:val="naisf"/>
              <w:spacing w:before="0" w:after="0"/>
              <w:ind w:firstLine="0"/>
              <w:jc w:val="center"/>
              <w:rPr>
                <w:b/>
                <w:i/>
              </w:rPr>
            </w:pPr>
            <w:r>
              <w:rPr>
                <w:b/>
                <w:bCs/>
              </w:rPr>
              <w:t>2021.gads</w:t>
            </w:r>
          </w:p>
        </w:tc>
      </w:tr>
      <w:tr w:rsidR="005F6BC7" w14:paraId="7C5D62D0" w14:textId="77777777" w:rsidTr="001C6169">
        <w:trPr>
          <w:jc w:val="center"/>
        </w:trPr>
        <w:tc>
          <w:tcPr>
            <w:tcW w:w="3199" w:type="dxa"/>
            <w:vMerge/>
            <w:vAlign w:val="center"/>
          </w:tcPr>
          <w:p w14:paraId="6DB1CFAC" w14:textId="77777777" w:rsidR="00B54574" w:rsidRPr="000E431C" w:rsidRDefault="00B54574" w:rsidP="001C6169">
            <w:pPr>
              <w:pStyle w:val="naisf"/>
              <w:spacing w:before="0" w:after="0"/>
              <w:jc w:val="center"/>
              <w:rPr>
                <w:b/>
                <w:i/>
              </w:rPr>
            </w:pPr>
          </w:p>
        </w:tc>
        <w:tc>
          <w:tcPr>
            <w:tcW w:w="1276" w:type="dxa"/>
            <w:vAlign w:val="center"/>
          </w:tcPr>
          <w:p w14:paraId="5978FAE2" w14:textId="77777777" w:rsidR="00B54574" w:rsidRPr="000E431C" w:rsidRDefault="00D27A81" w:rsidP="001C6169">
            <w:pPr>
              <w:pStyle w:val="naisf"/>
              <w:spacing w:before="0" w:after="0"/>
              <w:ind w:firstLine="52"/>
              <w:jc w:val="center"/>
              <w:rPr>
                <w:b/>
                <w:i/>
              </w:rPr>
            </w:pPr>
            <w:r w:rsidRPr="000E431C">
              <w:t>saskaņā ar valsts budžetu kārtējam gadam</w:t>
            </w:r>
          </w:p>
        </w:tc>
        <w:tc>
          <w:tcPr>
            <w:tcW w:w="1436" w:type="dxa"/>
            <w:vAlign w:val="center"/>
          </w:tcPr>
          <w:p w14:paraId="113DA49E" w14:textId="77777777" w:rsidR="00B54574" w:rsidRPr="000E431C" w:rsidRDefault="00D27A81" w:rsidP="001C6169">
            <w:pPr>
              <w:pStyle w:val="naisf"/>
              <w:spacing w:before="0" w:after="0"/>
              <w:ind w:firstLine="52"/>
              <w:jc w:val="center"/>
              <w:rPr>
                <w:b/>
                <w:i/>
              </w:rPr>
            </w:pPr>
            <w:r w:rsidRPr="000E431C">
              <w:t>izmaiņas kārtējā gadā, salīdzinot ar budžetu kārtējam gadam</w:t>
            </w:r>
          </w:p>
        </w:tc>
        <w:tc>
          <w:tcPr>
            <w:tcW w:w="1257" w:type="dxa"/>
            <w:vAlign w:val="center"/>
          </w:tcPr>
          <w:p w14:paraId="04E10630" w14:textId="77777777" w:rsidR="00B54574" w:rsidRPr="000E431C" w:rsidRDefault="00D27A81" w:rsidP="001C6169">
            <w:pPr>
              <w:pStyle w:val="naisf"/>
              <w:spacing w:before="0" w:after="0"/>
              <w:ind w:firstLine="68"/>
              <w:jc w:val="center"/>
              <w:rPr>
                <w:b/>
                <w:i/>
              </w:rPr>
            </w:pPr>
            <w:r w:rsidRPr="000E431C">
              <w:t xml:space="preserve">izmaiņas, salīdzinot ar kārtējo </w:t>
            </w:r>
            <w:r>
              <w:t>2018.</w:t>
            </w:r>
            <w:r w:rsidRPr="000E431C">
              <w:t>gadu</w:t>
            </w:r>
          </w:p>
        </w:tc>
        <w:tc>
          <w:tcPr>
            <w:tcW w:w="1195" w:type="dxa"/>
            <w:vAlign w:val="center"/>
          </w:tcPr>
          <w:p w14:paraId="47B7092C" w14:textId="77777777" w:rsidR="00B54574" w:rsidRPr="000E431C" w:rsidRDefault="00D27A81" w:rsidP="001C6169">
            <w:pPr>
              <w:pStyle w:val="naisf"/>
              <w:spacing w:before="0" w:after="0"/>
              <w:ind w:firstLine="52"/>
              <w:jc w:val="center"/>
              <w:rPr>
                <w:b/>
                <w:i/>
              </w:rPr>
            </w:pPr>
            <w:r w:rsidRPr="000E431C">
              <w:t xml:space="preserve">izmaiņas, salīdzinot ar kārtējo </w:t>
            </w:r>
            <w:r>
              <w:t>2018.</w:t>
            </w:r>
            <w:r w:rsidRPr="000E431C">
              <w:t>gadu</w:t>
            </w:r>
          </w:p>
        </w:tc>
        <w:tc>
          <w:tcPr>
            <w:tcW w:w="1150" w:type="dxa"/>
            <w:vAlign w:val="center"/>
          </w:tcPr>
          <w:p w14:paraId="53E7BD7E" w14:textId="77777777" w:rsidR="00B54574" w:rsidRPr="000E431C" w:rsidRDefault="00D27A81" w:rsidP="001C6169">
            <w:pPr>
              <w:pStyle w:val="naisf"/>
              <w:spacing w:before="0" w:after="0"/>
              <w:ind w:hanging="9"/>
              <w:jc w:val="center"/>
              <w:rPr>
                <w:b/>
                <w:i/>
              </w:rPr>
            </w:pPr>
            <w:r w:rsidRPr="000E431C">
              <w:t xml:space="preserve">izmaiņas, salīdzinot ar kārtējo </w:t>
            </w:r>
            <w:r>
              <w:t>2018.</w:t>
            </w:r>
            <w:r w:rsidRPr="000E431C">
              <w:t>gadu</w:t>
            </w:r>
          </w:p>
        </w:tc>
      </w:tr>
      <w:tr w:rsidR="005F6BC7" w14:paraId="5A7A30F1" w14:textId="77777777" w:rsidTr="001C6169">
        <w:trPr>
          <w:jc w:val="center"/>
        </w:trPr>
        <w:tc>
          <w:tcPr>
            <w:tcW w:w="3199" w:type="dxa"/>
            <w:vAlign w:val="center"/>
          </w:tcPr>
          <w:p w14:paraId="25A4AFD0" w14:textId="77777777" w:rsidR="00B54574" w:rsidRPr="000E431C" w:rsidRDefault="00D27A81" w:rsidP="001C6169">
            <w:pPr>
              <w:pStyle w:val="naisf"/>
              <w:spacing w:before="0" w:after="0"/>
              <w:jc w:val="center"/>
              <w:rPr>
                <w:bCs/>
              </w:rPr>
            </w:pPr>
            <w:r w:rsidRPr="000E431C">
              <w:rPr>
                <w:bCs/>
              </w:rPr>
              <w:t>1</w:t>
            </w:r>
          </w:p>
        </w:tc>
        <w:tc>
          <w:tcPr>
            <w:tcW w:w="1276" w:type="dxa"/>
            <w:vAlign w:val="center"/>
          </w:tcPr>
          <w:p w14:paraId="39F987EB" w14:textId="77777777" w:rsidR="00B54574" w:rsidRPr="000E431C" w:rsidRDefault="00D27A81" w:rsidP="001C6169">
            <w:pPr>
              <w:pStyle w:val="naisf"/>
              <w:spacing w:before="0" w:after="0"/>
              <w:jc w:val="center"/>
              <w:rPr>
                <w:bCs/>
              </w:rPr>
            </w:pPr>
            <w:r w:rsidRPr="000E431C">
              <w:rPr>
                <w:bCs/>
              </w:rPr>
              <w:t>2</w:t>
            </w:r>
          </w:p>
        </w:tc>
        <w:tc>
          <w:tcPr>
            <w:tcW w:w="1436" w:type="dxa"/>
            <w:vAlign w:val="center"/>
          </w:tcPr>
          <w:p w14:paraId="34E0158B" w14:textId="77777777" w:rsidR="00B54574" w:rsidRPr="000E431C" w:rsidRDefault="00D27A81" w:rsidP="001C6169">
            <w:pPr>
              <w:pStyle w:val="naisf"/>
              <w:spacing w:before="0" w:after="0"/>
              <w:jc w:val="center"/>
              <w:rPr>
                <w:bCs/>
              </w:rPr>
            </w:pPr>
            <w:r w:rsidRPr="000E431C">
              <w:rPr>
                <w:bCs/>
              </w:rPr>
              <w:t>3</w:t>
            </w:r>
          </w:p>
        </w:tc>
        <w:tc>
          <w:tcPr>
            <w:tcW w:w="1257" w:type="dxa"/>
            <w:vAlign w:val="center"/>
          </w:tcPr>
          <w:p w14:paraId="13A740CD" w14:textId="77777777" w:rsidR="00B54574" w:rsidRPr="000E431C" w:rsidRDefault="00D27A81" w:rsidP="001C6169">
            <w:pPr>
              <w:pStyle w:val="naisf"/>
              <w:spacing w:before="0" w:after="0"/>
              <w:jc w:val="center"/>
              <w:rPr>
                <w:bCs/>
              </w:rPr>
            </w:pPr>
            <w:r w:rsidRPr="000E431C">
              <w:rPr>
                <w:bCs/>
              </w:rPr>
              <w:t>4</w:t>
            </w:r>
          </w:p>
        </w:tc>
        <w:tc>
          <w:tcPr>
            <w:tcW w:w="1195" w:type="dxa"/>
            <w:vAlign w:val="center"/>
          </w:tcPr>
          <w:p w14:paraId="126DC102" w14:textId="77777777" w:rsidR="00B54574" w:rsidRPr="000E431C" w:rsidRDefault="00D27A81" w:rsidP="001C6169">
            <w:pPr>
              <w:pStyle w:val="naisf"/>
              <w:spacing w:before="0" w:after="0"/>
              <w:jc w:val="center"/>
              <w:rPr>
                <w:bCs/>
              </w:rPr>
            </w:pPr>
            <w:r w:rsidRPr="000E431C">
              <w:rPr>
                <w:bCs/>
              </w:rPr>
              <w:t>5</w:t>
            </w:r>
          </w:p>
        </w:tc>
        <w:tc>
          <w:tcPr>
            <w:tcW w:w="1150" w:type="dxa"/>
            <w:vAlign w:val="center"/>
          </w:tcPr>
          <w:p w14:paraId="1792169D" w14:textId="77777777" w:rsidR="00B54574" w:rsidRPr="000E431C" w:rsidRDefault="00D27A81" w:rsidP="001C6169">
            <w:pPr>
              <w:pStyle w:val="naisf"/>
              <w:spacing w:before="0" w:after="0"/>
              <w:jc w:val="center"/>
              <w:rPr>
                <w:bCs/>
              </w:rPr>
            </w:pPr>
            <w:r w:rsidRPr="000E431C">
              <w:rPr>
                <w:bCs/>
              </w:rPr>
              <w:t>6</w:t>
            </w:r>
          </w:p>
        </w:tc>
      </w:tr>
      <w:tr w:rsidR="005F6BC7" w14:paraId="1E71401B" w14:textId="77777777" w:rsidTr="001C6169">
        <w:trPr>
          <w:jc w:val="center"/>
        </w:trPr>
        <w:tc>
          <w:tcPr>
            <w:tcW w:w="3199" w:type="dxa"/>
          </w:tcPr>
          <w:p w14:paraId="1CB47853" w14:textId="77777777" w:rsidR="00B54574" w:rsidRPr="000E431C" w:rsidRDefault="00D27A81" w:rsidP="001C6169">
            <w:pPr>
              <w:pStyle w:val="naisf"/>
              <w:spacing w:before="0" w:after="0"/>
              <w:rPr>
                <w:i/>
              </w:rPr>
            </w:pPr>
            <w:r w:rsidRPr="000E431C">
              <w:t>1. Budžeta ieņēmumi:</w:t>
            </w:r>
          </w:p>
        </w:tc>
        <w:tc>
          <w:tcPr>
            <w:tcW w:w="1276" w:type="dxa"/>
          </w:tcPr>
          <w:p w14:paraId="5278DBC6" w14:textId="77777777" w:rsidR="00B54574" w:rsidRPr="000E431C" w:rsidRDefault="00B54574" w:rsidP="001C6169">
            <w:pPr>
              <w:pStyle w:val="naisf"/>
              <w:spacing w:before="0" w:after="0"/>
              <w:rPr>
                <w:b/>
                <w:i/>
              </w:rPr>
            </w:pPr>
          </w:p>
        </w:tc>
        <w:tc>
          <w:tcPr>
            <w:tcW w:w="1436" w:type="dxa"/>
          </w:tcPr>
          <w:p w14:paraId="019409AF" w14:textId="77777777" w:rsidR="00B54574" w:rsidRPr="000E431C" w:rsidRDefault="00B54574" w:rsidP="001C6169">
            <w:pPr>
              <w:pStyle w:val="naisf"/>
              <w:spacing w:before="0" w:after="0"/>
              <w:rPr>
                <w:b/>
                <w:i/>
              </w:rPr>
            </w:pPr>
          </w:p>
        </w:tc>
        <w:tc>
          <w:tcPr>
            <w:tcW w:w="1257" w:type="dxa"/>
          </w:tcPr>
          <w:p w14:paraId="27442E61" w14:textId="77777777" w:rsidR="00B54574" w:rsidRPr="000E431C" w:rsidRDefault="00B54574" w:rsidP="001C6169">
            <w:pPr>
              <w:pStyle w:val="naisf"/>
              <w:spacing w:before="0" w:after="0"/>
              <w:rPr>
                <w:b/>
                <w:i/>
              </w:rPr>
            </w:pPr>
          </w:p>
        </w:tc>
        <w:tc>
          <w:tcPr>
            <w:tcW w:w="1195" w:type="dxa"/>
          </w:tcPr>
          <w:p w14:paraId="7DB414BB" w14:textId="77777777" w:rsidR="00B54574" w:rsidRPr="000E431C" w:rsidRDefault="00B54574" w:rsidP="001C6169">
            <w:pPr>
              <w:pStyle w:val="naisf"/>
              <w:spacing w:before="0" w:after="0"/>
              <w:rPr>
                <w:b/>
                <w:i/>
              </w:rPr>
            </w:pPr>
          </w:p>
        </w:tc>
        <w:tc>
          <w:tcPr>
            <w:tcW w:w="1150" w:type="dxa"/>
          </w:tcPr>
          <w:p w14:paraId="008C38F2" w14:textId="77777777" w:rsidR="00B54574" w:rsidRPr="000E431C" w:rsidRDefault="00B54574" w:rsidP="001C6169">
            <w:pPr>
              <w:pStyle w:val="naisf"/>
              <w:spacing w:before="0" w:after="0"/>
              <w:rPr>
                <w:b/>
                <w:i/>
              </w:rPr>
            </w:pPr>
          </w:p>
        </w:tc>
      </w:tr>
      <w:tr w:rsidR="005F6BC7" w14:paraId="2980217D" w14:textId="77777777" w:rsidTr="001C6169">
        <w:trPr>
          <w:jc w:val="center"/>
        </w:trPr>
        <w:tc>
          <w:tcPr>
            <w:tcW w:w="3199" w:type="dxa"/>
          </w:tcPr>
          <w:p w14:paraId="79B51B61" w14:textId="77777777" w:rsidR="00B54574" w:rsidRPr="000E431C" w:rsidRDefault="00D27A81" w:rsidP="001C6169">
            <w:pPr>
              <w:pStyle w:val="naisf"/>
              <w:spacing w:before="0" w:after="0"/>
              <w:rPr>
                <w:i/>
              </w:rPr>
            </w:pPr>
            <w:r w:rsidRPr="000E431C">
              <w:t>1.1. valsts pamatbudžets, tai skaitā ieņēmumi no maksas pakalpojumiem un citi pašu ieņēmumi</w:t>
            </w:r>
          </w:p>
        </w:tc>
        <w:tc>
          <w:tcPr>
            <w:tcW w:w="1276" w:type="dxa"/>
          </w:tcPr>
          <w:p w14:paraId="33E86032" w14:textId="77777777" w:rsidR="00B54574" w:rsidRPr="000E431C" w:rsidRDefault="00B54574" w:rsidP="001C6169">
            <w:pPr>
              <w:pStyle w:val="naisf"/>
              <w:spacing w:before="0" w:after="0"/>
              <w:rPr>
                <w:b/>
                <w:i/>
              </w:rPr>
            </w:pPr>
          </w:p>
        </w:tc>
        <w:tc>
          <w:tcPr>
            <w:tcW w:w="1436" w:type="dxa"/>
          </w:tcPr>
          <w:p w14:paraId="74BF3B72" w14:textId="77777777" w:rsidR="00B54574" w:rsidRPr="000E431C" w:rsidRDefault="00B54574" w:rsidP="001C6169">
            <w:pPr>
              <w:pStyle w:val="naisf"/>
              <w:spacing w:before="0" w:after="0"/>
              <w:rPr>
                <w:b/>
                <w:i/>
              </w:rPr>
            </w:pPr>
          </w:p>
        </w:tc>
        <w:tc>
          <w:tcPr>
            <w:tcW w:w="1257" w:type="dxa"/>
          </w:tcPr>
          <w:p w14:paraId="67588A16" w14:textId="77777777" w:rsidR="00B54574" w:rsidRPr="000E431C" w:rsidRDefault="00B54574" w:rsidP="001C6169">
            <w:pPr>
              <w:pStyle w:val="naisf"/>
              <w:spacing w:before="0" w:after="0"/>
              <w:rPr>
                <w:b/>
                <w:i/>
              </w:rPr>
            </w:pPr>
          </w:p>
        </w:tc>
        <w:tc>
          <w:tcPr>
            <w:tcW w:w="1195" w:type="dxa"/>
          </w:tcPr>
          <w:p w14:paraId="4AB649A1" w14:textId="77777777" w:rsidR="00B54574" w:rsidRPr="000E431C" w:rsidRDefault="00B54574" w:rsidP="001C6169">
            <w:pPr>
              <w:pStyle w:val="naisf"/>
              <w:spacing w:before="0" w:after="0"/>
              <w:rPr>
                <w:b/>
                <w:i/>
              </w:rPr>
            </w:pPr>
          </w:p>
        </w:tc>
        <w:tc>
          <w:tcPr>
            <w:tcW w:w="1150" w:type="dxa"/>
          </w:tcPr>
          <w:p w14:paraId="4E3384F2" w14:textId="77777777" w:rsidR="00B54574" w:rsidRPr="000E431C" w:rsidRDefault="00B54574" w:rsidP="001C6169">
            <w:pPr>
              <w:pStyle w:val="naisf"/>
              <w:spacing w:before="0" w:after="0"/>
              <w:rPr>
                <w:b/>
                <w:i/>
              </w:rPr>
            </w:pPr>
          </w:p>
        </w:tc>
      </w:tr>
      <w:tr w:rsidR="005F6BC7" w14:paraId="29E0AB7F" w14:textId="77777777" w:rsidTr="001C6169">
        <w:trPr>
          <w:jc w:val="center"/>
        </w:trPr>
        <w:tc>
          <w:tcPr>
            <w:tcW w:w="3199" w:type="dxa"/>
          </w:tcPr>
          <w:p w14:paraId="33918FA1" w14:textId="77777777" w:rsidR="00B54574" w:rsidRPr="000E431C" w:rsidRDefault="00D27A81" w:rsidP="001C6169">
            <w:pPr>
              <w:pStyle w:val="naisf"/>
              <w:spacing w:before="0" w:after="0"/>
              <w:rPr>
                <w:i/>
              </w:rPr>
            </w:pPr>
            <w:r w:rsidRPr="000E431C">
              <w:t>1.2. valsts speciālais budžets</w:t>
            </w:r>
          </w:p>
        </w:tc>
        <w:tc>
          <w:tcPr>
            <w:tcW w:w="1276" w:type="dxa"/>
          </w:tcPr>
          <w:p w14:paraId="723FD772" w14:textId="77777777" w:rsidR="00B54574" w:rsidRPr="000E431C" w:rsidRDefault="00B54574" w:rsidP="001C6169">
            <w:pPr>
              <w:pStyle w:val="naisf"/>
              <w:spacing w:before="0" w:after="0"/>
              <w:rPr>
                <w:b/>
                <w:i/>
              </w:rPr>
            </w:pPr>
          </w:p>
        </w:tc>
        <w:tc>
          <w:tcPr>
            <w:tcW w:w="1436" w:type="dxa"/>
          </w:tcPr>
          <w:p w14:paraId="163926F4" w14:textId="77777777" w:rsidR="00B54574" w:rsidRPr="000E431C" w:rsidRDefault="00B54574" w:rsidP="001C6169">
            <w:pPr>
              <w:pStyle w:val="naisf"/>
              <w:spacing w:before="0" w:after="0"/>
              <w:rPr>
                <w:b/>
                <w:i/>
              </w:rPr>
            </w:pPr>
          </w:p>
        </w:tc>
        <w:tc>
          <w:tcPr>
            <w:tcW w:w="1257" w:type="dxa"/>
          </w:tcPr>
          <w:p w14:paraId="29981FE8" w14:textId="77777777" w:rsidR="00B54574" w:rsidRPr="000E431C" w:rsidRDefault="00B54574" w:rsidP="001C6169">
            <w:pPr>
              <w:pStyle w:val="naisf"/>
              <w:spacing w:before="0" w:after="0"/>
              <w:rPr>
                <w:b/>
                <w:i/>
              </w:rPr>
            </w:pPr>
          </w:p>
        </w:tc>
        <w:tc>
          <w:tcPr>
            <w:tcW w:w="1195" w:type="dxa"/>
          </w:tcPr>
          <w:p w14:paraId="4C0CC2C6" w14:textId="77777777" w:rsidR="00B54574" w:rsidRPr="000E431C" w:rsidRDefault="00B54574" w:rsidP="001C6169">
            <w:pPr>
              <w:pStyle w:val="naisf"/>
              <w:spacing w:before="0" w:after="0"/>
              <w:rPr>
                <w:b/>
                <w:i/>
              </w:rPr>
            </w:pPr>
          </w:p>
        </w:tc>
        <w:tc>
          <w:tcPr>
            <w:tcW w:w="1150" w:type="dxa"/>
          </w:tcPr>
          <w:p w14:paraId="20990850" w14:textId="77777777" w:rsidR="00B54574" w:rsidRPr="000E431C" w:rsidRDefault="00B54574" w:rsidP="001C6169">
            <w:pPr>
              <w:pStyle w:val="naisf"/>
              <w:spacing w:before="0" w:after="0"/>
              <w:rPr>
                <w:b/>
                <w:i/>
              </w:rPr>
            </w:pPr>
          </w:p>
        </w:tc>
      </w:tr>
      <w:tr w:rsidR="005F6BC7" w14:paraId="25ED37BD" w14:textId="77777777" w:rsidTr="001C6169">
        <w:trPr>
          <w:jc w:val="center"/>
        </w:trPr>
        <w:tc>
          <w:tcPr>
            <w:tcW w:w="3199" w:type="dxa"/>
          </w:tcPr>
          <w:p w14:paraId="2B1FF716" w14:textId="77777777" w:rsidR="00B54574" w:rsidRPr="000E431C" w:rsidRDefault="00D27A81" w:rsidP="001C6169">
            <w:pPr>
              <w:pStyle w:val="naisf"/>
              <w:spacing w:before="0" w:after="0"/>
              <w:rPr>
                <w:i/>
              </w:rPr>
            </w:pPr>
            <w:r w:rsidRPr="000E431C">
              <w:t>1.3. pašvaldību budžets</w:t>
            </w:r>
          </w:p>
        </w:tc>
        <w:tc>
          <w:tcPr>
            <w:tcW w:w="1276" w:type="dxa"/>
          </w:tcPr>
          <w:p w14:paraId="0456D991" w14:textId="77777777" w:rsidR="00B54574" w:rsidRPr="000E431C" w:rsidRDefault="00B54574" w:rsidP="001C6169">
            <w:pPr>
              <w:pStyle w:val="naisf"/>
              <w:spacing w:before="0" w:after="0"/>
              <w:rPr>
                <w:b/>
                <w:i/>
              </w:rPr>
            </w:pPr>
          </w:p>
        </w:tc>
        <w:tc>
          <w:tcPr>
            <w:tcW w:w="1436" w:type="dxa"/>
          </w:tcPr>
          <w:p w14:paraId="12E54999" w14:textId="77777777" w:rsidR="00B54574" w:rsidRPr="000E431C" w:rsidRDefault="00B54574" w:rsidP="001C6169">
            <w:pPr>
              <w:pStyle w:val="naisf"/>
              <w:spacing w:before="0" w:after="0"/>
              <w:rPr>
                <w:b/>
                <w:i/>
              </w:rPr>
            </w:pPr>
          </w:p>
        </w:tc>
        <w:tc>
          <w:tcPr>
            <w:tcW w:w="1257" w:type="dxa"/>
          </w:tcPr>
          <w:p w14:paraId="014535B9" w14:textId="77777777" w:rsidR="00B54574" w:rsidRPr="000E431C" w:rsidRDefault="00B54574" w:rsidP="001C6169">
            <w:pPr>
              <w:pStyle w:val="naisf"/>
              <w:spacing w:before="0" w:after="0"/>
              <w:rPr>
                <w:b/>
                <w:i/>
              </w:rPr>
            </w:pPr>
          </w:p>
        </w:tc>
        <w:tc>
          <w:tcPr>
            <w:tcW w:w="1195" w:type="dxa"/>
          </w:tcPr>
          <w:p w14:paraId="572AA417" w14:textId="77777777" w:rsidR="00B54574" w:rsidRPr="000E431C" w:rsidRDefault="00B54574" w:rsidP="001C6169">
            <w:pPr>
              <w:pStyle w:val="naisf"/>
              <w:spacing w:before="0" w:after="0"/>
              <w:rPr>
                <w:b/>
                <w:i/>
              </w:rPr>
            </w:pPr>
          </w:p>
        </w:tc>
        <w:tc>
          <w:tcPr>
            <w:tcW w:w="1150" w:type="dxa"/>
          </w:tcPr>
          <w:p w14:paraId="19E5F4CE" w14:textId="77777777" w:rsidR="00B54574" w:rsidRPr="000E431C" w:rsidRDefault="00B54574" w:rsidP="001C6169">
            <w:pPr>
              <w:pStyle w:val="naisf"/>
              <w:spacing w:before="0" w:after="0"/>
              <w:rPr>
                <w:b/>
                <w:i/>
              </w:rPr>
            </w:pPr>
          </w:p>
        </w:tc>
      </w:tr>
      <w:tr w:rsidR="005F6BC7" w14:paraId="72C323F0" w14:textId="77777777" w:rsidTr="001C6169">
        <w:trPr>
          <w:jc w:val="center"/>
        </w:trPr>
        <w:tc>
          <w:tcPr>
            <w:tcW w:w="3199" w:type="dxa"/>
          </w:tcPr>
          <w:p w14:paraId="18800A48" w14:textId="77777777" w:rsidR="00B54574" w:rsidRPr="000E431C" w:rsidRDefault="00D27A81" w:rsidP="001C6169">
            <w:r w:rsidRPr="000E431C">
              <w:t>2. Budžeta izdevumi:</w:t>
            </w:r>
          </w:p>
        </w:tc>
        <w:tc>
          <w:tcPr>
            <w:tcW w:w="1276" w:type="dxa"/>
          </w:tcPr>
          <w:p w14:paraId="03171D9D" w14:textId="77777777" w:rsidR="00B54574" w:rsidRPr="000E431C" w:rsidRDefault="00B54574" w:rsidP="001C6169">
            <w:pPr>
              <w:pStyle w:val="naisf"/>
              <w:spacing w:before="0" w:after="0"/>
              <w:rPr>
                <w:b/>
                <w:i/>
              </w:rPr>
            </w:pPr>
          </w:p>
        </w:tc>
        <w:tc>
          <w:tcPr>
            <w:tcW w:w="1436" w:type="dxa"/>
          </w:tcPr>
          <w:p w14:paraId="28D7BF04" w14:textId="77777777" w:rsidR="00B54574" w:rsidRPr="000E431C" w:rsidRDefault="00B54574" w:rsidP="001C6169">
            <w:pPr>
              <w:pStyle w:val="naisf"/>
              <w:spacing w:before="0" w:after="0"/>
              <w:rPr>
                <w:b/>
                <w:i/>
              </w:rPr>
            </w:pPr>
          </w:p>
        </w:tc>
        <w:tc>
          <w:tcPr>
            <w:tcW w:w="1257" w:type="dxa"/>
          </w:tcPr>
          <w:p w14:paraId="77C7D205" w14:textId="77777777" w:rsidR="00B54574" w:rsidRPr="000E431C" w:rsidRDefault="00B54574" w:rsidP="001C6169">
            <w:pPr>
              <w:pStyle w:val="naisf"/>
              <w:spacing w:before="0" w:after="0"/>
              <w:rPr>
                <w:b/>
                <w:i/>
              </w:rPr>
            </w:pPr>
          </w:p>
        </w:tc>
        <w:tc>
          <w:tcPr>
            <w:tcW w:w="1195" w:type="dxa"/>
          </w:tcPr>
          <w:p w14:paraId="47D10B4B" w14:textId="77777777" w:rsidR="00B54574" w:rsidRPr="000E431C" w:rsidRDefault="00B54574" w:rsidP="001C6169">
            <w:pPr>
              <w:pStyle w:val="naisf"/>
              <w:spacing w:before="0" w:after="0"/>
              <w:rPr>
                <w:b/>
                <w:i/>
              </w:rPr>
            </w:pPr>
          </w:p>
        </w:tc>
        <w:tc>
          <w:tcPr>
            <w:tcW w:w="1150" w:type="dxa"/>
          </w:tcPr>
          <w:p w14:paraId="39AB114A" w14:textId="77777777" w:rsidR="00B54574" w:rsidRPr="000E431C" w:rsidRDefault="00B54574" w:rsidP="001C6169">
            <w:pPr>
              <w:pStyle w:val="naisf"/>
              <w:spacing w:before="0" w:after="0"/>
              <w:rPr>
                <w:b/>
                <w:i/>
              </w:rPr>
            </w:pPr>
          </w:p>
        </w:tc>
      </w:tr>
      <w:tr w:rsidR="005F6BC7" w14:paraId="1619081C" w14:textId="77777777" w:rsidTr="001C6169">
        <w:trPr>
          <w:jc w:val="center"/>
        </w:trPr>
        <w:tc>
          <w:tcPr>
            <w:tcW w:w="3199" w:type="dxa"/>
          </w:tcPr>
          <w:p w14:paraId="4346A925" w14:textId="77777777" w:rsidR="00B54574" w:rsidRPr="000E431C" w:rsidRDefault="00D27A81" w:rsidP="001C6169">
            <w:r w:rsidRPr="000E431C">
              <w:t>2.1. valsts pamatbudžets</w:t>
            </w:r>
          </w:p>
        </w:tc>
        <w:tc>
          <w:tcPr>
            <w:tcW w:w="1276" w:type="dxa"/>
          </w:tcPr>
          <w:p w14:paraId="08D3CD22" w14:textId="77777777" w:rsidR="00B54574" w:rsidRPr="000E431C" w:rsidRDefault="00B54574" w:rsidP="001C6169">
            <w:pPr>
              <w:pStyle w:val="naisf"/>
              <w:spacing w:before="0" w:after="0"/>
              <w:rPr>
                <w:b/>
                <w:i/>
              </w:rPr>
            </w:pPr>
          </w:p>
        </w:tc>
        <w:tc>
          <w:tcPr>
            <w:tcW w:w="1436" w:type="dxa"/>
          </w:tcPr>
          <w:p w14:paraId="407138EA" w14:textId="77777777" w:rsidR="00B54574" w:rsidRPr="000E431C" w:rsidRDefault="00B54574" w:rsidP="001C6169">
            <w:pPr>
              <w:pStyle w:val="naisf"/>
              <w:spacing w:before="0" w:after="0"/>
              <w:rPr>
                <w:b/>
                <w:i/>
              </w:rPr>
            </w:pPr>
          </w:p>
        </w:tc>
        <w:tc>
          <w:tcPr>
            <w:tcW w:w="1257" w:type="dxa"/>
          </w:tcPr>
          <w:p w14:paraId="52A13F40" w14:textId="77777777" w:rsidR="00B54574" w:rsidRPr="000E431C" w:rsidRDefault="00B54574" w:rsidP="001C6169">
            <w:pPr>
              <w:pStyle w:val="naisf"/>
              <w:spacing w:before="0" w:after="0"/>
              <w:rPr>
                <w:b/>
                <w:i/>
              </w:rPr>
            </w:pPr>
          </w:p>
        </w:tc>
        <w:tc>
          <w:tcPr>
            <w:tcW w:w="1195" w:type="dxa"/>
          </w:tcPr>
          <w:p w14:paraId="0F0456B7" w14:textId="77777777" w:rsidR="00B54574" w:rsidRPr="000E431C" w:rsidRDefault="00B54574" w:rsidP="001C6169">
            <w:pPr>
              <w:pStyle w:val="naisf"/>
              <w:spacing w:before="0" w:after="0"/>
              <w:rPr>
                <w:b/>
                <w:i/>
              </w:rPr>
            </w:pPr>
          </w:p>
        </w:tc>
        <w:tc>
          <w:tcPr>
            <w:tcW w:w="1150" w:type="dxa"/>
          </w:tcPr>
          <w:p w14:paraId="347F6380" w14:textId="77777777" w:rsidR="00B54574" w:rsidRPr="000E431C" w:rsidRDefault="00B54574" w:rsidP="001C6169">
            <w:pPr>
              <w:pStyle w:val="naisf"/>
              <w:spacing w:before="0" w:after="0"/>
              <w:rPr>
                <w:b/>
                <w:i/>
              </w:rPr>
            </w:pPr>
          </w:p>
        </w:tc>
      </w:tr>
      <w:tr w:rsidR="005F6BC7" w14:paraId="4975E06B" w14:textId="77777777" w:rsidTr="001C6169">
        <w:trPr>
          <w:jc w:val="center"/>
        </w:trPr>
        <w:tc>
          <w:tcPr>
            <w:tcW w:w="3199" w:type="dxa"/>
          </w:tcPr>
          <w:p w14:paraId="5958CF25" w14:textId="77777777" w:rsidR="00B54574" w:rsidRPr="000E431C" w:rsidRDefault="00D27A81" w:rsidP="001C6169">
            <w:r w:rsidRPr="000E431C">
              <w:t>2.2. valsts speciālais budžets</w:t>
            </w:r>
          </w:p>
        </w:tc>
        <w:tc>
          <w:tcPr>
            <w:tcW w:w="1276" w:type="dxa"/>
          </w:tcPr>
          <w:p w14:paraId="3F0FA864" w14:textId="77777777" w:rsidR="00B54574" w:rsidRPr="000E431C" w:rsidRDefault="00B54574" w:rsidP="001C6169">
            <w:pPr>
              <w:pStyle w:val="naisf"/>
              <w:spacing w:before="0" w:after="0"/>
              <w:rPr>
                <w:b/>
                <w:i/>
              </w:rPr>
            </w:pPr>
          </w:p>
        </w:tc>
        <w:tc>
          <w:tcPr>
            <w:tcW w:w="1436" w:type="dxa"/>
          </w:tcPr>
          <w:p w14:paraId="56BBD806" w14:textId="77777777" w:rsidR="00B54574" w:rsidRPr="000E431C" w:rsidRDefault="00B54574" w:rsidP="001C6169">
            <w:pPr>
              <w:pStyle w:val="naisf"/>
              <w:spacing w:before="0" w:after="0"/>
              <w:rPr>
                <w:b/>
                <w:i/>
              </w:rPr>
            </w:pPr>
          </w:p>
        </w:tc>
        <w:tc>
          <w:tcPr>
            <w:tcW w:w="1257" w:type="dxa"/>
          </w:tcPr>
          <w:p w14:paraId="7F5B33E5" w14:textId="77777777" w:rsidR="00B54574" w:rsidRPr="000E431C" w:rsidRDefault="00B54574" w:rsidP="001C6169">
            <w:pPr>
              <w:pStyle w:val="naisf"/>
              <w:spacing w:before="0" w:after="0"/>
              <w:rPr>
                <w:b/>
                <w:i/>
              </w:rPr>
            </w:pPr>
          </w:p>
        </w:tc>
        <w:tc>
          <w:tcPr>
            <w:tcW w:w="1195" w:type="dxa"/>
          </w:tcPr>
          <w:p w14:paraId="68E2D099" w14:textId="77777777" w:rsidR="00B54574" w:rsidRPr="000E431C" w:rsidRDefault="00B54574" w:rsidP="001C6169">
            <w:pPr>
              <w:pStyle w:val="naisf"/>
              <w:spacing w:before="0" w:after="0"/>
              <w:rPr>
                <w:b/>
                <w:i/>
              </w:rPr>
            </w:pPr>
          </w:p>
        </w:tc>
        <w:tc>
          <w:tcPr>
            <w:tcW w:w="1150" w:type="dxa"/>
          </w:tcPr>
          <w:p w14:paraId="606979E3" w14:textId="77777777" w:rsidR="00B54574" w:rsidRPr="000E431C" w:rsidRDefault="00B54574" w:rsidP="001C6169">
            <w:pPr>
              <w:pStyle w:val="naisf"/>
              <w:spacing w:before="0" w:after="0"/>
              <w:rPr>
                <w:b/>
                <w:i/>
              </w:rPr>
            </w:pPr>
          </w:p>
        </w:tc>
      </w:tr>
      <w:tr w:rsidR="005F6BC7" w14:paraId="3186CA59" w14:textId="77777777" w:rsidTr="001C6169">
        <w:trPr>
          <w:jc w:val="center"/>
        </w:trPr>
        <w:tc>
          <w:tcPr>
            <w:tcW w:w="3199" w:type="dxa"/>
          </w:tcPr>
          <w:p w14:paraId="4A2F3260" w14:textId="77777777" w:rsidR="00B54574" w:rsidRPr="000E431C" w:rsidRDefault="00D27A81" w:rsidP="001C6169">
            <w:r w:rsidRPr="000E431C">
              <w:t xml:space="preserve">2.3. pašvaldību budžets </w:t>
            </w:r>
          </w:p>
        </w:tc>
        <w:tc>
          <w:tcPr>
            <w:tcW w:w="1276" w:type="dxa"/>
          </w:tcPr>
          <w:p w14:paraId="0FAC6DFC" w14:textId="77777777" w:rsidR="00B54574" w:rsidRPr="000E431C" w:rsidRDefault="00B54574" w:rsidP="001C6169">
            <w:pPr>
              <w:pStyle w:val="naisf"/>
              <w:spacing w:before="0" w:after="0"/>
              <w:rPr>
                <w:b/>
                <w:i/>
              </w:rPr>
            </w:pPr>
          </w:p>
        </w:tc>
        <w:tc>
          <w:tcPr>
            <w:tcW w:w="1436" w:type="dxa"/>
          </w:tcPr>
          <w:p w14:paraId="65041F9B" w14:textId="77777777" w:rsidR="00B54574" w:rsidRPr="000E431C" w:rsidRDefault="00B54574" w:rsidP="001C6169">
            <w:pPr>
              <w:pStyle w:val="naisf"/>
              <w:spacing w:before="0" w:after="0"/>
              <w:rPr>
                <w:b/>
                <w:i/>
              </w:rPr>
            </w:pPr>
          </w:p>
        </w:tc>
        <w:tc>
          <w:tcPr>
            <w:tcW w:w="1257" w:type="dxa"/>
          </w:tcPr>
          <w:p w14:paraId="6A3D6CF3" w14:textId="77777777" w:rsidR="00B54574" w:rsidRPr="000E431C" w:rsidRDefault="00B54574" w:rsidP="001C6169">
            <w:pPr>
              <w:pStyle w:val="naisf"/>
              <w:spacing w:before="0" w:after="0"/>
              <w:rPr>
                <w:b/>
                <w:i/>
              </w:rPr>
            </w:pPr>
          </w:p>
        </w:tc>
        <w:tc>
          <w:tcPr>
            <w:tcW w:w="1195" w:type="dxa"/>
          </w:tcPr>
          <w:p w14:paraId="518998D8" w14:textId="77777777" w:rsidR="00B54574" w:rsidRPr="000E431C" w:rsidRDefault="00B54574" w:rsidP="001C6169">
            <w:pPr>
              <w:pStyle w:val="naisf"/>
              <w:spacing w:before="0" w:after="0"/>
              <w:rPr>
                <w:b/>
                <w:i/>
              </w:rPr>
            </w:pPr>
          </w:p>
        </w:tc>
        <w:tc>
          <w:tcPr>
            <w:tcW w:w="1150" w:type="dxa"/>
          </w:tcPr>
          <w:p w14:paraId="26B965E5" w14:textId="77777777" w:rsidR="00B54574" w:rsidRPr="000E431C" w:rsidRDefault="00B54574" w:rsidP="001C6169">
            <w:pPr>
              <w:pStyle w:val="naisf"/>
              <w:spacing w:before="0" w:after="0"/>
              <w:rPr>
                <w:b/>
                <w:i/>
              </w:rPr>
            </w:pPr>
          </w:p>
        </w:tc>
      </w:tr>
      <w:tr w:rsidR="005F6BC7" w14:paraId="217907F4" w14:textId="77777777" w:rsidTr="001C6169">
        <w:trPr>
          <w:jc w:val="center"/>
        </w:trPr>
        <w:tc>
          <w:tcPr>
            <w:tcW w:w="3199" w:type="dxa"/>
            <w:shd w:val="clear" w:color="auto" w:fill="auto"/>
          </w:tcPr>
          <w:p w14:paraId="1B0D8F1A" w14:textId="77777777" w:rsidR="00B54574" w:rsidRPr="000E431C" w:rsidRDefault="00D27A81" w:rsidP="001C6169">
            <w:r w:rsidRPr="000E431C">
              <w:t>3. Finansiālā ietekme:</w:t>
            </w:r>
          </w:p>
        </w:tc>
        <w:tc>
          <w:tcPr>
            <w:tcW w:w="1276" w:type="dxa"/>
            <w:shd w:val="clear" w:color="auto" w:fill="auto"/>
            <w:vAlign w:val="center"/>
          </w:tcPr>
          <w:p w14:paraId="723798F5" w14:textId="77777777" w:rsidR="00B54574" w:rsidRPr="000E431C" w:rsidRDefault="00B54574" w:rsidP="001C6169">
            <w:pPr>
              <w:pStyle w:val="naisf"/>
              <w:spacing w:before="0" w:after="0"/>
              <w:jc w:val="center"/>
            </w:pPr>
          </w:p>
        </w:tc>
        <w:tc>
          <w:tcPr>
            <w:tcW w:w="1436" w:type="dxa"/>
            <w:shd w:val="clear" w:color="auto" w:fill="auto"/>
          </w:tcPr>
          <w:p w14:paraId="59F3D7E7" w14:textId="77777777" w:rsidR="00B54574" w:rsidRPr="000E431C" w:rsidRDefault="00B54574" w:rsidP="001C6169">
            <w:pPr>
              <w:pStyle w:val="naisf"/>
              <w:spacing w:before="0" w:after="0"/>
              <w:rPr>
                <w:b/>
                <w:i/>
              </w:rPr>
            </w:pPr>
          </w:p>
        </w:tc>
        <w:tc>
          <w:tcPr>
            <w:tcW w:w="1257" w:type="dxa"/>
            <w:shd w:val="clear" w:color="auto" w:fill="auto"/>
          </w:tcPr>
          <w:p w14:paraId="7AAE9E25" w14:textId="77777777" w:rsidR="00B54574" w:rsidRPr="000E431C" w:rsidRDefault="00B54574" w:rsidP="001C6169">
            <w:pPr>
              <w:pStyle w:val="naisf"/>
              <w:spacing w:before="0" w:after="0"/>
              <w:rPr>
                <w:b/>
                <w:i/>
              </w:rPr>
            </w:pPr>
          </w:p>
        </w:tc>
        <w:tc>
          <w:tcPr>
            <w:tcW w:w="1195" w:type="dxa"/>
            <w:shd w:val="clear" w:color="auto" w:fill="auto"/>
          </w:tcPr>
          <w:p w14:paraId="17F5DA7E" w14:textId="77777777" w:rsidR="00B54574" w:rsidRPr="000E431C" w:rsidRDefault="00B54574" w:rsidP="001C6169">
            <w:pPr>
              <w:pStyle w:val="naisf"/>
              <w:spacing w:before="0" w:after="0"/>
              <w:rPr>
                <w:b/>
                <w:i/>
              </w:rPr>
            </w:pPr>
          </w:p>
        </w:tc>
        <w:tc>
          <w:tcPr>
            <w:tcW w:w="1150" w:type="dxa"/>
            <w:shd w:val="clear" w:color="auto" w:fill="auto"/>
          </w:tcPr>
          <w:p w14:paraId="4DCBE0B9" w14:textId="77777777" w:rsidR="00B54574" w:rsidRPr="000E431C" w:rsidRDefault="00B54574" w:rsidP="001C6169">
            <w:pPr>
              <w:pStyle w:val="naisf"/>
              <w:spacing w:before="0" w:after="0"/>
              <w:rPr>
                <w:b/>
                <w:i/>
              </w:rPr>
            </w:pPr>
          </w:p>
        </w:tc>
      </w:tr>
      <w:tr w:rsidR="005F6BC7" w14:paraId="087F1AB9" w14:textId="77777777" w:rsidTr="001C6169">
        <w:trPr>
          <w:jc w:val="center"/>
        </w:trPr>
        <w:tc>
          <w:tcPr>
            <w:tcW w:w="3199" w:type="dxa"/>
            <w:shd w:val="clear" w:color="auto" w:fill="auto"/>
          </w:tcPr>
          <w:p w14:paraId="3B32E0F3" w14:textId="77777777" w:rsidR="00B54574" w:rsidRPr="000E431C" w:rsidRDefault="00D27A81" w:rsidP="001C6169">
            <w:r w:rsidRPr="000E431C">
              <w:t>3.1. valsts pamatbudžets</w:t>
            </w:r>
          </w:p>
        </w:tc>
        <w:tc>
          <w:tcPr>
            <w:tcW w:w="1276" w:type="dxa"/>
            <w:shd w:val="clear" w:color="auto" w:fill="auto"/>
          </w:tcPr>
          <w:p w14:paraId="29ECA4CB" w14:textId="77777777" w:rsidR="00B54574" w:rsidRPr="000E431C" w:rsidRDefault="00B54574" w:rsidP="001C6169">
            <w:pPr>
              <w:pStyle w:val="naisf"/>
              <w:spacing w:before="0" w:after="0"/>
              <w:rPr>
                <w:i/>
              </w:rPr>
            </w:pPr>
          </w:p>
        </w:tc>
        <w:tc>
          <w:tcPr>
            <w:tcW w:w="1436" w:type="dxa"/>
            <w:shd w:val="clear" w:color="auto" w:fill="auto"/>
          </w:tcPr>
          <w:p w14:paraId="767AC367" w14:textId="77777777" w:rsidR="00B54574" w:rsidRPr="000E431C" w:rsidRDefault="00B54574" w:rsidP="001C6169">
            <w:pPr>
              <w:pStyle w:val="naisf"/>
              <w:spacing w:before="0" w:after="0"/>
              <w:rPr>
                <w:b/>
                <w:i/>
              </w:rPr>
            </w:pPr>
          </w:p>
        </w:tc>
        <w:tc>
          <w:tcPr>
            <w:tcW w:w="1257" w:type="dxa"/>
            <w:shd w:val="clear" w:color="auto" w:fill="auto"/>
          </w:tcPr>
          <w:p w14:paraId="5EA74771" w14:textId="77777777" w:rsidR="00B54574" w:rsidRPr="000E431C" w:rsidRDefault="00B54574" w:rsidP="001C6169">
            <w:pPr>
              <w:pStyle w:val="naisf"/>
              <w:spacing w:before="0" w:after="0"/>
              <w:rPr>
                <w:b/>
                <w:i/>
              </w:rPr>
            </w:pPr>
          </w:p>
        </w:tc>
        <w:tc>
          <w:tcPr>
            <w:tcW w:w="1195" w:type="dxa"/>
            <w:shd w:val="clear" w:color="auto" w:fill="auto"/>
          </w:tcPr>
          <w:p w14:paraId="526CB229" w14:textId="77777777" w:rsidR="00B54574" w:rsidRPr="000E431C" w:rsidRDefault="00B54574" w:rsidP="001C6169">
            <w:pPr>
              <w:pStyle w:val="naisf"/>
              <w:spacing w:before="0" w:after="0"/>
              <w:rPr>
                <w:b/>
                <w:i/>
              </w:rPr>
            </w:pPr>
          </w:p>
        </w:tc>
        <w:tc>
          <w:tcPr>
            <w:tcW w:w="1150" w:type="dxa"/>
            <w:shd w:val="clear" w:color="auto" w:fill="auto"/>
          </w:tcPr>
          <w:p w14:paraId="2EFBAF41" w14:textId="77777777" w:rsidR="00B54574" w:rsidRPr="000E431C" w:rsidRDefault="00B54574" w:rsidP="001C6169">
            <w:pPr>
              <w:pStyle w:val="naisf"/>
              <w:spacing w:before="0" w:after="0"/>
              <w:rPr>
                <w:b/>
                <w:i/>
              </w:rPr>
            </w:pPr>
          </w:p>
        </w:tc>
      </w:tr>
      <w:tr w:rsidR="005F6BC7" w14:paraId="059C9B13" w14:textId="77777777" w:rsidTr="001C6169">
        <w:trPr>
          <w:jc w:val="center"/>
        </w:trPr>
        <w:tc>
          <w:tcPr>
            <w:tcW w:w="3199" w:type="dxa"/>
            <w:shd w:val="clear" w:color="auto" w:fill="auto"/>
          </w:tcPr>
          <w:p w14:paraId="0F30D0F9" w14:textId="77777777" w:rsidR="00B54574" w:rsidRPr="000E431C" w:rsidRDefault="00D27A81" w:rsidP="001C6169">
            <w:r w:rsidRPr="000E431C">
              <w:t>3.2. speciālais budžets</w:t>
            </w:r>
          </w:p>
        </w:tc>
        <w:tc>
          <w:tcPr>
            <w:tcW w:w="1276" w:type="dxa"/>
            <w:shd w:val="clear" w:color="auto" w:fill="auto"/>
          </w:tcPr>
          <w:p w14:paraId="5ECDA8E9" w14:textId="77777777" w:rsidR="00B54574" w:rsidRPr="000E431C" w:rsidRDefault="00B54574" w:rsidP="001C6169">
            <w:pPr>
              <w:pStyle w:val="naisf"/>
              <w:spacing w:before="0" w:after="0"/>
              <w:rPr>
                <w:i/>
              </w:rPr>
            </w:pPr>
          </w:p>
        </w:tc>
        <w:tc>
          <w:tcPr>
            <w:tcW w:w="1436" w:type="dxa"/>
            <w:shd w:val="clear" w:color="auto" w:fill="auto"/>
          </w:tcPr>
          <w:p w14:paraId="12D5E54A" w14:textId="77777777" w:rsidR="00B54574" w:rsidRPr="000E431C" w:rsidRDefault="00B54574" w:rsidP="001C6169">
            <w:pPr>
              <w:pStyle w:val="naisf"/>
              <w:spacing w:before="0" w:after="0"/>
              <w:rPr>
                <w:b/>
                <w:i/>
              </w:rPr>
            </w:pPr>
          </w:p>
        </w:tc>
        <w:tc>
          <w:tcPr>
            <w:tcW w:w="1257" w:type="dxa"/>
            <w:shd w:val="clear" w:color="auto" w:fill="auto"/>
          </w:tcPr>
          <w:p w14:paraId="32C9F7EA" w14:textId="77777777" w:rsidR="00B54574" w:rsidRPr="000E431C" w:rsidRDefault="00B54574" w:rsidP="001C6169">
            <w:pPr>
              <w:pStyle w:val="naisf"/>
              <w:spacing w:before="0" w:after="0"/>
              <w:rPr>
                <w:b/>
                <w:i/>
              </w:rPr>
            </w:pPr>
          </w:p>
        </w:tc>
        <w:tc>
          <w:tcPr>
            <w:tcW w:w="1195" w:type="dxa"/>
            <w:shd w:val="clear" w:color="auto" w:fill="auto"/>
          </w:tcPr>
          <w:p w14:paraId="0938900C" w14:textId="77777777" w:rsidR="00B54574" w:rsidRPr="000E431C" w:rsidRDefault="00B54574" w:rsidP="001C6169">
            <w:pPr>
              <w:pStyle w:val="naisf"/>
              <w:spacing w:before="0" w:after="0"/>
              <w:rPr>
                <w:b/>
                <w:i/>
              </w:rPr>
            </w:pPr>
          </w:p>
        </w:tc>
        <w:tc>
          <w:tcPr>
            <w:tcW w:w="1150" w:type="dxa"/>
            <w:shd w:val="clear" w:color="auto" w:fill="auto"/>
          </w:tcPr>
          <w:p w14:paraId="59FACD23" w14:textId="77777777" w:rsidR="00B54574" w:rsidRPr="000E431C" w:rsidRDefault="00B54574" w:rsidP="001C6169">
            <w:pPr>
              <w:pStyle w:val="naisf"/>
              <w:spacing w:before="0" w:after="0"/>
              <w:rPr>
                <w:b/>
                <w:i/>
              </w:rPr>
            </w:pPr>
          </w:p>
        </w:tc>
      </w:tr>
      <w:tr w:rsidR="005F6BC7" w14:paraId="6279B949" w14:textId="77777777" w:rsidTr="001C6169">
        <w:trPr>
          <w:jc w:val="center"/>
        </w:trPr>
        <w:tc>
          <w:tcPr>
            <w:tcW w:w="3199" w:type="dxa"/>
            <w:shd w:val="clear" w:color="auto" w:fill="auto"/>
          </w:tcPr>
          <w:p w14:paraId="63F5D5D5" w14:textId="77777777" w:rsidR="00B54574" w:rsidRPr="000E431C" w:rsidRDefault="00D27A81" w:rsidP="001C6169">
            <w:r w:rsidRPr="000E431C">
              <w:t xml:space="preserve">3.3. pašvaldību budžets </w:t>
            </w:r>
          </w:p>
        </w:tc>
        <w:tc>
          <w:tcPr>
            <w:tcW w:w="1276" w:type="dxa"/>
            <w:shd w:val="clear" w:color="auto" w:fill="auto"/>
          </w:tcPr>
          <w:p w14:paraId="6919337A" w14:textId="77777777" w:rsidR="00B54574" w:rsidRPr="000E431C" w:rsidRDefault="00B54574" w:rsidP="001C6169">
            <w:pPr>
              <w:pStyle w:val="naisf"/>
              <w:spacing w:before="0" w:after="0"/>
              <w:rPr>
                <w:i/>
              </w:rPr>
            </w:pPr>
          </w:p>
        </w:tc>
        <w:tc>
          <w:tcPr>
            <w:tcW w:w="1436" w:type="dxa"/>
            <w:shd w:val="clear" w:color="auto" w:fill="auto"/>
          </w:tcPr>
          <w:p w14:paraId="06D8CD21" w14:textId="77777777" w:rsidR="00B54574" w:rsidRPr="000E431C" w:rsidRDefault="00B54574" w:rsidP="001C6169">
            <w:pPr>
              <w:pStyle w:val="naisf"/>
              <w:spacing w:before="0" w:after="0"/>
              <w:rPr>
                <w:b/>
                <w:i/>
              </w:rPr>
            </w:pPr>
          </w:p>
        </w:tc>
        <w:tc>
          <w:tcPr>
            <w:tcW w:w="1257" w:type="dxa"/>
            <w:shd w:val="clear" w:color="auto" w:fill="auto"/>
          </w:tcPr>
          <w:p w14:paraId="46421D7D" w14:textId="77777777" w:rsidR="00B54574" w:rsidRPr="000E431C" w:rsidRDefault="00B54574" w:rsidP="001C6169">
            <w:pPr>
              <w:pStyle w:val="naisf"/>
              <w:spacing w:before="0" w:after="0"/>
              <w:rPr>
                <w:b/>
                <w:i/>
              </w:rPr>
            </w:pPr>
          </w:p>
        </w:tc>
        <w:tc>
          <w:tcPr>
            <w:tcW w:w="1195" w:type="dxa"/>
            <w:shd w:val="clear" w:color="auto" w:fill="auto"/>
          </w:tcPr>
          <w:p w14:paraId="71722E95" w14:textId="77777777" w:rsidR="00B54574" w:rsidRPr="000E431C" w:rsidRDefault="00B54574" w:rsidP="001C6169">
            <w:pPr>
              <w:pStyle w:val="naisf"/>
              <w:spacing w:before="0" w:after="0"/>
              <w:rPr>
                <w:b/>
                <w:i/>
              </w:rPr>
            </w:pPr>
          </w:p>
        </w:tc>
        <w:tc>
          <w:tcPr>
            <w:tcW w:w="1150" w:type="dxa"/>
            <w:shd w:val="clear" w:color="auto" w:fill="auto"/>
          </w:tcPr>
          <w:p w14:paraId="4471F2BB" w14:textId="77777777" w:rsidR="00B54574" w:rsidRPr="000E431C" w:rsidRDefault="00B54574" w:rsidP="001C6169">
            <w:pPr>
              <w:pStyle w:val="naisf"/>
              <w:spacing w:before="0" w:after="0"/>
              <w:rPr>
                <w:b/>
                <w:i/>
              </w:rPr>
            </w:pPr>
          </w:p>
        </w:tc>
      </w:tr>
      <w:tr w:rsidR="005F6BC7" w14:paraId="215CF0CF" w14:textId="77777777" w:rsidTr="001C6169">
        <w:trPr>
          <w:jc w:val="center"/>
        </w:trPr>
        <w:tc>
          <w:tcPr>
            <w:tcW w:w="3199" w:type="dxa"/>
            <w:vMerge w:val="restart"/>
          </w:tcPr>
          <w:p w14:paraId="72C61F0D" w14:textId="77777777" w:rsidR="00B54574" w:rsidRPr="000E431C" w:rsidRDefault="00D27A81" w:rsidP="001C6169">
            <w:r w:rsidRPr="000E431C">
              <w:t>4. Finanšu līdzekļi papildu izdevumu finansēšanai (kompensējošu izdevumu samazinājumu norāda ar "+" zīmi)</w:t>
            </w:r>
          </w:p>
        </w:tc>
        <w:tc>
          <w:tcPr>
            <w:tcW w:w="1276" w:type="dxa"/>
            <w:vMerge w:val="restart"/>
          </w:tcPr>
          <w:p w14:paraId="35A22764" w14:textId="77777777" w:rsidR="00B54574" w:rsidRPr="000E431C" w:rsidRDefault="00D27A81" w:rsidP="001C6169">
            <w:pPr>
              <w:pStyle w:val="naisf"/>
              <w:spacing w:before="0" w:after="0"/>
              <w:jc w:val="center"/>
              <w:rPr>
                <w:i/>
              </w:rPr>
            </w:pPr>
            <w:r w:rsidRPr="000E431C">
              <w:t>X</w:t>
            </w:r>
          </w:p>
        </w:tc>
        <w:tc>
          <w:tcPr>
            <w:tcW w:w="1436" w:type="dxa"/>
          </w:tcPr>
          <w:p w14:paraId="28CDEFEF" w14:textId="77777777" w:rsidR="00B54574" w:rsidRPr="000E431C" w:rsidRDefault="00B54574" w:rsidP="001C6169">
            <w:pPr>
              <w:pStyle w:val="naisf"/>
              <w:spacing w:before="0" w:after="0"/>
              <w:rPr>
                <w:b/>
                <w:i/>
              </w:rPr>
            </w:pPr>
          </w:p>
        </w:tc>
        <w:tc>
          <w:tcPr>
            <w:tcW w:w="1257" w:type="dxa"/>
          </w:tcPr>
          <w:p w14:paraId="7F7A7E09" w14:textId="77777777" w:rsidR="00B54574" w:rsidRPr="000E431C" w:rsidRDefault="00B54574" w:rsidP="001C6169">
            <w:pPr>
              <w:pStyle w:val="naisf"/>
              <w:spacing w:before="0" w:after="0"/>
              <w:rPr>
                <w:b/>
                <w:i/>
              </w:rPr>
            </w:pPr>
          </w:p>
        </w:tc>
        <w:tc>
          <w:tcPr>
            <w:tcW w:w="1195" w:type="dxa"/>
          </w:tcPr>
          <w:p w14:paraId="194213C9" w14:textId="77777777" w:rsidR="00B54574" w:rsidRPr="000E431C" w:rsidRDefault="00B54574" w:rsidP="001C6169">
            <w:pPr>
              <w:pStyle w:val="naisf"/>
              <w:spacing w:before="0" w:after="0"/>
              <w:rPr>
                <w:b/>
                <w:i/>
              </w:rPr>
            </w:pPr>
          </w:p>
        </w:tc>
        <w:tc>
          <w:tcPr>
            <w:tcW w:w="1150" w:type="dxa"/>
          </w:tcPr>
          <w:p w14:paraId="16FDCAE2" w14:textId="77777777" w:rsidR="00B54574" w:rsidRPr="000E431C" w:rsidRDefault="00B54574" w:rsidP="001C6169">
            <w:pPr>
              <w:pStyle w:val="naisf"/>
              <w:spacing w:before="0" w:after="0"/>
              <w:rPr>
                <w:b/>
                <w:i/>
              </w:rPr>
            </w:pPr>
          </w:p>
        </w:tc>
      </w:tr>
      <w:tr w:rsidR="005F6BC7" w14:paraId="6A76D664" w14:textId="77777777" w:rsidTr="001C6169">
        <w:trPr>
          <w:jc w:val="center"/>
        </w:trPr>
        <w:tc>
          <w:tcPr>
            <w:tcW w:w="3199" w:type="dxa"/>
            <w:vMerge/>
          </w:tcPr>
          <w:p w14:paraId="058EEB3A" w14:textId="77777777" w:rsidR="00B54574" w:rsidRPr="000E431C" w:rsidRDefault="00B54574" w:rsidP="001C6169"/>
        </w:tc>
        <w:tc>
          <w:tcPr>
            <w:tcW w:w="1276" w:type="dxa"/>
            <w:vMerge/>
          </w:tcPr>
          <w:p w14:paraId="56E2C21F" w14:textId="77777777" w:rsidR="00B54574" w:rsidRPr="000E431C" w:rsidRDefault="00B54574" w:rsidP="001C6169">
            <w:pPr>
              <w:pStyle w:val="naisf"/>
              <w:spacing w:before="0" w:after="0"/>
              <w:jc w:val="center"/>
              <w:rPr>
                <w:i/>
              </w:rPr>
            </w:pPr>
          </w:p>
        </w:tc>
        <w:tc>
          <w:tcPr>
            <w:tcW w:w="1436" w:type="dxa"/>
          </w:tcPr>
          <w:p w14:paraId="543E05FD" w14:textId="77777777" w:rsidR="00B54574" w:rsidRPr="000E431C" w:rsidRDefault="00B54574" w:rsidP="001C6169">
            <w:pPr>
              <w:pStyle w:val="naisf"/>
              <w:spacing w:before="0" w:after="0"/>
              <w:rPr>
                <w:b/>
                <w:i/>
              </w:rPr>
            </w:pPr>
          </w:p>
        </w:tc>
        <w:tc>
          <w:tcPr>
            <w:tcW w:w="1257" w:type="dxa"/>
          </w:tcPr>
          <w:p w14:paraId="6A7895DF" w14:textId="77777777" w:rsidR="00B54574" w:rsidRPr="000E431C" w:rsidRDefault="00B54574" w:rsidP="001C6169">
            <w:pPr>
              <w:pStyle w:val="naisf"/>
              <w:spacing w:before="0" w:after="0"/>
              <w:rPr>
                <w:b/>
                <w:i/>
              </w:rPr>
            </w:pPr>
          </w:p>
        </w:tc>
        <w:tc>
          <w:tcPr>
            <w:tcW w:w="1195" w:type="dxa"/>
          </w:tcPr>
          <w:p w14:paraId="2F1A797C" w14:textId="77777777" w:rsidR="00B54574" w:rsidRPr="000E431C" w:rsidRDefault="00B54574" w:rsidP="001C6169">
            <w:pPr>
              <w:pStyle w:val="naisf"/>
              <w:spacing w:before="0" w:after="0"/>
              <w:rPr>
                <w:b/>
                <w:i/>
              </w:rPr>
            </w:pPr>
          </w:p>
        </w:tc>
        <w:tc>
          <w:tcPr>
            <w:tcW w:w="1150" w:type="dxa"/>
          </w:tcPr>
          <w:p w14:paraId="25B34BFC" w14:textId="77777777" w:rsidR="00B54574" w:rsidRPr="000E431C" w:rsidRDefault="00B54574" w:rsidP="001C6169">
            <w:pPr>
              <w:pStyle w:val="naisf"/>
              <w:spacing w:before="0" w:after="0"/>
              <w:rPr>
                <w:b/>
                <w:i/>
              </w:rPr>
            </w:pPr>
          </w:p>
        </w:tc>
      </w:tr>
      <w:tr w:rsidR="005F6BC7" w14:paraId="61ED9C32" w14:textId="77777777" w:rsidTr="001C6169">
        <w:trPr>
          <w:jc w:val="center"/>
        </w:trPr>
        <w:tc>
          <w:tcPr>
            <w:tcW w:w="3199" w:type="dxa"/>
            <w:vMerge/>
          </w:tcPr>
          <w:p w14:paraId="6C0B9DFB" w14:textId="77777777" w:rsidR="00B54574" w:rsidRPr="000E431C" w:rsidRDefault="00B54574" w:rsidP="001C6169"/>
        </w:tc>
        <w:tc>
          <w:tcPr>
            <w:tcW w:w="1276" w:type="dxa"/>
            <w:vMerge/>
          </w:tcPr>
          <w:p w14:paraId="14B8965B" w14:textId="77777777" w:rsidR="00B54574" w:rsidRPr="000E431C" w:rsidRDefault="00B54574" w:rsidP="001C6169">
            <w:pPr>
              <w:pStyle w:val="naisf"/>
              <w:spacing w:before="0" w:after="0"/>
              <w:jc w:val="center"/>
              <w:rPr>
                <w:i/>
              </w:rPr>
            </w:pPr>
          </w:p>
        </w:tc>
        <w:tc>
          <w:tcPr>
            <w:tcW w:w="1436" w:type="dxa"/>
          </w:tcPr>
          <w:p w14:paraId="086CD164" w14:textId="77777777" w:rsidR="00B54574" w:rsidRPr="000E431C" w:rsidRDefault="00B54574" w:rsidP="001C6169">
            <w:pPr>
              <w:pStyle w:val="naisf"/>
              <w:spacing w:before="0" w:after="0"/>
              <w:rPr>
                <w:b/>
                <w:i/>
              </w:rPr>
            </w:pPr>
          </w:p>
        </w:tc>
        <w:tc>
          <w:tcPr>
            <w:tcW w:w="1257" w:type="dxa"/>
          </w:tcPr>
          <w:p w14:paraId="51A9A2DF" w14:textId="77777777" w:rsidR="00B54574" w:rsidRPr="000E431C" w:rsidRDefault="00B54574" w:rsidP="001C6169">
            <w:pPr>
              <w:pStyle w:val="naisf"/>
              <w:spacing w:before="0" w:after="0"/>
              <w:rPr>
                <w:b/>
                <w:i/>
              </w:rPr>
            </w:pPr>
          </w:p>
        </w:tc>
        <w:tc>
          <w:tcPr>
            <w:tcW w:w="1195" w:type="dxa"/>
          </w:tcPr>
          <w:p w14:paraId="73DA3208" w14:textId="77777777" w:rsidR="00B54574" w:rsidRPr="000E431C" w:rsidRDefault="00B54574" w:rsidP="001C6169">
            <w:pPr>
              <w:pStyle w:val="naisf"/>
              <w:spacing w:before="0" w:after="0"/>
              <w:rPr>
                <w:b/>
                <w:i/>
              </w:rPr>
            </w:pPr>
          </w:p>
        </w:tc>
        <w:tc>
          <w:tcPr>
            <w:tcW w:w="1150" w:type="dxa"/>
          </w:tcPr>
          <w:p w14:paraId="14BE41C3" w14:textId="77777777" w:rsidR="00B54574" w:rsidRPr="000E431C" w:rsidRDefault="00B54574" w:rsidP="001C6169">
            <w:pPr>
              <w:pStyle w:val="naisf"/>
              <w:spacing w:before="0" w:after="0"/>
              <w:rPr>
                <w:b/>
                <w:i/>
              </w:rPr>
            </w:pPr>
          </w:p>
        </w:tc>
      </w:tr>
      <w:tr w:rsidR="005F6BC7" w14:paraId="3B5B800B" w14:textId="77777777" w:rsidTr="001C6169">
        <w:trPr>
          <w:jc w:val="center"/>
        </w:trPr>
        <w:tc>
          <w:tcPr>
            <w:tcW w:w="3199" w:type="dxa"/>
          </w:tcPr>
          <w:p w14:paraId="738E1981" w14:textId="77777777" w:rsidR="00B54574" w:rsidRPr="000E431C" w:rsidRDefault="00D27A81" w:rsidP="001C6169">
            <w:r w:rsidRPr="000E431C">
              <w:t>5. Precizēta finansiālā ietekme:</w:t>
            </w:r>
          </w:p>
        </w:tc>
        <w:tc>
          <w:tcPr>
            <w:tcW w:w="1276" w:type="dxa"/>
            <w:vMerge w:val="restart"/>
          </w:tcPr>
          <w:p w14:paraId="2D7566EC" w14:textId="77777777" w:rsidR="00B54574" w:rsidRPr="000E431C" w:rsidRDefault="00D27A81" w:rsidP="001C6169">
            <w:pPr>
              <w:pStyle w:val="naisf"/>
              <w:spacing w:before="0" w:after="0"/>
              <w:jc w:val="center"/>
              <w:rPr>
                <w:i/>
              </w:rPr>
            </w:pPr>
            <w:r w:rsidRPr="000E431C">
              <w:t>X</w:t>
            </w:r>
          </w:p>
        </w:tc>
        <w:tc>
          <w:tcPr>
            <w:tcW w:w="1436" w:type="dxa"/>
          </w:tcPr>
          <w:p w14:paraId="0BFA255C" w14:textId="77777777" w:rsidR="00B54574" w:rsidRPr="000E431C" w:rsidRDefault="00B54574" w:rsidP="001C6169">
            <w:pPr>
              <w:pStyle w:val="naisf"/>
              <w:spacing w:before="0" w:after="0"/>
              <w:rPr>
                <w:b/>
                <w:i/>
              </w:rPr>
            </w:pPr>
          </w:p>
        </w:tc>
        <w:tc>
          <w:tcPr>
            <w:tcW w:w="1257" w:type="dxa"/>
          </w:tcPr>
          <w:p w14:paraId="1677E1B0" w14:textId="77777777" w:rsidR="00B54574" w:rsidRPr="000E431C" w:rsidRDefault="00B54574" w:rsidP="001C6169">
            <w:pPr>
              <w:pStyle w:val="naisf"/>
              <w:spacing w:before="0" w:after="0"/>
              <w:rPr>
                <w:b/>
                <w:i/>
              </w:rPr>
            </w:pPr>
          </w:p>
        </w:tc>
        <w:tc>
          <w:tcPr>
            <w:tcW w:w="1195" w:type="dxa"/>
          </w:tcPr>
          <w:p w14:paraId="1019D74F" w14:textId="77777777" w:rsidR="00B54574" w:rsidRPr="000E431C" w:rsidRDefault="00B54574" w:rsidP="001C6169">
            <w:pPr>
              <w:pStyle w:val="naisf"/>
              <w:spacing w:before="0" w:after="0"/>
              <w:rPr>
                <w:b/>
                <w:i/>
              </w:rPr>
            </w:pPr>
          </w:p>
        </w:tc>
        <w:tc>
          <w:tcPr>
            <w:tcW w:w="1150" w:type="dxa"/>
          </w:tcPr>
          <w:p w14:paraId="4A65B848" w14:textId="77777777" w:rsidR="00B54574" w:rsidRPr="000E431C" w:rsidRDefault="00B54574" w:rsidP="001C6169">
            <w:pPr>
              <w:pStyle w:val="naisf"/>
              <w:spacing w:before="0" w:after="0"/>
              <w:rPr>
                <w:b/>
                <w:i/>
              </w:rPr>
            </w:pPr>
          </w:p>
        </w:tc>
      </w:tr>
      <w:tr w:rsidR="005F6BC7" w14:paraId="1F83842C" w14:textId="77777777" w:rsidTr="001C6169">
        <w:trPr>
          <w:jc w:val="center"/>
        </w:trPr>
        <w:tc>
          <w:tcPr>
            <w:tcW w:w="3199" w:type="dxa"/>
          </w:tcPr>
          <w:p w14:paraId="404BF053" w14:textId="77777777" w:rsidR="00B54574" w:rsidRPr="000E431C" w:rsidRDefault="00D27A81" w:rsidP="001C6169">
            <w:r w:rsidRPr="000E431C">
              <w:t>5.1. valsts pamatbudžets</w:t>
            </w:r>
          </w:p>
        </w:tc>
        <w:tc>
          <w:tcPr>
            <w:tcW w:w="1276" w:type="dxa"/>
            <w:vMerge/>
            <w:vAlign w:val="center"/>
          </w:tcPr>
          <w:p w14:paraId="3C4F812F" w14:textId="77777777" w:rsidR="00B54574" w:rsidRPr="000E431C" w:rsidRDefault="00B54574" w:rsidP="001C6169">
            <w:pPr>
              <w:pStyle w:val="naisf"/>
              <w:spacing w:before="0" w:after="0"/>
              <w:jc w:val="center"/>
              <w:rPr>
                <w:i/>
              </w:rPr>
            </w:pPr>
          </w:p>
        </w:tc>
        <w:tc>
          <w:tcPr>
            <w:tcW w:w="1436" w:type="dxa"/>
          </w:tcPr>
          <w:p w14:paraId="511BCA87" w14:textId="77777777" w:rsidR="00B54574" w:rsidRPr="000E431C" w:rsidRDefault="00B54574" w:rsidP="001C6169">
            <w:pPr>
              <w:pStyle w:val="naisf"/>
              <w:spacing w:before="0" w:after="0"/>
              <w:rPr>
                <w:b/>
                <w:i/>
              </w:rPr>
            </w:pPr>
          </w:p>
        </w:tc>
        <w:tc>
          <w:tcPr>
            <w:tcW w:w="1257" w:type="dxa"/>
          </w:tcPr>
          <w:p w14:paraId="323590CF" w14:textId="77777777" w:rsidR="00B54574" w:rsidRPr="000E431C" w:rsidRDefault="00B54574" w:rsidP="001C6169">
            <w:pPr>
              <w:pStyle w:val="naisf"/>
              <w:spacing w:before="0" w:after="0"/>
              <w:rPr>
                <w:b/>
                <w:i/>
              </w:rPr>
            </w:pPr>
          </w:p>
        </w:tc>
        <w:tc>
          <w:tcPr>
            <w:tcW w:w="1195" w:type="dxa"/>
          </w:tcPr>
          <w:p w14:paraId="4C012107" w14:textId="77777777" w:rsidR="00B54574" w:rsidRPr="000E431C" w:rsidRDefault="00B54574" w:rsidP="001C6169">
            <w:pPr>
              <w:pStyle w:val="naisf"/>
              <w:spacing w:before="0" w:after="0"/>
              <w:rPr>
                <w:b/>
                <w:i/>
              </w:rPr>
            </w:pPr>
          </w:p>
        </w:tc>
        <w:tc>
          <w:tcPr>
            <w:tcW w:w="1150" w:type="dxa"/>
          </w:tcPr>
          <w:p w14:paraId="625CDC7D" w14:textId="77777777" w:rsidR="00B54574" w:rsidRPr="000E431C" w:rsidRDefault="00B54574" w:rsidP="001C6169">
            <w:pPr>
              <w:pStyle w:val="naisf"/>
              <w:spacing w:before="0" w:after="0"/>
              <w:rPr>
                <w:b/>
                <w:i/>
              </w:rPr>
            </w:pPr>
          </w:p>
        </w:tc>
      </w:tr>
      <w:tr w:rsidR="005F6BC7" w14:paraId="53FFDFA8" w14:textId="77777777" w:rsidTr="001C6169">
        <w:trPr>
          <w:jc w:val="center"/>
        </w:trPr>
        <w:tc>
          <w:tcPr>
            <w:tcW w:w="3199" w:type="dxa"/>
          </w:tcPr>
          <w:p w14:paraId="137260E2" w14:textId="77777777" w:rsidR="00B54574" w:rsidRPr="000E431C" w:rsidRDefault="00D27A81" w:rsidP="001C6169">
            <w:r w:rsidRPr="000E431C">
              <w:t>5.2. speciālais budžets</w:t>
            </w:r>
          </w:p>
        </w:tc>
        <w:tc>
          <w:tcPr>
            <w:tcW w:w="1276" w:type="dxa"/>
            <w:vMerge/>
            <w:vAlign w:val="center"/>
          </w:tcPr>
          <w:p w14:paraId="25FB69DD" w14:textId="77777777" w:rsidR="00B54574" w:rsidRPr="000E431C" w:rsidRDefault="00B54574" w:rsidP="001C6169">
            <w:pPr>
              <w:pStyle w:val="naisf"/>
              <w:spacing w:before="0" w:after="0"/>
              <w:jc w:val="center"/>
              <w:rPr>
                <w:i/>
              </w:rPr>
            </w:pPr>
          </w:p>
        </w:tc>
        <w:tc>
          <w:tcPr>
            <w:tcW w:w="1436" w:type="dxa"/>
          </w:tcPr>
          <w:p w14:paraId="3918F9C2" w14:textId="77777777" w:rsidR="00B54574" w:rsidRPr="000E431C" w:rsidRDefault="00B54574" w:rsidP="001C6169">
            <w:pPr>
              <w:pStyle w:val="naisf"/>
              <w:spacing w:before="0" w:after="0"/>
              <w:rPr>
                <w:b/>
                <w:i/>
              </w:rPr>
            </w:pPr>
          </w:p>
        </w:tc>
        <w:tc>
          <w:tcPr>
            <w:tcW w:w="1257" w:type="dxa"/>
          </w:tcPr>
          <w:p w14:paraId="0E326358" w14:textId="77777777" w:rsidR="00B54574" w:rsidRPr="000E431C" w:rsidRDefault="00B54574" w:rsidP="001C6169">
            <w:pPr>
              <w:pStyle w:val="naisf"/>
              <w:spacing w:before="0" w:after="0"/>
              <w:rPr>
                <w:b/>
                <w:i/>
              </w:rPr>
            </w:pPr>
          </w:p>
        </w:tc>
        <w:tc>
          <w:tcPr>
            <w:tcW w:w="1195" w:type="dxa"/>
          </w:tcPr>
          <w:p w14:paraId="3E19CE9B" w14:textId="77777777" w:rsidR="00B54574" w:rsidRPr="000E431C" w:rsidRDefault="00B54574" w:rsidP="001C6169">
            <w:pPr>
              <w:pStyle w:val="naisf"/>
              <w:spacing w:before="0" w:after="0"/>
              <w:rPr>
                <w:b/>
                <w:i/>
              </w:rPr>
            </w:pPr>
          </w:p>
        </w:tc>
        <w:tc>
          <w:tcPr>
            <w:tcW w:w="1150" w:type="dxa"/>
          </w:tcPr>
          <w:p w14:paraId="7F17ED84" w14:textId="77777777" w:rsidR="00B54574" w:rsidRPr="000E431C" w:rsidRDefault="00B54574" w:rsidP="001C6169">
            <w:pPr>
              <w:pStyle w:val="naisf"/>
              <w:spacing w:before="0" w:after="0"/>
              <w:rPr>
                <w:b/>
                <w:i/>
              </w:rPr>
            </w:pPr>
          </w:p>
        </w:tc>
      </w:tr>
      <w:tr w:rsidR="005F6BC7" w14:paraId="51B6B3AD" w14:textId="77777777" w:rsidTr="001C6169">
        <w:trPr>
          <w:jc w:val="center"/>
        </w:trPr>
        <w:tc>
          <w:tcPr>
            <w:tcW w:w="3199" w:type="dxa"/>
          </w:tcPr>
          <w:p w14:paraId="1A340FDE" w14:textId="77777777" w:rsidR="00B54574" w:rsidRPr="000E431C" w:rsidRDefault="00D27A81" w:rsidP="001C6169">
            <w:r w:rsidRPr="000E431C">
              <w:t xml:space="preserve">5.3. pašvaldību budžets </w:t>
            </w:r>
          </w:p>
        </w:tc>
        <w:tc>
          <w:tcPr>
            <w:tcW w:w="1276" w:type="dxa"/>
            <w:vMerge/>
            <w:vAlign w:val="center"/>
          </w:tcPr>
          <w:p w14:paraId="5A517756" w14:textId="77777777" w:rsidR="00B54574" w:rsidRPr="000E431C" w:rsidRDefault="00B54574" w:rsidP="001C6169">
            <w:pPr>
              <w:pStyle w:val="naisf"/>
              <w:spacing w:before="0" w:after="0"/>
              <w:jc w:val="center"/>
              <w:rPr>
                <w:i/>
              </w:rPr>
            </w:pPr>
          </w:p>
        </w:tc>
        <w:tc>
          <w:tcPr>
            <w:tcW w:w="1436" w:type="dxa"/>
          </w:tcPr>
          <w:p w14:paraId="025C0739" w14:textId="77777777" w:rsidR="00B54574" w:rsidRPr="000E431C" w:rsidRDefault="00B54574" w:rsidP="001C6169">
            <w:pPr>
              <w:pStyle w:val="naisf"/>
              <w:spacing w:before="0" w:after="0"/>
              <w:rPr>
                <w:b/>
                <w:i/>
              </w:rPr>
            </w:pPr>
          </w:p>
        </w:tc>
        <w:tc>
          <w:tcPr>
            <w:tcW w:w="1257" w:type="dxa"/>
          </w:tcPr>
          <w:p w14:paraId="1F8DB52E" w14:textId="77777777" w:rsidR="00B54574" w:rsidRPr="000E431C" w:rsidRDefault="00B54574" w:rsidP="001C6169">
            <w:pPr>
              <w:pStyle w:val="naisf"/>
              <w:spacing w:before="0" w:after="0"/>
              <w:rPr>
                <w:b/>
                <w:i/>
              </w:rPr>
            </w:pPr>
          </w:p>
        </w:tc>
        <w:tc>
          <w:tcPr>
            <w:tcW w:w="1195" w:type="dxa"/>
          </w:tcPr>
          <w:p w14:paraId="1A6C6448" w14:textId="77777777" w:rsidR="00B54574" w:rsidRPr="000E431C" w:rsidRDefault="00B54574" w:rsidP="001C6169">
            <w:pPr>
              <w:pStyle w:val="naisf"/>
              <w:spacing w:before="0" w:after="0"/>
              <w:rPr>
                <w:b/>
                <w:i/>
              </w:rPr>
            </w:pPr>
          </w:p>
        </w:tc>
        <w:tc>
          <w:tcPr>
            <w:tcW w:w="1150" w:type="dxa"/>
          </w:tcPr>
          <w:p w14:paraId="4B4FDBF9" w14:textId="77777777" w:rsidR="00B54574" w:rsidRPr="000E431C" w:rsidRDefault="00B54574" w:rsidP="001C6169">
            <w:pPr>
              <w:pStyle w:val="naisf"/>
              <w:spacing w:before="0" w:after="0"/>
              <w:rPr>
                <w:b/>
                <w:i/>
              </w:rPr>
            </w:pPr>
          </w:p>
        </w:tc>
      </w:tr>
      <w:tr w:rsidR="005F6BC7" w14:paraId="01CABAE2" w14:textId="77777777" w:rsidTr="001C6169">
        <w:trPr>
          <w:jc w:val="center"/>
        </w:trPr>
        <w:tc>
          <w:tcPr>
            <w:tcW w:w="3199" w:type="dxa"/>
          </w:tcPr>
          <w:p w14:paraId="6917D3FA" w14:textId="77777777" w:rsidR="00B54574" w:rsidRPr="000E431C" w:rsidRDefault="00D27A81" w:rsidP="001C6169">
            <w:r w:rsidRPr="000E431C">
              <w:t>6. Detalizēts ieņēmumu un izdevumu aprēķins (ja nepie</w:t>
            </w:r>
            <w:r w:rsidRPr="000E431C">
              <w:softHyphen/>
              <w:t xml:space="preserve">ciešams, detalizētu ieņēmumu </w:t>
            </w:r>
            <w:r w:rsidRPr="000E431C">
              <w:lastRenderedPageBreak/>
              <w:t>un izdevumu aprēķinu var pie</w:t>
            </w:r>
            <w:r w:rsidRPr="000E431C">
              <w:softHyphen/>
              <w:t>vienot anotācijas pielikumā):</w:t>
            </w:r>
          </w:p>
        </w:tc>
        <w:tc>
          <w:tcPr>
            <w:tcW w:w="6314" w:type="dxa"/>
            <w:gridSpan w:val="5"/>
            <w:vMerge w:val="restart"/>
            <w:vAlign w:val="center"/>
          </w:tcPr>
          <w:p w14:paraId="522C1FBF" w14:textId="499BBD44" w:rsidR="00B54574" w:rsidRPr="00434F1D" w:rsidRDefault="00D27A81" w:rsidP="000E3058">
            <w:pPr>
              <w:pStyle w:val="naisf"/>
              <w:spacing w:before="0" w:after="0"/>
              <w:ind w:firstLine="0"/>
            </w:pPr>
            <w:r>
              <w:lastRenderedPageBreak/>
              <w:t>Pielikumā detalizēts prognozētais</w:t>
            </w:r>
            <w:r w:rsidR="000E3058">
              <w:t xml:space="preserve"> papildu</w:t>
            </w:r>
            <w:r>
              <w:t xml:space="preserve"> izdevumu </w:t>
            </w:r>
            <w:r w:rsidR="004269ED">
              <w:t>aprēķins</w:t>
            </w:r>
            <w:r w:rsidR="00927336">
              <w:t xml:space="preserve"> </w:t>
            </w:r>
            <w:r w:rsidR="000E3058">
              <w:t>VID ierēdņu ar dienesta pakāpēm formas tērpiem</w:t>
            </w:r>
          </w:p>
        </w:tc>
      </w:tr>
      <w:tr w:rsidR="005F6BC7" w14:paraId="62A0AC16" w14:textId="77777777" w:rsidTr="001C6169">
        <w:trPr>
          <w:jc w:val="center"/>
        </w:trPr>
        <w:tc>
          <w:tcPr>
            <w:tcW w:w="3199" w:type="dxa"/>
          </w:tcPr>
          <w:p w14:paraId="59701112" w14:textId="77777777" w:rsidR="00B54574" w:rsidRPr="000E431C" w:rsidRDefault="00D27A81" w:rsidP="001C6169">
            <w:r w:rsidRPr="000E431C">
              <w:t>6.1. detalizēts ieņēmumu aprēķins</w:t>
            </w:r>
          </w:p>
        </w:tc>
        <w:tc>
          <w:tcPr>
            <w:tcW w:w="6314" w:type="dxa"/>
            <w:gridSpan w:val="5"/>
            <w:vMerge/>
          </w:tcPr>
          <w:p w14:paraId="3B4BB662" w14:textId="77777777" w:rsidR="00B54574" w:rsidRPr="000E431C" w:rsidRDefault="00B54574" w:rsidP="001C6169">
            <w:pPr>
              <w:pStyle w:val="naisf"/>
              <w:spacing w:before="0" w:after="0"/>
              <w:rPr>
                <w:b/>
                <w:i/>
              </w:rPr>
            </w:pPr>
          </w:p>
        </w:tc>
      </w:tr>
      <w:tr w:rsidR="005F6BC7" w14:paraId="60BF3561" w14:textId="77777777" w:rsidTr="001C6169">
        <w:trPr>
          <w:jc w:val="center"/>
        </w:trPr>
        <w:tc>
          <w:tcPr>
            <w:tcW w:w="3199" w:type="dxa"/>
          </w:tcPr>
          <w:p w14:paraId="48F6A3B4" w14:textId="77777777" w:rsidR="00B54574" w:rsidRPr="000E431C" w:rsidRDefault="00D27A81" w:rsidP="001C6169">
            <w:r w:rsidRPr="000E431C">
              <w:t>6.2. detalizēts izdevumu aprēķins</w:t>
            </w:r>
          </w:p>
        </w:tc>
        <w:tc>
          <w:tcPr>
            <w:tcW w:w="6314" w:type="dxa"/>
            <w:gridSpan w:val="5"/>
            <w:vMerge/>
          </w:tcPr>
          <w:p w14:paraId="38F316D1" w14:textId="77777777" w:rsidR="00B54574" w:rsidRPr="000E431C" w:rsidRDefault="00B54574" w:rsidP="001C6169">
            <w:pPr>
              <w:pStyle w:val="naisf"/>
              <w:spacing w:before="0" w:after="0"/>
              <w:rPr>
                <w:b/>
                <w:i/>
              </w:rPr>
            </w:pPr>
          </w:p>
        </w:tc>
      </w:tr>
      <w:tr w:rsidR="005F6BC7" w14:paraId="2E4ABBDC" w14:textId="77777777" w:rsidTr="001C6169">
        <w:trPr>
          <w:jc w:val="center"/>
        </w:trPr>
        <w:tc>
          <w:tcPr>
            <w:tcW w:w="3199" w:type="dxa"/>
          </w:tcPr>
          <w:p w14:paraId="226FA1D5" w14:textId="77777777" w:rsidR="00B54574" w:rsidRPr="000E431C" w:rsidRDefault="00D27A81" w:rsidP="001C6169">
            <w:r>
              <w:t xml:space="preserve">7. </w:t>
            </w:r>
            <w:r w:rsidRPr="00757CE2">
              <w:t>Amata vietu skaita izmaiņas</w:t>
            </w:r>
          </w:p>
        </w:tc>
        <w:tc>
          <w:tcPr>
            <w:tcW w:w="6314" w:type="dxa"/>
            <w:gridSpan w:val="5"/>
          </w:tcPr>
          <w:p w14:paraId="2FA028D2" w14:textId="77777777" w:rsidR="00B54574" w:rsidRPr="00F50CE7" w:rsidRDefault="00D27A81" w:rsidP="001C6169">
            <w:pPr>
              <w:pStyle w:val="naisf"/>
              <w:spacing w:before="0" w:after="0"/>
              <w:ind w:firstLine="0"/>
            </w:pPr>
            <w:r w:rsidRPr="00F50CE7">
              <w:t>Projekts šo jomu neskar</w:t>
            </w:r>
            <w:r>
              <w:t>.</w:t>
            </w:r>
          </w:p>
        </w:tc>
      </w:tr>
      <w:tr w:rsidR="005F6BC7" w14:paraId="7FFFC990" w14:textId="77777777" w:rsidTr="00872188">
        <w:trPr>
          <w:trHeight w:val="1523"/>
          <w:jc w:val="center"/>
        </w:trPr>
        <w:tc>
          <w:tcPr>
            <w:tcW w:w="3199" w:type="dxa"/>
          </w:tcPr>
          <w:p w14:paraId="0415A9E9" w14:textId="77777777" w:rsidR="00B54574" w:rsidRPr="000E431C" w:rsidRDefault="00D27A81" w:rsidP="001C6169">
            <w:r>
              <w:t>8</w:t>
            </w:r>
            <w:r w:rsidRPr="000E431C">
              <w:t>. Cit</w:t>
            </w:r>
            <w:bookmarkStart w:id="0" w:name="_GoBack"/>
            <w:bookmarkEnd w:id="0"/>
            <w:r w:rsidRPr="000E431C">
              <w:t>a informācija</w:t>
            </w:r>
          </w:p>
        </w:tc>
        <w:tc>
          <w:tcPr>
            <w:tcW w:w="6314" w:type="dxa"/>
            <w:gridSpan w:val="5"/>
          </w:tcPr>
          <w:p w14:paraId="4E2411F5" w14:textId="53170151" w:rsidR="00B54574" w:rsidRPr="00BE401E" w:rsidRDefault="00D27A81" w:rsidP="001C6169">
            <w:pPr>
              <w:pStyle w:val="naisf"/>
              <w:tabs>
                <w:tab w:val="left" w:pos="4644"/>
              </w:tabs>
              <w:spacing w:before="0" w:after="0"/>
              <w:ind w:firstLine="0"/>
            </w:pPr>
            <w:r w:rsidRPr="00BE401E">
              <w:t xml:space="preserve">Normatīvā akta izpilde tiks nodrošināta </w:t>
            </w:r>
            <w:r w:rsidR="00617580">
              <w:t>VID</w:t>
            </w:r>
            <w:r w:rsidRPr="00BE401E">
              <w:t xml:space="preserve"> piešķirtā budžeta ietvaros.</w:t>
            </w:r>
          </w:p>
          <w:p w14:paraId="58D1B453" w14:textId="659A580F" w:rsidR="00B54574" w:rsidRPr="00BE401E" w:rsidRDefault="00D27A81" w:rsidP="001C6169">
            <w:pPr>
              <w:pStyle w:val="naisf"/>
              <w:tabs>
                <w:tab w:val="left" w:pos="4644"/>
              </w:tabs>
              <w:spacing w:before="0" w:after="0"/>
              <w:ind w:firstLine="0"/>
            </w:pPr>
            <w:r w:rsidRPr="00BE401E">
              <w:t xml:space="preserve">Izmaksas tiks segtas no Finanšu ministrijas budžeta programmas 33.00.00 “Valsts ieņēmumu dienesta un </w:t>
            </w:r>
            <w:r w:rsidR="00434F1D">
              <w:t xml:space="preserve">muitas politikas nodrošināšana” </w:t>
            </w:r>
          </w:p>
        </w:tc>
      </w:tr>
    </w:tbl>
    <w:p w14:paraId="12E48B5B" w14:textId="77777777" w:rsidR="00B54574" w:rsidRPr="00351067" w:rsidRDefault="00B54574" w:rsidP="00B54574">
      <w:pPr>
        <w:rPr>
          <w:vanish/>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03"/>
      </w:tblGrid>
      <w:tr w:rsidR="005F6BC7" w14:paraId="242D1BEC" w14:textId="77777777" w:rsidTr="001C6169">
        <w:trPr>
          <w:trHeight w:val="556"/>
        </w:trPr>
        <w:tc>
          <w:tcPr>
            <w:tcW w:w="9503" w:type="dxa"/>
            <w:vAlign w:val="center"/>
          </w:tcPr>
          <w:p w14:paraId="64C2E737" w14:textId="77777777" w:rsidR="00B54574" w:rsidRPr="008641F5" w:rsidRDefault="00D27A81" w:rsidP="001C6169">
            <w:pPr>
              <w:pStyle w:val="naisnod"/>
              <w:spacing w:before="0" w:after="0"/>
              <w:ind w:left="57" w:right="57"/>
              <w:rPr>
                <w:b w:val="0"/>
              </w:rPr>
            </w:pPr>
            <w:r w:rsidRPr="008641F5">
              <w:t>IV. Tiesību akta projekta ietekme uz spēkā esošo tiesību normu sistēmu</w:t>
            </w:r>
          </w:p>
        </w:tc>
      </w:tr>
      <w:tr w:rsidR="005F6BC7" w14:paraId="7B135F20" w14:textId="77777777" w:rsidTr="001C6169">
        <w:trPr>
          <w:trHeight w:val="467"/>
        </w:trPr>
        <w:tc>
          <w:tcPr>
            <w:tcW w:w="9503" w:type="dxa"/>
          </w:tcPr>
          <w:p w14:paraId="7194F8A2" w14:textId="77777777" w:rsidR="00B54574" w:rsidRPr="008641F5" w:rsidRDefault="00D27A81" w:rsidP="001C6169">
            <w:pPr>
              <w:jc w:val="center"/>
            </w:pPr>
            <w:r>
              <w:t>Projekts šo jomu neskar.</w:t>
            </w:r>
          </w:p>
        </w:tc>
      </w:tr>
    </w:tbl>
    <w:p w14:paraId="31354DA1" w14:textId="77777777" w:rsidR="00B54574" w:rsidRDefault="00B54574" w:rsidP="00B54574"/>
    <w:tbl>
      <w:tblPr>
        <w:tblW w:w="94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465"/>
      </w:tblGrid>
      <w:tr w:rsidR="005F6BC7" w14:paraId="63AA36F2" w14:textId="77777777" w:rsidTr="006A0A17">
        <w:tc>
          <w:tcPr>
            <w:tcW w:w="9465" w:type="dxa"/>
            <w:tcBorders>
              <w:top w:val="single" w:sz="4" w:space="0" w:color="auto"/>
            </w:tcBorders>
          </w:tcPr>
          <w:p w14:paraId="64EFEED4" w14:textId="77777777" w:rsidR="00B54574" w:rsidRPr="00B800EA" w:rsidRDefault="00D27A81" w:rsidP="001C6169">
            <w:pPr>
              <w:pStyle w:val="naisnod"/>
              <w:spacing w:before="0" w:after="0"/>
              <w:ind w:left="57" w:right="57"/>
            </w:pPr>
            <w:r w:rsidRPr="00B800EA">
              <w:t xml:space="preserve">V. </w:t>
            </w:r>
            <w:r w:rsidRPr="00C81B5D">
              <w:t>Tiesību akta projekta atbilstība Latvijas Republikas starptautiskajām saistībām</w:t>
            </w:r>
          </w:p>
        </w:tc>
      </w:tr>
      <w:tr w:rsidR="005F6BC7" w14:paraId="7D4FD012" w14:textId="77777777" w:rsidTr="006A0A17">
        <w:trPr>
          <w:trHeight w:val="427"/>
        </w:trPr>
        <w:tc>
          <w:tcPr>
            <w:tcW w:w="9465" w:type="dxa"/>
          </w:tcPr>
          <w:p w14:paraId="140ACC64" w14:textId="77777777" w:rsidR="00B54574" w:rsidRPr="00B800EA" w:rsidRDefault="00D27A81" w:rsidP="001C6169">
            <w:pPr>
              <w:pStyle w:val="naisnod"/>
              <w:spacing w:before="0" w:after="0"/>
              <w:ind w:left="57" w:right="57"/>
              <w:rPr>
                <w:b w:val="0"/>
              </w:rPr>
            </w:pPr>
            <w:r>
              <w:rPr>
                <w:b w:val="0"/>
              </w:rPr>
              <w:t>Projekts šo jomu neskar.</w:t>
            </w:r>
          </w:p>
        </w:tc>
      </w:tr>
    </w:tbl>
    <w:p w14:paraId="79EE4822" w14:textId="77777777" w:rsidR="00B54574" w:rsidRDefault="00B54574" w:rsidP="00B54574"/>
    <w:p w14:paraId="45523B75" w14:textId="77777777" w:rsidR="00B54574" w:rsidRDefault="00B54574" w:rsidP="00B54574"/>
    <w:tbl>
      <w:tblPr>
        <w:tblW w:w="94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51"/>
        <w:gridCol w:w="1570"/>
        <w:gridCol w:w="7544"/>
      </w:tblGrid>
      <w:tr w:rsidR="005F6BC7" w14:paraId="2252D1AC" w14:textId="77777777" w:rsidTr="006A0A17">
        <w:tc>
          <w:tcPr>
            <w:tcW w:w="9465" w:type="dxa"/>
            <w:gridSpan w:val="3"/>
            <w:tcBorders>
              <w:top w:val="single" w:sz="4" w:space="0" w:color="auto"/>
            </w:tcBorders>
          </w:tcPr>
          <w:p w14:paraId="7EBFE220" w14:textId="77777777" w:rsidR="00B54574" w:rsidRPr="00B800EA" w:rsidRDefault="00D27A81" w:rsidP="001C6169">
            <w:pPr>
              <w:pStyle w:val="naisnod"/>
              <w:spacing w:before="0" w:after="0"/>
              <w:ind w:left="57" w:right="57"/>
            </w:pPr>
            <w:r w:rsidRPr="00B800EA">
              <w:t xml:space="preserve">VI. </w:t>
            </w:r>
            <w:r>
              <w:t>Sabiedrības līdzdalība un komunikācijas aktivitātes</w:t>
            </w:r>
          </w:p>
        </w:tc>
      </w:tr>
      <w:tr w:rsidR="005F6BC7" w14:paraId="73CA5636" w14:textId="77777777" w:rsidTr="006A0A17">
        <w:trPr>
          <w:trHeight w:val="427"/>
        </w:trPr>
        <w:tc>
          <w:tcPr>
            <w:tcW w:w="351" w:type="dxa"/>
          </w:tcPr>
          <w:p w14:paraId="5E428AA0" w14:textId="77777777" w:rsidR="00B54574" w:rsidRPr="001D7730" w:rsidRDefault="00D27A81" w:rsidP="001C6169">
            <w:pPr>
              <w:pStyle w:val="naisnod"/>
              <w:spacing w:before="0" w:after="0"/>
              <w:ind w:left="57" w:right="57"/>
              <w:jc w:val="left"/>
              <w:rPr>
                <w:b w:val="0"/>
              </w:rPr>
            </w:pPr>
            <w:r w:rsidRPr="001D7730">
              <w:rPr>
                <w:b w:val="0"/>
              </w:rPr>
              <w:t>1.</w:t>
            </w:r>
          </w:p>
        </w:tc>
        <w:tc>
          <w:tcPr>
            <w:tcW w:w="1570" w:type="dxa"/>
          </w:tcPr>
          <w:p w14:paraId="39CCFF7B" w14:textId="77777777" w:rsidR="00B54574" w:rsidRPr="001D7730" w:rsidRDefault="00D27A81" w:rsidP="001C6169">
            <w:pPr>
              <w:pStyle w:val="naisf"/>
              <w:spacing w:before="0" w:after="0"/>
              <w:ind w:left="57" w:right="57" w:firstLine="0"/>
              <w:jc w:val="left"/>
            </w:pPr>
            <w:r w:rsidRPr="001D7730">
              <w:t xml:space="preserve">Plānotās sabiedrības līdzdalības un komunikācijas aktivitātes saistībā ar projektu </w:t>
            </w:r>
          </w:p>
        </w:tc>
        <w:tc>
          <w:tcPr>
            <w:tcW w:w="7544" w:type="dxa"/>
          </w:tcPr>
          <w:p w14:paraId="0871E5FB" w14:textId="235A325F" w:rsidR="00B54574" w:rsidRDefault="00D27A81" w:rsidP="001C6169">
            <w:pPr>
              <w:pStyle w:val="naisnod"/>
              <w:spacing w:before="0" w:after="0"/>
              <w:ind w:left="57" w:right="57"/>
              <w:jc w:val="both"/>
              <w:rPr>
                <w:b w:val="0"/>
              </w:rPr>
            </w:pPr>
            <w:r w:rsidRPr="00C81B5D">
              <w:rPr>
                <w:b w:val="0"/>
              </w:rPr>
              <w:t xml:space="preserve">Informācija par </w:t>
            </w:r>
            <w:r>
              <w:rPr>
                <w:b w:val="0"/>
              </w:rPr>
              <w:t xml:space="preserve">noteikumu </w:t>
            </w:r>
            <w:r w:rsidRPr="00C81B5D">
              <w:rPr>
                <w:b w:val="0"/>
              </w:rPr>
              <w:t xml:space="preserve">projekta izstrādi </w:t>
            </w:r>
            <w:r>
              <w:rPr>
                <w:b w:val="0"/>
              </w:rPr>
              <w:t xml:space="preserve">2017.gada 22.novembrī </w:t>
            </w:r>
            <w:r w:rsidRPr="00C81B5D">
              <w:rPr>
                <w:b w:val="0"/>
              </w:rPr>
              <w:t xml:space="preserve">publicēta Finanšu ministrijas </w:t>
            </w:r>
            <w:r w:rsidR="00617580">
              <w:rPr>
                <w:b w:val="0"/>
              </w:rPr>
              <w:t>tīmekļa vietnē</w:t>
            </w:r>
            <w:r w:rsidRPr="00C81B5D">
              <w:rPr>
                <w:b w:val="0"/>
              </w:rPr>
              <w:t xml:space="preserve"> </w:t>
            </w:r>
            <w:r>
              <w:rPr>
                <w:b w:val="0"/>
              </w:rPr>
              <w:t>http://www.fm.gov.lv</w:t>
            </w:r>
            <w:r w:rsidRPr="00306C7D">
              <w:rPr>
                <w:b w:val="0"/>
              </w:rPr>
              <w:t xml:space="preserve"> </w:t>
            </w:r>
            <w:r w:rsidRPr="00C81B5D">
              <w:rPr>
                <w:b w:val="0"/>
              </w:rPr>
              <w:t xml:space="preserve">sadaļā </w:t>
            </w:r>
            <w:r w:rsidR="00617580" w:rsidRPr="008B51E7">
              <w:rPr>
                <w:b w:val="0"/>
              </w:rPr>
              <w:t>"</w:t>
            </w:r>
            <w:r w:rsidRPr="00C81B5D">
              <w:rPr>
                <w:b w:val="0"/>
              </w:rPr>
              <w:t>Sabiedrības līdzdalība</w:t>
            </w:r>
            <w:r w:rsidR="00617580" w:rsidRPr="008B51E7">
              <w:rPr>
                <w:b w:val="0"/>
              </w:rPr>
              <w:t>"</w:t>
            </w:r>
            <w:r>
              <w:rPr>
                <w:b w:val="0"/>
              </w:rPr>
              <w:t xml:space="preserve"> </w:t>
            </w:r>
          </w:p>
          <w:p w14:paraId="08C7CB2E" w14:textId="51FFB5B9" w:rsidR="002456E1" w:rsidRPr="006A0A17" w:rsidRDefault="00D27A81" w:rsidP="001C6169">
            <w:pPr>
              <w:pStyle w:val="naisnod"/>
              <w:spacing w:before="0" w:after="0"/>
              <w:ind w:left="57" w:right="57"/>
              <w:jc w:val="both"/>
              <w:rPr>
                <w:b w:val="0"/>
              </w:rPr>
            </w:pPr>
            <w:r w:rsidRPr="006A0A17">
              <w:rPr>
                <w:b w:val="0"/>
              </w:rPr>
              <w:t>http://www.fm.gov.lv/lv/sabiedribas_lidzdaliba/tiesibu_aktu_projekti/nodoklu_politika/#project428</w:t>
            </w:r>
          </w:p>
        </w:tc>
      </w:tr>
      <w:tr w:rsidR="005F6BC7" w14:paraId="27B546FB" w14:textId="77777777" w:rsidTr="006A0A17">
        <w:trPr>
          <w:trHeight w:val="463"/>
        </w:trPr>
        <w:tc>
          <w:tcPr>
            <w:tcW w:w="351" w:type="dxa"/>
          </w:tcPr>
          <w:p w14:paraId="345A3FCB" w14:textId="77777777" w:rsidR="00B54574" w:rsidRPr="00FA143C" w:rsidRDefault="00D27A81" w:rsidP="001C6169">
            <w:pPr>
              <w:pStyle w:val="naisnod"/>
              <w:spacing w:before="0" w:after="0"/>
              <w:ind w:left="57" w:right="57"/>
              <w:jc w:val="left"/>
              <w:rPr>
                <w:b w:val="0"/>
              </w:rPr>
            </w:pPr>
            <w:r w:rsidRPr="00FA143C">
              <w:rPr>
                <w:b w:val="0"/>
              </w:rPr>
              <w:t>2.</w:t>
            </w:r>
          </w:p>
        </w:tc>
        <w:tc>
          <w:tcPr>
            <w:tcW w:w="1570" w:type="dxa"/>
          </w:tcPr>
          <w:p w14:paraId="054E1110" w14:textId="77777777" w:rsidR="00B54574" w:rsidRPr="00FA143C" w:rsidRDefault="00D27A81" w:rsidP="001C6169">
            <w:pPr>
              <w:pStyle w:val="naisf"/>
              <w:spacing w:before="0" w:after="0"/>
              <w:ind w:left="57" w:right="57" w:firstLine="0"/>
              <w:jc w:val="left"/>
            </w:pPr>
            <w:r w:rsidRPr="00FA143C">
              <w:t>Sabiedrības līdzdalība projekta izstrādē</w:t>
            </w:r>
          </w:p>
        </w:tc>
        <w:tc>
          <w:tcPr>
            <w:tcW w:w="7544" w:type="dxa"/>
          </w:tcPr>
          <w:p w14:paraId="1EF13CC6" w14:textId="7BCD1927" w:rsidR="00B54574" w:rsidRPr="00FA143C" w:rsidRDefault="00D27A81" w:rsidP="001C6169">
            <w:pPr>
              <w:pStyle w:val="naisnod"/>
              <w:spacing w:before="0" w:after="0"/>
              <w:ind w:right="57"/>
              <w:jc w:val="both"/>
              <w:rPr>
                <w:b w:val="0"/>
              </w:rPr>
            </w:pPr>
            <w:r w:rsidRPr="00475A8A">
              <w:rPr>
                <w:b w:val="0"/>
              </w:rPr>
              <w:t xml:space="preserve">Sabiedrības pārstāvji varēja līdzdarboties likumprojekta izstrādē, </w:t>
            </w:r>
            <w:proofErr w:type="spellStart"/>
            <w:r w:rsidRPr="00475A8A">
              <w:rPr>
                <w:b w:val="0"/>
              </w:rPr>
              <w:t>rakstve</w:t>
            </w:r>
            <w:r w:rsidR="006A0A17">
              <w:rPr>
                <w:b w:val="0"/>
              </w:rPr>
              <w:t>idā</w:t>
            </w:r>
            <w:proofErr w:type="spellEnd"/>
            <w:r w:rsidR="006A0A17">
              <w:rPr>
                <w:b w:val="0"/>
              </w:rPr>
              <w:t xml:space="preserve"> sniedzot viedokļus par noteikumu </w:t>
            </w:r>
            <w:r w:rsidRPr="00475A8A">
              <w:rPr>
                <w:b w:val="0"/>
              </w:rPr>
              <w:t xml:space="preserve">projektu pēc tā publicēšanas </w:t>
            </w:r>
            <w:r w:rsidR="006A0A17">
              <w:rPr>
                <w:b w:val="0"/>
              </w:rPr>
              <w:t xml:space="preserve">iepriekš minētajā </w:t>
            </w:r>
            <w:r w:rsidRPr="00475A8A">
              <w:rPr>
                <w:b w:val="0"/>
              </w:rPr>
              <w:t xml:space="preserve">tīmekļa vietnē </w:t>
            </w:r>
            <w:r w:rsidR="006A0A17" w:rsidRPr="006A0A17">
              <w:rPr>
                <w:b w:val="0"/>
              </w:rPr>
              <w:t>http://www.fm.gov.lv/lv/sabiedribas_lidzdaliba/tiesibu_aktu_projekti/nodoklu_politika/#project428</w:t>
            </w:r>
          </w:p>
        </w:tc>
      </w:tr>
      <w:tr w:rsidR="005F6BC7" w14:paraId="57EC0E44" w14:textId="77777777" w:rsidTr="006A0A17">
        <w:trPr>
          <w:trHeight w:val="285"/>
        </w:trPr>
        <w:tc>
          <w:tcPr>
            <w:tcW w:w="351" w:type="dxa"/>
          </w:tcPr>
          <w:p w14:paraId="7070D6DC" w14:textId="77777777" w:rsidR="00B54574" w:rsidRPr="00FA143C" w:rsidRDefault="00D27A81" w:rsidP="001C6169">
            <w:pPr>
              <w:pStyle w:val="naisnod"/>
              <w:spacing w:before="0" w:after="0"/>
              <w:ind w:left="57" w:right="57"/>
              <w:jc w:val="left"/>
              <w:rPr>
                <w:b w:val="0"/>
              </w:rPr>
            </w:pPr>
            <w:r w:rsidRPr="00FA143C">
              <w:rPr>
                <w:b w:val="0"/>
              </w:rPr>
              <w:t>3.</w:t>
            </w:r>
          </w:p>
        </w:tc>
        <w:tc>
          <w:tcPr>
            <w:tcW w:w="1570" w:type="dxa"/>
          </w:tcPr>
          <w:p w14:paraId="33EFA14C" w14:textId="77777777" w:rsidR="00B54574" w:rsidRPr="00FA143C" w:rsidRDefault="00D27A81" w:rsidP="001C6169">
            <w:pPr>
              <w:pStyle w:val="naisf"/>
              <w:spacing w:before="0" w:after="0"/>
              <w:ind w:left="57" w:right="57" w:firstLine="0"/>
              <w:jc w:val="left"/>
            </w:pPr>
            <w:r w:rsidRPr="00FA143C">
              <w:t>Sabiedrības līdzdalības rezultāti</w:t>
            </w:r>
          </w:p>
        </w:tc>
        <w:tc>
          <w:tcPr>
            <w:tcW w:w="7544" w:type="dxa"/>
          </w:tcPr>
          <w:p w14:paraId="0B0B9F54" w14:textId="77777777" w:rsidR="00B54574" w:rsidRPr="00FA143C" w:rsidRDefault="00D27A81" w:rsidP="001C6169">
            <w:pPr>
              <w:pStyle w:val="naisnod"/>
              <w:spacing w:before="0" w:after="0"/>
              <w:ind w:left="57" w:right="57"/>
              <w:jc w:val="left"/>
              <w:rPr>
                <w:b w:val="0"/>
                <w:iCs/>
              </w:rPr>
            </w:pPr>
            <w:r>
              <w:rPr>
                <w:b w:val="0"/>
              </w:rPr>
              <w:t>Iebildumi un priekšlikumi nav saņemti.</w:t>
            </w:r>
          </w:p>
        </w:tc>
      </w:tr>
      <w:tr w:rsidR="005F6BC7" w14:paraId="40B36957" w14:textId="77777777" w:rsidTr="006A0A17">
        <w:trPr>
          <w:trHeight w:val="285"/>
        </w:trPr>
        <w:tc>
          <w:tcPr>
            <w:tcW w:w="351" w:type="dxa"/>
          </w:tcPr>
          <w:p w14:paraId="15EC1BC0" w14:textId="77777777" w:rsidR="00B54574" w:rsidRPr="00B800EA" w:rsidRDefault="00D27A81" w:rsidP="001C6169">
            <w:pPr>
              <w:pStyle w:val="naisnod"/>
              <w:spacing w:before="0" w:after="0"/>
              <w:ind w:left="57" w:right="57"/>
              <w:jc w:val="left"/>
              <w:rPr>
                <w:b w:val="0"/>
              </w:rPr>
            </w:pPr>
            <w:r>
              <w:rPr>
                <w:b w:val="0"/>
              </w:rPr>
              <w:t>4</w:t>
            </w:r>
            <w:r w:rsidRPr="00B800EA">
              <w:rPr>
                <w:b w:val="0"/>
              </w:rPr>
              <w:t>.</w:t>
            </w:r>
          </w:p>
        </w:tc>
        <w:tc>
          <w:tcPr>
            <w:tcW w:w="1570" w:type="dxa"/>
          </w:tcPr>
          <w:p w14:paraId="1DF14E72" w14:textId="77777777" w:rsidR="00B54574" w:rsidRPr="00B800EA" w:rsidRDefault="00D27A81" w:rsidP="001C6169">
            <w:pPr>
              <w:pStyle w:val="naisf"/>
              <w:spacing w:before="0" w:after="0"/>
              <w:ind w:left="57" w:right="57" w:firstLine="0"/>
              <w:jc w:val="left"/>
            </w:pPr>
            <w:r w:rsidRPr="00B800EA">
              <w:t>Cita informācija</w:t>
            </w:r>
          </w:p>
        </w:tc>
        <w:tc>
          <w:tcPr>
            <w:tcW w:w="7544" w:type="dxa"/>
          </w:tcPr>
          <w:p w14:paraId="4D5B4002" w14:textId="38710B2F" w:rsidR="00B54574" w:rsidRPr="00B800EA" w:rsidRDefault="00D27A81" w:rsidP="001C6169">
            <w:pPr>
              <w:pStyle w:val="naisnod"/>
              <w:spacing w:before="0" w:after="0"/>
              <w:ind w:left="57" w:right="57"/>
              <w:jc w:val="left"/>
              <w:rPr>
                <w:b w:val="0"/>
              </w:rPr>
            </w:pPr>
            <w:r w:rsidRPr="00B800EA">
              <w:rPr>
                <w:b w:val="0"/>
                <w:iCs/>
              </w:rPr>
              <w:t>Nav</w:t>
            </w:r>
          </w:p>
        </w:tc>
      </w:tr>
    </w:tbl>
    <w:p w14:paraId="3DDCF590" w14:textId="77777777" w:rsidR="00B54574" w:rsidRPr="00B800EA" w:rsidRDefault="00B54574" w:rsidP="00B54574">
      <w:pPr>
        <w:rPr>
          <w:vanish/>
        </w:rPr>
      </w:pPr>
    </w:p>
    <w:p w14:paraId="60C56FAD" w14:textId="77777777" w:rsidR="00B54574" w:rsidRPr="00B800EA" w:rsidRDefault="00B54574" w:rsidP="00B54574">
      <w:pPr>
        <w:rPr>
          <w:vanish/>
        </w:rPr>
      </w:pPr>
    </w:p>
    <w:p w14:paraId="115A1BF0" w14:textId="77777777" w:rsidR="00B54574" w:rsidRPr="00B800EA" w:rsidRDefault="00B54574" w:rsidP="00B54574">
      <w:pPr>
        <w:pStyle w:val="naisf"/>
        <w:spacing w:before="0" w:after="0"/>
        <w:ind w:firstLine="0"/>
        <w:rPr>
          <w:b/>
        </w:rPr>
      </w:pPr>
    </w:p>
    <w:tbl>
      <w:tblPr>
        <w:tblW w:w="94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3595"/>
        <w:gridCol w:w="5496"/>
      </w:tblGrid>
      <w:tr w:rsidR="005F6BC7" w14:paraId="011A10C9" w14:textId="77777777" w:rsidTr="006A0A17">
        <w:tc>
          <w:tcPr>
            <w:tcW w:w="9465" w:type="dxa"/>
            <w:gridSpan w:val="3"/>
            <w:tcBorders>
              <w:top w:val="single" w:sz="4" w:space="0" w:color="auto"/>
            </w:tcBorders>
          </w:tcPr>
          <w:p w14:paraId="48EE82BB" w14:textId="77777777" w:rsidR="00B54574" w:rsidRPr="00B800EA" w:rsidRDefault="00D27A81" w:rsidP="001C6169">
            <w:pPr>
              <w:pStyle w:val="naisnod"/>
              <w:spacing w:before="0" w:after="0"/>
              <w:ind w:left="57" w:right="57"/>
            </w:pPr>
            <w:r w:rsidRPr="00B800EA">
              <w:t>VII. Tiesību akta projekta izpildes nodrošināšana un tās ietekme uz institūcijām</w:t>
            </w:r>
          </w:p>
        </w:tc>
      </w:tr>
      <w:tr w:rsidR="005F6BC7" w14:paraId="1914DB48" w14:textId="77777777" w:rsidTr="006A0A17">
        <w:trPr>
          <w:trHeight w:val="427"/>
        </w:trPr>
        <w:tc>
          <w:tcPr>
            <w:tcW w:w="374" w:type="dxa"/>
          </w:tcPr>
          <w:p w14:paraId="6002A21E" w14:textId="77777777" w:rsidR="00B54574" w:rsidRPr="00B800EA" w:rsidRDefault="00D27A81" w:rsidP="001C6169">
            <w:pPr>
              <w:pStyle w:val="naisnod"/>
              <w:spacing w:before="0" w:after="0"/>
              <w:ind w:left="57" w:right="57"/>
              <w:jc w:val="left"/>
              <w:rPr>
                <w:b w:val="0"/>
              </w:rPr>
            </w:pPr>
            <w:r w:rsidRPr="00B800EA">
              <w:rPr>
                <w:b w:val="0"/>
              </w:rPr>
              <w:t>1.</w:t>
            </w:r>
          </w:p>
        </w:tc>
        <w:tc>
          <w:tcPr>
            <w:tcW w:w="3595" w:type="dxa"/>
          </w:tcPr>
          <w:p w14:paraId="60125474" w14:textId="77777777" w:rsidR="00B54574" w:rsidRPr="00B800EA" w:rsidRDefault="00D27A81" w:rsidP="001C6169">
            <w:pPr>
              <w:pStyle w:val="naisf"/>
              <w:spacing w:before="0" w:after="0"/>
              <w:ind w:left="57" w:right="57" w:firstLine="0"/>
              <w:jc w:val="left"/>
            </w:pPr>
            <w:r w:rsidRPr="00B800EA">
              <w:t xml:space="preserve">Projekta izpildē iesaistītās institūcijas </w:t>
            </w:r>
          </w:p>
        </w:tc>
        <w:tc>
          <w:tcPr>
            <w:tcW w:w="5496" w:type="dxa"/>
          </w:tcPr>
          <w:p w14:paraId="3A3EDF9A" w14:textId="63C6D53A" w:rsidR="00B54574" w:rsidRPr="00B800EA" w:rsidRDefault="00D27A81" w:rsidP="00D47D0A">
            <w:pPr>
              <w:pStyle w:val="naisnod"/>
              <w:spacing w:before="0" w:after="0"/>
              <w:ind w:left="57" w:right="57"/>
              <w:jc w:val="both"/>
              <w:rPr>
                <w:b w:val="0"/>
              </w:rPr>
            </w:pPr>
            <w:r>
              <w:rPr>
                <w:b w:val="0"/>
              </w:rPr>
              <w:t>VID</w:t>
            </w:r>
            <w:r w:rsidRPr="00B800EA">
              <w:rPr>
                <w:b w:val="0"/>
              </w:rPr>
              <w:t xml:space="preserve"> </w:t>
            </w:r>
          </w:p>
        </w:tc>
      </w:tr>
      <w:tr w:rsidR="005F6BC7" w14:paraId="22BEE219" w14:textId="77777777" w:rsidTr="006A0A17">
        <w:trPr>
          <w:trHeight w:val="463"/>
        </w:trPr>
        <w:tc>
          <w:tcPr>
            <w:tcW w:w="374" w:type="dxa"/>
          </w:tcPr>
          <w:p w14:paraId="502D25CF" w14:textId="77777777" w:rsidR="00B54574" w:rsidRPr="00B800EA" w:rsidRDefault="00D27A81" w:rsidP="001C6169">
            <w:pPr>
              <w:pStyle w:val="naisnod"/>
              <w:spacing w:before="0" w:after="0"/>
              <w:ind w:left="57" w:right="57"/>
              <w:jc w:val="left"/>
              <w:rPr>
                <w:b w:val="0"/>
              </w:rPr>
            </w:pPr>
            <w:r w:rsidRPr="00B800EA">
              <w:rPr>
                <w:b w:val="0"/>
              </w:rPr>
              <w:t>2.</w:t>
            </w:r>
          </w:p>
        </w:tc>
        <w:tc>
          <w:tcPr>
            <w:tcW w:w="3595" w:type="dxa"/>
          </w:tcPr>
          <w:p w14:paraId="6F104911" w14:textId="77777777" w:rsidR="00B54574" w:rsidRPr="00B800EA" w:rsidRDefault="00D27A81" w:rsidP="001C6169">
            <w:pPr>
              <w:pStyle w:val="naisf"/>
              <w:spacing w:before="0" w:after="0"/>
              <w:ind w:left="57" w:right="57" w:firstLine="0"/>
              <w:jc w:val="left"/>
            </w:pPr>
            <w:r w:rsidRPr="00B800EA">
              <w:t>Projekta izpildes ietekme uz pārvaldes funkcijām un institucionālo struktūru.</w:t>
            </w:r>
          </w:p>
          <w:p w14:paraId="5ED00D55" w14:textId="77777777" w:rsidR="00B54574" w:rsidRPr="00B800EA" w:rsidRDefault="00D27A81" w:rsidP="001C6169">
            <w:pPr>
              <w:pStyle w:val="naisf"/>
              <w:spacing w:before="0" w:after="0"/>
              <w:ind w:left="57" w:right="57" w:firstLine="0"/>
              <w:jc w:val="left"/>
            </w:pPr>
            <w:r w:rsidRPr="00B800EA">
              <w:lastRenderedPageBreak/>
              <w:t>Jaunu institūciju izveide, esošu institūciju likvidācija vai reorganizācija, to ietekme uz institūcijas cilvēkresursiem</w:t>
            </w:r>
            <w:r>
              <w:t>.</w:t>
            </w:r>
          </w:p>
        </w:tc>
        <w:tc>
          <w:tcPr>
            <w:tcW w:w="5496" w:type="dxa"/>
          </w:tcPr>
          <w:p w14:paraId="6E9C4EF7" w14:textId="5DEEF307" w:rsidR="00B54574" w:rsidRPr="00B800EA" w:rsidRDefault="00D27A81" w:rsidP="001C6169">
            <w:pPr>
              <w:pStyle w:val="naisnod"/>
              <w:spacing w:before="0" w:after="0"/>
              <w:ind w:left="57" w:right="57"/>
              <w:jc w:val="both"/>
              <w:rPr>
                <w:b w:val="0"/>
                <w:bCs w:val="0"/>
              </w:rPr>
            </w:pPr>
            <w:r w:rsidRPr="00B800EA">
              <w:rPr>
                <w:b w:val="0"/>
                <w:bCs w:val="0"/>
              </w:rPr>
              <w:lastRenderedPageBreak/>
              <w:t xml:space="preserve">Noteikumu projekts neietekmēs </w:t>
            </w:r>
            <w:r w:rsidR="00617580">
              <w:rPr>
                <w:b w:val="0"/>
                <w:bCs w:val="0"/>
              </w:rPr>
              <w:t>VID</w:t>
            </w:r>
            <w:r w:rsidRPr="00B800EA">
              <w:rPr>
                <w:b w:val="0"/>
                <w:bCs w:val="0"/>
              </w:rPr>
              <w:t xml:space="preserve"> funkcijas un uzdevumus.</w:t>
            </w:r>
          </w:p>
          <w:p w14:paraId="7D8E58CE" w14:textId="32EE2F08" w:rsidR="00B54574" w:rsidRPr="00B800EA" w:rsidRDefault="00D27A81" w:rsidP="001C6169">
            <w:pPr>
              <w:pStyle w:val="naisnod"/>
              <w:spacing w:before="0" w:after="0"/>
              <w:ind w:right="57"/>
              <w:jc w:val="both"/>
              <w:rPr>
                <w:b w:val="0"/>
              </w:rPr>
            </w:pPr>
            <w:r w:rsidRPr="00B800EA">
              <w:rPr>
                <w:b w:val="0"/>
              </w:rPr>
              <w:lastRenderedPageBreak/>
              <w:t>Nav nepieciešama jaunu institūciju izveide, esošu institūciju likvidācija vai reorganizācija</w:t>
            </w:r>
            <w:r>
              <w:rPr>
                <w:b w:val="0"/>
              </w:rPr>
              <w:t>, kā arī noteikumu projekts ne</w:t>
            </w:r>
            <w:r w:rsidRPr="00181400">
              <w:rPr>
                <w:b w:val="0"/>
              </w:rPr>
              <w:t>ietekm</w:t>
            </w:r>
            <w:r>
              <w:rPr>
                <w:b w:val="0"/>
              </w:rPr>
              <w:t>ēs</w:t>
            </w:r>
            <w:r w:rsidRPr="00181400">
              <w:rPr>
                <w:b w:val="0"/>
              </w:rPr>
              <w:t xml:space="preserve"> </w:t>
            </w:r>
            <w:r w:rsidR="00617580">
              <w:rPr>
                <w:b w:val="0"/>
              </w:rPr>
              <w:t>VID</w:t>
            </w:r>
            <w:r>
              <w:rPr>
                <w:b w:val="0"/>
              </w:rPr>
              <w:t xml:space="preserve"> </w:t>
            </w:r>
            <w:r w:rsidRPr="00181400">
              <w:rPr>
                <w:b w:val="0"/>
              </w:rPr>
              <w:t>cilvēkresurs</w:t>
            </w:r>
            <w:r>
              <w:rPr>
                <w:b w:val="0"/>
              </w:rPr>
              <w:t>us</w:t>
            </w:r>
            <w:r w:rsidRPr="00181400">
              <w:rPr>
                <w:b w:val="0"/>
              </w:rPr>
              <w:t>.</w:t>
            </w:r>
          </w:p>
          <w:p w14:paraId="58F1D96F" w14:textId="77777777" w:rsidR="00B54574" w:rsidRPr="00B800EA" w:rsidRDefault="00B54574" w:rsidP="001C6169">
            <w:pPr>
              <w:pStyle w:val="naisnod"/>
              <w:spacing w:before="0" w:after="0"/>
              <w:ind w:right="57"/>
              <w:jc w:val="both"/>
              <w:rPr>
                <w:b w:val="0"/>
              </w:rPr>
            </w:pPr>
          </w:p>
          <w:p w14:paraId="512F683E" w14:textId="77777777" w:rsidR="00B54574" w:rsidRPr="00B800EA" w:rsidRDefault="00B54574" w:rsidP="001C6169">
            <w:pPr>
              <w:pStyle w:val="naisnod"/>
              <w:spacing w:before="0" w:after="0"/>
              <w:ind w:right="57"/>
              <w:jc w:val="both"/>
              <w:rPr>
                <w:b w:val="0"/>
              </w:rPr>
            </w:pPr>
          </w:p>
        </w:tc>
      </w:tr>
      <w:tr w:rsidR="005F6BC7" w14:paraId="35597012" w14:textId="77777777" w:rsidTr="006A0A17">
        <w:trPr>
          <w:trHeight w:val="285"/>
        </w:trPr>
        <w:tc>
          <w:tcPr>
            <w:tcW w:w="374" w:type="dxa"/>
          </w:tcPr>
          <w:p w14:paraId="0FF4AF2E" w14:textId="77777777" w:rsidR="00B54574" w:rsidRPr="00B800EA" w:rsidRDefault="00D27A81" w:rsidP="001C6169">
            <w:pPr>
              <w:pStyle w:val="naisnod"/>
              <w:spacing w:before="0" w:after="0"/>
              <w:ind w:left="57" w:right="57"/>
              <w:jc w:val="left"/>
              <w:rPr>
                <w:b w:val="0"/>
              </w:rPr>
            </w:pPr>
            <w:r w:rsidRPr="00B800EA">
              <w:rPr>
                <w:b w:val="0"/>
              </w:rPr>
              <w:lastRenderedPageBreak/>
              <w:t>3.</w:t>
            </w:r>
          </w:p>
        </w:tc>
        <w:tc>
          <w:tcPr>
            <w:tcW w:w="3595" w:type="dxa"/>
          </w:tcPr>
          <w:p w14:paraId="38F11FE0" w14:textId="77777777" w:rsidR="00B54574" w:rsidRPr="00B800EA" w:rsidRDefault="00D27A81" w:rsidP="001C6169">
            <w:pPr>
              <w:pStyle w:val="naisf"/>
              <w:spacing w:before="0" w:after="0"/>
              <w:ind w:left="57" w:right="57" w:firstLine="0"/>
              <w:jc w:val="left"/>
            </w:pPr>
            <w:r w:rsidRPr="00B800EA">
              <w:t>Cita informācija</w:t>
            </w:r>
          </w:p>
        </w:tc>
        <w:tc>
          <w:tcPr>
            <w:tcW w:w="5496" w:type="dxa"/>
          </w:tcPr>
          <w:p w14:paraId="156095A4" w14:textId="768F176D" w:rsidR="00B54574" w:rsidRPr="00B800EA" w:rsidRDefault="00D27A81" w:rsidP="001C6169">
            <w:pPr>
              <w:pStyle w:val="naisnod"/>
              <w:spacing w:before="0" w:after="0"/>
              <w:ind w:left="57" w:right="57"/>
              <w:jc w:val="left"/>
              <w:rPr>
                <w:b w:val="0"/>
              </w:rPr>
            </w:pPr>
            <w:r w:rsidRPr="00B800EA">
              <w:rPr>
                <w:b w:val="0"/>
                <w:iCs/>
              </w:rPr>
              <w:t>Nav</w:t>
            </w:r>
          </w:p>
        </w:tc>
      </w:tr>
    </w:tbl>
    <w:p w14:paraId="68011162" w14:textId="77777777" w:rsidR="00485342" w:rsidRDefault="00485342" w:rsidP="00B54574">
      <w:pPr>
        <w:tabs>
          <w:tab w:val="left" w:pos="6840"/>
        </w:tabs>
        <w:ind w:firstLine="720"/>
        <w:rPr>
          <w:sz w:val="28"/>
          <w:szCs w:val="28"/>
        </w:rPr>
      </w:pPr>
    </w:p>
    <w:p w14:paraId="2CDD72F5" w14:textId="77777777" w:rsidR="00485342" w:rsidRDefault="00485342" w:rsidP="00B54574">
      <w:pPr>
        <w:tabs>
          <w:tab w:val="left" w:pos="6840"/>
        </w:tabs>
        <w:ind w:firstLine="720"/>
        <w:rPr>
          <w:sz w:val="28"/>
          <w:szCs w:val="28"/>
        </w:rPr>
      </w:pPr>
    </w:p>
    <w:p w14:paraId="4529E89C" w14:textId="18222552" w:rsidR="00B54574" w:rsidRDefault="00D27A81" w:rsidP="008B51E7">
      <w:pPr>
        <w:tabs>
          <w:tab w:val="left" w:pos="6840"/>
        </w:tabs>
        <w:rPr>
          <w:sz w:val="28"/>
          <w:szCs w:val="28"/>
        </w:rPr>
      </w:pPr>
      <w:r w:rsidRPr="00B800EA">
        <w:rPr>
          <w:sz w:val="28"/>
          <w:szCs w:val="28"/>
        </w:rPr>
        <w:t>Finanšu ministr</w:t>
      </w:r>
      <w:r>
        <w:rPr>
          <w:sz w:val="28"/>
          <w:szCs w:val="28"/>
        </w:rPr>
        <w:t>e</w:t>
      </w:r>
      <w:r w:rsidRPr="00B800EA">
        <w:rPr>
          <w:sz w:val="28"/>
          <w:szCs w:val="28"/>
        </w:rPr>
        <w:tab/>
      </w:r>
      <w:proofErr w:type="spellStart"/>
      <w:r>
        <w:rPr>
          <w:sz w:val="28"/>
          <w:szCs w:val="28"/>
        </w:rPr>
        <w:t>D.Reizniece</w:t>
      </w:r>
      <w:proofErr w:type="spellEnd"/>
      <w:r>
        <w:rPr>
          <w:sz w:val="28"/>
          <w:szCs w:val="28"/>
        </w:rPr>
        <w:t>-Ozola</w:t>
      </w:r>
    </w:p>
    <w:p w14:paraId="6B5E4D51" w14:textId="77777777" w:rsidR="006A0A17" w:rsidRDefault="006A0A17" w:rsidP="006A0A17">
      <w:pPr>
        <w:tabs>
          <w:tab w:val="left" w:pos="6840"/>
        </w:tabs>
      </w:pPr>
    </w:p>
    <w:p w14:paraId="09F8054C" w14:textId="77777777" w:rsidR="006A0A17" w:rsidRDefault="006A0A17" w:rsidP="006A0A17">
      <w:pPr>
        <w:tabs>
          <w:tab w:val="left" w:pos="6840"/>
        </w:tabs>
      </w:pPr>
    </w:p>
    <w:p w14:paraId="5873153A" w14:textId="788BADFB" w:rsidR="008C5B8C" w:rsidRDefault="00D27A81" w:rsidP="006A0A17">
      <w:pPr>
        <w:tabs>
          <w:tab w:val="left" w:pos="6840"/>
        </w:tabs>
        <w:rPr>
          <w:sz w:val="20"/>
          <w:szCs w:val="20"/>
        </w:rPr>
      </w:pPr>
      <w:r>
        <w:rPr>
          <w:sz w:val="20"/>
          <w:szCs w:val="20"/>
        </w:rPr>
        <w:t>Grosbergs 67120928</w:t>
      </w:r>
    </w:p>
    <w:p w14:paraId="2005C7ED" w14:textId="571F0F07" w:rsidR="008C5B8C" w:rsidRDefault="00D27A81" w:rsidP="006A0A17">
      <w:pPr>
        <w:tabs>
          <w:tab w:val="left" w:pos="6840"/>
        </w:tabs>
        <w:rPr>
          <w:sz w:val="20"/>
          <w:szCs w:val="20"/>
        </w:rPr>
      </w:pPr>
      <w:r>
        <w:rPr>
          <w:sz w:val="20"/>
          <w:szCs w:val="20"/>
        </w:rPr>
        <w:t>Agris.Grosbergs@vid.gov.lv</w:t>
      </w:r>
    </w:p>
    <w:p w14:paraId="70FE6ADA" w14:textId="642E1F49" w:rsidR="006A0A17" w:rsidRPr="004269ED" w:rsidRDefault="00D27A81" w:rsidP="006A0A17">
      <w:pPr>
        <w:tabs>
          <w:tab w:val="left" w:pos="6840"/>
        </w:tabs>
        <w:rPr>
          <w:sz w:val="20"/>
          <w:szCs w:val="20"/>
        </w:rPr>
      </w:pPr>
      <w:r w:rsidRPr="004269ED">
        <w:rPr>
          <w:sz w:val="20"/>
          <w:szCs w:val="20"/>
        </w:rPr>
        <w:t>Deičmane 67120590</w:t>
      </w:r>
    </w:p>
    <w:p w14:paraId="28F45D8E" w14:textId="4DEE3371" w:rsidR="00B54574" w:rsidRDefault="00D27A81" w:rsidP="004269ED">
      <w:pPr>
        <w:tabs>
          <w:tab w:val="left" w:pos="6840"/>
        </w:tabs>
        <w:rPr>
          <w:sz w:val="20"/>
          <w:szCs w:val="20"/>
        </w:rPr>
      </w:pPr>
      <w:r w:rsidRPr="004269ED">
        <w:rPr>
          <w:sz w:val="20"/>
          <w:szCs w:val="20"/>
        </w:rPr>
        <w:t>Danute.Deicmane@vid.gov.lv</w:t>
      </w:r>
    </w:p>
    <w:p w14:paraId="41B5DB5D" w14:textId="77777777" w:rsidR="00B54574" w:rsidRDefault="00B54574" w:rsidP="00B54574">
      <w:pPr>
        <w:jc w:val="both"/>
        <w:rPr>
          <w:sz w:val="20"/>
          <w:szCs w:val="20"/>
        </w:rPr>
      </w:pPr>
    </w:p>
    <w:p w14:paraId="7F017384" w14:textId="77777777" w:rsidR="00B54574" w:rsidRDefault="00B54574" w:rsidP="00B54574">
      <w:pPr>
        <w:jc w:val="both"/>
        <w:rPr>
          <w:sz w:val="20"/>
          <w:szCs w:val="20"/>
        </w:rPr>
      </w:pPr>
    </w:p>
    <w:p w14:paraId="6ED7FC4F" w14:textId="142FB47D" w:rsidR="00E44472" w:rsidRPr="00396AAA" w:rsidRDefault="00E44472"/>
    <w:sectPr w:rsidR="00E44472" w:rsidRPr="00396AAA" w:rsidSect="00D32CF2">
      <w:headerReference w:type="default" r:id="rId8"/>
      <w:footerReference w:type="default" r:id="rId9"/>
      <w:footerReference w:type="first" r:id="rId10"/>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4DF3D" w14:textId="77777777" w:rsidR="00B9493B" w:rsidRDefault="00B9493B">
      <w:r>
        <w:separator/>
      </w:r>
    </w:p>
  </w:endnote>
  <w:endnote w:type="continuationSeparator" w:id="0">
    <w:p w14:paraId="26F4A50D" w14:textId="77777777" w:rsidR="00B9493B" w:rsidRDefault="00B9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05EC1" w14:textId="029DABA3" w:rsidR="00EE53E2" w:rsidRPr="008B51E7" w:rsidRDefault="00872188">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0E3058">
      <w:rPr>
        <w:noProof/>
        <w:sz w:val="20"/>
        <w:szCs w:val="20"/>
      </w:rPr>
      <w:t>FMAnot_300518_VID_formas</w:t>
    </w:r>
    <w:r>
      <w:rPr>
        <w:sz w:val="20"/>
        <w:szCs w:val="20"/>
      </w:rPr>
      <w:fldChar w:fldCharType="end"/>
    </w:r>
    <w:r w:rsidR="00046F3C" w:rsidDel="00046F3C">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34858" w14:textId="04C1973A" w:rsidR="00D27A81" w:rsidRPr="00D32CF2" w:rsidRDefault="00872188">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0E3058">
      <w:rPr>
        <w:noProof/>
        <w:sz w:val="20"/>
        <w:szCs w:val="20"/>
      </w:rPr>
      <w:t>FMAnot_300518_VID_formas</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A5D34" w14:textId="77777777" w:rsidR="00B9493B" w:rsidRDefault="00B9493B">
      <w:r>
        <w:separator/>
      </w:r>
    </w:p>
  </w:footnote>
  <w:footnote w:type="continuationSeparator" w:id="0">
    <w:p w14:paraId="7EE4EADB" w14:textId="77777777" w:rsidR="00B9493B" w:rsidRDefault="00B94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387015"/>
      <w:docPartObj>
        <w:docPartGallery w:val="Page Numbers (Top of Page)"/>
        <w:docPartUnique/>
      </w:docPartObj>
    </w:sdtPr>
    <w:sdtEndPr>
      <w:rPr>
        <w:noProof/>
      </w:rPr>
    </w:sdtEndPr>
    <w:sdtContent>
      <w:p w14:paraId="3F521076" w14:textId="3812297E" w:rsidR="00D32CF2" w:rsidRDefault="00D32CF2">
        <w:pPr>
          <w:pStyle w:val="Header"/>
          <w:jc w:val="center"/>
        </w:pPr>
        <w:r>
          <w:fldChar w:fldCharType="begin"/>
        </w:r>
        <w:r>
          <w:instrText xml:space="preserve"> PAGE   \* MERGEFORMAT </w:instrText>
        </w:r>
        <w:r>
          <w:fldChar w:fldCharType="separate"/>
        </w:r>
        <w:r w:rsidR="000E3058">
          <w:rPr>
            <w:noProof/>
          </w:rPr>
          <w:t>7</w:t>
        </w:r>
        <w:r>
          <w:rPr>
            <w:noProof/>
          </w:rPr>
          <w:fldChar w:fldCharType="end"/>
        </w:r>
      </w:p>
    </w:sdtContent>
  </w:sdt>
  <w:p w14:paraId="6CAFB1BC" w14:textId="77777777" w:rsidR="00D27A81" w:rsidRDefault="00D27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A1861"/>
    <w:multiLevelType w:val="hybridMultilevel"/>
    <w:tmpl w:val="81D4070C"/>
    <w:lvl w:ilvl="0" w:tplc="FB360844">
      <w:start w:val="1"/>
      <w:numFmt w:val="decimal"/>
      <w:lvlText w:val="%1)"/>
      <w:lvlJc w:val="left"/>
      <w:pPr>
        <w:ind w:left="580" w:hanging="360"/>
      </w:pPr>
      <w:rPr>
        <w:rFonts w:hint="default"/>
      </w:rPr>
    </w:lvl>
    <w:lvl w:ilvl="1" w:tplc="04260019" w:tentative="1">
      <w:start w:val="1"/>
      <w:numFmt w:val="lowerLetter"/>
      <w:lvlText w:val="%2."/>
      <w:lvlJc w:val="left"/>
      <w:pPr>
        <w:ind w:left="1300" w:hanging="360"/>
      </w:pPr>
    </w:lvl>
    <w:lvl w:ilvl="2" w:tplc="0426001B" w:tentative="1">
      <w:start w:val="1"/>
      <w:numFmt w:val="lowerRoman"/>
      <w:lvlText w:val="%3."/>
      <w:lvlJc w:val="right"/>
      <w:pPr>
        <w:ind w:left="2020" w:hanging="180"/>
      </w:pPr>
    </w:lvl>
    <w:lvl w:ilvl="3" w:tplc="0426000F" w:tentative="1">
      <w:start w:val="1"/>
      <w:numFmt w:val="decimal"/>
      <w:lvlText w:val="%4."/>
      <w:lvlJc w:val="left"/>
      <w:pPr>
        <w:ind w:left="2740" w:hanging="360"/>
      </w:pPr>
    </w:lvl>
    <w:lvl w:ilvl="4" w:tplc="04260019" w:tentative="1">
      <w:start w:val="1"/>
      <w:numFmt w:val="lowerLetter"/>
      <w:lvlText w:val="%5."/>
      <w:lvlJc w:val="left"/>
      <w:pPr>
        <w:ind w:left="3460" w:hanging="360"/>
      </w:pPr>
    </w:lvl>
    <w:lvl w:ilvl="5" w:tplc="0426001B" w:tentative="1">
      <w:start w:val="1"/>
      <w:numFmt w:val="lowerRoman"/>
      <w:lvlText w:val="%6."/>
      <w:lvlJc w:val="right"/>
      <w:pPr>
        <w:ind w:left="4180" w:hanging="180"/>
      </w:pPr>
    </w:lvl>
    <w:lvl w:ilvl="6" w:tplc="0426000F" w:tentative="1">
      <w:start w:val="1"/>
      <w:numFmt w:val="decimal"/>
      <w:lvlText w:val="%7."/>
      <w:lvlJc w:val="left"/>
      <w:pPr>
        <w:ind w:left="4900" w:hanging="360"/>
      </w:pPr>
    </w:lvl>
    <w:lvl w:ilvl="7" w:tplc="04260019" w:tentative="1">
      <w:start w:val="1"/>
      <w:numFmt w:val="lowerLetter"/>
      <w:lvlText w:val="%8."/>
      <w:lvlJc w:val="left"/>
      <w:pPr>
        <w:ind w:left="5620" w:hanging="360"/>
      </w:pPr>
    </w:lvl>
    <w:lvl w:ilvl="8" w:tplc="0426001B" w:tentative="1">
      <w:start w:val="1"/>
      <w:numFmt w:val="lowerRoman"/>
      <w:lvlText w:val="%9."/>
      <w:lvlJc w:val="right"/>
      <w:pPr>
        <w:ind w:left="6340" w:hanging="180"/>
      </w:pPr>
    </w:lvl>
  </w:abstractNum>
  <w:abstractNum w:abstractNumId="1" w15:restartNumberingAfterBreak="0">
    <w:nsid w:val="537A2D51"/>
    <w:multiLevelType w:val="hybridMultilevel"/>
    <w:tmpl w:val="EC900FC4"/>
    <w:lvl w:ilvl="0" w:tplc="04F80EFC">
      <w:start w:val="1"/>
      <w:numFmt w:val="decimal"/>
      <w:lvlText w:val="%1)"/>
      <w:lvlJc w:val="left"/>
      <w:pPr>
        <w:ind w:left="644" w:hanging="360"/>
      </w:pPr>
      <w:rPr>
        <w:rFonts w:hint="default"/>
      </w:rPr>
    </w:lvl>
    <w:lvl w:ilvl="1" w:tplc="196A5624" w:tentative="1">
      <w:start w:val="1"/>
      <w:numFmt w:val="lowerLetter"/>
      <w:lvlText w:val="%2."/>
      <w:lvlJc w:val="left"/>
      <w:pPr>
        <w:ind w:left="1364" w:hanging="360"/>
      </w:pPr>
    </w:lvl>
    <w:lvl w:ilvl="2" w:tplc="33128DC2" w:tentative="1">
      <w:start w:val="1"/>
      <w:numFmt w:val="lowerRoman"/>
      <w:lvlText w:val="%3."/>
      <w:lvlJc w:val="right"/>
      <w:pPr>
        <w:ind w:left="2084" w:hanging="180"/>
      </w:pPr>
    </w:lvl>
    <w:lvl w:ilvl="3" w:tplc="CB52C486" w:tentative="1">
      <w:start w:val="1"/>
      <w:numFmt w:val="decimal"/>
      <w:lvlText w:val="%4."/>
      <w:lvlJc w:val="left"/>
      <w:pPr>
        <w:ind w:left="2804" w:hanging="360"/>
      </w:pPr>
    </w:lvl>
    <w:lvl w:ilvl="4" w:tplc="D03E542A" w:tentative="1">
      <w:start w:val="1"/>
      <w:numFmt w:val="lowerLetter"/>
      <w:lvlText w:val="%5."/>
      <w:lvlJc w:val="left"/>
      <w:pPr>
        <w:ind w:left="3524" w:hanging="360"/>
      </w:pPr>
    </w:lvl>
    <w:lvl w:ilvl="5" w:tplc="534024C4" w:tentative="1">
      <w:start w:val="1"/>
      <w:numFmt w:val="lowerRoman"/>
      <w:lvlText w:val="%6."/>
      <w:lvlJc w:val="right"/>
      <w:pPr>
        <w:ind w:left="4244" w:hanging="180"/>
      </w:pPr>
    </w:lvl>
    <w:lvl w:ilvl="6" w:tplc="F4202720" w:tentative="1">
      <w:start w:val="1"/>
      <w:numFmt w:val="decimal"/>
      <w:lvlText w:val="%7."/>
      <w:lvlJc w:val="left"/>
      <w:pPr>
        <w:ind w:left="4964" w:hanging="360"/>
      </w:pPr>
    </w:lvl>
    <w:lvl w:ilvl="7" w:tplc="3D962BF0" w:tentative="1">
      <w:start w:val="1"/>
      <w:numFmt w:val="lowerLetter"/>
      <w:lvlText w:val="%8."/>
      <w:lvlJc w:val="left"/>
      <w:pPr>
        <w:ind w:left="5684" w:hanging="360"/>
      </w:pPr>
    </w:lvl>
    <w:lvl w:ilvl="8" w:tplc="1DCEBDA6" w:tentative="1">
      <w:start w:val="1"/>
      <w:numFmt w:val="lowerRoman"/>
      <w:lvlText w:val="%9."/>
      <w:lvlJc w:val="right"/>
      <w:pPr>
        <w:ind w:left="6404" w:hanging="180"/>
      </w:pPr>
    </w:lvl>
  </w:abstractNum>
  <w:abstractNum w:abstractNumId="2" w15:restartNumberingAfterBreak="0">
    <w:nsid w:val="73025D6C"/>
    <w:multiLevelType w:val="hybridMultilevel"/>
    <w:tmpl w:val="3F0AE9CA"/>
    <w:lvl w:ilvl="0" w:tplc="65389918">
      <w:start w:val="1"/>
      <w:numFmt w:val="decimal"/>
      <w:lvlText w:val="%1)"/>
      <w:lvlJc w:val="left"/>
      <w:pPr>
        <w:ind w:left="759" w:hanging="360"/>
      </w:pPr>
      <w:rPr>
        <w:rFonts w:hint="default"/>
      </w:rPr>
    </w:lvl>
    <w:lvl w:ilvl="1" w:tplc="A7D4091E" w:tentative="1">
      <w:start w:val="1"/>
      <w:numFmt w:val="lowerLetter"/>
      <w:lvlText w:val="%2."/>
      <w:lvlJc w:val="left"/>
      <w:pPr>
        <w:ind w:left="1479" w:hanging="360"/>
      </w:pPr>
    </w:lvl>
    <w:lvl w:ilvl="2" w:tplc="27C4DEA6" w:tentative="1">
      <w:start w:val="1"/>
      <w:numFmt w:val="lowerRoman"/>
      <w:lvlText w:val="%3."/>
      <w:lvlJc w:val="right"/>
      <w:pPr>
        <w:ind w:left="2199" w:hanging="180"/>
      </w:pPr>
    </w:lvl>
    <w:lvl w:ilvl="3" w:tplc="4676A89C" w:tentative="1">
      <w:start w:val="1"/>
      <w:numFmt w:val="decimal"/>
      <w:lvlText w:val="%4."/>
      <w:lvlJc w:val="left"/>
      <w:pPr>
        <w:ind w:left="2919" w:hanging="360"/>
      </w:pPr>
    </w:lvl>
    <w:lvl w:ilvl="4" w:tplc="F4F282CA" w:tentative="1">
      <w:start w:val="1"/>
      <w:numFmt w:val="lowerLetter"/>
      <w:lvlText w:val="%5."/>
      <w:lvlJc w:val="left"/>
      <w:pPr>
        <w:ind w:left="3639" w:hanging="360"/>
      </w:pPr>
    </w:lvl>
    <w:lvl w:ilvl="5" w:tplc="14CE875E" w:tentative="1">
      <w:start w:val="1"/>
      <w:numFmt w:val="lowerRoman"/>
      <w:lvlText w:val="%6."/>
      <w:lvlJc w:val="right"/>
      <w:pPr>
        <w:ind w:left="4359" w:hanging="180"/>
      </w:pPr>
    </w:lvl>
    <w:lvl w:ilvl="6" w:tplc="A01602B0" w:tentative="1">
      <w:start w:val="1"/>
      <w:numFmt w:val="decimal"/>
      <w:lvlText w:val="%7."/>
      <w:lvlJc w:val="left"/>
      <w:pPr>
        <w:ind w:left="5079" w:hanging="360"/>
      </w:pPr>
    </w:lvl>
    <w:lvl w:ilvl="7" w:tplc="9BA47ECA" w:tentative="1">
      <w:start w:val="1"/>
      <w:numFmt w:val="lowerLetter"/>
      <w:lvlText w:val="%8."/>
      <w:lvlJc w:val="left"/>
      <w:pPr>
        <w:ind w:left="5799" w:hanging="360"/>
      </w:pPr>
    </w:lvl>
    <w:lvl w:ilvl="8" w:tplc="70365B84" w:tentative="1">
      <w:start w:val="1"/>
      <w:numFmt w:val="lowerRoman"/>
      <w:lvlText w:val="%9."/>
      <w:lvlJc w:val="right"/>
      <w:pPr>
        <w:ind w:left="651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114A9"/>
    <w:rsid w:val="0001483F"/>
    <w:rsid w:val="00046F3C"/>
    <w:rsid w:val="00057B29"/>
    <w:rsid w:val="0007515F"/>
    <w:rsid w:val="000776E3"/>
    <w:rsid w:val="000967C3"/>
    <w:rsid w:val="000E1539"/>
    <w:rsid w:val="000E3058"/>
    <w:rsid w:val="000E431C"/>
    <w:rsid w:val="00130990"/>
    <w:rsid w:val="001475B6"/>
    <w:rsid w:val="0017782D"/>
    <w:rsid w:val="00181400"/>
    <w:rsid w:val="00182BF5"/>
    <w:rsid w:val="001C6169"/>
    <w:rsid w:val="001D2607"/>
    <w:rsid w:val="001D2E97"/>
    <w:rsid w:val="001D7730"/>
    <w:rsid w:val="001E19C0"/>
    <w:rsid w:val="00224826"/>
    <w:rsid w:val="00226D1F"/>
    <w:rsid w:val="00242AB0"/>
    <w:rsid w:val="002456E1"/>
    <w:rsid w:val="0026350B"/>
    <w:rsid w:val="002C701F"/>
    <w:rsid w:val="002F7F0C"/>
    <w:rsid w:val="003013F9"/>
    <w:rsid w:val="00306C7D"/>
    <w:rsid w:val="00331992"/>
    <w:rsid w:val="00350C64"/>
    <w:rsid w:val="00351067"/>
    <w:rsid w:val="00396AAA"/>
    <w:rsid w:val="003B290D"/>
    <w:rsid w:val="003B6343"/>
    <w:rsid w:val="00405092"/>
    <w:rsid w:val="0041205E"/>
    <w:rsid w:val="004269ED"/>
    <w:rsid w:val="0043114B"/>
    <w:rsid w:val="00433E66"/>
    <w:rsid w:val="0043448E"/>
    <w:rsid w:val="00434F1D"/>
    <w:rsid w:val="00460984"/>
    <w:rsid w:val="00475A8A"/>
    <w:rsid w:val="00485342"/>
    <w:rsid w:val="004C6360"/>
    <w:rsid w:val="004D6CA8"/>
    <w:rsid w:val="00506F39"/>
    <w:rsid w:val="00516514"/>
    <w:rsid w:val="0053362A"/>
    <w:rsid w:val="00570BE2"/>
    <w:rsid w:val="005865E8"/>
    <w:rsid w:val="005A7798"/>
    <w:rsid w:val="005B7CB7"/>
    <w:rsid w:val="005C378E"/>
    <w:rsid w:val="005E4FDA"/>
    <w:rsid w:val="005F6BC7"/>
    <w:rsid w:val="00617580"/>
    <w:rsid w:val="00625650"/>
    <w:rsid w:val="00632626"/>
    <w:rsid w:val="00636E33"/>
    <w:rsid w:val="006463AB"/>
    <w:rsid w:val="00673BEA"/>
    <w:rsid w:val="006A0A17"/>
    <w:rsid w:val="006E28FB"/>
    <w:rsid w:val="006E393E"/>
    <w:rsid w:val="006F794B"/>
    <w:rsid w:val="00710252"/>
    <w:rsid w:val="0071613F"/>
    <w:rsid w:val="00734E91"/>
    <w:rsid w:val="00745751"/>
    <w:rsid w:val="00757CE2"/>
    <w:rsid w:val="007B4F92"/>
    <w:rsid w:val="007C2E7E"/>
    <w:rsid w:val="007C5775"/>
    <w:rsid w:val="007C78BF"/>
    <w:rsid w:val="007C7D3D"/>
    <w:rsid w:val="00806187"/>
    <w:rsid w:val="008416FD"/>
    <w:rsid w:val="00843C36"/>
    <w:rsid w:val="008641F5"/>
    <w:rsid w:val="00872188"/>
    <w:rsid w:val="008B51E7"/>
    <w:rsid w:val="008C35FF"/>
    <w:rsid w:val="008C5B8C"/>
    <w:rsid w:val="008D49FC"/>
    <w:rsid w:val="008E5438"/>
    <w:rsid w:val="008E5937"/>
    <w:rsid w:val="008F5E41"/>
    <w:rsid w:val="00917978"/>
    <w:rsid w:val="00927336"/>
    <w:rsid w:val="009543F1"/>
    <w:rsid w:val="00955A66"/>
    <w:rsid w:val="00974814"/>
    <w:rsid w:val="00A14040"/>
    <w:rsid w:val="00A36BE8"/>
    <w:rsid w:val="00AC511A"/>
    <w:rsid w:val="00AC6DBD"/>
    <w:rsid w:val="00AD19EB"/>
    <w:rsid w:val="00AD2226"/>
    <w:rsid w:val="00AD5658"/>
    <w:rsid w:val="00B3336C"/>
    <w:rsid w:val="00B54574"/>
    <w:rsid w:val="00B76957"/>
    <w:rsid w:val="00B800EA"/>
    <w:rsid w:val="00B94112"/>
    <w:rsid w:val="00B9493B"/>
    <w:rsid w:val="00BA2789"/>
    <w:rsid w:val="00BD5588"/>
    <w:rsid w:val="00BE19F6"/>
    <w:rsid w:val="00BE401E"/>
    <w:rsid w:val="00BE6C90"/>
    <w:rsid w:val="00C13D90"/>
    <w:rsid w:val="00C3135F"/>
    <w:rsid w:val="00C47D0B"/>
    <w:rsid w:val="00C64693"/>
    <w:rsid w:val="00C81B5D"/>
    <w:rsid w:val="00C95EDA"/>
    <w:rsid w:val="00C9650A"/>
    <w:rsid w:val="00CD2A8D"/>
    <w:rsid w:val="00D101C1"/>
    <w:rsid w:val="00D2196E"/>
    <w:rsid w:val="00D25919"/>
    <w:rsid w:val="00D27A81"/>
    <w:rsid w:val="00D32CF2"/>
    <w:rsid w:val="00D46EF4"/>
    <w:rsid w:val="00D47D0A"/>
    <w:rsid w:val="00D60DF0"/>
    <w:rsid w:val="00D7205D"/>
    <w:rsid w:val="00D7673E"/>
    <w:rsid w:val="00DA00B0"/>
    <w:rsid w:val="00DA02DF"/>
    <w:rsid w:val="00DA4199"/>
    <w:rsid w:val="00DA6324"/>
    <w:rsid w:val="00DB212E"/>
    <w:rsid w:val="00DE383D"/>
    <w:rsid w:val="00E047F9"/>
    <w:rsid w:val="00E44472"/>
    <w:rsid w:val="00E621E8"/>
    <w:rsid w:val="00E71511"/>
    <w:rsid w:val="00E92AE9"/>
    <w:rsid w:val="00EC4F6F"/>
    <w:rsid w:val="00EC7A04"/>
    <w:rsid w:val="00ED572D"/>
    <w:rsid w:val="00ED69D3"/>
    <w:rsid w:val="00EE0550"/>
    <w:rsid w:val="00EE53E2"/>
    <w:rsid w:val="00EE65EC"/>
    <w:rsid w:val="00EF1241"/>
    <w:rsid w:val="00EF3373"/>
    <w:rsid w:val="00F14B99"/>
    <w:rsid w:val="00F1611E"/>
    <w:rsid w:val="00F235FE"/>
    <w:rsid w:val="00F33F4A"/>
    <w:rsid w:val="00F36115"/>
    <w:rsid w:val="00F50CE7"/>
    <w:rsid w:val="00F7574B"/>
    <w:rsid w:val="00F81153"/>
    <w:rsid w:val="00F90C13"/>
    <w:rsid w:val="00FA143C"/>
    <w:rsid w:val="00FB652B"/>
    <w:rsid w:val="00FD5AF5"/>
    <w:rsid w:val="00FF0A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FE3E0"/>
  <w15:docId w15:val="{B8637202-A85B-4DB0-A215-6F9A0FE6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E7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semiHidden/>
    <w:rsid w:val="00F90C13"/>
    <w:rPr>
      <w:sz w:val="16"/>
      <w:szCs w:val="16"/>
    </w:rPr>
  </w:style>
  <w:style w:type="paragraph" w:styleId="CommentText">
    <w:name w:val="annotation text"/>
    <w:basedOn w:val="Normal"/>
    <w:link w:val="CommentTextChar"/>
    <w:semiHidden/>
    <w:rsid w:val="00F90C13"/>
    <w:rPr>
      <w:sz w:val="20"/>
      <w:szCs w:val="20"/>
    </w:rPr>
  </w:style>
  <w:style w:type="character" w:customStyle="1" w:styleId="CommentTextChar">
    <w:name w:val="Comment Text Char"/>
    <w:basedOn w:val="DefaultParagraphFont"/>
    <w:link w:val="CommentText"/>
    <w:semiHidden/>
    <w:rsid w:val="00F90C13"/>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710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252"/>
    <w:rPr>
      <w:rFonts w:ascii="Segoe UI" w:eastAsia="Times New Roman" w:hAnsi="Segoe UI" w:cs="Segoe UI"/>
      <w:sz w:val="18"/>
      <w:szCs w:val="18"/>
      <w:lang w:eastAsia="lv-LV"/>
    </w:rPr>
  </w:style>
  <w:style w:type="paragraph" w:customStyle="1" w:styleId="naisf">
    <w:name w:val="naisf"/>
    <w:basedOn w:val="Normal"/>
    <w:rsid w:val="00B54574"/>
    <w:pPr>
      <w:spacing w:before="75" w:after="75"/>
      <w:ind w:firstLine="375"/>
      <w:jc w:val="both"/>
    </w:pPr>
  </w:style>
  <w:style w:type="paragraph" w:customStyle="1" w:styleId="naisnod">
    <w:name w:val="naisnod"/>
    <w:basedOn w:val="Normal"/>
    <w:rsid w:val="00B54574"/>
    <w:pPr>
      <w:spacing w:before="150" w:after="150"/>
      <w:jc w:val="center"/>
    </w:pPr>
    <w:rPr>
      <w:b/>
      <w:bCs/>
    </w:rPr>
  </w:style>
  <w:style w:type="paragraph" w:customStyle="1" w:styleId="naiskr">
    <w:name w:val="naiskr"/>
    <w:basedOn w:val="Normal"/>
    <w:rsid w:val="00B54574"/>
    <w:pPr>
      <w:spacing w:before="75" w:after="75"/>
    </w:pPr>
  </w:style>
  <w:style w:type="paragraph" w:styleId="FootnoteText">
    <w:name w:val="footnote text"/>
    <w:basedOn w:val="Normal"/>
    <w:link w:val="FootnoteTextChar"/>
    <w:semiHidden/>
    <w:rsid w:val="00B54574"/>
    <w:rPr>
      <w:sz w:val="20"/>
      <w:szCs w:val="20"/>
    </w:rPr>
  </w:style>
  <w:style w:type="character" w:customStyle="1" w:styleId="FootnoteTextChar">
    <w:name w:val="Footnote Text Char"/>
    <w:basedOn w:val="DefaultParagraphFont"/>
    <w:link w:val="FootnoteText"/>
    <w:semiHidden/>
    <w:rsid w:val="00B54574"/>
    <w:rPr>
      <w:rFonts w:ascii="Times New Roman" w:eastAsia="Times New Roman" w:hAnsi="Times New Roman" w:cs="Times New Roman"/>
      <w:sz w:val="20"/>
      <w:szCs w:val="20"/>
      <w:lang w:eastAsia="lv-LV"/>
    </w:rPr>
  </w:style>
  <w:style w:type="paragraph" w:styleId="NormalWeb">
    <w:name w:val="Normal (Web)"/>
    <w:basedOn w:val="Normal"/>
    <w:uiPriority w:val="99"/>
    <w:unhideWhenUsed/>
    <w:rsid w:val="00B54574"/>
    <w:pPr>
      <w:spacing w:before="100" w:beforeAutospacing="1" w:after="100" w:afterAutospacing="1"/>
    </w:pPr>
  </w:style>
  <w:style w:type="paragraph" w:styleId="ListParagraph">
    <w:name w:val="List Paragraph"/>
    <w:basedOn w:val="Normal"/>
    <w:uiPriority w:val="34"/>
    <w:qFormat/>
    <w:rsid w:val="00AC6DBD"/>
    <w:pPr>
      <w:ind w:left="720"/>
      <w:contextualSpacing/>
    </w:pPr>
  </w:style>
  <w:style w:type="paragraph" w:styleId="Header">
    <w:name w:val="header"/>
    <w:basedOn w:val="Normal"/>
    <w:link w:val="HeaderChar"/>
    <w:uiPriority w:val="99"/>
    <w:unhideWhenUsed/>
    <w:rsid w:val="00EE53E2"/>
    <w:pPr>
      <w:tabs>
        <w:tab w:val="center" w:pos="4153"/>
        <w:tab w:val="right" w:pos="8306"/>
      </w:tabs>
    </w:pPr>
  </w:style>
  <w:style w:type="character" w:customStyle="1" w:styleId="HeaderChar">
    <w:name w:val="Header Char"/>
    <w:basedOn w:val="DefaultParagraphFont"/>
    <w:link w:val="Header"/>
    <w:uiPriority w:val="99"/>
    <w:rsid w:val="00EE53E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E53E2"/>
    <w:pPr>
      <w:tabs>
        <w:tab w:val="center" w:pos="4153"/>
        <w:tab w:val="right" w:pos="8306"/>
      </w:tabs>
    </w:pPr>
  </w:style>
  <w:style w:type="character" w:customStyle="1" w:styleId="FooterChar">
    <w:name w:val="Footer Char"/>
    <w:basedOn w:val="DefaultParagraphFont"/>
    <w:link w:val="Footer"/>
    <w:uiPriority w:val="99"/>
    <w:rsid w:val="00EE53E2"/>
    <w:rPr>
      <w:rFonts w:ascii="Times New Roman" w:eastAsia="Times New Roman" w:hAnsi="Times New Roman" w:cs="Times New Roman"/>
      <w:sz w:val="24"/>
      <w:szCs w:val="24"/>
      <w:lang w:eastAsia="lv-LV"/>
    </w:rPr>
  </w:style>
  <w:style w:type="paragraph" w:styleId="Revision">
    <w:name w:val="Revision"/>
    <w:hidden/>
    <w:uiPriority w:val="99"/>
    <w:semiHidden/>
    <w:rsid w:val="00D32CF2"/>
    <w:pPr>
      <w:spacing w:after="0"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570BE2"/>
    <w:rPr>
      <w:b/>
      <w:bCs/>
    </w:rPr>
  </w:style>
  <w:style w:type="character" w:customStyle="1" w:styleId="CommentSubjectChar">
    <w:name w:val="Comment Subject Char"/>
    <w:basedOn w:val="CommentTextChar"/>
    <w:link w:val="CommentSubject"/>
    <w:uiPriority w:val="99"/>
    <w:semiHidden/>
    <w:rsid w:val="00570BE2"/>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593A3-3760-4DD6-8AAC-508D8410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8914</Words>
  <Characters>5081</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Ministru kabineta noteikumu projekta "Noteikumi par Valsts ieņēmumu dienesta ierēdņu formas tērpiem, dienesta pakāpju atšķirības zīmēm un žetoniem" sākotnējās ietekmes novērtējuma ziņojums (anotācija)</vt:lpstr>
    </vt:vector>
  </TitlesOfParts>
  <Manager>Danute.Deicmane@vid.gov.lv</Manager>
  <Company>Valsts ieņēmumu dienests</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ieņēmumu dienesta ierēdņu formas tērpiem, dienesta pakāpju atšķirības zīmēm un žetoniem" sākotnējās ietekmes novērtējuma ziņojums (anotācija)</dc:title>
  <dc:subject>Minitru kabineta noteikumu projekta anotācija</dc:subject>
  <dc:creator>Danute Deičmane</dc:creator>
  <cp:keywords/>
  <dc:description/>
  <cp:lastModifiedBy>Danute Deičmane</cp:lastModifiedBy>
  <cp:revision>13</cp:revision>
  <cp:lastPrinted>2018-06-22T11:20:00Z</cp:lastPrinted>
  <dcterms:created xsi:type="dcterms:W3CDTF">2018-05-30T12:14:00Z</dcterms:created>
  <dcterms:modified xsi:type="dcterms:W3CDTF">2018-06-22T11:29:00Z</dcterms:modified>
</cp:coreProperties>
</file>