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FB" w:rsidRPr="002378FB" w:rsidRDefault="00E32ECB" w:rsidP="002378FB">
      <w:pPr>
        <w:pStyle w:val="ListParagraph"/>
        <w:ind w:left="5387"/>
        <w:rPr>
          <w:rFonts w:eastAsia="Times New Roman" w:cs="Times New Roman"/>
          <w:szCs w:val="28"/>
          <w:lang w:eastAsia="lv-LV"/>
        </w:rPr>
      </w:pPr>
      <w:bookmarkStart w:id="0" w:name="_GoBack"/>
      <w:bookmarkEnd w:id="0"/>
      <w:r>
        <w:rPr>
          <w:rFonts w:eastAsia="Times New Roman" w:cs="Times New Roman"/>
          <w:szCs w:val="28"/>
          <w:lang w:eastAsia="lv-LV"/>
        </w:rPr>
        <w:t>1.</w:t>
      </w:r>
      <w:r w:rsidR="002378FB" w:rsidRPr="002378FB">
        <w:rPr>
          <w:rFonts w:eastAsia="Times New Roman" w:cs="Times New Roman"/>
          <w:szCs w:val="28"/>
          <w:lang w:eastAsia="lv-LV"/>
        </w:rPr>
        <w:t>pielikums</w:t>
      </w:r>
    </w:p>
    <w:p w:rsidR="002378FB" w:rsidRPr="002378FB" w:rsidRDefault="002378FB" w:rsidP="002378FB">
      <w:pPr>
        <w:pStyle w:val="ListParagraph"/>
        <w:ind w:left="5387"/>
        <w:rPr>
          <w:rFonts w:eastAsia="Times New Roman" w:cs="Times New Roman"/>
          <w:szCs w:val="28"/>
          <w:lang w:eastAsia="lv-LV"/>
        </w:rPr>
      </w:pPr>
      <w:r w:rsidRPr="002378FB">
        <w:rPr>
          <w:rFonts w:eastAsia="Times New Roman" w:cs="Times New Roman"/>
          <w:szCs w:val="28"/>
          <w:lang w:eastAsia="lv-LV"/>
        </w:rPr>
        <w:t>Ministru kabineta</w:t>
      </w:r>
    </w:p>
    <w:p w:rsidR="00E32ECB" w:rsidRPr="00FF66D5" w:rsidRDefault="002378FB" w:rsidP="002378FB">
      <w:pPr>
        <w:pStyle w:val="ListParagraph"/>
        <w:ind w:left="5387"/>
        <w:rPr>
          <w:rFonts w:eastAsia="Times New Roman" w:cs="Times New Roman"/>
          <w:szCs w:val="28"/>
          <w:lang w:eastAsia="lv-LV"/>
        </w:rPr>
      </w:pPr>
      <w:r w:rsidRPr="002378FB">
        <w:rPr>
          <w:rFonts w:eastAsia="Times New Roman" w:cs="Times New Roman"/>
          <w:szCs w:val="28"/>
          <w:lang w:eastAsia="lv-LV"/>
        </w:rPr>
        <w:t xml:space="preserve">2018.gada </w:t>
      </w:r>
      <w:r>
        <w:rPr>
          <w:rFonts w:eastAsia="Times New Roman" w:cs="Times New Roman"/>
          <w:szCs w:val="28"/>
          <w:lang w:eastAsia="lv-LV"/>
        </w:rPr>
        <w:t>n</w:t>
      </w:r>
      <w:r w:rsidRPr="002378FB">
        <w:rPr>
          <w:rFonts w:eastAsia="Times New Roman" w:cs="Times New Roman"/>
          <w:szCs w:val="28"/>
          <w:lang w:eastAsia="lv-LV"/>
        </w:rPr>
        <w:t>oteikumiem Nr.</w:t>
      </w:r>
    </w:p>
    <w:p w:rsidR="00E32ECB" w:rsidRPr="00290718" w:rsidRDefault="00E32ECB" w:rsidP="00E32ECB">
      <w:pPr>
        <w:ind w:left="4536" w:hanging="3827"/>
        <w:jc w:val="center"/>
        <w:rPr>
          <w:rFonts w:eastAsia="Times New Roman" w:cs="Times New Roman"/>
          <w:szCs w:val="28"/>
          <w:lang w:eastAsia="lv-LV"/>
        </w:rPr>
      </w:pPr>
      <w:r w:rsidRPr="00290718">
        <w:rPr>
          <w:rFonts w:eastAsia="Times New Roman" w:cs="Times New Roman"/>
          <w:szCs w:val="28"/>
          <w:lang w:eastAsia="lv-LV"/>
        </w:rPr>
        <w:t>Padziļinātās sadarbības programmas dalībnieku grupēšanas kritēriji</w:t>
      </w:r>
    </w:p>
    <w:tbl>
      <w:tblPr>
        <w:tblW w:w="9340" w:type="dxa"/>
        <w:tblLayout w:type="fixed"/>
        <w:tblLook w:val="04A0" w:firstRow="1" w:lastRow="0" w:firstColumn="1" w:lastColumn="0" w:noHBand="0" w:noVBand="1"/>
      </w:tblPr>
      <w:tblGrid>
        <w:gridCol w:w="2689"/>
        <w:gridCol w:w="2693"/>
        <w:gridCol w:w="1247"/>
        <w:gridCol w:w="1446"/>
        <w:gridCol w:w="1265"/>
      </w:tblGrid>
      <w:tr w:rsidR="00E32ECB" w:rsidTr="00094958">
        <w:trPr>
          <w:trHeight w:val="450"/>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ECB" w:rsidRPr="004739C4" w:rsidRDefault="00E32ECB" w:rsidP="00094958">
            <w:pPr>
              <w:spacing w:after="0" w:line="240" w:lineRule="auto"/>
              <w:jc w:val="center"/>
              <w:rPr>
                <w:rFonts w:eastAsia="Times New Roman" w:cs="Times New Roman"/>
                <w:b/>
                <w:bCs/>
                <w:color w:val="000000"/>
                <w:sz w:val="24"/>
                <w:szCs w:val="24"/>
                <w:lang w:eastAsia="lv-LV"/>
              </w:rPr>
            </w:pPr>
            <w:r w:rsidRPr="004739C4">
              <w:rPr>
                <w:rFonts w:eastAsia="Times New Roman" w:cs="Times New Roman"/>
                <w:b/>
                <w:bCs/>
                <w:color w:val="000000"/>
                <w:sz w:val="24"/>
                <w:szCs w:val="24"/>
                <w:lang w:eastAsia="lv-LV"/>
              </w:rPr>
              <w:t>Līmeņa atlases kritēriji</w:t>
            </w:r>
          </w:p>
        </w:tc>
        <w:tc>
          <w:tcPr>
            <w:tcW w:w="3958" w:type="dxa"/>
            <w:gridSpan w:val="3"/>
            <w:tcBorders>
              <w:top w:val="single" w:sz="4" w:space="0" w:color="auto"/>
              <w:left w:val="nil"/>
              <w:bottom w:val="single" w:sz="4" w:space="0" w:color="auto"/>
              <w:right w:val="single" w:sz="4" w:space="0" w:color="000000"/>
            </w:tcBorders>
            <w:shd w:val="clear" w:color="000000" w:fill="FFFFFF"/>
            <w:vAlign w:val="center"/>
            <w:hideMark/>
          </w:tcPr>
          <w:p w:rsidR="00E32ECB" w:rsidRPr="004739C4" w:rsidRDefault="00E32ECB" w:rsidP="00094958">
            <w:pPr>
              <w:spacing w:after="0" w:line="240" w:lineRule="auto"/>
              <w:jc w:val="center"/>
              <w:rPr>
                <w:rFonts w:eastAsia="Times New Roman" w:cs="Times New Roman"/>
                <w:b/>
                <w:bCs/>
                <w:color w:val="000000"/>
                <w:sz w:val="24"/>
                <w:szCs w:val="24"/>
                <w:lang w:eastAsia="lv-LV"/>
              </w:rPr>
            </w:pPr>
            <w:r w:rsidRPr="004739C4">
              <w:rPr>
                <w:rFonts w:eastAsia="Times New Roman" w:cs="Times New Roman"/>
                <w:b/>
                <w:bCs/>
                <w:color w:val="000000"/>
                <w:sz w:val="24"/>
                <w:szCs w:val="24"/>
                <w:lang w:eastAsia="lv-LV"/>
              </w:rPr>
              <w:t>Līmeņi</w:t>
            </w:r>
          </w:p>
        </w:tc>
      </w:tr>
      <w:tr w:rsidR="00E32ECB" w:rsidTr="00094958">
        <w:trPr>
          <w:trHeight w:val="5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b/>
                <w:bCs/>
                <w:sz w:val="24"/>
                <w:szCs w:val="24"/>
                <w:lang w:eastAsia="lv-LV"/>
              </w:rPr>
            </w:pPr>
            <w:r w:rsidRPr="00FF66D5">
              <w:rPr>
                <w:rFonts w:eastAsia="Times New Roman" w:cs="Times New Roman"/>
                <w:b/>
                <w:bCs/>
                <w:sz w:val="24"/>
                <w:szCs w:val="24"/>
                <w:lang w:eastAsia="lv-LV"/>
              </w:rPr>
              <w:t>prasības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b/>
                <w:bCs/>
                <w:sz w:val="24"/>
                <w:szCs w:val="24"/>
                <w:lang w:eastAsia="lv-LV"/>
              </w:rPr>
            </w:pPr>
            <w:r w:rsidRPr="00FF66D5">
              <w:rPr>
                <w:rFonts w:eastAsia="Times New Roman" w:cs="Times New Roman"/>
                <w:b/>
                <w:bCs/>
                <w:sz w:val="24"/>
                <w:szCs w:val="24"/>
                <w:lang w:eastAsia="lv-LV"/>
              </w:rPr>
              <w:t>vērtēšanas kritērijs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b/>
                <w:bCs/>
                <w:sz w:val="24"/>
                <w:szCs w:val="24"/>
                <w:lang w:eastAsia="lv-LV"/>
              </w:rPr>
            </w:pPr>
            <w:r w:rsidRPr="00FF66D5">
              <w:rPr>
                <w:rFonts w:eastAsia="Times New Roman" w:cs="Times New Roman"/>
                <w:b/>
                <w:bCs/>
                <w:sz w:val="24"/>
                <w:szCs w:val="24"/>
                <w:lang w:eastAsia="lv-LV"/>
              </w:rPr>
              <w:t>1.līmenis (1 gads)</w:t>
            </w:r>
            <w:r w:rsidRPr="00FF66D5">
              <w:rPr>
                <w:rFonts w:eastAsia="Times New Roman" w:cs="Times New Roman"/>
                <w:b/>
                <w:bCs/>
                <w:sz w:val="24"/>
                <w:szCs w:val="24"/>
                <w:lang w:eastAsia="lv-LV"/>
              </w:rPr>
              <w:br/>
              <w:t>BRONZA</w:t>
            </w:r>
          </w:p>
        </w:tc>
        <w:tc>
          <w:tcPr>
            <w:tcW w:w="1446" w:type="dxa"/>
            <w:tcBorders>
              <w:top w:val="nil"/>
              <w:left w:val="nil"/>
              <w:bottom w:val="single" w:sz="4" w:space="0" w:color="auto"/>
              <w:right w:val="single" w:sz="4" w:space="0" w:color="auto"/>
            </w:tcBorders>
            <w:shd w:val="clear" w:color="000000" w:fill="FFFFFF"/>
            <w:vAlign w:val="center"/>
            <w:hideMark/>
          </w:tcPr>
          <w:p w:rsidR="00E32ECB" w:rsidRDefault="00E32ECB" w:rsidP="00094958">
            <w:pPr>
              <w:spacing w:after="0" w:line="240" w:lineRule="auto"/>
              <w:jc w:val="center"/>
              <w:rPr>
                <w:rFonts w:eastAsia="Times New Roman" w:cs="Times New Roman"/>
                <w:b/>
                <w:bCs/>
                <w:sz w:val="24"/>
                <w:szCs w:val="24"/>
                <w:lang w:eastAsia="lv-LV"/>
              </w:rPr>
            </w:pPr>
            <w:r w:rsidRPr="00FF66D5">
              <w:rPr>
                <w:rFonts w:eastAsia="Times New Roman" w:cs="Times New Roman"/>
                <w:b/>
                <w:bCs/>
                <w:sz w:val="24"/>
                <w:szCs w:val="24"/>
                <w:lang w:eastAsia="lv-LV"/>
              </w:rPr>
              <w:t xml:space="preserve">2.līmenis </w:t>
            </w:r>
          </w:p>
          <w:p w:rsidR="00E32ECB" w:rsidRPr="00FF66D5" w:rsidRDefault="00E32ECB" w:rsidP="00094958">
            <w:pPr>
              <w:spacing w:after="0" w:line="240" w:lineRule="auto"/>
              <w:jc w:val="center"/>
              <w:rPr>
                <w:rFonts w:eastAsia="Times New Roman" w:cs="Times New Roman"/>
                <w:b/>
                <w:bCs/>
                <w:sz w:val="24"/>
                <w:szCs w:val="24"/>
                <w:lang w:eastAsia="lv-LV"/>
              </w:rPr>
            </w:pPr>
            <w:r w:rsidRPr="00FF66D5">
              <w:rPr>
                <w:rFonts w:eastAsia="Times New Roman" w:cs="Times New Roman"/>
                <w:b/>
                <w:bCs/>
                <w:sz w:val="24"/>
                <w:szCs w:val="24"/>
                <w:lang w:eastAsia="lv-LV"/>
              </w:rPr>
              <w:t>(2 gadi)</w:t>
            </w:r>
            <w:r w:rsidRPr="00FF66D5">
              <w:rPr>
                <w:rFonts w:eastAsia="Times New Roman" w:cs="Times New Roman"/>
                <w:b/>
                <w:bCs/>
                <w:sz w:val="24"/>
                <w:szCs w:val="24"/>
                <w:lang w:eastAsia="lv-LV"/>
              </w:rPr>
              <w:br/>
              <w:t xml:space="preserve">SUDRABS </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b/>
                <w:bCs/>
                <w:sz w:val="24"/>
                <w:szCs w:val="24"/>
                <w:lang w:eastAsia="lv-LV"/>
              </w:rPr>
            </w:pPr>
            <w:r w:rsidRPr="00FF66D5">
              <w:rPr>
                <w:rFonts w:eastAsia="Times New Roman" w:cs="Times New Roman"/>
                <w:b/>
                <w:bCs/>
                <w:sz w:val="24"/>
                <w:szCs w:val="24"/>
                <w:lang w:eastAsia="lv-LV"/>
              </w:rPr>
              <w:t xml:space="preserve">3.līmenis </w:t>
            </w:r>
            <w:r w:rsidRPr="00FF66D5">
              <w:rPr>
                <w:rFonts w:eastAsia="Times New Roman" w:cs="Times New Roman"/>
                <w:b/>
                <w:bCs/>
                <w:sz w:val="24"/>
                <w:szCs w:val="24"/>
                <w:lang w:eastAsia="lv-LV"/>
              </w:rPr>
              <w:br/>
              <w:t xml:space="preserve"> ZELTS</w:t>
            </w:r>
          </w:p>
        </w:tc>
      </w:tr>
      <w:tr w:rsidR="00E32ECB" w:rsidTr="00094958">
        <w:trPr>
          <w:trHeight w:val="171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FF66D5" w:rsidRDefault="00E32ECB" w:rsidP="00094958">
            <w:pPr>
              <w:spacing w:after="0" w:line="240" w:lineRule="auto"/>
              <w:jc w:val="both"/>
              <w:rPr>
                <w:rFonts w:eastAsia="Times New Roman" w:cs="Times New Roman"/>
                <w:sz w:val="24"/>
                <w:szCs w:val="24"/>
                <w:lang w:eastAsia="lv-LV"/>
              </w:rPr>
            </w:pPr>
            <w:r w:rsidRPr="00FF66D5">
              <w:rPr>
                <w:rFonts w:eastAsia="Times New Roman" w:cs="Times New Roman"/>
                <w:sz w:val="24"/>
                <w:szCs w:val="24"/>
                <w:lang w:eastAsia="lv-LV"/>
              </w:rPr>
              <w:t>Saimniecisko darbību veic ilgāk par:</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Saimnieciskās darbības reģistrācijas datums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trim gadiem</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trim gadiem</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trim gadiem</w:t>
            </w:r>
          </w:p>
        </w:tc>
      </w:tr>
      <w:tr w:rsidR="00E32ECB" w:rsidTr="00094958">
        <w:trPr>
          <w:trHeight w:val="138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FF66D5" w:rsidRDefault="00E32ECB" w:rsidP="0009495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Iepriekšējā gadā</w:t>
            </w:r>
            <w:r w:rsidRPr="00FF66D5">
              <w:rPr>
                <w:rFonts w:eastAsia="Times New Roman" w:cs="Times New Roman"/>
                <w:sz w:val="24"/>
                <w:szCs w:val="24"/>
                <w:lang w:eastAsia="lv-LV"/>
              </w:rPr>
              <w:t xml:space="preserve"> un </w:t>
            </w:r>
            <w:r>
              <w:rPr>
                <w:rFonts w:eastAsia="Times New Roman" w:cs="Times New Roman"/>
                <w:sz w:val="24"/>
                <w:szCs w:val="24"/>
                <w:lang w:eastAsia="lv-LV"/>
              </w:rPr>
              <w:t>izvērtēšanas brīdī</w:t>
            </w:r>
            <w:r w:rsidRPr="00FF66D5">
              <w:rPr>
                <w:rFonts w:eastAsia="Times New Roman" w:cs="Times New Roman"/>
                <w:sz w:val="24"/>
                <w:szCs w:val="24"/>
                <w:lang w:eastAsia="lv-LV"/>
              </w:rPr>
              <w:t xml:space="preserve"> nodokļu pārskatu/deklarāciju iesniegšanas termiņu kavējuma skaits: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Kavēto pārskatu/deklarāciju skaits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nepārsniedz 10 reizes</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 xml:space="preserve">nav kavēti termiņi </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 xml:space="preserve">nav kavēti termiņi </w:t>
            </w:r>
          </w:p>
        </w:tc>
      </w:tr>
      <w:tr w:rsidR="00E32ECB" w:rsidTr="00094958">
        <w:trPr>
          <w:trHeight w:val="105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FF66D5" w:rsidRDefault="00E32ECB" w:rsidP="00094958">
            <w:pPr>
              <w:spacing w:after="0" w:line="240" w:lineRule="auto"/>
              <w:jc w:val="both"/>
              <w:rPr>
                <w:rFonts w:eastAsia="Times New Roman" w:cs="Times New Roman"/>
                <w:sz w:val="24"/>
                <w:szCs w:val="24"/>
                <w:lang w:eastAsia="lv-LV"/>
              </w:rPr>
            </w:pPr>
            <w:r w:rsidRPr="00FF66D5">
              <w:rPr>
                <w:rFonts w:eastAsia="Times New Roman" w:cs="Times New Roman"/>
                <w:sz w:val="24"/>
                <w:szCs w:val="24"/>
                <w:lang w:eastAsia="lv-LV"/>
              </w:rPr>
              <w:t>Nav pieņemts lēmums par saimnieciskās darbības izbeigšanu vai nav pieņemts lēmums par saimnieciskās darbības apturēšanu, nav uzsākts likvidācijas process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Lēmumi par saimnieciskās darbības apturēšanu vai izbeigšanu</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FF66D5" w:rsidRDefault="00E32ECB" w:rsidP="00094958">
            <w:pPr>
              <w:spacing w:after="0" w:line="240" w:lineRule="auto"/>
              <w:jc w:val="center"/>
              <w:rPr>
                <w:rFonts w:eastAsia="Times New Roman" w:cs="Times New Roman"/>
                <w:sz w:val="24"/>
                <w:szCs w:val="24"/>
                <w:lang w:eastAsia="lv-LV"/>
              </w:rPr>
            </w:pPr>
            <w:r w:rsidRPr="00FF66D5">
              <w:rPr>
                <w:rFonts w:eastAsia="Times New Roman" w:cs="Times New Roman"/>
                <w:sz w:val="24"/>
                <w:szCs w:val="24"/>
                <w:lang w:eastAsia="lv-LV"/>
              </w:rPr>
              <w:t>x</w:t>
            </w:r>
          </w:p>
        </w:tc>
      </w:tr>
      <w:tr w:rsidR="00E32ECB" w:rsidRPr="00F1534E" w:rsidTr="00094958">
        <w:trPr>
          <w:trHeight w:val="1395"/>
        </w:trPr>
        <w:tc>
          <w:tcPr>
            <w:tcW w:w="2689" w:type="dxa"/>
            <w:tcBorders>
              <w:top w:val="nil"/>
              <w:left w:val="single" w:sz="4" w:space="0" w:color="auto"/>
              <w:bottom w:val="single" w:sz="4" w:space="0" w:color="auto"/>
              <w:right w:val="single" w:sz="4" w:space="0" w:color="auto"/>
            </w:tcBorders>
            <w:shd w:val="clear" w:color="000000" w:fill="FFFFFF"/>
          </w:tcPr>
          <w:p w:rsidR="00E32ECB" w:rsidRPr="00F1534E" w:rsidRDefault="00E32ECB" w:rsidP="00D26D3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w:t>
            </w:r>
            <w:r w:rsidRPr="001C52E8">
              <w:rPr>
                <w:rFonts w:eastAsia="Times New Roman" w:cs="Times New Roman"/>
                <w:sz w:val="24"/>
                <w:szCs w:val="24"/>
                <w:lang w:eastAsia="lv-LV"/>
              </w:rPr>
              <w:t>epriekšējā gadā un izvērtēšanas brīdī Valsts ieņēmumu dienesta informācijas sistēmā nav veikti ieraksti par to, ka nodokļu maksātāja dalībnieks vai amatpersona ir iekļaut</w:t>
            </w:r>
            <w:r w:rsidR="00D26D3C">
              <w:rPr>
                <w:rFonts w:eastAsia="Times New Roman" w:cs="Times New Roman"/>
                <w:sz w:val="24"/>
                <w:szCs w:val="24"/>
                <w:lang w:eastAsia="lv-LV"/>
              </w:rPr>
              <w:t>a</w:t>
            </w:r>
            <w:r w:rsidRPr="001C52E8">
              <w:rPr>
                <w:rFonts w:eastAsia="Times New Roman" w:cs="Times New Roman"/>
                <w:sz w:val="24"/>
                <w:szCs w:val="24"/>
                <w:lang w:eastAsia="lv-LV"/>
              </w:rPr>
              <w:t xml:space="preserve"> riska personu reģistrā</w:t>
            </w:r>
            <w:r w:rsidR="00D26D3C">
              <w:rPr>
                <w:rFonts w:eastAsia="Times New Roman" w:cs="Times New Roman"/>
                <w:sz w:val="24"/>
                <w:szCs w:val="24"/>
                <w:lang w:eastAsia="lv-LV"/>
              </w:rPr>
              <w:t xml:space="preserve"> </w:t>
            </w:r>
            <w:r w:rsidR="00D26D3C" w:rsidRPr="00D26D3C">
              <w:rPr>
                <w:rFonts w:eastAsia="Times New Roman" w:cs="Times New Roman"/>
                <w:sz w:val="24"/>
                <w:szCs w:val="24"/>
                <w:lang w:eastAsia="lv-LV"/>
              </w:rPr>
              <w:t>likuma “Par nodokļiem un nodevām” izpratnē</w:t>
            </w:r>
          </w:p>
        </w:tc>
        <w:tc>
          <w:tcPr>
            <w:tcW w:w="2693" w:type="dxa"/>
            <w:tcBorders>
              <w:top w:val="nil"/>
              <w:left w:val="nil"/>
              <w:bottom w:val="single" w:sz="4" w:space="0" w:color="auto"/>
              <w:right w:val="single" w:sz="4" w:space="0" w:color="auto"/>
            </w:tcBorders>
            <w:shd w:val="clear" w:color="000000" w:fill="FFFFFF"/>
            <w:vAlign w:val="center"/>
          </w:tcPr>
          <w:p w:rsidR="00E32ECB" w:rsidRPr="00F1534E" w:rsidRDefault="00D26D3C" w:rsidP="00D26D3C">
            <w:pPr>
              <w:spacing w:after="0" w:line="240" w:lineRule="auto"/>
              <w:jc w:val="center"/>
              <w:rPr>
                <w:rFonts w:eastAsia="Times New Roman" w:cs="Times New Roman"/>
                <w:sz w:val="24"/>
                <w:szCs w:val="24"/>
                <w:lang w:eastAsia="lv-LV"/>
              </w:rPr>
            </w:pPr>
            <w:r w:rsidRPr="00D26D3C">
              <w:rPr>
                <w:rFonts w:eastAsia="Times New Roman" w:cs="Times New Roman"/>
                <w:sz w:val="24"/>
                <w:szCs w:val="24"/>
                <w:lang w:eastAsia="lv-LV"/>
              </w:rPr>
              <w:t>Lēmumi par personas iekļaušanu</w:t>
            </w:r>
            <w:r>
              <w:rPr>
                <w:rFonts w:eastAsia="Times New Roman" w:cs="Times New Roman"/>
                <w:sz w:val="24"/>
                <w:szCs w:val="24"/>
                <w:lang w:eastAsia="lv-LV"/>
              </w:rPr>
              <w:t xml:space="preserve"> </w:t>
            </w:r>
            <w:r w:rsidRPr="00D26D3C">
              <w:rPr>
                <w:rFonts w:eastAsia="Times New Roman" w:cs="Times New Roman"/>
                <w:sz w:val="24"/>
                <w:szCs w:val="24"/>
                <w:lang w:eastAsia="lv-LV"/>
              </w:rPr>
              <w:t>riska personu sarakstā</w:t>
            </w:r>
          </w:p>
        </w:tc>
        <w:tc>
          <w:tcPr>
            <w:tcW w:w="1247" w:type="dxa"/>
            <w:tcBorders>
              <w:top w:val="nil"/>
              <w:left w:val="nil"/>
              <w:bottom w:val="single" w:sz="4" w:space="0" w:color="auto"/>
              <w:right w:val="single" w:sz="4" w:space="0" w:color="auto"/>
            </w:tcBorders>
            <w:shd w:val="clear" w:color="000000" w:fill="FFFFFF"/>
            <w:vAlign w:val="center"/>
          </w:tcPr>
          <w:p w:rsidR="00E32ECB" w:rsidRPr="00F1534E" w:rsidRDefault="00E32ECB" w:rsidP="00094958">
            <w:pPr>
              <w:spacing w:after="0" w:line="240" w:lineRule="auto"/>
              <w:jc w:val="center"/>
              <w:rPr>
                <w:rFonts w:eastAsia="Times New Roman" w:cs="Times New Roman"/>
                <w:sz w:val="24"/>
                <w:szCs w:val="24"/>
                <w:lang w:eastAsia="lv-LV"/>
              </w:rPr>
            </w:pPr>
            <w:r w:rsidRPr="00F1534E">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tcPr>
          <w:p w:rsidR="00E32ECB" w:rsidRPr="00F1534E" w:rsidRDefault="00E32ECB" w:rsidP="00094958">
            <w:pPr>
              <w:spacing w:after="0" w:line="240" w:lineRule="auto"/>
              <w:jc w:val="center"/>
              <w:rPr>
                <w:rFonts w:eastAsia="Times New Roman" w:cs="Times New Roman"/>
                <w:sz w:val="24"/>
                <w:szCs w:val="24"/>
                <w:lang w:eastAsia="lv-LV"/>
              </w:rPr>
            </w:pPr>
            <w:r w:rsidRPr="00F1534E">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tcPr>
          <w:p w:rsidR="00E32ECB" w:rsidRPr="00F1534E" w:rsidRDefault="00E32ECB" w:rsidP="00094958">
            <w:pPr>
              <w:spacing w:after="0" w:line="240" w:lineRule="auto"/>
              <w:jc w:val="center"/>
              <w:rPr>
                <w:rFonts w:eastAsia="Times New Roman" w:cs="Times New Roman"/>
                <w:sz w:val="24"/>
                <w:szCs w:val="24"/>
                <w:lang w:eastAsia="lv-LV"/>
              </w:rPr>
            </w:pPr>
            <w:r w:rsidRPr="00F1534E">
              <w:rPr>
                <w:rFonts w:eastAsia="Times New Roman" w:cs="Times New Roman"/>
                <w:sz w:val="24"/>
                <w:szCs w:val="24"/>
                <w:lang w:eastAsia="lv-LV"/>
              </w:rPr>
              <w:t>x</w:t>
            </w:r>
          </w:p>
        </w:tc>
      </w:tr>
      <w:tr w:rsidR="00E32ECB" w:rsidRPr="00F1534E" w:rsidTr="00094958">
        <w:trPr>
          <w:trHeight w:val="139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F1534E" w:rsidRDefault="00E32ECB" w:rsidP="0009495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w:t>
            </w:r>
            <w:r w:rsidRPr="001C52E8">
              <w:rPr>
                <w:rFonts w:eastAsia="Times New Roman" w:cs="Times New Roman"/>
                <w:sz w:val="24"/>
                <w:szCs w:val="24"/>
                <w:lang w:eastAsia="lv-LV"/>
              </w:rPr>
              <w:t>odokļu maksātāja  amatpersonai vērtēšanas gadā un iepriekšējo triju gadu laikā nav bijušas atņemtas tiesības ieņemt noteiktus amatus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F1534E" w:rsidRDefault="00E32ECB" w:rsidP="00094958">
            <w:pPr>
              <w:spacing w:after="0" w:line="240" w:lineRule="auto"/>
              <w:jc w:val="center"/>
              <w:rPr>
                <w:rFonts w:eastAsia="Times New Roman" w:cs="Times New Roman"/>
                <w:sz w:val="24"/>
                <w:szCs w:val="24"/>
                <w:lang w:eastAsia="lv-LV"/>
              </w:rPr>
            </w:pPr>
            <w:r w:rsidRPr="00F1534E">
              <w:rPr>
                <w:rFonts w:eastAsia="Times New Roman" w:cs="Times New Roman"/>
                <w:sz w:val="24"/>
                <w:szCs w:val="24"/>
                <w:lang w:eastAsia="lv-LV"/>
              </w:rPr>
              <w:t>lēmums ‒ valdes loceklim atņemtas tiesības ieņemt amatus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F1534E" w:rsidRDefault="00E32ECB" w:rsidP="00094958">
            <w:pPr>
              <w:spacing w:after="0" w:line="240" w:lineRule="auto"/>
              <w:jc w:val="center"/>
              <w:rPr>
                <w:rFonts w:eastAsia="Times New Roman" w:cs="Times New Roman"/>
                <w:sz w:val="24"/>
                <w:szCs w:val="24"/>
                <w:lang w:eastAsia="lv-LV"/>
              </w:rPr>
            </w:pPr>
            <w:r w:rsidRPr="00F1534E">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F1534E" w:rsidRDefault="00E32ECB" w:rsidP="00094958">
            <w:pPr>
              <w:spacing w:after="0" w:line="240" w:lineRule="auto"/>
              <w:jc w:val="center"/>
              <w:rPr>
                <w:rFonts w:eastAsia="Times New Roman" w:cs="Times New Roman"/>
                <w:sz w:val="24"/>
                <w:szCs w:val="24"/>
                <w:lang w:eastAsia="lv-LV"/>
              </w:rPr>
            </w:pPr>
            <w:r w:rsidRPr="00F1534E">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F1534E" w:rsidRDefault="00E32ECB" w:rsidP="00094958">
            <w:pPr>
              <w:spacing w:after="0" w:line="240" w:lineRule="auto"/>
              <w:jc w:val="center"/>
              <w:rPr>
                <w:rFonts w:eastAsia="Times New Roman" w:cs="Times New Roman"/>
                <w:sz w:val="24"/>
                <w:szCs w:val="24"/>
                <w:lang w:eastAsia="lv-LV"/>
              </w:rPr>
            </w:pPr>
            <w:r w:rsidRPr="00F1534E">
              <w:rPr>
                <w:rFonts w:eastAsia="Times New Roman" w:cs="Times New Roman"/>
                <w:sz w:val="24"/>
                <w:szCs w:val="24"/>
                <w:lang w:eastAsia="lv-LV"/>
              </w:rPr>
              <w:t>x</w:t>
            </w:r>
          </w:p>
        </w:tc>
      </w:tr>
      <w:tr w:rsidR="00E32ECB" w:rsidTr="00094958">
        <w:trPr>
          <w:trHeight w:val="1691"/>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702E32" w:rsidRDefault="00D26D3C" w:rsidP="00094958">
            <w:pPr>
              <w:spacing w:after="0" w:line="240" w:lineRule="auto"/>
              <w:jc w:val="both"/>
              <w:rPr>
                <w:rFonts w:eastAsia="Times New Roman" w:cs="Times New Roman"/>
                <w:sz w:val="24"/>
                <w:szCs w:val="24"/>
                <w:lang w:eastAsia="lv-LV"/>
              </w:rPr>
            </w:pPr>
            <w:r w:rsidRPr="00D26D3C">
              <w:rPr>
                <w:rFonts w:eastAsia="Times New Roman" w:cs="Times New Roman"/>
                <w:sz w:val="24"/>
                <w:szCs w:val="24"/>
                <w:lang w:eastAsia="lv-LV"/>
              </w:rPr>
              <w:lastRenderedPageBreak/>
              <w:t>Nodokļu maksātājs vai tā valdes loceklis nav atzīts par vainīgu Krimināllikuma 177.pantā paredzētā noziedzīgā nodarījuma un Krimināllikuma XIX nodaļā “Noziedzīgi nodarījumi tautsaimniecībā” uzskaitīto noziedzīgo nodarījumu izdarīšanā</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Nodokļa maksātāja, valdes locekļa būtiski pārkāpumi, t.sk. noziedzīgi nodarījumi</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r>
      <w:tr w:rsidR="00E32ECB" w:rsidTr="00094958">
        <w:trPr>
          <w:trHeight w:val="1691"/>
        </w:trPr>
        <w:tc>
          <w:tcPr>
            <w:tcW w:w="2689" w:type="dxa"/>
            <w:tcBorders>
              <w:top w:val="nil"/>
              <w:left w:val="single" w:sz="4" w:space="0" w:color="auto"/>
              <w:bottom w:val="single" w:sz="4" w:space="0" w:color="auto"/>
              <w:right w:val="single" w:sz="4" w:space="0" w:color="auto"/>
            </w:tcBorders>
            <w:shd w:val="clear" w:color="000000" w:fill="FFFFFF"/>
          </w:tcPr>
          <w:p w:rsidR="00E32ECB" w:rsidRDefault="00E32ECB" w:rsidP="0009495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V</w:t>
            </w:r>
            <w:r w:rsidRPr="00F1534E">
              <w:rPr>
                <w:rFonts w:eastAsia="Times New Roman" w:cs="Times New Roman"/>
                <w:sz w:val="24"/>
                <w:szCs w:val="24"/>
                <w:lang w:eastAsia="lv-LV"/>
              </w:rPr>
              <w:t xml:space="preserve">ērtēšanas brīdī un iepriekšējo triju gadu laikā </w:t>
            </w:r>
            <w:r>
              <w:rPr>
                <w:rFonts w:eastAsia="Times New Roman" w:cs="Times New Roman"/>
                <w:sz w:val="24"/>
                <w:szCs w:val="24"/>
                <w:lang w:eastAsia="lv-LV"/>
              </w:rPr>
              <w:t>n</w:t>
            </w:r>
            <w:r w:rsidRPr="007C5126">
              <w:rPr>
                <w:rFonts w:eastAsia="Times New Roman" w:cs="Times New Roman"/>
                <w:sz w:val="24"/>
                <w:szCs w:val="24"/>
                <w:lang w:eastAsia="lv-LV"/>
              </w:rPr>
              <w:t>odokļu maksātājs vai tā valdes loceklis nav izdarījis nopietnus vai atkārtotus tiesību aktu pārkāpumus muitas jomā</w:t>
            </w:r>
          </w:p>
        </w:tc>
        <w:tc>
          <w:tcPr>
            <w:tcW w:w="2693" w:type="dxa"/>
            <w:tcBorders>
              <w:top w:val="nil"/>
              <w:left w:val="nil"/>
              <w:bottom w:val="single" w:sz="4" w:space="0" w:color="auto"/>
              <w:right w:val="single" w:sz="4" w:space="0" w:color="auto"/>
            </w:tcBorders>
            <w:shd w:val="clear" w:color="000000" w:fill="FFFFFF"/>
            <w:vAlign w:val="center"/>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 xml:space="preserve">Nodokļa maksātāja, valdes locekļa </w:t>
            </w:r>
            <w:r>
              <w:rPr>
                <w:rFonts w:eastAsia="Times New Roman" w:cs="Times New Roman"/>
                <w:sz w:val="24"/>
                <w:szCs w:val="24"/>
                <w:lang w:eastAsia="lv-LV"/>
              </w:rPr>
              <w:t>nopietni</w:t>
            </w:r>
            <w:r w:rsidRPr="00702E32">
              <w:rPr>
                <w:rFonts w:eastAsia="Times New Roman" w:cs="Times New Roman"/>
                <w:sz w:val="24"/>
                <w:szCs w:val="24"/>
                <w:lang w:eastAsia="lv-LV"/>
              </w:rPr>
              <w:t xml:space="preserve"> vai atkārtoti pārkāpumi</w:t>
            </w:r>
            <w:r>
              <w:rPr>
                <w:rFonts w:eastAsia="Times New Roman" w:cs="Times New Roman"/>
                <w:sz w:val="24"/>
                <w:szCs w:val="24"/>
                <w:lang w:eastAsia="lv-LV"/>
              </w:rPr>
              <w:t xml:space="preserve"> muitas jomā</w:t>
            </w:r>
          </w:p>
        </w:tc>
        <w:tc>
          <w:tcPr>
            <w:tcW w:w="1247" w:type="dxa"/>
            <w:tcBorders>
              <w:top w:val="nil"/>
              <w:left w:val="nil"/>
              <w:bottom w:val="single" w:sz="4" w:space="0" w:color="auto"/>
              <w:right w:val="single" w:sz="4" w:space="0" w:color="auto"/>
            </w:tcBorders>
            <w:shd w:val="clear" w:color="000000" w:fill="FFFFFF"/>
            <w:vAlign w:val="center"/>
          </w:tcPr>
          <w:p w:rsidR="00E32ECB" w:rsidRPr="00702E32" w:rsidRDefault="00E32ECB"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tcPr>
          <w:p w:rsidR="00E32ECB" w:rsidRPr="00702E32" w:rsidRDefault="00E32ECB"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tcPr>
          <w:p w:rsidR="00E32ECB" w:rsidRPr="00702E32" w:rsidRDefault="00E32ECB"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r>
      <w:tr w:rsidR="00E32ECB" w:rsidTr="00094958">
        <w:trPr>
          <w:trHeight w:val="132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702E32" w:rsidRDefault="00E32ECB" w:rsidP="00094958">
            <w:pPr>
              <w:spacing w:after="0" w:line="240" w:lineRule="auto"/>
              <w:jc w:val="both"/>
              <w:rPr>
                <w:rFonts w:eastAsia="Times New Roman" w:cs="Times New Roman"/>
                <w:sz w:val="24"/>
                <w:szCs w:val="24"/>
                <w:lang w:eastAsia="lv-LV"/>
              </w:rPr>
            </w:pPr>
            <w:r w:rsidRPr="00702E32">
              <w:rPr>
                <w:rFonts w:eastAsia="Times New Roman" w:cs="Times New Roman"/>
                <w:sz w:val="24"/>
                <w:szCs w:val="24"/>
                <w:lang w:eastAsia="lv-LV"/>
              </w:rPr>
              <w:t>Nodokļu maksātājam nav ar tiesas nolēmumu pasludināts/uzsākts maksātnespējas process, uzsākts tiesiskās aizsardzības process vai ārpustiesas tiesiskās aizsardzības process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Uzsākts/pasludināts maksātnespējas process, tiesiskās aizsardzības process, ārpustiesas aizsardzības process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r>
      <w:tr w:rsidR="00E32ECB" w:rsidTr="00094958">
        <w:trPr>
          <w:trHeight w:val="699"/>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702E32" w:rsidRDefault="005F38CE" w:rsidP="005F38C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w:t>
            </w:r>
            <w:r w:rsidRPr="005F38CE">
              <w:rPr>
                <w:rFonts w:eastAsia="Times New Roman" w:cs="Times New Roman"/>
                <w:sz w:val="24"/>
                <w:szCs w:val="24"/>
                <w:lang w:eastAsia="lv-LV"/>
              </w:rPr>
              <w:t xml:space="preserve">epriekšējo triju gadu laikā un izvērtēšanas brīdī nodokļu maksātājam nodokļu kontroles pasākumu rezultātā nav noteiktas valsts budžetā papildus iemaksājamās summas vai nav samazināts nepamatoti palielinātā no valsts budžeta atmaksājamā nodokļa apmērs, tai skaitā nokavējuma naudas un soda naudas, kuru kopējā summa pārsniedz trīs procentus no nodokļa maksātāja attiecīgā gada Valsts ieņēmumu dienesta administrētajiem nodokļu ieņēmumiem (nodokļu maksātāju veiktajām iemaksām atņemot nodokļu </w:t>
            </w:r>
            <w:r w:rsidRPr="005F38CE">
              <w:rPr>
                <w:rFonts w:eastAsia="Times New Roman" w:cs="Times New Roman"/>
                <w:sz w:val="24"/>
                <w:szCs w:val="24"/>
                <w:lang w:eastAsia="lv-LV"/>
              </w:rPr>
              <w:lastRenderedPageBreak/>
              <w:t>administrācijas atmaksātās pārmaksas), bet izvērtēšanas brīdī – trīs procentus no nodokļa maksātāja iepriekšējā gada Valsts ieņēmumu dienesta administrētajiem nodokļu ieņēmumiem (nodokļu maksātāju veiktajām iemaksām atņemot nodokļu administrācijas atmaksātās pārmaksas)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lastRenderedPageBreak/>
              <w:t>Audita, datu atbilstības pārbaude</w:t>
            </w:r>
            <w:r>
              <w:rPr>
                <w:rFonts w:eastAsia="Times New Roman" w:cs="Times New Roman"/>
                <w:sz w:val="24"/>
                <w:szCs w:val="24"/>
                <w:lang w:eastAsia="lv-LV"/>
              </w:rPr>
              <w:t>s uzrēķins</w:t>
            </w:r>
            <w:r w:rsidRPr="00702E32">
              <w:rPr>
                <w:rFonts w:eastAsia="Times New Roman" w:cs="Times New Roman"/>
                <w:sz w:val="24"/>
                <w:szCs w:val="24"/>
                <w:lang w:eastAsia="lv-LV"/>
              </w:rPr>
              <w:t>,  nodokļu apmēra precizēšana, ar nodokļiem apliekamā objekta precizēšana</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702E32" w:rsidRDefault="00E32ECB" w:rsidP="00094958">
            <w:pPr>
              <w:spacing w:after="0" w:line="240" w:lineRule="auto"/>
              <w:jc w:val="center"/>
              <w:rPr>
                <w:rFonts w:eastAsia="Times New Roman" w:cs="Times New Roman"/>
                <w:sz w:val="24"/>
                <w:szCs w:val="24"/>
                <w:lang w:eastAsia="lv-LV"/>
              </w:rPr>
            </w:pPr>
            <w:r w:rsidRPr="00702E32">
              <w:rPr>
                <w:rFonts w:eastAsia="Times New Roman" w:cs="Times New Roman"/>
                <w:sz w:val="24"/>
                <w:szCs w:val="24"/>
                <w:lang w:eastAsia="lv-LV"/>
              </w:rPr>
              <w:t>x</w:t>
            </w:r>
          </w:p>
        </w:tc>
      </w:tr>
      <w:tr w:rsidR="00E32ECB" w:rsidTr="00094958">
        <w:trPr>
          <w:trHeight w:val="154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 xml:space="preserve">Nodokļu maksātājs vai tā valdes loceklis </w:t>
            </w:r>
            <w:r>
              <w:rPr>
                <w:rFonts w:eastAsia="Times New Roman" w:cs="Times New Roman"/>
                <w:sz w:val="24"/>
                <w:szCs w:val="24"/>
                <w:lang w:eastAsia="lv-LV"/>
              </w:rPr>
              <w:t xml:space="preserve">iepriekšējā </w:t>
            </w:r>
            <w:r w:rsidRPr="00587F18">
              <w:rPr>
                <w:rFonts w:eastAsia="Times New Roman" w:cs="Times New Roman"/>
                <w:sz w:val="24"/>
                <w:szCs w:val="24"/>
                <w:lang w:eastAsia="lv-LV"/>
              </w:rPr>
              <w:t xml:space="preserve">gadā un </w:t>
            </w:r>
            <w:r>
              <w:rPr>
                <w:rFonts w:eastAsia="Times New Roman" w:cs="Times New Roman"/>
                <w:sz w:val="24"/>
                <w:szCs w:val="24"/>
                <w:lang w:eastAsia="lv-LV"/>
              </w:rPr>
              <w:t>izvērtēšanas brīdī</w:t>
            </w:r>
            <w:r w:rsidRPr="00587F18">
              <w:rPr>
                <w:rFonts w:eastAsia="Times New Roman" w:cs="Times New Roman"/>
                <w:sz w:val="24"/>
                <w:szCs w:val="24"/>
                <w:lang w:eastAsia="lv-LV"/>
              </w:rPr>
              <w:t xml:space="preserve"> nav sodīts par pārkāpumu, kas attiecas uz nodokļu maksātāja nodokļu saistībām, vai darba tiesisko attiecību regulējošo normatīvo aktu pārkāpumu, izņemot gadījumu, ja ir piemērots brīdinājums par atsevišķu pārkāpumu vai naudas sods, kas nepārsniedz 151 </w:t>
            </w:r>
            <w:r w:rsidRPr="00587F18">
              <w:rPr>
                <w:rFonts w:eastAsia="Times New Roman" w:cs="Times New Roman"/>
                <w:i/>
                <w:iCs/>
                <w:sz w:val="24"/>
                <w:szCs w:val="24"/>
                <w:lang w:eastAsia="lv-LV"/>
              </w:rPr>
              <w:t>euro</w:t>
            </w:r>
            <w:r w:rsidRPr="00587F18">
              <w:rPr>
                <w:rFonts w:eastAsia="Times New Roman" w:cs="Times New Roman"/>
                <w:sz w:val="24"/>
                <w:szCs w:val="24"/>
                <w:lang w:eastAsia="lv-LV"/>
              </w:rPr>
              <w:t xml:space="preserve">, un vērtējamā periodā sodu kopsumma nepārsniedz 500 </w:t>
            </w:r>
            <w:r w:rsidRPr="00587F18">
              <w:rPr>
                <w:rFonts w:eastAsia="Times New Roman" w:cs="Times New Roman"/>
                <w:i/>
                <w:iCs/>
                <w:sz w:val="24"/>
                <w:szCs w:val="24"/>
                <w:lang w:eastAsia="lv-LV"/>
              </w:rPr>
              <w:t>euro</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Nodokļu normatīvo aktu pārkāpumi (Latvijas Administratīvo pārkāpumu kodeksā noteiktie sodi)</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205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w:t>
            </w:r>
            <w:r w:rsidRPr="007912E1">
              <w:rPr>
                <w:rFonts w:eastAsia="Times New Roman" w:cs="Times New Roman"/>
                <w:sz w:val="24"/>
                <w:szCs w:val="24"/>
                <w:lang w:eastAsia="lv-LV"/>
              </w:rPr>
              <w:t>epriekšējo triju gadu laikā un izvērtēšanas brīd</w:t>
            </w:r>
            <w:r>
              <w:rPr>
                <w:rFonts w:eastAsia="Times New Roman" w:cs="Times New Roman"/>
                <w:sz w:val="24"/>
                <w:szCs w:val="24"/>
                <w:lang w:eastAsia="lv-LV"/>
              </w:rPr>
              <w:t>ī</w:t>
            </w:r>
            <w:r w:rsidRPr="00587F18">
              <w:rPr>
                <w:rFonts w:eastAsia="Times New Roman" w:cs="Times New Roman"/>
                <w:sz w:val="24"/>
                <w:szCs w:val="24"/>
                <w:lang w:eastAsia="lv-LV"/>
              </w:rPr>
              <w:t xml:space="preserve"> nav konstatēti pārkāpumi, lietotājam lietojot un apkalpojošam dienestam apkalpojot kases aparātu, hibrīda kases aparātu, kases sistēmu, specializēto ierīci vai iekārtu ar mainītu konstrukciju vai programmu, ar ko radīta iespēja slēpt vai samazināt ar nodokļiem un nodevām apliekamo objektu</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Nodokļu normatīvo aktu pārkāpumi (Latvijas Administratīvo pārkāpumu kodeksā noteiktie sodi)</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102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lastRenderedPageBreak/>
              <w:t>Nodokļu maksātājam pēc Valsts ieņēmumu dienesta iniciatīvas nav uzsākts izslēgšanas process no Pievienotās vērtības nodokļa maksātāju reģistra</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Uzsākts izslēgšanas process no Pievienotās vērtības nodokļa maksātāju reģistra</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25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 xml:space="preserve">Nodokļu maksātājam statusa </w:t>
            </w:r>
            <w:r>
              <w:rPr>
                <w:rFonts w:eastAsia="Times New Roman" w:cs="Times New Roman"/>
                <w:sz w:val="24"/>
                <w:szCs w:val="24"/>
                <w:lang w:eastAsia="lv-LV"/>
              </w:rPr>
              <w:t>izvērtēšanas</w:t>
            </w:r>
            <w:r w:rsidRPr="00587F18">
              <w:rPr>
                <w:rFonts w:eastAsia="Times New Roman" w:cs="Times New Roman"/>
                <w:sz w:val="24"/>
                <w:szCs w:val="24"/>
                <w:lang w:eastAsia="lv-LV"/>
              </w:rPr>
              <w:t xml:space="preserve"> brīdī nav uzsākts nodokļu audits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Uzsākts audits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138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D26D3C" w:rsidP="00094958">
            <w:pPr>
              <w:spacing w:after="0" w:line="240" w:lineRule="auto"/>
              <w:jc w:val="both"/>
              <w:rPr>
                <w:rFonts w:eastAsia="Times New Roman" w:cs="Times New Roman"/>
                <w:sz w:val="24"/>
                <w:szCs w:val="24"/>
                <w:lang w:eastAsia="lv-LV"/>
              </w:rPr>
            </w:pPr>
            <w:r w:rsidRPr="00D26D3C">
              <w:rPr>
                <w:rFonts w:eastAsia="Times New Roman" w:cs="Times New Roman"/>
                <w:sz w:val="24"/>
                <w:szCs w:val="24"/>
                <w:lang w:eastAsia="lv-LV"/>
              </w:rPr>
              <w:t>Iepriekšējā gadā un izvērtēšanas brīdī Valsts ieņēmumu dienesta informācijas sistēmā nav veikti ieraksti par komersanta nesasniedzamību juridiskajā adresē</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Nesasniedzamība/neatrodas juridiskajā adresē</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231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D26D3C" w:rsidP="00D26D3C">
            <w:pPr>
              <w:spacing w:after="0" w:line="240" w:lineRule="auto"/>
              <w:jc w:val="both"/>
              <w:rPr>
                <w:rFonts w:eastAsia="Times New Roman" w:cs="Times New Roman"/>
                <w:sz w:val="24"/>
                <w:szCs w:val="24"/>
                <w:lang w:eastAsia="lv-LV"/>
              </w:rPr>
            </w:pPr>
            <w:r w:rsidRPr="00D26D3C">
              <w:rPr>
                <w:rFonts w:eastAsia="Times New Roman" w:cs="Times New Roman"/>
                <w:sz w:val="24"/>
                <w:szCs w:val="24"/>
                <w:lang w:eastAsia="lv-LV"/>
              </w:rPr>
              <w:t>Iepriekšējo triju gadu laikā un izvērtēšanas brīdī Valsts ieņēmumu dienests nav saņēmis informāciju no Valsts darba inspekcijas par nodokļu maksātājam konstatētajiem pārkāpumiem saistībā ar nelegālo nodarbinātību</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I</w:t>
            </w:r>
            <w:r w:rsidRPr="00587F18">
              <w:rPr>
                <w:rFonts w:eastAsia="Times New Roman" w:cs="Times New Roman"/>
                <w:sz w:val="24"/>
                <w:szCs w:val="24"/>
                <w:lang w:eastAsia="lv-LV"/>
              </w:rPr>
              <w:t>nformācija par nelegālo nodarbinātību</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1724"/>
        </w:trPr>
        <w:tc>
          <w:tcPr>
            <w:tcW w:w="2689" w:type="dxa"/>
            <w:tcBorders>
              <w:top w:val="nil"/>
              <w:left w:val="single" w:sz="4" w:space="0" w:color="auto"/>
              <w:bottom w:val="single" w:sz="4" w:space="0" w:color="auto"/>
              <w:right w:val="single" w:sz="4" w:space="0" w:color="auto"/>
            </w:tcBorders>
            <w:shd w:val="clear" w:color="000000" w:fill="FFFFFF"/>
          </w:tcPr>
          <w:p w:rsidR="00E32ECB" w:rsidRPr="00A95E17" w:rsidRDefault="00E32ECB" w:rsidP="0009495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w:t>
            </w:r>
            <w:r w:rsidRPr="007912E1">
              <w:rPr>
                <w:rFonts w:eastAsia="Times New Roman" w:cs="Times New Roman"/>
                <w:sz w:val="24"/>
                <w:szCs w:val="24"/>
                <w:lang w:eastAsia="lv-LV"/>
              </w:rPr>
              <w:t>epriekšējā gadā un izvērtēšanas brīd</w:t>
            </w:r>
            <w:r>
              <w:rPr>
                <w:rFonts w:eastAsia="Times New Roman" w:cs="Times New Roman"/>
                <w:sz w:val="24"/>
                <w:szCs w:val="24"/>
                <w:lang w:eastAsia="lv-LV"/>
              </w:rPr>
              <w:t>ī</w:t>
            </w:r>
            <w:r w:rsidRPr="007912E1">
              <w:rPr>
                <w:rFonts w:eastAsia="Times New Roman" w:cs="Times New Roman"/>
                <w:sz w:val="24"/>
                <w:szCs w:val="24"/>
                <w:lang w:eastAsia="lv-LV"/>
              </w:rPr>
              <w:t xml:space="preserve"> Valsts ieņēmumu dienesta informācijas sistēmā nav veiktu negatīvu ierakstu, kas liecinātu par negodprātīgu rīcību pret nodokļu un nodevu saistībām;</w:t>
            </w:r>
          </w:p>
        </w:tc>
        <w:tc>
          <w:tcPr>
            <w:tcW w:w="2693" w:type="dxa"/>
            <w:tcBorders>
              <w:top w:val="nil"/>
              <w:left w:val="nil"/>
              <w:bottom w:val="single" w:sz="4" w:space="0" w:color="auto"/>
              <w:right w:val="single" w:sz="4" w:space="0" w:color="auto"/>
            </w:tcBorders>
            <w:shd w:val="clear" w:color="000000" w:fill="FFFFFF"/>
            <w:vAlign w:val="center"/>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Negatīva in</w:t>
            </w:r>
            <w:r>
              <w:rPr>
                <w:rFonts w:eastAsia="Times New Roman" w:cs="Times New Roman"/>
                <w:sz w:val="24"/>
                <w:szCs w:val="24"/>
                <w:lang w:eastAsia="lv-LV"/>
              </w:rPr>
              <w:t>formācija par nodokļu maksātāju</w:t>
            </w:r>
          </w:p>
        </w:tc>
        <w:tc>
          <w:tcPr>
            <w:tcW w:w="1247" w:type="dxa"/>
            <w:tcBorders>
              <w:top w:val="nil"/>
              <w:left w:val="nil"/>
              <w:bottom w:val="single" w:sz="4" w:space="0" w:color="auto"/>
              <w:right w:val="single" w:sz="4" w:space="0" w:color="auto"/>
            </w:tcBorders>
            <w:shd w:val="clear" w:color="000000" w:fill="FFFFFF"/>
            <w:vAlign w:val="center"/>
          </w:tcPr>
          <w:p w:rsidR="00E32ECB" w:rsidRPr="00587F18" w:rsidRDefault="00E32ECB"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tcPr>
          <w:p w:rsidR="00E32ECB" w:rsidRPr="00587F18" w:rsidRDefault="00E32ECB"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tcPr>
          <w:p w:rsidR="00E32ECB" w:rsidRPr="00587F18" w:rsidRDefault="00E32ECB"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r>
      <w:tr w:rsidR="00E32ECB" w:rsidTr="00094958">
        <w:trPr>
          <w:trHeight w:val="109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Izv</w:t>
            </w:r>
            <w:r w:rsidRPr="00587F18">
              <w:rPr>
                <w:rFonts w:eastAsia="Times New Roman" w:cs="Times New Roman"/>
                <w:sz w:val="24"/>
                <w:szCs w:val="24"/>
                <w:lang w:eastAsia="lv-LV"/>
              </w:rPr>
              <w:t xml:space="preserve">ērtēšanas brīdī nav Valsts ieņēmumu dienesta administrēto aktuālo nodokļu (nodevu) parādu, kuru kopsumma pārsniedz 150 </w:t>
            </w:r>
            <w:r w:rsidRPr="00587F18">
              <w:rPr>
                <w:rFonts w:eastAsia="Times New Roman" w:cs="Times New Roman"/>
                <w:i/>
                <w:iCs/>
                <w:sz w:val="24"/>
                <w:szCs w:val="24"/>
                <w:lang w:eastAsia="lv-LV"/>
              </w:rPr>
              <w:t>euro</w:t>
            </w:r>
          </w:p>
        </w:tc>
        <w:tc>
          <w:tcPr>
            <w:tcW w:w="2693" w:type="dxa"/>
            <w:tcBorders>
              <w:top w:val="nil"/>
              <w:left w:val="nil"/>
              <w:bottom w:val="single" w:sz="4" w:space="0" w:color="auto"/>
              <w:right w:val="single" w:sz="4" w:space="0" w:color="auto"/>
            </w:tcBorders>
            <w:shd w:val="clear" w:color="000000" w:fill="FFFFFF"/>
            <w:noWrap/>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Aktuālie parādi</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103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Par pirmstaksācijas gadu iesniegtajā gada pārskata peļņas vai zaudējumu aprēķinā nav norādīti zaudējumi.</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Zaudējumi vai peļņa pēc nodokļu nomaksas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r w:rsidR="00E32ECB" w:rsidTr="00094958">
        <w:trPr>
          <w:trHeight w:val="153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lastRenderedPageBreak/>
              <w:t xml:space="preserve">Pēdējo triju gadu laikā </w:t>
            </w:r>
            <w:r>
              <w:rPr>
                <w:rFonts w:eastAsia="Times New Roman" w:cs="Times New Roman"/>
                <w:sz w:val="24"/>
                <w:szCs w:val="24"/>
                <w:lang w:eastAsia="lv-LV"/>
              </w:rPr>
              <w:t xml:space="preserve">Valsts ieņēmumu dienesta administrēto </w:t>
            </w:r>
            <w:r w:rsidRPr="00587F18">
              <w:rPr>
                <w:rFonts w:eastAsia="Times New Roman" w:cs="Times New Roman"/>
                <w:sz w:val="24"/>
                <w:szCs w:val="24"/>
                <w:lang w:eastAsia="lv-LV"/>
              </w:rPr>
              <w:t>nodokļu ieņēmumu</w:t>
            </w:r>
            <w:r w:rsidRPr="00587F18">
              <w:rPr>
                <w:rFonts w:eastAsia="Times New Roman" w:cs="Times New Roman"/>
                <w:b/>
                <w:bCs/>
                <w:sz w:val="24"/>
                <w:szCs w:val="24"/>
                <w:lang w:eastAsia="lv-LV"/>
              </w:rPr>
              <w:t xml:space="preserve"> </w:t>
            </w:r>
            <w:r w:rsidRPr="00587F18">
              <w:rPr>
                <w:rFonts w:eastAsia="Times New Roman" w:cs="Times New Roman"/>
                <w:sz w:val="24"/>
                <w:szCs w:val="24"/>
                <w:lang w:eastAsia="lv-LV"/>
              </w:rPr>
              <w:t xml:space="preserve">kopsumma pārskata gadā pārsniedz: </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Nodokļu ieņēmumi</w:t>
            </w:r>
            <w:r>
              <w:rPr>
                <w:rFonts w:eastAsia="Times New Roman" w:cs="Times New Roman"/>
                <w:sz w:val="24"/>
                <w:szCs w:val="24"/>
                <w:lang w:eastAsia="lv-LV"/>
              </w:rPr>
              <w:t xml:space="preserve"> </w:t>
            </w:r>
            <w:r w:rsidRPr="00587F18">
              <w:rPr>
                <w:rFonts w:eastAsia="Times New Roman" w:cs="Times New Roman"/>
                <w:sz w:val="24"/>
                <w:szCs w:val="24"/>
                <w:lang w:eastAsia="lv-LV"/>
              </w:rPr>
              <w:t>(nodokļu maksātāju veiktās iemaksas mīnuss nodokļu administrācijas atmaksātās pārmaksas)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 xml:space="preserve">10000 </w:t>
            </w:r>
            <w:r w:rsidRPr="00BC5884">
              <w:rPr>
                <w:rFonts w:eastAsia="Times New Roman" w:cs="Times New Roman"/>
                <w:i/>
                <w:sz w:val="24"/>
                <w:szCs w:val="24"/>
                <w:lang w:eastAsia="lv-LV"/>
              </w:rPr>
              <w:t>euro</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 xml:space="preserve">500000 </w:t>
            </w:r>
            <w:r w:rsidRPr="00587F18">
              <w:rPr>
                <w:rFonts w:eastAsia="Times New Roman" w:cs="Times New Roman"/>
                <w:i/>
                <w:iCs/>
                <w:sz w:val="24"/>
                <w:szCs w:val="24"/>
                <w:lang w:eastAsia="lv-LV"/>
              </w:rPr>
              <w:t>euro</w:t>
            </w:r>
            <w:r w:rsidRPr="00587F18">
              <w:rPr>
                <w:rFonts w:eastAsia="Times New Roman" w:cs="Times New Roman"/>
                <w:i/>
                <w:iCs/>
                <w:color w:val="FF0000"/>
                <w:sz w:val="24"/>
                <w:szCs w:val="24"/>
                <w:lang w:eastAsia="lv-LV"/>
              </w:rPr>
              <w:t xml:space="preserve"> </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 xml:space="preserve">700000 </w:t>
            </w:r>
            <w:r w:rsidRPr="00587F18">
              <w:rPr>
                <w:rFonts w:eastAsia="Times New Roman" w:cs="Times New Roman"/>
                <w:i/>
                <w:iCs/>
                <w:sz w:val="24"/>
                <w:szCs w:val="24"/>
                <w:lang w:eastAsia="lv-LV"/>
              </w:rPr>
              <w:t>euro</w:t>
            </w:r>
          </w:p>
        </w:tc>
      </w:tr>
      <w:tr w:rsidR="00E32ECB" w:rsidTr="00094958">
        <w:trPr>
          <w:trHeight w:val="120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 xml:space="preserve">Pēdējo triju pārskata gadu laikā neto apgrozījums </w:t>
            </w:r>
            <w:r>
              <w:rPr>
                <w:rFonts w:eastAsia="Times New Roman" w:cs="Times New Roman"/>
                <w:sz w:val="24"/>
                <w:szCs w:val="24"/>
                <w:lang w:eastAsia="lv-LV"/>
              </w:rPr>
              <w:t xml:space="preserve">katrā </w:t>
            </w:r>
            <w:r w:rsidRPr="00587F18">
              <w:rPr>
                <w:rFonts w:eastAsia="Times New Roman" w:cs="Times New Roman"/>
                <w:sz w:val="24"/>
                <w:szCs w:val="24"/>
                <w:lang w:eastAsia="lv-LV"/>
              </w:rPr>
              <w:t>pārskata gadā pārsniedz:</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Neto apgrozījums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 xml:space="preserve">4 000 000 </w:t>
            </w:r>
            <w:r w:rsidRPr="00BC5884">
              <w:rPr>
                <w:rFonts w:eastAsia="Times New Roman" w:cs="Times New Roman"/>
                <w:i/>
                <w:sz w:val="24"/>
                <w:szCs w:val="24"/>
                <w:lang w:eastAsia="lv-LV"/>
              </w:rPr>
              <w:t>euro</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 xml:space="preserve">4 000 000 </w:t>
            </w:r>
            <w:r w:rsidRPr="00BC5884">
              <w:rPr>
                <w:rFonts w:eastAsia="Times New Roman" w:cs="Times New Roman"/>
                <w:i/>
                <w:sz w:val="24"/>
                <w:szCs w:val="24"/>
                <w:lang w:eastAsia="lv-LV"/>
              </w:rPr>
              <w:t>euro</w:t>
            </w:r>
          </w:p>
        </w:tc>
      </w:tr>
      <w:tr w:rsidR="00E32ECB" w:rsidTr="00094958">
        <w:trPr>
          <w:trHeight w:val="234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 xml:space="preserve">Pirmstaksācijas gadā un </w:t>
            </w:r>
            <w:r>
              <w:rPr>
                <w:rFonts w:eastAsia="Times New Roman" w:cs="Times New Roman"/>
                <w:sz w:val="24"/>
                <w:szCs w:val="24"/>
                <w:lang w:eastAsia="lv-LV"/>
              </w:rPr>
              <w:t>izvērtēšanas brīdī</w:t>
            </w:r>
            <w:r w:rsidRPr="00587F18">
              <w:rPr>
                <w:rFonts w:eastAsia="Times New Roman" w:cs="Times New Roman"/>
                <w:sz w:val="24"/>
                <w:szCs w:val="24"/>
                <w:lang w:eastAsia="lv-LV"/>
              </w:rPr>
              <w:t xml:space="preserve"> par pirmo pusgadu nodokļu maksātāja darba ņēmējiem vidējie darba ienākumi: </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Vidējie darba ienākumi</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BC5884" w:rsidRDefault="00E32ECB" w:rsidP="00094958">
            <w:pPr>
              <w:spacing w:after="0" w:line="240" w:lineRule="auto"/>
              <w:jc w:val="both"/>
              <w:rPr>
                <w:rFonts w:eastAsia="Times New Roman" w:cs="Times New Roman"/>
                <w:sz w:val="24"/>
                <w:szCs w:val="24"/>
                <w:lang w:eastAsia="lv-LV"/>
              </w:rPr>
            </w:pPr>
            <w:r w:rsidRPr="00BC5884">
              <w:rPr>
                <w:rFonts w:eastAsia="Times New Roman" w:cs="Times New Roman"/>
                <w:sz w:val="24"/>
                <w:szCs w:val="24"/>
                <w:lang w:eastAsia="lv-LV"/>
              </w:rPr>
              <w:t>nav mazāki par 80 procentiem no Centrālās statistikas pārvaldes noteiktās vidējās darba samaksas valstī, atbilstoši jaunākajiem datiem, kas publicēti tīmekļa vietnē vērtēšanas brīdī</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BC5884" w:rsidRDefault="00E32ECB" w:rsidP="00094958">
            <w:pPr>
              <w:spacing w:after="0" w:line="240" w:lineRule="auto"/>
              <w:jc w:val="both"/>
              <w:rPr>
                <w:rFonts w:eastAsia="Times New Roman" w:cs="Times New Roman"/>
                <w:sz w:val="24"/>
                <w:szCs w:val="24"/>
                <w:lang w:eastAsia="lv-LV"/>
              </w:rPr>
            </w:pPr>
            <w:r w:rsidRPr="00BC5884">
              <w:rPr>
                <w:rFonts w:eastAsia="Times New Roman" w:cs="Times New Roman"/>
                <w:sz w:val="24"/>
                <w:szCs w:val="24"/>
                <w:lang w:eastAsia="lv-LV"/>
              </w:rPr>
              <w:t xml:space="preserve"> ir lielāki par Centrālās statistikas pārvaldes noteiktās vidējo darba samaksu valstī, atbilstoši jaunākajiem datiem, kas publicēti tīmekļa vietnē vērtēšanas brīdī</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BC5884" w:rsidRDefault="00E32ECB" w:rsidP="00094958">
            <w:pPr>
              <w:spacing w:after="0" w:line="240" w:lineRule="auto"/>
              <w:jc w:val="both"/>
              <w:rPr>
                <w:rFonts w:eastAsia="Times New Roman" w:cs="Times New Roman"/>
                <w:sz w:val="24"/>
                <w:szCs w:val="24"/>
                <w:lang w:eastAsia="lv-LV"/>
              </w:rPr>
            </w:pPr>
            <w:r w:rsidRPr="00BC5884">
              <w:rPr>
                <w:rFonts w:eastAsia="Times New Roman" w:cs="Times New Roman"/>
                <w:sz w:val="24"/>
                <w:szCs w:val="24"/>
                <w:lang w:eastAsia="lv-LV"/>
              </w:rPr>
              <w:t xml:space="preserve"> ir lielāki par Centrālās statistikas pārvaldes noteiktās vidējo darba samaksu valstī, atbilstoši jaunākajiem datiem, kas publicēti tīmekļa vietnē vērtēšanas brīdī</w:t>
            </w:r>
          </w:p>
        </w:tc>
      </w:tr>
      <w:tr w:rsidR="00E32ECB" w:rsidTr="00094958">
        <w:trPr>
          <w:trHeight w:val="168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 xml:space="preserve">Pirmstaksācijas un </w:t>
            </w:r>
            <w:r>
              <w:rPr>
                <w:rFonts w:eastAsia="Times New Roman" w:cs="Times New Roman"/>
                <w:sz w:val="24"/>
                <w:szCs w:val="24"/>
                <w:lang w:eastAsia="lv-LV"/>
              </w:rPr>
              <w:t>izvērtēšanas brīdī</w:t>
            </w:r>
            <w:r w:rsidRPr="00587F18">
              <w:rPr>
                <w:rFonts w:eastAsia="Times New Roman" w:cs="Times New Roman"/>
                <w:sz w:val="24"/>
                <w:szCs w:val="24"/>
                <w:lang w:eastAsia="lv-LV"/>
              </w:rPr>
              <w:t xml:space="preserve"> nodokļu maksātājs vidēji mēnesī nodarbina vismaz:</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Vidējais algu saņēmušo darbinieku skaits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7E3369" w:rsidRDefault="00E32ECB" w:rsidP="00094958">
            <w:pPr>
              <w:spacing w:after="0" w:line="240" w:lineRule="auto"/>
              <w:jc w:val="center"/>
              <w:rPr>
                <w:rFonts w:eastAsia="Times New Roman" w:cs="Times New Roman"/>
                <w:sz w:val="24"/>
                <w:szCs w:val="24"/>
                <w:lang w:eastAsia="lv-LV"/>
              </w:rPr>
            </w:pPr>
            <w:r w:rsidRPr="007E3369">
              <w:rPr>
                <w:rFonts w:eastAsia="Times New Roman" w:cs="Times New Roman"/>
                <w:sz w:val="24"/>
                <w:szCs w:val="24"/>
                <w:lang w:eastAsia="lv-LV"/>
              </w:rPr>
              <w:t>-</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BC5884" w:rsidRDefault="00E32ECB" w:rsidP="00094958">
            <w:pPr>
              <w:spacing w:after="0" w:line="240" w:lineRule="auto"/>
              <w:jc w:val="center"/>
              <w:rPr>
                <w:rFonts w:eastAsia="Times New Roman" w:cs="Times New Roman"/>
                <w:sz w:val="24"/>
                <w:szCs w:val="24"/>
                <w:lang w:eastAsia="lv-LV"/>
              </w:rPr>
            </w:pPr>
            <w:r w:rsidRPr="00BC5884">
              <w:rPr>
                <w:rFonts w:eastAsia="Times New Roman" w:cs="Times New Roman"/>
                <w:sz w:val="24"/>
                <w:szCs w:val="24"/>
                <w:lang w:eastAsia="lv-LV"/>
              </w:rPr>
              <w:t xml:space="preserve"> 10 darbiniekus</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BC5884" w:rsidRDefault="00E32ECB" w:rsidP="00094958">
            <w:pPr>
              <w:spacing w:after="0" w:line="240" w:lineRule="auto"/>
              <w:jc w:val="center"/>
              <w:rPr>
                <w:rFonts w:eastAsia="Times New Roman" w:cs="Times New Roman"/>
                <w:sz w:val="24"/>
                <w:szCs w:val="24"/>
                <w:lang w:eastAsia="lv-LV"/>
              </w:rPr>
            </w:pPr>
            <w:r w:rsidRPr="00BC5884">
              <w:rPr>
                <w:rFonts w:eastAsia="Times New Roman" w:cs="Times New Roman"/>
                <w:sz w:val="24"/>
                <w:szCs w:val="24"/>
                <w:lang w:eastAsia="lv-LV"/>
              </w:rPr>
              <w:t>15 darbiniekus</w:t>
            </w:r>
          </w:p>
        </w:tc>
      </w:tr>
      <w:tr w:rsidR="00E32ECB" w:rsidTr="00094958">
        <w:trPr>
          <w:trHeight w:val="138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587F18" w:rsidRDefault="00E32ECB" w:rsidP="00094958">
            <w:pPr>
              <w:spacing w:after="0" w:line="240" w:lineRule="auto"/>
              <w:jc w:val="both"/>
              <w:rPr>
                <w:rFonts w:eastAsia="Times New Roman" w:cs="Times New Roman"/>
                <w:sz w:val="24"/>
                <w:szCs w:val="24"/>
                <w:lang w:eastAsia="lv-LV"/>
              </w:rPr>
            </w:pPr>
            <w:r w:rsidRPr="00587F18">
              <w:rPr>
                <w:rFonts w:eastAsia="Times New Roman" w:cs="Times New Roman"/>
                <w:sz w:val="24"/>
                <w:szCs w:val="24"/>
                <w:lang w:eastAsia="lv-LV"/>
              </w:rPr>
              <w:t>Nodokļu maksātājs ir ieviesis nodokļu risku vadību</w:t>
            </w:r>
          </w:p>
        </w:tc>
        <w:tc>
          <w:tcPr>
            <w:tcW w:w="2693" w:type="dxa"/>
            <w:tcBorders>
              <w:top w:val="nil"/>
              <w:left w:val="nil"/>
              <w:bottom w:val="single" w:sz="4" w:space="0" w:color="auto"/>
              <w:right w:val="single" w:sz="4" w:space="0" w:color="auto"/>
            </w:tcBorders>
            <w:shd w:val="clear" w:color="000000" w:fill="FFFFFF"/>
            <w:noWrap/>
            <w:vAlign w:val="center"/>
            <w:hideMark/>
          </w:tcPr>
          <w:p w:rsidR="00E32ECB" w:rsidRPr="00587F18" w:rsidRDefault="00E32ECB" w:rsidP="00094958">
            <w:pPr>
              <w:spacing w:after="0" w:line="240" w:lineRule="auto"/>
              <w:jc w:val="center"/>
              <w:rPr>
                <w:rFonts w:eastAsia="Times New Roman" w:cs="Times New Roman"/>
                <w:color w:val="000000"/>
                <w:sz w:val="24"/>
                <w:szCs w:val="24"/>
                <w:lang w:eastAsia="lv-LV"/>
              </w:rPr>
            </w:pPr>
            <w:r w:rsidRPr="00587F18">
              <w:rPr>
                <w:rFonts w:eastAsia="Times New Roman" w:cs="Times New Roman"/>
                <w:color w:val="000000"/>
                <w:sz w:val="24"/>
                <w:szCs w:val="24"/>
                <w:lang w:eastAsia="lv-LV"/>
              </w:rPr>
              <w:t> </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587F18" w:rsidRDefault="00E32ECB" w:rsidP="00094958">
            <w:pPr>
              <w:spacing w:after="0" w:line="240" w:lineRule="auto"/>
              <w:jc w:val="center"/>
              <w:rPr>
                <w:rFonts w:eastAsia="Times New Roman" w:cs="Times New Roman"/>
                <w:sz w:val="24"/>
                <w:szCs w:val="24"/>
                <w:lang w:eastAsia="lv-LV"/>
              </w:rPr>
            </w:pPr>
            <w:r w:rsidRPr="00587F18">
              <w:rPr>
                <w:rFonts w:eastAsia="Times New Roman" w:cs="Times New Roman"/>
                <w:sz w:val="24"/>
                <w:szCs w:val="24"/>
                <w:lang w:eastAsia="lv-LV"/>
              </w:rPr>
              <w:t>x</w:t>
            </w:r>
          </w:p>
        </w:tc>
      </w:tr>
    </w:tbl>
    <w:p w:rsidR="00E32ECB" w:rsidRDefault="00E32ECB" w:rsidP="00E32ECB">
      <w:pPr>
        <w:rPr>
          <w:rFonts w:eastAsia="Times New Roman" w:cs="Times New Roman"/>
          <w:szCs w:val="28"/>
          <w:lang w:eastAsia="lv-LV"/>
        </w:rPr>
      </w:pPr>
    </w:p>
    <w:p w:rsidR="00E32ECB" w:rsidRDefault="00E32ECB" w:rsidP="00E32ECB">
      <w:pPr>
        <w:spacing w:after="0" w:line="240" w:lineRule="auto"/>
        <w:jc w:val="both"/>
        <w:rPr>
          <w:rFonts w:eastAsia="Times New Roman" w:cs="Times New Roman"/>
          <w:szCs w:val="28"/>
          <w:lang w:eastAsia="lv-LV"/>
        </w:rPr>
      </w:pPr>
      <w:r w:rsidRPr="00290718">
        <w:rPr>
          <w:rFonts w:eastAsia="Times New Roman" w:cs="Times New Roman"/>
          <w:szCs w:val="28"/>
          <w:lang w:eastAsia="lv-LV"/>
        </w:rPr>
        <w:t xml:space="preserve">Ministru prezidents </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t>M.Kučinskis</w:t>
      </w:r>
      <w:r w:rsidRPr="00290718">
        <w:rPr>
          <w:rFonts w:eastAsia="Times New Roman" w:cs="Times New Roman"/>
          <w:szCs w:val="28"/>
          <w:lang w:eastAsia="lv-LV"/>
        </w:rPr>
        <w:t xml:space="preserve"> </w:t>
      </w:r>
    </w:p>
    <w:p w:rsidR="00E32ECB" w:rsidRDefault="00E32ECB" w:rsidP="00E32ECB">
      <w:pPr>
        <w:spacing w:after="0" w:line="240" w:lineRule="auto"/>
        <w:jc w:val="both"/>
        <w:rPr>
          <w:rFonts w:eastAsia="Times New Roman" w:cs="Times New Roman"/>
          <w:szCs w:val="28"/>
          <w:lang w:eastAsia="lv-LV"/>
        </w:rPr>
      </w:pPr>
      <w:r w:rsidRPr="00290718">
        <w:rPr>
          <w:rFonts w:eastAsia="Times New Roman" w:cs="Times New Roman"/>
          <w:szCs w:val="28"/>
          <w:lang w:eastAsia="lv-LV"/>
        </w:rPr>
        <w:br/>
      </w:r>
      <w:r w:rsidRPr="00290718">
        <w:rPr>
          <w:rFonts w:eastAsia="Times New Roman" w:cs="Times New Roman"/>
          <w:szCs w:val="28"/>
          <w:lang w:eastAsia="lv-LV"/>
        </w:rPr>
        <w:br/>
        <w:t>Finanšu ministr</w:t>
      </w:r>
      <w:r>
        <w:rPr>
          <w:rFonts w:eastAsia="Times New Roman" w:cs="Times New Roman"/>
          <w:szCs w:val="28"/>
          <w:lang w:eastAsia="lv-LV"/>
        </w:rPr>
        <w:t>e</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t>D.Reizniece-Ozola</w:t>
      </w:r>
    </w:p>
    <w:sectPr w:rsidR="00E32ECB" w:rsidSect="00E32EC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16" w:rsidRDefault="007C6116" w:rsidP="00E32ECB">
      <w:pPr>
        <w:spacing w:after="0" w:line="240" w:lineRule="auto"/>
      </w:pPr>
      <w:r>
        <w:separator/>
      </w:r>
    </w:p>
  </w:endnote>
  <w:endnote w:type="continuationSeparator" w:id="0">
    <w:p w:rsidR="007C6116" w:rsidRDefault="007C6116" w:rsidP="00E3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2" w:rsidRDefault="00AE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CB" w:rsidRPr="00AE0402" w:rsidRDefault="00AE0402" w:rsidP="00AE0402">
    <w:pPr>
      <w:pStyle w:val="Footer"/>
    </w:pPr>
    <w:r w:rsidRPr="00AE0402">
      <w:rPr>
        <w:sz w:val="20"/>
        <w:szCs w:val="20"/>
      </w:rPr>
      <w:t>FMNotp1_PSP_200818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CB" w:rsidRPr="00AE0402" w:rsidRDefault="00AE0402" w:rsidP="00AE0402">
    <w:pPr>
      <w:pStyle w:val="Footer"/>
    </w:pPr>
    <w:r w:rsidRPr="00AE0402">
      <w:rPr>
        <w:sz w:val="20"/>
        <w:szCs w:val="20"/>
      </w:rPr>
      <w:t>FMNotp1_PSP_200818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16" w:rsidRDefault="007C6116" w:rsidP="00E32ECB">
      <w:pPr>
        <w:spacing w:after="0" w:line="240" w:lineRule="auto"/>
      </w:pPr>
      <w:r>
        <w:separator/>
      </w:r>
    </w:p>
  </w:footnote>
  <w:footnote w:type="continuationSeparator" w:id="0">
    <w:p w:rsidR="007C6116" w:rsidRDefault="007C6116" w:rsidP="00E3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2" w:rsidRDefault="00AE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898722"/>
      <w:docPartObj>
        <w:docPartGallery w:val="Page Numbers (Top of Page)"/>
        <w:docPartUnique/>
      </w:docPartObj>
    </w:sdtPr>
    <w:sdtEndPr>
      <w:rPr>
        <w:noProof/>
        <w:sz w:val="20"/>
        <w:szCs w:val="20"/>
      </w:rPr>
    </w:sdtEndPr>
    <w:sdtContent>
      <w:p w:rsidR="00E32ECB" w:rsidRPr="00E32ECB" w:rsidRDefault="00E32ECB">
        <w:pPr>
          <w:pStyle w:val="Header"/>
          <w:jc w:val="center"/>
          <w:rPr>
            <w:sz w:val="20"/>
            <w:szCs w:val="20"/>
          </w:rPr>
        </w:pPr>
        <w:r w:rsidRPr="00E32ECB">
          <w:rPr>
            <w:sz w:val="20"/>
            <w:szCs w:val="20"/>
          </w:rPr>
          <w:fldChar w:fldCharType="begin"/>
        </w:r>
        <w:r w:rsidRPr="00E32ECB">
          <w:rPr>
            <w:sz w:val="20"/>
            <w:szCs w:val="20"/>
          </w:rPr>
          <w:instrText xml:space="preserve"> PAGE   \* MERGEFORMAT </w:instrText>
        </w:r>
        <w:r w:rsidRPr="00E32ECB">
          <w:rPr>
            <w:sz w:val="20"/>
            <w:szCs w:val="20"/>
          </w:rPr>
          <w:fldChar w:fldCharType="separate"/>
        </w:r>
        <w:r w:rsidR="00E06DD3">
          <w:rPr>
            <w:noProof/>
            <w:sz w:val="20"/>
            <w:szCs w:val="20"/>
          </w:rPr>
          <w:t>5</w:t>
        </w:r>
        <w:r w:rsidRPr="00E32ECB">
          <w:rPr>
            <w:noProof/>
            <w:sz w:val="20"/>
            <w:szCs w:val="20"/>
          </w:rPr>
          <w:fldChar w:fldCharType="end"/>
        </w:r>
      </w:p>
    </w:sdtContent>
  </w:sdt>
  <w:p w:rsidR="00E32ECB" w:rsidRDefault="00E32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2" w:rsidRDefault="00AE0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CB"/>
    <w:rsid w:val="000C694D"/>
    <w:rsid w:val="001C1939"/>
    <w:rsid w:val="002378FB"/>
    <w:rsid w:val="00271409"/>
    <w:rsid w:val="002B7112"/>
    <w:rsid w:val="003C6B8B"/>
    <w:rsid w:val="005F38CE"/>
    <w:rsid w:val="007C6116"/>
    <w:rsid w:val="008A761A"/>
    <w:rsid w:val="008E765D"/>
    <w:rsid w:val="00AD7908"/>
    <w:rsid w:val="00AE0402"/>
    <w:rsid w:val="00D26D3C"/>
    <w:rsid w:val="00E06DD3"/>
    <w:rsid w:val="00E32ECB"/>
    <w:rsid w:val="00FF2B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9849-80FC-4FD3-A1DE-0DE38728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C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CB"/>
    <w:pPr>
      <w:ind w:left="720"/>
      <w:contextualSpacing/>
    </w:pPr>
  </w:style>
  <w:style w:type="character" w:styleId="Hyperlink">
    <w:name w:val="Hyperlink"/>
    <w:basedOn w:val="DefaultParagraphFont"/>
    <w:uiPriority w:val="99"/>
    <w:semiHidden/>
    <w:unhideWhenUsed/>
    <w:rsid w:val="00E32ECB"/>
    <w:rPr>
      <w:color w:val="0563C1" w:themeColor="hyperlink"/>
      <w:u w:val="single"/>
    </w:rPr>
  </w:style>
  <w:style w:type="paragraph" w:styleId="Header">
    <w:name w:val="header"/>
    <w:basedOn w:val="Normal"/>
    <w:link w:val="HeaderChar"/>
    <w:uiPriority w:val="99"/>
    <w:unhideWhenUsed/>
    <w:rsid w:val="00E32E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ECB"/>
    <w:rPr>
      <w:rFonts w:ascii="Times New Roman" w:hAnsi="Times New Roman"/>
      <w:sz w:val="28"/>
    </w:rPr>
  </w:style>
  <w:style w:type="paragraph" w:styleId="Footer">
    <w:name w:val="footer"/>
    <w:basedOn w:val="Normal"/>
    <w:link w:val="FooterChar"/>
    <w:uiPriority w:val="99"/>
    <w:unhideWhenUsed/>
    <w:rsid w:val="00E32E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ECB"/>
    <w:rPr>
      <w:rFonts w:ascii="Times New Roman" w:hAnsi="Times New Roman"/>
      <w:sz w:val="28"/>
    </w:rPr>
  </w:style>
  <w:style w:type="paragraph" w:styleId="BalloonText">
    <w:name w:val="Balloon Text"/>
    <w:basedOn w:val="Normal"/>
    <w:link w:val="BalloonTextChar"/>
    <w:uiPriority w:val="99"/>
    <w:semiHidden/>
    <w:unhideWhenUsed/>
    <w:rsid w:val="0023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1. pielikums</Kategorija>
    <TAP xmlns="1c33a644-f6cf-45d4-832d-e32e0e370d68">148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F8D2B-935E-45EA-9148-24FE6B88A24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5D65B160-8722-40C5-848F-27519C17B9AE}">
  <ds:schemaRefs>
    <ds:schemaRef ds:uri="http://schemas.microsoft.com/sharepoint/v3/contenttype/forms"/>
  </ds:schemaRefs>
</ds:datastoreItem>
</file>

<file path=customXml/itemProps3.xml><?xml version="1.0" encoding="utf-8"?>
<ds:datastoreItem xmlns:ds="http://schemas.openxmlformats.org/officeDocument/2006/customXml" ds:itemID="{13433B11-428F-4064-89C0-CF0816BF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4239</Words>
  <Characters>2417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"Noteikumi par Padziļinātās sadarbības programmas darbību" 1. pielikums </vt:lpstr>
    </vt:vector>
  </TitlesOfParts>
  <Company>Finansu Ministrija, Valsts ieņēmumu dienests</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Padziļinātās sadarbības programmas darbību" 1. pielikums</dc:title>
  <dc:subject/>
  <dc:creator>Š.Edgars, A.Senatova</dc:creator>
  <cp:keywords/>
  <dc:description>Edgars Šidlovskis, 67083894,_x000d_
Edgars.Sidlovskis@fm.gov.lv_x000d_
Anna Senatova, 67121918,_x000d_
Anna.Senatova@vid.gov.lv</dc:description>
  <cp:lastModifiedBy>Inguna Dancīte</cp:lastModifiedBy>
  <cp:revision>2</cp:revision>
  <cp:lastPrinted>2018-09-19T13:31:00Z</cp:lastPrinted>
  <dcterms:created xsi:type="dcterms:W3CDTF">2018-09-20T12:43:00Z</dcterms:created>
  <dcterms:modified xsi:type="dcterms:W3CDTF">2018-09-20T12:43:00Z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