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D573C" w14:textId="77777777" w:rsidR="00263928" w:rsidRPr="00217688" w:rsidRDefault="00263928" w:rsidP="00D52C4C">
      <w:pPr>
        <w:jc w:val="center"/>
        <w:rPr>
          <w:b/>
          <w:noProof w:val="0"/>
        </w:rPr>
      </w:pPr>
      <w:bookmarkStart w:id="0" w:name="_GoBack"/>
      <w:bookmarkEnd w:id="0"/>
      <w:r w:rsidRPr="00217688">
        <w:rPr>
          <w:b/>
          <w:noProof w:val="0"/>
        </w:rPr>
        <w:t xml:space="preserve">Informatīvais ziņojums </w:t>
      </w:r>
    </w:p>
    <w:p w14:paraId="58A87B07" w14:textId="77777777" w:rsidR="00074495" w:rsidRPr="00217688" w:rsidRDefault="00263928" w:rsidP="00D52C4C">
      <w:pPr>
        <w:jc w:val="center"/>
        <w:rPr>
          <w:b/>
          <w:noProof w:val="0"/>
        </w:rPr>
      </w:pPr>
      <w:r w:rsidRPr="00217688">
        <w:rPr>
          <w:b/>
          <w:noProof w:val="0"/>
        </w:rPr>
        <w:t xml:space="preserve">par </w:t>
      </w:r>
      <w:r w:rsidR="008053C6" w:rsidRPr="00217688">
        <w:rPr>
          <w:b/>
          <w:noProof w:val="0"/>
        </w:rPr>
        <w:t xml:space="preserve">Pasaules Bankas </w:t>
      </w:r>
      <w:r w:rsidR="008A12CE">
        <w:rPr>
          <w:b/>
          <w:noProof w:val="0"/>
        </w:rPr>
        <w:t>g</w:t>
      </w:r>
      <w:r w:rsidR="008053C6" w:rsidRPr="00217688">
        <w:rPr>
          <w:b/>
          <w:noProof w:val="0"/>
        </w:rPr>
        <w:t xml:space="preserve">rupas </w:t>
      </w:r>
      <w:r w:rsidRPr="00217688">
        <w:rPr>
          <w:b/>
          <w:noProof w:val="0"/>
        </w:rPr>
        <w:t xml:space="preserve">kapitāla stiprināšanas </w:t>
      </w:r>
      <w:proofErr w:type="spellStart"/>
      <w:r w:rsidR="008053C6" w:rsidRPr="00217688">
        <w:rPr>
          <w:b/>
          <w:noProof w:val="0"/>
        </w:rPr>
        <w:t>pakotni</w:t>
      </w:r>
      <w:proofErr w:type="spellEnd"/>
      <w:r w:rsidRPr="00217688">
        <w:rPr>
          <w:b/>
          <w:noProof w:val="0"/>
        </w:rPr>
        <w:t xml:space="preserve"> </w:t>
      </w:r>
    </w:p>
    <w:p w14:paraId="52849A67" w14:textId="77777777" w:rsidR="001D13B4" w:rsidRPr="00217688" w:rsidRDefault="001D13B4" w:rsidP="00D52C4C">
      <w:pPr>
        <w:jc w:val="center"/>
        <w:rPr>
          <w:b/>
          <w:noProof w:val="0"/>
        </w:rPr>
      </w:pPr>
    </w:p>
    <w:p w14:paraId="4424399C" w14:textId="77777777" w:rsidR="00634771" w:rsidRPr="00217688" w:rsidRDefault="00634771" w:rsidP="00210755">
      <w:pPr>
        <w:jc w:val="center"/>
        <w:rPr>
          <w:b/>
          <w:noProof w:val="0"/>
        </w:rPr>
      </w:pPr>
    </w:p>
    <w:p w14:paraId="3CC2E77E" w14:textId="77777777" w:rsidR="000B16CC" w:rsidRPr="00217688" w:rsidRDefault="00634771" w:rsidP="00E20551">
      <w:pPr>
        <w:pStyle w:val="Default"/>
        <w:numPr>
          <w:ilvl w:val="0"/>
          <w:numId w:val="14"/>
        </w:numPr>
        <w:jc w:val="center"/>
        <w:rPr>
          <w:b/>
          <w:szCs w:val="23"/>
          <w:lang w:val="lv-LV"/>
        </w:rPr>
      </w:pPr>
      <w:r w:rsidRPr="00217688">
        <w:rPr>
          <w:b/>
          <w:szCs w:val="23"/>
          <w:lang w:val="lv-LV"/>
        </w:rPr>
        <w:t xml:space="preserve">Globālās </w:t>
      </w:r>
      <w:r w:rsidR="001D13B4" w:rsidRPr="00217688">
        <w:rPr>
          <w:b/>
          <w:szCs w:val="23"/>
          <w:lang w:val="lv-LV"/>
        </w:rPr>
        <w:t>ekonomikas attīstība</w:t>
      </w:r>
    </w:p>
    <w:p w14:paraId="1C37B41A" w14:textId="77777777" w:rsidR="00853570" w:rsidRDefault="00836B18" w:rsidP="00853570">
      <w:pPr>
        <w:pStyle w:val="Default"/>
        <w:spacing w:before="120"/>
        <w:jc w:val="both"/>
        <w:rPr>
          <w:lang w:val="lv-LV"/>
        </w:rPr>
      </w:pPr>
      <w:r w:rsidRPr="00217688">
        <w:rPr>
          <w:b/>
          <w:lang w:val="lv-LV"/>
        </w:rPr>
        <w:t>Globā</w:t>
      </w:r>
      <w:r w:rsidR="0029133A" w:rsidRPr="00217688">
        <w:rPr>
          <w:b/>
          <w:lang w:val="lv-LV"/>
        </w:rPr>
        <w:t>l</w:t>
      </w:r>
      <w:r w:rsidRPr="00217688">
        <w:rPr>
          <w:b/>
          <w:lang w:val="lv-LV"/>
        </w:rPr>
        <w:t>ā</w:t>
      </w:r>
      <w:r w:rsidR="0029133A" w:rsidRPr="00217688">
        <w:rPr>
          <w:b/>
          <w:lang w:val="lv-LV"/>
        </w:rPr>
        <w:t>s ekonomikas izaugsmes temp</w:t>
      </w:r>
      <w:r w:rsidRPr="00217688">
        <w:rPr>
          <w:b/>
          <w:lang w:val="lv-LV"/>
        </w:rPr>
        <w:t>i pakā</w:t>
      </w:r>
      <w:r w:rsidR="0029133A" w:rsidRPr="00217688">
        <w:rPr>
          <w:b/>
          <w:lang w:val="lv-LV"/>
        </w:rPr>
        <w:t xml:space="preserve">peniski </w:t>
      </w:r>
      <w:r w:rsidR="00EF4663" w:rsidRPr="00217688">
        <w:rPr>
          <w:b/>
          <w:lang w:val="lv-LV"/>
        </w:rPr>
        <w:t>pal</w:t>
      </w:r>
      <w:r w:rsidR="00EF4663">
        <w:rPr>
          <w:b/>
          <w:lang w:val="lv-LV"/>
        </w:rPr>
        <w:t>ēn</w:t>
      </w:r>
      <w:r w:rsidR="00EF4663" w:rsidRPr="00217688">
        <w:rPr>
          <w:b/>
          <w:lang w:val="lv-LV"/>
        </w:rPr>
        <w:t>ināsies</w:t>
      </w:r>
      <w:r w:rsidR="0029133A" w:rsidRPr="00217688">
        <w:rPr>
          <w:b/>
          <w:lang w:val="lv-LV"/>
        </w:rPr>
        <w:t>.</w:t>
      </w:r>
      <w:r w:rsidR="0029133A" w:rsidRPr="00217688">
        <w:rPr>
          <w:lang w:val="lv-LV"/>
        </w:rPr>
        <w:t xml:space="preserve"> </w:t>
      </w:r>
      <w:r w:rsidR="00A32CE4" w:rsidRPr="00217688">
        <w:rPr>
          <w:lang w:val="lv-LV"/>
        </w:rPr>
        <w:t xml:space="preserve">2018.gadā </w:t>
      </w:r>
      <w:r w:rsidR="000856C6" w:rsidRPr="00217688">
        <w:rPr>
          <w:lang w:val="lv-LV"/>
        </w:rPr>
        <w:t>g</w:t>
      </w:r>
      <w:r w:rsidR="008442A9" w:rsidRPr="00217688">
        <w:rPr>
          <w:lang w:val="lv-LV"/>
        </w:rPr>
        <w:t xml:space="preserve">lobālā </w:t>
      </w:r>
      <w:r w:rsidR="009D7EFA" w:rsidRPr="00217688">
        <w:rPr>
          <w:lang w:val="lv-LV"/>
        </w:rPr>
        <w:t xml:space="preserve">ekonomiskā </w:t>
      </w:r>
      <w:r w:rsidR="008442A9" w:rsidRPr="00217688">
        <w:rPr>
          <w:lang w:val="lv-LV"/>
        </w:rPr>
        <w:t xml:space="preserve">izaugsme </w:t>
      </w:r>
      <w:r w:rsidR="009D7EFA" w:rsidRPr="00217688">
        <w:rPr>
          <w:lang w:val="lv-LV"/>
        </w:rPr>
        <w:t xml:space="preserve">saglabāsies stabila, sasniedzot 3.1 procentu, </w:t>
      </w:r>
      <w:r w:rsidR="00115744" w:rsidRPr="00217688">
        <w:rPr>
          <w:lang w:val="lv-LV"/>
        </w:rPr>
        <w:t>savukārt</w:t>
      </w:r>
      <w:r w:rsidR="00A32CE4" w:rsidRPr="00217688">
        <w:rPr>
          <w:lang w:val="lv-LV"/>
        </w:rPr>
        <w:t xml:space="preserve">, </w:t>
      </w:r>
      <w:r w:rsidR="009D7EFA" w:rsidRPr="00217688">
        <w:rPr>
          <w:lang w:val="lv-LV"/>
        </w:rPr>
        <w:t>nākamajos divos gados</w:t>
      </w:r>
      <w:r w:rsidR="00A32CE4" w:rsidRPr="00217688">
        <w:rPr>
          <w:lang w:val="lv-LV"/>
        </w:rPr>
        <w:t xml:space="preserve"> t</w:t>
      </w:r>
      <w:r w:rsidR="00115744" w:rsidRPr="00217688">
        <w:rPr>
          <w:lang w:val="lv-LV"/>
        </w:rPr>
        <w:t>ā</w:t>
      </w:r>
      <w:r w:rsidR="009D7EFA" w:rsidRPr="00217688">
        <w:rPr>
          <w:lang w:val="lv-LV"/>
        </w:rPr>
        <w:t xml:space="preserve"> pakāpeniski </w:t>
      </w:r>
      <w:r w:rsidR="00115744" w:rsidRPr="00217688">
        <w:rPr>
          <w:lang w:val="lv-LV"/>
        </w:rPr>
        <w:t>palēnināsies</w:t>
      </w:r>
      <w:r w:rsidR="002C0CD5" w:rsidRPr="00217688">
        <w:rPr>
          <w:lang w:val="lv-LV"/>
        </w:rPr>
        <w:t xml:space="preserve"> līdz 2.9 procentiem 2020.gadā</w:t>
      </w:r>
      <w:r w:rsidR="009D7EFA" w:rsidRPr="00217688">
        <w:rPr>
          <w:lang w:val="lv-LV"/>
        </w:rPr>
        <w:t>, ņemot vērā attīstīto valstu ekonomiskās izaugsmes tempa palēnināšanos un jaunattīstības un attīstības valstu, kas ir lielākās preču eksportētājas, ekonomikas atveseļošanās tempa samazināšanos.</w:t>
      </w:r>
      <w:r w:rsidR="006D42B4" w:rsidRPr="00217688">
        <w:rPr>
          <w:lang w:val="lv-LV"/>
        </w:rPr>
        <w:t xml:space="preserve"> </w:t>
      </w:r>
      <w:r w:rsidR="0065146B" w:rsidRPr="00217688">
        <w:rPr>
          <w:lang w:val="lv-LV"/>
        </w:rPr>
        <w:t xml:space="preserve">2018.gadā </w:t>
      </w:r>
      <w:r w:rsidR="00D208F1" w:rsidRPr="00217688">
        <w:rPr>
          <w:lang w:val="lv-LV"/>
        </w:rPr>
        <w:t>ekonomisk</w:t>
      </w:r>
      <w:r w:rsidR="00115744" w:rsidRPr="00217688">
        <w:rPr>
          <w:lang w:val="lv-LV"/>
        </w:rPr>
        <w:t>ā</w:t>
      </w:r>
      <w:r w:rsidR="00D208F1" w:rsidRPr="00217688">
        <w:rPr>
          <w:lang w:val="lv-LV"/>
        </w:rPr>
        <w:t xml:space="preserve"> </w:t>
      </w:r>
      <w:r w:rsidR="0065146B" w:rsidRPr="00217688">
        <w:rPr>
          <w:lang w:val="lv-LV"/>
        </w:rPr>
        <w:t>i</w:t>
      </w:r>
      <w:r w:rsidR="006D42B4" w:rsidRPr="00217688">
        <w:rPr>
          <w:lang w:val="lv-LV"/>
        </w:rPr>
        <w:t>zaugsme attīstītajās valstīs prognozēta 2.2 procentu apmērā</w:t>
      </w:r>
      <w:r w:rsidR="000B1E8C" w:rsidRPr="00217688">
        <w:rPr>
          <w:lang w:val="lv-LV"/>
        </w:rPr>
        <w:t>, bet</w:t>
      </w:r>
      <w:r w:rsidR="006D42B4" w:rsidRPr="00217688">
        <w:rPr>
          <w:lang w:val="lv-LV"/>
        </w:rPr>
        <w:t xml:space="preserve"> jaunattīstības un attīstības valstīs 4.5 procent</w:t>
      </w:r>
      <w:r w:rsidR="000B1E8C" w:rsidRPr="00217688">
        <w:rPr>
          <w:lang w:val="lv-LV"/>
        </w:rPr>
        <w:t>u apmērā</w:t>
      </w:r>
      <w:r w:rsidR="00D208F1" w:rsidRPr="00217688">
        <w:rPr>
          <w:lang w:val="lv-LV"/>
        </w:rPr>
        <w:t>.</w:t>
      </w:r>
      <w:r w:rsidR="0065146B" w:rsidRPr="00217688">
        <w:rPr>
          <w:lang w:val="lv-LV"/>
        </w:rPr>
        <w:t xml:space="preserve"> </w:t>
      </w:r>
      <w:r w:rsidR="00D208F1" w:rsidRPr="00217688">
        <w:rPr>
          <w:lang w:val="lv-LV"/>
        </w:rPr>
        <w:t>S</w:t>
      </w:r>
      <w:r w:rsidR="0065146B" w:rsidRPr="00217688">
        <w:rPr>
          <w:lang w:val="lv-LV"/>
        </w:rPr>
        <w:t>avukārt</w:t>
      </w:r>
      <w:r w:rsidR="00D208F1" w:rsidRPr="00217688">
        <w:rPr>
          <w:lang w:val="lv-LV"/>
        </w:rPr>
        <w:t>,</w:t>
      </w:r>
      <w:r w:rsidR="006D42B4" w:rsidRPr="00217688">
        <w:rPr>
          <w:lang w:val="lv-LV"/>
        </w:rPr>
        <w:t xml:space="preserve"> 2019.</w:t>
      </w:r>
      <w:r w:rsidR="000B1E8C" w:rsidRPr="00217688">
        <w:rPr>
          <w:lang w:val="lv-LV"/>
        </w:rPr>
        <w:t xml:space="preserve"> un 2020.</w:t>
      </w:r>
      <w:r w:rsidR="006D42B4" w:rsidRPr="00217688">
        <w:rPr>
          <w:lang w:val="lv-LV"/>
        </w:rPr>
        <w:t>gadā</w:t>
      </w:r>
      <w:r w:rsidR="00D208F1" w:rsidRPr="00217688">
        <w:rPr>
          <w:lang w:val="lv-LV"/>
        </w:rPr>
        <w:t xml:space="preserve"> </w:t>
      </w:r>
      <w:r w:rsidR="000B1E8C" w:rsidRPr="00217688">
        <w:rPr>
          <w:lang w:val="lv-LV"/>
        </w:rPr>
        <w:t xml:space="preserve">jaunattīstības un attīstības valstu </w:t>
      </w:r>
      <w:r w:rsidR="00D208F1" w:rsidRPr="00217688">
        <w:rPr>
          <w:lang w:val="lv-LV"/>
        </w:rPr>
        <w:t>ekonomisk</w:t>
      </w:r>
      <w:r w:rsidR="00115744" w:rsidRPr="00217688">
        <w:rPr>
          <w:lang w:val="lv-LV"/>
        </w:rPr>
        <w:t>ā</w:t>
      </w:r>
      <w:r w:rsidR="00D208F1" w:rsidRPr="00217688">
        <w:rPr>
          <w:lang w:val="lv-LV"/>
        </w:rPr>
        <w:t xml:space="preserve"> izaugsme </w:t>
      </w:r>
      <w:r w:rsidR="000B1E8C" w:rsidRPr="00217688">
        <w:rPr>
          <w:lang w:val="lv-LV"/>
        </w:rPr>
        <w:t xml:space="preserve">sasniegs </w:t>
      </w:r>
      <w:r w:rsidR="0065146B" w:rsidRPr="00217688">
        <w:rPr>
          <w:lang w:val="lv-LV"/>
        </w:rPr>
        <w:t>4.7 procentu</w:t>
      </w:r>
      <w:r w:rsidR="000B1E8C" w:rsidRPr="00217688">
        <w:rPr>
          <w:lang w:val="lv-LV"/>
        </w:rPr>
        <w:t>s</w:t>
      </w:r>
      <w:r w:rsidR="00605909" w:rsidRPr="00217688">
        <w:rPr>
          <w:lang w:val="lv-LV"/>
        </w:rPr>
        <w:t xml:space="preserve"> (1.attē</w:t>
      </w:r>
      <w:r w:rsidR="00853570" w:rsidRPr="00217688">
        <w:rPr>
          <w:lang w:val="lv-LV"/>
        </w:rPr>
        <w:t>ls)</w:t>
      </w:r>
      <w:r w:rsidR="0065146B" w:rsidRPr="00217688">
        <w:rPr>
          <w:lang w:val="lv-LV"/>
        </w:rPr>
        <w:t>.</w:t>
      </w:r>
      <w:r w:rsidR="000B1E8C" w:rsidRPr="00217688">
        <w:rPr>
          <w:rStyle w:val="FootnoteReference"/>
          <w:lang w:val="lv-LV"/>
        </w:rPr>
        <w:footnoteReference w:id="1"/>
      </w:r>
      <w:r w:rsidR="00853570" w:rsidRPr="00217688">
        <w:rPr>
          <w:lang w:val="lv-LV"/>
        </w:rPr>
        <w:t xml:space="preserve"> Lēnāks attīstības progress pieaugošajās jaunattīstības valstīs var rad</w:t>
      </w:r>
      <w:r w:rsidRPr="00217688">
        <w:rPr>
          <w:lang w:val="lv-LV"/>
        </w:rPr>
        <w:t>ī</w:t>
      </w:r>
      <w:r w:rsidR="00853570" w:rsidRPr="00217688">
        <w:rPr>
          <w:lang w:val="lv-LV"/>
        </w:rPr>
        <w:t>t spiedienu uz p</w:t>
      </w:r>
      <w:r w:rsidRPr="00217688">
        <w:rPr>
          <w:lang w:val="lv-LV"/>
        </w:rPr>
        <w:t>ā</w:t>
      </w:r>
      <w:r w:rsidR="00172690" w:rsidRPr="00217688">
        <w:rPr>
          <w:lang w:val="lv-LV"/>
        </w:rPr>
        <w:t>rē</w:t>
      </w:r>
      <w:r w:rsidR="00853570" w:rsidRPr="00217688">
        <w:rPr>
          <w:lang w:val="lv-LV"/>
        </w:rPr>
        <w:t>j</w:t>
      </w:r>
      <w:r w:rsidRPr="00217688">
        <w:rPr>
          <w:lang w:val="lv-LV"/>
        </w:rPr>
        <w:t>ā</w:t>
      </w:r>
      <w:r w:rsidR="00853570" w:rsidRPr="00217688">
        <w:rPr>
          <w:lang w:val="lv-LV"/>
        </w:rPr>
        <w:t>m pasaules valst</w:t>
      </w:r>
      <w:r w:rsidRPr="00217688">
        <w:rPr>
          <w:lang w:val="lv-LV"/>
        </w:rPr>
        <w:t>ī</w:t>
      </w:r>
      <w:r w:rsidR="00853570" w:rsidRPr="00217688">
        <w:rPr>
          <w:lang w:val="lv-LV"/>
        </w:rPr>
        <w:t xml:space="preserve">m. Jaunās informāciju tehnoloģijas palielina cilvēku izpratni par labāku dzīvi, vienlaikus lēnāka izaugsme varētu mazināt attīstības progresu un radīt vēl lielāku nevienlīdzību starp valstīm, palielinot migrācijas spiedienu un ierobežojot tirdzniecību. Tam varētu būt tieša ekonomiska ietekme uz augsta ienākuma valstīm, ņemot vērā vidēju ienākumu valstu kā eksporta valstu pieaugošo nozīmi. </w:t>
      </w:r>
      <w:r w:rsidR="00EF4663">
        <w:rPr>
          <w:lang w:val="lv-LV"/>
        </w:rPr>
        <w:t>Tāpat</w:t>
      </w:r>
      <w:r w:rsidR="006B68AA">
        <w:rPr>
          <w:lang w:val="lv-LV"/>
        </w:rPr>
        <w:t xml:space="preserve"> ar</w:t>
      </w:r>
      <w:r w:rsidR="00EF4663">
        <w:rPr>
          <w:lang w:val="lv-LV"/>
        </w:rPr>
        <w:t>ī</w:t>
      </w:r>
      <w:r w:rsidR="00853570" w:rsidRPr="00217688">
        <w:rPr>
          <w:lang w:val="lv-LV"/>
        </w:rPr>
        <w:t xml:space="preserve"> automatizēts darba process</w:t>
      </w:r>
      <w:r w:rsidR="006B68AA">
        <w:rPr>
          <w:lang w:val="lv-LV"/>
        </w:rPr>
        <w:t xml:space="preserve"> var </w:t>
      </w:r>
      <w:r w:rsidR="00EF4663">
        <w:rPr>
          <w:lang w:val="lv-LV"/>
        </w:rPr>
        <w:t>mazināt darbavietu</w:t>
      </w:r>
      <w:r w:rsidR="00853570" w:rsidRPr="00217688">
        <w:rPr>
          <w:lang w:val="lv-LV"/>
        </w:rPr>
        <w:t xml:space="preserve"> radīšanu jaunattīstības valstīs. Šīs tendences vienlaikus ar strauju iedzīvotāju skaita pieaugumu var radīt konfliktus, nestabilitāti, kā arī veicināt iedzīvotāju pārvietošanos un migrāciju, un tam var būt reģionāla un globāla ietekme.</w:t>
      </w:r>
      <w:r w:rsidR="00B203CD" w:rsidRPr="00217688">
        <w:rPr>
          <w:rStyle w:val="FootnoteReference"/>
          <w:lang w:val="lv-LV"/>
        </w:rPr>
        <w:footnoteReference w:id="2"/>
      </w:r>
      <w:r w:rsidR="00853570" w:rsidRPr="00217688">
        <w:rPr>
          <w:lang w:val="lv-LV"/>
        </w:rPr>
        <w:t xml:space="preserve"> </w:t>
      </w:r>
    </w:p>
    <w:p w14:paraId="20050F6E" w14:textId="77777777" w:rsidR="002858C6" w:rsidRPr="00217688" w:rsidRDefault="002858C6" w:rsidP="00853570">
      <w:pPr>
        <w:pStyle w:val="Default"/>
        <w:spacing w:before="120"/>
        <w:jc w:val="both"/>
        <w:rPr>
          <w:lang w:val="lv-LV"/>
        </w:rPr>
      </w:pPr>
    </w:p>
    <w:p w14:paraId="7D2DBB76" w14:textId="77777777" w:rsidR="00554F60" w:rsidRPr="00217688" w:rsidRDefault="00706B35" w:rsidP="00706B35">
      <w:pPr>
        <w:pStyle w:val="Default"/>
        <w:spacing w:before="120" w:after="120"/>
        <w:jc w:val="center"/>
        <w:rPr>
          <w:lang w:val="lv-LV"/>
        </w:rPr>
      </w:pPr>
      <w:r w:rsidRPr="00217688">
        <w:rPr>
          <w:noProof/>
          <w:lang w:val="en-GB" w:eastAsia="en-GB"/>
        </w:rPr>
        <w:drawing>
          <wp:inline distT="0" distB="0" distL="0" distR="0" wp14:anchorId="697201F1" wp14:editId="55C1780E">
            <wp:extent cx="2494348" cy="17922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802" cy="1801172"/>
                    </a:xfrm>
                    <a:prstGeom prst="rect">
                      <a:avLst/>
                    </a:prstGeom>
                    <a:noFill/>
                    <a:ln>
                      <a:noFill/>
                    </a:ln>
                  </pic:spPr>
                </pic:pic>
              </a:graphicData>
            </a:graphic>
          </wp:inline>
        </w:drawing>
      </w:r>
    </w:p>
    <w:p w14:paraId="5E7D892A" w14:textId="77777777" w:rsidR="00B36A70" w:rsidRPr="00217688" w:rsidRDefault="00B36A70" w:rsidP="00B36A70">
      <w:pPr>
        <w:pStyle w:val="Default"/>
        <w:spacing w:before="120" w:after="120"/>
        <w:jc w:val="center"/>
        <w:rPr>
          <w:i/>
          <w:sz w:val="20"/>
          <w:lang w:val="lv-LV"/>
        </w:rPr>
      </w:pPr>
      <w:r w:rsidRPr="00217688">
        <w:rPr>
          <w:i/>
          <w:sz w:val="20"/>
          <w:lang w:val="lv-LV"/>
        </w:rPr>
        <w:t>1.attēls. Globālā izaugsme attīstītajās un jaunattīstības/attīstības valstīs, % (Avots: WBG)</w:t>
      </w:r>
    </w:p>
    <w:p w14:paraId="1103EE4C" w14:textId="77777777" w:rsidR="00195F31" w:rsidRPr="00217688" w:rsidRDefault="00195F31" w:rsidP="00C14C74">
      <w:pPr>
        <w:pStyle w:val="Default"/>
        <w:spacing w:before="120" w:after="120"/>
        <w:jc w:val="center"/>
        <w:rPr>
          <w:lang w:val="lv-LV"/>
        </w:rPr>
      </w:pPr>
    </w:p>
    <w:p w14:paraId="5ED98B83" w14:textId="183AE702" w:rsidR="00853570" w:rsidRPr="00217688" w:rsidRDefault="006B68AA" w:rsidP="00E36C2B">
      <w:pPr>
        <w:pStyle w:val="Default"/>
        <w:spacing w:before="120" w:after="120"/>
        <w:jc w:val="both"/>
        <w:rPr>
          <w:lang w:val="lv-LV"/>
        </w:rPr>
      </w:pPr>
      <w:r>
        <w:rPr>
          <w:b/>
          <w:lang w:val="lv-LV"/>
        </w:rPr>
        <w:t>P</w:t>
      </w:r>
      <w:r w:rsidR="00836B18" w:rsidRPr="00217688">
        <w:rPr>
          <w:b/>
          <w:lang w:val="lv-LV"/>
        </w:rPr>
        <w:t>asaulē nabadzības samazināšanai ir panākts būtisks progress pē</w:t>
      </w:r>
      <w:r w:rsidR="00C14C74" w:rsidRPr="00217688">
        <w:rPr>
          <w:b/>
          <w:lang w:val="lv-LV"/>
        </w:rPr>
        <w:t>d</w:t>
      </w:r>
      <w:r w:rsidR="00836B18" w:rsidRPr="00217688">
        <w:rPr>
          <w:b/>
          <w:lang w:val="lv-LV"/>
        </w:rPr>
        <w:t>ē</w:t>
      </w:r>
      <w:r w:rsidR="00C14C74" w:rsidRPr="00217688">
        <w:rPr>
          <w:b/>
          <w:lang w:val="lv-LV"/>
        </w:rPr>
        <w:t>j</w:t>
      </w:r>
      <w:r w:rsidR="00836B18" w:rsidRPr="00217688">
        <w:rPr>
          <w:b/>
          <w:lang w:val="lv-LV"/>
        </w:rPr>
        <w:t>ā</w:t>
      </w:r>
      <w:r w:rsidR="00C14C74" w:rsidRPr="00217688">
        <w:rPr>
          <w:b/>
          <w:lang w:val="lv-LV"/>
        </w:rPr>
        <w:t>s div</w:t>
      </w:r>
      <w:r w:rsidR="00836B18" w:rsidRPr="00217688">
        <w:rPr>
          <w:b/>
          <w:lang w:val="lv-LV"/>
        </w:rPr>
        <w:t>ā</w:t>
      </w:r>
      <w:r w:rsidR="00C14C74" w:rsidRPr="00217688">
        <w:rPr>
          <w:b/>
          <w:lang w:val="lv-LV"/>
        </w:rPr>
        <w:t>s dek</w:t>
      </w:r>
      <w:r w:rsidR="00836B18" w:rsidRPr="00217688">
        <w:rPr>
          <w:b/>
          <w:lang w:val="lv-LV"/>
        </w:rPr>
        <w:t>ā</w:t>
      </w:r>
      <w:r w:rsidR="00C14C74" w:rsidRPr="00217688">
        <w:rPr>
          <w:b/>
          <w:lang w:val="lv-LV"/>
        </w:rPr>
        <w:t>d</w:t>
      </w:r>
      <w:r w:rsidR="00836B18" w:rsidRPr="00217688">
        <w:rPr>
          <w:b/>
          <w:lang w:val="lv-LV"/>
        </w:rPr>
        <w:t>ē</w:t>
      </w:r>
      <w:r w:rsidR="00C14C74" w:rsidRPr="00217688">
        <w:rPr>
          <w:b/>
          <w:lang w:val="lv-LV"/>
        </w:rPr>
        <w:t xml:space="preserve">s, </w:t>
      </w:r>
      <w:r w:rsidR="00853570" w:rsidRPr="00217688">
        <w:rPr>
          <w:b/>
          <w:lang w:val="lv-LV"/>
        </w:rPr>
        <w:t>izce</w:t>
      </w:r>
      <w:r w:rsidR="00836B18" w:rsidRPr="00217688">
        <w:rPr>
          <w:b/>
          <w:lang w:val="lv-LV"/>
        </w:rPr>
        <w:t>ļ</w:t>
      </w:r>
      <w:r w:rsidR="00853570" w:rsidRPr="00217688">
        <w:rPr>
          <w:b/>
          <w:lang w:val="lv-LV"/>
        </w:rPr>
        <w:t>ot</w:t>
      </w:r>
      <w:r w:rsidR="00C14C74" w:rsidRPr="00217688">
        <w:rPr>
          <w:b/>
          <w:lang w:val="lv-LV"/>
        </w:rPr>
        <w:t xml:space="preserve"> vair</w:t>
      </w:r>
      <w:r w:rsidR="00836B18" w:rsidRPr="00217688">
        <w:rPr>
          <w:b/>
          <w:lang w:val="lv-LV"/>
        </w:rPr>
        <w:t>ā</w:t>
      </w:r>
      <w:r w:rsidR="00C14C74" w:rsidRPr="00217688">
        <w:rPr>
          <w:b/>
          <w:lang w:val="lv-LV"/>
        </w:rPr>
        <w:t>k k</w:t>
      </w:r>
      <w:r w:rsidR="00836B18" w:rsidRPr="00217688">
        <w:rPr>
          <w:b/>
          <w:lang w:val="lv-LV"/>
        </w:rPr>
        <w:t>ā</w:t>
      </w:r>
      <w:r w:rsidR="00C14C74" w:rsidRPr="00217688">
        <w:rPr>
          <w:b/>
          <w:lang w:val="lv-LV"/>
        </w:rPr>
        <w:t xml:space="preserve"> miljardu cilv</w:t>
      </w:r>
      <w:r w:rsidR="00836B18" w:rsidRPr="00217688">
        <w:rPr>
          <w:b/>
          <w:lang w:val="lv-LV"/>
        </w:rPr>
        <w:t xml:space="preserve">ēku no </w:t>
      </w:r>
      <w:r w:rsidR="00C14C74" w:rsidRPr="00217688">
        <w:rPr>
          <w:b/>
          <w:lang w:val="lv-LV"/>
        </w:rPr>
        <w:t>gal</w:t>
      </w:r>
      <w:r w:rsidR="00836B18" w:rsidRPr="00217688">
        <w:rPr>
          <w:b/>
          <w:lang w:val="lv-LV"/>
        </w:rPr>
        <w:t>ē</w:t>
      </w:r>
      <w:r w:rsidR="00C14C74" w:rsidRPr="00217688">
        <w:rPr>
          <w:b/>
          <w:lang w:val="lv-LV"/>
        </w:rPr>
        <w:t>ja</w:t>
      </w:r>
      <w:r w:rsidR="00E36C2B" w:rsidRPr="00217688">
        <w:rPr>
          <w:b/>
          <w:lang w:val="lv-LV"/>
        </w:rPr>
        <w:t>s nabadz</w:t>
      </w:r>
      <w:r w:rsidR="00836B18" w:rsidRPr="00217688">
        <w:rPr>
          <w:b/>
          <w:lang w:val="lv-LV"/>
        </w:rPr>
        <w:t>ī</w:t>
      </w:r>
      <w:r w:rsidR="00E36C2B" w:rsidRPr="00217688">
        <w:rPr>
          <w:b/>
          <w:lang w:val="lv-LV"/>
        </w:rPr>
        <w:t>bas, tom</w:t>
      </w:r>
      <w:r w:rsidR="00836B18" w:rsidRPr="00217688">
        <w:rPr>
          <w:b/>
          <w:lang w:val="lv-LV"/>
        </w:rPr>
        <w:t>ē</w:t>
      </w:r>
      <w:r w:rsidR="00E36C2B" w:rsidRPr="00217688">
        <w:rPr>
          <w:b/>
          <w:lang w:val="lv-LV"/>
        </w:rPr>
        <w:t>r joproj</w:t>
      </w:r>
      <w:r w:rsidR="00836B18" w:rsidRPr="00217688">
        <w:rPr>
          <w:b/>
          <w:lang w:val="lv-LV"/>
        </w:rPr>
        <w:t>ā</w:t>
      </w:r>
      <w:r w:rsidR="00E36C2B" w:rsidRPr="00217688">
        <w:rPr>
          <w:b/>
          <w:lang w:val="lv-LV"/>
        </w:rPr>
        <w:t>m aptuveni 7</w:t>
      </w:r>
      <w:r w:rsidR="00CA5CD1" w:rsidRPr="00217688">
        <w:rPr>
          <w:b/>
          <w:lang w:val="lv-LV"/>
        </w:rPr>
        <w:t>67</w:t>
      </w:r>
      <w:r w:rsidR="00C14C74" w:rsidRPr="00217688">
        <w:rPr>
          <w:b/>
          <w:lang w:val="lv-LV"/>
        </w:rPr>
        <w:t xml:space="preserve"> miljoni cilv</w:t>
      </w:r>
      <w:r w:rsidR="00836B18" w:rsidRPr="00217688">
        <w:rPr>
          <w:b/>
          <w:lang w:val="lv-LV"/>
        </w:rPr>
        <w:t>ē</w:t>
      </w:r>
      <w:r w:rsidR="00C14C74" w:rsidRPr="00217688">
        <w:rPr>
          <w:b/>
          <w:lang w:val="lv-LV"/>
        </w:rPr>
        <w:t>ku atrodas gal</w:t>
      </w:r>
      <w:r w:rsidR="00836B18" w:rsidRPr="00217688">
        <w:rPr>
          <w:b/>
          <w:lang w:val="lv-LV"/>
        </w:rPr>
        <w:t>ē</w:t>
      </w:r>
      <w:r w:rsidR="00C14C74" w:rsidRPr="00217688">
        <w:rPr>
          <w:b/>
          <w:lang w:val="lv-LV"/>
        </w:rPr>
        <w:t>j</w:t>
      </w:r>
      <w:r w:rsidR="00836B18" w:rsidRPr="00217688">
        <w:rPr>
          <w:b/>
          <w:lang w:val="lv-LV"/>
        </w:rPr>
        <w:t>ā</w:t>
      </w:r>
      <w:r w:rsidR="00C14C74" w:rsidRPr="00217688">
        <w:rPr>
          <w:b/>
          <w:lang w:val="lv-LV"/>
        </w:rPr>
        <w:t xml:space="preserve"> nabadz</w:t>
      </w:r>
      <w:r w:rsidR="00836B18" w:rsidRPr="00217688">
        <w:rPr>
          <w:b/>
          <w:lang w:val="lv-LV"/>
        </w:rPr>
        <w:t>ī</w:t>
      </w:r>
      <w:r w:rsidR="00C14C74" w:rsidRPr="00217688">
        <w:rPr>
          <w:b/>
          <w:lang w:val="lv-LV"/>
        </w:rPr>
        <w:t>b</w:t>
      </w:r>
      <w:r w:rsidR="00836B18" w:rsidRPr="00217688">
        <w:rPr>
          <w:b/>
          <w:lang w:val="lv-LV"/>
        </w:rPr>
        <w:t>ā (</w:t>
      </w:r>
      <w:r w:rsidR="00CA5CD1" w:rsidRPr="00217688">
        <w:rPr>
          <w:b/>
          <w:lang w:val="lv-LV"/>
        </w:rPr>
        <w:t>zem US</w:t>
      </w:r>
      <w:r w:rsidR="00866B74">
        <w:rPr>
          <w:b/>
          <w:lang w:val="lv-LV"/>
        </w:rPr>
        <w:t xml:space="preserve">D </w:t>
      </w:r>
      <w:r w:rsidR="00836B18" w:rsidRPr="00217688">
        <w:rPr>
          <w:b/>
          <w:lang w:val="lv-LV"/>
        </w:rPr>
        <w:t>1</w:t>
      </w:r>
      <w:r w:rsidR="00CA5CD1" w:rsidRPr="00217688">
        <w:rPr>
          <w:b/>
          <w:lang w:val="lv-LV"/>
        </w:rPr>
        <w:t>,</w:t>
      </w:r>
      <w:r w:rsidR="00836B18" w:rsidRPr="00217688">
        <w:rPr>
          <w:b/>
          <w:lang w:val="lv-LV"/>
        </w:rPr>
        <w:t xml:space="preserve">90 </w:t>
      </w:r>
      <w:r w:rsidR="00C14C74" w:rsidRPr="00217688">
        <w:rPr>
          <w:b/>
          <w:lang w:val="lv-LV"/>
        </w:rPr>
        <w:t>dien</w:t>
      </w:r>
      <w:r w:rsidR="00836B18" w:rsidRPr="00217688">
        <w:rPr>
          <w:b/>
          <w:lang w:val="lv-LV"/>
        </w:rPr>
        <w:t>ā</w:t>
      </w:r>
      <w:r w:rsidR="00C14C74" w:rsidRPr="00217688">
        <w:rPr>
          <w:b/>
          <w:lang w:val="lv-LV"/>
        </w:rPr>
        <w:t>).</w:t>
      </w:r>
      <w:r w:rsidR="00C14C74" w:rsidRPr="00217688">
        <w:rPr>
          <w:rStyle w:val="FootnoteReference"/>
          <w:b/>
          <w:lang w:val="lv-LV"/>
        </w:rPr>
        <w:footnoteReference w:id="3"/>
      </w:r>
      <w:r w:rsidR="00836B18" w:rsidRPr="00217688">
        <w:rPr>
          <w:lang w:val="lv-LV"/>
        </w:rPr>
        <w:t xml:space="preserve"> Kopumā</w:t>
      </w:r>
      <w:r w:rsidR="00E36C2B" w:rsidRPr="00217688">
        <w:rPr>
          <w:lang w:val="lv-LV"/>
        </w:rPr>
        <w:t xml:space="preserve"> v</w:t>
      </w:r>
      <w:r w:rsidR="00853570" w:rsidRPr="00217688">
        <w:rPr>
          <w:lang w:val="lv-LV"/>
        </w:rPr>
        <w:t xml:space="preserve">idējais ienākumu līmenis ir pieaudzis, </w:t>
      </w:r>
      <w:r w:rsidR="00836B18" w:rsidRPr="00217688">
        <w:rPr>
          <w:lang w:val="lv-LV"/>
        </w:rPr>
        <w:t>tai pa</w:t>
      </w:r>
      <w:r w:rsidR="009A5633">
        <w:rPr>
          <w:lang w:val="lv-LV"/>
        </w:rPr>
        <w:t>šā</w:t>
      </w:r>
      <w:r w:rsidR="00836B18" w:rsidRPr="00217688">
        <w:rPr>
          <w:lang w:val="lv-LV"/>
        </w:rPr>
        <w:t xml:space="preserve"> laik</w:t>
      </w:r>
      <w:r w:rsidR="009A5633">
        <w:rPr>
          <w:lang w:val="lv-LV"/>
        </w:rPr>
        <w:t>ā</w:t>
      </w:r>
      <w:r w:rsidR="00836B18" w:rsidRPr="00217688">
        <w:rPr>
          <w:lang w:val="lv-LV"/>
        </w:rPr>
        <w:t xml:space="preserve"> arī</w:t>
      </w:r>
      <w:r w:rsidR="00E36C2B" w:rsidRPr="00217688">
        <w:rPr>
          <w:lang w:val="lv-LV"/>
        </w:rPr>
        <w:t xml:space="preserve"> </w:t>
      </w:r>
      <w:r w:rsidR="00853570" w:rsidRPr="00217688">
        <w:rPr>
          <w:lang w:val="lv-LV"/>
        </w:rPr>
        <w:t xml:space="preserve">vidēja ienākuma valstīs joprojām ir aptuveni 500 miljoni galēji nabadzīgu iedzīvotāju, salīdzinot ar 280 miljoniem zemu ienākumu valstīs. Vidēja ienākuma </w:t>
      </w:r>
      <w:r w:rsidR="00853570" w:rsidRPr="00217688">
        <w:rPr>
          <w:lang w:val="lv-LV"/>
        </w:rPr>
        <w:lastRenderedPageBreak/>
        <w:t>valstīs aptuveni 1,6 miljardiem iedzīvotāju i</w:t>
      </w:r>
      <w:r w:rsidR="00866B74">
        <w:rPr>
          <w:lang w:val="lv-LV"/>
        </w:rPr>
        <w:t xml:space="preserve">ztikas līmenis ir zemāks par USD </w:t>
      </w:r>
      <w:r w:rsidR="00853570" w:rsidRPr="00217688">
        <w:rPr>
          <w:lang w:val="lv-LV"/>
        </w:rPr>
        <w:t>3,20 dienā.</w:t>
      </w:r>
      <w:r w:rsidR="00853570" w:rsidRPr="00217688">
        <w:rPr>
          <w:rStyle w:val="FootnoteReference"/>
          <w:lang w:val="lv-LV"/>
        </w:rPr>
        <w:footnoteReference w:id="4"/>
      </w:r>
      <w:r w:rsidR="00853570" w:rsidRPr="00217688">
        <w:rPr>
          <w:lang w:val="lv-LV"/>
        </w:rPr>
        <w:t xml:space="preserve"> Augsta nevienlīdzība apdraud sociālo kohēziju un palielina vardarbības risku, kas bieži iziet ārpus valsts robežām. Nabadzīgākie iedzīvotāji kļūst grūtāk sasniedzami, tie arvien vairāk ir koncentrēti nestabilos un konfliktu skartos reģionos. Demogrāfiskās izmaiņas, urbanizācija, klimata pārmaiņas, konflikti un citi aspekti ietekmē iedzīvotāju pārvietošanos, jo īpaši zema ienākuma valstīs, kur iedzīvotāju skaita pieaugums pārsniedz iespējas r</w:t>
      </w:r>
      <w:r w:rsidR="00836B18" w:rsidRPr="00217688">
        <w:rPr>
          <w:lang w:val="lv-LV"/>
        </w:rPr>
        <w:t>adīt jaunas darba vietas</w:t>
      </w:r>
      <w:r w:rsidR="00853570" w:rsidRPr="00217688">
        <w:rPr>
          <w:lang w:val="lv-LV"/>
        </w:rPr>
        <w:t xml:space="preserve">. Saskaņā ar </w:t>
      </w:r>
      <w:r w:rsidR="00F90654">
        <w:rPr>
          <w:lang w:val="lv-LV"/>
        </w:rPr>
        <w:t>Pasaules Bankas g</w:t>
      </w:r>
      <w:r w:rsidR="009A5633" w:rsidRPr="009A5633">
        <w:rPr>
          <w:lang w:val="lv-LV"/>
        </w:rPr>
        <w:t xml:space="preserve">rupas </w:t>
      </w:r>
      <w:r w:rsidR="009A5633">
        <w:rPr>
          <w:lang w:val="lv-LV"/>
        </w:rPr>
        <w:t xml:space="preserve"> (turpmāk – </w:t>
      </w:r>
      <w:r w:rsidR="00853570" w:rsidRPr="00217688">
        <w:rPr>
          <w:lang w:val="lv-LV"/>
        </w:rPr>
        <w:t>WBG</w:t>
      </w:r>
      <w:r w:rsidR="009A5633">
        <w:rPr>
          <w:lang w:val="lv-LV"/>
        </w:rPr>
        <w:t>)</w:t>
      </w:r>
      <w:r w:rsidR="00853570" w:rsidRPr="00217688">
        <w:rPr>
          <w:lang w:val="lv-LV"/>
        </w:rPr>
        <w:t xml:space="preserve"> datiem, sagaidāms, ka </w:t>
      </w:r>
      <w:proofErr w:type="spellStart"/>
      <w:r w:rsidR="00853570" w:rsidRPr="00217688">
        <w:rPr>
          <w:lang w:val="lv-LV"/>
        </w:rPr>
        <w:t>Subsahāras</w:t>
      </w:r>
      <w:proofErr w:type="spellEnd"/>
      <w:r w:rsidR="00853570" w:rsidRPr="00217688">
        <w:rPr>
          <w:lang w:val="lv-LV"/>
        </w:rPr>
        <w:t xml:space="preserve"> Āfrikā, Vidējos Austrumos un Ziemeļāfrikā (MENA), kā arī Dienvidāzijas reģionos, darbspējīgā vecuma iedzīvotāju skaits pieaugs par 3.4 miljoniem mēnesī</w:t>
      </w:r>
      <w:r w:rsidR="00CA5CD1" w:rsidRPr="00217688">
        <w:rPr>
          <w:lang w:val="lv-LV"/>
        </w:rPr>
        <w:t xml:space="preserve"> (</w:t>
      </w:r>
      <w:r w:rsidR="007166F5">
        <w:rPr>
          <w:lang w:val="lv-LV"/>
        </w:rPr>
        <w:t>2</w:t>
      </w:r>
      <w:r w:rsidR="00CA5CD1" w:rsidRPr="00217688">
        <w:rPr>
          <w:lang w:val="lv-LV"/>
        </w:rPr>
        <w:t>.attēls)</w:t>
      </w:r>
      <w:r w:rsidR="00853570" w:rsidRPr="00217688">
        <w:rPr>
          <w:rStyle w:val="FootnoteReference"/>
          <w:vertAlign w:val="baseline"/>
          <w:lang w:val="lv-LV"/>
        </w:rPr>
        <w:t>.</w:t>
      </w:r>
      <w:r w:rsidR="00853570" w:rsidRPr="00217688">
        <w:rPr>
          <w:rStyle w:val="FootnoteReference"/>
          <w:lang w:val="lv-LV"/>
        </w:rPr>
        <w:footnoteReference w:id="5"/>
      </w:r>
      <w:r w:rsidR="00853570" w:rsidRPr="00217688">
        <w:rPr>
          <w:lang w:val="lv-LV"/>
        </w:rPr>
        <w:t xml:space="preserve"> Nabadzīgākie iedzīvotāji ir arī vairāk pakļauti riskiem, ko rada klimata pārmaiņas, ar ierobežotām iespējām pielāgoties to ietekmei (</w:t>
      </w:r>
      <w:r w:rsidR="007166F5">
        <w:rPr>
          <w:lang w:val="lv-LV"/>
        </w:rPr>
        <w:t>3</w:t>
      </w:r>
      <w:r w:rsidR="00853570" w:rsidRPr="00217688">
        <w:rPr>
          <w:lang w:val="lv-LV"/>
        </w:rPr>
        <w:t>.attels).</w:t>
      </w:r>
    </w:p>
    <w:p w14:paraId="5AC9F961" w14:textId="77777777" w:rsidR="00853570" w:rsidRPr="00217688" w:rsidRDefault="00853570" w:rsidP="00853570">
      <w:pPr>
        <w:pStyle w:val="Default"/>
        <w:jc w:val="both"/>
        <w:rPr>
          <w:lang w:val="lv-LV"/>
        </w:rPr>
      </w:pPr>
    </w:p>
    <w:p w14:paraId="1170E172" w14:textId="77777777" w:rsidR="00853570" w:rsidRPr="00217688" w:rsidRDefault="00853570" w:rsidP="00853570">
      <w:pPr>
        <w:pStyle w:val="Default"/>
        <w:jc w:val="center"/>
        <w:rPr>
          <w:lang w:val="lv-LV"/>
        </w:rPr>
      </w:pPr>
      <w:r w:rsidRPr="00217688">
        <w:rPr>
          <w:noProof/>
          <w:lang w:val="en-GB" w:eastAsia="en-GB"/>
        </w:rPr>
        <w:drawing>
          <wp:inline distT="0" distB="0" distL="0" distR="0" wp14:anchorId="7A279470" wp14:editId="5B768758">
            <wp:extent cx="3716520" cy="128811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9622" cy="1292653"/>
                    </a:xfrm>
                    <a:prstGeom prst="rect">
                      <a:avLst/>
                    </a:prstGeom>
                  </pic:spPr>
                </pic:pic>
              </a:graphicData>
            </a:graphic>
          </wp:inline>
        </w:drawing>
      </w:r>
    </w:p>
    <w:p w14:paraId="328598C6" w14:textId="785738FD" w:rsidR="00853570" w:rsidRPr="00217688" w:rsidRDefault="007166F5" w:rsidP="00853570">
      <w:pPr>
        <w:pStyle w:val="Default"/>
        <w:jc w:val="center"/>
        <w:rPr>
          <w:i/>
          <w:sz w:val="20"/>
          <w:lang w:val="lv-LV"/>
        </w:rPr>
      </w:pPr>
      <w:r>
        <w:rPr>
          <w:i/>
          <w:sz w:val="20"/>
          <w:lang w:val="lv-LV"/>
        </w:rPr>
        <w:t>2</w:t>
      </w:r>
      <w:r w:rsidR="00853570" w:rsidRPr="00217688">
        <w:rPr>
          <w:i/>
          <w:sz w:val="20"/>
          <w:lang w:val="lv-LV"/>
        </w:rPr>
        <w:t xml:space="preserve">.attēls. Darbaspēka pieaugums pārsniedz 3 miljonus mēnesī </w:t>
      </w:r>
    </w:p>
    <w:p w14:paraId="4A42ACE9" w14:textId="77777777" w:rsidR="00853570" w:rsidRPr="00217688" w:rsidRDefault="00853570" w:rsidP="00853570">
      <w:pPr>
        <w:pStyle w:val="Default"/>
        <w:jc w:val="center"/>
        <w:rPr>
          <w:i/>
          <w:sz w:val="20"/>
          <w:lang w:val="lv-LV"/>
        </w:rPr>
      </w:pPr>
      <w:r w:rsidRPr="00217688">
        <w:rPr>
          <w:i/>
          <w:sz w:val="20"/>
          <w:lang w:val="lv-LV"/>
        </w:rPr>
        <w:t>Āfrikā, Tuvajos Austrumos un Ziemeļāfrikā, Dienvidāzijā (Avots: WBG, ANO)</w:t>
      </w:r>
    </w:p>
    <w:p w14:paraId="7AF03D55" w14:textId="77777777" w:rsidR="00853570" w:rsidRPr="00217688" w:rsidRDefault="00853570" w:rsidP="00853570">
      <w:pPr>
        <w:pStyle w:val="Default"/>
        <w:spacing w:before="120"/>
        <w:jc w:val="both"/>
        <w:rPr>
          <w:lang w:val="lv-LV"/>
        </w:rPr>
      </w:pPr>
    </w:p>
    <w:p w14:paraId="6D6DEC26" w14:textId="77777777" w:rsidR="00853570" w:rsidRPr="00217688" w:rsidRDefault="00853570" w:rsidP="00853570">
      <w:pPr>
        <w:pStyle w:val="Default"/>
        <w:spacing w:before="120"/>
        <w:jc w:val="center"/>
        <w:rPr>
          <w:lang w:val="lv-LV"/>
        </w:rPr>
      </w:pPr>
      <w:r w:rsidRPr="00217688">
        <w:rPr>
          <w:noProof/>
          <w:lang w:val="en-GB" w:eastAsia="en-GB"/>
        </w:rPr>
        <w:drawing>
          <wp:inline distT="0" distB="0" distL="0" distR="0" wp14:anchorId="6D332224" wp14:editId="5DB1C3D9">
            <wp:extent cx="4206459" cy="1693628"/>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8741" cy="1706625"/>
                    </a:xfrm>
                    <a:prstGeom prst="rect">
                      <a:avLst/>
                    </a:prstGeom>
                  </pic:spPr>
                </pic:pic>
              </a:graphicData>
            </a:graphic>
          </wp:inline>
        </w:drawing>
      </w:r>
    </w:p>
    <w:p w14:paraId="2D095AD4" w14:textId="45322F15" w:rsidR="00853570" w:rsidRPr="00217688" w:rsidRDefault="007166F5" w:rsidP="00853570">
      <w:pPr>
        <w:pStyle w:val="Default"/>
        <w:jc w:val="center"/>
        <w:rPr>
          <w:i/>
          <w:sz w:val="20"/>
          <w:lang w:val="lv-LV"/>
        </w:rPr>
      </w:pPr>
      <w:r>
        <w:rPr>
          <w:i/>
          <w:sz w:val="20"/>
          <w:lang w:val="lv-LV"/>
        </w:rPr>
        <w:t>3</w:t>
      </w:r>
      <w:r w:rsidR="00853570" w:rsidRPr="00217688">
        <w:rPr>
          <w:i/>
          <w:sz w:val="20"/>
          <w:lang w:val="lv-LV"/>
        </w:rPr>
        <w:t xml:space="preserve">.attēls. Klimata pārmaiņu radītā ievainojamība. </w:t>
      </w:r>
    </w:p>
    <w:p w14:paraId="5AEE3594" w14:textId="77777777" w:rsidR="00853570" w:rsidRPr="00217688" w:rsidRDefault="00853570" w:rsidP="00853570">
      <w:pPr>
        <w:pStyle w:val="Default"/>
        <w:jc w:val="center"/>
        <w:rPr>
          <w:i/>
          <w:sz w:val="20"/>
          <w:lang w:val="lv-LV"/>
        </w:rPr>
      </w:pPr>
      <w:r w:rsidRPr="00217688">
        <w:rPr>
          <w:i/>
          <w:sz w:val="20"/>
          <w:lang w:val="lv-LV"/>
        </w:rPr>
        <w:t xml:space="preserve">Investīcijas, kas mērāmas triljonos, nepieciešamas, lai mazinātu un pielāgotos klimata pārmaiņām </w:t>
      </w:r>
    </w:p>
    <w:p w14:paraId="7F8A624D" w14:textId="77777777" w:rsidR="00853570" w:rsidRPr="00217688" w:rsidRDefault="00853570" w:rsidP="00E36C2B">
      <w:pPr>
        <w:pStyle w:val="Default"/>
        <w:jc w:val="center"/>
        <w:rPr>
          <w:i/>
          <w:sz w:val="20"/>
          <w:lang w:val="lv-LV"/>
        </w:rPr>
      </w:pPr>
      <w:r w:rsidRPr="00217688">
        <w:rPr>
          <w:i/>
          <w:sz w:val="20"/>
          <w:lang w:val="lv-LV"/>
        </w:rPr>
        <w:t xml:space="preserve">(Avots: WBG, Globālās attīstības centrs / </w:t>
      </w:r>
      <w:proofErr w:type="spellStart"/>
      <w:r w:rsidRPr="00217688">
        <w:rPr>
          <w:i/>
          <w:sz w:val="20"/>
          <w:lang w:val="lv-LV"/>
        </w:rPr>
        <w:t>Center</w:t>
      </w:r>
      <w:proofErr w:type="spellEnd"/>
      <w:r w:rsidRPr="00217688">
        <w:rPr>
          <w:i/>
          <w:sz w:val="20"/>
          <w:lang w:val="lv-LV"/>
        </w:rPr>
        <w:t xml:space="preserve"> </w:t>
      </w:r>
      <w:proofErr w:type="spellStart"/>
      <w:r w:rsidRPr="00217688">
        <w:rPr>
          <w:i/>
          <w:sz w:val="20"/>
          <w:lang w:val="lv-LV"/>
        </w:rPr>
        <w:t>for</w:t>
      </w:r>
      <w:proofErr w:type="spellEnd"/>
      <w:r w:rsidRPr="00217688">
        <w:rPr>
          <w:i/>
          <w:sz w:val="20"/>
          <w:lang w:val="lv-LV"/>
        </w:rPr>
        <w:t xml:space="preserve"> </w:t>
      </w:r>
      <w:proofErr w:type="spellStart"/>
      <w:r w:rsidRPr="00217688">
        <w:rPr>
          <w:i/>
          <w:sz w:val="20"/>
          <w:lang w:val="lv-LV"/>
        </w:rPr>
        <w:t>Global</w:t>
      </w:r>
      <w:proofErr w:type="spellEnd"/>
      <w:r w:rsidRPr="00217688">
        <w:rPr>
          <w:i/>
          <w:sz w:val="20"/>
          <w:lang w:val="lv-LV"/>
        </w:rPr>
        <w:t xml:space="preserve"> </w:t>
      </w:r>
      <w:proofErr w:type="spellStart"/>
      <w:r w:rsidRPr="00217688">
        <w:rPr>
          <w:i/>
          <w:sz w:val="20"/>
          <w:lang w:val="lv-LV"/>
        </w:rPr>
        <w:t>Development</w:t>
      </w:r>
      <w:proofErr w:type="spellEnd"/>
      <w:r w:rsidRPr="00217688">
        <w:rPr>
          <w:i/>
          <w:sz w:val="20"/>
          <w:lang w:val="lv-LV"/>
        </w:rPr>
        <w:t>)</w:t>
      </w:r>
    </w:p>
    <w:p w14:paraId="7AEA279E" w14:textId="77777777" w:rsidR="00221E0A" w:rsidRPr="00217688" w:rsidRDefault="00221E0A" w:rsidP="000856C6">
      <w:pPr>
        <w:pStyle w:val="Default"/>
        <w:spacing w:before="120" w:after="120"/>
        <w:jc w:val="both"/>
        <w:rPr>
          <w:b/>
          <w:lang w:val="lv-LV"/>
        </w:rPr>
      </w:pPr>
    </w:p>
    <w:p w14:paraId="03FEDE26" w14:textId="02A62226" w:rsidR="00195F31" w:rsidRPr="00217688" w:rsidRDefault="00195F31" w:rsidP="000856C6">
      <w:pPr>
        <w:pStyle w:val="Default"/>
        <w:spacing w:before="120" w:after="120"/>
        <w:jc w:val="both"/>
        <w:rPr>
          <w:lang w:val="lv-LV"/>
        </w:rPr>
      </w:pPr>
      <w:r w:rsidRPr="00217688">
        <w:rPr>
          <w:b/>
          <w:lang w:val="lv-LV"/>
        </w:rPr>
        <w:t xml:space="preserve">Pasaules Bankas </w:t>
      </w:r>
      <w:r w:rsidR="00F90654">
        <w:rPr>
          <w:b/>
          <w:lang w:val="lv-LV"/>
        </w:rPr>
        <w:t>g</w:t>
      </w:r>
      <w:r w:rsidRPr="00217688">
        <w:rPr>
          <w:b/>
          <w:lang w:val="lv-LV"/>
        </w:rPr>
        <w:t>rupas</w:t>
      </w:r>
      <w:r w:rsidRPr="00217688">
        <w:rPr>
          <w:rStyle w:val="FootnoteReference"/>
          <w:b/>
          <w:lang w:val="lv-LV"/>
        </w:rPr>
        <w:footnoteReference w:id="6"/>
      </w:r>
      <w:r w:rsidRPr="00217688">
        <w:rPr>
          <w:b/>
          <w:lang w:val="lv-LV"/>
        </w:rPr>
        <w:t xml:space="preserve"> kā Apvienoto Nāciju sistēmas institūcijas mērķis ir nabadzības samazināšana, </w:t>
      </w:r>
      <w:r w:rsidR="00CB5C31" w:rsidRPr="00217688">
        <w:rPr>
          <w:b/>
          <w:lang w:val="lv-LV"/>
        </w:rPr>
        <w:t>dalībvalstu</w:t>
      </w:r>
      <w:r w:rsidRPr="00217688">
        <w:rPr>
          <w:b/>
          <w:lang w:val="lv-LV"/>
        </w:rPr>
        <w:t xml:space="preserve"> ilgtermiņa ekonomisk</w:t>
      </w:r>
      <w:r w:rsidR="000A20E3">
        <w:rPr>
          <w:b/>
          <w:lang w:val="lv-LV"/>
        </w:rPr>
        <w:t>ās</w:t>
      </w:r>
      <w:r w:rsidRPr="00217688">
        <w:rPr>
          <w:b/>
          <w:lang w:val="lv-LV"/>
        </w:rPr>
        <w:t xml:space="preserve"> attīstīb</w:t>
      </w:r>
      <w:r w:rsidR="000A20E3">
        <w:rPr>
          <w:b/>
          <w:lang w:val="lv-LV"/>
        </w:rPr>
        <w:t>as</w:t>
      </w:r>
      <w:r w:rsidR="00E0745F" w:rsidRPr="00217688">
        <w:rPr>
          <w:b/>
          <w:lang w:val="lv-LV"/>
        </w:rPr>
        <w:t xml:space="preserve"> veicināšana</w:t>
      </w:r>
      <w:r w:rsidRPr="00217688">
        <w:rPr>
          <w:b/>
          <w:lang w:val="lv-LV"/>
        </w:rPr>
        <w:t xml:space="preserve">, dalībvalstu </w:t>
      </w:r>
      <w:r w:rsidRPr="00217688">
        <w:rPr>
          <w:b/>
          <w:lang w:val="lv-LV"/>
        </w:rPr>
        <w:lastRenderedPageBreak/>
        <w:t>labklājības līme</w:t>
      </w:r>
      <w:r w:rsidR="00E0745F" w:rsidRPr="00217688">
        <w:rPr>
          <w:b/>
          <w:lang w:val="lv-LV"/>
        </w:rPr>
        <w:t>ņa</w:t>
      </w:r>
      <w:r w:rsidRPr="00217688">
        <w:rPr>
          <w:b/>
          <w:lang w:val="lv-LV"/>
        </w:rPr>
        <w:t xml:space="preserve"> </w:t>
      </w:r>
      <w:r w:rsidR="00E0745F" w:rsidRPr="00217688">
        <w:rPr>
          <w:b/>
          <w:lang w:val="lv-LV"/>
        </w:rPr>
        <w:t xml:space="preserve">uzlabošana </w:t>
      </w:r>
      <w:r w:rsidRPr="00217688">
        <w:rPr>
          <w:b/>
          <w:lang w:val="lv-LV"/>
        </w:rPr>
        <w:t>un to izaugsm</w:t>
      </w:r>
      <w:r w:rsidR="00E0745F" w:rsidRPr="00217688">
        <w:rPr>
          <w:b/>
          <w:lang w:val="lv-LV"/>
        </w:rPr>
        <w:t>es sekmēšana</w:t>
      </w:r>
      <w:r w:rsidRPr="00217688">
        <w:rPr>
          <w:b/>
          <w:lang w:val="lv-LV"/>
        </w:rPr>
        <w:t>.</w:t>
      </w:r>
      <w:r w:rsidR="007B023A" w:rsidRPr="00217688">
        <w:rPr>
          <w:rStyle w:val="FootnoteReference"/>
          <w:lang w:val="lv-LV"/>
        </w:rPr>
        <w:footnoteReference w:id="7"/>
      </w:r>
      <w:r w:rsidRPr="00217688">
        <w:rPr>
          <w:lang w:val="lv-LV"/>
        </w:rPr>
        <w:t xml:space="preserve"> </w:t>
      </w:r>
      <w:r w:rsidR="00B93FBC" w:rsidRPr="00217688">
        <w:rPr>
          <w:lang w:val="lv-LV"/>
        </w:rPr>
        <w:t>WBG 2014./2015.gada darbības stratēģija nosaka WBG divus galvenos mērķus (</w:t>
      </w:r>
      <w:proofErr w:type="spellStart"/>
      <w:r w:rsidR="00B93FBC" w:rsidRPr="00217688">
        <w:rPr>
          <w:i/>
          <w:lang w:val="lv-LV"/>
        </w:rPr>
        <w:t>Twin</w:t>
      </w:r>
      <w:proofErr w:type="spellEnd"/>
      <w:r w:rsidR="00B93FBC" w:rsidRPr="00217688">
        <w:rPr>
          <w:i/>
          <w:lang w:val="lv-LV"/>
        </w:rPr>
        <w:t xml:space="preserve"> </w:t>
      </w:r>
      <w:proofErr w:type="spellStart"/>
      <w:r w:rsidR="00B93FBC" w:rsidRPr="00217688">
        <w:rPr>
          <w:i/>
          <w:lang w:val="lv-LV"/>
        </w:rPr>
        <w:t>Goals</w:t>
      </w:r>
      <w:proofErr w:type="spellEnd"/>
      <w:r w:rsidR="00B93FBC" w:rsidRPr="00217688">
        <w:rPr>
          <w:lang w:val="lv-LV"/>
        </w:rPr>
        <w:t>): (1) mazināt galēju nabadzību pasaulē, līdz 3 procentiem samazinot to iedzīvotāju skait</w:t>
      </w:r>
      <w:r w:rsidR="009E791D">
        <w:rPr>
          <w:lang w:val="lv-LV"/>
        </w:rPr>
        <w:t>u, kuru ienākumi dienā ir zem US</w:t>
      </w:r>
      <w:r w:rsidR="00CA5CD1" w:rsidRPr="00217688">
        <w:rPr>
          <w:lang w:val="lv-LV"/>
        </w:rPr>
        <w:t>D</w:t>
      </w:r>
      <w:r w:rsidR="009E791D">
        <w:rPr>
          <w:lang w:val="lv-LV"/>
        </w:rPr>
        <w:t xml:space="preserve"> </w:t>
      </w:r>
      <w:r w:rsidR="00B93FBC" w:rsidRPr="00217688">
        <w:rPr>
          <w:lang w:val="lv-LV"/>
        </w:rPr>
        <w:t>1.</w:t>
      </w:r>
      <w:r w:rsidR="00CA5CD1" w:rsidRPr="00217688">
        <w:rPr>
          <w:lang w:val="lv-LV"/>
        </w:rPr>
        <w:t>90</w:t>
      </w:r>
      <w:r w:rsidR="00B93FBC" w:rsidRPr="00217688">
        <w:rPr>
          <w:lang w:val="lv-LV"/>
        </w:rPr>
        <w:t xml:space="preserve">, un (2) veicināt ilgtspējīgu attīstību, uzlabojot </w:t>
      </w:r>
      <w:r w:rsidR="00CA5CD1" w:rsidRPr="00217688">
        <w:rPr>
          <w:lang w:val="lv-LV"/>
        </w:rPr>
        <w:t>ienākumu</w:t>
      </w:r>
      <w:r w:rsidR="00B93FBC" w:rsidRPr="00217688">
        <w:rPr>
          <w:lang w:val="lv-LV"/>
        </w:rPr>
        <w:t xml:space="preserve"> līmeni 40 procentiem no nabadzīgākajiem iedzīvotājiem katrā valstī.</w:t>
      </w:r>
      <w:r w:rsidR="00B93FBC" w:rsidRPr="00217688">
        <w:rPr>
          <w:rStyle w:val="FootnoteReference"/>
          <w:lang w:val="lv-LV"/>
        </w:rPr>
        <w:footnoteReference w:id="8"/>
      </w:r>
      <w:r w:rsidR="00DB0CD7" w:rsidRPr="00217688">
        <w:rPr>
          <w:lang w:val="lv-LV"/>
        </w:rPr>
        <w:t xml:space="preserve"> </w:t>
      </w:r>
      <w:r w:rsidRPr="00217688">
        <w:rPr>
          <w:lang w:val="lv-LV"/>
        </w:rPr>
        <w:t>Pēdējo 25 gadu laikā WBG ir izdevies:</w:t>
      </w:r>
    </w:p>
    <w:p w14:paraId="639D141F" w14:textId="7645048D" w:rsidR="00E0745F" w:rsidRPr="00217688" w:rsidRDefault="00E0745F" w:rsidP="00836B18">
      <w:pPr>
        <w:pStyle w:val="Default"/>
        <w:numPr>
          <w:ilvl w:val="0"/>
          <w:numId w:val="9"/>
        </w:numPr>
        <w:ind w:left="714" w:hanging="357"/>
        <w:jc w:val="both"/>
        <w:rPr>
          <w:lang w:val="lv-LV"/>
        </w:rPr>
      </w:pPr>
      <w:r w:rsidRPr="00217688">
        <w:rPr>
          <w:lang w:val="lv-LV"/>
        </w:rPr>
        <w:t>samazināt</w:t>
      </w:r>
      <w:r w:rsidR="00195F31" w:rsidRPr="00217688">
        <w:rPr>
          <w:lang w:val="lv-LV"/>
        </w:rPr>
        <w:t xml:space="preserve"> </w:t>
      </w:r>
      <w:r w:rsidR="00294289" w:rsidRPr="00217688">
        <w:rPr>
          <w:lang w:val="lv-LV"/>
        </w:rPr>
        <w:t>galēj</w:t>
      </w:r>
      <w:r w:rsidR="00136D53">
        <w:rPr>
          <w:lang w:val="lv-LV"/>
        </w:rPr>
        <w:t>as</w:t>
      </w:r>
      <w:r w:rsidR="00294289" w:rsidRPr="00217688">
        <w:rPr>
          <w:lang w:val="lv-LV"/>
        </w:rPr>
        <w:t xml:space="preserve"> nabadzība</w:t>
      </w:r>
      <w:r w:rsidR="00195F31" w:rsidRPr="00217688">
        <w:rPr>
          <w:lang w:val="lv-LV"/>
        </w:rPr>
        <w:t>s slieksni</w:t>
      </w:r>
      <w:r w:rsidR="00294289" w:rsidRPr="00217688">
        <w:rPr>
          <w:lang w:val="lv-LV"/>
        </w:rPr>
        <w:t xml:space="preserve"> pasaulē </w:t>
      </w:r>
      <w:r w:rsidRPr="00217688">
        <w:rPr>
          <w:lang w:val="lv-LV"/>
        </w:rPr>
        <w:t>līdz</w:t>
      </w:r>
      <w:r w:rsidR="00294289" w:rsidRPr="00217688">
        <w:rPr>
          <w:lang w:val="lv-LV"/>
        </w:rPr>
        <w:t xml:space="preserve"> </w:t>
      </w:r>
      <w:r w:rsidR="007166F5">
        <w:rPr>
          <w:lang w:val="lv-LV"/>
        </w:rPr>
        <w:t>10</w:t>
      </w:r>
      <w:r w:rsidR="007166F5" w:rsidRPr="00217688">
        <w:rPr>
          <w:lang w:val="lv-LV"/>
        </w:rPr>
        <w:t xml:space="preserve"> </w:t>
      </w:r>
      <w:r w:rsidR="00294289" w:rsidRPr="00217688">
        <w:rPr>
          <w:lang w:val="lv-LV"/>
        </w:rPr>
        <w:t>procent</w:t>
      </w:r>
      <w:r w:rsidR="00195F31" w:rsidRPr="00217688">
        <w:rPr>
          <w:lang w:val="lv-LV"/>
        </w:rPr>
        <w:t>iem</w:t>
      </w:r>
      <w:r w:rsidR="007B023A" w:rsidRPr="00217688">
        <w:rPr>
          <w:lang w:val="lv-LV"/>
        </w:rPr>
        <w:t>,</w:t>
      </w:r>
      <w:r w:rsidR="00655589" w:rsidRPr="00217688">
        <w:rPr>
          <w:lang w:val="lv-LV"/>
        </w:rPr>
        <w:t xml:space="preserve"> </w:t>
      </w:r>
      <w:r w:rsidR="00CA5CD1" w:rsidRPr="00217688">
        <w:rPr>
          <w:lang w:val="lv-LV"/>
        </w:rPr>
        <w:t>savukārt</w:t>
      </w:r>
      <w:r w:rsidR="00655589" w:rsidRPr="00217688">
        <w:rPr>
          <w:lang w:val="lv-LV"/>
        </w:rPr>
        <w:t xml:space="preserve"> l</w:t>
      </w:r>
      <w:r w:rsidR="00836B18" w:rsidRPr="00217688">
        <w:rPr>
          <w:lang w:val="lv-LV"/>
        </w:rPr>
        <w:t>īdz 2030. gadam galē</w:t>
      </w:r>
      <w:r w:rsidR="00655589" w:rsidRPr="00217688">
        <w:rPr>
          <w:lang w:val="lv-LV"/>
        </w:rPr>
        <w:t>ja nabadz</w:t>
      </w:r>
      <w:r w:rsidR="00836B18" w:rsidRPr="00217688">
        <w:rPr>
          <w:lang w:val="lv-LV"/>
        </w:rPr>
        <w:t>ī</w:t>
      </w:r>
      <w:r w:rsidR="00655589" w:rsidRPr="00217688">
        <w:rPr>
          <w:lang w:val="lv-LV"/>
        </w:rPr>
        <w:t>ba samazin</w:t>
      </w:r>
      <w:r w:rsidR="00836B18" w:rsidRPr="00217688">
        <w:rPr>
          <w:lang w:val="lv-LV"/>
        </w:rPr>
        <w:t>ā</w:t>
      </w:r>
      <w:r w:rsidR="00136D53">
        <w:rPr>
          <w:lang w:val="lv-LV"/>
        </w:rPr>
        <w:t>sies zem 3 procentiem</w:t>
      </w:r>
      <w:r w:rsidR="006C0BB3" w:rsidRPr="00217688">
        <w:rPr>
          <w:lang w:val="lv-LV"/>
        </w:rPr>
        <w:t xml:space="preserve"> </w:t>
      </w:r>
      <w:r w:rsidR="00136D53">
        <w:rPr>
          <w:lang w:val="lv-LV"/>
        </w:rPr>
        <w:t>(</w:t>
      </w:r>
      <w:r w:rsidR="007166F5">
        <w:rPr>
          <w:lang w:val="lv-LV"/>
        </w:rPr>
        <w:t>4</w:t>
      </w:r>
      <w:r w:rsidR="006C0BB3" w:rsidRPr="00217688">
        <w:rPr>
          <w:lang w:val="lv-LV"/>
        </w:rPr>
        <w:t>.attēls</w:t>
      </w:r>
      <w:r w:rsidR="00136D53">
        <w:rPr>
          <w:lang w:val="lv-LV"/>
        </w:rPr>
        <w:t>)</w:t>
      </w:r>
      <w:r w:rsidR="00195F31" w:rsidRPr="00217688">
        <w:rPr>
          <w:lang w:val="lv-LV"/>
        </w:rPr>
        <w:t>;</w:t>
      </w:r>
    </w:p>
    <w:p w14:paraId="1C19CB92" w14:textId="77777777" w:rsidR="008B24EF" w:rsidRPr="00217688" w:rsidRDefault="00836B18" w:rsidP="00836B18">
      <w:pPr>
        <w:pStyle w:val="Default"/>
        <w:numPr>
          <w:ilvl w:val="0"/>
          <w:numId w:val="9"/>
        </w:numPr>
        <w:ind w:left="714" w:hanging="357"/>
        <w:jc w:val="both"/>
        <w:rPr>
          <w:lang w:val="lv-LV"/>
        </w:rPr>
      </w:pPr>
      <w:r w:rsidRPr="00217688">
        <w:rPr>
          <w:lang w:val="lv-LV"/>
        </w:rPr>
        <w:t>60 valstī</w:t>
      </w:r>
      <w:r w:rsidR="007C48E6" w:rsidRPr="00217688">
        <w:rPr>
          <w:lang w:val="lv-LV"/>
        </w:rPr>
        <w:t>s (</w:t>
      </w:r>
      <w:r w:rsidR="00CA5CD1" w:rsidRPr="00217688">
        <w:rPr>
          <w:lang w:val="lv-LV"/>
        </w:rPr>
        <w:t>kas pārstāv</w:t>
      </w:r>
      <w:r w:rsidR="007C48E6" w:rsidRPr="00217688">
        <w:rPr>
          <w:lang w:val="lv-LV"/>
        </w:rPr>
        <w:t xml:space="preserve"> 67 procentus no pasaules </w:t>
      </w:r>
      <w:r w:rsidR="00CA5CD1" w:rsidRPr="00217688">
        <w:rPr>
          <w:lang w:val="lv-LV"/>
        </w:rPr>
        <w:t>iedzīvotājiem</w:t>
      </w:r>
      <w:r w:rsidR="007C48E6" w:rsidRPr="00217688">
        <w:rPr>
          <w:lang w:val="lv-LV"/>
        </w:rPr>
        <w:t>) no 83</w:t>
      </w:r>
      <w:r w:rsidRPr="00217688">
        <w:rPr>
          <w:lang w:val="lv-LV"/>
        </w:rPr>
        <w:t xml:space="preserve"> palielinā</w:t>
      </w:r>
      <w:r w:rsidR="007C48E6" w:rsidRPr="00217688">
        <w:rPr>
          <w:lang w:val="lv-LV"/>
        </w:rPr>
        <w:t>t ien</w:t>
      </w:r>
      <w:r w:rsidRPr="00217688">
        <w:rPr>
          <w:lang w:val="lv-LV"/>
        </w:rPr>
        <w:t>ā</w:t>
      </w:r>
      <w:r w:rsidR="007C48E6" w:rsidRPr="00217688">
        <w:rPr>
          <w:lang w:val="lv-LV"/>
        </w:rPr>
        <w:t>kumu l</w:t>
      </w:r>
      <w:r w:rsidRPr="00217688">
        <w:rPr>
          <w:lang w:val="lv-LV"/>
        </w:rPr>
        <w:t>ī</w:t>
      </w:r>
      <w:r w:rsidR="007C48E6" w:rsidRPr="00217688">
        <w:rPr>
          <w:lang w:val="lv-LV"/>
        </w:rPr>
        <w:t xml:space="preserve">meni 40 procentiem </w:t>
      </w:r>
      <w:r w:rsidRPr="00217688">
        <w:rPr>
          <w:lang w:val="lv-LV"/>
        </w:rPr>
        <w:t xml:space="preserve">no </w:t>
      </w:r>
      <w:r w:rsidR="007C48E6" w:rsidRPr="00217688">
        <w:rPr>
          <w:lang w:val="lv-LV"/>
        </w:rPr>
        <w:t>nabadz</w:t>
      </w:r>
      <w:r w:rsidRPr="00217688">
        <w:rPr>
          <w:lang w:val="lv-LV"/>
        </w:rPr>
        <w:t>ī</w:t>
      </w:r>
      <w:r w:rsidR="007C48E6" w:rsidRPr="00217688">
        <w:rPr>
          <w:lang w:val="lv-LV"/>
        </w:rPr>
        <w:t>g</w:t>
      </w:r>
      <w:r w:rsidRPr="00217688">
        <w:rPr>
          <w:lang w:val="lv-LV"/>
        </w:rPr>
        <w:t>ā</w:t>
      </w:r>
      <w:r w:rsidR="007C48E6" w:rsidRPr="00217688">
        <w:rPr>
          <w:lang w:val="lv-LV"/>
        </w:rPr>
        <w:t>k</w:t>
      </w:r>
      <w:r w:rsidRPr="00217688">
        <w:rPr>
          <w:lang w:val="lv-LV"/>
        </w:rPr>
        <w:t>aj</w:t>
      </w:r>
      <w:r w:rsidR="007C48E6" w:rsidRPr="00217688">
        <w:rPr>
          <w:lang w:val="lv-LV"/>
        </w:rPr>
        <w:t>iem valstu iedz</w:t>
      </w:r>
      <w:r w:rsidRPr="00217688">
        <w:rPr>
          <w:lang w:val="lv-LV"/>
        </w:rPr>
        <w:t>ī</w:t>
      </w:r>
      <w:r w:rsidR="007C48E6" w:rsidRPr="00217688">
        <w:rPr>
          <w:lang w:val="lv-LV"/>
        </w:rPr>
        <w:t>vot</w:t>
      </w:r>
      <w:r w:rsidRPr="00217688">
        <w:rPr>
          <w:lang w:val="lv-LV"/>
        </w:rPr>
        <w:t>ā</w:t>
      </w:r>
      <w:r w:rsidR="007C48E6" w:rsidRPr="00217688">
        <w:rPr>
          <w:lang w:val="lv-LV"/>
        </w:rPr>
        <w:t>jiem;</w:t>
      </w:r>
      <w:r w:rsidR="007C48E6" w:rsidRPr="00217688">
        <w:rPr>
          <w:rStyle w:val="FootnoteReference"/>
          <w:lang w:val="lv-LV"/>
        </w:rPr>
        <w:footnoteReference w:id="9"/>
      </w:r>
    </w:p>
    <w:p w14:paraId="24A35F81" w14:textId="77777777" w:rsidR="00294289" w:rsidRPr="00217688" w:rsidRDefault="00E0745F" w:rsidP="00836B18">
      <w:pPr>
        <w:pStyle w:val="Default"/>
        <w:numPr>
          <w:ilvl w:val="0"/>
          <w:numId w:val="9"/>
        </w:numPr>
        <w:ind w:left="714" w:hanging="357"/>
        <w:jc w:val="both"/>
        <w:rPr>
          <w:lang w:val="lv-LV"/>
        </w:rPr>
      </w:pPr>
      <w:r w:rsidRPr="00217688">
        <w:rPr>
          <w:lang w:val="lv-LV"/>
        </w:rPr>
        <w:t xml:space="preserve">palielināt </w:t>
      </w:r>
      <w:r w:rsidR="00294289" w:rsidRPr="00217688">
        <w:rPr>
          <w:lang w:val="lv-LV"/>
        </w:rPr>
        <w:t xml:space="preserve">pasaules iedzīvotāju </w:t>
      </w:r>
      <w:r w:rsidRPr="00217688">
        <w:rPr>
          <w:lang w:val="lv-LV"/>
        </w:rPr>
        <w:t xml:space="preserve">paredzamo </w:t>
      </w:r>
      <w:r w:rsidR="00294289" w:rsidRPr="00217688">
        <w:rPr>
          <w:lang w:val="lv-LV"/>
        </w:rPr>
        <w:t xml:space="preserve">dzīves </w:t>
      </w:r>
      <w:r w:rsidRPr="00217688">
        <w:rPr>
          <w:lang w:val="lv-LV"/>
        </w:rPr>
        <w:t xml:space="preserve">ilgumu </w:t>
      </w:r>
      <w:r w:rsidR="00294289" w:rsidRPr="00217688">
        <w:rPr>
          <w:lang w:val="lv-LV"/>
        </w:rPr>
        <w:t xml:space="preserve">par sešiem gadiem; </w:t>
      </w:r>
    </w:p>
    <w:p w14:paraId="2A93ABEF" w14:textId="39D24B89" w:rsidR="00294289" w:rsidRPr="00217688" w:rsidRDefault="00E0745F" w:rsidP="00836B18">
      <w:pPr>
        <w:pStyle w:val="Default"/>
        <w:numPr>
          <w:ilvl w:val="0"/>
          <w:numId w:val="9"/>
        </w:numPr>
        <w:ind w:left="714" w:hanging="357"/>
        <w:jc w:val="both"/>
        <w:rPr>
          <w:lang w:val="lv-LV"/>
        </w:rPr>
      </w:pPr>
      <w:r w:rsidRPr="00217688">
        <w:rPr>
          <w:lang w:val="lv-LV"/>
        </w:rPr>
        <w:t xml:space="preserve">samazināt </w:t>
      </w:r>
      <w:r w:rsidR="00294289" w:rsidRPr="00217688">
        <w:rPr>
          <w:lang w:val="lv-LV"/>
        </w:rPr>
        <w:t>bērnu skait</w:t>
      </w:r>
      <w:r w:rsidR="007B023A" w:rsidRPr="00217688">
        <w:rPr>
          <w:lang w:val="lv-LV"/>
        </w:rPr>
        <w:t>u</w:t>
      </w:r>
      <w:r w:rsidR="00294289" w:rsidRPr="00217688">
        <w:rPr>
          <w:lang w:val="lv-LV"/>
        </w:rPr>
        <w:t>, kas neapmeklē skolu</w:t>
      </w:r>
      <w:r w:rsidRPr="00217688">
        <w:rPr>
          <w:lang w:val="lv-LV"/>
        </w:rPr>
        <w:t xml:space="preserve">, </w:t>
      </w:r>
      <w:r w:rsidR="00A70BBA">
        <w:rPr>
          <w:lang w:val="lv-LV"/>
        </w:rPr>
        <w:t>par</w:t>
      </w:r>
      <w:r w:rsidR="00A70BBA" w:rsidRPr="00217688">
        <w:rPr>
          <w:lang w:val="lv-LV"/>
        </w:rPr>
        <w:t xml:space="preserve"> </w:t>
      </w:r>
      <w:r w:rsidR="00471729">
        <w:rPr>
          <w:lang w:val="lv-LV"/>
        </w:rPr>
        <w:t>aptuveni</w:t>
      </w:r>
      <w:r w:rsidR="00294289" w:rsidRPr="00217688">
        <w:rPr>
          <w:lang w:val="lv-LV"/>
        </w:rPr>
        <w:t xml:space="preserve"> 50 procentiem; </w:t>
      </w:r>
    </w:p>
    <w:p w14:paraId="7E37C204" w14:textId="53A888F8" w:rsidR="00294289" w:rsidRPr="00217688" w:rsidRDefault="00E0745F" w:rsidP="00836B18">
      <w:pPr>
        <w:pStyle w:val="Default"/>
        <w:numPr>
          <w:ilvl w:val="0"/>
          <w:numId w:val="9"/>
        </w:numPr>
        <w:ind w:left="714" w:hanging="357"/>
        <w:jc w:val="both"/>
        <w:rPr>
          <w:lang w:val="lv-LV"/>
        </w:rPr>
      </w:pPr>
      <w:r w:rsidRPr="00217688">
        <w:rPr>
          <w:lang w:val="lv-LV"/>
        </w:rPr>
        <w:t xml:space="preserve">samazināt </w:t>
      </w:r>
      <w:r w:rsidR="00294289" w:rsidRPr="00217688">
        <w:rPr>
          <w:lang w:val="lv-LV"/>
        </w:rPr>
        <w:t xml:space="preserve">mirstības </w:t>
      </w:r>
      <w:r w:rsidRPr="00217688">
        <w:rPr>
          <w:lang w:val="lv-LV"/>
        </w:rPr>
        <w:t xml:space="preserve">īpatsvaru </w:t>
      </w:r>
      <w:r w:rsidR="00294289" w:rsidRPr="00217688">
        <w:rPr>
          <w:lang w:val="lv-LV"/>
        </w:rPr>
        <w:t xml:space="preserve">dzemdībās </w:t>
      </w:r>
      <w:r w:rsidR="00A70BBA">
        <w:rPr>
          <w:lang w:val="lv-LV"/>
        </w:rPr>
        <w:t>par</w:t>
      </w:r>
      <w:r w:rsidR="00A70BBA" w:rsidRPr="00217688">
        <w:rPr>
          <w:lang w:val="lv-LV"/>
        </w:rPr>
        <w:t xml:space="preserve"> </w:t>
      </w:r>
      <w:r w:rsidR="00294289" w:rsidRPr="00217688">
        <w:rPr>
          <w:lang w:val="lv-LV"/>
        </w:rPr>
        <w:t>44 procentiem.</w:t>
      </w:r>
      <w:r w:rsidR="00294289" w:rsidRPr="00217688">
        <w:rPr>
          <w:rStyle w:val="FootnoteReference"/>
          <w:lang w:val="lv-LV"/>
        </w:rPr>
        <w:footnoteReference w:id="10"/>
      </w:r>
      <w:r w:rsidR="00294289" w:rsidRPr="00217688">
        <w:rPr>
          <w:lang w:val="lv-LV"/>
        </w:rPr>
        <w:t xml:space="preserve"> </w:t>
      </w:r>
    </w:p>
    <w:p w14:paraId="3C1B1D9F" w14:textId="77777777" w:rsidR="007C48E6" w:rsidRPr="00217688" w:rsidRDefault="007C48E6" w:rsidP="007C48E6">
      <w:pPr>
        <w:pStyle w:val="Default"/>
        <w:ind w:left="720"/>
        <w:jc w:val="both"/>
        <w:rPr>
          <w:lang w:val="lv-LV"/>
        </w:rPr>
      </w:pPr>
    </w:p>
    <w:p w14:paraId="774C3480" w14:textId="77777777" w:rsidR="005C397E" w:rsidRPr="00217688" w:rsidRDefault="005C397E" w:rsidP="005C397E">
      <w:pPr>
        <w:pStyle w:val="Default"/>
        <w:ind w:firstLine="720"/>
        <w:jc w:val="center"/>
        <w:rPr>
          <w:lang w:val="lv-LV"/>
        </w:rPr>
      </w:pPr>
      <w:r w:rsidRPr="00217688">
        <w:rPr>
          <w:noProof/>
          <w:bdr w:val="single" w:sz="8" w:space="0" w:color="auto"/>
          <w:lang w:val="en-GB" w:eastAsia="en-GB"/>
        </w:rPr>
        <w:drawing>
          <wp:inline distT="0" distB="0" distL="0" distR="0" wp14:anchorId="07B356F1" wp14:editId="061B1FBD">
            <wp:extent cx="3054398" cy="12988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590" cy="1314624"/>
                    </a:xfrm>
                    <a:prstGeom prst="rect">
                      <a:avLst/>
                    </a:prstGeom>
                    <a:noFill/>
                    <a:ln>
                      <a:noFill/>
                    </a:ln>
                  </pic:spPr>
                </pic:pic>
              </a:graphicData>
            </a:graphic>
          </wp:inline>
        </w:drawing>
      </w:r>
    </w:p>
    <w:p w14:paraId="4187073D" w14:textId="50CC93DA" w:rsidR="001D13B4" w:rsidRPr="00217688" w:rsidRDefault="007166F5" w:rsidP="000119A3">
      <w:pPr>
        <w:pStyle w:val="Default"/>
        <w:spacing w:before="120" w:after="120"/>
        <w:ind w:firstLine="720"/>
        <w:jc w:val="center"/>
        <w:rPr>
          <w:i/>
          <w:sz w:val="20"/>
          <w:lang w:val="lv-LV"/>
        </w:rPr>
      </w:pPr>
      <w:r>
        <w:rPr>
          <w:i/>
          <w:sz w:val="20"/>
          <w:lang w:val="lv-LV"/>
        </w:rPr>
        <w:t>4</w:t>
      </w:r>
      <w:r w:rsidR="001D13B4" w:rsidRPr="00217688">
        <w:rPr>
          <w:i/>
          <w:sz w:val="20"/>
          <w:lang w:val="lv-LV"/>
        </w:rPr>
        <w:t>.attēls</w:t>
      </w:r>
      <w:r w:rsidR="00317E65" w:rsidRPr="00217688">
        <w:rPr>
          <w:i/>
          <w:sz w:val="20"/>
          <w:lang w:val="lv-LV"/>
        </w:rPr>
        <w:t>. G</w:t>
      </w:r>
      <w:r w:rsidR="001D13B4" w:rsidRPr="00217688">
        <w:rPr>
          <w:i/>
          <w:sz w:val="20"/>
          <w:lang w:val="lv-LV"/>
        </w:rPr>
        <w:t>alējas nabadzības samazināšanās</w:t>
      </w:r>
      <w:r w:rsidR="00317E65" w:rsidRPr="00217688">
        <w:rPr>
          <w:i/>
          <w:sz w:val="20"/>
          <w:lang w:val="lv-LV"/>
        </w:rPr>
        <w:t xml:space="preserve"> 2010-2030</w:t>
      </w:r>
      <w:r w:rsidR="001D13B4" w:rsidRPr="00217688">
        <w:rPr>
          <w:i/>
          <w:sz w:val="20"/>
          <w:lang w:val="lv-LV"/>
        </w:rPr>
        <w:t xml:space="preserve"> (</w:t>
      </w:r>
      <w:r w:rsidR="00A604B3" w:rsidRPr="00217688">
        <w:rPr>
          <w:i/>
          <w:sz w:val="20"/>
          <w:lang w:val="lv-LV"/>
        </w:rPr>
        <w:t>A</w:t>
      </w:r>
      <w:r w:rsidR="001D13B4" w:rsidRPr="00217688">
        <w:rPr>
          <w:i/>
          <w:sz w:val="20"/>
          <w:lang w:val="lv-LV"/>
        </w:rPr>
        <w:t>vots: WBG)</w:t>
      </w:r>
    </w:p>
    <w:p w14:paraId="742D88FF" w14:textId="77777777" w:rsidR="0035389B" w:rsidRPr="00217688" w:rsidRDefault="0035389B" w:rsidP="001F3D9D">
      <w:pPr>
        <w:pStyle w:val="Default"/>
        <w:jc w:val="both"/>
        <w:rPr>
          <w:lang w:val="lv-LV"/>
        </w:rPr>
      </w:pPr>
    </w:p>
    <w:p w14:paraId="11ED96AD" w14:textId="77777777" w:rsidR="005874C3" w:rsidRPr="00217688" w:rsidRDefault="0029133A" w:rsidP="001F3D9D">
      <w:pPr>
        <w:pStyle w:val="Default"/>
        <w:jc w:val="both"/>
        <w:rPr>
          <w:lang w:val="lv-LV"/>
        </w:rPr>
      </w:pPr>
      <w:r w:rsidRPr="00217688">
        <w:rPr>
          <w:b/>
          <w:lang w:val="lv-LV"/>
        </w:rPr>
        <w:t>T</w:t>
      </w:r>
      <w:r w:rsidR="00126EA7" w:rsidRPr="00217688">
        <w:rPr>
          <w:b/>
          <w:lang w:val="lv-LV"/>
        </w:rPr>
        <w:t>ā</w:t>
      </w:r>
      <w:r w:rsidRPr="00217688">
        <w:rPr>
          <w:b/>
          <w:lang w:val="lv-LV"/>
        </w:rPr>
        <w:t xml:space="preserve"> k</w:t>
      </w:r>
      <w:r w:rsidR="00126EA7" w:rsidRPr="00217688">
        <w:rPr>
          <w:b/>
          <w:lang w:val="lv-LV"/>
        </w:rPr>
        <w:t>ā</w:t>
      </w:r>
      <w:r w:rsidR="005C397E" w:rsidRPr="00217688">
        <w:rPr>
          <w:b/>
          <w:lang w:val="lv-LV"/>
        </w:rPr>
        <w:t xml:space="preserve"> šis </w:t>
      </w:r>
      <w:r w:rsidR="00984727" w:rsidRPr="00217688">
        <w:rPr>
          <w:b/>
          <w:lang w:val="lv-LV"/>
        </w:rPr>
        <w:t xml:space="preserve">attīstības </w:t>
      </w:r>
      <w:r w:rsidR="005C397E" w:rsidRPr="00217688">
        <w:rPr>
          <w:b/>
          <w:lang w:val="lv-LV"/>
        </w:rPr>
        <w:t>progress nav bijis vienmērīgs</w:t>
      </w:r>
      <w:r w:rsidRPr="00217688">
        <w:rPr>
          <w:b/>
          <w:lang w:val="lv-LV"/>
        </w:rPr>
        <w:t xml:space="preserve">, tad </w:t>
      </w:r>
      <w:r w:rsidR="005C397E" w:rsidRPr="00217688">
        <w:rPr>
          <w:b/>
          <w:lang w:val="lv-LV"/>
        </w:rPr>
        <w:t>ilgtspējīgas attīstības mērķu darba kārtība</w:t>
      </w:r>
      <w:r w:rsidR="000856C6" w:rsidRPr="00217688">
        <w:rPr>
          <w:rStyle w:val="FootnoteReference"/>
          <w:b/>
          <w:lang w:val="lv-LV"/>
        </w:rPr>
        <w:footnoteReference w:id="11"/>
      </w:r>
      <w:r w:rsidR="005C397E" w:rsidRPr="00217688">
        <w:rPr>
          <w:b/>
          <w:lang w:val="lv-LV"/>
        </w:rPr>
        <w:t xml:space="preserve"> un WBG galvenie mērķi (</w:t>
      </w:r>
      <w:proofErr w:type="spellStart"/>
      <w:r w:rsidR="005C397E" w:rsidRPr="00217688">
        <w:rPr>
          <w:b/>
          <w:i/>
          <w:lang w:val="lv-LV"/>
        </w:rPr>
        <w:t>Twin</w:t>
      </w:r>
      <w:proofErr w:type="spellEnd"/>
      <w:r w:rsidR="005C397E" w:rsidRPr="00217688">
        <w:rPr>
          <w:b/>
          <w:i/>
          <w:lang w:val="lv-LV"/>
        </w:rPr>
        <w:t xml:space="preserve"> </w:t>
      </w:r>
      <w:proofErr w:type="spellStart"/>
      <w:r w:rsidR="005874C3" w:rsidRPr="00217688">
        <w:rPr>
          <w:b/>
          <w:i/>
          <w:lang w:val="lv-LV"/>
        </w:rPr>
        <w:t>G</w:t>
      </w:r>
      <w:r w:rsidR="005C397E" w:rsidRPr="00217688">
        <w:rPr>
          <w:b/>
          <w:i/>
          <w:lang w:val="lv-LV"/>
        </w:rPr>
        <w:t>oals</w:t>
      </w:r>
      <w:proofErr w:type="spellEnd"/>
      <w:r w:rsidR="005C397E" w:rsidRPr="00217688">
        <w:rPr>
          <w:b/>
          <w:lang w:val="lv-LV"/>
        </w:rPr>
        <w:t>) joprojām ir aktuāli visu ienākuma līmeņu valstīs</w:t>
      </w:r>
      <w:r w:rsidR="005C397E" w:rsidRPr="00217688">
        <w:rPr>
          <w:lang w:val="lv-LV"/>
        </w:rPr>
        <w:t xml:space="preserve">, </w:t>
      </w:r>
      <w:r w:rsidR="00126EA7" w:rsidRPr="00217688">
        <w:rPr>
          <w:lang w:val="lv-LV"/>
        </w:rPr>
        <w:t>īpaši</w:t>
      </w:r>
      <w:r w:rsidRPr="00217688">
        <w:rPr>
          <w:lang w:val="lv-LV"/>
        </w:rPr>
        <w:t xml:space="preserve"> </w:t>
      </w:r>
      <w:r w:rsidR="00126EA7" w:rsidRPr="00217688">
        <w:rPr>
          <w:lang w:val="lv-LV"/>
        </w:rPr>
        <w:t xml:space="preserve">ņemot </w:t>
      </w:r>
      <w:r w:rsidRPr="00217688">
        <w:rPr>
          <w:lang w:val="lv-LV"/>
        </w:rPr>
        <w:t>v</w:t>
      </w:r>
      <w:r w:rsidR="00126EA7" w:rsidRPr="00217688">
        <w:rPr>
          <w:lang w:val="lv-LV"/>
        </w:rPr>
        <w:t>ē</w:t>
      </w:r>
      <w:r w:rsidRPr="00217688">
        <w:rPr>
          <w:lang w:val="lv-LV"/>
        </w:rPr>
        <w:t>ra</w:t>
      </w:r>
      <w:r w:rsidR="005C397E" w:rsidRPr="00217688">
        <w:rPr>
          <w:lang w:val="lv-LV"/>
        </w:rPr>
        <w:t xml:space="preserve"> </w:t>
      </w:r>
      <w:proofErr w:type="spellStart"/>
      <w:r w:rsidRPr="00217688">
        <w:rPr>
          <w:lang w:val="lv-LV"/>
        </w:rPr>
        <w:t>Subsahāras</w:t>
      </w:r>
      <w:proofErr w:type="spellEnd"/>
      <w:r w:rsidRPr="00217688">
        <w:rPr>
          <w:lang w:val="lv-LV"/>
        </w:rPr>
        <w:t xml:space="preserve"> Āfrikas re</w:t>
      </w:r>
      <w:r w:rsidR="00126EA7" w:rsidRPr="00217688">
        <w:rPr>
          <w:lang w:val="lv-LV"/>
        </w:rPr>
        <w:t>ģ</w:t>
      </w:r>
      <w:r w:rsidRPr="00217688">
        <w:rPr>
          <w:lang w:val="lv-LV"/>
        </w:rPr>
        <w:t>ionu</w:t>
      </w:r>
      <w:r w:rsidR="005C397E" w:rsidRPr="00217688">
        <w:rPr>
          <w:lang w:val="lv-LV"/>
        </w:rPr>
        <w:t xml:space="preserve">, kur aptuveni 40 procenti iedzīvotāju dzīvo uz galējas nabadzības robežas. </w:t>
      </w:r>
      <w:r w:rsidRPr="00217688">
        <w:rPr>
          <w:lang w:val="lv-LV"/>
        </w:rPr>
        <w:t>V</w:t>
      </w:r>
      <w:r w:rsidR="005C397E" w:rsidRPr="00217688">
        <w:rPr>
          <w:lang w:val="lv-LV"/>
        </w:rPr>
        <w:t>idējais iekšzemes nevienlīdzības līmenis pasaulē šobrīd ir lielāks nekā pirms 25 gadi</w:t>
      </w:r>
      <w:r w:rsidRPr="00217688">
        <w:rPr>
          <w:lang w:val="lv-LV"/>
        </w:rPr>
        <w:t>em, kas</w:t>
      </w:r>
      <w:r w:rsidR="005C397E" w:rsidRPr="00217688">
        <w:rPr>
          <w:lang w:val="lv-LV"/>
        </w:rPr>
        <w:t xml:space="preserve"> rada nestabilitāti.</w:t>
      </w:r>
      <w:r w:rsidR="00303442" w:rsidRPr="00217688">
        <w:rPr>
          <w:lang w:val="lv-LV"/>
        </w:rPr>
        <w:t xml:space="preserve"> Saskaņā ar WBG datiem </w:t>
      </w:r>
      <w:proofErr w:type="spellStart"/>
      <w:r w:rsidR="00303442" w:rsidRPr="00217688">
        <w:rPr>
          <w:lang w:val="lv-LV"/>
        </w:rPr>
        <w:t>Gini</w:t>
      </w:r>
      <w:proofErr w:type="spellEnd"/>
      <w:r w:rsidR="00303442" w:rsidRPr="00217688">
        <w:rPr>
          <w:lang w:val="lv-LV"/>
        </w:rPr>
        <w:t xml:space="preserve"> </w:t>
      </w:r>
      <w:r w:rsidR="00444CBF" w:rsidRPr="00217688">
        <w:rPr>
          <w:lang w:val="lv-LV"/>
        </w:rPr>
        <w:t>koeficients</w:t>
      </w:r>
      <w:r w:rsidR="00303442" w:rsidRPr="00217688">
        <w:rPr>
          <w:lang w:val="lv-LV"/>
        </w:rPr>
        <w:t>, kas mēra ienākumu nevienlīdzību iekšzemē,</w:t>
      </w:r>
      <w:r w:rsidR="00976F23" w:rsidRPr="00217688">
        <w:rPr>
          <w:rStyle w:val="FootnoteReference"/>
          <w:lang w:val="lv-LV"/>
        </w:rPr>
        <w:footnoteReference w:id="12"/>
      </w:r>
      <w:r w:rsidR="00303442" w:rsidRPr="00217688">
        <w:rPr>
          <w:lang w:val="lv-LV"/>
        </w:rPr>
        <w:t xml:space="preserve"> laika posmā no 1988. līdz </w:t>
      </w:r>
      <w:r w:rsidR="00976F23" w:rsidRPr="00217688">
        <w:rPr>
          <w:lang w:val="lv-LV"/>
        </w:rPr>
        <w:t>1998.gadam strauji pieauga par sešiem</w:t>
      </w:r>
      <w:r w:rsidR="00303442" w:rsidRPr="00217688">
        <w:rPr>
          <w:lang w:val="lv-LV"/>
        </w:rPr>
        <w:t xml:space="preserve"> punktiem (no 34 uz 40), un kopš tā laika nevienlīdzība</w:t>
      </w:r>
      <w:r w:rsidR="00267EF1" w:rsidRPr="00217688">
        <w:rPr>
          <w:lang w:val="lv-LV"/>
        </w:rPr>
        <w:t xml:space="preserve"> pasaulē</w:t>
      </w:r>
      <w:r w:rsidR="00303442" w:rsidRPr="00217688">
        <w:rPr>
          <w:lang w:val="lv-LV"/>
        </w:rPr>
        <w:t xml:space="preserve"> ir samazinājusies tikai par </w:t>
      </w:r>
      <w:r w:rsidR="00976F23" w:rsidRPr="00217688">
        <w:rPr>
          <w:lang w:val="lv-LV"/>
        </w:rPr>
        <w:t>vienu</w:t>
      </w:r>
      <w:r w:rsidR="00303442" w:rsidRPr="00217688">
        <w:rPr>
          <w:lang w:val="lv-LV"/>
        </w:rPr>
        <w:t xml:space="preserve"> punktu, 2013.gadā sasniedzot 39 punktus.</w:t>
      </w:r>
      <w:r w:rsidR="00976F23" w:rsidRPr="00217688">
        <w:rPr>
          <w:rStyle w:val="FootnoteReference"/>
          <w:lang w:val="lv-LV"/>
        </w:rPr>
        <w:footnoteReference w:id="13"/>
      </w:r>
      <w:r w:rsidR="00303442" w:rsidRPr="00217688">
        <w:rPr>
          <w:lang w:val="lv-LV"/>
        </w:rPr>
        <w:t xml:space="preserve"> Tādējādi globāli ienākumu nevienlīdzība iekšzemē uz vidējo iedzīvotāju 2013.gadā bija lielāka nekā pirms 25 gadiem.</w:t>
      </w:r>
      <w:r w:rsidR="005C397E" w:rsidRPr="00217688">
        <w:rPr>
          <w:rStyle w:val="FootnoteReference"/>
          <w:lang w:val="lv-LV"/>
        </w:rPr>
        <w:footnoteReference w:id="14"/>
      </w:r>
      <w:r w:rsidR="005C397E" w:rsidRPr="00217688">
        <w:rPr>
          <w:lang w:val="lv-LV"/>
        </w:rPr>
        <w:t xml:space="preserve"> </w:t>
      </w:r>
    </w:p>
    <w:p w14:paraId="62BA1E06" w14:textId="3E5EF812" w:rsidR="00165A00" w:rsidRPr="00217688" w:rsidRDefault="00BC4234" w:rsidP="003920DC">
      <w:pPr>
        <w:pStyle w:val="Default"/>
        <w:spacing w:before="120" w:after="120"/>
        <w:jc w:val="both"/>
        <w:rPr>
          <w:lang w:val="lv-LV"/>
        </w:rPr>
      </w:pPr>
      <w:r w:rsidRPr="00217688">
        <w:rPr>
          <w:b/>
          <w:lang w:val="lv-LV"/>
        </w:rPr>
        <w:t>Attīstības problēmu risināšanai nepieciešams būtiski paplašināt resursu apjomu</w:t>
      </w:r>
      <w:r w:rsidRPr="00217688">
        <w:rPr>
          <w:lang w:val="lv-LV"/>
        </w:rPr>
        <w:t xml:space="preserve">. Atbilstoši WBG datiem attīstības problēmu mērogs ir </w:t>
      </w:r>
      <w:r w:rsidR="00D55093" w:rsidRPr="00217688">
        <w:rPr>
          <w:lang w:val="lv-LV"/>
        </w:rPr>
        <w:t>apjomīgs</w:t>
      </w:r>
      <w:r w:rsidRPr="00217688">
        <w:rPr>
          <w:lang w:val="lv-LV"/>
        </w:rPr>
        <w:t>:</w:t>
      </w:r>
      <w:r w:rsidR="004C4FFD">
        <w:rPr>
          <w:lang w:val="lv-LV"/>
        </w:rPr>
        <w:t xml:space="preserve"> laika posmā no 2015. līdz 2030.gadam</w:t>
      </w:r>
      <w:r w:rsidRPr="00217688">
        <w:rPr>
          <w:lang w:val="lv-LV"/>
        </w:rPr>
        <w:t xml:space="preserve"> </w:t>
      </w:r>
      <w:r w:rsidR="00F15EEA" w:rsidRPr="00A17C91">
        <w:rPr>
          <w:lang w:val="lv-LV"/>
        </w:rPr>
        <w:t xml:space="preserve">nepieciešami </w:t>
      </w:r>
      <w:r w:rsidR="00866B74">
        <w:rPr>
          <w:lang w:val="lv-LV"/>
        </w:rPr>
        <w:t xml:space="preserve">USD </w:t>
      </w:r>
      <w:r w:rsidRPr="00217688">
        <w:rPr>
          <w:lang w:val="lv-LV"/>
        </w:rPr>
        <w:t xml:space="preserve">2 triljoni </w:t>
      </w:r>
      <w:r w:rsidRPr="00A17C91">
        <w:rPr>
          <w:lang w:val="lv-LV"/>
        </w:rPr>
        <w:t>gadā investīcijām infrastruktūrai jaunattīstības</w:t>
      </w:r>
      <w:r w:rsidR="00866B74">
        <w:rPr>
          <w:lang w:val="lv-LV"/>
        </w:rPr>
        <w:t xml:space="preserve"> valstīs, USD </w:t>
      </w:r>
      <w:r w:rsidR="00165A00" w:rsidRPr="00A17C91">
        <w:rPr>
          <w:lang w:val="lv-LV"/>
        </w:rPr>
        <w:t>4</w:t>
      </w:r>
      <w:r w:rsidRPr="00A17C91">
        <w:rPr>
          <w:lang w:val="lv-LV"/>
        </w:rPr>
        <w:t xml:space="preserve"> triljoni </w:t>
      </w:r>
      <w:r w:rsidRPr="00A17C91">
        <w:rPr>
          <w:lang w:val="lv-LV"/>
        </w:rPr>
        <w:lastRenderedPageBreak/>
        <w:t xml:space="preserve">gadā nepieciešami investīcijām, lai īstenotu visus ilgtspējīgas attīstības mērķus, un </w:t>
      </w:r>
      <w:r w:rsidR="004A0DC2">
        <w:rPr>
          <w:lang w:val="lv-LV"/>
        </w:rPr>
        <w:t xml:space="preserve">kopumā 15 gadu periodā </w:t>
      </w:r>
      <w:r w:rsidR="00866B74">
        <w:rPr>
          <w:lang w:val="lv-LV"/>
        </w:rPr>
        <w:t xml:space="preserve">USD </w:t>
      </w:r>
      <w:r w:rsidRPr="00A17C91">
        <w:rPr>
          <w:lang w:val="lv-LV"/>
        </w:rPr>
        <w:t xml:space="preserve">23 triljoni </w:t>
      </w:r>
      <w:r w:rsidRPr="00217688">
        <w:rPr>
          <w:lang w:val="lv-LV"/>
        </w:rPr>
        <w:t>vajadzīgi dažādās nozarēs, lai risinātu klimata pārmaiņas</w:t>
      </w:r>
      <w:r w:rsidR="000A1D08">
        <w:rPr>
          <w:lang w:val="lv-LV"/>
        </w:rPr>
        <w:t xml:space="preserve"> (</w:t>
      </w:r>
      <w:r w:rsidR="007166F5">
        <w:rPr>
          <w:lang w:val="lv-LV"/>
        </w:rPr>
        <w:t>5</w:t>
      </w:r>
      <w:r w:rsidR="000A1D08">
        <w:rPr>
          <w:lang w:val="lv-LV"/>
        </w:rPr>
        <w:t>.attēls)</w:t>
      </w:r>
      <w:r w:rsidRPr="00217688">
        <w:rPr>
          <w:lang w:val="lv-LV"/>
        </w:rPr>
        <w:t>.</w:t>
      </w:r>
      <w:r w:rsidRPr="00217688">
        <w:rPr>
          <w:rStyle w:val="FootnoteReference"/>
          <w:lang w:val="lv-LV"/>
        </w:rPr>
        <w:footnoteReference w:id="15"/>
      </w:r>
      <w:r w:rsidRPr="00217688">
        <w:rPr>
          <w:lang w:val="lv-LV"/>
        </w:rPr>
        <w:t xml:space="preserve"> </w:t>
      </w:r>
    </w:p>
    <w:p w14:paraId="191EA858" w14:textId="77777777" w:rsidR="00165A00" w:rsidRPr="00217688" w:rsidRDefault="00165A00" w:rsidP="00165A00">
      <w:pPr>
        <w:pStyle w:val="Default"/>
        <w:jc w:val="center"/>
        <w:rPr>
          <w:lang w:val="lv-LV"/>
        </w:rPr>
      </w:pPr>
      <w:r w:rsidRPr="00217688">
        <w:rPr>
          <w:noProof/>
          <w:lang w:val="en-GB" w:eastAsia="en-GB"/>
        </w:rPr>
        <w:drawing>
          <wp:inline distT="0" distB="0" distL="0" distR="0" wp14:anchorId="599D5460" wp14:editId="03BAC1FE">
            <wp:extent cx="4142878" cy="167309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1579" cy="1676608"/>
                    </a:xfrm>
                    <a:prstGeom prst="rect">
                      <a:avLst/>
                    </a:prstGeom>
                    <a:noFill/>
                    <a:ln>
                      <a:noFill/>
                    </a:ln>
                  </pic:spPr>
                </pic:pic>
              </a:graphicData>
            </a:graphic>
          </wp:inline>
        </w:drawing>
      </w:r>
    </w:p>
    <w:p w14:paraId="482CFB7B" w14:textId="6259687E" w:rsidR="00165A00" w:rsidRPr="00217688" w:rsidRDefault="007166F5" w:rsidP="00165A00">
      <w:pPr>
        <w:pStyle w:val="Default"/>
        <w:jc w:val="center"/>
        <w:rPr>
          <w:i/>
          <w:sz w:val="20"/>
          <w:lang w:val="lv-LV"/>
        </w:rPr>
      </w:pPr>
      <w:r>
        <w:rPr>
          <w:i/>
          <w:sz w:val="20"/>
          <w:lang w:val="lv-LV"/>
        </w:rPr>
        <w:t>5</w:t>
      </w:r>
      <w:r w:rsidR="00165A00" w:rsidRPr="00217688">
        <w:rPr>
          <w:i/>
          <w:sz w:val="20"/>
          <w:lang w:val="lv-LV"/>
        </w:rPr>
        <w:t xml:space="preserve">.attēls. Investīciju trūkums ilgtspējību attīstības mērķu sasniegšanai sektoru griezumā, </w:t>
      </w:r>
    </w:p>
    <w:p w14:paraId="00B86A6A" w14:textId="431C4E6C" w:rsidR="00165A00" w:rsidRPr="00217688" w:rsidRDefault="00866B74" w:rsidP="00165A00">
      <w:pPr>
        <w:pStyle w:val="Default"/>
        <w:spacing w:after="120"/>
        <w:jc w:val="center"/>
        <w:rPr>
          <w:i/>
          <w:sz w:val="20"/>
          <w:lang w:val="lv-LV"/>
        </w:rPr>
      </w:pPr>
      <w:r>
        <w:rPr>
          <w:i/>
          <w:sz w:val="20"/>
          <w:lang w:val="lv-LV"/>
        </w:rPr>
        <w:t>USD</w:t>
      </w:r>
      <w:r w:rsidR="00165A00" w:rsidRPr="00217688">
        <w:rPr>
          <w:i/>
          <w:sz w:val="20"/>
          <w:lang w:val="lv-LV"/>
        </w:rPr>
        <w:t xml:space="preserve"> miljardi (Avots: WBG)</w:t>
      </w:r>
    </w:p>
    <w:p w14:paraId="3DD717FC" w14:textId="77777777" w:rsidR="00EC288C" w:rsidRDefault="00EC288C" w:rsidP="00E36C2B">
      <w:pPr>
        <w:pStyle w:val="Default"/>
        <w:spacing w:after="120"/>
        <w:jc w:val="both"/>
        <w:rPr>
          <w:b/>
          <w:lang w:val="lv-LV"/>
        </w:rPr>
      </w:pPr>
    </w:p>
    <w:p w14:paraId="7FBFF037" w14:textId="77777777" w:rsidR="00BC4234" w:rsidRPr="00217688" w:rsidRDefault="00BC4234" w:rsidP="00E36C2B">
      <w:pPr>
        <w:pStyle w:val="Default"/>
        <w:spacing w:after="120"/>
        <w:jc w:val="both"/>
        <w:rPr>
          <w:lang w:val="lv-LV"/>
        </w:rPr>
      </w:pPr>
      <w:r w:rsidRPr="00217688">
        <w:rPr>
          <w:b/>
          <w:lang w:val="lv-LV"/>
        </w:rPr>
        <w:t>Tādējādi ir kritiska nepieciešamība veidot publiskā sektora finansējuma buferus un uzlabot publiskā sektora izdevumu kvalitāti</w:t>
      </w:r>
      <w:r w:rsidRPr="00217688">
        <w:rPr>
          <w:lang w:val="lv-LV"/>
        </w:rPr>
        <w:t xml:space="preserve">. Lai atvieglotu valdību bilances, ir nepieciešams stiprināt vietējo resursu mobilizāciju un uzlabot izdevumu efektivitāti. Ienākumu jomā daudzu zemu un vidēju ienākumu valstīm ir pārāk zems nodokļu slogs, lai varētu ilgtspējīgi finansēt valdību darbu un svarīgākās investīcijas. Lai tautsaimniecība varētu pielāgoties minētajām nozīmīgajām pārmaiņām, ir nepieciešama efektīva un taisnīga nodokļu un izdevumu sistēma. Vienlaikus svarīga ir arī privātā sektora loma attīstības veicināšanā. Ņemot vērā, ka publiskais sektors </w:t>
      </w:r>
      <w:r w:rsidR="00BC69ED" w:rsidRPr="00217688">
        <w:rPr>
          <w:lang w:val="lv-LV"/>
        </w:rPr>
        <w:t>izolēti</w:t>
      </w:r>
      <w:r w:rsidRPr="00217688">
        <w:rPr>
          <w:lang w:val="lv-LV"/>
        </w:rPr>
        <w:t xml:space="preserve"> nespēj nodrošināt nepieciešamo investīciju apjomu, plašāk jāizmanto inovatīvie privātā sektora risinājumi. Privātais sektors ir arī vienīgais mehānisms, kas var radīt miljoniem jaun</w:t>
      </w:r>
      <w:r w:rsidR="00BC69ED" w:rsidRPr="00217688">
        <w:rPr>
          <w:lang w:val="lv-LV"/>
        </w:rPr>
        <w:t>u</w:t>
      </w:r>
      <w:r w:rsidRPr="00217688">
        <w:rPr>
          <w:lang w:val="lv-LV"/>
        </w:rPr>
        <w:t xml:space="preserve"> darbaviet</w:t>
      </w:r>
      <w:r w:rsidR="00BC69ED" w:rsidRPr="00217688">
        <w:rPr>
          <w:lang w:val="lv-LV"/>
        </w:rPr>
        <w:t>u</w:t>
      </w:r>
      <w:r w:rsidRPr="00217688">
        <w:rPr>
          <w:lang w:val="lv-LV"/>
        </w:rPr>
        <w:t xml:space="preserve">, reaģējot uz pieaugošā darbaspēka pieprasījumu. Publiskais un privātais sektors spēlē nozīmīgu lomu jauno tehnoloģiju </w:t>
      </w:r>
      <w:r w:rsidR="00BC69ED" w:rsidRPr="00217688">
        <w:rPr>
          <w:lang w:val="lv-LV"/>
        </w:rPr>
        <w:t xml:space="preserve">radīšanā </w:t>
      </w:r>
      <w:r w:rsidRPr="00217688">
        <w:rPr>
          <w:lang w:val="lv-LV"/>
        </w:rPr>
        <w:t xml:space="preserve">un </w:t>
      </w:r>
      <w:r w:rsidR="00BC69ED" w:rsidRPr="00217688">
        <w:rPr>
          <w:lang w:val="lv-LV"/>
        </w:rPr>
        <w:t>ieviešanā</w:t>
      </w:r>
      <w:r w:rsidRPr="00217688">
        <w:rPr>
          <w:lang w:val="lv-LV"/>
        </w:rPr>
        <w:t>. WBG ir iespējas un kapacitāte risināt šādas g</w:t>
      </w:r>
      <w:r w:rsidR="00126EA7" w:rsidRPr="00217688">
        <w:rPr>
          <w:lang w:val="lv-LV"/>
        </w:rPr>
        <w:t>lobālas problēmas, nodrošinot</w:t>
      </w:r>
      <w:r w:rsidR="00E36C2B" w:rsidRPr="00217688">
        <w:rPr>
          <w:lang w:val="lv-LV"/>
        </w:rPr>
        <w:t xml:space="preserve"> </w:t>
      </w:r>
      <w:r w:rsidRPr="00217688">
        <w:rPr>
          <w:lang w:val="lv-LV"/>
        </w:rPr>
        <w:t>pasaules un vietējā līmeņa ekspertīzi, lai nacionālā līmenī pielāgotu pasaules</w:t>
      </w:r>
      <w:r w:rsidR="00E36C2B" w:rsidRPr="00217688">
        <w:rPr>
          <w:lang w:val="lv-LV"/>
        </w:rPr>
        <w:t xml:space="preserve"> labāko praksi un tehnoloģijas; </w:t>
      </w:r>
      <w:r w:rsidRPr="00217688">
        <w:rPr>
          <w:lang w:val="lv-LV"/>
        </w:rPr>
        <w:t xml:space="preserve">padziļinātu analītisko un finanšu ekspertīzi un praktisko pieredzi, un daudznozaru pieeju un iespēju strādāt gan valsts, gan privātajā sektorā. </w:t>
      </w:r>
    </w:p>
    <w:p w14:paraId="016F7934" w14:textId="1B0A8E41" w:rsidR="00E36C2B" w:rsidRPr="00217688" w:rsidRDefault="00E36C2B" w:rsidP="00E36C2B">
      <w:pPr>
        <w:spacing w:before="120"/>
        <w:jc w:val="both"/>
        <w:rPr>
          <w:rFonts w:cs="Times New Roman"/>
          <w:noProof w:val="0"/>
          <w:szCs w:val="24"/>
        </w:rPr>
      </w:pPr>
      <w:r w:rsidRPr="00217688">
        <w:rPr>
          <w:rFonts w:cs="Times New Roman"/>
          <w:b/>
          <w:noProof w:val="0"/>
          <w:szCs w:val="24"/>
        </w:rPr>
        <w:t>WBG ir l</w:t>
      </w:r>
      <w:r w:rsidR="00DB0CD7" w:rsidRPr="00217688">
        <w:rPr>
          <w:rFonts w:cs="Times New Roman"/>
          <w:b/>
          <w:noProof w:val="0"/>
          <w:szCs w:val="24"/>
        </w:rPr>
        <w:t>iel</w:t>
      </w:r>
      <w:r w:rsidR="00126EA7" w:rsidRPr="00217688">
        <w:rPr>
          <w:rFonts w:cs="Times New Roman"/>
          <w:b/>
          <w:noProof w:val="0"/>
          <w:szCs w:val="24"/>
        </w:rPr>
        <w:t>ā</w:t>
      </w:r>
      <w:r w:rsidRPr="00217688">
        <w:rPr>
          <w:rFonts w:cs="Times New Roman"/>
          <w:b/>
          <w:noProof w:val="0"/>
          <w:szCs w:val="24"/>
        </w:rPr>
        <w:t>k</w:t>
      </w:r>
      <w:r w:rsidR="00126EA7" w:rsidRPr="00217688">
        <w:rPr>
          <w:rFonts w:cs="Times New Roman"/>
          <w:b/>
          <w:noProof w:val="0"/>
          <w:szCs w:val="24"/>
        </w:rPr>
        <w:t>ā</w:t>
      </w:r>
      <w:r w:rsidRPr="00217688">
        <w:rPr>
          <w:rFonts w:cs="Times New Roman"/>
          <w:b/>
          <w:noProof w:val="0"/>
          <w:szCs w:val="24"/>
        </w:rPr>
        <w:t xml:space="preserve"> att</w:t>
      </w:r>
      <w:r w:rsidR="00126EA7" w:rsidRPr="00217688">
        <w:rPr>
          <w:rFonts w:cs="Times New Roman"/>
          <w:b/>
          <w:noProof w:val="0"/>
          <w:szCs w:val="24"/>
        </w:rPr>
        <w:t>ī</w:t>
      </w:r>
      <w:r w:rsidRPr="00217688">
        <w:rPr>
          <w:rFonts w:cs="Times New Roman"/>
          <w:b/>
          <w:noProof w:val="0"/>
          <w:szCs w:val="24"/>
        </w:rPr>
        <w:t>st</w:t>
      </w:r>
      <w:r w:rsidR="00126EA7" w:rsidRPr="00217688">
        <w:rPr>
          <w:rFonts w:cs="Times New Roman"/>
          <w:b/>
          <w:noProof w:val="0"/>
          <w:szCs w:val="24"/>
        </w:rPr>
        <w:t>ī</w:t>
      </w:r>
      <w:r w:rsidRPr="00217688">
        <w:rPr>
          <w:rFonts w:cs="Times New Roman"/>
          <w:b/>
          <w:noProof w:val="0"/>
          <w:szCs w:val="24"/>
        </w:rPr>
        <w:t>bas instit</w:t>
      </w:r>
      <w:r w:rsidR="00126EA7" w:rsidRPr="00217688">
        <w:rPr>
          <w:rFonts w:cs="Times New Roman"/>
          <w:b/>
          <w:noProof w:val="0"/>
          <w:szCs w:val="24"/>
        </w:rPr>
        <w:t>ū</w:t>
      </w:r>
      <w:r w:rsidRPr="00217688">
        <w:rPr>
          <w:rFonts w:cs="Times New Roman"/>
          <w:b/>
          <w:noProof w:val="0"/>
          <w:szCs w:val="24"/>
        </w:rPr>
        <w:t>cija, kura</w:t>
      </w:r>
      <w:r w:rsidR="00DB0CD7" w:rsidRPr="00217688">
        <w:rPr>
          <w:rFonts w:cs="Times New Roman"/>
          <w:b/>
          <w:noProof w:val="0"/>
          <w:szCs w:val="24"/>
        </w:rPr>
        <w:t>s akcion</w:t>
      </w:r>
      <w:r w:rsidR="00126EA7" w:rsidRPr="00217688">
        <w:rPr>
          <w:rFonts w:cs="Times New Roman"/>
          <w:b/>
          <w:noProof w:val="0"/>
          <w:szCs w:val="24"/>
        </w:rPr>
        <w:t>ā</w:t>
      </w:r>
      <w:r w:rsidR="00DB0CD7" w:rsidRPr="00217688">
        <w:rPr>
          <w:rFonts w:cs="Times New Roman"/>
          <w:b/>
          <w:noProof w:val="0"/>
          <w:szCs w:val="24"/>
        </w:rPr>
        <w:t xml:space="preserve">ri ir </w:t>
      </w:r>
      <w:r w:rsidRPr="00217688">
        <w:rPr>
          <w:rFonts w:cs="Times New Roman"/>
          <w:b/>
          <w:noProof w:val="0"/>
          <w:szCs w:val="24"/>
        </w:rPr>
        <w:t>189 dalībvalstis.</w:t>
      </w:r>
      <w:r w:rsidRPr="00217688">
        <w:rPr>
          <w:rStyle w:val="FootnoteReference"/>
          <w:rFonts w:cs="Times New Roman"/>
          <w:noProof w:val="0"/>
          <w:szCs w:val="24"/>
        </w:rPr>
        <w:footnoteReference w:id="16"/>
      </w:r>
      <w:r w:rsidRPr="00217688">
        <w:rPr>
          <w:rFonts w:cs="Times New Roman"/>
          <w:noProof w:val="0"/>
          <w:szCs w:val="24"/>
        </w:rPr>
        <w:t xml:space="preserve"> Lielākie akcionāri ir ASV ar 16.3 procentu pārstāvību, Japāna - 7.03 procenti, Ķīna - 4.54 procenti, Vācija - 4.12 procenti, Francija - 3.86 procenti, Lielbritānija - 3.86 procenti un Ziemeļu un Baltijas valstu grupa - 3.15 procenti, savukārt atlikušos 57.14 procentus sastāda pārējās pasaules valstis</w:t>
      </w:r>
      <w:r w:rsidR="00CF5ACA">
        <w:rPr>
          <w:rFonts w:cs="Times New Roman"/>
          <w:noProof w:val="0"/>
          <w:szCs w:val="24"/>
        </w:rPr>
        <w:t xml:space="preserve"> (</w:t>
      </w:r>
      <w:r w:rsidR="007166F5">
        <w:rPr>
          <w:rFonts w:cs="Times New Roman"/>
          <w:noProof w:val="0"/>
          <w:szCs w:val="24"/>
        </w:rPr>
        <w:t>6</w:t>
      </w:r>
      <w:r w:rsidR="00CF5ACA">
        <w:rPr>
          <w:rFonts w:cs="Times New Roman"/>
          <w:noProof w:val="0"/>
          <w:szCs w:val="24"/>
        </w:rPr>
        <w:t>.attēls)</w:t>
      </w:r>
      <w:r w:rsidRPr="00217688">
        <w:rPr>
          <w:rFonts w:cs="Times New Roman"/>
          <w:noProof w:val="0"/>
          <w:szCs w:val="24"/>
        </w:rPr>
        <w:t xml:space="preserve">. </w:t>
      </w:r>
    </w:p>
    <w:p w14:paraId="2C895FE3" w14:textId="77777777" w:rsidR="00E36C2B" w:rsidRPr="00217688" w:rsidRDefault="00E36C2B" w:rsidP="00E36C2B">
      <w:pPr>
        <w:ind w:firstLine="720"/>
        <w:jc w:val="center"/>
        <w:rPr>
          <w:rFonts w:cs="Times New Roman"/>
          <w:noProof w:val="0"/>
          <w:szCs w:val="24"/>
        </w:rPr>
      </w:pPr>
      <w:r w:rsidRPr="00217688">
        <w:rPr>
          <w:rFonts w:cs="Times New Roman"/>
          <w:szCs w:val="24"/>
          <w:lang w:val="en-GB" w:eastAsia="en-GB"/>
        </w:rPr>
        <w:lastRenderedPageBreak/>
        <w:drawing>
          <wp:inline distT="0" distB="0" distL="0" distR="0" wp14:anchorId="2EB0DBF5" wp14:editId="51F2FFB3">
            <wp:extent cx="3341769" cy="256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7662" cy="2605079"/>
                    </a:xfrm>
                    <a:prstGeom prst="rect">
                      <a:avLst/>
                    </a:prstGeom>
                    <a:noFill/>
                    <a:ln>
                      <a:noFill/>
                    </a:ln>
                  </pic:spPr>
                </pic:pic>
              </a:graphicData>
            </a:graphic>
          </wp:inline>
        </w:drawing>
      </w:r>
    </w:p>
    <w:p w14:paraId="2D305073" w14:textId="7F001D57" w:rsidR="00E36C2B" w:rsidRPr="00217688" w:rsidRDefault="007166F5" w:rsidP="00E36C2B">
      <w:pPr>
        <w:ind w:firstLine="720"/>
        <w:jc w:val="center"/>
        <w:rPr>
          <w:rFonts w:cs="Times New Roman"/>
          <w:i/>
          <w:noProof w:val="0"/>
          <w:sz w:val="20"/>
          <w:szCs w:val="24"/>
        </w:rPr>
      </w:pPr>
      <w:r>
        <w:rPr>
          <w:rFonts w:cs="Times New Roman"/>
          <w:i/>
          <w:noProof w:val="0"/>
          <w:sz w:val="20"/>
          <w:szCs w:val="24"/>
        </w:rPr>
        <w:t>6</w:t>
      </w:r>
      <w:r w:rsidR="00E36C2B" w:rsidRPr="00217688">
        <w:rPr>
          <w:rFonts w:cs="Times New Roman"/>
          <w:i/>
          <w:noProof w:val="0"/>
          <w:sz w:val="20"/>
          <w:szCs w:val="24"/>
        </w:rPr>
        <w:t>.attēls. Pārstāvība WBG (Avots: WBG)</w:t>
      </w:r>
    </w:p>
    <w:p w14:paraId="318B079C" w14:textId="77777777" w:rsidR="00E36C2B" w:rsidRPr="00217688" w:rsidRDefault="00E36C2B" w:rsidP="00E36C2B">
      <w:pPr>
        <w:pStyle w:val="Default"/>
        <w:spacing w:after="120"/>
        <w:jc w:val="both"/>
        <w:rPr>
          <w:lang w:val="lv-LV"/>
        </w:rPr>
      </w:pPr>
    </w:p>
    <w:p w14:paraId="3DAFB3DE" w14:textId="5904ABEA" w:rsidR="003920DC" w:rsidRPr="00217688" w:rsidRDefault="003920DC" w:rsidP="003920DC">
      <w:pPr>
        <w:spacing w:before="120"/>
        <w:jc w:val="both"/>
        <w:rPr>
          <w:noProof w:val="0"/>
        </w:rPr>
      </w:pPr>
      <w:r w:rsidRPr="00217688">
        <w:rPr>
          <w:b/>
          <w:noProof w:val="0"/>
        </w:rPr>
        <w:t>Kopš dibināšanas, akcionāri ir iema</w:t>
      </w:r>
      <w:r w:rsidR="00866B74">
        <w:rPr>
          <w:b/>
          <w:noProof w:val="0"/>
        </w:rPr>
        <w:t xml:space="preserve">ksājuši IBRD un IFC kapitālā USD </w:t>
      </w:r>
      <w:r w:rsidRPr="00217688">
        <w:rPr>
          <w:b/>
          <w:noProof w:val="0"/>
        </w:rPr>
        <w:t>19 miljardus, kas attīstības finansējumam kumulatī</w:t>
      </w:r>
      <w:r w:rsidR="00866B74">
        <w:rPr>
          <w:b/>
          <w:noProof w:val="0"/>
        </w:rPr>
        <w:t xml:space="preserve">vi ir nodrošinājis vairāk kā USD </w:t>
      </w:r>
      <w:r w:rsidRPr="00217688">
        <w:rPr>
          <w:b/>
          <w:noProof w:val="0"/>
        </w:rPr>
        <w:t>900 miljardus</w:t>
      </w:r>
      <w:r w:rsidRPr="00217688">
        <w:rPr>
          <w:noProof w:val="0"/>
        </w:rPr>
        <w:t xml:space="preserve"> </w:t>
      </w:r>
      <w:r w:rsidR="00866B74">
        <w:rPr>
          <w:noProof w:val="0"/>
        </w:rPr>
        <w:t xml:space="preserve">jeb USD </w:t>
      </w:r>
      <w:r w:rsidR="00B50A1C">
        <w:rPr>
          <w:noProof w:val="0"/>
        </w:rPr>
        <w:t xml:space="preserve"> 1.5 triljonus (reālā izteiksmē, piemērojot inflāciju) </w:t>
      </w:r>
      <w:r w:rsidR="00A01473">
        <w:rPr>
          <w:szCs w:val="24"/>
        </w:rPr>
        <w:t>kā arī rezerves un pelņu aptuveni USD 50 miljardu apmērā, USD 28 miljardus nodrošinājusi grantos nabadzīgākajām valstīm, un piesaistītas privātā sektora investīcijas gandrīz USD 1 triljona apmērā</w:t>
      </w:r>
      <w:r w:rsidR="00A01473" w:rsidRPr="00217688">
        <w:rPr>
          <w:noProof w:val="0"/>
        </w:rPr>
        <w:t xml:space="preserve"> </w:t>
      </w:r>
      <w:r w:rsidRPr="00217688">
        <w:rPr>
          <w:noProof w:val="0"/>
        </w:rPr>
        <w:t>(</w:t>
      </w:r>
      <w:r w:rsidR="007166F5">
        <w:rPr>
          <w:noProof w:val="0"/>
        </w:rPr>
        <w:t>7</w:t>
      </w:r>
      <w:r w:rsidRPr="00217688">
        <w:rPr>
          <w:noProof w:val="0"/>
        </w:rPr>
        <w:t xml:space="preserve">.attēls). WBG nozīmīgā loma globālajā finanšu sistēmā un tās diversificētais portfelis nodrošina unikālas priekšrocības un iespējas piesaistīt finansējumu - sadarbībā ar privāto sektoru finansējuma piesaiste palielinās ar citu investoru mobilizēto līdzfinansējumu. </w:t>
      </w:r>
    </w:p>
    <w:p w14:paraId="189412B8" w14:textId="77777777" w:rsidR="0035389B" w:rsidRPr="00217688" w:rsidRDefault="0035389B" w:rsidP="003920DC">
      <w:pPr>
        <w:spacing w:before="120"/>
        <w:jc w:val="both"/>
        <w:rPr>
          <w:noProof w:val="0"/>
        </w:rPr>
      </w:pPr>
    </w:p>
    <w:p w14:paraId="039EEE85" w14:textId="77777777" w:rsidR="003920DC" w:rsidRPr="00217688" w:rsidRDefault="003920DC" w:rsidP="003920DC">
      <w:pPr>
        <w:jc w:val="center"/>
        <w:rPr>
          <w:i/>
          <w:noProof w:val="0"/>
          <w:sz w:val="22"/>
        </w:rPr>
      </w:pPr>
      <w:r w:rsidRPr="00217688">
        <w:rPr>
          <w:i/>
          <w:sz w:val="22"/>
          <w:lang w:val="en-GB" w:eastAsia="en-GB"/>
        </w:rPr>
        <w:drawing>
          <wp:inline distT="0" distB="0" distL="0" distR="0" wp14:anchorId="72484A9E" wp14:editId="5A63925F">
            <wp:extent cx="5265342" cy="29026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6042" cy="2925126"/>
                    </a:xfrm>
                    <a:prstGeom prst="rect">
                      <a:avLst/>
                    </a:prstGeom>
                    <a:noFill/>
                    <a:ln>
                      <a:noFill/>
                    </a:ln>
                  </pic:spPr>
                </pic:pic>
              </a:graphicData>
            </a:graphic>
          </wp:inline>
        </w:drawing>
      </w:r>
    </w:p>
    <w:p w14:paraId="03311759" w14:textId="107B4EEB" w:rsidR="003920DC" w:rsidRPr="00217688" w:rsidRDefault="003920DC" w:rsidP="003920DC">
      <w:pPr>
        <w:pStyle w:val="ListParagraph"/>
        <w:numPr>
          <w:ilvl w:val="0"/>
          <w:numId w:val="6"/>
        </w:numPr>
        <w:spacing w:before="120"/>
        <w:ind w:left="567" w:hanging="142"/>
        <w:contextualSpacing w:val="0"/>
        <w:jc w:val="both"/>
        <w:rPr>
          <w:noProof w:val="0"/>
          <w:sz w:val="16"/>
        </w:rPr>
      </w:pPr>
      <w:r w:rsidRPr="00217688">
        <w:rPr>
          <w:noProof w:val="0"/>
          <w:sz w:val="16"/>
        </w:rPr>
        <w:t>2017.gada jūnija beigās IBRD ap</w:t>
      </w:r>
      <w:r w:rsidR="00866B74">
        <w:rPr>
          <w:noProof w:val="0"/>
          <w:sz w:val="16"/>
        </w:rPr>
        <w:t xml:space="preserve">maksātais kapitāls sastādīja USD </w:t>
      </w:r>
      <w:r w:rsidRPr="00217688">
        <w:rPr>
          <w:noProof w:val="0"/>
          <w:sz w:val="16"/>
        </w:rPr>
        <w:t>16 m</w:t>
      </w:r>
      <w:r w:rsidR="00866B74">
        <w:rPr>
          <w:noProof w:val="0"/>
          <w:sz w:val="16"/>
        </w:rPr>
        <w:t xml:space="preserve">iljardus, no kuriem aptuveni USD </w:t>
      </w:r>
      <w:r w:rsidRPr="00217688">
        <w:rPr>
          <w:noProof w:val="0"/>
          <w:sz w:val="16"/>
        </w:rPr>
        <w:t>0.8 miljardi ir apmaksāti nacionālajā valūtā, ko daži akcionāri vēl nav iemaksājuši, līdz ar to neizmantojami aizdevumiem. IFC apmaksātais kapitāls – US</w:t>
      </w:r>
      <w:r w:rsidR="00866B74">
        <w:rPr>
          <w:noProof w:val="0"/>
          <w:sz w:val="16"/>
        </w:rPr>
        <w:t xml:space="preserve">D </w:t>
      </w:r>
      <w:r w:rsidRPr="00217688">
        <w:rPr>
          <w:noProof w:val="0"/>
          <w:sz w:val="16"/>
        </w:rPr>
        <w:t>2.5 miljardi;</w:t>
      </w:r>
    </w:p>
    <w:p w14:paraId="0D595933" w14:textId="77777777" w:rsidR="003920DC" w:rsidRPr="00217688" w:rsidRDefault="003920DC" w:rsidP="003920DC">
      <w:pPr>
        <w:pStyle w:val="ListParagraph"/>
        <w:numPr>
          <w:ilvl w:val="0"/>
          <w:numId w:val="6"/>
        </w:numPr>
        <w:ind w:left="567" w:hanging="141"/>
        <w:jc w:val="both"/>
        <w:rPr>
          <w:noProof w:val="0"/>
          <w:sz w:val="16"/>
        </w:rPr>
      </w:pPr>
      <w:r w:rsidRPr="00217688">
        <w:rPr>
          <w:noProof w:val="0"/>
          <w:sz w:val="16"/>
        </w:rPr>
        <w:t>noapaļots skaitlis, kas atspoguļo kumulatīvās saistības gadā no 1946.gada līdz 2017.gada 30.jūnijam;</w:t>
      </w:r>
    </w:p>
    <w:p w14:paraId="37BF9EEB" w14:textId="783D37DB" w:rsidR="003920DC" w:rsidRPr="00217688" w:rsidRDefault="003920DC" w:rsidP="003920DC">
      <w:pPr>
        <w:pStyle w:val="ListParagraph"/>
        <w:numPr>
          <w:ilvl w:val="0"/>
          <w:numId w:val="6"/>
        </w:numPr>
        <w:ind w:left="567" w:hanging="141"/>
        <w:jc w:val="both"/>
        <w:rPr>
          <w:noProof w:val="0"/>
          <w:sz w:val="16"/>
        </w:rPr>
      </w:pPr>
      <w:r w:rsidRPr="00217688">
        <w:rPr>
          <w:noProof w:val="0"/>
          <w:sz w:val="16"/>
        </w:rPr>
        <w:t xml:space="preserve">tai skaitā ieņēmumu </w:t>
      </w:r>
      <w:proofErr w:type="spellStart"/>
      <w:r w:rsidRPr="00217688">
        <w:rPr>
          <w:noProof w:val="0"/>
          <w:sz w:val="16"/>
        </w:rPr>
        <w:t>pārskaitījumi</w:t>
      </w:r>
      <w:proofErr w:type="spellEnd"/>
      <w:r w:rsidRPr="00217688">
        <w:rPr>
          <w:noProof w:val="0"/>
          <w:sz w:val="16"/>
        </w:rPr>
        <w:t xml:space="preserve"> US</w:t>
      </w:r>
      <w:r w:rsidR="00866B74">
        <w:rPr>
          <w:noProof w:val="0"/>
          <w:sz w:val="16"/>
        </w:rPr>
        <w:t xml:space="preserve">D </w:t>
      </w:r>
      <w:r w:rsidRPr="00217688">
        <w:rPr>
          <w:noProof w:val="0"/>
          <w:sz w:val="16"/>
        </w:rPr>
        <w:t>21 miljarda apmērā uz IDA un Lieliem parādiem apgrūtinātām nabadzīgajām valstīm, US</w:t>
      </w:r>
      <w:r w:rsidR="00866B74">
        <w:rPr>
          <w:noProof w:val="0"/>
          <w:sz w:val="16"/>
        </w:rPr>
        <w:t xml:space="preserve">D </w:t>
      </w:r>
      <w:r w:rsidRPr="00217688">
        <w:rPr>
          <w:noProof w:val="0"/>
          <w:sz w:val="16"/>
        </w:rPr>
        <w:t>3 miljardi citiem trasta fondiem, kā arī US</w:t>
      </w:r>
      <w:r w:rsidR="00866B74">
        <w:rPr>
          <w:noProof w:val="0"/>
          <w:sz w:val="16"/>
        </w:rPr>
        <w:t xml:space="preserve">D </w:t>
      </w:r>
      <w:r w:rsidRPr="00217688">
        <w:rPr>
          <w:noProof w:val="0"/>
          <w:sz w:val="16"/>
        </w:rPr>
        <w:t xml:space="preserve">4 miljardi budžeta finansēti </w:t>
      </w:r>
      <w:proofErr w:type="spellStart"/>
      <w:r w:rsidRPr="00217688">
        <w:rPr>
          <w:noProof w:val="0"/>
          <w:sz w:val="16"/>
        </w:rPr>
        <w:t>grantu</w:t>
      </w:r>
      <w:proofErr w:type="spellEnd"/>
      <w:r w:rsidRPr="00217688">
        <w:rPr>
          <w:noProof w:val="0"/>
          <w:sz w:val="16"/>
        </w:rPr>
        <w:t xml:space="preserve"> </w:t>
      </w:r>
      <w:proofErr w:type="spellStart"/>
      <w:r w:rsidRPr="00217688">
        <w:rPr>
          <w:noProof w:val="0"/>
          <w:sz w:val="16"/>
        </w:rPr>
        <w:t>pārskaitījumi</w:t>
      </w:r>
      <w:proofErr w:type="spellEnd"/>
      <w:r w:rsidRPr="00217688">
        <w:rPr>
          <w:noProof w:val="0"/>
          <w:sz w:val="16"/>
        </w:rPr>
        <w:t xml:space="preserve"> uz trasta fondiem.</w:t>
      </w:r>
    </w:p>
    <w:p w14:paraId="4D40805A" w14:textId="3EEFF289" w:rsidR="003920DC" w:rsidRPr="00217688" w:rsidRDefault="007166F5" w:rsidP="003920DC">
      <w:pPr>
        <w:spacing w:before="120"/>
        <w:jc w:val="center"/>
        <w:rPr>
          <w:i/>
          <w:noProof w:val="0"/>
          <w:sz w:val="20"/>
        </w:rPr>
      </w:pPr>
      <w:r>
        <w:rPr>
          <w:i/>
          <w:noProof w:val="0"/>
          <w:sz w:val="20"/>
        </w:rPr>
        <w:lastRenderedPageBreak/>
        <w:t>7</w:t>
      </w:r>
      <w:r w:rsidR="003920DC" w:rsidRPr="00217688">
        <w:rPr>
          <w:i/>
          <w:noProof w:val="0"/>
          <w:sz w:val="20"/>
        </w:rPr>
        <w:t>.attēls. IBRD un IFC pievienotā vērtība akcionāru ieguldījumam (Avots: WBG)</w:t>
      </w:r>
    </w:p>
    <w:p w14:paraId="3E88D483" w14:textId="16E85E7A" w:rsidR="00E36C2B" w:rsidRDefault="004C4FFD" w:rsidP="00E36C2B">
      <w:pPr>
        <w:spacing w:before="120"/>
        <w:jc w:val="both"/>
        <w:rPr>
          <w:noProof w:val="0"/>
          <w:szCs w:val="24"/>
        </w:rPr>
      </w:pPr>
      <w:r>
        <w:rPr>
          <w:b/>
          <w:noProof w:val="0"/>
          <w:szCs w:val="24"/>
        </w:rPr>
        <w:t>IBRD</w:t>
      </w:r>
      <w:r w:rsidRPr="00217688">
        <w:rPr>
          <w:b/>
          <w:noProof w:val="0"/>
          <w:szCs w:val="24"/>
        </w:rPr>
        <w:t xml:space="preserve"> </w:t>
      </w:r>
      <w:r w:rsidR="003920DC" w:rsidRPr="00217688">
        <w:rPr>
          <w:b/>
          <w:noProof w:val="0"/>
          <w:szCs w:val="24"/>
        </w:rPr>
        <w:t>ir plaš</w:t>
      </w:r>
      <w:r w:rsidR="006B68AA">
        <w:rPr>
          <w:b/>
          <w:noProof w:val="0"/>
          <w:szCs w:val="24"/>
        </w:rPr>
        <w:t>a</w:t>
      </w:r>
      <w:r w:rsidR="003920DC" w:rsidRPr="00217688">
        <w:rPr>
          <w:b/>
          <w:noProof w:val="0"/>
          <w:szCs w:val="24"/>
        </w:rPr>
        <w:t xml:space="preserve"> reģionāla investīciju </w:t>
      </w:r>
      <w:r w:rsidR="00EF4663">
        <w:rPr>
          <w:b/>
          <w:noProof w:val="0"/>
          <w:szCs w:val="24"/>
        </w:rPr>
        <w:t>pārstāvība</w:t>
      </w:r>
      <w:r w:rsidR="003920DC" w:rsidRPr="00217688">
        <w:rPr>
          <w:b/>
          <w:noProof w:val="0"/>
          <w:szCs w:val="24"/>
        </w:rPr>
        <w:t xml:space="preserve">, </w:t>
      </w:r>
      <w:r w:rsidR="003920DC" w:rsidRPr="00EB675C">
        <w:rPr>
          <w:noProof w:val="0"/>
          <w:szCs w:val="24"/>
        </w:rPr>
        <w:t>kas sastāda 2</w:t>
      </w:r>
      <w:r w:rsidR="00EE6B60">
        <w:rPr>
          <w:noProof w:val="0"/>
          <w:szCs w:val="24"/>
        </w:rPr>
        <w:t>6</w:t>
      </w:r>
      <w:r w:rsidR="003920DC" w:rsidRPr="00EB675C">
        <w:rPr>
          <w:noProof w:val="0"/>
          <w:szCs w:val="24"/>
        </w:rPr>
        <w:t xml:space="preserve"> procentu investīcijas </w:t>
      </w:r>
      <w:proofErr w:type="spellStart"/>
      <w:r w:rsidR="003920DC" w:rsidRPr="00EB675C">
        <w:rPr>
          <w:noProof w:val="0"/>
          <w:szCs w:val="24"/>
        </w:rPr>
        <w:t>Subsahāras</w:t>
      </w:r>
      <w:proofErr w:type="spellEnd"/>
      <w:r w:rsidR="003920DC" w:rsidRPr="00EB675C">
        <w:rPr>
          <w:noProof w:val="0"/>
          <w:szCs w:val="24"/>
        </w:rPr>
        <w:t xml:space="preserve"> Āfrikā, 1</w:t>
      </w:r>
      <w:r w:rsidR="00EE6B60">
        <w:rPr>
          <w:noProof w:val="0"/>
          <w:szCs w:val="24"/>
        </w:rPr>
        <w:t>6</w:t>
      </w:r>
      <w:r w:rsidR="003920DC" w:rsidRPr="00EB675C">
        <w:rPr>
          <w:noProof w:val="0"/>
          <w:szCs w:val="24"/>
        </w:rPr>
        <w:t xml:space="preserve"> procentus Dienvidāzijā, 1</w:t>
      </w:r>
      <w:r w:rsidR="00EE6B60">
        <w:rPr>
          <w:noProof w:val="0"/>
          <w:szCs w:val="24"/>
        </w:rPr>
        <w:t>6</w:t>
      </w:r>
      <w:r w:rsidR="003920DC" w:rsidRPr="00EB675C">
        <w:rPr>
          <w:noProof w:val="0"/>
          <w:szCs w:val="24"/>
        </w:rPr>
        <w:t xml:space="preserve"> procentus Latīņamerikā un Karību jūras salās, 1</w:t>
      </w:r>
      <w:r w:rsidR="00EE6B60">
        <w:rPr>
          <w:noProof w:val="0"/>
          <w:szCs w:val="24"/>
        </w:rPr>
        <w:t>5</w:t>
      </w:r>
      <w:r w:rsidR="003920DC" w:rsidRPr="00EB675C">
        <w:rPr>
          <w:noProof w:val="0"/>
          <w:szCs w:val="24"/>
        </w:rPr>
        <w:t xml:space="preserve"> procentus Eiropā un </w:t>
      </w:r>
      <w:proofErr w:type="spellStart"/>
      <w:r w:rsidR="003920DC" w:rsidRPr="00EB675C">
        <w:rPr>
          <w:noProof w:val="0"/>
          <w:szCs w:val="24"/>
        </w:rPr>
        <w:t>Centrālāzijā</w:t>
      </w:r>
      <w:proofErr w:type="spellEnd"/>
      <w:r w:rsidR="003920DC" w:rsidRPr="00EB675C">
        <w:rPr>
          <w:noProof w:val="0"/>
          <w:szCs w:val="24"/>
        </w:rPr>
        <w:t xml:space="preserve">, 16 procentus </w:t>
      </w:r>
      <w:proofErr w:type="spellStart"/>
      <w:r w:rsidR="003920DC" w:rsidRPr="00EB675C">
        <w:rPr>
          <w:noProof w:val="0"/>
          <w:szCs w:val="24"/>
        </w:rPr>
        <w:t>Austrumāzijā</w:t>
      </w:r>
      <w:proofErr w:type="spellEnd"/>
      <w:r w:rsidR="003920DC" w:rsidRPr="00EB675C">
        <w:rPr>
          <w:noProof w:val="0"/>
          <w:szCs w:val="24"/>
        </w:rPr>
        <w:t xml:space="preserve"> un Klusā okeāna reģionā un 11 procentus Tuvajos Austrumos un Ziemeļāfrikā</w:t>
      </w:r>
      <w:r w:rsidR="00EB675C">
        <w:rPr>
          <w:noProof w:val="0"/>
          <w:szCs w:val="24"/>
        </w:rPr>
        <w:t xml:space="preserve"> (</w:t>
      </w:r>
      <w:r w:rsidR="007166F5">
        <w:rPr>
          <w:noProof w:val="0"/>
          <w:szCs w:val="24"/>
        </w:rPr>
        <w:t>8</w:t>
      </w:r>
      <w:r w:rsidR="00EB675C">
        <w:rPr>
          <w:noProof w:val="0"/>
          <w:szCs w:val="24"/>
        </w:rPr>
        <w:t>.attēls)</w:t>
      </w:r>
      <w:r w:rsidR="003920DC" w:rsidRPr="00EB675C">
        <w:rPr>
          <w:noProof w:val="0"/>
          <w:szCs w:val="24"/>
        </w:rPr>
        <w:t>.</w:t>
      </w:r>
      <w:r w:rsidR="00E36C2B" w:rsidRPr="00217688">
        <w:rPr>
          <w:noProof w:val="0"/>
          <w:szCs w:val="24"/>
        </w:rPr>
        <w:t xml:space="preserve"> 2017.gadā IBRD inv</w:t>
      </w:r>
      <w:r w:rsidR="00866B74">
        <w:rPr>
          <w:noProof w:val="0"/>
          <w:szCs w:val="24"/>
        </w:rPr>
        <w:t xml:space="preserve">estīciju portfelis sastādīja USD 61.8 miljardus, no kuriem USD </w:t>
      </w:r>
      <w:r w:rsidR="00E36C2B" w:rsidRPr="00217688">
        <w:rPr>
          <w:noProof w:val="0"/>
          <w:szCs w:val="24"/>
        </w:rPr>
        <w:t xml:space="preserve">16.2 miljardi investēti </w:t>
      </w:r>
      <w:proofErr w:type="spellStart"/>
      <w:r w:rsidR="00E36C2B" w:rsidRPr="00217688">
        <w:rPr>
          <w:noProof w:val="0"/>
          <w:szCs w:val="24"/>
        </w:rPr>
        <w:t>Subsahāras</w:t>
      </w:r>
      <w:proofErr w:type="spellEnd"/>
      <w:r w:rsidR="00E36C2B" w:rsidRPr="00217688">
        <w:rPr>
          <w:noProof w:val="0"/>
          <w:szCs w:val="24"/>
        </w:rPr>
        <w:t xml:space="preserve"> Āfrikā, US</w:t>
      </w:r>
      <w:r w:rsidR="00866B74">
        <w:rPr>
          <w:noProof w:val="0"/>
          <w:szCs w:val="24"/>
        </w:rPr>
        <w:t xml:space="preserve">D </w:t>
      </w:r>
      <w:r w:rsidR="00E36C2B" w:rsidRPr="00217688">
        <w:rPr>
          <w:noProof w:val="0"/>
          <w:szCs w:val="24"/>
        </w:rPr>
        <w:t>9.7 miljardi Latīņamerikā un Karību jūras reģionā, US</w:t>
      </w:r>
      <w:r w:rsidR="00866B74">
        <w:rPr>
          <w:noProof w:val="0"/>
          <w:szCs w:val="24"/>
        </w:rPr>
        <w:t xml:space="preserve">D </w:t>
      </w:r>
      <w:r w:rsidR="00E36C2B" w:rsidRPr="00217688">
        <w:rPr>
          <w:noProof w:val="0"/>
          <w:szCs w:val="24"/>
        </w:rPr>
        <w:t xml:space="preserve">9.7 miljardi </w:t>
      </w:r>
      <w:proofErr w:type="spellStart"/>
      <w:r w:rsidR="00637879">
        <w:rPr>
          <w:noProof w:val="0"/>
          <w:szCs w:val="24"/>
        </w:rPr>
        <w:t>A</w:t>
      </w:r>
      <w:r w:rsidR="00E36C2B" w:rsidRPr="00217688">
        <w:rPr>
          <w:noProof w:val="0"/>
          <w:szCs w:val="24"/>
        </w:rPr>
        <w:t>ustrumāzijā</w:t>
      </w:r>
      <w:proofErr w:type="spellEnd"/>
      <w:r w:rsidR="00E36C2B" w:rsidRPr="00217688">
        <w:rPr>
          <w:noProof w:val="0"/>
          <w:szCs w:val="24"/>
        </w:rPr>
        <w:t xml:space="preserve"> un Klusā okeāna reģionā, US</w:t>
      </w:r>
      <w:r w:rsidR="00866B74">
        <w:rPr>
          <w:noProof w:val="0"/>
          <w:szCs w:val="24"/>
        </w:rPr>
        <w:t xml:space="preserve">D </w:t>
      </w:r>
      <w:r w:rsidR="00E36C2B" w:rsidRPr="00217688">
        <w:rPr>
          <w:noProof w:val="0"/>
          <w:szCs w:val="24"/>
        </w:rPr>
        <w:t>9.6 miljardi Dienvidāzijā un US</w:t>
      </w:r>
      <w:r w:rsidR="00866B74">
        <w:rPr>
          <w:noProof w:val="0"/>
          <w:szCs w:val="24"/>
        </w:rPr>
        <w:t xml:space="preserve">D </w:t>
      </w:r>
      <w:r w:rsidR="00E36C2B" w:rsidRPr="00217688">
        <w:rPr>
          <w:noProof w:val="0"/>
          <w:szCs w:val="24"/>
        </w:rPr>
        <w:t xml:space="preserve">7.1 miljards Tuvajos </w:t>
      </w:r>
      <w:r w:rsidR="00637879">
        <w:rPr>
          <w:noProof w:val="0"/>
          <w:szCs w:val="24"/>
        </w:rPr>
        <w:t>A</w:t>
      </w:r>
      <w:r w:rsidR="00E36C2B" w:rsidRPr="00217688">
        <w:rPr>
          <w:noProof w:val="0"/>
          <w:szCs w:val="24"/>
        </w:rPr>
        <w:t>ustrumos un Ziemeļāfrikā.</w:t>
      </w:r>
      <w:r w:rsidR="00E36C2B" w:rsidRPr="00217688">
        <w:rPr>
          <w:rStyle w:val="FootnoteReference"/>
          <w:noProof w:val="0"/>
          <w:szCs w:val="24"/>
        </w:rPr>
        <w:footnoteReference w:id="17"/>
      </w:r>
      <w:r w:rsidR="00E36C2B" w:rsidRPr="00217688">
        <w:rPr>
          <w:noProof w:val="0"/>
          <w:szCs w:val="24"/>
        </w:rPr>
        <w:t xml:space="preserve"> IFC investīciju portfelis 2017.gadā sastādīja US</w:t>
      </w:r>
      <w:r w:rsidR="00866B74">
        <w:rPr>
          <w:noProof w:val="0"/>
          <w:szCs w:val="24"/>
        </w:rPr>
        <w:t xml:space="preserve">D </w:t>
      </w:r>
      <w:r w:rsidR="00E36C2B" w:rsidRPr="00217688">
        <w:rPr>
          <w:noProof w:val="0"/>
          <w:szCs w:val="24"/>
        </w:rPr>
        <w:t>55 miljardus (palielinājās virs US</w:t>
      </w:r>
      <w:r w:rsidR="00866B74">
        <w:rPr>
          <w:noProof w:val="0"/>
          <w:szCs w:val="24"/>
        </w:rPr>
        <w:t>D</w:t>
      </w:r>
      <w:r w:rsidR="00E36C2B" w:rsidRPr="00217688">
        <w:rPr>
          <w:noProof w:val="0"/>
          <w:szCs w:val="24"/>
        </w:rPr>
        <w:t xml:space="preserve"> </w:t>
      </w:r>
      <w:r w:rsidR="009E791D">
        <w:rPr>
          <w:noProof w:val="0"/>
          <w:szCs w:val="24"/>
        </w:rPr>
        <w:t xml:space="preserve">3 </w:t>
      </w:r>
      <w:r w:rsidR="00E36C2B" w:rsidRPr="00217688">
        <w:rPr>
          <w:noProof w:val="0"/>
          <w:szCs w:val="24"/>
        </w:rPr>
        <w:t>miljardiem), tādējādi IFC saņēmējvalstīm nodrošināja 2.4 miljonus darbavietu, izsniedza aizdevumus mikro, mazajiem un vidējiem uzņēmumiem US</w:t>
      </w:r>
      <w:r w:rsidR="00866B74">
        <w:rPr>
          <w:noProof w:val="0"/>
          <w:szCs w:val="24"/>
        </w:rPr>
        <w:t xml:space="preserve">D </w:t>
      </w:r>
      <w:r w:rsidR="00E36C2B" w:rsidRPr="00217688">
        <w:rPr>
          <w:noProof w:val="0"/>
          <w:szCs w:val="24"/>
        </w:rPr>
        <w:t>411 miljarda apmērā, nodrošināja elektrību 79 miljoniem pasaules iedzīvotāju, gāzi 60 miljoniem iedzīvotāju un ūdeni 14 miljoniem iedzīvotāju. 2017.gadā IFC mobilizēja US</w:t>
      </w:r>
      <w:r w:rsidR="00866B74">
        <w:rPr>
          <w:noProof w:val="0"/>
          <w:szCs w:val="24"/>
        </w:rPr>
        <w:t xml:space="preserve">D </w:t>
      </w:r>
      <w:r w:rsidR="00E36C2B" w:rsidRPr="00217688">
        <w:rPr>
          <w:noProof w:val="0"/>
          <w:szCs w:val="24"/>
        </w:rPr>
        <w:t>7.5 miljardus investīcijām attīstības valstīs, tai skaitā US</w:t>
      </w:r>
      <w:r w:rsidR="00866B74">
        <w:rPr>
          <w:noProof w:val="0"/>
          <w:szCs w:val="24"/>
        </w:rPr>
        <w:t xml:space="preserve">D </w:t>
      </w:r>
      <w:r w:rsidR="00E36C2B" w:rsidRPr="00217688">
        <w:rPr>
          <w:noProof w:val="0"/>
          <w:szCs w:val="24"/>
        </w:rPr>
        <w:t>1.2 miljardus ar publisko-privāto partnerību.</w:t>
      </w:r>
      <w:r w:rsidR="00E36C2B" w:rsidRPr="00217688">
        <w:rPr>
          <w:rStyle w:val="FootnoteReference"/>
          <w:noProof w:val="0"/>
          <w:szCs w:val="24"/>
        </w:rPr>
        <w:footnoteReference w:id="18"/>
      </w:r>
      <w:r w:rsidR="00E36C2B" w:rsidRPr="00217688">
        <w:rPr>
          <w:noProof w:val="0"/>
          <w:szCs w:val="24"/>
        </w:rPr>
        <w:t xml:space="preserve"> </w:t>
      </w:r>
    </w:p>
    <w:p w14:paraId="224D7AEF" w14:textId="77777777" w:rsidR="003920DC" w:rsidRPr="00217688" w:rsidRDefault="00580498" w:rsidP="00EE6B60">
      <w:pPr>
        <w:spacing w:before="120"/>
        <w:jc w:val="center"/>
        <w:rPr>
          <w:noProof w:val="0"/>
          <w:szCs w:val="24"/>
        </w:rPr>
      </w:pPr>
      <w:r w:rsidRPr="00580498">
        <w:rPr>
          <w:szCs w:val="24"/>
          <w:bdr w:val="single" w:sz="4" w:space="0" w:color="auto"/>
          <w:lang w:val="en-GB" w:eastAsia="en-GB"/>
        </w:rPr>
        <w:drawing>
          <wp:inline distT="0" distB="0" distL="0" distR="0" wp14:anchorId="38F333D5" wp14:editId="65184CBE">
            <wp:extent cx="4016488" cy="2456953"/>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2130" cy="2466522"/>
                    </a:xfrm>
                    <a:prstGeom prst="rect">
                      <a:avLst/>
                    </a:prstGeom>
                    <a:noFill/>
                    <a:ln>
                      <a:noFill/>
                    </a:ln>
                  </pic:spPr>
                </pic:pic>
              </a:graphicData>
            </a:graphic>
          </wp:inline>
        </w:drawing>
      </w:r>
    </w:p>
    <w:p w14:paraId="1171F865" w14:textId="07749FF6" w:rsidR="003920DC" w:rsidRPr="00217688" w:rsidRDefault="007166F5" w:rsidP="003920DC">
      <w:pPr>
        <w:ind w:firstLine="720"/>
        <w:jc w:val="center"/>
        <w:rPr>
          <w:i/>
          <w:noProof w:val="0"/>
          <w:sz w:val="20"/>
          <w:szCs w:val="24"/>
        </w:rPr>
      </w:pPr>
      <w:r>
        <w:rPr>
          <w:i/>
          <w:noProof w:val="0"/>
          <w:sz w:val="20"/>
          <w:szCs w:val="24"/>
        </w:rPr>
        <w:t>8</w:t>
      </w:r>
      <w:r w:rsidR="003920DC" w:rsidRPr="00217688">
        <w:rPr>
          <w:i/>
          <w:noProof w:val="0"/>
          <w:sz w:val="20"/>
          <w:szCs w:val="24"/>
        </w:rPr>
        <w:t xml:space="preserve">.attēls. Reģionālais investīciju sadalījums </w:t>
      </w:r>
      <w:r w:rsidR="0032060A">
        <w:rPr>
          <w:i/>
          <w:noProof w:val="0"/>
          <w:sz w:val="20"/>
          <w:szCs w:val="24"/>
        </w:rPr>
        <w:t>IBRD</w:t>
      </w:r>
      <w:r w:rsidR="003920DC" w:rsidRPr="00217688">
        <w:rPr>
          <w:i/>
          <w:noProof w:val="0"/>
          <w:sz w:val="20"/>
          <w:szCs w:val="24"/>
        </w:rPr>
        <w:t xml:space="preserve"> (Avots: WBG)</w:t>
      </w:r>
    </w:p>
    <w:p w14:paraId="5C52FECD" w14:textId="77777777" w:rsidR="003920DC" w:rsidRPr="00217688" w:rsidRDefault="003920DC" w:rsidP="003920DC">
      <w:pPr>
        <w:pStyle w:val="Default"/>
        <w:jc w:val="both"/>
        <w:rPr>
          <w:lang w:val="lv-LV"/>
        </w:rPr>
      </w:pPr>
    </w:p>
    <w:p w14:paraId="7705DC94" w14:textId="77777777" w:rsidR="003920DC" w:rsidRPr="00217688" w:rsidRDefault="003920DC" w:rsidP="00DB0CD7">
      <w:pPr>
        <w:pStyle w:val="Default"/>
        <w:jc w:val="both"/>
        <w:rPr>
          <w:lang w:val="lv-LV"/>
        </w:rPr>
      </w:pPr>
      <w:r w:rsidRPr="00217688">
        <w:rPr>
          <w:lang w:val="lv-LV"/>
        </w:rPr>
        <w:t xml:space="preserve">WBG sadarbības modelis nodrošina efektīvu valsts resursu izmantošanu, plaši piesaistot līdzekļus un mobilizējot kapitālu, un tādējādi WBG ar ierobežotu akcionāru kapitālu spēj nodrošināt liela apjoma finansējumu gan valdībām, gan privātajam sektoram. </w:t>
      </w:r>
    </w:p>
    <w:p w14:paraId="36EC1F5D" w14:textId="77777777" w:rsidR="003920DC" w:rsidRPr="00217688" w:rsidRDefault="003920DC" w:rsidP="00E46AFA">
      <w:pPr>
        <w:ind w:firstLine="720"/>
        <w:jc w:val="both"/>
        <w:rPr>
          <w:rFonts w:cs="Times New Roman"/>
          <w:noProof w:val="0"/>
          <w:szCs w:val="24"/>
        </w:rPr>
      </w:pPr>
    </w:p>
    <w:p w14:paraId="1B7C0788" w14:textId="77777777" w:rsidR="003920DC" w:rsidRPr="00217688" w:rsidRDefault="003920DC" w:rsidP="00E46AFA">
      <w:pPr>
        <w:ind w:firstLine="720"/>
        <w:jc w:val="both"/>
        <w:rPr>
          <w:rFonts w:cs="Times New Roman"/>
          <w:noProof w:val="0"/>
          <w:szCs w:val="24"/>
        </w:rPr>
      </w:pPr>
    </w:p>
    <w:p w14:paraId="0039B098" w14:textId="77777777" w:rsidR="006B2121" w:rsidRPr="00217688" w:rsidRDefault="006B2121" w:rsidP="00F900CA">
      <w:pPr>
        <w:pStyle w:val="ListParagraph"/>
        <w:numPr>
          <w:ilvl w:val="0"/>
          <w:numId w:val="14"/>
        </w:numPr>
        <w:rPr>
          <w:b/>
          <w:noProof w:val="0"/>
        </w:rPr>
      </w:pPr>
      <w:r w:rsidRPr="00217688">
        <w:rPr>
          <w:b/>
          <w:noProof w:val="0"/>
        </w:rPr>
        <w:t xml:space="preserve">WBG politikas </w:t>
      </w:r>
      <w:r w:rsidR="009B3D19" w:rsidRPr="00217688">
        <w:rPr>
          <w:b/>
          <w:noProof w:val="0"/>
        </w:rPr>
        <w:t xml:space="preserve">un finansēšanas </w:t>
      </w:r>
      <w:proofErr w:type="spellStart"/>
      <w:r w:rsidRPr="00217688">
        <w:rPr>
          <w:b/>
          <w:noProof w:val="0"/>
        </w:rPr>
        <w:t>pakotne</w:t>
      </w:r>
      <w:proofErr w:type="spellEnd"/>
    </w:p>
    <w:p w14:paraId="403875EF" w14:textId="77777777" w:rsidR="00122B62" w:rsidRPr="00217688" w:rsidRDefault="00122B62" w:rsidP="006B2121">
      <w:pPr>
        <w:ind w:firstLine="720"/>
        <w:jc w:val="both"/>
        <w:rPr>
          <w:noProof w:val="0"/>
        </w:rPr>
      </w:pPr>
    </w:p>
    <w:p w14:paraId="51112CF0" w14:textId="77777777" w:rsidR="008E34BD" w:rsidRPr="00217688" w:rsidRDefault="00D726E7" w:rsidP="002C6902">
      <w:pPr>
        <w:jc w:val="both"/>
        <w:rPr>
          <w:b/>
          <w:i/>
          <w:noProof w:val="0"/>
        </w:rPr>
      </w:pPr>
      <w:r w:rsidRPr="00217688">
        <w:rPr>
          <w:b/>
          <w:i/>
          <w:noProof w:val="0"/>
        </w:rPr>
        <w:t>WBG p</w:t>
      </w:r>
      <w:r w:rsidR="008E34BD" w:rsidRPr="00217688">
        <w:rPr>
          <w:b/>
          <w:i/>
          <w:noProof w:val="0"/>
        </w:rPr>
        <w:t xml:space="preserve">olitikas </w:t>
      </w:r>
      <w:proofErr w:type="spellStart"/>
      <w:r w:rsidR="00393C86" w:rsidRPr="00217688">
        <w:rPr>
          <w:b/>
          <w:i/>
          <w:noProof w:val="0"/>
        </w:rPr>
        <w:t>pakotne</w:t>
      </w:r>
      <w:proofErr w:type="spellEnd"/>
    </w:p>
    <w:p w14:paraId="1AF5D69F" w14:textId="77777777" w:rsidR="00D726E7" w:rsidRPr="00217688" w:rsidRDefault="00D726E7" w:rsidP="00507816">
      <w:pPr>
        <w:ind w:firstLine="720"/>
        <w:jc w:val="both"/>
        <w:rPr>
          <w:b/>
          <w:noProof w:val="0"/>
        </w:rPr>
      </w:pPr>
    </w:p>
    <w:p w14:paraId="643746A9" w14:textId="12FD2CA8" w:rsidR="000555BC" w:rsidRPr="00217688" w:rsidRDefault="00DB0CD7" w:rsidP="00CB2556">
      <w:pPr>
        <w:jc w:val="both"/>
        <w:rPr>
          <w:noProof w:val="0"/>
        </w:rPr>
      </w:pPr>
      <w:r w:rsidRPr="00217688">
        <w:rPr>
          <w:b/>
          <w:noProof w:val="0"/>
        </w:rPr>
        <w:t>WBG finanšu aizdošanas kapacitāte sastādīs vidēji US</w:t>
      </w:r>
      <w:r w:rsidR="00866B74">
        <w:rPr>
          <w:b/>
          <w:noProof w:val="0"/>
        </w:rPr>
        <w:t xml:space="preserve">D </w:t>
      </w:r>
      <w:r w:rsidRPr="00217688">
        <w:rPr>
          <w:b/>
          <w:noProof w:val="0"/>
        </w:rPr>
        <w:t>100 miljardus gadā.</w:t>
      </w:r>
      <w:r w:rsidRPr="00217688">
        <w:rPr>
          <w:rStyle w:val="FootnoteReference"/>
          <w:b/>
          <w:noProof w:val="0"/>
        </w:rPr>
        <w:footnoteReference w:id="19"/>
      </w:r>
      <w:r w:rsidRPr="00217688">
        <w:rPr>
          <w:noProof w:val="0"/>
        </w:rPr>
        <w:t xml:space="preserve"> </w:t>
      </w:r>
      <w:r w:rsidR="000555BC" w:rsidRPr="00217688">
        <w:rPr>
          <w:noProof w:val="0"/>
        </w:rPr>
        <w:t>WBG ir sasniegusi būtisku progresu tās galveno mērķu sasniegšanā,</w:t>
      </w:r>
      <w:r w:rsidR="000555BC" w:rsidRPr="00217688">
        <w:rPr>
          <w:rStyle w:val="FootnoteReference"/>
          <w:noProof w:val="0"/>
        </w:rPr>
        <w:footnoteReference w:id="20"/>
      </w:r>
      <w:r w:rsidR="000555BC" w:rsidRPr="00217688">
        <w:rPr>
          <w:noProof w:val="0"/>
        </w:rPr>
        <w:t xml:space="preserve"> tomēr</w:t>
      </w:r>
      <w:r w:rsidR="00AD6426" w:rsidRPr="00217688">
        <w:rPr>
          <w:noProof w:val="0"/>
        </w:rPr>
        <w:t xml:space="preserve">, lai sekmīgi īstenotu stratēģijas izpildi, </w:t>
      </w:r>
      <w:r w:rsidR="000555BC" w:rsidRPr="00217688">
        <w:rPr>
          <w:noProof w:val="0"/>
        </w:rPr>
        <w:t xml:space="preserve">WBG ir izstrādājusi politikas </w:t>
      </w:r>
      <w:proofErr w:type="spellStart"/>
      <w:r w:rsidR="000555BC" w:rsidRPr="00217688">
        <w:rPr>
          <w:noProof w:val="0"/>
        </w:rPr>
        <w:t>pakotni</w:t>
      </w:r>
      <w:proofErr w:type="spellEnd"/>
      <w:r w:rsidR="000555BC" w:rsidRPr="00217688">
        <w:rPr>
          <w:noProof w:val="0"/>
        </w:rPr>
        <w:t xml:space="preserve"> 2019.-2030.gadam</w:t>
      </w:r>
      <w:r w:rsidR="00B03F90" w:rsidRPr="00217688">
        <w:rPr>
          <w:noProof w:val="0"/>
        </w:rPr>
        <w:t xml:space="preserve">, kas </w:t>
      </w:r>
      <w:r w:rsidR="000555BC" w:rsidRPr="00217688">
        <w:rPr>
          <w:noProof w:val="0"/>
        </w:rPr>
        <w:t xml:space="preserve">ietver jaunus un </w:t>
      </w:r>
      <w:r w:rsidR="000555BC" w:rsidRPr="00217688">
        <w:rPr>
          <w:noProof w:val="0"/>
        </w:rPr>
        <w:lastRenderedPageBreak/>
        <w:t xml:space="preserve">inovatīvus risinājumus WBG darbības stratēģijas mērķu īstenošanai, apvienojot uzlabotu finanšu kapacitāti un stiprinot WBG efektivitāti. Atbilstoši politikas </w:t>
      </w:r>
      <w:proofErr w:type="spellStart"/>
      <w:r w:rsidR="000555BC" w:rsidRPr="00217688">
        <w:rPr>
          <w:noProof w:val="0"/>
        </w:rPr>
        <w:t>pakotnei</w:t>
      </w:r>
      <w:proofErr w:type="spellEnd"/>
      <w:r w:rsidR="000555BC" w:rsidRPr="00217688">
        <w:rPr>
          <w:noProof w:val="0"/>
        </w:rPr>
        <w:t>, kopumā laika posmā no 2019.-2030.finanšu gadam</w:t>
      </w:r>
      <w:r w:rsidR="000555BC" w:rsidRPr="00217688">
        <w:rPr>
          <w:rStyle w:val="FootnoteReference"/>
          <w:noProof w:val="0"/>
        </w:rPr>
        <w:footnoteReference w:id="21"/>
      </w:r>
      <w:r w:rsidR="000555BC" w:rsidRPr="00217688">
        <w:rPr>
          <w:noProof w:val="0"/>
        </w:rPr>
        <w:t xml:space="preserve"> WBG finanšu aizdošanas kapacitāte </w:t>
      </w:r>
      <w:r w:rsidR="0094055E" w:rsidRPr="00217688">
        <w:rPr>
          <w:noProof w:val="0"/>
        </w:rPr>
        <w:t>sastādīs</w:t>
      </w:r>
      <w:r w:rsidR="00E503CB" w:rsidRPr="00217688">
        <w:rPr>
          <w:noProof w:val="0"/>
        </w:rPr>
        <w:t xml:space="preserve"> vidēji US</w:t>
      </w:r>
      <w:r w:rsidR="00866B74">
        <w:rPr>
          <w:noProof w:val="0"/>
        </w:rPr>
        <w:t xml:space="preserve">D </w:t>
      </w:r>
      <w:r w:rsidR="00E503CB" w:rsidRPr="00217688">
        <w:rPr>
          <w:noProof w:val="0"/>
        </w:rPr>
        <w:t>100 miljardus</w:t>
      </w:r>
      <w:r w:rsidR="000555BC" w:rsidRPr="00217688">
        <w:rPr>
          <w:noProof w:val="0"/>
        </w:rPr>
        <w:t xml:space="preserve"> gadā,</w:t>
      </w:r>
      <w:r w:rsidR="000555BC" w:rsidRPr="00217688">
        <w:rPr>
          <w:rStyle w:val="FootnoteReference"/>
          <w:noProof w:val="0"/>
        </w:rPr>
        <w:footnoteReference w:id="22"/>
      </w:r>
      <w:r w:rsidR="000555BC" w:rsidRPr="00217688">
        <w:rPr>
          <w:b/>
          <w:noProof w:val="0"/>
        </w:rPr>
        <w:t xml:space="preserve"> </w:t>
      </w:r>
      <w:r w:rsidR="000555BC" w:rsidRPr="00217688">
        <w:rPr>
          <w:noProof w:val="0"/>
        </w:rPr>
        <w:t>nodrošinot sadarbības turpināšanu ar visām saņēmējvalstīm. Minētajā laika posmā IBRD fina</w:t>
      </w:r>
      <w:r w:rsidR="00CC3E87" w:rsidRPr="00217688">
        <w:rPr>
          <w:noProof w:val="0"/>
        </w:rPr>
        <w:t>n</w:t>
      </w:r>
      <w:r w:rsidR="000555BC" w:rsidRPr="00217688">
        <w:rPr>
          <w:noProof w:val="0"/>
        </w:rPr>
        <w:t>šu aizdošanas kapacitāte sastādīs vidēji US</w:t>
      </w:r>
      <w:r w:rsidR="00866B74">
        <w:rPr>
          <w:noProof w:val="0"/>
        </w:rPr>
        <w:t xml:space="preserve">D </w:t>
      </w:r>
      <w:r w:rsidR="000555BC" w:rsidRPr="00217688">
        <w:rPr>
          <w:noProof w:val="0"/>
        </w:rPr>
        <w:t>32 miljardus gadā,</w:t>
      </w:r>
      <w:r w:rsidR="000555BC" w:rsidRPr="00217688">
        <w:rPr>
          <w:rStyle w:val="FootnoteReference"/>
          <w:noProof w:val="0"/>
        </w:rPr>
        <w:footnoteReference w:id="23"/>
      </w:r>
      <w:r w:rsidR="000555BC" w:rsidRPr="00217688">
        <w:rPr>
          <w:noProof w:val="0"/>
        </w:rPr>
        <w:t xml:space="preserve"> kas ir vēsturiski lielākais ilgtermiņa vidējais pieaugums – par 15 procentiem. Mobilizējot privātā sektora finansējumu, IBRD finansēšanas kapacitāte palielināsies par papildus US</w:t>
      </w:r>
      <w:r w:rsidR="00866B74">
        <w:rPr>
          <w:noProof w:val="0"/>
        </w:rPr>
        <w:t xml:space="preserve">D </w:t>
      </w:r>
      <w:r w:rsidR="000555BC" w:rsidRPr="00217688">
        <w:rPr>
          <w:noProof w:val="0"/>
        </w:rPr>
        <w:t>190 miljardiem gadā. Savukārt IFC finanšu aizdošanas kapacitāte 2019.-2030.gadā sasniegs US</w:t>
      </w:r>
      <w:r w:rsidR="00866B74">
        <w:rPr>
          <w:noProof w:val="0"/>
        </w:rPr>
        <w:t xml:space="preserve">D </w:t>
      </w:r>
      <w:r w:rsidR="000555BC" w:rsidRPr="00217688">
        <w:rPr>
          <w:noProof w:val="0"/>
        </w:rPr>
        <w:t>33 miljardus gadā</w:t>
      </w:r>
      <w:r w:rsidR="000555BC" w:rsidRPr="00217688">
        <w:rPr>
          <w:rStyle w:val="FootnoteReference"/>
          <w:noProof w:val="0"/>
        </w:rPr>
        <w:footnoteReference w:id="24"/>
      </w:r>
      <w:r w:rsidR="009E0BD8" w:rsidRPr="00217688">
        <w:rPr>
          <w:noProof w:val="0"/>
        </w:rPr>
        <w:t xml:space="preserve"> un US</w:t>
      </w:r>
      <w:r w:rsidR="00866B74">
        <w:rPr>
          <w:noProof w:val="0"/>
        </w:rPr>
        <w:t xml:space="preserve">D </w:t>
      </w:r>
      <w:r w:rsidR="00F9104B" w:rsidRPr="00217688">
        <w:rPr>
          <w:noProof w:val="0"/>
        </w:rPr>
        <w:t>125</w:t>
      </w:r>
      <w:r w:rsidR="00896DB7" w:rsidRPr="00217688">
        <w:rPr>
          <w:noProof w:val="0"/>
        </w:rPr>
        <w:t xml:space="preserve"> miljardus</w:t>
      </w:r>
      <w:r w:rsidR="00F9104B" w:rsidRPr="00217688">
        <w:rPr>
          <w:noProof w:val="0"/>
        </w:rPr>
        <w:t xml:space="preserve"> papildu finansējumu</w:t>
      </w:r>
      <w:r w:rsidR="0072276D" w:rsidRPr="00217688">
        <w:rPr>
          <w:noProof w:val="0"/>
        </w:rPr>
        <w:t xml:space="preserve">, </w:t>
      </w:r>
      <w:r w:rsidR="00F9104B" w:rsidRPr="00217688">
        <w:rPr>
          <w:noProof w:val="0"/>
        </w:rPr>
        <w:t xml:space="preserve">tai skaitā </w:t>
      </w:r>
      <w:r w:rsidR="0072276D" w:rsidRPr="00217688">
        <w:rPr>
          <w:noProof w:val="0"/>
        </w:rPr>
        <w:t>mobilizējot privātās investīcijas.</w:t>
      </w:r>
      <w:r w:rsidR="0072276D" w:rsidRPr="00217688">
        <w:rPr>
          <w:b/>
          <w:noProof w:val="0"/>
        </w:rPr>
        <w:t xml:space="preserve"> </w:t>
      </w:r>
    </w:p>
    <w:p w14:paraId="379EA460" w14:textId="77777777" w:rsidR="00500466" w:rsidRPr="00217688" w:rsidRDefault="00074495" w:rsidP="000119A3">
      <w:pPr>
        <w:spacing w:before="120" w:after="120"/>
        <w:jc w:val="both"/>
        <w:rPr>
          <w:noProof w:val="0"/>
        </w:rPr>
      </w:pPr>
      <w:r w:rsidRPr="00217688">
        <w:rPr>
          <w:noProof w:val="0"/>
        </w:rPr>
        <w:t xml:space="preserve">WBG </w:t>
      </w:r>
      <w:r w:rsidR="00994D13" w:rsidRPr="00217688">
        <w:rPr>
          <w:noProof w:val="0"/>
        </w:rPr>
        <w:t>darbības stratēģija apliecina WBG apņemšanos risināt globālās attīstības problēmas</w:t>
      </w:r>
      <w:r w:rsidR="00393EC3" w:rsidRPr="00217688">
        <w:rPr>
          <w:noProof w:val="0"/>
        </w:rPr>
        <w:t xml:space="preserve"> un sasniegt </w:t>
      </w:r>
      <w:r w:rsidRPr="00217688">
        <w:rPr>
          <w:noProof w:val="0"/>
        </w:rPr>
        <w:t xml:space="preserve">būtisku progresu </w:t>
      </w:r>
      <w:r w:rsidR="006B2121" w:rsidRPr="00217688">
        <w:rPr>
          <w:noProof w:val="0"/>
        </w:rPr>
        <w:t>tās galveno</w:t>
      </w:r>
      <w:r w:rsidRPr="00217688">
        <w:rPr>
          <w:noProof w:val="0"/>
        </w:rPr>
        <w:t xml:space="preserve"> mērķu </w:t>
      </w:r>
      <w:r w:rsidR="00393EC3" w:rsidRPr="00217688">
        <w:rPr>
          <w:noProof w:val="0"/>
        </w:rPr>
        <w:t>(</w:t>
      </w:r>
      <w:proofErr w:type="spellStart"/>
      <w:r w:rsidR="00393EC3" w:rsidRPr="00217688">
        <w:rPr>
          <w:i/>
          <w:noProof w:val="0"/>
        </w:rPr>
        <w:t>Twin</w:t>
      </w:r>
      <w:proofErr w:type="spellEnd"/>
      <w:r w:rsidR="00393EC3" w:rsidRPr="00217688">
        <w:rPr>
          <w:i/>
          <w:noProof w:val="0"/>
        </w:rPr>
        <w:t xml:space="preserve"> </w:t>
      </w:r>
      <w:proofErr w:type="spellStart"/>
      <w:r w:rsidR="00393EC3" w:rsidRPr="00217688">
        <w:rPr>
          <w:i/>
          <w:noProof w:val="0"/>
        </w:rPr>
        <w:t>Goals</w:t>
      </w:r>
      <w:proofErr w:type="spellEnd"/>
      <w:r w:rsidR="00393EC3" w:rsidRPr="00217688">
        <w:rPr>
          <w:noProof w:val="0"/>
        </w:rPr>
        <w:t xml:space="preserve">) </w:t>
      </w:r>
      <w:r w:rsidR="009452CC">
        <w:rPr>
          <w:noProof w:val="0"/>
        </w:rPr>
        <w:t>īstenošanā</w:t>
      </w:r>
      <w:r w:rsidRPr="00217688">
        <w:rPr>
          <w:noProof w:val="0"/>
        </w:rPr>
        <w:t>,</w:t>
      </w:r>
      <w:r w:rsidR="00540208" w:rsidRPr="00217688">
        <w:rPr>
          <w:noProof w:val="0"/>
        </w:rPr>
        <w:t xml:space="preserve"> </w:t>
      </w:r>
      <w:r w:rsidR="009452CC">
        <w:rPr>
          <w:noProof w:val="0"/>
        </w:rPr>
        <w:t>izvirzot</w:t>
      </w:r>
      <w:r w:rsidR="00261381" w:rsidRPr="00217688">
        <w:rPr>
          <w:noProof w:val="0"/>
        </w:rPr>
        <w:t xml:space="preserve"> </w:t>
      </w:r>
      <w:r w:rsidR="00507816" w:rsidRPr="00217688">
        <w:rPr>
          <w:noProof w:val="0"/>
        </w:rPr>
        <w:t xml:space="preserve">četras galvenās prioritātes: </w:t>
      </w:r>
    </w:p>
    <w:p w14:paraId="5C14CEB1" w14:textId="33C41844" w:rsidR="00566BEC" w:rsidRPr="00217688" w:rsidRDefault="00500466" w:rsidP="00CB2556">
      <w:pPr>
        <w:pStyle w:val="ListParagraph"/>
        <w:numPr>
          <w:ilvl w:val="2"/>
          <w:numId w:val="13"/>
        </w:numPr>
        <w:ind w:left="426"/>
        <w:jc w:val="both"/>
        <w:rPr>
          <w:noProof w:val="0"/>
        </w:rPr>
      </w:pPr>
      <w:r w:rsidRPr="00217688">
        <w:rPr>
          <w:b/>
          <w:noProof w:val="0"/>
        </w:rPr>
        <w:t>iesaistīt visas saņēmējvalstis</w:t>
      </w:r>
      <w:r w:rsidRPr="00217688">
        <w:rPr>
          <w:noProof w:val="0"/>
        </w:rPr>
        <w:t xml:space="preserve">, nodrošinot atbalsta sniegšanu dažādu ienākumu saņēmējvalstīm - valstīm, kas ir zem </w:t>
      </w:r>
      <w:proofErr w:type="spellStart"/>
      <w:r w:rsidRPr="00217688">
        <w:rPr>
          <w:noProof w:val="0"/>
        </w:rPr>
        <w:t>graduācijas</w:t>
      </w:r>
      <w:proofErr w:type="spellEnd"/>
      <w:r w:rsidRPr="00217688">
        <w:rPr>
          <w:noProof w:val="0"/>
        </w:rPr>
        <w:t xml:space="preserve"> sliekšņa tiks nodrošināts finansējums US</w:t>
      </w:r>
      <w:r w:rsidR="00866B74">
        <w:rPr>
          <w:noProof w:val="0"/>
        </w:rPr>
        <w:t xml:space="preserve">D </w:t>
      </w:r>
      <w:r w:rsidRPr="00217688">
        <w:rPr>
          <w:noProof w:val="0"/>
        </w:rPr>
        <w:t xml:space="preserve">290 miljardu apmērā, tādējādi stiprinot saņēmējvalstu politikas un institūcijas, lai nodrošinātu to ilgtspējīgu </w:t>
      </w:r>
      <w:proofErr w:type="spellStart"/>
      <w:r w:rsidRPr="00217688">
        <w:rPr>
          <w:noProof w:val="0"/>
        </w:rPr>
        <w:t>graduāciju</w:t>
      </w:r>
      <w:proofErr w:type="spellEnd"/>
      <w:r w:rsidRPr="00217688">
        <w:rPr>
          <w:noProof w:val="0"/>
        </w:rPr>
        <w:t xml:space="preserve"> no IBRD, kā arī vairāk resursu tiks novirzīti zema un vidēja ienākuma valstīm, ar kopējo finansējumu US</w:t>
      </w:r>
      <w:r w:rsidR="00866B74">
        <w:rPr>
          <w:noProof w:val="0"/>
        </w:rPr>
        <w:t xml:space="preserve">D </w:t>
      </w:r>
      <w:r w:rsidRPr="00217688">
        <w:rPr>
          <w:noProof w:val="0"/>
        </w:rPr>
        <w:t>915 miljardu apmērā;</w:t>
      </w:r>
    </w:p>
    <w:p w14:paraId="254A31A5" w14:textId="77777777" w:rsidR="002B1053" w:rsidRPr="00217688" w:rsidRDefault="009F38A5" w:rsidP="000119A3">
      <w:pPr>
        <w:pStyle w:val="ListParagraph"/>
        <w:numPr>
          <w:ilvl w:val="2"/>
          <w:numId w:val="13"/>
        </w:numPr>
        <w:ind w:left="426"/>
        <w:jc w:val="both"/>
        <w:rPr>
          <w:noProof w:val="0"/>
        </w:rPr>
      </w:pPr>
      <w:r w:rsidRPr="00217688">
        <w:rPr>
          <w:b/>
          <w:noProof w:val="0"/>
        </w:rPr>
        <w:t xml:space="preserve">stiprināt WBG lomu </w:t>
      </w:r>
      <w:r w:rsidR="00EA4DBE" w:rsidRPr="00217688">
        <w:rPr>
          <w:b/>
          <w:noProof w:val="0"/>
        </w:rPr>
        <w:t>globāli būtisko problēmu risināšanā</w:t>
      </w:r>
      <w:r w:rsidR="00500466" w:rsidRPr="00217688">
        <w:rPr>
          <w:noProof w:val="0"/>
        </w:rPr>
        <w:t>, nodrošinot WBG iesaisti krīžu vadībā un nestabilo, konflikta un vardarbības situāciju (FCV)</w:t>
      </w:r>
      <w:r w:rsidR="00500466" w:rsidRPr="00217688">
        <w:rPr>
          <w:rStyle w:val="FootnoteReference"/>
          <w:noProof w:val="0"/>
        </w:rPr>
        <w:footnoteReference w:id="25"/>
      </w:r>
      <w:r w:rsidR="00500466" w:rsidRPr="00217688">
        <w:rPr>
          <w:noProof w:val="0"/>
        </w:rPr>
        <w:t xml:space="preserve"> risināšanā,</w:t>
      </w:r>
      <w:r w:rsidR="00500466" w:rsidRPr="00217688">
        <w:rPr>
          <w:rStyle w:val="FootnoteReference"/>
          <w:noProof w:val="0"/>
        </w:rPr>
        <w:footnoteReference w:id="26"/>
      </w:r>
      <w:r w:rsidR="00500466" w:rsidRPr="00217688">
        <w:rPr>
          <w:noProof w:val="0"/>
        </w:rPr>
        <w:t xml:space="preserve"> klimata pārmaiņu risināšanā</w:t>
      </w:r>
      <w:r w:rsidR="00500466" w:rsidRPr="00217688">
        <w:rPr>
          <w:rStyle w:val="FootnoteReference"/>
          <w:noProof w:val="0"/>
        </w:rPr>
        <w:footnoteReference w:id="27"/>
      </w:r>
      <w:r w:rsidR="00500466" w:rsidRPr="00217688">
        <w:rPr>
          <w:noProof w:val="0"/>
        </w:rPr>
        <w:t xml:space="preserve"> un dzimumu līdztiesības veicināšanā;</w:t>
      </w:r>
      <w:r w:rsidR="00500466" w:rsidRPr="00217688">
        <w:rPr>
          <w:rStyle w:val="FootnoteReference"/>
          <w:noProof w:val="0"/>
        </w:rPr>
        <w:footnoteReference w:id="28"/>
      </w:r>
      <w:r w:rsidR="00500466" w:rsidRPr="00217688">
        <w:rPr>
          <w:noProof w:val="0"/>
        </w:rPr>
        <w:t xml:space="preserve"> </w:t>
      </w:r>
    </w:p>
    <w:p w14:paraId="2A5F5C83" w14:textId="77777777" w:rsidR="0034312D" w:rsidRPr="00217688" w:rsidRDefault="00507816" w:rsidP="000119A3">
      <w:pPr>
        <w:pStyle w:val="ListParagraph"/>
        <w:numPr>
          <w:ilvl w:val="2"/>
          <w:numId w:val="13"/>
        </w:numPr>
        <w:ind w:left="426"/>
        <w:jc w:val="both"/>
        <w:rPr>
          <w:noProof w:val="0"/>
        </w:rPr>
      </w:pPr>
      <w:r w:rsidRPr="00217688">
        <w:rPr>
          <w:b/>
          <w:noProof w:val="0"/>
        </w:rPr>
        <w:t>mobilizēt kapitālu un veicināt tirgu veidošanu</w:t>
      </w:r>
      <w:r w:rsidR="00500466" w:rsidRPr="00217688">
        <w:rPr>
          <w:b/>
          <w:noProof w:val="0"/>
        </w:rPr>
        <w:t>,</w:t>
      </w:r>
      <w:r w:rsidR="00AF3DBE" w:rsidRPr="00217688">
        <w:rPr>
          <w:rStyle w:val="FootnoteReference"/>
          <w:noProof w:val="0"/>
        </w:rPr>
        <w:footnoteReference w:id="29"/>
      </w:r>
      <w:r w:rsidR="00AF3DBE" w:rsidRPr="00217688">
        <w:rPr>
          <w:noProof w:val="0"/>
        </w:rPr>
        <w:t xml:space="preserve"> </w:t>
      </w:r>
      <w:r w:rsidR="00500466" w:rsidRPr="00217688">
        <w:rPr>
          <w:noProof w:val="0"/>
        </w:rPr>
        <w:t>piemērojot Kaskādes pieeju</w:t>
      </w:r>
      <w:r w:rsidR="00F41CB3" w:rsidRPr="00217688">
        <w:rPr>
          <w:noProof w:val="0"/>
        </w:rPr>
        <w:t xml:space="preserve"> (</w:t>
      </w:r>
      <w:proofErr w:type="spellStart"/>
      <w:r w:rsidR="00F41CB3" w:rsidRPr="00217688">
        <w:rPr>
          <w:i/>
          <w:noProof w:val="0"/>
        </w:rPr>
        <w:t>Cascade</w:t>
      </w:r>
      <w:proofErr w:type="spellEnd"/>
      <w:r w:rsidR="00F41CB3" w:rsidRPr="00217688">
        <w:rPr>
          <w:i/>
          <w:noProof w:val="0"/>
        </w:rPr>
        <w:t xml:space="preserve"> </w:t>
      </w:r>
      <w:proofErr w:type="spellStart"/>
      <w:r w:rsidR="00F41CB3" w:rsidRPr="00217688">
        <w:rPr>
          <w:i/>
          <w:noProof w:val="0"/>
        </w:rPr>
        <w:t>Approach</w:t>
      </w:r>
      <w:proofErr w:type="spellEnd"/>
      <w:r w:rsidR="00F41CB3" w:rsidRPr="00217688">
        <w:rPr>
          <w:noProof w:val="0"/>
        </w:rPr>
        <w:t>)</w:t>
      </w:r>
      <w:r w:rsidR="00500466" w:rsidRPr="00217688">
        <w:rPr>
          <w:noProof w:val="0"/>
        </w:rPr>
        <w:t>,</w:t>
      </w:r>
      <w:r w:rsidR="00D36B26" w:rsidRPr="00217688">
        <w:rPr>
          <w:rStyle w:val="FootnoteReference"/>
          <w:noProof w:val="0"/>
        </w:rPr>
        <w:footnoteReference w:id="30"/>
      </w:r>
      <w:r w:rsidR="00500466" w:rsidRPr="00217688">
        <w:rPr>
          <w:noProof w:val="0"/>
        </w:rPr>
        <w:t xml:space="preserve"> izmantojot reformas, konsultācijas, riska mazināšanas instrumentus un pašu līdzekļu investīcijas privātā sektora risinājumu un kapitāla mobilizēšanai;</w:t>
      </w:r>
      <w:r w:rsidRPr="00217688">
        <w:rPr>
          <w:noProof w:val="0"/>
        </w:rPr>
        <w:t xml:space="preserve"> </w:t>
      </w:r>
    </w:p>
    <w:p w14:paraId="276CD1B4" w14:textId="77777777" w:rsidR="00507816" w:rsidRPr="00217688" w:rsidRDefault="00507816" w:rsidP="000119A3">
      <w:pPr>
        <w:pStyle w:val="ListParagraph"/>
        <w:numPr>
          <w:ilvl w:val="2"/>
          <w:numId w:val="13"/>
        </w:numPr>
        <w:ind w:left="426"/>
        <w:jc w:val="both"/>
        <w:rPr>
          <w:noProof w:val="0"/>
        </w:rPr>
      </w:pPr>
      <w:r w:rsidRPr="00217688">
        <w:rPr>
          <w:b/>
          <w:noProof w:val="0"/>
        </w:rPr>
        <w:t xml:space="preserve">uzlabot WBG </w:t>
      </w:r>
      <w:r w:rsidR="00F14C50" w:rsidRPr="00217688">
        <w:rPr>
          <w:b/>
          <w:noProof w:val="0"/>
        </w:rPr>
        <w:t>iekšējo pārvaldību</w:t>
      </w:r>
      <w:r w:rsidR="00DD2275" w:rsidRPr="00217688">
        <w:rPr>
          <w:noProof w:val="0"/>
        </w:rPr>
        <w:t>, stiprinot IBRD finanšu ilgtspējas ietvaru, uzlabojot WBG efektivitāti, īstenojot iekšējās reformas un administratīvā sloga mazināšanu, kā arī pārskatot WBG atalgojuma metodoloģiju un īstenojot ietaupījumus korporatīvajos iepirkumos</w:t>
      </w:r>
      <w:r w:rsidR="002B0A92" w:rsidRPr="00217688">
        <w:rPr>
          <w:noProof w:val="0"/>
        </w:rPr>
        <w:t>.</w:t>
      </w:r>
    </w:p>
    <w:p w14:paraId="14B59E24" w14:textId="3BF00621" w:rsidR="00082C43" w:rsidRPr="00217688" w:rsidRDefault="00082C43" w:rsidP="000119A3">
      <w:pPr>
        <w:spacing w:before="120"/>
        <w:jc w:val="both"/>
        <w:rPr>
          <w:noProof w:val="0"/>
        </w:rPr>
      </w:pPr>
      <w:r w:rsidRPr="00217688">
        <w:rPr>
          <w:b/>
          <w:noProof w:val="0"/>
        </w:rPr>
        <w:t xml:space="preserve">Aptuveni 75 procenti no </w:t>
      </w:r>
      <w:r w:rsidR="00E36F98" w:rsidRPr="00217688">
        <w:rPr>
          <w:b/>
          <w:noProof w:val="0"/>
        </w:rPr>
        <w:t xml:space="preserve">WBG </w:t>
      </w:r>
      <w:r w:rsidRPr="00217688">
        <w:rPr>
          <w:b/>
          <w:noProof w:val="0"/>
        </w:rPr>
        <w:t>esošā kapitāla ir iegūti no pašu kapitāla</w:t>
      </w:r>
      <w:r w:rsidR="00E36F98" w:rsidRPr="00217688">
        <w:rPr>
          <w:b/>
          <w:noProof w:val="0"/>
        </w:rPr>
        <w:t xml:space="preserve"> un s</w:t>
      </w:r>
      <w:r w:rsidRPr="00217688">
        <w:rPr>
          <w:b/>
          <w:noProof w:val="0"/>
        </w:rPr>
        <w:t xml:space="preserve">agaidāms, ka kapitāla stiprināšanas </w:t>
      </w:r>
      <w:proofErr w:type="spellStart"/>
      <w:r w:rsidRPr="00217688">
        <w:rPr>
          <w:b/>
          <w:noProof w:val="0"/>
        </w:rPr>
        <w:t>pakotne</w:t>
      </w:r>
      <w:proofErr w:type="spellEnd"/>
      <w:r w:rsidRPr="00217688">
        <w:rPr>
          <w:b/>
          <w:noProof w:val="0"/>
        </w:rPr>
        <w:t xml:space="preserve"> saglabās šo bilanci 2019</w:t>
      </w:r>
      <w:r w:rsidR="002B3738" w:rsidRPr="00217688">
        <w:rPr>
          <w:b/>
          <w:noProof w:val="0"/>
        </w:rPr>
        <w:t>.</w:t>
      </w:r>
      <w:r w:rsidRPr="00217688">
        <w:rPr>
          <w:b/>
          <w:noProof w:val="0"/>
        </w:rPr>
        <w:t>-2030.gadā.</w:t>
      </w:r>
      <w:r w:rsidRPr="00217688">
        <w:rPr>
          <w:noProof w:val="0"/>
        </w:rPr>
        <w:t xml:space="preserve"> Tiek prognozēts, ka </w:t>
      </w:r>
      <w:r w:rsidR="00E36F98" w:rsidRPr="00217688">
        <w:rPr>
          <w:noProof w:val="0"/>
        </w:rPr>
        <w:t>2018</w:t>
      </w:r>
      <w:r w:rsidR="002B3738" w:rsidRPr="00217688">
        <w:rPr>
          <w:noProof w:val="0"/>
        </w:rPr>
        <w:t>.</w:t>
      </w:r>
      <w:r w:rsidR="00E36F98" w:rsidRPr="00217688">
        <w:rPr>
          <w:noProof w:val="0"/>
        </w:rPr>
        <w:t xml:space="preserve">-2030.gadā </w:t>
      </w:r>
      <w:r w:rsidRPr="00217688">
        <w:rPr>
          <w:noProof w:val="0"/>
        </w:rPr>
        <w:t>IBRD un IFC palielinās savas rezerves, sasniedzot US</w:t>
      </w:r>
      <w:r w:rsidR="00866B74">
        <w:rPr>
          <w:noProof w:val="0"/>
        </w:rPr>
        <w:t xml:space="preserve">D </w:t>
      </w:r>
      <w:r w:rsidRPr="00217688">
        <w:rPr>
          <w:noProof w:val="0"/>
        </w:rPr>
        <w:t xml:space="preserve">33 miljardus, kas 2,5 reizes pārsniedz </w:t>
      </w:r>
      <w:r w:rsidR="00E36F98" w:rsidRPr="00217688">
        <w:rPr>
          <w:noProof w:val="0"/>
        </w:rPr>
        <w:t xml:space="preserve">plānoto </w:t>
      </w:r>
      <w:r w:rsidRPr="00217688">
        <w:rPr>
          <w:noProof w:val="0"/>
        </w:rPr>
        <w:t>kapitāla palielinājumu</w:t>
      </w:r>
      <w:r w:rsidR="00E36F98" w:rsidRPr="00217688">
        <w:rPr>
          <w:noProof w:val="0"/>
        </w:rPr>
        <w:t xml:space="preserve"> (US</w:t>
      </w:r>
      <w:r w:rsidR="00866B74">
        <w:rPr>
          <w:noProof w:val="0"/>
        </w:rPr>
        <w:t xml:space="preserve">D </w:t>
      </w:r>
      <w:r w:rsidR="00E36F98" w:rsidRPr="00217688">
        <w:rPr>
          <w:noProof w:val="0"/>
        </w:rPr>
        <w:t>13 miljardi)</w:t>
      </w:r>
      <w:r w:rsidRPr="00217688">
        <w:rPr>
          <w:noProof w:val="0"/>
        </w:rPr>
        <w:t xml:space="preserve">, veidojot 72 procentus no kopējā </w:t>
      </w:r>
      <w:r w:rsidRPr="00217688">
        <w:rPr>
          <w:noProof w:val="0"/>
        </w:rPr>
        <w:lastRenderedPageBreak/>
        <w:t xml:space="preserve">IBRD un IFC kapitāla pieauguma attiecīgajā periodā. Plānotais ienākumu un rezervju pieaugums, ko papildinās kapitāla stiprināšanas </w:t>
      </w:r>
      <w:proofErr w:type="spellStart"/>
      <w:r w:rsidRPr="00217688">
        <w:rPr>
          <w:noProof w:val="0"/>
        </w:rPr>
        <w:t>pakotne</w:t>
      </w:r>
      <w:proofErr w:type="spellEnd"/>
      <w:r w:rsidRPr="00217688">
        <w:rPr>
          <w:noProof w:val="0"/>
        </w:rPr>
        <w:t xml:space="preserve">, </w:t>
      </w:r>
      <w:r w:rsidR="00E36F98" w:rsidRPr="00217688">
        <w:rPr>
          <w:noProof w:val="0"/>
        </w:rPr>
        <w:t>nodrošinās</w:t>
      </w:r>
      <w:r w:rsidRPr="00217688">
        <w:rPr>
          <w:noProof w:val="0"/>
        </w:rPr>
        <w:t xml:space="preserve">, ka </w:t>
      </w:r>
      <w:r w:rsidR="00E36F98" w:rsidRPr="00217688">
        <w:rPr>
          <w:noProof w:val="0"/>
        </w:rPr>
        <w:t>2019</w:t>
      </w:r>
      <w:r w:rsidR="002B3738" w:rsidRPr="00217688">
        <w:rPr>
          <w:noProof w:val="0"/>
        </w:rPr>
        <w:t>.</w:t>
      </w:r>
      <w:r w:rsidR="00E36F98" w:rsidRPr="00217688">
        <w:rPr>
          <w:noProof w:val="0"/>
        </w:rPr>
        <w:t xml:space="preserve">-2030.gadā </w:t>
      </w:r>
      <w:r w:rsidRPr="00217688">
        <w:rPr>
          <w:noProof w:val="0"/>
        </w:rPr>
        <w:t xml:space="preserve">katra akcionāra ieguldījums IBRD un IFC turpinās augt. </w:t>
      </w:r>
      <w:r w:rsidR="0041088C" w:rsidRPr="00217688">
        <w:rPr>
          <w:noProof w:val="0"/>
        </w:rPr>
        <w:t>T</w:t>
      </w:r>
      <w:r w:rsidRPr="00217688">
        <w:rPr>
          <w:noProof w:val="0"/>
        </w:rPr>
        <w:t>iek prognozēt</w:t>
      </w:r>
      <w:r w:rsidR="009E791D">
        <w:rPr>
          <w:noProof w:val="0"/>
        </w:rPr>
        <w:t xml:space="preserve">s, ka kapitāla palielinājums USD </w:t>
      </w:r>
      <w:r w:rsidRPr="00217688">
        <w:rPr>
          <w:noProof w:val="0"/>
        </w:rPr>
        <w:t xml:space="preserve">13 miljardu apmērā </w:t>
      </w:r>
      <w:r w:rsidR="0041088C" w:rsidRPr="00217688">
        <w:rPr>
          <w:noProof w:val="0"/>
        </w:rPr>
        <w:t>2019</w:t>
      </w:r>
      <w:r w:rsidR="002B3738" w:rsidRPr="00217688">
        <w:rPr>
          <w:noProof w:val="0"/>
        </w:rPr>
        <w:t>.</w:t>
      </w:r>
      <w:r w:rsidR="0041088C" w:rsidRPr="00217688">
        <w:rPr>
          <w:noProof w:val="0"/>
        </w:rPr>
        <w:t xml:space="preserve">-2030.gadā </w:t>
      </w:r>
      <w:r w:rsidRPr="00217688">
        <w:rPr>
          <w:noProof w:val="0"/>
        </w:rPr>
        <w:t xml:space="preserve">pieaugs </w:t>
      </w:r>
      <w:r w:rsidR="0041088C" w:rsidRPr="00217688">
        <w:rPr>
          <w:noProof w:val="0"/>
        </w:rPr>
        <w:t xml:space="preserve">25 reizes, </w:t>
      </w:r>
      <w:r w:rsidR="005815AC" w:rsidRPr="00217688">
        <w:rPr>
          <w:noProof w:val="0"/>
        </w:rPr>
        <w:t>ģenerējot</w:t>
      </w:r>
      <w:r w:rsidR="0041088C" w:rsidRPr="00217688">
        <w:rPr>
          <w:noProof w:val="0"/>
        </w:rPr>
        <w:t xml:space="preserve"> papildus finansējumu US</w:t>
      </w:r>
      <w:r w:rsidR="009E791D">
        <w:rPr>
          <w:noProof w:val="0"/>
        </w:rPr>
        <w:t xml:space="preserve">D </w:t>
      </w:r>
      <w:r w:rsidR="0041088C" w:rsidRPr="00217688">
        <w:rPr>
          <w:noProof w:val="0"/>
        </w:rPr>
        <w:t>315 miljardu apmērā, tai skaitā mobil</w:t>
      </w:r>
      <w:r w:rsidR="005815AC" w:rsidRPr="00217688">
        <w:rPr>
          <w:noProof w:val="0"/>
        </w:rPr>
        <w:t>i</w:t>
      </w:r>
      <w:r w:rsidR="009E791D">
        <w:rPr>
          <w:noProof w:val="0"/>
        </w:rPr>
        <w:t xml:space="preserve">zējot USD </w:t>
      </w:r>
      <w:r w:rsidR="0041088C" w:rsidRPr="00217688">
        <w:rPr>
          <w:noProof w:val="0"/>
        </w:rPr>
        <w:t xml:space="preserve">110 miljardus. </w:t>
      </w:r>
      <w:r w:rsidRPr="00217688">
        <w:rPr>
          <w:noProof w:val="0"/>
        </w:rPr>
        <w:t xml:space="preserve">IBRD un IFC ieviesīs </w:t>
      </w:r>
      <w:r w:rsidR="00703F87" w:rsidRPr="00217688">
        <w:rPr>
          <w:noProof w:val="0"/>
        </w:rPr>
        <w:t xml:space="preserve">arī </w:t>
      </w:r>
      <w:r w:rsidRPr="00217688">
        <w:rPr>
          <w:noProof w:val="0"/>
        </w:rPr>
        <w:t xml:space="preserve">jaunus efektivitātes </w:t>
      </w:r>
      <w:r w:rsidR="00703F87" w:rsidRPr="00217688">
        <w:rPr>
          <w:noProof w:val="0"/>
        </w:rPr>
        <w:t xml:space="preserve">stiprināšanas </w:t>
      </w:r>
      <w:r w:rsidRPr="00217688">
        <w:rPr>
          <w:noProof w:val="0"/>
        </w:rPr>
        <w:t xml:space="preserve">pasākumus, </w:t>
      </w:r>
      <w:r w:rsidR="00703F87" w:rsidRPr="00217688">
        <w:rPr>
          <w:noProof w:val="0"/>
        </w:rPr>
        <w:t>nodrošinot</w:t>
      </w:r>
      <w:r w:rsidRPr="00217688">
        <w:rPr>
          <w:noProof w:val="0"/>
        </w:rPr>
        <w:t xml:space="preserve"> </w:t>
      </w:r>
      <w:r w:rsidR="00703F87" w:rsidRPr="00217688">
        <w:rPr>
          <w:noProof w:val="0"/>
        </w:rPr>
        <w:t xml:space="preserve">papildu ietaupījumus </w:t>
      </w:r>
      <w:r w:rsidRPr="00217688">
        <w:rPr>
          <w:noProof w:val="0"/>
        </w:rPr>
        <w:t>US</w:t>
      </w:r>
      <w:r w:rsidR="009E791D">
        <w:rPr>
          <w:noProof w:val="0"/>
        </w:rPr>
        <w:t xml:space="preserve">D </w:t>
      </w:r>
      <w:r w:rsidRPr="00217688">
        <w:rPr>
          <w:noProof w:val="0"/>
        </w:rPr>
        <w:t>1.8 miljardu</w:t>
      </w:r>
      <w:r w:rsidR="00703F87" w:rsidRPr="00217688">
        <w:rPr>
          <w:noProof w:val="0"/>
        </w:rPr>
        <w:t xml:space="preserve"> apmērā</w:t>
      </w:r>
      <w:r w:rsidRPr="00217688">
        <w:rPr>
          <w:noProof w:val="0"/>
        </w:rPr>
        <w:t>, tai skaitā</w:t>
      </w:r>
      <w:r w:rsidR="002B3738" w:rsidRPr="00217688">
        <w:rPr>
          <w:noProof w:val="0"/>
        </w:rPr>
        <w:t>,</w:t>
      </w:r>
      <w:r w:rsidRPr="00217688">
        <w:rPr>
          <w:noProof w:val="0"/>
        </w:rPr>
        <w:t xml:space="preserve"> </w:t>
      </w:r>
      <w:r w:rsidR="00703F87" w:rsidRPr="00217688">
        <w:rPr>
          <w:noProof w:val="0"/>
        </w:rPr>
        <w:t>pārskatot</w:t>
      </w:r>
      <w:r w:rsidRPr="00217688">
        <w:rPr>
          <w:noProof w:val="0"/>
        </w:rPr>
        <w:t xml:space="preserve"> atalgojuma metodoloģij</w:t>
      </w:r>
      <w:r w:rsidR="00703F87" w:rsidRPr="00217688">
        <w:rPr>
          <w:noProof w:val="0"/>
        </w:rPr>
        <w:t>u</w:t>
      </w:r>
      <w:r w:rsidRPr="00217688">
        <w:rPr>
          <w:noProof w:val="0"/>
        </w:rPr>
        <w:t xml:space="preserve"> un </w:t>
      </w:r>
      <w:r w:rsidR="00703F87" w:rsidRPr="00217688">
        <w:rPr>
          <w:noProof w:val="0"/>
        </w:rPr>
        <w:t xml:space="preserve">mazinot </w:t>
      </w:r>
      <w:r w:rsidRPr="00217688">
        <w:rPr>
          <w:noProof w:val="0"/>
        </w:rPr>
        <w:t>administratīv</w:t>
      </w:r>
      <w:r w:rsidR="00703F87" w:rsidRPr="00217688">
        <w:rPr>
          <w:noProof w:val="0"/>
        </w:rPr>
        <w:t>o</w:t>
      </w:r>
      <w:r w:rsidRPr="00217688">
        <w:rPr>
          <w:noProof w:val="0"/>
        </w:rPr>
        <w:t xml:space="preserve"> slog</w:t>
      </w:r>
      <w:r w:rsidR="00703F87" w:rsidRPr="00217688">
        <w:rPr>
          <w:noProof w:val="0"/>
        </w:rPr>
        <w:t>u</w:t>
      </w:r>
      <w:r w:rsidRPr="00217688">
        <w:rPr>
          <w:noProof w:val="0"/>
        </w:rPr>
        <w:t xml:space="preserve">. Tādējādi kapitāla stiprināšanas </w:t>
      </w:r>
      <w:proofErr w:type="spellStart"/>
      <w:r w:rsidRPr="00217688">
        <w:rPr>
          <w:noProof w:val="0"/>
        </w:rPr>
        <w:t>pakotne</w:t>
      </w:r>
      <w:proofErr w:type="spellEnd"/>
      <w:r w:rsidRPr="00217688">
        <w:rPr>
          <w:noProof w:val="0"/>
        </w:rPr>
        <w:t xml:space="preserve"> sniedz ieguvumus visiem akcionāriem</w:t>
      </w:r>
      <w:r w:rsidR="00643F5C" w:rsidRPr="00217688">
        <w:rPr>
          <w:noProof w:val="0"/>
        </w:rPr>
        <w:t xml:space="preserve"> </w:t>
      </w:r>
      <w:r w:rsidR="002F6772" w:rsidRPr="00217688">
        <w:rPr>
          <w:noProof w:val="0"/>
        </w:rPr>
        <w:t xml:space="preserve">WBG darbības stratēģijā noteikto </w:t>
      </w:r>
      <w:r w:rsidRPr="00217688">
        <w:rPr>
          <w:noProof w:val="0"/>
        </w:rPr>
        <w:t>mērķu sasniegšanai.</w:t>
      </w:r>
      <w:r w:rsidR="00E36F98" w:rsidRPr="00217688">
        <w:rPr>
          <w:noProof w:val="0"/>
        </w:rPr>
        <w:t xml:space="preserve"> </w:t>
      </w:r>
    </w:p>
    <w:p w14:paraId="168083F4" w14:textId="77777777" w:rsidR="00082C43" w:rsidRPr="00217688" w:rsidRDefault="00E36F98" w:rsidP="00DD2275">
      <w:pPr>
        <w:ind w:firstLine="720"/>
        <w:jc w:val="both"/>
        <w:rPr>
          <w:noProof w:val="0"/>
        </w:rPr>
      </w:pPr>
      <w:r w:rsidRPr="00217688">
        <w:rPr>
          <w:noProof w:val="0"/>
        </w:rPr>
        <w:t xml:space="preserve"> </w:t>
      </w:r>
    </w:p>
    <w:p w14:paraId="5B52D5F2" w14:textId="77777777" w:rsidR="009D7C21" w:rsidRPr="00217688" w:rsidRDefault="00393C86" w:rsidP="002C6902">
      <w:pPr>
        <w:jc w:val="both"/>
        <w:rPr>
          <w:b/>
          <w:i/>
          <w:noProof w:val="0"/>
        </w:rPr>
      </w:pPr>
      <w:r w:rsidRPr="00217688">
        <w:rPr>
          <w:b/>
          <w:i/>
          <w:noProof w:val="0"/>
        </w:rPr>
        <w:t xml:space="preserve">WBG finansēšanas </w:t>
      </w:r>
      <w:proofErr w:type="spellStart"/>
      <w:r w:rsidRPr="00217688">
        <w:rPr>
          <w:b/>
          <w:i/>
          <w:noProof w:val="0"/>
        </w:rPr>
        <w:t>pakotne</w:t>
      </w:r>
      <w:proofErr w:type="spellEnd"/>
    </w:p>
    <w:p w14:paraId="13E6887F" w14:textId="77777777" w:rsidR="00CB2556" w:rsidRPr="00217688" w:rsidRDefault="00CB2556" w:rsidP="00CB2556">
      <w:pPr>
        <w:jc w:val="both"/>
        <w:rPr>
          <w:b/>
          <w:i/>
          <w:noProof w:val="0"/>
        </w:rPr>
      </w:pPr>
    </w:p>
    <w:p w14:paraId="0FC33D22" w14:textId="77777777" w:rsidR="007F5FD7" w:rsidRDefault="00587747" w:rsidP="007F5FD7">
      <w:pPr>
        <w:spacing w:after="120"/>
        <w:jc w:val="both"/>
        <w:rPr>
          <w:noProof w:val="0"/>
        </w:rPr>
      </w:pPr>
      <w:r w:rsidRPr="00217688">
        <w:rPr>
          <w:b/>
          <w:noProof w:val="0"/>
        </w:rPr>
        <w:t xml:space="preserve">2018.gada 21.aprīlī WBG Attīstības komiteja </w:t>
      </w:r>
      <w:r w:rsidRPr="00217688">
        <w:rPr>
          <w:b/>
          <w:i/>
          <w:noProof w:val="0"/>
        </w:rPr>
        <w:t>(</w:t>
      </w:r>
      <w:proofErr w:type="spellStart"/>
      <w:r w:rsidRPr="00217688">
        <w:rPr>
          <w:b/>
          <w:i/>
          <w:noProof w:val="0"/>
        </w:rPr>
        <w:t>Development</w:t>
      </w:r>
      <w:proofErr w:type="spellEnd"/>
      <w:r w:rsidRPr="00217688">
        <w:rPr>
          <w:b/>
          <w:i/>
          <w:noProof w:val="0"/>
        </w:rPr>
        <w:t xml:space="preserve"> </w:t>
      </w:r>
      <w:proofErr w:type="spellStart"/>
      <w:r w:rsidRPr="00217688">
        <w:rPr>
          <w:b/>
          <w:i/>
          <w:noProof w:val="0"/>
        </w:rPr>
        <w:t>Committee</w:t>
      </w:r>
      <w:proofErr w:type="spellEnd"/>
      <w:r w:rsidRPr="00217688">
        <w:rPr>
          <w:b/>
          <w:i/>
          <w:noProof w:val="0"/>
        </w:rPr>
        <w:t>)</w:t>
      </w:r>
      <w:r w:rsidR="00BA6557" w:rsidRPr="00217688">
        <w:rPr>
          <w:rStyle w:val="FootnoteReference"/>
          <w:b/>
          <w:i/>
          <w:noProof w:val="0"/>
        </w:rPr>
        <w:footnoteReference w:id="31"/>
      </w:r>
      <w:r w:rsidR="00CB2556" w:rsidRPr="00217688">
        <w:rPr>
          <w:b/>
          <w:noProof w:val="0"/>
        </w:rPr>
        <w:t xml:space="preserve"> </w:t>
      </w:r>
      <w:r w:rsidRPr="00217688">
        <w:rPr>
          <w:b/>
          <w:noProof w:val="0"/>
        </w:rPr>
        <w:t>apliecināja fundament</w:t>
      </w:r>
      <w:r w:rsidR="003B5D8A" w:rsidRPr="00217688">
        <w:rPr>
          <w:b/>
          <w:noProof w:val="0"/>
        </w:rPr>
        <w:t>ālu</w:t>
      </w:r>
      <w:r w:rsidRPr="00217688">
        <w:rPr>
          <w:b/>
          <w:noProof w:val="0"/>
        </w:rPr>
        <w:t xml:space="preserve"> reformu nepieciešamību, </w:t>
      </w:r>
      <w:r w:rsidR="000310D2" w:rsidRPr="00217688">
        <w:rPr>
          <w:b/>
          <w:noProof w:val="0"/>
        </w:rPr>
        <w:t>lai</w:t>
      </w:r>
      <w:r w:rsidRPr="00217688">
        <w:rPr>
          <w:b/>
          <w:noProof w:val="0"/>
        </w:rPr>
        <w:t xml:space="preserve"> WBG </w:t>
      </w:r>
      <w:r w:rsidR="000310D2" w:rsidRPr="00217688">
        <w:rPr>
          <w:b/>
          <w:noProof w:val="0"/>
        </w:rPr>
        <w:t xml:space="preserve">varētu </w:t>
      </w:r>
      <w:r w:rsidRPr="00217688">
        <w:rPr>
          <w:b/>
          <w:noProof w:val="0"/>
        </w:rPr>
        <w:t>nodrošināt finansiāli ilgtspējīgu attīstības sadarbības rezultātu sasniegšanu.</w:t>
      </w:r>
      <w:r w:rsidRPr="00217688">
        <w:rPr>
          <w:noProof w:val="0"/>
        </w:rPr>
        <w:t xml:space="preserve"> Attīstības komiteja atzina, ka WBG ir izstrādājusi mērķtiecīgu stratēģiju </w:t>
      </w:r>
      <w:r w:rsidR="00197644" w:rsidRPr="00217688">
        <w:rPr>
          <w:noProof w:val="0"/>
        </w:rPr>
        <w:t>ilgtspējīgu attīstības</w:t>
      </w:r>
      <w:r w:rsidRPr="00217688">
        <w:rPr>
          <w:noProof w:val="0"/>
        </w:rPr>
        <w:t xml:space="preserve"> mērķu sasniegšanai</w:t>
      </w:r>
      <w:r w:rsidR="001A2EA5" w:rsidRPr="00217688">
        <w:rPr>
          <w:noProof w:val="0"/>
        </w:rPr>
        <w:t>,</w:t>
      </w:r>
      <w:r w:rsidRPr="00217688">
        <w:rPr>
          <w:noProof w:val="0"/>
        </w:rPr>
        <w:t xml:space="preserve"> un ir apņēmusies veikt nepieciešamās izmaiņas</w:t>
      </w:r>
      <w:r w:rsidR="002206C3" w:rsidRPr="00217688">
        <w:rPr>
          <w:noProof w:val="0"/>
        </w:rPr>
        <w:t xml:space="preserve"> </w:t>
      </w:r>
      <w:r w:rsidR="00197644" w:rsidRPr="00217688">
        <w:rPr>
          <w:noProof w:val="0"/>
        </w:rPr>
        <w:t>–</w:t>
      </w:r>
      <w:r w:rsidRPr="00217688">
        <w:rPr>
          <w:noProof w:val="0"/>
        </w:rPr>
        <w:t xml:space="preserve"> īstenot</w:t>
      </w:r>
      <w:r w:rsidR="00197644" w:rsidRPr="00217688">
        <w:rPr>
          <w:noProof w:val="0"/>
        </w:rPr>
        <w:t xml:space="preserve"> WBG darbības stratēģijas</w:t>
      </w:r>
      <w:r w:rsidRPr="00217688">
        <w:rPr>
          <w:noProof w:val="0"/>
        </w:rPr>
        <w:t xml:space="preserve"> reformas un stiprināt WBG finanšu kapacitāti atbilstoši </w:t>
      </w:r>
      <w:r w:rsidR="0033685F" w:rsidRPr="00217688">
        <w:rPr>
          <w:noProof w:val="0"/>
        </w:rPr>
        <w:t xml:space="preserve">WBG ziņojumam pilnvarniekiem uz 2018.gada pilnvarnieku Pavasara sanāksmi “Ilgtspējīgs finansējums ilgtspējīgai attīstībai: Pasaules Bankas </w:t>
      </w:r>
      <w:r w:rsidR="008A12CE">
        <w:rPr>
          <w:noProof w:val="0"/>
        </w:rPr>
        <w:t>g</w:t>
      </w:r>
      <w:r w:rsidR="0033685F" w:rsidRPr="00217688">
        <w:rPr>
          <w:noProof w:val="0"/>
        </w:rPr>
        <w:t xml:space="preserve">rupas Kapitāla </w:t>
      </w:r>
      <w:proofErr w:type="spellStart"/>
      <w:r w:rsidR="0033685F" w:rsidRPr="00217688">
        <w:rPr>
          <w:noProof w:val="0"/>
        </w:rPr>
        <w:t>pakotnes</w:t>
      </w:r>
      <w:proofErr w:type="spellEnd"/>
      <w:r w:rsidR="0033685F" w:rsidRPr="00217688">
        <w:rPr>
          <w:noProof w:val="0"/>
        </w:rPr>
        <w:t xml:space="preserve"> priekšlikums”</w:t>
      </w:r>
      <w:r w:rsidR="006E73D3" w:rsidRPr="00217688">
        <w:rPr>
          <w:noProof w:val="0"/>
        </w:rPr>
        <w:t>, kā arī</w:t>
      </w:r>
      <w:r w:rsidRPr="00217688">
        <w:rPr>
          <w:noProof w:val="0"/>
        </w:rPr>
        <w:t xml:space="preserve"> apstiprināja rekomendāciju īstenot IBRD un IFC vispārējo kapitāla palielināšanu</w:t>
      </w:r>
      <w:r w:rsidR="00B07C9A" w:rsidRPr="00217688">
        <w:rPr>
          <w:noProof w:val="0"/>
        </w:rPr>
        <w:t xml:space="preserve"> (</w:t>
      </w:r>
      <w:proofErr w:type="spellStart"/>
      <w:r w:rsidR="001B0AC0" w:rsidRPr="00217688">
        <w:rPr>
          <w:i/>
          <w:noProof w:val="0"/>
        </w:rPr>
        <w:t>General</w:t>
      </w:r>
      <w:proofErr w:type="spellEnd"/>
      <w:r w:rsidR="001B0AC0" w:rsidRPr="00217688">
        <w:rPr>
          <w:i/>
          <w:noProof w:val="0"/>
        </w:rPr>
        <w:t xml:space="preserve"> </w:t>
      </w:r>
      <w:proofErr w:type="spellStart"/>
      <w:r w:rsidR="001B0AC0" w:rsidRPr="00217688">
        <w:rPr>
          <w:i/>
          <w:noProof w:val="0"/>
        </w:rPr>
        <w:t>Capital</w:t>
      </w:r>
      <w:proofErr w:type="spellEnd"/>
      <w:r w:rsidR="001B0AC0" w:rsidRPr="00217688">
        <w:rPr>
          <w:i/>
          <w:noProof w:val="0"/>
        </w:rPr>
        <w:t xml:space="preserve"> </w:t>
      </w:r>
      <w:proofErr w:type="spellStart"/>
      <w:r w:rsidR="001B0AC0" w:rsidRPr="00217688">
        <w:rPr>
          <w:i/>
          <w:noProof w:val="0"/>
        </w:rPr>
        <w:t>Increase</w:t>
      </w:r>
      <w:proofErr w:type="spellEnd"/>
      <w:r w:rsidR="001B0AC0" w:rsidRPr="00217688">
        <w:rPr>
          <w:noProof w:val="0"/>
        </w:rPr>
        <w:t xml:space="preserve"> - </w:t>
      </w:r>
      <w:r w:rsidR="00B07C9A" w:rsidRPr="00217688">
        <w:rPr>
          <w:noProof w:val="0"/>
        </w:rPr>
        <w:t xml:space="preserve">GCI). Atbilstoši </w:t>
      </w:r>
      <w:r w:rsidR="003B5D8A" w:rsidRPr="00217688">
        <w:rPr>
          <w:noProof w:val="0"/>
        </w:rPr>
        <w:t xml:space="preserve">pilnvarniekiem sagatavotā </w:t>
      </w:r>
      <w:r w:rsidR="002C31EF" w:rsidRPr="00217688">
        <w:rPr>
          <w:noProof w:val="0"/>
        </w:rPr>
        <w:t xml:space="preserve">WBG </w:t>
      </w:r>
      <w:r w:rsidR="003B5D8A" w:rsidRPr="00217688">
        <w:rPr>
          <w:noProof w:val="0"/>
        </w:rPr>
        <w:t>ziņojuma par akciju pārskatīšanu</w:t>
      </w:r>
      <w:r w:rsidR="002C31EF" w:rsidRPr="00217688">
        <w:rPr>
          <w:rStyle w:val="FootnoteReference"/>
          <w:noProof w:val="0"/>
        </w:rPr>
        <w:footnoteReference w:id="32"/>
      </w:r>
      <w:r w:rsidR="003B5D8A" w:rsidRPr="00217688">
        <w:rPr>
          <w:noProof w:val="0"/>
        </w:rPr>
        <w:t xml:space="preserve"> </w:t>
      </w:r>
      <w:r w:rsidR="007F3C39" w:rsidRPr="00217688">
        <w:rPr>
          <w:noProof w:val="0"/>
        </w:rPr>
        <w:t xml:space="preserve">rekomendācijai </w:t>
      </w:r>
      <w:r w:rsidR="00B07C9A" w:rsidRPr="00217688">
        <w:rPr>
          <w:noProof w:val="0"/>
        </w:rPr>
        <w:t xml:space="preserve">Attīstības komiteja apstiprināja arī </w:t>
      </w:r>
      <w:r w:rsidR="007F3C39" w:rsidRPr="00217688">
        <w:rPr>
          <w:noProof w:val="0"/>
        </w:rPr>
        <w:t>IBRD selektīvo kapitāla palielināšanu (</w:t>
      </w:r>
      <w:proofErr w:type="spellStart"/>
      <w:r w:rsidR="0013426F" w:rsidRPr="00217688">
        <w:rPr>
          <w:i/>
          <w:noProof w:val="0"/>
        </w:rPr>
        <w:t>Selective</w:t>
      </w:r>
      <w:proofErr w:type="spellEnd"/>
      <w:r w:rsidR="0013426F" w:rsidRPr="00217688">
        <w:rPr>
          <w:i/>
          <w:noProof w:val="0"/>
        </w:rPr>
        <w:t xml:space="preserve"> </w:t>
      </w:r>
      <w:proofErr w:type="spellStart"/>
      <w:r w:rsidR="0013426F" w:rsidRPr="00217688">
        <w:rPr>
          <w:i/>
          <w:noProof w:val="0"/>
        </w:rPr>
        <w:t>Capital</w:t>
      </w:r>
      <w:proofErr w:type="spellEnd"/>
      <w:r w:rsidR="0013426F" w:rsidRPr="00217688">
        <w:rPr>
          <w:i/>
          <w:noProof w:val="0"/>
        </w:rPr>
        <w:t xml:space="preserve"> </w:t>
      </w:r>
      <w:proofErr w:type="spellStart"/>
      <w:r w:rsidR="0013426F" w:rsidRPr="00217688">
        <w:rPr>
          <w:i/>
          <w:noProof w:val="0"/>
        </w:rPr>
        <w:t>Increase</w:t>
      </w:r>
      <w:proofErr w:type="spellEnd"/>
      <w:r w:rsidR="0013426F" w:rsidRPr="00217688">
        <w:rPr>
          <w:noProof w:val="0"/>
        </w:rPr>
        <w:t xml:space="preserve"> - </w:t>
      </w:r>
      <w:r w:rsidR="007F3C39" w:rsidRPr="00217688">
        <w:rPr>
          <w:noProof w:val="0"/>
        </w:rPr>
        <w:t>SCI), kā rezultātā tiks nodrošināts līdzsvarots dalībnieku akciju sadalījums</w:t>
      </w:r>
      <w:r w:rsidR="008D619C" w:rsidRPr="00217688">
        <w:rPr>
          <w:noProof w:val="0"/>
        </w:rPr>
        <w:t>,</w:t>
      </w:r>
      <w:r w:rsidR="007F3C39" w:rsidRPr="00217688">
        <w:rPr>
          <w:noProof w:val="0"/>
        </w:rPr>
        <w:t xml:space="preserve"> </w:t>
      </w:r>
      <w:r w:rsidR="008D619C" w:rsidRPr="00217688">
        <w:rPr>
          <w:noProof w:val="0"/>
        </w:rPr>
        <w:t xml:space="preserve">mazinot </w:t>
      </w:r>
      <w:r w:rsidR="007F3C39" w:rsidRPr="00217688">
        <w:rPr>
          <w:noProof w:val="0"/>
        </w:rPr>
        <w:t>a</w:t>
      </w:r>
      <w:r w:rsidR="00D76F51" w:rsidRPr="00217688">
        <w:rPr>
          <w:noProof w:val="0"/>
        </w:rPr>
        <w:t>tsevišķu dalībnieku nepietiekamo pārstāvību</w:t>
      </w:r>
      <w:r w:rsidR="007F3C39" w:rsidRPr="00217688">
        <w:rPr>
          <w:noProof w:val="0"/>
        </w:rPr>
        <w:t>.</w:t>
      </w:r>
      <w:r w:rsidR="003B5D8A" w:rsidRPr="00217688">
        <w:rPr>
          <w:noProof w:val="0"/>
        </w:rPr>
        <w:t xml:space="preserve"> Savukārt ar </w:t>
      </w:r>
      <w:r w:rsidR="007F3C39" w:rsidRPr="00217688">
        <w:rPr>
          <w:noProof w:val="0"/>
        </w:rPr>
        <w:t>IFC selektīvā kapitāla palielināšan</w:t>
      </w:r>
      <w:r w:rsidR="00604A61" w:rsidRPr="00217688">
        <w:rPr>
          <w:noProof w:val="0"/>
        </w:rPr>
        <w:t>u</w:t>
      </w:r>
      <w:r w:rsidR="007F3C39" w:rsidRPr="00217688">
        <w:rPr>
          <w:noProof w:val="0"/>
        </w:rPr>
        <w:t xml:space="preserve"> tiks pilnvērtīgāk salāgots </w:t>
      </w:r>
      <w:r w:rsidR="003B5D8A" w:rsidRPr="00217688">
        <w:rPr>
          <w:noProof w:val="0"/>
        </w:rPr>
        <w:t xml:space="preserve">dalībnieku </w:t>
      </w:r>
      <w:r w:rsidR="007F3C39" w:rsidRPr="00217688">
        <w:rPr>
          <w:noProof w:val="0"/>
        </w:rPr>
        <w:t xml:space="preserve">akciju sadalījums starp IBRD un IFC. </w:t>
      </w:r>
    </w:p>
    <w:p w14:paraId="0E0F32FA" w14:textId="4C15E340" w:rsidR="006C118F" w:rsidRDefault="007F5FD7" w:rsidP="00CB2556">
      <w:pPr>
        <w:jc w:val="both"/>
        <w:rPr>
          <w:noProof w:val="0"/>
        </w:rPr>
      </w:pPr>
      <w:r w:rsidRPr="00EB3A00">
        <w:rPr>
          <w:rFonts w:eastAsia="Times New Roman" w:cs="Times New Roman"/>
          <w:b/>
          <w:noProof w:val="0"/>
          <w:color w:val="212121"/>
          <w:szCs w:val="24"/>
        </w:rPr>
        <w:t>Iemaksas kapitālā tiek aprēķinātas atbilstoši IBRD dinamiskajai formulai</w:t>
      </w:r>
      <w:r w:rsidRPr="00EB3A00">
        <w:rPr>
          <w:rFonts w:eastAsia="Times New Roman" w:cs="Times New Roman"/>
          <w:noProof w:val="0"/>
          <w:color w:val="212121"/>
          <w:szCs w:val="24"/>
        </w:rPr>
        <w:t>, kas iekļauj divus rādītājus – ekonomiskā svara rādītāju ar 80 procentu svaru un iemaksu IDA rādītāju ar 20 procentu svaru. Ekonomiskais svars tiek noteikts pēc piecu gadu IKP rādītāja, izmantojot tirgus valūtas maiņas kursu (60 procenti) un pirktspējas paritāti (40 procenti). IDA iemaksu rādītājs tiek noteikts atkarībā no iemaksām IDA pēdējos trīs resursu papildināšanas periodos (80 procenti) un agrākām iemaksām IDA (20 procenti). Formulas rezultātam tiek piemērots 0,95 kompresijas koeficients, lai līdzsvarotu aprēķināto akciju sadalījumu starp ekonomiski attīstītajām valstīm un valstīm ar mazattīstītu ekonomiku. IFC akciju sadalījums vēsturiski ir bijis sasaistīts ar IBRD akciju sadalījumu, tomēr laika gaitā akciju sadalījuma līdzsvars starp IBRD un IFC novirzījās. Līdz ar to, lai salāgotu IFC akciju sadalījumu tām dalībvalstīm, kuru akciju sadalījums IFC ir zemāks par akciju sadalījumu IBRD, tiks piemērota IFC selektīvā kapitāla palielināšana.</w:t>
      </w:r>
    </w:p>
    <w:p w14:paraId="0E81C1A5" w14:textId="75514C2B" w:rsidR="007F5FD7" w:rsidRPr="00217688" w:rsidRDefault="00786B74" w:rsidP="007F5FD7">
      <w:pPr>
        <w:spacing w:before="120"/>
        <w:jc w:val="both"/>
        <w:rPr>
          <w:rFonts w:eastAsia="Times New Roman" w:cs="Times New Roman"/>
          <w:bCs/>
          <w:noProof w:val="0"/>
          <w:szCs w:val="24"/>
        </w:rPr>
      </w:pPr>
      <w:r w:rsidRPr="00217688">
        <w:rPr>
          <w:b/>
          <w:noProof w:val="0"/>
        </w:rPr>
        <w:t>WBG f</w:t>
      </w:r>
      <w:r w:rsidR="0087411F" w:rsidRPr="00217688">
        <w:rPr>
          <w:b/>
          <w:noProof w:val="0"/>
        </w:rPr>
        <w:t xml:space="preserve">inansēšanas </w:t>
      </w:r>
      <w:proofErr w:type="spellStart"/>
      <w:r w:rsidR="0087411F" w:rsidRPr="00217688">
        <w:rPr>
          <w:b/>
          <w:noProof w:val="0"/>
        </w:rPr>
        <w:t>pakotne</w:t>
      </w:r>
      <w:proofErr w:type="spellEnd"/>
      <w:r w:rsidR="0087411F" w:rsidRPr="00217688">
        <w:rPr>
          <w:b/>
          <w:noProof w:val="0"/>
        </w:rPr>
        <w:t xml:space="preserve"> paredz kapitāla palielināšanu kopumā par US</w:t>
      </w:r>
      <w:r w:rsidR="009E791D">
        <w:rPr>
          <w:b/>
          <w:noProof w:val="0"/>
        </w:rPr>
        <w:t xml:space="preserve">D </w:t>
      </w:r>
      <w:r w:rsidR="0087411F" w:rsidRPr="00217688">
        <w:rPr>
          <w:b/>
          <w:noProof w:val="0"/>
        </w:rPr>
        <w:t>13 miljardiem</w:t>
      </w:r>
      <w:r w:rsidR="0087411F" w:rsidRPr="00217688">
        <w:rPr>
          <w:noProof w:val="0"/>
        </w:rPr>
        <w:t xml:space="preserve">, kas ietver IBRD </w:t>
      </w:r>
      <w:r w:rsidR="003B76EC" w:rsidRPr="00217688">
        <w:rPr>
          <w:noProof w:val="0"/>
        </w:rPr>
        <w:t>apmaksātā</w:t>
      </w:r>
      <w:r w:rsidR="00D65A9A" w:rsidRPr="00217688">
        <w:rPr>
          <w:noProof w:val="0"/>
        </w:rPr>
        <w:t xml:space="preserve"> (</w:t>
      </w:r>
      <w:proofErr w:type="spellStart"/>
      <w:r w:rsidR="00D65A9A" w:rsidRPr="00217688">
        <w:rPr>
          <w:i/>
          <w:noProof w:val="0"/>
        </w:rPr>
        <w:t>paid</w:t>
      </w:r>
      <w:proofErr w:type="spellEnd"/>
      <w:r w:rsidR="000555BC" w:rsidRPr="00217688">
        <w:rPr>
          <w:i/>
          <w:noProof w:val="0"/>
        </w:rPr>
        <w:t>-</w:t>
      </w:r>
      <w:r w:rsidR="00D65A9A" w:rsidRPr="00217688">
        <w:rPr>
          <w:i/>
          <w:noProof w:val="0"/>
        </w:rPr>
        <w:t>in</w:t>
      </w:r>
      <w:r w:rsidR="00D65A9A" w:rsidRPr="00217688">
        <w:rPr>
          <w:noProof w:val="0"/>
        </w:rPr>
        <w:t xml:space="preserve">) </w:t>
      </w:r>
      <w:r w:rsidR="0087411F" w:rsidRPr="00217688">
        <w:rPr>
          <w:noProof w:val="0"/>
        </w:rPr>
        <w:t>kapitāla palielināšanu par US</w:t>
      </w:r>
      <w:r w:rsidR="009E791D">
        <w:rPr>
          <w:noProof w:val="0"/>
        </w:rPr>
        <w:t xml:space="preserve">D </w:t>
      </w:r>
      <w:r w:rsidR="0087411F" w:rsidRPr="00217688">
        <w:rPr>
          <w:noProof w:val="0"/>
        </w:rPr>
        <w:t>7,5 miljardiem</w:t>
      </w:r>
      <w:r w:rsidR="00BF11D3" w:rsidRPr="00217688">
        <w:rPr>
          <w:noProof w:val="0"/>
        </w:rPr>
        <w:t>,</w:t>
      </w:r>
      <w:r w:rsidR="0087411F" w:rsidRPr="00217688">
        <w:rPr>
          <w:noProof w:val="0"/>
        </w:rPr>
        <w:t xml:space="preserve"> IFC </w:t>
      </w:r>
      <w:r w:rsidR="00EA7FB8" w:rsidRPr="00217688">
        <w:rPr>
          <w:noProof w:val="0"/>
        </w:rPr>
        <w:t>apmaksātā</w:t>
      </w:r>
      <w:r w:rsidR="00D65A9A" w:rsidRPr="00217688">
        <w:rPr>
          <w:noProof w:val="0"/>
        </w:rPr>
        <w:t xml:space="preserve"> (</w:t>
      </w:r>
      <w:proofErr w:type="spellStart"/>
      <w:r w:rsidR="00D65A9A" w:rsidRPr="00217688">
        <w:rPr>
          <w:i/>
          <w:noProof w:val="0"/>
        </w:rPr>
        <w:t>paid</w:t>
      </w:r>
      <w:proofErr w:type="spellEnd"/>
      <w:r w:rsidR="000555BC" w:rsidRPr="00217688">
        <w:rPr>
          <w:i/>
          <w:noProof w:val="0"/>
        </w:rPr>
        <w:t>-</w:t>
      </w:r>
      <w:r w:rsidR="00D65A9A" w:rsidRPr="00217688">
        <w:rPr>
          <w:i/>
          <w:noProof w:val="0"/>
        </w:rPr>
        <w:t>in</w:t>
      </w:r>
      <w:r w:rsidR="00D65A9A" w:rsidRPr="00217688">
        <w:rPr>
          <w:noProof w:val="0"/>
        </w:rPr>
        <w:t xml:space="preserve">) </w:t>
      </w:r>
      <w:r w:rsidR="0087411F" w:rsidRPr="00217688">
        <w:rPr>
          <w:noProof w:val="0"/>
        </w:rPr>
        <w:t>kapitāla palielināšanu par US</w:t>
      </w:r>
      <w:r w:rsidR="009E791D">
        <w:rPr>
          <w:noProof w:val="0"/>
        </w:rPr>
        <w:t xml:space="preserve">D </w:t>
      </w:r>
      <w:r w:rsidR="002D4153" w:rsidRPr="00217688">
        <w:rPr>
          <w:noProof w:val="0"/>
        </w:rPr>
        <w:t>5.5</w:t>
      </w:r>
      <w:r w:rsidR="0087411F" w:rsidRPr="00217688">
        <w:rPr>
          <w:noProof w:val="0"/>
        </w:rPr>
        <w:t xml:space="preserve"> miljardiem</w:t>
      </w:r>
      <w:r w:rsidR="00BF11D3" w:rsidRPr="00217688">
        <w:rPr>
          <w:noProof w:val="0"/>
        </w:rPr>
        <w:t>, kā arī</w:t>
      </w:r>
      <w:r w:rsidR="00FF101D" w:rsidRPr="00217688">
        <w:rPr>
          <w:noProof w:val="0"/>
        </w:rPr>
        <w:t xml:space="preserve"> </w:t>
      </w:r>
      <w:r w:rsidR="002D4153" w:rsidRPr="00217688">
        <w:rPr>
          <w:noProof w:val="0"/>
        </w:rPr>
        <w:t xml:space="preserve">IBRD </w:t>
      </w:r>
      <w:r w:rsidR="00BF11D3" w:rsidRPr="00217688">
        <w:rPr>
          <w:noProof w:val="0"/>
        </w:rPr>
        <w:t xml:space="preserve">kapitāla </w:t>
      </w:r>
      <w:r w:rsidR="00960344">
        <w:rPr>
          <w:noProof w:val="0"/>
        </w:rPr>
        <w:t xml:space="preserve">uz pieprasījumu </w:t>
      </w:r>
      <w:r w:rsidR="00960344" w:rsidRPr="00217688">
        <w:rPr>
          <w:noProof w:val="0"/>
        </w:rPr>
        <w:t>(</w:t>
      </w:r>
      <w:proofErr w:type="spellStart"/>
      <w:r w:rsidR="00960344" w:rsidRPr="00217688">
        <w:rPr>
          <w:i/>
          <w:noProof w:val="0"/>
        </w:rPr>
        <w:t>callable</w:t>
      </w:r>
      <w:proofErr w:type="spellEnd"/>
      <w:r w:rsidR="00960344" w:rsidRPr="00217688">
        <w:rPr>
          <w:noProof w:val="0"/>
        </w:rPr>
        <w:t xml:space="preserve">) </w:t>
      </w:r>
      <w:r w:rsidR="002D4153" w:rsidRPr="00217688">
        <w:rPr>
          <w:noProof w:val="0"/>
        </w:rPr>
        <w:t>palielinā</w:t>
      </w:r>
      <w:r w:rsidR="00BF11D3" w:rsidRPr="00217688">
        <w:rPr>
          <w:noProof w:val="0"/>
        </w:rPr>
        <w:t>šanu</w:t>
      </w:r>
      <w:r w:rsidR="002D4153" w:rsidRPr="00217688">
        <w:rPr>
          <w:noProof w:val="0"/>
        </w:rPr>
        <w:t xml:space="preserve"> par US</w:t>
      </w:r>
      <w:r w:rsidR="009E791D">
        <w:rPr>
          <w:noProof w:val="0"/>
        </w:rPr>
        <w:t xml:space="preserve">D </w:t>
      </w:r>
      <w:r w:rsidR="002D4153" w:rsidRPr="00217688">
        <w:rPr>
          <w:noProof w:val="0"/>
        </w:rPr>
        <w:t xml:space="preserve">52.6 miljardiem, </w:t>
      </w:r>
      <w:r w:rsidR="00B67E03" w:rsidRPr="00217688">
        <w:rPr>
          <w:noProof w:val="0"/>
        </w:rPr>
        <w:t xml:space="preserve">kas tiks īstenota kā </w:t>
      </w:r>
      <w:r w:rsidR="002D4153" w:rsidRPr="00217688">
        <w:rPr>
          <w:noProof w:val="0"/>
        </w:rPr>
        <w:t>vispārēj</w:t>
      </w:r>
      <w:r w:rsidR="00B67E03" w:rsidRPr="00217688">
        <w:rPr>
          <w:noProof w:val="0"/>
        </w:rPr>
        <w:t>ā</w:t>
      </w:r>
      <w:r w:rsidR="002D4153" w:rsidRPr="00217688">
        <w:rPr>
          <w:noProof w:val="0"/>
        </w:rPr>
        <w:t xml:space="preserve"> kapitāla palielināšan</w:t>
      </w:r>
      <w:r w:rsidR="00B67E03" w:rsidRPr="00217688">
        <w:rPr>
          <w:noProof w:val="0"/>
        </w:rPr>
        <w:t>a</w:t>
      </w:r>
      <w:r w:rsidR="002D4153" w:rsidRPr="00217688">
        <w:rPr>
          <w:noProof w:val="0"/>
        </w:rPr>
        <w:t xml:space="preserve"> (GCI) un selektīv</w:t>
      </w:r>
      <w:r w:rsidR="00B67E03" w:rsidRPr="00217688">
        <w:rPr>
          <w:noProof w:val="0"/>
        </w:rPr>
        <w:t>ā</w:t>
      </w:r>
      <w:r w:rsidR="002D4153" w:rsidRPr="00217688">
        <w:rPr>
          <w:noProof w:val="0"/>
        </w:rPr>
        <w:t xml:space="preserve"> kapitāla palielināšan</w:t>
      </w:r>
      <w:r w:rsidR="00B67E03" w:rsidRPr="00217688">
        <w:rPr>
          <w:noProof w:val="0"/>
        </w:rPr>
        <w:t>a</w:t>
      </w:r>
      <w:r w:rsidR="002D4153" w:rsidRPr="00217688">
        <w:rPr>
          <w:noProof w:val="0"/>
        </w:rPr>
        <w:t xml:space="preserve"> (SCI).</w:t>
      </w:r>
      <w:r w:rsidR="008A2528" w:rsidRPr="00217688">
        <w:rPr>
          <w:noProof w:val="0"/>
        </w:rPr>
        <w:t xml:space="preserve"> </w:t>
      </w:r>
      <w:r w:rsidR="00CE6B14" w:rsidRPr="00217688">
        <w:rPr>
          <w:noProof w:val="0"/>
        </w:rPr>
        <w:t xml:space="preserve">IFC gadījumā plānots arī veikt nesadalītās peļņas konvertāciju apmaksātajā kapitālā un Statūtu grozījumus. </w:t>
      </w:r>
      <w:r w:rsidR="00EB05C8" w:rsidRPr="00217688">
        <w:rPr>
          <w:noProof w:val="0"/>
        </w:rPr>
        <w:t xml:space="preserve">Paralēli šim </w:t>
      </w:r>
      <w:r w:rsidR="00EB05C8" w:rsidRPr="00217688">
        <w:rPr>
          <w:noProof w:val="0"/>
        </w:rPr>
        <w:lastRenderedPageBreak/>
        <w:t>procesam plānots veikt akciju un balsstiesību pārskatīšanu, nodrošinot līdzsvarotāku sadalījumu starp dalībniekiem un vienotu pieeju IBRD un IFC.</w:t>
      </w:r>
      <w:r w:rsidR="00C167EF" w:rsidRPr="00217688">
        <w:rPr>
          <w:noProof w:val="0"/>
        </w:rPr>
        <w:t xml:space="preserve"> </w:t>
      </w:r>
    </w:p>
    <w:p w14:paraId="06051116" w14:textId="77777777" w:rsidR="007F5FD7" w:rsidRDefault="007F5FD7" w:rsidP="000119A3">
      <w:pPr>
        <w:spacing w:before="120"/>
        <w:jc w:val="both"/>
        <w:rPr>
          <w:noProof w:val="0"/>
        </w:rPr>
      </w:pPr>
    </w:p>
    <w:p w14:paraId="78235531" w14:textId="314382FE" w:rsidR="00E20551" w:rsidRPr="00217688" w:rsidRDefault="00C167EF" w:rsidP="000119A3">
      <w:pPr>
        <w:spacing w:before="120"/>
        <w:jc w:val="both"/>
        <w:rPr>
          <w:noProof w:val="0"/>
        </w:rPr>
      </w:pPr>
      <w:r w:rsidRPr="00217688">
        <w:rPr>
          <w:noProof w:val="0"/>
        </w:rPr>
        <w:t xml:space="preserve">Rezolūcijas pilnvarniekiem </w:t>
      </w:r>
      <w:r w:rsidR="007166F5">
        <w:rPr>
          <w:noProof w:val="0"/>
        </w:rPr>
        <w:t xml:space="preserve">par </w:t>
      </w:r>
      <w:r w:rsidRPr="00217688">
        <w:rPr>
          <w:noProof w:val="0"/>
        </w:rPr>
        <w:t xml:space="preserve">kapitāla palielināšanu </w:t>
      </w:r>
      <w:r w:rsidR="00286C91" w:rsidRPr="00217688">
        <w:rPr>
          <w:noProof w:val="0"/>
        </w:rPr>
        <w:t>iesniegtas</w:t>
      </w:r>
      <w:r w:rsidRPr="00217688">
        <w:rPr>
          <w:noProof w:val="0"/>
        </w:rPr>
        <w:t xml:space="preserve"> 2018.gada </w:t>
      </w:r>
      <w:r w:rsidR="00013F3E" w:rsidRPr="00217688">
        <w:rPr>
          <w:noProof w:val="0"/>
        </w:rPr>
        <w:t>7</w:t>
      </w:r>
      <w:r w:rsidR="00612D22" w:rsidRPr="00217688">
        <w:rPr>
          <w:noProof w:val="0"/>
        </w:rPr>
        <w:t>.</w:t>
      </w:r>
      <w:r w:rsidRPr="00217688">
        <w:rPr>
          <w:noProof w:val="0"/>
        </w:rPr>
        <w:t>jūni</w:t>
      </w:r>
      <w:r w:rsidR="00F82994" w:rsidRPr="00217688">
        <w:rPr>
          <w:noProof w:val="0"/>
        </w:rPr>
        <w:t>jā</w:t>
      </w:r>
      <w:r w:rsidRPr="00217688">
        <w:rPr>
          <w:noProof w:val="0"/>
        </w:rPr>
        <w:t xml:space="preserve">, nosakot, ka parakstīšanās uz akcijām un to apmaksa jāveic vēlākais </w:t>
      </w:r>
      <w:r w:rsidR="00F82994" w:rsidRPr="00217688">
        <w:rPr>
          <w:noProof w:val="0"/>
        </w:rPr>
        <w:t>piecu</w:t>
      </w:r>
      <w:r w:rsidRPr="00217688">
        <w:rPr>
          <w:noProof w:val="0"/>
        </w:rPr>
        <w:t xml:space="preserve"> gadu laikā no rezolūciju apstiprināšanas. Pilnvarnieku balsojums par minētajām rezolūcijām jāveic līdz 2018.gada </w:t>
      </w:r>
      <w:r w:rsidR="000555BC" w:rsidRPr="00217688">
        <w:rPr>
          <w:noProof w:val="0"/>
        </w:rPr>
        <w:t>1.oktobrim</w:t>
      </w:r>
      <w:r w:rsidRPr="00217688">
        <w:rPr>
          <w:noProof w:val="0"/>
        </w:rPr>
        <w:t>.</w:t>
      </w:r>
    </w:p>
    <w:p w14:paraId="7E8837BA" w14:textId="77777777" w:rsidR="00DB76B6" w:rsidRDefault="00DB76B6" w:rsidP="0026149C">
      <w:pPr>
        <w:jc w:val="center"/>
        <w:rPr>
          <w:b/>
          <w:noProof w:val="0"/>
        </w:rPr>
      </w:pPr>
    </w:p>
    <w:p w14:paraId="7AF6C355" w14:textId="77777777" w:rsidR="00EC475F" w:rsidRDefault="00EC475F" w:rsidP="0026149C">
      <w:pPr>
        <w:jc w:val="center"/>
        <w:rPr>
          <w:b/>
          <w:noProof w:val="0"/>
        </w:rPr>
      </w:pPr>
    </w:p>
    <w:p w14:paraId="67B080D3" w14:textId="77777777" w:rsidR="00232CA8" w:rsidRPr="00217688" w:rsidRDefault="00232CA8" w:rsidP="00495F75">
      <w:pPr>
        <w:rPr>
          <w:b/>
          <w:i/>
          <w:noProof w:val="0"/>
        </w:rPr>
      </w:pPr>
      <w:r w:rsidRPr="00217688">
        <w:rPr>
          <w:b/>
          <w:i/>
          <w:noProof w:val="0"/>
        </w:rPr>
        <w:t xml:space="preserve">IBRD </w:t>
      </w:r>
      <w:r w:rsidR="00F85F50" w:rsidRPr="00217688">
        <w:rPr>
          <w:b/>
          <w:i/>
          <w:noProof w:val="0"/>
        </w:rPr>
        <w:t xml:space="preserve">finansēšanas </w:t>
      </w:r>
      <w:proofErr w:type="spellStart"/>
      <w:r w:rsidR="00F85F50" w:rsidRPr="00217688">
        <w:rPr>
          <w:b/>
          <w:i/>
          <w:noProof w:val="0"/>
        </w:rPr>
        <w:t>pakotne</w:t>
      </w:r>
      <w:proofErr w:type="spellEnd"/>
    </w:p>
    <w:p w14:paraId="794AFCAF" w14:textId="77777777" w:rsidR="00232CA8" w:rsidRPr="00217688" w:rsidRDefault="00232CA8" w:rsidP="00C86452">
      <w:pPr>
        <w:jc w:val="both"/>
        <w:rPr>
          <w:noProof w:val="0"/>
        </w:rPr>
      </w:pPr>
    </w:p>
    <w:p w14:paraId="735C5E0A" w14:textId="262CA985" w:rsidR="001010F2" w:rsidRDefault="00237F06" w:rsidP="000119A3">
      <w:pPr>
        <w:spacing w:after="120"/>
        <w:jc w:val="both"/>
        <w:rPr>
          <w:noProof w:val="0"/>
        </w:rPr>
      </w:pPr>
      <w:r w:rsidRPr="00217688">
        <w:rPr>
          <w:b/>
          <w:noProof w:val="0"/>
        </w:rPr>
        <w:t xml:space="preserve">IBRD finansēšanas </w:t>
      </w:r>
      <w:proofErr w:type="spellStart"/>
      <w:r w:rsidRPr="00217688">
        <w:rPr>
          <w:b/>
          <w:noProof w:val="0"/>
        </w:rPr>
        <w:t>pakotne</w:t>
      </w:r>
      <w:proofErr w:type="spellEnd"/>
      <w:r w:rsidRPr="00217688">
        <w:rPr>
          <w:b/>
          <w:noProof w:val="0"/>
        </w:rPr>
        <w:t xml:space="preserve"> ietver kapitāla palielināšanu un iekšējo reformu īstenošanu.</w:t>
      </w:r>
      <w:r w:rsidRPr="00217688">
        <w:rPr>
          <w:noProof w:val="0"/>
        </w:rPr>
        <w:t xml:space="preserve"> Lai stiprinātu IBRD kapitāla kapacitāti IBRD biznesa izaugsmes nodrošināšanai, banka turpinās galvenokārt paļauties uz tās iekšējo rezervju ģenerēšanu, savukārt plānotā kapitāla palielināšana nodrošinās kapitāla pietiekamības rādītāju stiprināšanu </w:t>
      </w:r>
      <w:r w:rsidR="00A01473">
        <w:rPr>
          <w:noProof w:val="0"/>
        </w:rPr>
        <w:t>aptuveni 30</w:t>
      </w:r>
      <w:r w:rsidRPr="00217688">
        <w:rPr>
          <w:noProof w:val="0"/>
        </w:rPr>
        <w:t xml:space="preserve"> procentu apmērā. </w:t>
      </w:r>
      <w:r w:rsidR="00275FCC" w:rsidRPr="00217688">
        <w:rPr>
          <w:noProof w:val="0"/>
        </w:rPr>
        <w:t>IBRD ir piecas galvenās sviras finanšu kapacitātes stiprināšanai</w:t>
      </w:r>
      <w:r w:rsidR="00963D40" w:rsidRPr="00217688">
        <w:rPr>
          <w:noProof w:val="0"/>
        </w:rPr>
        <w:t xml:space="preserve"> ar iekšējo reformu palīdzību</w:t>
      </w:r>
      <w:r w:rsidR="00275FCC" w:rsidRPr="00217688">
        <w:rPr>
          <w:noProof w:val="0"/>
        </w:rPr>
        <w:t xml:space="preserve"> </w:t>
      </w:r>
      <w:r w:rsidR="00556731" w:rsidRPr="00217688">
        <w:rPr>
          <w:noProof w:val="0"/>
        </w:rPr>
        <w:t xml:space="preserve">- </w:t>
      </w:r>
      <w:r w:rsidR="00275FCC" w:rsidRPr="00217688">
        <w:rPr>
          <w:noProof w:val="0"/>
        </w:rPr>
        <w:t>bilanc</w:t>
      </w:r>
      <w:r w:rsidR="004F2A1C" w:rsidRPr="00217688">
        <w:rPr>
          <w:noProof w:val="0"/>
        </w:rPr>
        <w:t>es optimizēšana,</w:t>
      </w:r>
      <w:r w:rsidR="00DC73BC" w:rsidRPr="00217688">
        <w:rPr>
          <w:rStyle w:val="FootnoteReference"/>
          <w:noProof w:val="0"/>
        </w:rPr>
        <w:footnoteReference w:id="33"/>
      </w:r>
      <w:r w:rsidR="004F2A1C" w:rsidRPr="00217688">
        <w:rPr>
          <w:noProof w:val="0"/>
        </w:rPr>
        <w:t xml:space="preserve"> aizdevumu cenu palielināšana,</w:t>
      </w:r>
      <w:r w:rsidR="00073018" w:rsidRPr="00217688">
        <w:rPr>
          <w:rStyle w:val="FootnoteReference"/>
          <w:noProof w:val="0"/>
        </w:rPr>
        <w:footnoteReference w:id="34"/>
      </w:r>
      <w:r w:rsidR="004F2A1C" w:rsidRPr="00217688">
        <w:rPr>
          <w:noProof w:val="0"/>
        </w:rPr>
        <w:t xml:space="preserve"> </w:t>
      </w:r>
      <w:r w:rsidR="00596632" w:rsidRPr="00217688">
        <w:rPr>
          <w:noProof w:val="0"/>
        </w:rPr>
        <w:t>uz ienākumiem balstītas formulas piemērošan</w:t>
      </w:r>
      <w:r w:rsidR="00B428D1" w:rsidRPr="00217688">
        <w:rPr>
          <w:noProof w:val="0"/>
        </w:rPr>
        <w:t>a</w:t>
      </w:r>
      <w:r w:rsidR="00596632" w:rsidRPr="00217688">
        <w:rPr>
          <w:noProof w:val="0"/>
        </w:rPr>
        <w:t xml:space="preserve"> </w:t>
      </w:r>
      <w:r w:rsidR="000555BC" w:rsidRPr="00217688">
        <w:rPr>
          <w:noProof w:val="0"/>
        </w:rPr>
        <w:t xml:space="preserve">IBRD </w:t>
      </w:r>
      <w:proofErr w:type="spellStart"/>
      <w:r w:rsidR="004F2A1C" w:rsidRPr="00217688">
        <w:rPr>
          <w:noProof w:val="0"/>
        </w:rPr>
        <w:t>pārskaitījum</w:t>
      </w:r>
      <w:r w:rsidR="00596632" w:rsidRPr="00217688">
        <w:rPr>
          <w:noProof w:val="0"/>
        </w:rPr>
        <w:t>iem</w:t>
      </w:r>
      <w:proofErr w:type="spellEnd"/>
      <w:r w:rsidR="00275FCC" w:rsidRPr="00217688">
        <w:rPr>
          <w:noProof w:val="0"/>
        </w:rPr>
        <w:t xml:space="preserve"> uz IDA,</w:t>
      </w:r>
      <w:r w:rsidR="00073018" w:rsidRPr="00217688">
        <w:rPr>
          <w:rStyle w:val="FootnoteReference"/>
          <w:noProof w:val="0"/>
        </w:rPr>
        <w:footnoteReference w:id="35"/>
      </w:r>
      <w:r w:rsidR="00275FCC" w:rsidRPr="00217688">
        <w:rPr>
          <w:noProof w:val="0"/>
        </w:rPr>
        <w:t xml:space="preserve"> administratīv</w:t>
      </w:r>
      <w:r w:rsidR="002042EB" w:rsidRPr="00217688">
        <w:rPr>
          <w:noProof w:val="0"/>
        </w:rPr>
        <w:t>o</w:t>
      </w:r>
      <w:r w:rsidR="00275FCC" w:rsidRPr="00217688">
        <w:rPr>
          <w:noProof w:val="0"/>
        </w:rPr>
        <w:t xml:space="preserve"> izmaks</w:t>
      </w:r>
      <w:r w:rsidR="002042EB" w:rsidRPr="00217688">
        <w:rPr>
          <w:noProof w:val="0"/>
        </w:rPr>
        <w:t>u samazināšana</w:t>
      </w:r>
      <w:r w:rsidR="00A9504B" w:rsidRPr="00217688">
        <w:rPr>
          <w:rStyle w:val="FootnoteReference"/>
          <w:noProof w:val="0"/>
        </w:rPr>
        <w:footnoteReference w:id="36"/>
      </w:r>
      <w:r w:rsidR="00275FCC" w:rsidRPr="00217688">
        <w:rPr>
          <w:noProof w:val="0"/>
        </w:rPr>
        <w:t xml:space="preserve"> un kapitāla palielināšana</w:t>
      </w:r>
      <w:r w:rsidR="004E1FD5">
        <w:rPr>
          <w:noProof w:val="0"/>
        </w:rPr>
        <w:t xml:space="preserve"> (</w:t>
      </w:r>
      <w:r w:rsidR="007166F5">
        <w:rPr>
          <w:noProof w:val="0"/>
        </w:rPr>
        <w:t>9</w:t>
      </w:r>
      <w:r w:rsidR="004E1FD5">
        <w:rPr>
          <w:noProof w:val="0"/>
        </w:rPr>
        <w:t>.attēls</w:t>
      </w:r>
      <w:r w:rsidR="00A700FB" w:rsidRPr="00217688">
        <w:rPr>
          <w:noProof w:val="0"/>
        </w:rPr>
        <w:t>)</w:t>
      </w:r>
      <w:r w:rsidR="00275FCC" w:rsidRPr="00217688">
        <w:rPr>
          <w:noProof w:val="0"/>
        </w:rPr>
        <w:t xml:space="preserve">. Pēdējo divu gadu laikā </w:t>
      </w:r>
      <w:r w:rsidR="00F9568F" w:rsidRPr="00217688">
        <w:rPr>
          <w:noProof w:val="0"/>
        </w:rPr>
        <w:t>IBRD</w:t>
      </w:r>
      <w:r w:rsidR="00275FCC" w:rsidRPr="00217688">
        <w:rPr>
          <w:noProof w:val="0"/>
        </w:rPr>
        <w:t xml:space="preserve"> vadība un direktoru valde ir </w:t>
      </w:r>
      <w:r w:rsidR="00C91A28" w:rsidRPr="00217688">
        <w:rPr>
          <w:noProof w:val="0"/>
        </w:rPr>
        <w:t>veikusi</w:t>
      </w:r>
      <w:r w:rsidR="004A04F8" w:rsidRPr="00217688">
        <w:rPr>
          <w:noProof w:val="0"/>
        </w:rPr>
        <w:t xml:space="preserve"> būtisku darbu</w:t>
      </w:r>
      <w:r w:rsidR="00C91A28" w:rsidRPr="00217688">
        <w:rPr>
          <w:noProof w:val="0"/>
        </w:rPr>
        <w:t xml:space="preserve"> iekšējo reformu izvērtē</w:t>
      </w:r>
      <w:r w:rsidR="003133A5" w:rsidRPr="00217688">
        <w:rPr>
          <w:noProof w:val="0"/>
        </w:rPr>
        <w:t>šanā</w:t>
      </w:r>
      <w:r w:rsidR="00C91A28" w:rsidRPr="00217688">
        <w:rPr>
          <w:noProof w:val="0"/>
        </w:rPr>
        <w:t xml:space="preserve"> un īstenošan</w:t>
      </w:r>
      <w:r w:rsidR="003133A5" w:rsidRPr="00217688">
        <w:rPr>
          <w:noProof w:val="0"/>
        </w:rPr>
        <w:t>ā</w:t>
      </w:r>
      <w:r w:rsidR="00275FCC" w:rsidRPr="00217688">
        <w:rPr>
          <w:noProof w:val="0"/>
        </w:rPr>
        <w:t xml:space="preserve"> IBRD </w:t>
      </w:r>
      <w:r w:rsidR="00E3665C" w:rsidRPr="00217688">
        <w:rPr>
          <w:noProof w:val="0"/>
        </w:rPr>
        <w:t xml:space="preserve">finanšu kapacitātes uzlabošanai un </w:t>
      </w:r>
      <w:r w:rsidR="00ED3C0A" w:rsidRPr="00217688">
        <w:rPr>
          <w:noProof w:val="0"/>
        </w:rPr>
        <w:t xml:space="preserve">papildus </w:t>
      </w:r>
      <w:r w:rsidR="00E3665C" w:rsidRPr="00217688">
        <w:rPr>
          <w:noProof w:val="0"/>
        </w:rPr>
        <w:t xml:space="preserve">šo </w:t>
      </w:r>
      <w:r w:rsidR="00ED3C0A" w:rsidRPr="00217688">
        <w:rPr>
          <w:noProof w:val="0"/>
        </w:rPr>
        <w:t>iekšēj</w:t>
      </w:r>
      <w:r w:rsidR="00E3665C" w:rsidRPr="00217688">
        <w:rPr>
          <w:noProof w:val="0"/>
        </w:rPr>
        <w:t>o</w:t>
      </w:r>
      <w:r w:rsidR="00ED3C0A" w:rsidRPr="00217688">
        <w:rPr>
          <w:noProof w:val="0"/>
        </w:rPr>
        <w:t xml:space="preserve"> </w:t>
      </w:r>
      <w:r w:rsidR="00E3665C" w:rsidRPr="00217688">
        <w:rPr>
          <w:noProof w:val="0"/>
        </w:rPr>
        <w:t xml:space="preserve">reformu īstenošanai </w:t>
      </w:r>
      <w:r w:rsidR="00ED3C0A" w:rsidRPr="00217688">
        <w:rPr>
          <w:noProof w:val="0"/>
        </w:rPr>
        <w:t xml:space="preserve">tiek paredzēta </w:t>
      </w:r>
      <w:r w:rsidR="009B6FC8" w:rsidRPr="00217688">
        <w:rPr>
          <w:noProof w:val="0"/>
        </w:rPr>
        <w:t xml:space="preserve">arī </w:t>
      </w:r>
      <w:r w:rsidR="00ED3C0A" w:rsidRPr="00217688">
        <w:rPr>
          <w:noProof w:val="0"/>
        </w:rPr>
        <w:t>kapitāla pali</w:t>
      </w:r>
      <w:r w:rsidR="00D75849" w:rsidRPr="00217688">
        <w:rPr>
          <w:noProof w:val="0"/>
        </w:rPr>
        <w:t>elināšana</w:t>
      </w:r>
      <w:r w:rsidR="00161CA3" w:rsidRPr="00217688">
        <w:rPr>
          <w:noProof w:val="0"/>
        </w:rPr>
        <w:t>.</w:t>
      </w:r>
      <w:r w:rsidR="009B6FC8" w:rsidRPr="00217688">
        <w:rPr>
          <w:noProof w:val="0"/>
        </w:rPr>
        <w:t xml:space="preserve"> </w:t>
      </w:r>
      <w:r w:rsidR="00B67E03" w:rsidRPr="00217688">
        <w:rPr>
          <w:noProof w:val="0"/>
        </w:rPr>
        <w:t>IBRD kapitālu plānots palielināt kopā par US</w:t>
      </w:r>
      <w:r w:rsidR="009E791D">
        <w:rPr>
          <w:noProof w:val="0"/>
        </w:rPr>
        <w:t xml:space="preserve">D </w:t>
      </w:r>
      <w:r w:rsidR="00B67E03" w:rsidRPr="00217688">
        <w:rPr>
          <w:noProof w:val="0"/>
        </w:rPr>
        <w:t>60.1 miljardiem kā vispārējo un selektīvo kapitāla palielināšanu</w:t>
      </w:r>
      <w:r w:rsidR="001010F2">
        <w:rPr>
          <w:noProof w:val="0"/>
        </w:rPr>
        <w:t xml:space="preserve">. </w:t>
      </w:r>
    </w:p>
    <w:p w14:paraId="668FD7D4" w14:textId="220C6A3F" w:rsidR="00B12527" w:rsidRPr="00217688" w:rsidRDefault="00CA4258" w:rsidP="003904C4">
      <w:pPr>
        <w:pStyle w:val="ListParagraph"/>
        <w:numPr>
          <w:ilvl w:val="1"/>
          <w:numId w:val="3"/>
        </w:numPr>
        <w:ind w:left="426"/>
        <w:jc w:val="both"/>
        <w:rPr>
          <w:noProof w:val="0"/>
        </w:rPr>
      </w:pPr>
      <w:r w:rsidRPr="00217688">
        <w:rPr>
          <w:b/>
          <w:noProof w:val="0"/>
        </w:rPr>
        <w:t xml:space="preserve">IBRD </w:t>
      </w:r>
      <w:r w:rsidR="006C0707" w:rsidRPr="00217688">
        <w:rPr>
          <w:b/>
          <w:noProof w:val="0"/>
        </w:rPr>
        <w:t xml:space="preserve">Vispārējā kapitāla palielināšana </w:t>
      </w:r>
      <w:r w:rsidR="006C0707" w:rsidRPr="00217688">
        <w:rPr>
          <w:noProof w:val="0"/>
        </w:rPr>
        <w:t>(GCI)</w:t>
      </w:r>
      <w:r w:rsidR="00883F5B" w:rsidRPr="00217688">
        <w:rPr>
          <w:noProof w:val="0"/>
        </w:rPr>
        <w:t xml:space="preserve"> paredzēta US</w:t>
      </w:r>
      <w:r w:rsidR="009E791D">
        <w:rPr>
          <w:noProof w:val="0"/>
        </w:rPr>
        <w:t xml:space="preserve">D </w:t>
      </w:r>
      <w:r w:rsidR="006C0707" w:rsidRPr="00217688">
        <w:rPr>
          <w:noProof w:val="0"/>
        </w:rPr>
        <w:t xml:space="preserve">27.8 miljardu apmērā, </w:t>
      </w:r>
      <w:r w:rsidR="005A1625" w:rsidRPr="00217688">
        <w:rPr>
          <w:noProof w:val="0"/>
        </w:rPr>
        <w:t>emitējot</w:t>
      </w:r>
      <w:r w:rsidR="006C0707" w:rsidRPr="00217688">
        <w:rPr>
          <w:noProof w:val="0"/>
        </w:rPr>
        <w:t xml:space="preserve"> 230,500 </w:t>
      </w:r>
      <w:r w:rsidR="009C3702" w:rsidRPr="00217688">
        <w:rPr>
          <w:noProof w:val="0"/>
        </w:rPr>
        <w:t>daļas</w:t>
      </w:r>
      <w:r w:rsidR="00890368" w:rsidRPr="00217688">
        <w:rPr>
          <w:noProof w:val="0"/>
        </w:rPr>
        <w:t xml:space="preserve"> (US</w:t>
      </w:r>
      <w:r w:rsidR="009E791D">
        <w:rPr>
          <w:noProof w:val="0"/>
        </w:rPr>
        <w:t xml:space="preserve">D </w:t>
      </w:r>
      <w:r w:rsidR="00890368" w:rsidRPr="00217688">
        <w:rPr>
          <w:noProof w:val="0"/>
        </w:rPr>
        <w:t>120,635 nominālvērtībā)</w:t>
      </w:r>
      <w:r w:rsidR="006C0707" w:rsidRPr="00217688">
        <w:rPr>
          <w:noProof w:val="0"/>
        </w:rPr>
        <w:t>, kas tiks proporcionāli piešķirtas visiem IBRD dalībniekiem, balstoties uz IBRD akciju sadalījumu pēc selektīvās kapitāla palielināšanas (SCI)</w:t>
      </w:r>
      <w:r w:rsidR="00514A1A" w:rsidRPr="00217688">
        <w:rPr>
          <w:noProof w:val="0"/>
        </w:rPr>
        <w:t xml:space="preserve"> US</w:t>
      </w:r>
      <w:r w:rsidR="009E791D">
        <w:rPr>
          <w:noProof w:val="0"/>
        </w:rPr>
        <w:t xml:space="preserve">D </w:t>
      </w:r>
      <w:r w:rsidR="00514A1A" w:rsidRPr="00217688">
        <w:rPr>
          <w:noProof w:val="0"/>
        </w:rPr>
        <w:t>32.3 miljardu apmērā.</w:t>
      </w:r>
      <w:r w:rsidR="00BF11D3" w:rsidRPr="00217688">
        <w:rPr>
          <w:noProof w:val="0"/>
        </w:rPr>
        <w:t xml:space="preserve"> </w:t>
      </w:r>
      <w:r w:rsidR="00B67E03" w:rsidRPr="00217688">
        <w:rPr>
          <w:noProof w:val="0"/>
        </w:rPr>
        <w:t xml:space="preserve">Tā kā IBRD GCI </w:t>
      </w:r>
      <w:r w:rsidR="002E2FDF" w:rsidRPr="00217688">
        <w:rPr>
          <w:noProof w:val="0"/>
        </w:rPr>
        <w:t>apmaksātā</w:t>
      </w:r>
      <w:r w:rsidR="00B12527" w:rsidRPr="00217688">
        <w:rPr>
          <w:noProof w:val="0"/>
        </w:rPr>
        <w:t xml:space="preserve"> kapitāla daļa</w:t>
      </w:r>
      <w:r w:rsidR="00C2727E" w:rsidRPr="00217688">
        <w:rPr>
          <w:noProof w:val="0"/>
        </w:rPr>
        <w:t xml:space="preserve"> </w:t>
      </w:r>
      <w:r w:rsidR="00B67E03" w:rsidRPr="00217688">
        <w:rPr>
          <w:noProof w:val="0"/>
        </w:rPr>
        <w:t xml:space="preserve">sastāda </w:t>
      </w:r>
      <w:r w:rsidR="00C2727E" w:rsidRPr="00217688">
        <w:rPr>
          <w:noProof w:val="0"/>
        </w:rPr>
        <w:t>20 procent</w:t>
      </w:r>
      <w:r w:rsidR="00B67E03" w:rsidRPr="00217688">
        <w:rPr>
          <w:noProof w:val="0"/>
        </w:rPr>
        <w:t>us</w:t>
      </w:r>
      <w:r w:rsidR="008726F3" w:rsidRPr="00217688">
        <w:rPr>
          <w:noProof w:val="0"/>
        </w:rPr>
        <w:t>,</w:t>
      </w:r>
      <w:r w:rsidR="00B12527" w:rsidRPr="00217688">
        <w:rPr>
          <w:rStyle w:val="FootnoteReference"/>
          <w:noProof w:val="0"/>
        </w:rPr>
        <w:footnoteReference w:id="37"/>
      </w:r>
      <w:r w:rsidR="008726F3" w:rsidRPr="00217688">
        <w:rPr>
          <w:noProof w:val="0"/>
        </w:rPr>
        <w:t xml:space="preserve"> </w:t>
      </w:r>
      <w:r w:rsidR="00DC5A3C" w:rsidRPr="00217688">
        <w:rPr>
          <w:noProof w:val="0"/>
        </w:rPr>
        <w:t xml:space="preserve">iemaksājamā </w:t>
      </w:r>
      <w:r w:rsidR="008726F3" w:rsidRPr="00217688">
        <w:rPr>
          <w:noProof w:val="0"/>
        </w:rPr>
        <w:t xml:space="preserve">summa </w:t>
      </w:r>
      <w:r w:rsidR="0053100F" w:rsidRPr="00217688">
        <w:rPr>
          <w:noProof w:val="0"/>
        </w:rPr>
        <w:t xml:space="preserve">kopumā </w:t>
      </w:r>
      <w:r w:rsidR="008726F3" w:rsidRPr="00217688">
        <w:rPr>
          <w:noProof w:val="0"/>
        </w:rPr>
        <w:t>sastādīs US</w:t>
      </w:r>
      <w:r w:rsidR="009E791D">
        <w:rPr>
          <w:noProof w:val="0"/>
        </w:rPr>
        <w:t xml:space="preserve">D </w:t>
      </w:r>
      <w:r w:rsidR="008726F3" w:rsidRPr="00217688">
        <w:rPr>
          <w:noProof w:val="0"/>
        </w:rPr>
        <w:t>5.6 miljardus</w:t>
      </w:r>
      <w:r w:rsidR="00B67E03" w:rsidRPr="00217688">
        <w:rPr>
          <w:noProof w:val="0"/>
        </w:rPr>
        <w:t xml:space="preserve"> no US</w:t>
      </w:r>
      <w:r w:rsidR="009E791D">
        <w:rPr>
          <w:noProof w:val="0"/>
        </w:rPr>
        <w:t xml:space="preserve">D </w:t>
      </w:r>
      <w:r w:rsidR="00B67E03" w:rsidRPr="00217688">
        <w:rPr>
          <w:noProof w:val="0"/>
        </w:rPr>
        <w:t>27.8 miljardiem</w:t>
      </w:r>
      <w:r w:rsidR="000555BC" w:rsidRPr="00217688">
        <w:rPr>
          <w:noProof w:val="0"/>
        </w:rPr>
        <w:t>.</w:t>
      </w:r>
      <w:r w:rsidR="007D748C" w:rsidRPr="00217688">
        <w:rPr>
          <w:noProof w:val="0"/>
        </w:rPr>
        <w:t xml:space="preserve"> Pārējā summa ir kapitāls</w:t>
      </w:r>
      <w:r w:rsidR="00960344">
        <w:rPr>
          <w:noProof w:val="0"/>
        </w:rPr>
        <w:t xml:space="preserve"> uz pieprasījumu</w:t>
      </w:r>
      <w:r w:rsidR="007D748C" w:rsidRPr="00217688">
        <w:rPr>
          <w:noProof w:val="0"/>
        </w:rPr>
        <w:t xml:space="preserve"> (</w:t>
      </w:r>
      <w:proofErr w:type="spellStart"/>
      <w:r w:rsidR="007D748C" w:rsidRPr="00217688">
        <w:rPr>
          <w:i/>
          <w:noProof w:val="0"/>
        </w:rPr>
        <w:t>callable</w:t>
      </w:r>
      <w:proofErr w:type="spellEnd"/>
      <w:r w:rsidR="007D748C" w:rsidRPr="00217688">
        <w:rPr>
          <w:noProof w:val="0"/>
        </w:rPr>
        <w:t>).</w:t>
      </w:r>
      <w:r w:rsidR="000555BC" w:rsidRPr="00217688">
        <w:rPr>
          <w:noProof w:val="0"/>
        </w:rPr>
        <w:t xml:space="preserve"> Rezolūcijas apstiprināšanai </w:t>
      </w:r>
      <w:r w:rsidR="003059D3" w:rsidRPr="00217688">
        <w:rPr>
          <w:noProof w:val="0"/>
        </w:rPr>
        <w:t>nepieciešamas</w:t>
      </w:r>
      <w:r w:rsidR="000555BC" w:rsidRPr="00217688">
        <w:rPr>
          <w:noProof w:val="0"/>
        </w:rPr>
        <w:t xml:space="preserve"> trīs ceturtdaļas no kopējām balsstiesībām.</w:t>
      </w:r>
      <w:r w:rsidR="00601398" w:rsidRPr="00217688">
        <w:rPr>
          <w:noProof w:val="0"/>
        </w:rPr>
        <w:t xml:space="preserve"> Iemaksas veikšanas nosacījumi ietver, ka 2 procenti no </w:t>
      </w:r>
      <w:r w:rsidR="00756513" w:rsidRPr="00217688">
        <w:rPr>
          <w:noProof w:val="0"/>
        </w:rPr>
        <w:t xml:space="preserve">apmaksājamā kapitāla </w:t>
      </w:r>
      <w:r w:rsidR="00601398" w:rsidRPr="00217688">
        <w:rPr>
          <w:noProof w:val="0"/>
        </w:rPr>
        <w:t xml:space="preserve">ir jāiemaksā ASV dolāros un 18 procenti nacionālajā valūtā. </w:t>
      </w:r>
    </w:p>
    <w:p w14:paraId="3757D128" w14:textId="6E359991" w:rsidR="00CA4258" w:rsidRPr="00217688" w:rsidRDefault="00CA4258" w:rsidP="003904C4">
      <w:pPr>
        <w:pStyle w:val="ListParagraph"/>
        <w:numPr>
          <w:ilvl w:val="1"/>
          <w:numId w:val="3"/>
        </w:numPr>
        <w:ind w:left="426"/>
        <w:jc w:val="both"/>
        <w:rPr>
          <w:noProof w:val="0"/>
        </w:rPr>
      </w:pPr>
      <w:r w:rsidRPr="00217688">
        <w:rPr>
          <w:b/>
          <w:noProof w:val="0"/>
        </w:rPr>
        <w:t>IBRD Selektīvā kapitāla palielināšana</w:t>
      </w:r>
      <w:r w:rsidRPr="00217688">
        <w:rPr>
          <w:noProof w:val="0"/>
        </w:rPr>
        <w:t xml:space="preserve"> (SCI) paredzēta US</w:t>
      </w:r>
      <w:r w:rsidR="009E791D">
        <w:rPr>
          <w:noProof w:val="0"/>
        </w:rPr>
        <w:t xml:space="preserve">D </w:t>
      </w:r>
      <w:r w:rsidRPr="00217688">
        <w:rPr>
          <w:noProof w:val="0"/>
        </w:rPr>
        <w:t>32.3 miljardu apmērā, sastādot 267,943 daļas</w:t>
      </w:r>
      <w:r w:rsidR="00890368" w:rsidRPr="00217688">
        <w:rPr>
          <w:rStyle w:val="FootnoteReference"/>
          <w:noProof w:val="0"/>
        </w:rPr>
        <w:footnoteReference w:id="38"/>
      </w:r>
      <w:r w:rsidR="00890368" w:rsidRPr="00217688">
        <w:rPr>
          <w:noProof w:val="0"/>
        </w:rPr>
        <w:t xml:space="preserve"> (US</w:t>
      </w:r>
      <w:r w:rsidR="009E791D">
        <w:rPr>
          <w:noProof w:val="0"/>
        </w:rPr>
        <w:t xml:space="preserve">D </w:t>
      </w:r>
      <w:r w:rsidR="00890368" w:rsidRPr="00217688">
        <w:rPr>
          <w:noProof w:val="0"/>
        </w:rPr>
        <w:t>120,635 nominālvērtībā)</w:t>
      </w:r>
      <w:r w:rsidR="0035278E" w:rsidRPr="00217688">
        <w:rPr>
          <w:noProof w:val="0"/>
        </w:rPr>
        <w:t xml:space="preserve">. </w:t>
      </w:r>
      <w:r w:rsidR="007D748C" w:rsidRPr="00217688">
        <w:rPr>
          <w:noProof w:val="0"/>
        </w:rPr>
        <w:t xml:space="preserve">Tā kā </w:t>
      </w:r>
      <w:r w:rsidR="00195300" w:rsidRPr="00217688">
        <w:rPr>
          <w:noProof w:val="0"/>
        </w:rPr>
        <w:t>SCI</w:t>
      </w:r>
      <w:r w:rsidR="00DC0DA0" w:rsidRPr="00217688">
        <w:rPr>
          <w:noProof w:val="0"/>
        </w:rPr>
        <w:t xml:space="preserve"> </w:t>
      </w:r>
      <w:r w:rsidR="00195300" w:rsidRPr="00217688">
        <w:rPr>
          <w:noProof w:val="0"/>
        </w:rPr>
        <w:t xml:space="preserve">apmaksātā </w:t>
      </w:r>
      <w:r w:rsidR="0035278E" w:rsidRPr="00217688">
        <w:rPr>
          <w:noProof w:val="0"/>
        </w:rPr>
        <w:t>kapitāla daļ</w:t>
      </w:r>
      <w:r w:rsidR="00195300" w:rsidRPr="00217688">
        <w:rPr>
          <w:noProof w:val="0"/>
        </w:rPr>
        <w:t>a</w:t>
      </w:r>
      <w:r w:rsidR="0035278E" w:rsidRPr="00217688">
        <w:rPr>
          <w:noProof w:val="0"/>
        </w:rPr>
        <w:t xml:space="preserve"> </w:t>
      </w:r>
      <w:r w:rsidR="007D748C" w:rsidRPr="00217688">
        <w:rPr>
          <w:noProof w:val="0"/>
        </w:rPr>
        <w:t>sastāda</w:t>
      </w:r>
      <w:r w:rsidR="0035278E" w:rsidRPr="00217688">
        <w:rPr>
          <w:noProof w:val="0"/>
        </w:rPr>
        <w:t xml:space="preserve"> 6 procentu</w:t>
      </w:r>
      <w:r w:rsidR="007D748C" w:rsidRPr="00217688">
        <w:rPr>
          <w:noProof w:val="0"/>
        </w:rPr>
        <w:t>s</w:t>
      </w:r>
      <w:r w:rsidR="00195300" w:rsidRPr="00217688">
        <w:rPr>
          <w:noProof w:val="0"/>
        </w:rPr>
        <w:t>,</w:t>
      </w:r>
      <w:r w:rsidR="0035278E" w:rsidRPr="00217688">
        <w:rPr>
          <w:noProof w:val="0"/>
        </w:rPr>
        <w:t xml:space="preserve"> </w:t>
      </w:r>
      <w:r w:rsidR="00195300" w:rsidRPr="00217688">
        <w:rPr>
          <w:noProof w:val="0"/>
        </w:rPr>
        <w:t>iemaksājamā summa</w:t>
      </w:r>
      <w:r w:rsidR="007D748C" w:rsidRPr="00217688">
        <w:rPr>
          <w:noProof w:val="0"/>
        </w:rPr>
        <w:t xml:space="preserve"> </w:t>
      </w:r>
      <w:r w:rsidR="00195300" w:rsidRPr="00217688">
        <w:rPr>
          <w:noProof w:val="0"/>
        </w:rPr>
        <w:t xml:space="preserve">kopumā sastādīs </w:t>
      </w:r>
      <w:r w:rsidR="0035278E" w:rsidRPr="00217688">
        <w:rPr>
          <w:noProof w:val="0"/>
        </w:rPr>
        <w:t>US</w:t>
      </w:r>
      <w:r w:rsidR="009E791D">
        <w:rPr>
          <w:noProof w:val="0"/>
        </w:rPr>
        <w:t xml:space="preserve">D </w:t>
      </w:r>
      <w:r w:rsidR="0035278E" w:rsidRPr="00217688">
        <w:rPr>
          <w:noProof w:val="0"/>
        </w:rPr>
        <w:t>1.9 miljardus</w:t>
      </w:r>
      <w:r w:rsidR="007D748C" w:rsidRPr="00217688">
        <w:rPr>
          <w:noProof w:val="0"/>
        </w:rPr>
        <w:t xml:space="preserve"> no US</w:t>
      </w:r>
      <w:r w:rsidR="009E791D">
        <w:rPr>
          <w:noProof w:val="0"/>
        </w:rPr>
        <w:t xml:space="preserve">D </w:t>
      </w:r>
      <w:r w:rsidR="007D748C" w:rsidRPr="00217688">
        <w:rPr>
          <w:noProof w:val="0"/>
        </w:rPr>
        <w:t>32.3 miljardiem</w:t>
      </w:r>
      <w:r w:rsidR="0035278E" w:rsidRPr="00217688">
        <w:rPr>
          <w:noProof w:val="0"/>
        </w:rPr>
        <w:t>.</w:t>
      </w:r>
      <w:r w:rsidR="00DC0DA0" w:rsidRPr="00217688">
        <w:rPr>
          <w:noProof w:val="0"/>
        </w:rPr>
        <w:t xml:space="preserve"> </w:t>
      </w:r>
      <w:r w:rsidR="007D748C" w:rsidRPr="00217688">
        <w:rPr>
          <w:noProof w:val="0"/>
        </w:rPr>
        <w:t xml:space="preserve">Pārējā summa ir kapitāls </w:t>
      </w:r>
      <w:r w:rsidR="00960344">
        <w:rPr>
          <w:noProof w:val="0"/>
        </w:rPr>
        <w:t xml:space="preserve">uz pieprasījumu </w:t>
      </w:r>
      <w:r w:rsidR="007D748C" w:rsidRPr="00217688">
        <w:rPr>
          <w:noProof w:val="0"/>
        </w:rPr>
        <w:t>(</w:t>
      </w:r>
      <w:proofErr w:type="spellStart"/>
      <w:r w:rsidR="007D748C" w:rsidRPr="00217688">
        <w:rPr>
          <w:i/>
          <w:noProof w:val="0"/>
        </w:rPr>
        <w:t>callable</w:t>
      </w:r>
      <w:proofErr w:type="spellEnd"/>
      <w:r w:rsidR="007D748C" w:rsidRPr="00217688">
        <w:rPr>
          <w:noProof w:val="0"/>
        </w:rPr>
        <w:t xml:space="preserve">). </w:t>
      </w:r>
      <w:r w:rsidR="005D33AC" w:rsidRPr="00217688">
        <w:rPr>
          <w:noProof w:val="0"/>
        </w:rPr>
        <w:t xml:space="preserve">Rezolūcijas apstiprināšanai </w:t>
      </w:r>
      <w:r w:rsidR="003059D3" w:rsidRPr="00217688">
        <w:rPr>
          <w:noProof w:val="0"/>
        </w:rPr>
        <w:t>nepieciešamas</w:t>
      </w:r>
      <w:r w:rsidR="005D33AC" w:rsidRPr="00217688">
        <w:rPr>
          <w:noProof w:val="0"/>
        </w:rPr>
        <w:t xml:space="preserve"> trīs ceturtdaļas no kopējām balsstiesībām.</w:t>
      </w:r>
      <w:r w:rsidR="00756513" w:rsidRPr="00217688">
        <w:rPr>
          <w:noProof w:val="0"/>
        </w:rPr>
        <w:t xml:space="preserve"> Iemaksas ve</w:t>
      </w:r>
      <w:r w:rsidR="009C5D47">
        <w:rPr>
          <w:noProof w:val="0"/>
        </w:rPr>
        <w:t xml:space="preserve">ikšanas nosacījumi </w:t>
      </w:r>
      <w:r w:rsidR="009C5D47">
        <w:rPr>
          <w:noProof w:val="0"/>
        </w:rPr>
        <w:lastRenderedPageBreak/>
        <w:t>ietver, ka 0.</w:t>
      </w:r>
      <w:r w:rsidR="00756513" w:rsidRPr="00217688">
        <w:rPr>
          <w:noProof w:val="0"/>
        </w:rPr>
        <w:t>6 procenti no apmaksājamā kapitāla ir jāiemaksā ASV dolāros un 5.4 procenti nacionālajā valūtā.</w:t>
      </w:r>
    </w:p>
    <w:p w14:paraId="3EFFD003" w14:textId="559F981D" w:rsidR="00E56F31" w:rsidRDefault="008726F3" w:rsidP="003904C4">
      <w:pPr>
        <w:pStyle w:val="ListParagraph"/>
        <w:numPr>
          <w:ilvl w:val="1"/>
          <w:numId w:val="3"/>
        </w:numPr>
        <w:ind w:left="426"/>
        <w:jc w:val="both"/>
        <w:rPr>
          <w:noProof w:val="0"/>
        </w:rPr>
      </w:pPr>
      <w:r w:rsidRPr="00217688">
        <w:rPr>
          <w:b/>
          <w:noProof w:val="0"/>
        </w:rPr>
        <w:t xml:space="preserve">Parakstīšanās. </w:t>
      </w:r>
      <w:r w:rsidRPr="00217688">
        <w:rPr>
          <w:noProof w:val="0"/>
        </w:rPr>
        <w:t xml:space="preserve">Lai parakstītos uz </w:t>
      </w:r>
      <w:r w:rsidR="0071799F" w:rsidRPr="00217688">
        <w:rPr>
          <w:noProof w:val="0"/>
        </w:rPr>
        <w:t xml:space="preserve">IBRD </w:t>
      </w:r>
      <w:r w:rsidRPr="00217688">
        <w:rPr>
          <w:noProof w:val="0"/>
        </w:rPr>
        <w:t xml:space="preserve">kapitāla daļām, dalībniekiem </w:t>
      </w:r>
      <w:r w:rsidR="006F2A31" w:rsidRPr="00217688">
        <w:rPr>
          <w:noProof w:val="0"/>
        </w:rPr>
        <w:t xml:space="preserve">piecu </w:t>
      </w:r>
      <w:r w:rsidRPr="00217688">
        <w:rPr>
          <w:noProof w:val="0"/>
        </w:rPr>
        <w:t>gadu laikā no GCI</w:t>
      </w:r>
      <w:r w:rsidR="00DD0F34" w:rsidRPr="00217688">
        <w:rPr>
          <w:noProof w:val="0"/>
        </w:rPr>
        <w:t xml:space="preserve"> un SCI</w:t>
      </w:r>
      <w:r w:rsidRPr="00217688">
        <w:rPr>
          <w:noProof w:val="0"/>
        </w:rPr>
        <w:t xml:space="preserve"> rezolūcij</w:t>
      </w:r>
      <w:r w:rsidR="00DD0F34" w:rsidRPr="00217688">
        <w:rPr>
          <w:noProof w:val="0"/>
        </w:rPr>
        <w:t>u</w:t>
      </w:r>
      <w:r w:rsidRPr="00217688">
        <w:rPr>
          <w:noProof w:val="0"/>
        </w:rPr>
        <w:t xml:space="preserve"> apstiprināšanas ir jāiesniedz nepieciešamie dokumenti (</w:t>
      </w:r>
      <w:r w:rsidR="00830C1A" w:rsidRPr="00217688">
        <w:rPr>
          <w:noProof w:val="0"/>
        </w:rPr>
        <w:t>Parakstīšanās instruments</w:t>
      </w:r>
      <w:r w:rsidRPr="00217688">
        <w:rPr>
          <w:noProof w:val="0"/>
        </w:rPr>
        <w:t xml:space="preserve">, </w:t>
      </w:r>
      <w:r w:rsidR="00EB204B" w:rsidRPr="00217688">
        <w:rPr>
          <w:noProof w:val="0"/>
        </w:rPr>
        <w:t xml:space="preserve">juridiskais atzinums </w:t>
      </w:r>
      <w:r w:rsidR="00EB204B" w:rsidRPr="00217688">
        <w:rPr>
          <w:i/>
          <w:noProof w:val="0"/>
        </w:rPr>
        <w:t>(</w:t>
      </w:r>
      <w:proofErr w:type="spellStart"/>
      <w:r w:rsidRPr="00217688">
        <w:rPr>
          <w:i/>
          <w:noProof w:val="0"/>
        </w:rPr>
        <w:t>Memorandum</w:t>
      </w:r>
      <w:proofErr w:type="spellEnd"/>
      <w:r w:rsidRPr="00217688">
        <w:rPr>
          <w:i/>
          <w:noProof w:val="0"/>
        </w:rPr>
        <w:t xml:space="preserve"> </w:t>
      </w:r>
      <w:proofErr w:type="spellStart"/>
      <w:r w:rsidRPr="00217688">
        <w:rPr>
          <w:i/>
          <w:noProof w:val="0"/>
        </w:rPr>
        <w:t>of</w:t>
      </w:r>
      <w:proofErr w:type="spellEnd"/>
      <w:r w:rsidRPr="00217688">
        <w:rPr>
          <w:i/>
          <w:noProof w:val="0"/>
        </w:rPr>
        <w:t xml:space="preserve"> </w:t>
      </w:r>
      <w:proofErr w:type="spellStart"/>
      <w:r w:rsidRPr="00217688">
        <w:rPr>
          <w:i/>
          <w:noProof w:val="0"/>
        </w:rPr>
        <w:t>Law</w:t>
      </w:r>
      <w:proofErr w:type="spellEnd"/>
      <w:r w:rsidR="00EB204B" w:rsidRPr="00217688">
        <w:rPr>
          <w:i/>
          <w:noProof w:val="0"/>
        </w:rPr>
        <w:t>)</w:t>
      </w:r>
      <w:r w:rsidRPr="00217688">
        <w:rPr>
          <w:noProof w:val="0"/>
        </w:rPr>
        <w:t xml:space="preserve">, </w:t>
      </w:r>
      <w:r w:rsidR="00FC5BF5" w:rsidRPr="00217688">
        <w:rPr>
          <w:noProof w:val="0"/>
        </w:rPr>
        <w:t xml:space="preserve">nacionālais </w:t>
      </w:r>
      <w:r w:rsidRPr="00217688">
        <w:rPr>
          <w:noProof w:val="0"/>
        </w:rPr>
        <w:t>pilnvarojums)</w:t>
      </w:r>
      <w:r w:rsidR="006F2A31" w:rsidRPr="00217688">
        <w:rPr>
          <w:noProof w:val="0"/>
        </w:rPr>
        <w:t xml:space="preserve"> un </w:t>
      </w:r>
      <w:r w:rsidR="00571427" w:rsidRPr="00217688">
        <w:rPr>
          <w:noProof w:val="0"/>
        </w:rPr>
        <w:t>jāveic apmaksa par piešķirtajām daļām</w:t>
      </w:r>
      <w:r w:rsidRPr="00217688">
        <w:rPr>
          <w:noProof w:val="0"/>
        </w:rPr>
        <w:t xml:space="preserve">. </w:t>
      </w:r>
      <w:r w:rsidR="000673C2" w:rsidRPr="00217688">
        <w:rPr>
          <w:noProof w:val="0"/>
        </w:rPr>
        <w:t xml:space="preserve">Neiesniedzot nepieciešamos dokumentus </w:t>
      </w:r>
      <w:r w:rsidR="00EB204B" w:rsidRPr="00217688">
        <w:rPr>
          <w:noProof w:val="0"/>
        </w:rPr>
        <w:t xml:space="preserve">un neveicot iemaksu kapitālā </w:t>
      </w:r>
      <w:r w:rsidR="000673C2" w:rsidRPr="00217688">
        <w:rPr>
          <w:noProof w:val="0"/>
        </w:rPr>
        <w:t xml:space="preserve">noteiktajā </w:t>
      </w:r>
      <w:r w:rsidR="006F2A31" w:rsidRPr="00217688">
        <w:rPr>
          <w:noProof w:val="0"/>
        </w:rPr>
        <w:t xml:space="preserve">piecu </w:t>
      </w:r>
      <w:r w:rsidR="000673C2" w:rsidRPr="00217688">
        <w:rPr>
          <w:noProof w:val="0"/>
        </w:rPr>
        <w:t>gadu periodā, dalībnieki zaudēs iespēju parakstīties uz piešķirtajām daļām un tās tiks atgrieztas nepiešķirto daļu portfelī.</w:t>
      </w:r>
      <w:r w:rsidRPr="00217688">
        <w:rPr>
          <w:noProof w:val="0"/>
        </w:rPr>
        <w:t xml:space="preserve"> </w:t>
      </w:r>
      <w:r w:rsidR="00BF22FE" w:rsidRPr="00217688">
        <w:rPr>
          <w:noProof w:val="0"/>
        </w:rPr>
        <w:t xml:space="preserve">Dalībniekiem būs jāiesniedz daļu </w:t>
      </w:r>
      <w:r w:rsidR="00041E6C" w:rsidRPr="00217688">
        <w:rPr>
          <w:noProof w:val="0"/>
        </w:rPr>
        <w:t xml:space="preserve">parakstīšanās un </w:t>
      </w:r>
      <w:r w:rsidR="00BF22FE" w:rsidRPr="00217688">
        <w:rPr>
          <w:noProof w:val="0"/>
        </w:rPr>
        <w:t>apmaksas grafiks</w:t>
      </w:r>
      <w:r w:rsidR="006F2A31" w:rsidRPr="00217688">
        <w:rPr>
          <w:noProof w:val="0"/>
        </w:rPr>
        <w:t xml:space="preserve"> par katru </w:t>
      </w:r>
      <w:r w:rsidR="00B335A9" w:rsidRPr="00217688">
        <w:rPr>
          <w:noProof w:val="0"/>
        </w:rPr>
        <w:t xml:space="preserve">kapitāla palielināšanas </w:t>
      </w:r>
      <w:r w:rsidR="006F2A31" w:rsidRPr="00217688">
        <w:rPr>
          <w:noProof w:val="0"/>
        </w:rPr>
        <w:t>rezolūciju</w:t>
      </w:r>
      <w:r w:rsidR="00BF22FE" w:rsidRPr="00217688">
        <w:rPr>
          <w:noProof w:val="0"/>
        </w:rPr>
        <w:t>.</w:t>
      </w:r>
      <w:r w:rsidR="0071799F" w:rsidRPr="00217688">
        <w:rPr>
          <w:noProof w:val="0"/>
        </w:rPr>
        <w:t xml:space="preserve"> </w:t>
      </w:r>
    </w:p>
    <w:p w14:paraId="669B6474" w14:textId="7045644E" w:rsidR="001010F2" w:rsidRDefault="001010F2" w:rsidP="001010F2">
      <w:pPr>
        <w:jc w:val="both"/>
        <w:rPr>
          <w:noProof w:val="0"/>
        </w:rPr>
      </w:pPr>
    </w:p>
    <w:p w14:paraId="312600CB" w14:textId="1BEFAC36" w:rsidR="001010F2" w:rsidRDefault="001010F2" w:rsidP="001010F2">
      <w:pPr>
        <w:jc w:val="both"/>
        <w:rPr>
          <w:noProof w:val="0"/>
        </w:rPr>
      </w:pPr>
    </w:p>
    <w:p w14:paraId="54AE4AB0" w14:textId="71B06CD0" w:rsidR="001010F2" w:rsidRDefault="001010F2" w:rsidP="001010F2">
      <w:pPr>
        <w:jc w:val="both"/>
        <w:rPr>
          <w:noProof w:val="0"/>
        </w:rPr>
      </w:pPr>
    </w:p>
    <w:p w14:paraId="184B6765" w14:textId="153F9EF8" w:rsidR="001010F2" w:rsidRDefault="001010F2" w:rsidP="001010F2">
      <w:pPr>
        <w:jc w:val="both"/>
        <w:rPr>
          <w:noProof w:val="0"/>
        </w:rPr>
      </w:pPr>
    </w:p>
    <w:p w14:paraId="44C2418C" w14:textId="77777777" w:rsidR="001010F2" w:rsidRDefault="001010F2" w:rsidP="001010F2">
      <w:pPr>
        <w:jc w:val="both"/>
        <w:rPr>
          <w:noProof w:val="0"/>
        </w:rPr>
      </w:pPr>
    </w:p>
    <w:tbl>
      <w:tblPr>
        <w:tblStyle w:val="TableGrid"/>
        <w:tblW w:w="9067" w:type="dxa"/>
        <w:tblLook w:val="04A0" w:firstRow="1" w:lastRow="0" w:firstColumn="1" w:lastColumn="0" w:noHBand="0" w:noVBand="1"/>
      </w:tblPr>
      <w:tblGrid>
        <w:gridCol w:w="704"/>
        <w:gridCol w:w="1382"/>
        <w:gridCol w:w="1737"/>
        <w:gridCol w:w="1842"/>
        <w:gridCol w:w="1701"/>
        <w:gridCol w:w="1701"/>
      </w:tblGrid>
      <w:tr w:rsidR="00E95A56" w:rsidRPr="00A24741" w14:paraId="168C4973" w14:textId="77777777" w:rsidTr="00B822E0">
        <w:tc>
          <w:tcPr>
            <w:tcW w:w="704" w:type="dxa"/>
            <w:tcBorders>
              <w:top w:val="nil"/>
              <w:left w:val="nil"/>
              <w:bottom w:val="nil"/>
              <w:right w:val="single" w:sz="12" w:space="0" w:color="1F3864" w:themeColor="accent5" w:themeShade="80"/>
            </w:tcBorders>
          </w:tcPr>
          <w:p w14:paraId="694D63F0" w14:textId="77777777" w:rsidR="00E95A56" w:rsidRPr="00A24741" w:rsidRDefault="00E95A56" w:rsidP="00B822E0">
            <w:pPr>
              <w:spacing w:before="120" w:after="120"/>
              <w:contextualSpacing/>
              <w:jc w:val="center"/>
              <w:rPr>
                <w:rFonts w:ascii="Arial" w:hAnsi="Arial" w:cs="Arial"/>
                <w:b/>
                <w:color w:val="FFFFFF" w:themeColor="background1"/>
                <w:sz w:val="18"/>
              </w:rPr>
            </w:pPr>
          </w:p>
        </w:tc>
        <w:tc>
          <w:tcPr>
            <w:tcW w:w="1382"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00B0F0"/>
          </w:tcPr>
          <w:p w14:paraId="58FFCB52" w14:textId="77777777" w:rsidR="00E95A56" w:rsidRPr="00A24741" w:rsidRDefault="00E95A56" w:rsidP="00B822E0">
            <w:pPr>
              <w:spacing w:before="120" w:after="120"/>
              <w:contextualSpacing/>
              <w:jc w:val="center"/>
              <w:rPr>
                <w:rFonts w:ascii="Arial" w:hAnsi="Arial" w:cs="Arial"/>
                <w:b/>
                <w:color w:val="FFFFFF" w:themeColor="background1"/>
                <w:sz w:val="18"/>
              </w:rPr>
            </w:pPr>
            <w:r w:rsidRPr="00A24741">
              <w:rPr>
                <w:rFonts w:ascii="Arial" w:hAnsi="Arial" w:cs="Arial"/>
                <w:b/>
                <w:color w:val="FFFFFF" w:themeColor="background1"/>
                <w:sz w:val="18"/>
              </w:rPr>
              <w:t>$13 mljrd. apmaksātā kapitāla palielināšana</w:t>
            </w:r>
          </w:p>
        </w:tc>
        <w:tc>
          <w:tcPr>
            <w:tcW w:w="173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2E74B5" w:themeFill="accent1" w:themeFillShade="BF"/>
          </w:tcPr>
          <w:p w14:paraId="68280086" w14:textId="77777777" w:rsidR="00E95A56" w:rsidRPr="00A24741" w:rsidRDefault="00E95A56" w:rsidP="00B822E0">
            <w:pPr>
              <w:spacing w:before="120" w:after="120"/>
              <w:contextualSpacing/>
              <w:jc w:val="center"/>
              <w:rPr>
                <w:rFonts w:ascii="Arial" w:hAnsi="Arial" w:cs="Arial"/>
                <w:b/>
                <w:color w:val="FFFFFF" w:themeColor="background1"/>
                <w:sz w:val="18"/>
              </w:rPr>
            </w:pPr>
          </w:p>
          <w:p w14:paraId="61A8F88F" w14:textId="77777777" w:rsidR="00E95A56" w:rsidRPr="00A24741" w:rsidRDefault="00E95A56" w:rsidP="00B822E0">
            <w:pPr>
              <w:spacing w:before="120" w:after="120"/>
              <w:contextualSpacing/>
              <w:jc w:val="center"/>
              <w:rPr>
                <w:rFonts w:ascii="Arial" w:hAnsi="Arial" w:cs="Arial"/>
                <w:b/>
                <w:color w:val="FFFFFF" w:themeColor="background1"/>
                <w:sz w:val="18"/>
              </w:rPr>
            </w:pPr>
            <w:r w:rsidRPr="00A24741">
              <w:rPr>
                <w:rFonts w:ascii="Arial" w:hAnsi="Arial" w:cs="Arial"/>
                <w:b/>
                <w:color w:val="FFFFFF" w:themeColor="background1"/>
                <w:sz w:val="18"/>
              </w:rPr>
              <w:t>Ieņēmumu pārskaitījumi</w:t>
            </w:r>
          </w:p>
        </w:tc>
        <w:tc>
          <w:tcPr>
            <w:tcW w:w="1842"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1F4E79" w:themeFill="accent1" w:themeFillShade="80"/>
          </w:tcPr>
          <w:p w14:paraId="2A5464A9" w14:textId="77777777" w:rsidR="00E95A56" w:rsidRPr="00A24741" w:rsidRDefault="00E95A56" w:rsidP="00B822E0">
            <w:pPr>
              <w:spacing w:before="120" w:after="120"/>
              <w:contextualSpacing/>
              <w:jc w:val="center"/>
              <w:rPr>
                <w:rFonts w:ascii="Arial" w:hAnsi="Arial" w:cs="Arial"/>
                <w:b/>
                <w:color w:val="FFFFFF" w:themeColor="background1"/>
                <w:sz w:val="18"/>
              </w:rPr>
            </w:pPr>
          </w:p>
          <w:p w14:paraId="02A671A7" w14:textId="77777777" w:rsidR="00E95A56" w:rsidRPr="00A24741" w:rsidRDefault="00E95A56" w:rsidP="00B822E0">
            <w:pPr>
              <w:spacing w:before="120" w:after="120"/>
              <w:contextualSpacing/>
              <w:jc w:val="center"/>
              <w:rPr>
                <w:rFonts w:ascii="Arial" w:hAnsi="Arial" w:cs="Arial"/>
                <w:b/>
                <w:color w:val="FFFFFF" w:themeColor="background1"/>
                <w:sz w:val="18"/>
              </w:rPr>
            </w:pPr>
            <w:r w:rsidRPr="00A24741">
              <w:rPr>
                <w:rFonts w:ascii="Arial" w:hAnsi="Arial" w:cs="Arial"/>
                <w:b/>
                <w:color w:val="FFFFFF" w:themeColor="background1"/>
                <w:sz w:val="18"/>
              </w:rPr>
              <w:t>Budžets</w:t>
            </w:r>
          </w:p>
        </w:tc>
        <w:tc>
          <w:tcPr>
            <w:tcW w:w="1701"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8EAADB" w:themeFill="accent5" w:themeFillTint="99"/>
          </w:tcPr>
          <w:p w14:paraId="4662C75E" w14:textId="77777777" w:rsidR="00E95A56" w:rsidRPr="00A24741" w:rsidRDefault="00E95A56" w:rsidP="00B822E0">
            <w:pPr>
              <w:spacing w:before="120" w:after="120"/>
              <w:contextualSpacing/>
              <w:jc w:val="center"/>
              <w:rPr>
                <w:rFonts w:ascii="Arial" w:hAnsi="Arial" w:cs="Arial"/>
                <w:b/>
                <w:color w:val="FFFFFF" w:themeColor="background1"/>
                <w:sz w:val="18"/>
              </w:rPr>
            </w:pPr>
          </w:p>
          <w:p w14:paraId="568747BA" w14:textId="77777777" w:rsidR="00E95A56" w:rsidRPr="00A24741" w:rsidRDefault="00E95A56" w:rsidP="00B822E0">
            <w:pPr>
              <w:spacing w:before="120" w:after="120"/>
              <w:contextualSpacing/>
              <w:jc w:val="center"/>
              <w:rPr>
                <w:rFonts w:ascii="Arial" w:hAnsi="Arial" w:cs="Arial"/>
                <w:b/>
                <w:color w:val="FFFFFF" w:themeColor="background1"/>
                <w:sz w:val="18"/>
              </w:rPr>
            </w:pPr>
            <w:r w:rsidRPr="00A24741">
              <w:rPr>
                <w:rFonts w:ascii="Arial" w:hAnsi="Arial" w:cs="Arial"/>
                <w:b/>
                <w:color w:val="FFFFFF" w:themeColor="background1"/>
                <w:sz w:val="18"/>
              </w:rPr>
              <w:t>Bilances optimizācija</w:t>
            </w:r>
          </w:p>
        </w:tc>
        <w:tc>
          <w:tcPr>
            <w:tcW w:w="1701"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2F5496" w:themeFill="accent5" w:themeFillShade="BF"/>
          </w:tcPr>
          <w:p w14:paraId="1ED78E9A" w14:textId="77777777" w:rsidR="00E95A56" w:rsidRPr="00A24741" w:rsidRDefault="00E95A56" w:rsidP="00B822E0">
            <w:pPr>
              <w:spacing w:before="120" w:after="120"/>
              <w:contextualSpacing/>
              <w:jc w:val="center"/>
              <w:rPr>
                <w:rFonts w:ascii="Arial" w:hAnsi="Arial" w:cs="Arial"/>
                <w:b/>
                <w:color w:val="FFFFFF" w:themeColor="background1"/>
                <w:sz w:val="18"/>
              </w:rPr>
            </w:pPr>
          </w:p>
          <w:p w14:paraId="4E86703A" w14:textId="77777777" w:rsidR="00E95A56" w:rsidRPr="00A24741" w:rsidRDefault="00E95A56" w:rsidP="00B822E0">
            <w:pPr>
              <w:spacing w:before="120" w:after="120"/>
              <w:contextualSpacing/>
              <w:jc w:val="center"/>
              <w:rPr>
                <w:rFonts w:ascii="Arial" w:hAnsi="Arial" w:cs="Arial"/>
                <w:b/>
                <w:color w:val="FFFFFF" w:themeColor="background1"/>
                <w:sz w:val="18"/>
              </w:rPr>
            </w:pPr>
            <w:r w:rsidRPr="00A24741">
              <w:rPr>
                <w:rFonts w:ascii="Arial" w:hAnsi="Arial" w:cs="Arial"/>
                <w:b/>
                <w:color w:val="FFFFFF" w:themeColor="background1"/>
                <w:sz w:val="18"/>
              </w:rPr>
              <w:t>Aizdevumu cenas</w:t>
            </w:r>
          </w:p>
        </w:tc>
      </w:tr>
      <w:tr w:rsidR="00E95A56" w:rsidRPr="00A24741" w14:paraId="0D599BE7" w14:textId="77777777" w:rsidTr="00B822E0">
        <w:tc>
          <w:tcPr>
            <w:tcW w:w="704" w:type="dxa"/>
            <w:tcBorders>
              <w:top w:val="nil"/>
              <w:left w:val="nil"/>
              <w:bottom w:val="nil"/>
              <w:right w:val="single" w:sz="12" w:space="0" w:color="1F3864" w:themeColor="accent5" w:themeShade="80"/>
            </w:tcBorders>
          </w:tcPr>
          <w:p w14:paraId="1EEA753B" w14:textId="77777777" w:rsidR="00E95A56" w:rsidRPr="00A24741" w:rsidRDefault="00E95A56" w:rsidP="00B822E0">
            <w:pPr>
              <w:spacing w:before="120" w:after="120"/>
              <w:rPr>
                <w:rFonts w:ascii="Arial" w:hAnsi="Arial" w:cs="Arial"/>
                <w:sz w:val="18"/>
              </w:rPr>
            </w:pPr>
          </w:p>
          <w:p w14:paraId="23A0119B" w14:textId="77777777" w:rsidR="00E95A56" w:rsidRPr="00A24741" w:rsidRDefault="00E95A56" w:rsidP="00B822E0">
            <w:pPr>
              <w:spacing w:before="120" w:after="120"/>
              <w:rPr>
                <w:rFonts w:ascii="Arial" w:hAnsi="Arial" w:cs="Arial"/>
                <w:sz w:val="18"/>
              </w:rPr>
            </w:pPr>
          </w:p>
          <w:p w14:paraId="4ED0317D" w14:textId="77777777" w:rsidR="00E95A56" w:rsidRPr="00A24741" w:rsidRDefault="00E95A56" w:rsidP="00B822E0">
            <w:pPr>
              <w:spacing w:before="120" w:after="120"/>
              <w:rPr>
                <w:rFonts w:ascii="Arial" w:hAnsi="Arial" w:cs="Arial"/>
                <w:sz w:val="18"/>
              </w:rPr>
            </w:pPr>
          </w:p>
          <w:p w14:paraId="24075B82" w14:textId="77777777" w:rsidR="00E95A56" w:rsidRPr="00A24741" w:rsidRDefault="00E95A56" w:rsidP="00B822E0">
            <w:pPr>
              <w:spacing w:before="120" w:after="120"/>
              <w:rPr>
                <w:rFonts w:ascii="Arial" w:hAnsi="Arial" w:cs="Arial"/>
                <w:b/>
                <w:sz w:val="18"/>
              </w:rPr>
            </w:pPr>
            <w:r w:rsidRPr="00A24741">
              <w:rPr>
                <w:rFonts w:ascii="Arial" w:hAnsi="Arial" w:cs="Arial"/>
                <w:b/>
                <w:sz w:val="18"/>
              </w:rPr>
              <w:t>IBRD</w:t>
            </w:r>
          </w:p>
        </w:tc>
        <w:tc>
          <w:tcPr>
            <w:tcW w:w="1382"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494E4E90" w14:textId="77777777" w:rsidR="00E95A56" w:rsidRPr="00A24741" w:rsidRDefault="00E95A56" w:rsidP="00B822E0">
            <w:pPr>
              <w:spacing w:before="120" w:after="120"/>
              <w:jc w:val="both"/>
              <w:rPr>
                <w:rFonts w:ascii="Arial" w:hAnsi="Arial" w:cs="Arial"/>
                <w:sz w:val="18"/>
              </w:rPr>
            </w:pPr>
          </w:p>
          <w:p w14:paraId="5C28B6F6" w14:textId="77777777" w:rsidR="00E95A56" w:rsidRPr="00A24741" w:rsidRDefault="00E95A56" w:rsidP="00B822E0">
            <w:pPr>
              <w:spacing w:before="120" w:after="120"/>
              <w:jc w:val="both"/>
              <w:rPr>
                <w:rFonts w:ascii="Arial" w:hAnsi="Arial" w:cs="Arial"/>
                <w:sz w:val="18"/>
              </w:rPr>
            </w:pPr>
          </w:p>
          <w:p w14:paraId="20FFF49A" w14:textId="77777777" w:rsidR="00E95A56" w:rsidRPr="00A24741" w:rsidRDefault="00E95A56" w:rsidP="00B822E0">
            <w:pPr>
              <w:spacing w:before="120" w:after="120"/>
              <w:jc w:val="both"/>
              <w:rPr>
                <w:rFonts w:ascii="Arial" w:hAnsi="Arial" w:cs="Arial"/>
                <w:sz w:val="18"/>
              </w:rPr>
            </w:pPr>
          </w:p>
          <w:p w14:paraId="16578DBE"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$7.5 mljrd. iemaksa kapitālā</w:t>
            </w:r>
          </w:p>
        </w:tc>
        <w:tc>
          <w:tcPr>
            <w:tcW w:w="173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37E564AD"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IDA18 formulas piemērošana;</w:t>
            </w:r>
          </w:p>
          <w:p w14:paraId="76541297"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Koncesijas  aizdevumu izsniegšana no IBRD ieņēmumiem projektiem ar vispārējā sabiedriskā labuma komponenti $100</w:t>
            </w:r>
            <w:r w:rsidR="00605253" w:rsidRPr="00A24741">
              <w:rPr>
                <w:rFonts w:ascii="Arial" w:hAnsi="Arial" w:cs="Arial"/>
                <w:sz w:val="18"/>
              </w:rPr>
              <w:t xml:space="preserve"> milj. g</w:t>
            </w:r>
            <w:r w:rsidRPr="00A24741">
              <w:rPr>
                <w:rFonts w:ascii="Arial" w:hAnsi="Arial" w:cs="Arial"/>
                <w:sz w:val="18"/>
              </w:rPr>
              <w:t xml:space="preserve">adā;   </w:t>
            </w:r>
          </w:p>
        </w:tc>
        <w:tc>
          <w:tcPr>
            <w:tcW w:w="1842"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125A3194"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Saglabāt izdevumu pārskatīšanas ietaupījumus;</w:t>
            </w:r>
          </w:p>
          <w:p w14:paraId="292CC505"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 xml:space="preserve">Turpināt ieviest $1.1 mljrd. apjoma un efektivitātes ietaupījumu palielināšanu līdz 2030.gadam; </w:t>
            </w:r>
          </w:p>
          <w:p w14:paraId="358F2AE2"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Ierobežot atalgojuma palielināšanu;</w:t>
            </w:r>
          </w:p>
        </w:tc>
        <w:tc>
          <w:tcPr>
            <w:tcW w:w="1701"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506CE050"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Īstenot neatkarīgā ārējā paneļa rekomendācijas;</w:t>
            </w:r>
          </w:p>
          <w:p w14:paraId="7BE65073"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Turpināt aktīvu portfeļa pārvaldību;</w:t>
            </w:r>
          </w:p>
          <w:p w14:paraId="4DA9417D"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Turpināt izvērtēt inovatīvus bilances optimizācijas pasākumus;</w:t>
            </w:r>
          </w:p>
        </w:tc>
        <w:tc>
          <w:tcPr>
            <w:tcW w:w="1701"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71424009"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Ieviest aizdevumu cenu palielinājumu, kas pielāgots dažādām ienākumu grupām;</w:t>
            </w:r>
          </w:p>
          <w:p w14:paraId="159F7B21" w14:textId="77777777" w:rsidR="00E95A56" w:rsidRPr="00A24741" w:rsidRDefault="00E95A56" w:rsidP="00B822E0">
            <w:pPr>
              <w:spacing w:before="120" w:after="120"/>
              <w:jc w:val="both"/>
              <w:rPr>
                <w:rFonts w:ascii="Arial" w:hAnsi="Arial" w:cs="Arial"/>
                <w:sz w:val="18"/>
              </w:rPr>
            </w:pPr>
          </w:p>
          <w:p w14:paraId="22435D28" w14:textId="77777777" w:rsidR="00E95A56" w:rsidRPr="00A24741" w:rsidRDefault="00E95A56" w:rsidP="00B822E0">
            <w:pPr>
              <w:spacing w:before="120" w:after="120"/>
              <w:jc w:val="both"/>
              <w:rPr>
                <w:rFonts w:ascii="Arial" w:hAnsi="Arial" w:cs="Arial"/>
                <w:sz w:val="18"/>
              </w:rPr>
            </w:pPr>
          </w:p>
        </w:tc>
      </w:tr>
      <w:tr w:rsidR="00E95A56" w:rsidRPr="00A24741" w14:paraId="6A589E4A" w14:textId="77777777" w:rsidTr="00B822E0">
        <w:tc>
          <w:tcPr>
            <w:tcW w:w="704" w:type="dxa"/>
            <w:tcBorders>
              <w:top w:val="nil"/>
              <w:left w:val="nil"/>
              <w:bottom w:val="nil"/>
              <w:right w:val="single" w:sz="12" w:space="0" w:color="1F3864" w:themeColor="accent5" w:themeShade="80"/>
            </w:tcBorders>
          </w:tcPr>
          <w:p w14:paraId="41BEB4A0" w14:textId="77777777" w:rsidR="00E95A56" w:rsidRPr="00A24741" w:rsidRDefault="00E95A56" w:rsidP="00B822E0">
            <w:pPr>
              <w:spacing w:before="120" w:after="120"/>
              <w:rPr>
                <w:rFonts w:ascii="Arial" w:hAnsi="Arial" w:cs="Arial"/>
                <w:sz w:val="18"/>
              </w:rPr>
            </w:pPr>
          </w:p>
          <w:p w14:paraId="4C243172" w14:textId="77777777" w:rsidR="00E95A56" w:rsidRPr="00A24741" w:rsidRDefault="00E95A56" w:rsidP="00B822E0">
            <w:pPr>
              <w:spacing w:before="120" w:after="120"/>
              <w:rPr>
                <w:rFonts w:ascii="Arial" w:hAnsi="Arial" w:cs="Arial"/>
                <w:sz w:val="18"/>
              </w:rPr>
            </w:pPr>
          </w:p>
          <w:p w14:paraId="2389BBA8" w14:textId="77777777" w:rsidR="00E95A56" w:rsidRPr="00A24741" w:rsidRDefault="00E95A56" w:rsidP="00B822E0">
            <w:pPr>
              <w:spacing w:before="120" w:after="120"/>
              <w:rPr>
                <w:rFonts w:ascii="Arial" w:hAnsi="Arial" w:cs="Arial"/>
                <w:b/>
                <w:sz w:val="18"/>
              </w:rPr>
            </w:pPr>
            <w:r w:rsidRPr="00A24741">
              <w:rPr>
                <w:rFonts w:ascii="Arial" w:hAnsi="Arial" w:cs="Arial"/>
                <w:b/>
                <w:sz w:val="18"/>
              </w:rPr>
              <w:t>IFC</w:t>
            </w:r>
          </w:p>
        </w:tc>
        <w:tc>
          <w:tcPr>
            <w:tcW w:w="1382"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75F0DC51" w14:textId="77777777" w:rsidR="00E95A56" w:rsidRPr="00A24741" w:rsidRDefault="00E95A56" w:rsidP="00B822E0">
            <w:pPr>
              <w:spacing w:before="120" w:after="120"/>
              <w:jc w:val="both"/>
              <w:rPr>
                <w:rFonts w:ascii="Arial" w:hAnsi="Arial" w:cs="Arial"/>
                <w:sz w:val="18"/>
              </w:rPr>
            </w:pPr>
          </w:p>
          <w:p w14:paraId="344109C9" w14:textId="77777777" w:rsidR="00E95A56" w:rsidRPr="00A24741" w:rsidRDefault="00E95A56" w:rsidP="00B822E0">
            <w:pPr>
              <w:spacing w:before="120" w:after="120"/>
              <w:jc w:val="both"/>
              <w:rPr>
                <w:rFonts w:ascii="Arial" w:hAnsi="Arial" w:cs="Arial"/>
                <w:sz w:val="18"/>
              </w:rPr>
            </w:pPr>
          </w:p>
          <w:p w14:paraId="3E212F53"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$5.5 mljrd. iemaksa kapitālā</w:t>
            </w:r>
          </w:p>
        </w:tc>
        <w:tc>
          <w:tcPr>
            <w:tcW w:w="1737"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1A214BB0"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Pārskaitījumu uz IDA apturēšana;</w:t>
            </w:r>
          </w:p>
          <w:p w14:paraId="0A614BD3"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Ienākumu daļas izmantošana Tirgus izveides konsultāciju ietvarā u.c. konsultāciju pakalpojumu sniegšanai atbilstoši 2016.gada formulai;</w:t>
            </w:r>
          </w:p>
        </w:tc>
        <w:tc>
          <w:tcPr>
            <w:tcW w:w="1842"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51A6898F"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Saglabāt izdevumu pārskata ietaupījumus;</w:t>
            </w:r>
          </w:p>
          <w:p w14:paraId="7CF81DB8"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Turpināt ieviest $0.7 mljrd. apjoma un efektivitātes ietaupījumu palielināšanu līdz 2030.gadam;</w:t>
            </w:r>
          </w:p>
          <w:p w14:paraId="559915D3"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Ierobežot atalgojuma palielināšanu;</w:t>
            </w:r>
          </w:p>
          <w:p w14:paraId="6CE734C3" w14:textId="77777777" w:rsidR="00E95A56" w:rsidRPr="00A24741" w:rsidRDefault="00E95A56" w:rsidP="00B822E0">
            <w:pPr>
              <w:spacing w:before="120" w:after="120"/>
              <w:jc w:val="both"/>
              <w:rPr>
                <w:rFonts w:ascii="Arial" w:hAnsi="Arial" w:cs="Arial"/>
                <w:sz w:val="18"/>
              </w:rPr>
            </w:pPr>
          </w:p>
        </w:tc>
        <w:tc>
          <w:tcPr>
            <w:tcW w:w="1701"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7CE0195E"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Turpināt aktīvu mobilizēšanas stratēģiju kapitāla uzturēšanai;</w:t>
            </w:r>
          </w:p>
          <w:p w14:paraId="3C3A2728"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Uzturēt sabalansētu portfeli;</w:t>
            </w:r>
          </w:p>
          <w:p w14:paraId="1DFCF4B0"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Turpināt aktīvu portfeļa pārvaldību, tai skaitā investīcijas privātkapitālā;</w:t>
            </w:r>
          </w:p>
        </w:tc>
        <w:tc>
          <w:tcPr>
            <w:tcW w:w="1701"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14:paraId="0C43BE89"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Uzturēt uz risku un tirgū balstītu pieeju cenu noteikšanā;</w:t>
            </w:r>
          </w:p>
          <w:p w14:paraId="1DF142E5" w14:textId="77777777" w:rsidR="00E95A56" w:rsidRPr="00A24741" w:rsidRDefault="00E95A56" w:rsidP="00B822E0">
            <w:pPr>
              <w:spacing w:before="120" w:after="120"/>
              <w:jc w:val="both"/>
              <w:rPr>
                <w:rFonts w:ascii="Arial" w:hAnsi="Arial" w:cs="Arial"/>
                <w:sz w:val="18"/>
              </w:rPr>
            </w:pPr>
            <w:r w:rsidRPr="00A24741">
              <w:rPr>
                <w:rFonts w:ascii="Arial" w:hAnsi="Arial" w:cs="Arial"/>
                <w:sz w:val="18"/>
              </w:rPr>
              <w:t>Minimālu šķēršļu pieļaušana kapitāla atdevei katram investīciju produktu veidam.</w:t>
            </w:r>
          </w:p>
          <w:p w14:paraId="4BA01CB7" w14:textId="77777777" w:rsidR="00E95A56" w:rsidRPr="00A24741" w:rsidRDefault="00E95A56" w:rsidP="00B822E0">
            <w:pPr>
              <w:spacing w:before="120" w:after="120"/>
              <w:jc w:val="both"/>
              <w:rPr>
                <w:rFonts w:ascii="Arial" w:hAnsi="Arial" w:cs="Arial"/>
                <w:sz w:val="18"/>
              </w:rPr>
            </w:pPr>
          </w:p>
          <w:p w14:paraId="587A63EF" w14:textId="77777777" w:rsidR="00E95A56" w:rsidRPr="00A24741" w:rsidRDefault="00E95A56" w:rsidP="00B822E0">
            <w:pPr>
              <w:spacing w:before="120" w:after="120"/>
              <w:jc w:val="both"/>
              <w:rPr>
                <w:rFonts w:ascii="Arial" w:hAnsi="Arial" w:cs="Arial"/>
                <w:sz w:val="18"/>
              </w:rPr>
            </w:pPr>
          </w:p>
        </w:tc>
      </w:tr>
    </w:tbl>
    <w:p w14:paraId="64BD6E3F" w14:textId="429B2ACA" w:rsidR="00E95A56" w:rsidRPr="00F94864" w:rsidRDefault="007166F5" w:rsidP="00F94864">
      <w:pPr>
        <w:spacing w:before="120"/>
        <w:jc w:val="center"/>
        <w:rPr>
          <w:i/>
          <w:noProof w:val="0"/>
          <w:sz w:val="20"/>
        </w:rPr>
      </w:pPr>
      <w:r>
        <w:rPr>
          <w:i/>
          <w:noProof w:val="0"/>
          <w:sz w:val="20"/>
        </w:rPr>
        <w:t>9</w:t>
      </w:r>
      <w:r w:rsidR="00E95A56" w:rsidRPr="00F94864">
        <w:rPr>
          <w:i/>
          <w:noProof w:val="0"/>
          <w:sz w:val="20"/>
        </w:rPr>
        <w:t xml:space="preserve">.attēls. IBRD un IFC finansēšanas </w:t>
      </w:r>
      <w:proofErr w:type="spellStart"/>
      <w:r w:rsidR="00E95A56" w:rsidRPr="00F94864">
        <w:rPr>
          <w:i/>
          <w:noProof w:val="0"/>
          <w:sz w:val="20"/>
        </w:rPr>
        <w:t>pakotnes</w:t>
      </w:r>
      <w:proofErr w:type="spellEnd"/>
      <w:r w:rsidR="00E95A56" w:rsidRPr="00F94864">
        <w:rPr>
          <w:i/>
          <w:noProof w:val="0"/>
          <w:sz w:val="20"/>
        </w:rPr>
        <w:t xml:space="preserve"> kopsavilkums</w:t>
      </w:r>
    </w:p>
    <w:p w14:paraId="523B6045" w14:textId="77777777" w:rsidR="00E95A56" w:rsidRPr="00217688" w:rsidRDefault="00E95A56" w:rsidP="00E95A56">
      <w:pPr>
        <w:jc w:val="both"/>
        <w:rPr>
          <w:noProof w:val="0"/>
        </w:rPr>
      </w:pPr>
    </w:p>
    <w:p w14:paraId="6BB5D4E1" w14:textId="77777777" w:rsidR="00B50EC7" w:rsidRPr="00217688" w:rsidRDefault="00B50EC7" w:rsidP="008645C2">
      <w:pPr>
        <w:rPr>
          <w:b/>
          <w:i/>
          <w:noProof w:val="0"/>
        </w:rPr>
      </w:pPr>
      <w:r w:rsidRPr="00217688">
        <w:rPr>
          <w:b/>
          <w:i/>
          <w:noProof w:val="0"/>
        </w:rPr>
        <w:t xml:space="preserve">IFC </w:t>
      </w:r>
      <w:r w:rsidR="008F782B" w:rsidRPr="00217688">
        <w:rPr>
          <w:b/>
          <w:i/>
          <w:noProof w:val="0"/>
        </w:rPr>
        <w:t xml:space="preserve">finansēšanas </w:t>
      </w:r>
      <w:proofErr w:type="spellStart"/>
      <w:r w:rsidR="008F782B" w:rsidRPr="00217688">
        <w:rPr>
          <w:b/>
          <w:i/>
          <w:noProof w:val="0"/>
        </w:rPr>
        <w:t>pakotne</w:t>
      </w:r>
      <w:proofErr w:type="spellEnd"/>
    </w:p>
    <w:p w14:paraId="39B4B499" w14:textId="77777777" w:rsidR="00B50EC7" w:rsidRPr="00217688" w:rsidRDefault="00B50EC7" w:rsidP="00D52C83">
      <w:pPr>
        <w:jc w:val="both"/>
        <w:rPr>
          <w:noProof w:val="0"/>
        </w:rPr>
      </w:pPr>
    </w:p>
    <w:p w14:paraId="64812AF8" w14:textId="0B654C7C" w:rsidR="00384C77" w:rsidRPr="00217688" w:rsidRDefault="00166493" w:rsidP="000119A3">
      <w:pPr>
        <w:jc w:val="both"/>
        <w:rPr>
          <w:noProof w:val="0"/>
        </w:rPr>
      </w:pPr>
      <w:r w:rsidRPr="00217688">
        <w:rPr>
          <w:b/>
          <w:noProof w:val="0"/>
        </w:rPr>
        <w:t xml:space="preserve">IFC finansēšanas </w:t>
      </w:r>
      <w:proofErr w:type="spellStart"/>
      <w:r w:rsidRPr="00217688">
        <w:rPr>
          <w:b/>
          <w:noProof w:val="0"/>
        </w:rPr>
        <w:t>pakotne</w:t>
      </w:r>
      <w:proofErr w:type="spellEnd"/>
      <w:r w:rsidRPr="00217688">
        <w:rPr>
          <w:b/>
          <w:noProof w:val="0"/>
        </w:rPr>
        <w:t xml:space="preserve"> ietver kapitāla palielināšanu un iekšējo reformu īstenošanu</w:t>
      </w:r>
      <w:r w:rsidR="00542136" w:rsidRPr="00217688">
        <w:rPr>
          <w:noProof w:val="0"/>
        </w:rPr>
        <w:t xml:space="preserve">, </w:t>
      </w:r>
      <w:r w:rsidRPr="00217688">
        <w:rPr>
          <w:noProof w:val="0"/>
        </w:rPr>
        <w:t>tai skaitā</w:t>
      </w:r>
      <w:r w:rsidR="00542136" w:rsidRPr="00217688">
        <w:rPr>
          <w:noProof w:val="0"/>
        </w:rPr>
        <w:t xml:space="preserve"> IFC pārskaitījumu uz IDA pārtraukšanu</w:t>
      </w:r>
      <w:r w:rsidRPr="00217688">
        <w:rPr>
          <w:noProof w:val="0"/>
        </w:rPr>
        <w:t xml:space="preserve"> un</w:t>
      </w:r>
      <w:r w:rsidR="00542136" w:rsidRPr="00217688">
        <w:rPr>
          <w:noProof w:val="0"/>
        </w:rPr>
        <w:t xml:space="preserve"> iekšējo</w:t>
      </w:r>
      <w:r w:rsidR="006154C4" w:rsidRPr="00217688">
        <w:rPr>
          <w:noProof w:val="0"/>
        </w:rPr>
        <w:t>s</w:t>
      </w:r>
      <w:r w:rsidR="00542136" w:rsidRPr="00217688">
        <w:rPr>
          <w:noProof w:val="0"/>
        </w:rPr>
        <w:t xml:space="preserve"> pasākumus efektivitātes </w:t>
      </w:r>
      <w:r w:rsidR="00E46E2F" w:rsidRPr="00217688">
        <w:rPr>
          <w:noProof w:val="0"/>
        </w:rPr>
        <w:t>stiprināšanai</w:t>
      </w:r>
      <w:r w:rsidR="00542136" w:rsidRPr="00217688">
        <w:rPr>
          <w:noProof w:val="0"/>
        </w:rPr>
        <w:t>.</w:t>
      </w:r>
      <w:r w:rsidR="00B67F9D" w:rsidRPr="00217688">
        <w:rPr>
          <w:noProof w:val="0"/>
        </w:rPr>
        <w:t xml:space="preserve"> </w:t>
      </w:r>
      <w:r w:rsidR="00384C77" w:rsidRPr="00217688">
        <w:rPr>
          <w:noProof w:val="0"/>
        </w:rPr>
        <w:t>IFC kapitāla pietiekamības rādītāju stiprināšanai ar iekšējo reformu palīdzī</w:t>
      </w:r>
      <w:r w:rsidR="009E791D">
        <w:rPr>
          <w:noProof w:val="0"/>
        </w:rPr>
        <w:t xml:space="preserve">bu plānots ietaupīt līdz pat USD </w:t>
      </w:r>
      <w:r w:rsidR="00384C77" w:rsidRPr="00217688">
        <w:rPr>
          <w:noProof w:val="0"/>
        </w:rPr>
        <w:t>1,7 miljardiem.</w:t>
      </w:r>
      <w:r w:rsidR="00384C77" w:rsidRPr="00217688">
        <w:rPr>
          <w:b/>
          <w:noProof w:val="0"/>
        </w:rPr>
        <w:t xml:space="preserve"> </w:t>
      </w:r>
      <w:r w:rsidR="00384C77" w:rsidRPr="00217688">
        <w:rPr>
          <w:noProof w:val="0"/>
        </w:rPr>
        <w:t xml:space="preserve">Saskaņā ar IFC prognozēm, pārtraucot IFC </w:t>
      </w:r>
      <w:proofErr w:type="spellStart"/>
      <w:r w:rsidR="00384C77" w:rsidRPr="00217688">
        <w:rPr>
          <w:noProof w:val="0"/>
        </w:rPr>
        <w:t>pārskaitījumus</w:t>
      </w:r>
      <w:proofErr w:type="spellEnd"/>
      <w:r w:rsidR="00384C77" w:rsidRPr="00217688">
        <w:rPr>
          <w:noProof w:val="0"/>
        </w:rPr>
        <w:t xml:space="preserve"> uz IDA, IFC </w:t>
      </w:r>
      <w:r w:rsidR="00384C77" w:rsidRPr="00217688">
        <w:rPr>
          <w:noProof w:val="0"/>
        </w:rPr>
        <w:lastRenderedPageBreak/>
        <w:t>nesadalītās peļņas apjoms varētu tikt palielināts līdz pat US</w:t>
      </w:r>
      <w:r w:rsidR="009E791D">
        <w:rPr>
          <w:noProof w:val="0"/>
        </w:rPr>
        <w:t xml:space="preserve">D </w:t>
      </w:r>
      <w:r w:rsidR="00384C77" w:rsidRPr="00217688">
        <w:rPr>
          <w:noProof w:val="0"/>
        </w:rPr>
        <w:t>1 miljardam, tādējādi stiprinot IFC kapitāla pozīciju un samazinot citas kapitāla prasības. Papildus tam, IFC ir vairākas efektivitātes programmas, un paredzams, ka ar to palīdzību tiks samazināti izdevumi par aptuveni US</w:t>
      </w:r>
      <w:r w:rsidR="009E791D">
        <w:rPr>
          <w:noProof w:val="0"/>
        </w:rPr>
        <w:t xml:space="preserve">D </w:t>
      </w:r>
      <w:r w:rsidR="00384C77" w:rsidRPr="00217688">
        <w:rPr>
          <w:noProof w:val="0"/>
        </w:rPr>
        <w:t>420 miljoniem 2019-2030.gadā</w:t>
      </w:r>
      <w:r w:rsidR="001F3B27">
        <w:rPr>
          <w:noProof w:val="0"/>
        </w:rPr>
        <w:t xml:space="preserve"> (</w:t>
      </w:r>
      <w:r w:rsidR="00086295">
        <w:rPr>
          <w:noProof w:val="0"/>
        </w:rPr>
        <w:t>10</w:t>
      </w:r>
      <w:r w:rsidR="001F3B27">
        <w:rPr>
          <w:noProof w:val="0"/>
        </w:rPr>
        <w:t>.attēls</w:t>
      </w:r>
      <w:r w:rsidR="00A700FB" w:rsidRPr="00217688">
        <w:rPr>
          <w:noProof w:val="0"/>
        </w:rPr>
        <w:t>)</w:t>
      </w:r>
      <w:r w:rsidR="00384C77" w:rsidRPr="00217688">
        <w:rPr>
          <w:noProof w:val="0"/>
        </w:rPr>
        <w:t>. Turklāt, palielinoties IFC aizdevumu apjomam, izmaksu ietaupījumi varētu palielināties līdz aptuveni US</w:t>
      </w:r>
      <w:r w:rsidR="009E791D">
        <w:rPr>
          <w:noProof w:val="0"/>
        </w:rPr>
        <w:t xml:space="preserve">D </w:t>
      </w:r>
      <w:r w:rsidR="00384C77" w:rsidRPr="00217688">
        <w:rPr>
          <w:noProof w:val="0"/>
        </w:rPr>
        <w:t>280 miljoniem, tādējādi, īstenojot efektivitātes stiprināšanas pasākumus, kopumā tiks ietaupīti US</w:t>
      </w:r>
      <w:r w:rsidR="009E791D">
        <w:rPr>
          <w:noProof w:val="0"/>
        </w:rPr>
        <w:t xml:space="preserve">D </w:t>
      </w:r>
      <w:r w:rsidR="00384C77" w:rsidRPr="00217688">
        <w:rPr>
          <w:noProof w:val="0"/>
        </w:rPr>
        <w:t>700 miljoni.</w:t>
      </w:r>
    </w:p>
    <w:p w14:paraId="4A5A60AF" w14:textId="248C6E63" w:rsidR="00135F27" w:rsidRPr="00217688" w:rsidRDefault="00135F27" w:rsidP="000119A3">
      <w:pPr>
        <w:spacing w:before="120" w:after="120"/>
        <w:jc w:val="both"/>
        <w:rPr>
          <w:noProof w:val="0"/>
        </w:rPr>
      </w:pPr>
      <w:r w:rsidRPr="00217688">
        <w:rPr>
          <w:noProof w:val="0"/>
        </w:rPr>
        <w:t>Iemaksas kapitāla palielināšanai US</w:t>
      </w:r>
      <w:r w:rsidR="009E791D">
        <w:rPr>
          <w:noProof w:val="0"/>
        </w:rPr>
        <w:t xml:space="preserve">D </w:t>
      </w:r>
      <w:r w:rsidRPr="00217688">
        <w:rPr>
          <w:noProof w:val="0"/>
        </w:rPr>
        <w:t xml:space="preserve">5.5 miljarda apmērā plānots veikt trīs </w:t>
      </w:r>
      <w:r w:rsidR="00B1142E" w:rsidRPr="00217688">
        <w:rPr>
          <w:noProof w:val="0"/>
        </w:rPr>
        <w:t>posmos</w:t>
      </w:r>
      <w:r w:rsidRPr="00217688">
        <w:rPr>
          <w:noProof w:val="0"/>
        </w:rPr>
        <w:t xml:space="preserve">: vispārējā kapitāla palielināšana ar nesadalītās peļņas </w:t>
      </w:r>
      <w:r w:rsidR="008F7D94" w:rsidRPr="00217688">
        <w:rPr>
          <w:noProof w:val="0"/>
        </w:rPr>
        <w:t>konvertācij</w:t>
      </w:r>
      <w:r w:rsidR="00943FD2" w:rsidRPr="00217688">
        <w:rPr>
          <w:noProof w:val="0"/>
        </w:rPr>
        <w:t>u</w:t>
      </w:r>
      <w:r w:rsidR="008F7D94" w:rsidRPr="00217688">
        <w:rPr>
          <w:noProof w:val="0"/>
        </w:rPr>
        <w:t xml:space="preserve"> kapitālā</w:t>
      </w:r>
      <w:r w:rsidRPr="00217688">
        <w:rPr>
          <w:noProof w:val="0"/>
        </w:rPr>
        <w:t xml:space="preserve"> (</w:t>
      </w:r>
      <w:proofErr w:type="spellStart"/>
      <w:r w:rsidR="00B7012D" w:rsidRPr="00217688">
        <w:rPr>
          <w:i/>
          <w:noProof w:val="0"/>
        </w:rPr>
        <w:t>Retained</w:t>
      </w:r>
      <w:proofErr w:type="spellEnd"/>
      <w:r w:rsidR="00B7012D" w:rsidRPr="00217688">
        <w:rPr>
          <w:i/>
          <w:noProof w:val="0"/>
        </w:rPr>
        <w:t xml:space="preserve"> </w:t>
      </w:r>
      <w:proofErr w:type="spellStart"/>
      <w:r w:rsidR="00B7012D" w:rsidRPr="00217688">
        <w:rPr>
          <w:i/>
          <w:noProof w:val="0"/>
        </w:rPr>
        <w:t>Earn</w:t>
      </w:r>
      <w:r w:rsidR="00C04668" w:rsidRPr="00217688">
        <w:rPr>
          <w:i/>
          <w:noProof w:val="0"/>
        </w:rPr>
        <w:t>ings</w:t>
      </w:r>
      <w:proofErr w:type="spellEnd"/>
      <w:r w:rsidR="00C04668" w:rsidRPr="00217688">
        <w:rPr>
          <w:noProof w:val="0"/>
        </w:rPr>
        <w:t xml:space="preserve"> - </w:t>
      </w:r>
      <w:r w:rsidR="00AD4F56" w:rsidRPr="00217688">
        <w:rPr>
          <w:noProof w:val="0"/>
        </w:rPr>
        <w:t xml:space="preserve">RE </w:t>
      </w:r>
      <w:r w:rsidRPr="00217688">
        <w:rPr>
          <w:noProof w:val="0"/>
        </w:rPr>
        <w:t>GCI),</w:t>
      </w:r>
      <w:r w:rsidR="00184759" w:rsidRPr="00217688">
        <w:rPr>
          <w:rStyle w:val="FootnoteReference"/>
          <w:noProof w:val="0"/>
        </w:rPr>
        <w:footnoteReference w:id="39"/>
      </w:r>
      <w:r w:rsidRPr="00217688">
        <w:rPr>
          <w:noProof w:val="0"/>
        </w:rPr>
        <w:t xml:space="preserve"> selektīvā kapitāla palielināšana (SCI) un vispārējā kapitāla palielināšana (GCI). Šāds risinājums ir izvēlēts, lai </w:t>
      </w:r>
      <w:r w:rsidR="006B1C07" w:rsidRPr="00217688">
        <w:rPr>
          <w:noProof w:val="0"/>
        </w:rPr>
        <w:t>nodrošinātu efektīvāko</w:t>
      </w:r>
      <w:r w:rsidR="00C46D33" w:rsidRPr="00217688">
        <w:rPr>
          <w:noProof w:val="0"/>
        </w:rPr>
        <w:t xml:space="preserve"> veidu kapitāla palielināšanai</w:t>
      </w:r>
      <w:r w:rsidR="006B1C07" w:rsidRPr="00217688">
        <w:rPr>
          <w:noProof w:val="0"/>
        </w:rPr>
        <w:t>.</w:t>
      </w:r>
      <w:r w:rsidR="00CE15D4" w:rsidRPr="00217688">
        <w:rPr>
          <w:rStyle w:val="FootnoteReference"/>
          <w:noProof w:val="0"/>
        </w:rPr>
        <w:footnoteReference w:id="40"/>
      </w:r>
      <w:r w:rsidR="006B1C07" w:rsidRPr="00217688">
        <w:rPr>
          <w:noProof w:val="0"/>
        </w:rPr>
        <w:t xml:space="preserve"> </w:t>
      </w:r>
    </w:p>
    <w:p w14:paraId="083BE555" w14:textId="31478960" w:rsidR="00382B8C" w:rsidRPr="00217688" w:rsidRDefault="00AD4F56" w:rsidP="003904C4">
      <w:pPr>
        <w:pStyle w:val="ListParagraph"/>
        <w:numPr>
          <w:ilvl w:val="1"/>
          <w:numId w:val="3"/>
        </w:numPr>
        <w:ind w:left="426"/>
        <w:jc w:val="both"/>
        <w:rPr>
          <w:noProof w:val="0"/>
        </w:rPr>
      </w:pPr>
      <w:r w:rsidRPr="00217688">
        <w:rPr>
          <w:b/>
          <w:noProof w:val="0"/>
        </w:rPr>
        <w:t>1.</w:t>
      </w:r>
      <w:r w:rsidR="00B1142E" w:rsidRPr="00217688">
        <w:rPr>
          <w:b/>
          <w:noProof w:val="0"/>
        </w:rPr>
        <w:t xml:space="preserve">posms </w:t>
      </w:r>
      <w:r w:rsidRPr="00217688">
        <w:rPr>
          <w:b/>
          <w:noProof w:val="0"/>
        </w:rPr>
        <w:t xml:space="preserve">– </w:t>
      </w:r>
      <w:r w:rsidR="00890368" w:rsidRPr="00217688">
        <w:rPr>
          <w:b/>
          <w:noProof w:val="0"/>
        </w:rPr>
        <w:t>n</w:t>
      </w:r>
      <w:r w:rsidRPr="00217688">
        <w:rPr>
          <w:b/>
          <w:noProof w:val="0"/>
        </w:rPr>
        <w:t xml:space="preserve">esadalītās peļņas </w:t>
      </w:r>
      <w:r w:rsidR="008F56DB" w:rsidRPr="00217688">
        <w:rPr>
          <w:b/>
          <w:noProof w:val="0"/>
        </w:rPr>
        <w:t>konvertēšana</w:t>
      </w:r>
      <w:r w:rsidR="00B7012D" w:rsidRPr="00217688">
        <w:rPr>
          <w:b/>
          <w:noProof w:val="0"/>
        </w:rPr>
        <w:t xml:space="preserve"> ap</w:t>
      </w:r>
      <w:r w:rsidRPr="00217688">
        <w:rPr>
          <w:b/>
          <w:noProof w:val="0"/>
        </w:rPr>
        <w:t>maksātajā kapitālā (RE GCI).</w:t>
      </w:r>
      <w:r w:rsidRPr="00217688">
        <w:rPr>
          <w:noProof w:val="0"/>
        </w:rPr>
        <w:t xml:space="preserve"> </w:t>
      </w:r>
      <w:r w:rsidR="00184759" w:rsidRPr="00217688">
        <w:rPr>
          <w:noProof w:val="0"/>
        </w:rPr>
        <w:t>Lai mazinātu starpību starp IFC akciju bilances vērtību un nominālvērtību, lielāk</w:t>
      </w:r>
      <w:r w:rsidR="00A31724">
        <w:rPr>
          <w:noProof w:val="0"/>
        </w:rPr>
        <w:t>ā</w:t>
      </w:r>
      <w:r w:rsidR="00184759" w:rsidRPr="00217688">
        <w:rPr>
          <w:noProof w:val="0"/>
        </w:rPr>
        <w:t xml:space="preserve"> daļa (77 procenti jeb US</w:t>
      </w:r>
      <w:r w:rsidR="009E791D">
        <w:rPr>
          <w:noProof w:val="0"/>
        </w:rPr>
        <w:t xml:space="preserve">D </w:t>
      </w:r>
      <w:r w:rsidR="00184759" w:rsidRPr="00217688">
        <w:rPr>
          <w:noProof w:val="0"/>
        </w:rPr>
        <w:t>17 miljardi) no nesadalītās peļņas tiks konvertēta apmaksātajā kapitālā, tādējādi palielinot akciju bāzi tiks sekm</w:t>
      </w:r>
      <w:r w:rsidR="00890368" w:rsidRPr="00217688">
        <w:rPr>
          <w:noProof w:val="0"/>
        </w:rPr>
        <w:t>ē</w:t>
      </w:r>
      <w:r w:rsidR="00184759" w:rsidRPr="00217688">
        <w:rPr>
          <w:noProof w:val="0"/>
        </w:rPr>
        <w:t xml:space="preserve">ta pakāpeniska akciju sadalījuma līdzsvarošana un jaunu akciju emitēšana nominālvērtībā. Līdz ar to </w:t>
      </w:r>
      <w:r w:rsidRPr="00217688">
        <w:rPr>
          <w:noProof w:val="0"/>
        </w:rPr>
        <w:t xml:space="preserve">plānots </w:t>
      </w:r>
      <w:r w:rsidR="0062085F" w:rsidRPr="00217688">
        <w:rPr>
          <w:noProof w:val="0"/>
        </w:rPr>
        <w:t>emitēt 16,999,998 jaunas</w:t>
      </w:r>
      <w:r w:rsidRPr="00217688">
        <w:rPr>
          <w:noProof w:val="0"/>
        </w:rPr>
        <w:t xml:space="preserve"> IFC </w:t>
      </w:r>
      <w:r w:rsidR="001916AD" w:rsidRPr="00217688">
        <w:rPr>
          <w:noProof w:val="0"/>
        </w:rPr>
        <w:t>akcij</w:t>
      </w:r>
      <w:r w:rsidR="00EA4DCB" w:rsidRPr="00217688">
        <w:rPr>
          <w:noProof w:val="0"/>
        </w:rPr>
        <w:t xml:space="preserve">as </w:t>
      </w:r>
      <w:r w:rsidR="00890368" w:rsidRPr="00217688">
        <w:rPr>
          <w:noProof w:val="0"/>
        </w:rPr>
        <w:t>(</w:t>
      </w:r>
      <w:r w:rsidR="00EA4DCB" w:rsidRPr="00217688">
        <w:rPr>
          <w:noProof w:val="0"/>
        </w:rPr>
        <w:t>US</w:t>
      </w:r>
      <w:r w:rsidR="009E791D">
        <w:rPr>
          <w:noProof w:val="0"/>
        </w:rPr>
        <w:t xml:space="preserve">D </w:t>
      </w:r>
      <w:r w:rsidR="00EA4DCB" w:rsidRPr="00217688">
        <w:rPr>
          <w:noProof w:val="0"/>
        </w:rPr>
        <w:t>1,000 nominālvērtībā</w:t>
      </w:r>
      <w:r w:rsidR="00890368" w:rsidRPr="00217688">
        <w:rPr>
          <w:noProof w:val="0"/>
        </w:rPr>
        <w:t xml:space="preserve">), kas </w:t>
      </w:r>
      <w:r w:rsidR="0062085F" w:rsidRPr="00217688">
        <w:rPr>
          <w:noProof w:val="0"/>
        </w:rPr>
        <w:t xml:space="preserve">tiks </w:t>
      </w:r>
      <w:r w:rsidRPr="00217688">
        <w:rPr>
          <w:noProof w:val="0"/>
        </w:rPr>
        <w:t>proporcionāli sadal</w:t>
      </w:r>
      <w:r w:rsidR="0062085F" w:rsidRPr="00217688">
        <w:rPr>
          <w:noProof w:val="0"/>
        </w:rPr>
        <w:t>ītas</w:t>
      </w:r>
      <w:r w:rsidRPr="00217688">
        <w:rPr>
          <w:noProof w:val="0"/>
        </w:rPr>
        <w:t xml:space="preserve"> dalībniekiem atbilstoši pašreizējam akciju sadalījumam</w:t>
      </w:r>
      <w:r w:rsidR="001A75AC" w:rsidRPr="00217688">
        <w:rPr>
          <w:noProof w:val="0"/>
        </w:rPr>
        <w:t>. L</w:t>
      </w:r>
      <w:r w:rsidRPr="00217688">
        <w:rPr>
          <w:noProof w:val="0"/>
        </w:rPr>
        <w:t>īdz ar to iemaksa par RE GCI dalībniekiem nebūs jāveic</w:t>
      </w:r>
      <w:r w:rsidR="009805B1" w:rsidRPr="00217688">
        <w:rPr>
          <w:noProof w:val="0"/>
        </w:rPr>
        <w:t>.</w:t>
      </w:r>
      <w:r w:rsidR="009805B1" w:rsidRPr="00217688">
        <w:rPr>
          <w:rStyle w:val="FootnoteReference"/>
          <w:noProof w:val="0"/>
        </w:rPr>
        <w:footnoteReference w:id="41"/>
      </w:r>
      <w:r w:rsidR="001A7A95" w:rsidRPr="00217688">
        <w:rPr>
          <w:noProof w:val="0"/>
        </w:rPr>
        <w:t xml:space="preserve"> Rezolūcijas apstiprināšanai </w:t>
      </w:r>
      <w:r w:rsidR="009A48EE" w:rsidRPr="00217688">
        <w:rPr>
          <w:noProof w:val="0"/>
        </w:rPr>
        <w:t>nepieciešamas</w:t>
      </w:r>
      <w:r w:rsidR="001A7A95" w:rsidRPr="00217688">
        <w:rPr>
          <w:noProof w:val="0"/>
        </w:rPr>
        <w:t xml:space="preserve"> četras piektdaļas no kopējām balsstiesībām.</w:t>
      </w:r>
    </w:p>
    <w:p w14:paraId="7CD9937D" w14:textId="1CEAEC6A" w:rsidR="00847F1F" w:rsidRPr="00217688" w:rsidRDefault="004F2439" w:rsidP="000119A3">
      <w:pPr>
        <w:pStyle w:val="ListParagraph"/>
        <w:numPr>
          <w:ilvl w:val="1"/>
          <w:numId w:val="3"/>
        </w:numPr>
        <w:spacing w:before="120" w:after="120"/>
        <w:ind w:left="425" w:hanging="357"/>
        <w:contextualSpacing w:val="0"/>
        <w:jc w:val="both"/>
        <w:rPr>
          <w:noProof w:val="0"/>
        </w:rPr>
      </w:pPr>
      <w:r w:rsidRPr="00217688">
        <w:rPr>
          <w:b/>
          <w:noProof w:val="0"/>
        </w:rPr>
        <w:t>2.</w:t>
      </w:r>
      <w:r w:rsidR="00B1142E" w:rsidRPr="00217688">
        <w:rPr>
          <w:b/>
          <w:noProof w:val="0"/>
        </w:rPr>
        <w:t>posms</w:t>
      </w:r>
      <w:r w:rsidR="00B1142E" w:rsidRPr="00217688" w:rsidDel="00B1142E">
        <w:rPr>
          <w:b/>
          <w:noProof w:val="0"/>
        </w:rPr>
        <w:t xml:space="preserve"> </w:t>
      </w:r>
      <w:r w:rsidRPr="00217688">
        <w:rPr>
          <w:b/>
          <w:noProof w:val="0"/>
        </w:rPr>
        <w:t>– selektīvā kapitāla palielināšana (SCI)</w:t>
      </w:r>
      <w:r w:rsidR="006D3E61" w:rsidRPr="00217688">
        <w:rPr>
          <w:noProof w:val="0"/>
        </w:rPr>
        <w:t xml:space="preserve"> </w:t>
      </w:r>
      <w:r w:rsidR="002A0C34" w:rsidRPr="00217688">
        <w:rPr>
          <w:noProof w:val="0"/>
        </w:rPr>
        <w:t>paredz</w:t>
      </w:r>
      <w:r w:rsidR="006D3E61" w:rsidRPr="00217688">
        <w:rPr>
          <w:noProof w:val="0"/>
        </w:rPr>
        <w:t xml:space="preserve"> jaunu </w:t>
      </w:r>
      <w:r w:rsidR="001916AD" w:rsidRPr="00217688">
        <w:rPr>
          <w:noProof w:val="0"/>
        </w:rPr>
        <w:t xml:space="preserve">akciju </w:t>
      </w:r>
      <w:r w:rsidR="006D3E61" w:rsidRPr="00217688">
        <w:rPr>
          <w:noProof w:val="0"/>
        </w:rPr>
        <w:t>emisiju ar iemaks</w:t>
      </w:r>
      <w:r w:rsidR="002A0C34" w:rsidRPr="00217688">
        <w:rPr>
          <w:noProof w:val="0"/>
        </w:rPr>
        <w:t>u</w:t>
      </w:r>
      <w:r w:rsidR="006D3E61" w:rsidRPr="00217688">
        <w:rPr>
          <w:noProof w:val="0"/>
        </w:rPr>
        <w:t xml:space="preserve"> kapitāl</w:t>
      </w:r>
      <w:r w:rsidR="002A0C34" w:rsidRPr="00217688">
        <w:rPr>
          <w:noProof w:val="0"/>
        </w:rPr>
        <w:t xml:space="preserve">ā, lai </w:t>
      </w:r>
      <w:r w:rsidR="006D3E61" w:rsidRPr="00217688">
        <w:rPr>
          <w:noProof w:val="0"/>
        </w:rPr>
        <w:t>izlīdzināt</w:t>
      </w:r>
      <w:r w:rsidR="002A0C34" w:rsidRPr="00217688">
        <w:rPr>
          <w:noProof w:val="0"/>
        </w:rPr>
        <w:t>u</w:t>
      </w:r>
      <w:r w:rsidR="006D3E61" w:rsidRPr="00217688">
        <w:rPr>
          <w:noProof w:val="0"/>
        </w:rPr>
        <w:t xml:space="preserve"> </w:t>
      </w:r>
      <w:r w:rsidR="001916AD" w:rsidRPr="00217688">
        <w:rPr>
          <w:noProof w:val="0"/>
        </w:rPr>
        <w:t xml:space="preserve">dalībnieku </w:t>
      </w:r>
      <w:r w:rsidR="006D3E61" w:rsidRPr="00217688">
        <w:rPr>
          <w:noProof w:val="0"/>
        </w:rPr>
        <w:t xml:space="preserve">esošo </w:t>
      </w:r>
      <w:r w:rsidR="001916AD" w:rsidRPr="00217688">
        <w:rPr>
          <w:noProof w:val="0"/>
        </w:rPr>
        <w:t xml:space="preserve">IFC </w:t>
      </w:r>
      <w:r w:rsidR="006D3E61" w:rsidRPr="00217688">
        <w:rPr>
          <w:noProof w:val="0"/>
        </w:rPr>
        <w:t>akciju sadalījumu ar IBRD akciju sadalījumu, tādēj</w:t>
      </w:r>
      <w:r w:rsidR="001916AD" w:rsidRPr="00217688">
        <w:rPr>
          <w:noProof w:val="0"/>
        </w:rPr>
        <w:t>ād</w:t>
      </w:r>
      <w:r w:rsidR="006D3E61" w:rsidRPr="00217688">
        <w:rPr>
          <w:noProof w:val="0"/>
        </w:rPr>
        <w:t>i veicinot vienotu pieeju</w:t>
      </w:r>
      <w:r w:rsidR="001916AD" w:rsidRPr="00217688">
        <w:rPr>
          <w:noProof w:val="0"/>
        </w:rPr>
        <w:t xml:space="preserve"> WBG</w:t>
      </w:r>
      <w:r w:rsidR="00905C97" w:rsidRPr="00217688">
        <w:rPr>
          <w:noProof w:val="0"/>
        </w:rPr>
        <w:t>, kā arī palielinot jaunattīstības valstu balsstiesību skaitu</w:t>
      </w:r>
      <w:r w:rsidR="006D3E61" w:rsidRPr="00217688">
        <w:rPr>
          <w:noProof w:val="0"/>
        </w:rPr>
        <w:t>.</w:t>
      </w:r>
      <w:r w:rsidR="001916AD" w:rsidRPr="00217688">
        <w:rPr>
          <w:noProof w:val="0"/>
        </w:rPr>
        <w:t xml:space="preserve"> </w:t>
      </w:r>
      <w:r w:rsidR="00AA26B5" w:rsidRPr="00217688">
        <w:rPr>
          <w:noProof w:val="0"/>
        </w:rPr>
        <w:t>Pašreiz 125 valstīm akciju sadalījums IFC ir zemāk</w:t>
      </w:r>
      <w:r w:rsidR="00B5468C" w:rsidRPr="00217688">
        <w:rPr>
          <w:noProof w:val="0"/>
        </w:rPr>
        <w:t>s nekā IBRD, kopumā sastādot 41 procentu</w:t>
      </w:r>
      <w:r w:rsidR="00AA26B5" w:rsidRPr="00217688">
        <w:rPr>
          <w:noProof w:val="0"/>
        </w:rPr>
        <w:t xml:space="preserve"> no IBRD akciju sadalījuma. </w:t>
      </w:r>
      <w:r w:rsidR="001916AD" w:rsidRPr="00217688">
        <w:rPr>
          <w:noProof w:val="0"/>
        </w:rPr>
        <w:t>SCI ietvarā paredzēts palielināt kapitālu US</w:t>
      </w:r>
      <w:r w:rsidR="009E791D">
        <w:rPr>
          <w:noProof w:val="0"/>
        </w:rPr>
        <w:t xml:space="preserve">D </w:t>
      </w:r>
      <w:r w:rsidR="000442E9" w:rsidRPr="00217688">
        <w:rPr>
          <w:noProof w:val="0"/>
        </w:rPr>
        <w:t>0.92</w:t>
      </w:r>
      <w:r w:rsidR="001916AD" w:rsidRPr="00217688">
        <w:rPr>
          <w:noProof w:val="0"/>
        </w:rPr>
        <w:t xml:space="preserve"> </w:t>
      </w:r>
      <w:r w:rsidR="000442E9" w:rsidRPr="00217688">
        <w:rPr>
          <w:noProof w:val="0"/>
        </w:rPr>
        <w:t xml:space="preserve">miljardu </w:t>
      </w:r>
      <w:r w:rsidR="001916AD" w:rsidRPr="00217688">
        <w:rPr>
          <w:noProof w:val="0"/>
        </w:rPr>
        <w:t>apmērā</w:t>
      </w:r>
      <w:r w:rsidR="00E05A8E" w:rsidRPr="00217688">
        <w:rPr>
          <w:noProof w:val="0"/>
        </w:rPr>
        <w:t xml:space="preserve">, </w:t>
      </w:r>
      <w:r w:rsidR="001916AD" w:rsidRPr="00217688">
        <w:rPr>
          <w:noProof w:val="0"/>
        </w:rPr>
        <w:t xml:space="preserve">emitējot </w:t>
      </w:r>
      <w:r w:rsidR="00AA26B5" w:rsidRPr="00217688">
        <w:rPr>
          <w:noProof w:val="0"/>
        </w:rPr>
        <w:t>919,998</w:t>
      </w:r>
      <w:r w:rsidR="001916AD" w:rsidRPr="00217688">
        <w:rPr>
          <w:noProof w:val="0"/>
        </w:rPr>
        <w:t xml:space="preserve"> </w:t>
      </w:r>
      <w:r w:rsidR="00E05A8E" w:rsidRPr="00217688">
        <w:rPr>
          <w:noProof w:val="0"/>
        </w:rPr>
        <w:t>akcijas</w:t>
      </w:r>
      <w:r w:rsidR="001916AD" w:rsidRPr="00217688">
        <w:rPr>
          <w:noProof w:val="0"/>
        </w:rPr>
        <w:t xml:space="preserve"> </w:t>
      </w:r>
      <w:r w:rsidR="004B4B63" w:rsidRPr="00217688">
        <w:rPr>
          <w:noProof w:val="0"/>
        </w:rPr>
        <w:t>(</w:t>
      </w:r>
      <w:r w:rsidR="001916AD" w:rsidRPr="00217688">
        <w:rPr>
          <w:noProof w:val="0"/>
        </w:rPr>
        <w:t>US</w:t>
      </w:r>
      <w:r w:rsidR="009E791D">
        <w:rPr>
          <w:noProof w:val="0"/>
        </w:rPr>
        <w:t xml:space="preserve">D </w:t>
      </w:r>
      <w:r w:rsidR="001916AD" w:rsidRPr="00217688">
        <w:rPr>
          <w:noProof w:val="0"/>
        </w:rPr>
        <w:t>1,000 nominālvērtīb</w:t>
      </w:r>
      <w:r w:rsidR="00E05A8E" w:rsidRPr="00217688">
        <w:rPr>
          <w:noProof w:val="0"/>
        </w:rPr>
        <w:t>ā</w:t>
      </w:r>
      <w:r w:rsidR="004B4B63" w:rsidRPr="00217688">
        <w:rPr>
          <w:noProof w:val="0"/>
        </w:rPr>
        <w:t>)</w:t>
      </w:r>
      <w:r w:rsidR="00AA26B5" w:rsidRPr="00217688">
        <w:rPr>
          <w:noProof w:val="0"/>
        </w:rPr>
        <w:t>, kas</w:t>
      </w:r>
      <w:r w:rsidR="00E05A8E" w:rsidRPr="00217688">
        <w:rPr>
          <w:noProof w:val="0"/>
        </w:rPr>
        <w:t xml:space="preserve"> tiks sadalītas tām valstīm, kuru pārstāvība IFC ir zemāka par pārstāv</w:t>
      </w:r>
      <w:r w:rsidR="002B3BB4" w:rsidRPr="00217688">
        <w:rPr>
          <w:noProof w:val="0"/>
        </w:rPr>
        <w:t>ību IBRD</w:t>
      </w:r>
      <w:r w:rsidR="00E05A8E" w:rsidRPr="00217688">
        <w:rPr>
          <w:noProof w:val="0"/>
        </w:rPr>
        <w:t>.</w:t>
      </w:r>
      <w:r w:rsidR="00433E9C" w:rsidRPr="00217688">
        <w:rPr>
          <w:rStyle w:val="FootnoteReference"/>
          <w:noProof w:val="0"/>
        </w:rPr>
        <w:footnoteReference w:id="42"/>
      </w:r>
      <w:r w:rsidR="00E05A8E" w:rsidRPr="00217688">
        <w:rPr>
          <w:noProof w:val="0"/>
        </w:rPr>
        <w:t xml:space="preserve"> </w:t>
      </w:r>
      <w:r w:rsidR="001A7A95" w:rsidRPr="00217688">
        <w:rPr>
          <w:noProof w:val="0"/>
        </w:rPr>
        <w:t>Rezolūcijas apstiprināšanai nepiecieš</w:t>
      </w:r>
      <w:r w:rsidR="004B4B63" w:rsidRPr="00217688">
        <w:rPr>
          <w:noProof w:val="0"/>
        </w:rPr>
        <w:t>a</w:t>
      </w:r>
      <w:r w:rsidR="001A7A95" w:rsidRPr="00217688">
        <w:rPr>
          <w:noProof w:val="0"/>
        </w:rPr>
        <w:t xml:space="preserve">mas četras piektdaļas no kopējām balsstiesībām </w:t>
      </w:r>
      <w:r w:rsidR="00884D20" w:rsidRPr="00217688">
        <w:rPr>
          <w:noProof w:val="0"/>
        </w:rPr>
        <w:t>un</w:t>
      </w:r>
      <w:r w:rsidR="001A7A95" w:rsidRPr="00217688">
        <w:rPr>
          <w:noProof w:val="0"/>
        </w:rPr>
        <w:t xml:space="preserve"> nosac</w:t>
      </w:r>
      <w:r w:rsidR="008C7BC5" w:rsidRPr="00217688">
        <w:rPr>
          <w:noProof w:val="0"/>
        </w:rPr>
        <w:t>ījum</w:t>
      </w:r>
      <w:r w:rsidR="00884D20" w:rsidRPr="00217688">
        <w:rPr>
          <w:noProof w:val="0"/>
        </w:rPr>
        <w:t>s</w:t>
      </w:r>
      <w:r w:rsidR="001A7A95" w:rsidRPr="00217688">
        <w:rPr>
          <w:noProof w:val="0"/>
        </w:rPr>
        <w:t>, ka ir apstiprināta rezolūcija</w:t>
      </w:r>
      <w:r w:rsidR="007231E6" w:rsidRPr="00217688">
        <w:rPr>
          <w:noProof w:val="0"/>
        </w:rPr>
        <w:t xml:space="preserve"> par nesadalītās peļņas konvertēšanu apmaksātajā kapitālā</w:t>
      </w:r>
      <w:r w:rsidR="001A7A95" w:rsidRPr="00217688">
        <w:rPr>
          <w:noProof w:val="0"/>
        </w:rPr>
        <w:t>.</w:t>
      </w:r>
    </w:p>
    <w:p w14:paraId="41FC29A8" w14:textId="16336CE8" w:rsidR="00382B8C" w:rsidRPr="00217688" w:rsidRDefault="00E05A8E" w:rsidP="003904C4">
      <w:pPr>
        <w:pStyle w:val="ListParagraph"/>
        <w:numPr>
          <w:ilvl w:val="1"/>
          <w:numId w:val="3"/>
        </w:numPr>
        <w:ind w:left="426"/>
        <w:jc w:val="both"/>
        <w:rPr>
          <w:noProof w:val="0"/>
        </w:rPr>
      </w:pPr>
      <w:r w:rsidRPr="00217688">
        <w:rPr>
          <w:b/>
          <w:noProof w:val="0"/>
        </w:rPr>
        <w:t>3.</w:t>
      </w:r>
      <w:r w:rsidR="0065067B" w:rsidRPr="00217688">
        <w:rPr>
          <w:b/>
          <w:noProof w:val="0"/>
        </w:rPr>
        <w:t xml:space="preserve">posms </w:t>
      </w:r>
      <w:r w:rsidR="005A78C1" w:rsidRPr="00217688">
        <w:rPr>
          <w:b/>
          <w:noProof w:val="0"/>
        </w:rPr>
        <w:t>–</w:t>
      </w:r>
      <w:r w:rsidRPr="00217688">
        <w:rPr>
          <w:b/>
          <w:noProof w:val="0"/>
        </w:rPr>
        <w:t xml:space="preserve"> </w:t>
      </w:r>
      <w:r w:rsidR="005A78C1" w:rsidRPr="00217688">
        <w:rPr>
          <w:b/>
          <w:noProof w:val="0"/>
        </w:rPr>
        <w:t>vispārējā kapitāla palielināšana (GCI),</w:t>
      </w:r>
      <w:r w:rsidR="005A78C1" w:rsidRPr="00217688">
        <w:rPr>
          <w:noProof w:val="0"/>
        </w:rPr>
        <w:t xml:space="preserve"> </w:t>
      </w:r>
      <w:r w:rsidR="00F70D3E" w:rsidRPr="00217688">
        <w:rPr>
          <w:noProof w:val="0"/>
        </w:rPr>
        <w:t xml:space="preserve">kurā </w:t>
      </w:r>
      <w:r w:rsidR="005A78C1" w:rsidRPr="00217688">
        <w:rPr>
          <w:noProof w:val="0"/>
        </w:rPr>
        <w:t>piedal</w:t>
      </w:r>
      <w:r w:rsidR="00F70D3E" w:rsidRPr="00217688">
        <w:rPr>
          <w:noProof w:val="0"/>
        </w:rPr>
        <w:t>ās visi</w:t>
      </w:r>
      <w:r w:rsidR="005A78C1" w:rsidRPr="00217688">
        <w:rPr>
          <w:noProof w:val="0"/>
        </w:rPr>
        <w:t xml:space="preserve"> dal</w:t>
      </w:r>
      <w:r w:rsidR="00F70D3E" w:rsidRPr="00217688">
        <w:rPr>
          <w:noProof w:val="0"/>
        </w:rPr>
        <w:t>ībnieki</w:t>
      </w:r>
      <w:r w:rsidR="005A78C1" w:rsidRPr="00217688">
        <w:rPr>
          <w:noProof w:val="0"/>
        </w:rPr>
        <w:t>, izņemot lielāko akcionāru</w:t>
      </w:r>
      <w:r w:rsidR="00F70D3E" w:rsidRPr="00217688">
        <w:rPr>
          <w:noProof w:val="0"/>
        </w:rPr>
        <w:t>. GCI ietvaros tiks</w:t>
      </w:r>
      <w:r w:rsidR="005A78C1" w:rsidRPr="00217688">
        <w:rPr>
          <w:noProof w:val="0"/>
        </w:rPr>
        <w:t xml:space="preserve"> emitē</w:t>
      </w:r>
      <w:r w:rsidR="00F70D3E" w:rsidRPr="00217688">
        <w:rPr>
          <w:noProof w:val="0"/>
        </w:rPr>
        <w:t>tas</w:t>
      </w:r>
      <w:r w:rsidR="005A78C1" w:rsidRPr="00217688">
        <w:rPr>
          <w:noProof w:val="0"/>
        </w:rPr>
        <w:t xml:space="preserve"> 4,5</w:t>
      </w:r>
      <w:r w:rsidR="00F5146F" w:rsidRPr="00217688">
        <w:rPr>
          <w:noProof w:val="0"/>
        </w:rPr>
        <w:t>79</w:t>
      </w:r>
      <w:r w:rsidR="005A78C1" w:rsidRPr="00217688">
        <w:rPr>
          <w:noProof w:val="0"/>
        </w:rPr>
        <w:t>,</w:t>
      </w:r>
      <w:r w:rsidR="00F5146F" w:rsidRPr="00217688">
        <w:rPr>
          <w:noProof w:val="0"/>
        </w:rPr>
        <w:t>995</w:t>
      </w:r>
      <w:r w:rsidR="005A78C1" w:rsidRPr="00217688">
        <w:rPr>
          <w:noProof w:val="0"/>
        </w:rPr>
        <w:t xml:space="preserve"> akcijas</w:t>
      </w:r>
      <w:r w:rsidR="00E07C28" w:rsidRPr="00217688">
        <w:rPr>
          <w:noProof w:val="0"/>
        </w:rPr>
        <w:t xml:space="preserve"> </w:t>
      </w:r>
      <w:r w:rsidR="00176CA7" w:rsidRPr="00217688">
        <w:rPr>
          <w:noProof w:val="0"/>
        </w:rPr>
        <w:t>(</w:t>
      </w:r>
      <w:r w:rsidR="00F5146F" w:rsidRPr="00217688">
        <w:rPr>
          <w:noProof w:val="0"/>
        </w:rPr>
        <w:t>US</w:t>
      </w:r>
      <w:r w:rsidR="009E791D">
        <w:rPr>
          <w:noProof w:val="0"/>
        </w:rPr>
        <w:t xml:space="preserve">D </w:t>
      </w:r>
      <w:r w:rsidR="00F5146F" w:rsidRPr="00217688">
        <w:rPr>
          <w:noProof w:val="0"/>
        </w:rPr>
        <w:t>1,000 nominālvērtībā</w:t>
      </w:r>
      <w:r w:rsidR="00176CA7" w:rsidRPr="00217688">
        <w:rPr>
          <w:noProof w:val="0"/>
        </w:rPr>
        <w:t>)</w:t>
      </w:r>
      <w:r w:rsidR="00F5146F" w:rsidRPr="00217688">
        <w:rPr>
          <w:noProof w:val="0"/>
        </w:rPr>
        <w:t>, kas tiks proporcionāli piešķirtas visiem dalībniekiem atbilstoši to akciju sadalījumam pēc SCI (2.</w:t>
      </w:r>
      <w:r w:rsidR="00176CA7" w:rsidRPr="00217688">
        <w:rPr>
          <w:noProof w:val="0"/>
        </w:rPr>
        <w:t>posma</w:t>
      </w:r>
      <w:r w:rsidR="00F5146F" w:rsidRPr="00217688">
        <w:rPr>
          <w:noProof w:val="0"/>
        </w:rPr>
        <w:t>).</w:t>
      </w:r>
      <w:r w:rsidR="00405C07" w:rsidRPr="00217688">
        <w:rPr>
          <w:rStyle w:val="FootnoteReference"/>
          <w:noProof w:val="0"/>
        </w:rPr>
        <w:footnoteReference w:id="43"/>
      </w:r>
      <w:r w:rsidR="00F5146F" w:rsidRPr="00217688">
        <w:rPr>
          <w:noProof w:val="0"/>
        </w:rPr>
        <w:t xml:space="preserve"> Ar </w:t>
      </w:r>
      <w:r w:rsidR="008026B5" w:rsidRPr="00217688">
        <w:rPr>
          <w:noProof w:val="0"/>
        </w:rPr>
        <w:t xml:space="preserve">GCI </w:t>
      </w:r>
      <w:r w:rsidR="00F5146F" w:rsidRPr="00217688">
        <w:rPr>
          <w:noProof w:val="0"/>
        </w:rPr>
        <w:t xml:space="preserve">palielinājumu </w:t>
      </w:r>
      <w:r w:rsidR="00E07C28" w:rsidRPr="00217688">
        <w:rPr>
          <w:noProof w:val="0"/>
        </w:rPr>
        <w:t>US</w:t>
      </w:r>
      <w:r w:rsidR="009E791D">
        <w:rPr>
          <w:noProof w:val="0"/>
        </w:rPr>
        <w:t xml:space="preserve">D </w:t>
      </w:r>
      <w:r w:rsidR="00E07C28" w:rsidRPr="00217688">
        <w:rPr>
          <w:noProof w:val="0"/>
        </w:rPr>
        <w:t>4.58 miljardu apmērā</w:t>
      </w:r>
      <w:r w:rsidR="00F5146F" w:rsidRPr="00217688">
        <w:rPr>
          <w:noProof w:val="0"/>
        </w:rPr>
        <w:t xml:space="preserve"> un piedāvāto SCI US</w:t>
      </w:r>
      <w:r w:rsidR="009E791D">
        <w:rPr>
          <w:noProof w:val="0"/>
        </w:rPr>
        <w:t xml:space="preserve">D </w:t>
      </w:r>
      <w:r w:rsidR="00F5146F" w:rsidRPr="00217688">
        <w:rPr>
          <w:noProof w:val="0"/>
        </w:rPr>
        <w:t xml:space="preserve">0.92 miljardu apmērā, IFC </w:t>
      </w:r>
      <w:r w:rsidR="00405C07" w:rsidRPr="00217688">
        <w:rPr>
          <w:noProof w:val="0"/>
        </w:rPr>
        <w:t xml:space="preserve">apmaksātā kapitāla summa </w:t>
      </w:r>
      <w:r w:rsidR="00F5146F" w:rsidRPr="00217688">
        <w:rPr>
          <w:noProof w:val="0"/>
        </w:rPr>
        <w:t>kopumā sastādīs</w:t>
      </w:r>
      <w:r w:rsidR="00B36578" w:rsidRPr="00217688">
        <w:rPr>
          <w:noProof w:val="0"/>
        </w:rPr>
        <w:t xml:space="preserve"> US</w:t>
      </w:r>
      <w:r w:rsidR="009E791D">
        <w:rPr>
          <w:noProof w:val="0"/>
        </w:rPr>
        <w:t xml:space="preserve">D </w:t>
      </w:r>
      <w:r w:rsidR="00B36578" w:rsidRPr="00217688">
        <w:rPr>
          <w:noProof w:val="0"/>
        </w:rPr>
        <w:t>5.5 miljardus</w:t>
      </w:r>
      <w:r w:rsidR="004F5CA1" w:rsidRPr="00217688">
        <w:rPr>
          <w:noProof w:val="0"/>
        </w:rPr>
        <w:t xml:space="preserve">, kas </w:t>
      </w:r>
      <w:r w:rsidR="00B509FF" w:rsidRPr="00217688">
        <w:rPr>
          <w:noProof w:val="0"/>
        </w:rPr>
        <w:t xml:space="preserve">pilnā apmērā </w:t>
      </w:r>
      <w:r w:rsidR="004F5CA1" w:rsidRPr="00217688">
        <w:rPr>
          <w:noProof w:val="0"/>
        </w:rPr>
        <w:t xml:space="preserve">iemaksājama </w:t>
      </w:r>
      <w:r w:rsidR="00B509FF" w:rsidRPr="00217688">
        <w:rPr>
          <w:noProof w:val="0"/>
        </w:rPr>
        <w:t>ASV dolāros vai citā brīvi konvertējamā valūtā</w:t>
      </w:r>
      <w:r w:rsidR="00E93A75" w:rsidRPr="00217688">
        <w:rPr>
          <w:noProof w:val="0"/>
        </w:rPr>
        <w:t xml:space="preserve">. </w:t>
      </w:r>
      <w:r w:rsidR="00583C04" w:rsidRPr="00217688">
        <w:rPr>
          <w:noProof w:val="0"/>
        </w:rPr>
        <w:t xml:space="preserve">Rezolūcijas apstiprināšanai </w:t>
      </w:r>
      <w:r w:rsidR="00C06E21" w:rsidRPr="00217688">
        <w:rPr>
          <w:noProof w:val="0"/>
        </w:rPr>
        <w:t>nepieciešamas</w:t>
      </w:r>
      <w:r w:rsidR="00583C04" w:rsidRPr="00217688">
        <w:rPr>
          <w:noProof w:val="0"/>
        </w:rPr>
        <w:t xml:space="preserve"> </w:t>
      </w:r>
      <w:r w:rsidR="00335749" w:rsidRPr="00217688">
        <w:rPr>
          <w:noProof w:val="0"/>
        </w:rPr>
        <w:t>četras piektdaļas no kopējām balsstiesībām un nosacījums, ka ir saņemti 85 procenti no kopējām balsstiesībām IFC Statūtu grozījumiem.</w:t>
      </w:r>
    </w:p>
    <w:p w14:paraId="01D6E6A1" w14:textId="77777777" w:rsidR="00382B8C" w:rsidRPr="00217688" w:rsidRDefault="001705F5" w:rsidP="000119A3">
      <w:pPr>
        <w:pStyle w:val="ListParagraph"/>
        <w:numPr>
          <w:ilvl w:val="1"/>
          <w:numId w:val="3"/>
        </w:numPr>
        <w:spacing w:before="120" w:after="120"/>
        <w:ind w:left="425" w:hanging="357"/>
        <w:contextualSpacing w:val="0"/>
        <w:jc w:val="both"/>
        <w:rPr>
          <w:noProof w:val="0"/>
        </w:rPr>
      </w:pPr>
      <w:r w:rsidRPr="00217688">
        <w:rPr>
          <w:b/>
          <w:noProof w:val="0"/>
        </w:rPr>
        <w:t>IFC Statūtu grozījumi.</w:t>
      </w:r>
      <w:r w:rsidRPr="00217688">
        <w:rPr>
          <w:noProof w:val="0"/>
        </w:rPr>
        <w:t xml:space="preserve"> </w:t>
      </w:r>
      <w:r w:rsidR="007C6EE1" w:rsidRPr="00217688">
        <w:rPr>
          <w:noProof w:val="0"/>
        </w:rPr>
        <w:t xml:space="preserve">Paralēli </w:t>
      </w:r>
      <w:r w:rsidR="00BA1E73" w:rsidRPr="00217688">
        <w:rPr>
          <w:noProof w:val="0"/>
        </w:rPr>
        <w:t>IFC GCI</w:t>
      </w:r>
      <w:r w:rsidR="007C6EE1" w:rsidRPr="00217688">
        <w:rPr>
          <w:noProof w:val="0"/>
        </w:rPr>
        <w:t xml:space="preserve"> paredzēts veikt </w:t>
      </w:r>
      <w:r w:rsidR="00BA1E73" w:rsidRPr="00217688">
        <w:rPr>
          <w:noProof w:val="0"/>
        </w:rPr>
        <w:t>IFC Statūtu grozījumus, palielin</w:t>
      </w:r>
      <w:r w:rsidR="00733160" w:rsidRPr="00217688">
        <w:rPr>
          <w:noProof w:val="0"/>
        </w:rPr>
        <w:t>ot nepieciešamo</w:t>
      </w:r>
      <w:r w:rsidR="00BA1E73" w:rsidRPr="00217688">
        <w:rPr>
          <w:noProof w:val="0"/>
        </w:rPr>
        <w:t xml:space="preserve"> balsstiesīb</w:t>
      </w:r>
      <w:r w:rsidR="00733160" w:rsidRPr="00217688">
        <w:rPr>
          <w:noProof w:val="0"/>
        </w:rPr>
        <w:t>u</w:t>
      </w:r>
      <w:r w:rsidR="00BA1E73" w:rsidRPr="00217688">
        <w:rPr>
          <w:noProof w:val="0"/>
        </w:rPr>
        <w:t xml:space="preserve"> </w:t>
      </w:r>
      <w:r w:rsidR="00733160" w:rsidRPr="00217688">
        <w:rPr>
          <w:noProof w:val="0"/>
        </w:rPr>
        <w:t>apjomu</w:t>
      </w:r>
      <w:r w:rsidR="00F747CE" w:rsidRPr="00217688">
        <w:rPr>
          <w:noProof w:val="0"/>
        </w:rPr>
        <w:t>, kas turpmāk būs nepieciešams</w:t>
      </w:r>
      <w:r w:rsidR="00733160" w:rsidRPr="00217688">
        <w:rPr>
          <w:noProof w:val="0"/>
        </w:rPr>
        <w:t xml:space="preserve"> </w:t>
      </w:r>
      <w:r w:rsidR="00BA1E73" w:rsidRPr="00217688">
        <w:rPr>
          <w:noProof w:val="0"/>
        </w:rPr>
        <w:t>IFC kapitāla palielināšana</w:t>
      </w:r>
      <w:r w:rsidR="00F747CE" w:rsidRPr="00217688">
        <w:rPr>
          <w:noProof w:val="0"/>
        </w:rPr>
        <w:t xml:space="preserve">s </w:t>
      </w:r>
      <w:r w:rsidR="00F747CE" w:rsidRPr="00217688">
        <w:rPr>
          <w:noProof w:val="0"/>
        </w:rPr>
        <w:lastRenderedPageBreak/>
        <w:t xml:space="preserve">apstiprināšanai </w:t>
      </w:r>
      <w:r w:rsidR="00651E9A" w:rsidRPr="00217688">
        <w:rPr>
          <w:noProof w:val="0"/>
        </w:rPr>
        <w:t xml:space="preserve">- </w:t>
      </w:r>
      <w:r w:rsidR="00BA1E73" w:rsidRPr="00217688">
        <w:rPr>
          <w:noProof w:val="0"/>
        </w:rPr>
        <w:t>no pašreizējiem 80 procentiem līdz 85 procentiem.</w:t>
      </w:r>
      <w:r w:rsidR="00764230" w:rsidRPr="00217688">
        <w:rPr>
          <w:noProof w:val="0"/>
        </w:rPr>
        <w:t xml:space="preserve"> </w:t>
      </w:r>
      <w:r w:rsidR="00583C04" w:rsidRPr="00217688">
        <w:rPr>
          <w:noProof w:val="0"/>
        </w:rPr>
        <w:t xml:space="preserve">Rezolūcijas apstiprināšanai </w:t>
      </w:r>
      <w:r w:rsidR="00C06E21" w:rsidRPr="00217688">
        <w:rPr>
          <w:noProof w:val="0"/>
        </w:rPr>
        <w:t>nepieciešami</w:t>
      </w:r>
      <w:r w:rsidR="00583C04" w:rsidRPr="00217688">
        <w:rPr>
          <w:noProof w:val="0"/>
        </w:rPr>
        <w:t xml:space="preserve"> 85 procenti no kopējām balsstiesībām un </w:t>
      </w:r>
      <w:r w:rsidR="00C06E21" w:rsidRPr="00217688">
        <w:rPr>
          <w:noProof w:val="0"/>
        </w:rPr>
        <w:t>nosacījums</w:t>
      </w:r>
      <w:r w:rsidR="00583C04" w:rsidRPr="00217688">
        <w:rPr>
          <w:noProof w:val="0"/>
        </w:rPr>
        <w:t>, ka ir apstiprināta rezolūcija par IFC vispārējo kapitāla palielināšanu.</w:t>
      </w:r>
    </w:p>
    <w:p w14:paraId="2C5A64BD" w14:textId="0E676518" w:rsidR="00927849" w:rsidRDefault="00764230" w:rsidP="00C06E21">
      <w:pPr>
        <w:pStyle w:val="ListParagraph"/>
        <w:numPr>
          <w:ilvl w:val="1"/>
          <w:numId w:val="3"/>
        </w:numPr>
        <w:ind w:left="426"/>
        <w:jc w:val="both"/>
        <w:rPr>
          <w:noProof w:val="0"/>
        </w:rPr>
      </w:pPr>
      <w:r w:rsidRPr="00217688">
        <w:rPr>
          <w:b/>
          <w:noProof w:val="0"/>
        </w:rPr>
        <w:t xml:space="preserve">Parakstīšanās. </w:t>
      </w:r>
      <w:r w:rsidRPr="00217688">
        <w:rPr>
          <w:noProof w:val="0"/>
        </w:rPr>
        <w:t xml:space="preserve">16,999,998 daļas, kas tiks emitētas pēc nesadalītās peļņas konvertēšanas kapitālā, </w:t>
      </w:r>
      <w:r w:rsidR="00645076" w:rsidRPr="00217688">
        <w:rPr>
          <w:noProof w:val="0"/>
        </w:rPr>
        <w:t xml:space="preserve">dalībniekiem </w:t>
      </w:r>
      <w:r w:rsidRPr="00217688">
        <w:rPr>
          <w:noProof w:val="0"/>
        </w:rPr>
        <w:t xml:space="preserve">tiks </w:t>
      </w:r>
      <w:r w:rsidR="00645076" w:rsidRPr="00217688">
        <w:rPr>
          <w:noProof w:val="0"/>
        </w:rPr>
        <w:t xml:space="preserve">sadalītas </w:t>
      </w:r>
      <w:r w:rsidRPr="00217688">
        <w:rPr>
          <w:noProof w:val="0"/>
        </w:rPr>
        <w:t xml:space="preserve">automātiski. Lai parakstītos uz </w:t>
      </w:r>
      <w:r w:rsidR="00EC39BA" w:rsidRPr="00217688">
        <w:rPr>
          <w:noProof w:val="0"/>
        </w:rPr>
        <w:t xml:space="preserve">IFC </w:t>
      </w:r>
      <w:r w:rsidRPr="00217688">
        <w:rPr>
          <w:noProof w:val="0"/>
        </w:rPr>
        <w:t xml:space="preserve">daļām, kas emitētas GCI </w:t>
      </w:r>
      <w:r w:rsidR="00074EA4" w:rsidRPr="00217688">
        <w:rPr>
          <w:noProof w:val="0"/>
        </w:rPr>
        <w:t xml:space="preserve">un SCI </w:t>
      </w:r>
      <w:r w:rsidRPr="00217688">
        <w:rPr>
          <w:noProof w:val="0"/>
        </w:rPr>
        <w:t>ietvaros, dalībniekiem jāiesniedz Parakstīšanās instruments (</w:t>
      </w:r>
      <w:r w:rsidRPr="00217688">
        <w:rPr>
          <w:i/>
          <w:noProof w:val="0"/>
        </w:rPr>
        <w:t xml:space="preserve">Instrument </w:t>
      </w:r>
      <w:proofErr w:type="spellStart"/>
      <w:r w:rsidRPr="00217688">
        <w:rPr>
          <w:i/>
          <w:noProof w:val="0"/>
        </w:rPr>
        <w:t>of</w:t>
      </w:r>
      <w:proofErr w:type="spellEnd"/>
      <w:r w:rsidRPr="00217688">
        <w:rPr>
          <w:i/>
          <w:noProof w:val="0"/>
        </w:rPr>
        <w:t xml:space="preserve"> </w:t>
      </w:r>
      <w:proofErr w:type="spellStart"/>
      <w:r w:rsidRPr="00217688">
        <w:rPr>
          <w:i/>
          <w:noProof w:val="0"/>
        </w:rPr>
        <w:t>Subscription</w:t>
      </w:r>
      <w:proofErr w:type="spellEnd"/>
      <w:r w:rsidRPr="00217688">
        <w:rPr>
          <w:noProof w:val="0"/>
        </w:rPr>
        <w:t xml:space="preserve">) trīs gadu laikā no </w:t>
      </w:r>
      <w:r w:rsidR="00E72736" w:rsidRPr="00217688">
        <w:rPr>
          <w:noProof w:val="0"/>
        </w:rPr>
        <w:t xml:space="preserve">IFC </w:t>
      </w:r>
      <w:r w:rsidRPr="00217688">
        <w:rPr>
          <w:noProof w:val="0"/>
        </w:rPr>
        <w:t xml:space="preserve">GCI rezolūcijas apstiprināšanas. Ja trīs gadu laikā netiks iesniegts Parakstīšanās instruments, akcijas vairs nebūs pieejamas un tiks </w:t>
      </w:r>
      <w:r w:rsidR="003059D3" w:rsidRPr="00217688">
        <w:rPr>
          <w:noProof w:val="0"/>
        </w:rPr>
        <w:t>atgrieztas</w:t>
      </w:r>
      <w:r w:rsidRPr="00217688">
        <w:rPr>
          <w:noProof w:val="0"/>
        </w:rPr>
        <w:t xml:space="preserve"> nesadalīto akciju portfelī. </w:t>
      </w:r>
      <w:r w:rsidR="00E72736" w:rsidRPr="00217688">
        <w:rPr>
          <w:noProof w:val="0"/>
        </w:rPr>
        <w:t xml:space="preserve">IFC </w:t>
      </w:r>
      <w:r w:rsidR="00074EA4" w:rsidRPr="00217688">
        <w:rPr>
          <w:noProof w:val="0"/>
        </w:rPr>
        <w:t xml:space="preserve">SCI ietvaros emitētās akcijas jāapmaksā trīs gadu laikā, savukārt attiecībā uz </w:t>
      </w:r>
      <w:r w:rsidR="00E72736" w:rsidRPr="00217688">
        <w:rPr>
          <w:noProof w:val="0"/>
        </w:rPr>
        <w:t xml:space="preserve">IFC </w:t>
      </w:r>
      <w:r w:rsidR="00074EA4" w:rsidRPr="00217688">
        <w:rPr>
          <w:noProof w:val="0"/>
        </w:rPr>
        <w:t>GCI ietvaros emitētajām akcijām d</w:t>
      </w:r>
      <w:r w:rsidRPr="00217688">
        <w:rPr>
          <w:noProof w:val="0"/>
        </w:rPr>
        <w:t>alībnieki</w:t>
      </w:r>
      <w:r w:rsidR="00074EA4" w:rsidRPr="00217688">
        <w:rPr>
          <w:noProof w:val="0"/>
        </w:rPr>
        <w:t>em</w:t>
      </w:r>
      <w:r w:rsidRPr="00217688">
        <w:rPr>
          <w:noProof w:val="0"/>
        </w:rPr>
        <w:t xml:space="preserve"> tiks doti papildus divi gadi (kopā pieci gadi no </w:t>
      </w:r>
      <w:r w:rsidR="00E72736" w:rsidRPr="00217688">
        <w:rPr>
          <w:noProof w:val="0"/>
        </w:rPr>
        <w:t xml:space="preserve">IFC </w:t>
      </w:r>
      <w:r w:rsidRPr="00217688">
        <w:rPr>
          <w:noProof w:val="0"/>
        </w:rPr>
        <w:t xml:space="preserve">GCI apstiprināšanas datuma), lai apmaksātu piešķirtās akcijas, </w:t>
      </w:r>
      <w:r w:rsidR="00D663A0" w:rsidRPr="00217688">
        <w:rPr>
          <w:noProof w:val="0"/>
        </w:rPr>
        <w:t xml:space="preserve">ar nosacījumu, ka </w:t>
      </w:r>
      <w:r w:rsidRPr="00217688">
        <w:rPr>
          <w:noProof w:val="0"/>
        </w:rPr>
        <w:t xml:space="preserve">būs iesniegts Parakstīšanās instruments. Neapmaksātās </w:t>
      </w:r>
      <w:r w:rsidR="00A77CAA" w:rsidRPr="00217688">
        <w:rPr>
          <w:noProof w:val="0"/>
        </w:rPr>
        <w:t>akcijas</w:t>
      </w:r>
      <w:r w:rsidRPr="00217688">
        <w:rPr>
          <w:noProof w:val="0"/>
        </w:rPr>
        <w:t xml:space="preserve"> tiks atgrieztas nesadalīto akciju portfelī. </w:t>
      </w:r>
      <w:r w:rsidR="00B32DA9" w:rsidRPr="00217688">
        <w:rPr>
          <w:noProof w:val="0"/>
        </w:rPr>
        <w:t>Dalībniekiem jāiesniedz akciju parakstīšanās un apmaksas grafiks</w:t>
      </w:r>
      <w:r w:rsidR="00EA1569" w:rsidRPr="00217688">
        <w:rPr>
          <w:noProof w:val="0"/>
        </w:rPr>
        <w:t xml:space="preserve"> par katru kapitāla palielināšanas rezolūciju</w:t>
      </w:r>
      <w:r w:rsidR="00B32DA9" w:rsidRPr="00217688">
        <w:rPr>
          <w:noProof w:val="0"/>
        </w:rPr>
        <w:t xml:space="preserve">. </w:t>
      </w:r>
    </w:p>
    <w:p w14:paraId="2F9DFEC5" w14:textId="77777777" w:rsidR="001010F2" w:rsidRPr="00217688" w:rsidRDefault="001010F2" w:rsidP="001010F2">
      <w:pPr>
        <w:pStyle w:val="ListParagraph"/>
        <w:ind w:left="426"/>
        <w:jc w:val="both"/>
        <w:rPr>
          <w:noProof w:val="0"/>
        </w:rPr>
      </w:pPr>
    </w:p>
    <w:p w14:paraId="22D76D9F" w14:textId="77777777" w:rsidR="009235D6" w:rsidRPr="00217688" w:rsidRDefault="009235D6" w:rsidP="0088522F">
      <w:pPr>
        <w:jc w:val="center"/>
        <w:rPr>
          <w:b/>
          <w:noProof w:val="0"/>
        </w:rPr>
      </w:pPr>
    </w:p>
    <w:p w14:paraId="3D9537C4" w14:textId="77777777" w:rsidR="0026149C" w:rsidRPr="00217688" w:rsidRDefault="002B262F" w:rsidP="00F900CA">
      <w:pPr>
        <w:pStyle w:val="ListParagraph"/>
        <w:numPr>
          <w:ilvl w:val="0"/>
          <w:numId w:val="14"/>
        </w:numPr>
        <w:jc w:val="center"/>
        <w:rPr>
          <w:noProof w:val="0"/>
        </w:rPr>
      </w:pPr>
      <w:r w:rsidRPr="00217688">
        <w:rPr>
          <w:b/>
          <w:noProof w:val="0"/>
        </w:rPr>
        <w:t>Ziemeļu un Baltijas valstu dalība WBG</w:t>
      </w:r>
    </w:p>
    <w:p w14:paraId="20892D3A" w14:textId="77777777" w:rsidR="00927849" w:rsidRPr="00217688" w:rsidRDefault="00927849" w:rsidP="00360BB9">
      <w:pPr>
        <w:ind w:firstLine="426"/>
        <w:jc w:val="both"/>
        <w:rPr>
          <w:noProof w:val="0"/>
        </w:rPr>
      </w:pPr>
    </w:p>
    <w:p w14:paraId="4998C770" w14:textId="77777777" w:rsidR="0031749D" w:rsidRPr="00217688" w:rsidRDefault="008441EA" w:rsidP="000119A3">
      <w:pPr>
        <w:jc w:val="both"/>
        <w:rPr>
          <w:noProof w:val="0"/>
        </w:rPr>
      </w:pPr>
      <w:r w:rsidRPr="00217688">
        <w:rPr>
          <w:noProof w:val="0"/>
        </w:rPr>
        <w:t>V</w:t>
      </w:r>
      <w:r w:rsidR="00224024" w:rsidRPr="00217688">
        <w:rPr>
          <w:noProof w:val="0"/>
        </w:rPr>
        <w:t>isi akcionāri</w:t>
      </w:r>
      <w:r w:rsidR="00AD082F" w:rsidRPr="00217688">
        <w:rPr>
          <w:noProof w:val="0"/>
        </w:rPr>
        <w:t>,</w:t>
      </w:r>
      <w:r w:rsidR="00224024" w:rsidRPr="00217688">
        <w:rPr>
          <w:noProof w:val="0"/>
        </w:rPr>
        <w:t xml:space="preserve"> </w:t>
      </w:r>
      <w:r w:rsidR="00F8317B" w:rsidRPr="00217688">
        <w:rPr>
          <w:noProof w:val="0"/>
        </w:rPr>
        <w:t>ne tikai saņēmējvalstis</w:t>
      </w:r>
      <w:r w:rsidR="00AD082F" w:rsidRPr="00217688">
        <w:rPr>
          <w:noProof w:val="0"/>
        </w:rPr>
        <w:t>,</w:t>
      </w:r>
      <w:r w:rsidR="00F8317B" w:rsidRPr="00217688">
        <w:rPr>
          <w:noProof w:val="0"/>
        </w:rPr>
        <w:t xml:space="preserve"> ir </w:t>
      </w:r>
      <w:r w:rsidR="00147BF1" w:rsidRPr="00217688">
        <w:rPr>
          <w:noProof w:val="0"/>
        </w:rPr>
        <w:t xml:space="preserve">ieguvēji </w:t>
      </w:r>
      <w:r w:rsidR="0031749D" w:rsidRPr="00217688">
        <w:rPr>
          <w:noProof w:val="0"/>
        </w:rPr>
        <w:t>no ieguldījuma IBRD</w:t>
      </w:r>
      <w:r w:rsidR="00256DB7" w:rsidRPr="00217688">
        <w:rPr>
          <w:noProof w:val="0"/>
        </w:rPr>
        <w:t xml:space="preserve"> un IFC </w:t>
      </w:r>
      <w:r w:rsidR="00921A76" w:rsidRPr="00217688">
        <w:rPr>
          <w:noProof w:val="0"/>
        </w:rPr>
        <w:t>kapitāl</w:t>
      </w:r>
      <w:r w:rsidR="00B4070A" w:rsidRPr="00217688">
        <w:rPr>
          <w:noProof w:val="0"/>
        </w:rPr>
        <w:t>a stiprināšanā,</w:t>
      </w:r>
      <w:r w:rsidR="00331355" w:rsidRPr="00217688">
        <w:rPr>
          <w:noProof w:val="0"/>
        </w:rPr>
        <w:t xml:space="preserve"> kas</w:t>
      </w:r>
      <w:r w:rsidR="00B4070A" w:rsidRPr="00217688">
        <w:rPr>
          <w:noProof w:val="0"/>
        </w:rPr>
        <w:t xml:space="preserve"> nodrošin</w:t>
      </w:r>
      <w:r w:rsidR="00331355" w:rsidRPr="00217688">
        <w:rPr>
          <w:noProof w:val="0"/>
        </w:rPr>
        <w:t>ās</w:t>
      </w:r>
      <w:r w:rsidR="00921A76" w:rsidRPr="00217688">
        <w:rPr>
          <w:noProof w:val="0"/>
        </w:rPr>
        <w:t xml:space="preserve"> </w:t>
      </w:r>
      <w:r w:rsidR="002F6772" w:rsidRPr="00217688">
        <w:rPr>
          <w:noProof w:val="0"/>
        </w:rPr>
        <w:t>kopējo</w:t>
      </w:r>
      <w:r w:rsidR="00256DB7" w:rsidRPr="00217688">
        <w:rPr>
          <w:noProof w:val="0"/>
        </w:rPr>
        <w:t xml:space="preserve"> sabiedrisk</w:t>
      </w:r>
      <w:r w:rsidR="00B4070A" w:rsidRPr="00217688">
        <w:rPr>
          <w:noProof w:val="0"/>
        </w:rPr>
        <w:t>o</w:t>
      </w:r>
      <w:r w:rsidR="00256DB7" w:rsidRPr="00217688">
        <w:rPr>
          <w:noProof w:val="0"/>
        </w:rPr>
        <w:t xml:space="preserve"> lab</w:t>
      </w:r>
      <w:r w:rsidR="0031749D" w:rsidRPr="00217688">
        <w:rPr>
          <w:noProof w:val="0"/>
        </w:rPr>
        <w:t>um</w:t>
      </w:r>
      <w:r w:rsidR="00B4070A" w:rsidRPr="00217688">
        <w:rPr>
          <w:noProof w:val="0"/>
        </w:rPr>
        <w:t>u</w:t>
      </w:r>
      <w:r w:rsidR="002F6772" w:rsidRPr="00217688">
        <w:rPr>
          <w:noProof w:val="0"/>
        </w:rPr>
        <w:t>, tai skaitā</w:t>
      </w:r>
      <w:r w:rsidR="005C5A14" w:rsidRPr="00217688">
        <w:rPr>
          <w:noProof w:val="0"/>
        </w:rPr>
        <w:t>:</w:t>
      </w:r>
    </w:p>
    <w:p w14:paraId="0527E477" w14:textId="77777777" w:rsidR="005C5A14" w:rsidRPr="00217688" w:rsidRDefault="00402BFE" w:rsidP="000119A3">
      <w:pPr>
        <w:pStyle w:val="ListParagraph"/>
        <w:numPr>
          <w:ilvl w:val="0"/>
          <w:numId w:val="1"/>
        </w:numPr>
        <w:spacing w:before="120" w:after="120"/>
        <w:ind w:left="425" w:hanging="357"/>
        <w:contextualSpacing w:val="0"/>
        <w:jc w:val="both"/>
        <w:rPr>
          <w:noProof w:val="0"/>
        </w:rPr>
      </w:pPr>
      <w:r w:rsidRPr="00217688">
        <w:rPr>
          <w:b/>
          <w:noProof w:val="0"/>
        </w:rPr>
        <w:t>Kapitāla palielināšanas rezultātā</w:t>
      </w:r>
      <w:r w:rsidR="0031749D" w:rsidRPr="00217688">
        <w:rPr>
          <w:b/>
          <w:noProof w:val="0"/>
        </w:rPr>
        <w:t xml:space="preserve"> WBG spēs </w:t>
      </w:r>
      <w:r w:rsidR="0098792B" w:rsidRPr="00217688">
        <w:rPr>
          <w:b/>
          <w:noProof w:val="0"/>
        </w:rPr>
        <w:t>nodrošināt pastiprinātu reaģēšanu</w:t>
      </w:r>
      <w:r w:rsidR="0031749D" w:rsidRPr="00217688">
        <w:rPr>
          <w:b/>
          <w:noProof w:val="0"/>
        </w:rPr>
        <w:t xml:space="preserve"> uz nacionālajām, reģionālajām un globālajām krīzēm</w:t>
      </w:r>
      <w:r w:rsidR="0031749D" w:rsidRPr="00217688">
        <w:rPr>
          <w:noProof w:val="0"/>
        </w:rPr>
        <w:t>, tādējādi ierobežojot blakusefektu (</w:t>
      </w:r>
      <w:proofErr w:type="spellStart"/>
      <w:r w:rsidR="00164986" w:rsidRPr="00217688">
        <w:rPr>
          <w:i/>
          <w:noProof w:val="0"/>
        </w:rPr>
        <w:t>spillove</w:t>
      </w:r>
      <w:r w:rsidR="0031749D" w:rsidRPr="00217688">
        <w:rPr>
          <w:i/>
          <w:noProof w:val="0"/>
        </w:rPr>
        <w:t>r</w:t>
      </w:r>
      <w:proofErr w:type="spellEnd"/>
      <w:r w:rsidR="0031749D" w:rsidRPr="00217688">
        <w:rPr>
          <w:noProof w:val="0"/>
        </w:rPr>
        <w:t xml:space="preserve">) riskus. </w:t>
      </w:r>
      <w:r w:rsidR="00181357" w:rsidRPr="00217688">
        <w:rPr>
          <w:noProof w:val="0"/>
        </w:rPr>
        <w:t xml:space="preserve">Kapacitāte </w:t>
      </w:r>
      <w:r w:rsidR="0031749D" w:rsidRPr="00217688">
        <w:rPr>
          <w:noProof w:val="0"/>
        </w:rPr>
        <w:t>pārvald</w:t>
      </w:r>
      <w:r w:rsidR="00181357" w:rsidRPr="00217688">
        <w:rPr>
          <w:noProof w:val="0"/>
        </w:rPr>
        <w:t>īt reaģēšanu uz krīzēm</w:t>
      </w:r>
      <w:r w:rsidR="0031749D" w:rsidRPr="00217688">
        <w:rPr>
          <w:noProof w:val="0"/>
        </w:rPr>
        <w:t xml:space="preserve"> tiks nostiprināta, izmantojot</w:t>
      </w:r>
      <w:r w:rsidR="00C92BE4" w:rsidRPr="00217688">
        <w:rPr>
          <w:noProof w:val="0"/>
        </w:rPr>
        <w:t xml:space="preserve"> IBRD</w:t>
      </w:r>
      <w:r w:rsidR="0031749D" w:rsidRPr="00217688">
        <w:rPr>
          <w:noProof w:val="0"/>
        </w:rPr>
        <w:t xml:space="preserve"> Finanšu ilgtspējas </w:t>
      </w:r>
      <w:r w:rsidR="00181357" w:rsidRPr="00217688">
        <w:rPr>
          <w:noProof w:val="0"/>
        </w:rPr>
        <w:t>ietvaru</w:t>
      </w:r>
      <w:r w:rsidR="00160AC7" w:rsidRPr="00217688">
        <w:rPr>
          <w:noProof w:val="0"/>
        </w:rPr>
        <w:t>.</w:t>
      </w:r>
      <w:r w:rsidR="00160AC7" w:rsidRPr="00217688">
        <w:rPr>
          <w:rStyle w:val="FootnoteReference"/>
          <w:noProof w:val="0"/>
        </w:rPr>
        <w:footnoteReference w:id="44"/>
      </w:r>
      <w:r w:rsidR="0031749D" w:rsidRPr="00217688">
        <w:rPr>
          <w:noProof w:val="0"/>
        </w:rPr>
        <w:t xml:space="preserve"> IBRD un IFC palielinās resursus</w:t>
      </w:r>
      <w:r w:rsidR="00F13BAF" w:rsidRPr="00217688">
        <w:rPr>
          <w:noProof w:val="0"/>
        </w:rPr>
        <w:t>,</w:t>
      </w:r>
      <w:r w:rsidR="0031749D" w:rsidRPr="00217688">
        <w:rPr>
          <w:noProof w:val="0"/>
        </w:rPr>
        <w:t xml:space="preserve"> </w:t>
      </w:r>
      <w:r w:rsidR="00181357" w:rsidRPr="00217688">
        <w:rPr>
          <w:noProof w:val="0"/>
        </w:rPr>
        <w:t>lai iesaistītos nestabilās, konflikta un vardarbības skartās situācijās</w:t>
      </w:r>
      <w:r w:rsidR="0031749D" w:rsidRPr="00217688">
        <w:rPr>
          <w:noProof w:val="0"/>
        </w:rPr>
        <w:t xml:space="preserve">, jo īpaši, </w:t>
      </w:r>
      <w:r w:rsidR="00EC5BFC" w:rsidRPr="00217688">
        <w:rPr>
          <w:noProof w:val="0"/>
        </w:rPr>
        <w:t>kad</w:t>
      </w:r>
      <w:r w:rsidR="0031749D" w:rsidRPr="00217688">
        <w:rPr>
          <w:noProof w:val="0"/>
        </w:rPr>
        <w:t xml:space="preserve"> investīcijas veicina reģionālo un globālo stabilitāti.</w:t>
      </w:r>
    </w:p>
    <w:p w14:paraId="6674555C" w14:textId="67256DF4" w:rsidR="005C5A14" w:rsidRPr="00217688" w:rsidRDefault="000C2839" w:rsidP="003904C4">
      <w:pPr>
        <w:pStyle w:val="ListParagraph"/>
        <w:numPr>
          <w:ilvl w:val="0"/>
          <w:numId w:val="1"/>
        </w:numPr>
        <w:ind w:left="426"/>
        <w:jc w:val="both"/>
        <w:rPr>
          <w:noProof w:val="0"/>
        </w:rPr>
      </w:pPr>
      <w:r w:rsidRPr="00217688">
        <w:rPr>
          <w:b/>
          <w:noProof w:val="0"/>
        </w:rPr>
        <w:t>WBG palielinās finansējumu, lai risinātu klimata pārmaiņas</w:t>
      </w:r>
      <w:r w:rsidRPr="00217688">
        <w:rPr>
          <w:noProof w:val="0"/>
        </w:rPr>
        <w:t xml:space="preserve">. IBRD mērķis ir </w:t>
      </w:r>
      <w:r w:rsidR="001B1CBD" w:rsidRPr="00217688">
        <w:rPr>
          <w:noProof w:val="0"/>
        </w:rPr>
        <w:t xml:space="preserve">nodrošināt </w:t>
      </w:r>
      <w:r w:rsidRPr="00217688">
        <w:rPr>
          <w:noProof w:val="0"/>
        </w:rPr>
        <w:t xml:space="preserve">klimata </w:t>
      </w:r>
      <w:r w:rsidR="001B1CBD" w:rsidRPr="00217688">
        <w:rPr>
          <w:noProof w:val="0"/>
        </w:rPr>
        <w:t xml:space="preserve">ieguvumus, </w:t>
      </w:r>
      <w:r w:rsidRPr="00217688">
        <w:rPr>
          <w:noProof w:val="0"/>
        </w:rPr>
        <w:t>vidēji sasnie</w:t>
      </w:r>
      <w:r w:rsidR="001B1CBD" w:rsidRPr="00217688">
        <w:rPr>
          <w:noProof w:val="0"/>
        </w:rPr>
        <w:t>dzot</w:t>
      </w:r>
      <w:r w:rsidRPr="00217688">
        <w:rPr>
          <w:noProof w:val="0"/>
        </w:rPr>
        <w:t xml:space="preserve"> vismaz 30 procentus</w:t>
      </w:r>
      <w:r w:rsidR="00016883" w:rsidRPr="00217688">
        <w:rPr>
          <w:noProof w:val="0"/>
        </w:rPr>
        <w:t xml:space="preserve"> no </w:t>
      </w:r>
      <w:r w:rsidR="00BB551B" w:rsidRPr="00217688">
        <w:rPr>
          <w:noProof w:val="0"/>
        </w:rPr>
        <w:t>kopējā</w:t>
      </w:r>
      <w:r w:rsidR="00016883" w:rsidRPr="00217688">
        <w:rPr>
          <w:noProof w:val="0"/>
        </w:rPr>
        <w:t xml:space="preserve"> </w:t>
      </w:r>
      <w:r w:rsidR="00BB551B" w:rsidRPr="00217688">
        <w:rPr>
          <w:noProof w:val="0"/>
        </w:rPr>
        <w:t>finansējuma</w:t>
      </w:r>
      <w:r w:rsidR="00016883" w:rsidRPr="00217688">
        <w:rPr>
          <w:noProof w:val="0"/>
        </w:rPr>
        <w:t xml:space="preserve"> </w:t>
      </w:r>
      <w:r w:rsidR="00BB551B" w:rsidRPr="00217688">
        <w:rPr>
          <w:noProof w:val="0"/>
        </w:rPr>
        <w:t>portfeļa</w:t>
      </w:r>
      <w:r w:rsidRPr="00217688">
        <w:rPr>
          <w:noProof w:val="0"/>
        </w:rPr>
        <w:t xml:space="preserve"> </w:t>
      </w:r>
      <w:r w:rsidR="001B1CBD" w:rsidRPr="00217688">
        <w:rPr>
          <w:noProof w:val="0"/>
        </w:rPr>
        <w:t>2020.</w:t>
      </w:r>
      <w:r w:rsidR="00674BDF" w:rsidRPr="00217688">
        <w:rPr>
          <w:noProof w:val="0"/>
        </w:rPr>
        <w:t>-2023.gadā</w:t>
      </w:r>
      <w:r w:rsidRPr="00217688">
        <w:rPr>
          <w:noProof w:val="0"/>
        </w:rPr>
        <w:t>, šo mērķi saglabājot vai palielinot līdz 2030.gadam</w:t>
      </w:r>
      <w:r w:rsidR="00A803F4" w:rsidRPr="00217688">
        <w:rPr>
          <w:noProof w:val="0"/>
        </w:rPr>
        <w:t xml:space="preserve">. Savukārt </w:t>
      </w:r>
      <w:r w:rsidRPr="00217688">
        <w:rPr>
          <w:noProof w:val="0"/>
        </w:rPr>
        <w:t xml:space="preserve">IFC mērķis ir </w:t>
      </w:r>
      <w:r w:rsidR="009B0E56" w:rsidRPr="00217688">
        <w:rPr>
          <w:noProof w:val="0"/>
        </w:rPr>
        <w:t xml:space="preserve">līdz 2030.gadam </w:t>
      </w:r>
      <w:r w:rsidRPr="00217688">
        <w:rPr>
          <w:noProof w:val="0"/>
        </w:rPr>
        <w:t xml:space="preserve">palielināt </w:t>
      </w:r>
      <w:r w:rsidR="00042112" w:rsidRPr="00217688">
        <w:rPr>
          <w:noProof w:val="0"/>
        </w:rPr>
        <w:t>investīcijas</w:t>
      </w:r>
      <w:r w:rsidRPr="00217688">
        <w:rPr>
          <w:noProof w:val="0"/>
        </w:rPr>
        <w:t xml:space="preserve"> </w:t>
      </w:r>
      <w:r w:rsidR="00BA45A7" w:rsidRPr="00217688">
        <w:rPr>
          <w:noProof w:val="0"/>
        </w:rPr>
        <w:t>klimata jomā līdz 35 procentiem</w:t>
      </w:r>
      <w:r w:rsidR="00016883" w:rsidRPr="00217688">
        <w:rPr>
          <w:noProof w:val="0"/>
        </w:rPr>
        <w:t xml:space="preserve"> </w:t>
      </w:r>
      <w:r w:rsidR="000848DF">
        <w:rPr>
          <w:noProof w:val="0"/>
        </w:rPr>
        <w:t xml:space="preserve">no </w:t>
      </w:r>
      <w:r w:rsidR="00BB551B" w:rsidRPr="00217688">
        <w:rPr>
          <w:noProof w:val="0"/>
        </w:rPr>
        <w:t>finansējuma</w:t>
      </w:r>
      <w:r w:rsidR="00016883" w:rsidRPr="00217688">
        <w:rPr>
          <w:noProof w:val="0"/>
        </w:rPr>
        <w:t xml:space="preserve"> portfe</w:t>
      </w:r>
      <w:r w:rsidR="000848DF">
        <w:rPr>
          <w:noProof w:val="0"/>
        </w:rPr>
        <w:t>ļa</w:t>
      </w:r>
      <w:r w:rsidRPr="00217688">
        <w:rPr>
          <w:noProof w:val="0"/>
        </w:rPr>
        <w:t>. Paredzams, ka kopējie ikgadējie IBRD un IFC klimata ieguvumi būs 1,7 reizes lielāki nekā bez kapitā</w:t>
      </w:r>
      <w:r w:rsidR="002F1DF8" w:rsidRPr="00217688">
        <w:rPr>
          <w:noProof w:val="0"/>
        </w:rPr>
        <w:t>la palielināšanas scenārija</w:t>
      </w:r>
      <w:r w:rsidR="007F5575" w:rsidRPr="00217688">
        <w:rPr>
          <w:noProof w:val="0"/>
        </w:rPr>
        <w:t>, t</w:t>
      </w:r>
      <w:r w:rsidR="002F1DF8" w:rsidRPr="00217688">
        <w:rPr>
          <w:noProof w:val="0"/>
        </w:rPr>
        <w:t>ādējādi</w:t>
      </w:r>
      <w:r w:rsidRPr="00217688">
        <w:rPr>
          <w:noProof w:val="0"/>
        </w:rPr>
        <w:t xml:space="preserve"> sasnie</w:t>
      </w:r>
      <w:r w:rsidR="002F1DF8" w:rsidRPr="00217688">
        <w:rPr>
          <w:noProof w:val="0"/>
        </w:rPr>
        <w:t>dzot</w:t>
      </w:r>
      <w:r w:rsidRPr="00217688">
        <w:rPr>
          <w:noProof w:val="0"/>
        </w:rPr>
        <w:t xml:space="preserve"> </w:t>
      </w:r>
      <w:r w:rsidR="002F1DF8" w:rsidRPr="00217688">
        <w:rPr>
          <w:noProof w:val="0"/>
        </w:rPr>
        <w:t>US</w:t>
      </w:r>
      <w:r w:rsidR="009E791D">
        <w:rPr>
          <w:noProof w:val="0"/>
        </w:rPr>
        <w:t xml:space="preserve">D </w:t>
      </w:r>
      <w:r w:rsidRPr="00217688">
        <w:rPr>
          <w:noProof w:val="0"/>
        </w:rPr>
        <w:t>95 miljardus papildu ieguvumus klimata jomā 20</w:t>
      </w:r>
      <w:r w:rsidR="00D8421E" w:rsidRPr="00217688">
        <w:rPr>
          <w:noProof w:val="0"/>
        </w:rPr>
        <w:t>20</w:t>
      </w:r>
      <w:r w:rsidR="000848DF">
        <w:rPr>
          <w:noProof w:val="0"/>
        </w:rPr>
        <w:t>.</w:t>
      </w:r>
      <w:r w:rsidR="00D8421E" w:rsidRPr="00217688">
        <w:rPr>
          <w:noProof w:val="0"/>
        </w:rPr>
        <w:t>-2030</w:t>
      </w:r>
      <w:r w:rsidRPr="00217688">
        <w:rPr>
          <w:noProof w:val="0"/>
        </w:rPr>
        <w:t xml:space="preserve">. </w:t>
      </w:r>
      <w:r w:rsidR="00BA45A7" w:rsidRPr="00217688">
        <w:rPr>
          <w:noProof w:val="0"/>
        </w:rPr>
        <w:t>gadā</w:t>
      </w:r>
      <w:r w:rsidRPr="00217688">
        <w:rPr>
          <w:noProof w:val="0"/>
        </w:rPr>
        <w:t>.</w:t>
      </w:r>
    </w:p>
    <w:p w14:paraId="17FBAA1A" w14:textId="77777777" w:rsidR="005C5A14" w:rsidRPr="00217688" w:rsidRDefault="00C122B3" w:rsidP="000119A3">
      <w:pPr>
        <w:pStyle w:val="ListParagraph"/>
        <w:numPr>
          <w:ilvl w:val="0"/>
          <w:numId w:val="1"/>
        </w:numPr>
        <w:spacing w:before="120" w:after="120"/>
        <w:ind w:left="425" w:hanging="357"/>
        <w:contextualSpacing w:val="0"/>
        <w:jc w:val="both"/>
        <w:rPr>
          <w:noProof w:val="0"/>
        </w:rPr>
      </w:pPr>
      <w:r w:rsidRPr="00217688">
        <w:rPr>
          <w:b/>
          <w:noProof w:val="0"/>
        </w:rPr>
        <w:t xml:space="preserve">IBRD </w:t>
      </w:r>
      <w:r w:rsidR="00626A21" w:rsidRPr="00217688">
        <w:rPr>
          <w:b/>
          <w:noProof w:val="0"/>
        </w:rPr>
        <w:t xml:space="preserve">palielinās dzimumu </w:t>
      </w:r>
      <w:r w:rsidR="00AF50EB" w:rsidRPr="00217688">
        <w:rPr>
          <w:b/>
          <w:noProof w:val="0"/>
        </w:rPr>
        <w:t>nevienlīdzības</w:t>
      </w:r>
      <w:r w:rsidR="00626A21" w:rsidRPr="00217688">
        <w:rPr>
          <w:b/>
          <w:noProof w:val="0"/>
        </w:rPr>
        <w:t xml:space="preserve"> mazināšanas </w:t>
      </w:r>
      <w:r w:rsidR="006B7233" w:rsidRPr="00217688">
        <w:rPr>
          <w:b/>
          <w:noProof w:val="0"/>
        </w:rPr>
        <w:t>pasākumu</w:t>
      </w:r>
      <w:r w:rsidR="00626A21" w:rsidRPr="00217688">
        <w:rPr>
          <w:b/>
          <w:noProof w:val="0"/>
        </w:rPr>
        <w:t xml:space="preserve"> īpatsvaru</w:t>
      </w:r>
      <w:r w:rsidR="00626A21" w:rsidRPr="00217688">
        <w:rPr>
          <w:noProof w:val="0"/>
        </w:rPr>
        <w:t xml:space="preserve"> </w:t>
      </w:r>
      <w:r w:rsidRPr="00217688">
        <w:rPr>
          <w:noProof w:val="0"/>
        </w:rPr>
        <w:t>līdz 55</w:t>
      </w:r>
      <w:r w:rsidR="004B5307" w:rsidRPr="00217688">
        <w:rPr>
          <w:noProof w:val="0"/>
        </w:rPr>
        <w:t xml:space="preserve"> procentiem</w:t>
      </w:r>
      <w:r w:rsidRPr="00217688">
        <w:rPr>
          <w:noProof w:val="0"/>
        </w:rPr>
        <w:t xml:space="preserve"> 2023.gad</w:t>
      </w:r>
      <w:r w:rsidR="0013113D" w:rsidRPr="00217688">
        <w:rPr>
          <w:noProof w:val="0"/>
        </w:rPr>
        <w:t>ā</w:t>
      </w:r>
      <w:r w:rsidRPr="00217688">
        <w:rPr>
          <w:noProof w:val="0"/>
        </w:rPr>
        <w:t xml:space="preserve"> </w:t>
      </w:r>
      <w:r w:rsidR="00A73ABA" w:rsidRPr="00217688">
        <w:rPr>
          <w:noProof w:val="0"/>
        </w:rPr>
        <w:t>a</w:t>
      </w:r>
      <w:r w:rsidRPr="00217688">
        <w:rPr>
          <w:noProof w:val="0"/>
        </w:rPr>
        <w:t xml:space="preserve">r mērķi </w:t>
      </w:r>
      <w:r w:rsidR="00626A21" w:rsidRPr="00217688">
        <w:rPr>
          <w:noProof w:val="0"/>
        </w:rPr>
        <w:t xml:space="preserve">to </w:t>
      </w:r>
      <w:r w:rsidR="00A73ABA" w:rsidRPr="00217688">
        <w:rPr>
          <w:noProof w:val="0"/>
        </w:rPr>
        <w:t xml:space="preserve">uzturēt </w:t>
      </w:r>
      <w:r w:rsidRPr="00217688">
        <w:rPr>
          <w:noProof w:val="0"/>
        </w:rPr>
        <w:t>vai palielinā</w:t>
      </w:r>
      <w:r w:rsidR="00A73ABA" w:rsidRPr="00217688">
        <w:rPr>
          <w:noProof w:val="0"/>
        </w:rPr>
        <w:t xml:space="preserve">t </w:t>
      </w:r>
      <w:r w:rsidRPr="00217688">
        <w:rPr>
          <w:noProof w:val="0"/>
        </w:rPr>
        <w:t xml:space="preserve">līdz </w:t>
      </w:r>
      <w:r w:rsidR="00A73ABA" w:rsidRPr="00217688">
        <w:rPr>
          <w:noProof w:val="0"/>
        </w:rPr>
        <w:t>2030.gadam. IFC četrkāršos</w:t>
      </w:r>
      <w:r w:rsidRPr="00217688">
        <w:rPr>
          <w:noProof w:val="0"/>
        </w:rPr>
        <w:t xml:space="preserve"> ikgadējo finansējumu, kas </w:t>
      </w:r>
      <w:r w:rsidR="00A73ABA" w:rsidRPr="00217688">
        <w:rPr>
          <w:noProof w:val="0"/>
        </w:rPr>
        <w:t>paredzē</w:t>
      </w:r>
      <w:r w:rsidR="00A60D32" w:rsidRPr="00217688">
        <w:rPr>
          <w:noProof w:val="0"/>
        </w:rPr>
        <w:t>ts sievietēm un sieviešu vadīt</w:t>
      </w:r>
      <w:r w:rsidR="00A73ABA" w:rsidRPr="00217688">
        <w:rPr>
          <w:noProof w:val="0"/>
        </w:rPr>
        <w:t xml:space="preserve">iem </w:t>
      </w:r>
      <w:r w:rsidR="00F13BAF" w:rsidRPr="00217688">
        <w:rPr>
          <w:noProof w:val="0"/>
        </w:rPr>
        <w:t>maziem un vidējiem uzņēmumiem</w:t>
      </w:r>
      <w:r w:rsidR="004A337F" w:rsidRPr="00217688">
        <w:rPr>
          <w:noProof w:val="0"/>
        </w:rPr>
        <w:t xml:space="preserve"> </w:t>
      </w:r>
      <w:r w:rsidR="00A73ABA" w:rsidRPr="00217688">
        <w:rPr>
          <w:noProof w:val="0"/>
        </w:rPr>
        <w:t>20</w:t>
      </w:r>
      <w:r w:rsidRPr="00217688">
        <w:rPr>
          <w:noProof w:val="0"/>
        </w:rPr>
        <w:t>18</w:t>
      </w:r>
      <w:r w:rsidR="00A73ABA" w:rsidRPr="00217688">
        <w:rPr>
          <w:noProof w:val="0"/>
        </w:rPr>
        <w:t>.-2030.</w:t>
      </w:r>
      <w:r w:rsidR="004A337F" w:rsidRPr="00217688">
        <w:rPr>
          <w:noProof w:val="0"/>
        </w:rPr>
        <w:t>gadā</w:t>
      </w:r>
      <w:r w:rsidRPr="00217688">
        <w:rPr>
          <w:noProof w:val="0"/>
        </w:rPr>
        <w:t xml:space="preserve">. Nepārtraukta WBG Dzimumu līdztiesības stratēģijas īstenošana palīdzēs būtiski ierobežot </w:t>
      </w:r>
      <w:r w:rsidR="005F253F" w:rsidRPr="00217688">
        <w:rPr>
          <w:noProof w:val="0"/>
        </w:rPr>
        <w:t>dzimumu nevienlīdzību</w:t>
      </w:r>
      <w:r w:rsidRPr="00217688">
        <w:rPr>
          <w:noProof w:val="0"/>
        </w:rPr>
        <w:t>.</w:t>
      </w:r>
    </w:p>
    <w:p w14:paraId="2CB96EB4" w14:textId="77777777" w:rsidR="00EE3162" w:rsidRPr="00217688" w:rsidRDefault="00FA656C" w:rsidP="003904C4">
      <w:pPr>
        <w:pStyle w:val="ListParagraph"/>
        <w:numPr>
          <w:ilvl w:val="0"/>
          <w:numId w:val="1"/>
        </w:numPr>
        <w:ind w:left="426"/>
        <w:jc w:val="both"/>
        <w:rPr>
          <w:noProof w:val="0"/>
        </w:rPr>
      </w:pPr>
      <w:r w:rsidRPr="00217688">
        <w:rPr>
          <w:b/>
          <w:noProof w:val="0"/>
        </w:rPr>
        <w:t>W</w:t>
      </w:r>
      <w:r w:rsidR="00EE3162" w:rsidRPr="00217688">
        <w:rPr>
          <w:b/>
          <w:noProof w:val="0"/>
        </w:rPr>
        <w:t>BG turpinās piesaistīt zināšanas un ekspertīzi</w:t>
      </w:r>
      <w:r w:rsidR="00EE3162" w:rsidRPr="00217688">
        <w:rPr>
          <w:noProof w:val="0"/>
        </w:rPr>
        <w:t xml:space="preserve">, lai atbalstītu tādu risinājumu izstrādi un apmaiņu, kas veicina lielāku ietekmi un stiprina sadarbību </w:t>
      </w:r>
      <w:r w:rsidR="0028376C" w:rsidRPr="00217688">
        <w:rPr>
          <w:noProof w:val="0"/>
        </w:rPr>
        <w:t>starp starptautiskajām attīstības bankām</w:t>
      </w:r>
      <w:r w:rsidR="00EE3162" w:rsidRPr="00217688">
        <w:rPr>
          <w:noProof w:val="0"/>
        </w:rPr>
        <w:t>.</w:t>
      </w:r>
    </w:p>
    <w:p w14:paraId="60D8BF43" w14:textId="77777777" w:rsidR="00947D89" w:rsidRPr="00217688" w:rsidRDefault="00D77E8F" w:rsidP="000119A3">
      <w:pPr>
        <w:spacing w:before="120" w:after="120"/>
        <w:jc w:val="both"/>
        <w:rPr>
          <w:noProof w:val="0"/>
          <w:color w:val="212121"/>
          <w:shd w:val="clear" w:color="auto" w:fill="FFFFFF"/>
        </w:rPr>
      </w:pPr>
      <w:r w:rsidRPr="00217688">
        <w:rPr>
          <w:b/>
          <w:noProof w:val="0"/>
          <w:color w:val="212121"/>
          <w:shd w:val="clear" w:color="auto" w:fill="FFFFFF"/>
        </w:rPr>
        <w:lastRenderedPageBreak/>
        <w:t>Ziemeļu un Baltijas valstu grupa (</w:t>
      </w:r>
      <w:proofErr w:type="spellStart"/>
      <w:r w:rsidRPr="00217688">
        <w:rPr>
          <w:b/>
          <w:i/>
          <w:noProof w:val="0"/>
          <w:color w:val="212121"/>
          <w:shd w:val="clear" w:color="auto" w:fill="FFFFFF"/>
        </w:rPr>
        <w:t>Nordic-Baltic</w:t>
      </w:r>
      <w:proofErr w:type="spellEnd"/>
      <w:r w:rsidRPr="00217688">
        <w:rPr>
          <w:b/>
          <w:i/>
          <w:noProof w:val="0"/>
          <w:color w:val="212121"/>
          <w:shd w:val="clear" w:color="auto" w:fill="FFFFFF"/>
        </w:rPr>
        <w:t xml:space="preserve"> </w:t>
      </w:r>
      <w:proofErr w:type="spellStart"/>
      <w:r w:rsidRPr="00217688">
        <w:rPr>
          <w:b/>
          <w:i/>
          <w:noProof w:val="0"/>
          <w:color w:val="212121"/>
          <w:shd w:val="clear" w:color="auto" w:fill="FFFFFF"/>
        </w:rPr>
        <w:t>Constituency</w:t>
      </w:r>
      <w:proofErr w:type="spellEnd"/>
      <w:r w:rsidR="00D20C6A" w:rsidRPr="00217688">
        <w:rPr>
          <w:b/>
          <w:i/>
          <w:noProof w:val="0"/>
          <w:color w:val="212121"/>
          <w:shd w:val="clear" w:color="auto" w:fill="FFFFFF"/>
        </w:rPr>
        <w:t xml:space="preserve"> - </w:t>
      </w:r>
      <w:r w:rsidR="00D20C6A" w:rsidRPr="00217688">
        <w:rPr>
          <w:b/>
          <w:noProof w:val="0"/>
          <w:color w:val="212121"/>
          <w:shd w:val="clear" w:color="auto" w:fill="FFFFFF"/>
        </w:rPr>
        <w:t>NBC</w:t>
      </w:r>
      <w:r w:rsidRPr="00217688">
        <w:rPr>
          <w:b/>
          <w:noProof w:val="0"/>
          <w:color w:val="212121"/>
          <w:shd w:val="clear" w:color="auto" w:fill="FFFFFF"/>
        </w:rPr>
        <w:t>) veido septīto lielāko akcionāru WBG pēc balsstiesību skaita</w:t>
      </w:r>
      <w:r w:rsidR="00D20C6A" w:rsidRPr="00217688">
        <w:rPr>
          <w:b/>
          <w:noProof w:val="0"/>
          <w:color w:val="212121"/>
          <w:shd w:val="clear" w:color="auto" w:fill="FFFFFF"/>
        </w:rPr>
        <w:t xml:space="preserve"> (3.15 procenti).</w:t>
      </w:r>
      <w:r w:rsidR="00D20C6A" w:rsidRPr="00217688">
        <w:rPr>
          <w:noProof w:val="0"/>
          <w:color w:val="212121"/>
          <w:shd w:val="clear" w:color="auto" w:fill="FFFFFF"/>
        </w:rPr>
        <w:t xml:space="preserve"> </w:t>
      </w:r>
      <w:r w:rsidR="00602DB6" w:rsidRPr="00217688">
        <w:rPr>
          <w:noProof w:val="0"/>
          <w:color w:val="212121"/>
          <w:shd w:val="clear" w:color="auto" w:fill="FFFFFF"/>
        </w:rPr>
        <w:t xml:space="preserve">NBC grupas izpilddirektors pārstāv NBC valstu intereses WBG institūciju direktoru valdēs, savukārt NBC valstu birojs sadarbībā ar </w:t>
      </w:r>
      <w:r w:rsidR="0086297C" w:rsidRPr="00217688">
        <w:rPr>
          <w:noProof w:val="0"/>
          <w:color w:val="212121"/>
          <w:shd w:val="clear" w:color="auto" w:fill="FFFFFF"/>
        </w:rPr>
        <w:t>NBC</w:t>
      </w:r>
      <w:r w:rsidR="00602DB6" w:rsidRPr="00217688">
        <w:rPr>
          <w:noProof w:val="0"/>
          <w:color w:val="212121"/>
          <w:shd w:val="clear" w:color="auto" w:fill="FFFFFF"/>
        </w:rPr>
        <w:t xml:space="preserve"> valstu galvaspilsētām izstrādā kopēj</w:t>
      </w:r>
      <w:r w:rsidR="00243761" w:rsidRPr="00217688">
        <w:rPr>
          <w:noProof w:val="0"/>
          <w:color w:val="212121"/>
          <w:shd w:val="clear" w:color="auto" w:fill="FFFFFF"/>
        </w:rPr>
        <w:t>as</w:t>
      </w:r>
      <w:r w:rsidR="00602DB6" w:rsidRPr="00217688">
        <w:rPr>
          <w:noProof w:val="0"/>
          <w:color w:val="212121"/>
          <w:shd w:val="clear" w:color="auto" w:fill="FFFFFF"/>
        </w:rPr>
        <w:t xml:space="preserve"> </w:t>
      </w:r>
      <w:r w:rsidR="00243761" w:rsidRPr="00217688">
        <w:rPr>
          <w:noProof w:val="0"/>
          <w:color w:val="212121"/>
          <w:shd w:val="clear" w:color="auto" w:fill="FFFFFF"/>
        </w:rPr>
        <w:t xml:space="preserve">pozīcijas </w:t>
      </w:r>
      <w:r w:rsidR="00602DB6" w:rsidRPr="00217688">
        <w:rPr>
          <w:noProof w:val="0"/>
          <w:color w:val="212121"/>
          <w:shd w:val="clear" w:color="auto" w:fill="FFFFFF"/>
        </w:rPr>
        <w:t>par jautājumiem, kas tiek izskatīti izpilddirektoru valdes sēdēs. NBC grupa spēlē būtisku lomu WBG pārvaldībā</w:t>
      </w:r>
      <w:r w:rsidR="004C6C1C" w:rsidRPr="00217688">
        <w:rPr>
          <w:noProof w:val="0"/>
          <w:color w:val="212121"/>
          <w:shd w:val="clear" w:color="auto" w:fill="FFFFFF"/>
        </w:rPr>
        <w:t xml:space="preserve">, </w:t>
      </w:r>
      <w:r w:rsidR="00E9241A">
        <w:rPr>
          <w:noProof w:val="0"/>
          <w:color w:val="212121"/>
          <w:shd w:val="clear" w:color="auto" w:fill="FFFFFF"/>
        </w:rPr>
        <w:t>lai</w:t>
      </w:r>
      <w:r w:rsidR="00C765E8" w:rsidRPr="00217688">
        <w:rPr>
          <w:noProof w:val="0"/>
          <w:color w:val="212121"/>
          <w:shd w:val="clear" w:color="auto" w:fill="FFFFFF"/>
        </w:rPr>
        <w:t xml:space="preserve"> sadarbībā</w:t>
      </w:r>
      <w:r w:rsidR="004C6C1C" w:rsidRPr="00217688">
        <w:rPr>
          <w:noProof w:val="0"/>
          <w:color w:val="212121"/>
          <w:shd w:val="clear" w:color="auto" w:fill="FFFFFF"/>
        </w:rPr>
        <w:t xml:space="preserve"> ar </w:t>
      </w:r>
      <w:r w:rsidR="00C765E8" w:rsidRPr="00217688">
        <w:rPr>
          <w:noProof w:val="0"/>
          <w:color w:val="212121"/>
          <w:shd w:val="clear" w:color="auto" w:fill="FFFFFF"/>
        </w:rPr>
        <w:t>pārējiem</w:t>
      </w:r>
      <w:r w:rsidR="004C6C1C" w:rsidRPr="00217688">
        <w:rPr>
          <w:noProof w:val="0"/>
          <w:color w:val="212121"/>
          <w:shd w:val="clear" w:color="auto" w:fill="FFFFFF"/>
        </w:rPr>
        <w:t xml:space="preserve"> akcionāriem nodrošinātu konstruktīvu bankas pārraudzību. NBC grupa</w:t>
      </w:r>
      <w:r w:rsidR="00927849" w:rsidRPr="00217688">
        <w:rPr>
          <w:noProof w:val="0"/>
          <w:color w:val="212121"/>
          <w:shd w:val="clear" w:color="auto" w:fill="FFFFFF"/>
        </w:rPr>
        <w:t>i</w:t>
      </w:r>
      <w:r w:rsidR="004C6C1C" w:rsidRPr="00217688">
        <w:rPr>
          <w:noProof w:val="0"/>
          <w:color w:val="212121"/>
          <w:shd w:val="clear" w:color="auto" w:fill="FFFFFF"/>
        </w:rPr>
        <w:t xml:space="preserve"> </w:t>
      </w:r>
      <w:r w:rsidR="00C765E8" w:rsidRPr="00217688">
        <w:rPr>
          <w:noProof w:val="0"/>
          <w:color w:val="212121"/>
          <w:shd w:val="clear" w:color="auto" w:fill="FFFFFF"/>
        </w:rPr>
        <w:t xml:space="preserve">WBG </w:t>
      </w:r>
      <w:r w:rsidR="00927849" w:rsidRPr="00217688">
        <w:rPr>
          <w:noProof w:val="0"/>
          <w:color w:val="212121"/>
          <w:shd w:val="clear" w:color="auto" w:fill="FFFFFF"/>
        </w:rPr>
        <w:t xml:space="preserve">ir </w:t>
      </w:r>
      <w:r w:rsidR="00243761" w:rsidRPr="00217688">
        <w:rPr>
          <w:noProof w:val="0"/>
          <w:color w:val="212121"/>
          <w:shd w:val="clear" w:color="auto" w:fill="FFFFFF"/>
        </w:rPr>
        <w:t xml:space="preserve">nozīmīga </w:t>
      </w:r>
      <w:r w:rsidR="00C765E8" w:rsidRPr="00217688">
        <w:rPr>
          <w:noProof w:val="0"/>
          <w:color w:val="212121"/>
          <w:shd w:val="clear" w:color="auto" w:fill="FFFFFF"/>
        </w:rPr>
        <w:t>starptautisk</w:t>
      </w:r>
      <w:r w:rsidR="00927849" w:rsidRPr="00217688">
        <w:rPr>
          <w:noProof w:val="0"/>
          <w:color w:val="212121"/>
          <w:shd w:val="clear" w:color="auto" w:fill="FFFFFF"/>
        </w:rPr>
        <w:t>ā</w:t>
      </w:r>
      <w:r w:rsidR="00C765E8" w:rsidRPr="00217688">
        <w:rPr>
          <w:noProof w:val="0"/>
          <w:color w:val="212121"/>
          <w:shd w:val="clear" w:color="auto" w:fill="FFFFFF"/>
        </w:rPr>
        <w:t xml:space="preserve"> finanšu </w:t>
      </w:r>
      <w:r w:rsidR="00927849" w:rsidRPr="00217688">
        <w:rPr>
          <w:noProof w:val="0"/>
          <w:color w:val="212121"/>
          <w:shd w:val="clear" w:color="auto" w:fill="FFFFFF"/>
        </w:rPr>
        <w:t>institūcija</w:t>
      </w:r>
      <w:r w:rsidR="004C6C1C" w:rsidRPr="00217688">
        <w:rPr>
          <w:noProof w:val="0"/>
          <w:color w:val="212121"/>
          <w:shd w:val="clear" w:color="auto" w:fill="FFFFFF"/>
        </w:rPr>
        <w:t xml:space="preserve">, jo tās darbības politika sasaucas ar NBC grupas </w:t>
      </w:r>
      <w:r w:rsidR="00243761" w:rsidRPr="00217688">
        <w:rPr>
          <w:noProof w:val="0"/>
          <w:color w:val="212121"/>
          <w:shd w:val="clear" w:color="auto" w:fill="FFFFFF"/>
        </w:rPr>
        <w:t>attīstības sadarbības prioritātēm</w:t>
      </w:r>
      <w:r w:rsidR="004C6C1C" w:rsidRPr="00217688">
        <w:rPr>
          <w:noProof w:val="0"/>
          <w:color w:val="212121"/>
          <w:shd w:val="clear" w:color="auto" w:fill="FFFFFF"/>
        </w:rPr>
        <w:t xml:space="preserve">, tai skaitā </w:t>
      </w:r>
      <w:r w:rsidR="00C765E8" w:rsidRPr="00217688">
        <w:rPr>
          <w:noProof w:val="0"/>
          <w:color w:val="212121"/>
          <w:shd w:val="clear" w:color="auto" w:fill="FFFFFF"/>
        </w:rPr>
        <w:t>attiecībā uz bankas finanšu ilgtspējas nodrošināšanu, galējas nabadzības mazināšanu un kopējas labklājības veicināšanu, klimata pārmaiņu radīto risku novēršan</w:t>
      </w:r>
      <w:r w:rsidR="00367B3D" w:rsidRPr="00217688">
        <w:rPr>
          <w:noProof w:val="0"/>
          <w:color w:val="212121"/>
          <w:shd w:val="clear" w:color="auto" w:fill="FFFFFF"/>
        </w:rPr>
        <w:t>u</w:t>
      </w:r>
      <w:r w:rsidR="00C765E8" w:rsidRPr="00217688">
        <w:rPr>
          <w:noProof w:val="0"/>
          <w:color w:val="212121"/>
          <w:shd w:val="clear" w:color="auto" w:fill="FFFFFF"/>
        </w:rPr>
        <w:t>, nestabilo un konflikta situāciju risināšanu, dzimumu līdztiesības veicināšanu un darbu ar iekšzemes resursu mobilizēšanu un nelikumīg</w:t>
      </w:r>
      <w:r w:rsidR="0034182F" w:rsidRPr="00217688">
        <w:rPr>
          <w:noProof w:val="0"/>
          <w:color w:val="212121"/>
          <w:shd w:val="clear" w:color="auto" w:fill="FFFFFF"/>
        </w:rPr>
        <w:t>u</w:t>
      </w:r>
      <w:r w:rsidR="00C765E8" w:rsidRPr="00217688">
        <w:rPr>
          <w:noProof w:val="0"/>
          <w:color w:val="212121"/>
          <w:shd w:val="clear" w:color="auto" w:fill="FFFFFF"/>
        </w:rPr>
        <w:t xml:space="preserve"> finanšu plūsmu novēršanu.</w:t>
      </w:r>
      <w:r w:rsidR="00A73287" w:rsidRPr="00217688">
        <w:rPr>
          <w:noProof w:val="0"/>
          <w:color w:val="212121"/>
          <w:shd w:val="clear" w:color="auto" w:fill="FFFFFF"/>
        </w:rPr>
        <w:t xml:space="preserve"> </w:t>
      </w:r>
      <w:r w:rsidR="00D20C6A" w:rsidRPr="00217688">
        <w:rPr>
          <w:noProof w:val="0"/>
          <w:color w:val="212121"/>
          <w:shd w:val="clear" w:color="auto" w:fill="FFFFFF"/>
        </w:rPr>
        <w:t>NBC grupa</w:t>
      </w:r>
      <w:r w:rsidR="00A73287" w:rsidRPr="00217688">
        <w:rPr>
          <w:noProof w:val="0"/>
          <w:color w:val="212121"/>
          <w:shd w:val="clear" w:color="auto" w:fill="FFFFFF"/>
        </w:rPr>
        <w:t xml:space="preserve"> </w:t>
      </w:r>
      <w:r w:rsidR="00D20C6A" w:rsidRPr="00217688">
        <w:rPr>
          <w:noProof w:val="0"/>
          <w:color w:val="212121"/>
          <w:shd w:val="clear" w:color="auto" w:fill="FFFFFF"/>
        </w:rPr>
        <w:t xml:space="preserve">aktīvi iesaistījās WBG </w:t>
      </w:r>
      <w:r w:rsidR="00E9241A">
        <w:rPr>
          <w:noProof w:val="0"/>
          <w:color w:val="212121"/>
          <w:shd w:val="clear" w:color="auto" w:fill="FFFFFF"/>
        </w:rPr>
        <w:t xml:space="preserve">darbības </w:t>
      </w:r>
      <w:r w:rsidR="00D20C6A" w:rsidRPr="00217688">
        <w:rPr>
          <w:noProof w:val="0"/>
          <w:color w:val="212121"/>
          <w:shd w:val="clear" w:color="auto" w:fill="FFFFFF"/>
        </w:rPr>
        <w:t xml:space="preserve">stratēģijas izstrādē, nodrošinot Ziemeļu un Baltijas valstu attīstības </w:t>
      </w:r>
      <w:r w:rsidR="00367B3D" w:rsidRPr="00217688">
        <w:rPr>
          <w:noProof w:val="0"/>
          <w:color w:val="212121"/>
          <w:shd w:val="clear" w:color="auto" w:fill="FFFFFF"/>
        </w:rPr>
        <w:t xml:space="preserve">sadarbības prioritāro jautājumu </w:t>
      </w:r>
      <w:r w:rsidR="00D20C6A" w:rsidRPr="00217688">
        <w:rPr>
          <w:noProof w:val="0"/>
          <w:color w:val="212121"/>
          <w:shd w:val="clear" w:color="auto" w:fill="FFFFFF"/>
        </w:rPr>
        <w:t>iekļaušanu un īstenošanu.</w:t>
      </w:r>
      <w:r w:rsidR="00D3574F" w:rsidRPr="00217688">
        <w:rPr>
          <w:rStyle w:val="FootnoteReference"/>
          <w:noProof w:val="0"/>
          <w:color w:val="212121"/>
          <w:shd w:val="clear" w:color="auto" w:fill="FFFFFF"/>
        </w:rPr>
        <w:footnoteReference w:id="45"/>
      </w:r>
      <w:r w:rsidR="003F08CC" w:rsidRPr="00217688">
        <w:rPr>
          <w:noProof w:val="0"/>
          <w:color w:val="212121"/>
          <w:shd w:val="clear" w:color="auto" w:fill="FFFFFF"/>
        </w:rPr>
        <w:t xml:space="preserve"> </w:t>
      </w:r>
      <w:r w:rsidR="00580B0E" w:rsidRPr="00217688">
        <w:rPr>
          <w:noProof w:val="0"/>
          <w:color w:val="212121"/>
          <w:shd w:val="clear" w:color="auto" w:fill="FFFFFF"/>
        </w:rPr>
        <w:t>A</w:t>
      </w:r>
      <w:r w:rsidR="003F08CC" w:rsidRPr="00217688">
        <w:rPr>
          <w:noProof w:val="0"/>
          <w:color w:val="212121"/>
          <w:shd w:val="clear" w:color="auto" w:fill="FFFFFF"/>
        </w:rPr>
        <w:t xml:space="preserve">rī WBG </w:t>
      </w:r>
      <w:r w:rsidR="00947D89" w:rsidRPr="00217688">
        <w:rPr>
          <w:noProof w:val="0"/>
          <w:color w:val="212121"/>
          <w:shd w:val="clear" w:color="auto" w:fill="FFFFFF"/>
        </w:rPr>
        <w:t xml:space="preserve">kapitāla stiprināšanas </w:t>
      </w:r>
      <w:proofErr w:type="spellStart"/>
      <w:r w:rsidR="003F08CC" w:rsidRPr="00217688">
        <w:rPr>
          <w:noProof w:val="0"/>
          <w:color w:val="212121"/>
          <w:shd w:val="clear" w:color="auto" w:fill="FFFFFF"/>
        </w:rPr>
        <w:t>pakotnes</w:t>
      </w:r>
      <w:proofErr w:type="spellEnd"/>
      <w:r w:rsidR="003F08CC" w:rsidRPr="00217688">
        <w:rPr>
          <w:noProof w:val="0"/>
          <w:color w:val="212121"/>
          <w:shd w:val="clear" w:color="auto" w:fill="FFFFFF"/>
        </w:rPr>
        <w:t xml:space="preserve"> izstrādes</w:t>
      </w:r>
      <w:r w:rsidR="00947D89" w:rsidRPr="00217688">
        <w:rPr>
          <w:noProof w:val="0"/>
          <w:color w:val="212121"/>
          <w:shd w:val="clear" w:color="auto" w:fill="FFFFFF"/>
        </w:rPr>
        <w:t xml:space="preserve"> procesā </w:t>
      </w:r>
      <w:r w:rsidR="003F08CC" w:rsidRPr="00217688">
        <w:rPr>
          <w:noProof w:val="0"/>
          <w:color w:val="212121"/>
          <w:shd w:val="clear" w:color="auto" w:fill="FFFFFF"/>
        </w:rPr>
        <w:t xml:space="preserve">NBC </w:t>
      </w:r>
      <w:r w:rsidR="00947D89" w:rsidRPr="00217688">
        <w:rPr>
          <w:noProof w:val="0"/>
          <w:color w:val="212121"/>
          <w:shd w:val="clear" w:color="auto" w:fill="FFFFFF"/>
        </w:rPr>
        <w:t xml:space="preserve">grupa izvirzīja vairākas prioritātes, kuras WBG būtu jānodrošina kapitāla </w:t>
      </w:r>
      <w:r w:rsidR="003F08CC" w:rsidRPr="00217688">
        <w:rPr>
          <w:noProof w:val="0"/>
          <w:color w:val="212121"/>
          <w:shd w:val="clear" w:color="auto" w:fill="FFFFFF"/>
        </w:rPr>
        <w:t xml:space="preserve">stiprināšanas </w:t>
      </w:r>
      <w:proofErr w:type="spellStart"/>
      <w:r w:rsidR="00947D89" w:rsidRPr="00217688">
        <w:rPr>
          <w:noProof w:val="0"/>
          <w:color w:val="212121"/>
          <w:shd w:val="clear" w:color="auto" w:fill="FFFFFF"/>
        </w:rPr>
        <w:t>pakotnes</w:t>
      </w:r>
      <w:proofErr w:type="spellEnd"/>
      <w:r w:rsidR="00947D89" w:rsidRPr="00217688">
        <w:rPr>
          <w:noProof w:val="0"/>
          <w:color w:val="212121"/>
          <w:shd w:val="clear" w:color="auto" w:fill="FFFFFF"/>
        </w:rPr>
        <w:t xml:space="preserve"> </w:t>
      </w:r>
      <w:r w:rsidR="003F08CC" w:rsidRPr="00217688">
        <w:rPr>
          <w:noProof w:val="0"/>
          <w:color w:val="212121"/>
          <w:shd w:val="clear" w:color="auto" w:fill="FFFFFF"/>
        </w:rPr>
        <w:t xml:space="preserve">īstenošanas </w:t>
      </w:r>
      <w:r w:rsidR="00947D89" w:rsidRPr="00217688">
        <w:rPr>
          <w:noProof w:val="0"/>
          <w:color w:val="212121"/>
          <w:shd w:val="clear" w:color="auto" w:fill="FFFFFF"/>
        </w:rPr>
        <w:t xml:space="preserve">ietvaros, </w:t>
      </w:r>
      <w:r w:rsidR="000966A9" w:rsidRPr="00217688">
        <w:rPr>
          <w:noProof w:val="0"/>
          <w:color w:val="212121"/>
          <w:shd w:val="clear" w:color="auto" w:fill="FFFFFF"/>
        </w:rPr>
        <w:t>tai skaitā</w:t>
      </w:r>
      <w:r w:rsidR="00947D89" w:rsidRPr="00217688">
        <w:rPr>
          <w:noProof w:val="0"/>
          <w:color w:val="212121"/>
          <w:shd w:val="clear" w:color="auto" w:fill="FFFFFF"/>
        </w:rPr>
        <w:t>:</w:t>
      </w:r>
    </w:p>
    <w:p w14:paraId="762E5F4E" w14:textId="77777777" w:rsidR="00947D89" w:rsidRPr="00217688" w:rsidRDefault="00947D89" w:rsidP="003904C4">
      <w:pPr>
        <w:pStyle w:val="ListParagraph"/>
        <w:numPr>
          <w:ilvl w:val="0"/>
          <w:numId w:val="11"/>
        </w:numPr>
        <w:jc w:val="both"/>
        <w:rPr>
          <w:noProof w:val="0"/>
          <w:color w:val="212121"/>
          <w:shd w:val="clear" w:color="auto" w:fill="FFFFFF"/>
        </w:rPr>
      </w:pPr>
      <w:r w:rsidRPr="00217688">
        <w:rPr>
          <w:b/>
          <w:noProof w:val="0"/>
          <w:color w:val="212121"/>
          <w:shd w:val="clear" w:color="auto" w:fill="FFFFFF"/>
        </w:rPr>
        <w:t>Klimata jomā</w:t>
      </w:r>
      <w:r w:rsidRPr="00217688">
        <w:rPr>
          <w:noProof w:val="0"/>
          <w:color w:val="212121"/>
          <w:shd w:val="clear" w:color="auto" w:fill="FFFFFF"/>
        </w:rPr>
        <w:t xml:space="preserve">: </w:t>
      </w:r>
      <w:r w:rsidR="00D3574F" w:rsidRPr="00217688">
        <w:rPr>
          <w:noProof w:val="0"/>
          <w:color w:val="212121"/>
          <w:shd w:val="clear" w:color="auto" w:fill="FFFFFF"/>
        </w:rPr>
        <w:t xml:space="preserve">nodrošināt, ka </w:t>
      </w:r>
      <w:r w:rsidRPr="00217688">
        <w:rPr>
          <w:noProof w:val="0"/>
          <w:color w:val="212121"/>
          <w:shd w:val="clear" w:color="auto" w:fill="FFFFFF"/>
        </w:rPr>
        <w:t xml:space="preserve">līdz 2020.gadam vismaz 28 procenti no WBG projektiem </w:t>
      </w:r>
      <w:r w:rsidR="00D3574F" w:rsidRPr="00217688">
        <w:rPr>
          <w:noProof w:val="0"/>
          <w:color w:val="212121"/>
          <w:shd w:val="clear" w:color="auto" w:fill="FFFFFF"/>
        </w:rPr>
        <w:t xml:space="preserve">tiek īstenoti </w:t>
      </w:r>
      <w:r w:rsidRPr="00217688">
        <w:rPr>
          <w:noProof w:val="0"/>
          <w:color w:val="212121"/>
          <w:shd w:val="clear" w:color="auto" w:fill="FFFFFF"/>
        </w:rPr>
        <w:t>klimata jomā</w:t>
      </w:r>
      <w:r w:rsidR="005379C0" w:rsidRPr="00217688">
        <w:rPr>
          <w:noProof w:val="0"/>
          <w:color w:val="212121"/>
          <w:shd w:val="clear" w:color="auto" w:fill="FFFFFF"/>
        </w:rPr>
        <w:t xml:space="preserve">, savukārt </w:t>
      </w:r>
      <w:r w:rsidRPr="00217688">
        <w:rPr>
          <w:noProof w:val="0"/>
          <w:color w:val="212121"/>
          <w:shd w:val="clear" w:color="auto" w:fill="FFFFFF"/>
        </w:rPr>
        <w:t xml:space="preserve">privātā kapitāla mobilizēšana investīcijām ar klimatu saistītos projektos līdz 2020.gadam </w:t>
      </w:r>
      <w:r w:rsidR="00E12796" w:rsidRPr="00217688">
        <w:rPr>
          <w:noProof w:val="0"/>
          <w:color w:val="212121"/>
          <w:shd w:val="clear" w:color="auto" w:fill="FFFFFF"/>
        </w:rPr>
        <w:t xml:space="preserve">tiek palielināta </w:t>
      </w:r>
      <w:r w:rsidRPr="00217688">
        <w:rPr>
          <w:noProof w:val="0"/>
          <w:color w:val="212121"/>
          <w:shd w:val="clear" w:color="auto" w:fill="FFFFFF"/>
        </w:rPr>
        <w:t>līdz 20 procentiem;</w:t>
      </w:r>
    </w:p>
    <w:p w14:paraId="6C0B17BD" w14:textId="77777777" w:rsidR="000966A9" w:rsidRPr="00217688" w:rsidRDefault="00947D89" w:rsidP="003904C4">
      <w:pPr>
        <w:pStyle w:val="ListParagraph"/>
        <w:numPr>
          <w:ilvl w:val="0"/>
          <w:numId w:val="12"/>
        </w:numPr>
        <w:jc w:val="both"/>
        <w:rPr>
          <w:noProof w:val="0"/>
          <w:color w:val="212121"/>
          <w:shd w:val="clear" w:color="auto" w:fill="FFFFFF"/>
        </w:rPr>
      </w:pPr>
      <w:r w:rsidRPr="00217688">
        <w:rPr>
          <w:b/>
          <w:noProof w:val="0"/>
          <w:color w:val="212121"/>
          <w:shd w:val="clear" w:color="auto" w:fill="FFFFFF"/>
        </w:rPr>
        <w:t>Dzimumu līdztiesības jomā</w:t>
      </w:r>
      <w:r w:rsidRPr="00217688">
        <w:rPr>
          <w:noProof w:val="0"/>
          <w:color w:val="212121"/>
          <w:shd w:val="clear" w:color="auto" w:fill="FFFFFF"/>
        </w:rPr>
        <w:t xml:space="preserve">: </w:t>
      </w:r>
      <w:r w:rsidR="000C0092" w:rsidRPr="00217688">
        <w:rPr>
          <w:noProof w:val="0"/>
          <w:color w:val="212121"/>
          <w:shd w:val="clear" w:color="auto" w:fill="FFFFFF"/>
        </w:rPr>
        <w:t xml:space="preserve">nodrošināt, ka </w:t>
      </w:r>
      <w:r w:rsidRPr="00217688">
        <w:rPr>
          <w:noProof w:val="0"/>
          <w:color w:val="212121"/>
          <w:shd w:val="clear" w:color="auto" w:fill="FFFFFF"/>
        </w:rPr>
        <w:t>līdz 2018.gadam vismaz 70 procent</w:t>
      </w:r>
      <w:r w:rsidR="000966A9" w:rsidRPr="00217688">
        <w:rPr>
          <w:noProof w:val="0"/>
          <w:color w:val="212121"/>
          <w:shd w:val="clear" w:color="auto" w:fill="FFFFFF"/>
        </w:rPr>
        <w:t>iem</w:t>
      </w:r>
      <w:r w:rsidRPr="00217688">
        <w:rPr>
          <w:noProof w:val="0"/>
          <w:color w:val="212121"/>
          <w:shd w:val="clear" w:color="auto" w:fill="FFFFFF"/>
        </w:rPr>
        <w:t xml:space="preserve"> no WBG projektiem ir </w:t>
      </w:r>
      <w:r w:rsidR="009716F6" w:rsidRPr="00217688">
        <w:rPr>
          <w:noProof w:val="0"/>
          <w:color w:val="212121"/>
          <w:shd w:val="clear" w:color="auto" w:fill="FFFFFF"/>
        </w:rPr>
        <w:t>iekļauts</w:t>
      </w:r>
      <w:r w:rsidRPr="00217688">
        <w:rPr>
          <w:noProof w:val="0"/>
          <w:color w:val="212121"/>
          <w:shd w:val="clear" w:color="auto" w:fill="FFFFFF"/>
        </w:rPr>
        <w:t xml:space="preserve"> dzimumu līdztiesības kri</w:t>
      </w:r>
      <w:r w:rsidR="00965508" w:rsidRPr="00217688">
        <w:rPr>
          <w:noProof w:val="0"/>
          <w:color w:val="212121"/>
          <w:shd w:val="clear" w:color="auto" w:fill="FFFFFF"/>
        </w:rPr>
        <w:t xml:space="preserve">tērijs un līdz 2020.gadam WBG </w:t>
      </w:r>
      <w:r w:rsidRPr="00217688">
        <w:rPr>
          <w:noProof w:val="0"/>
          <w:color w:val="212121"/>
          <w:shd w:val="clear" w:color="auto" w:fill="FFFFFF"/>
        </w:rPr>
        <w:t>nodrošina EDGE</w:t>
      </w:r>
      <w:r w:rsidR="00767CBC" w:rsidRPr="00217688">
        <w:rPr>
          <w:noProof w:val="0"/>
          <w:color w:val="212121"/>
          <w:shd w:val="clear" w:color="auto" w:fill="FFFFFF"/>
        </w:rPr>
        <w:t xml:space="preserve"> sertifikācijas 2.līmeni</w:t>
      </w:r>
      <w:r w:rsidR="00016883" w:rsidRPr="00217688">
        <w:rPr>
          <w:noProof w:val="0"/>
          <w:color w:val="212121"/>
          <w:shd w:val="clear" w:color="auto" w:fill="FFFFFF"/>
        </w:rPr>
        <w:t>;</w:t>
      </w:r>
      <w:r w:rsidRPr="00217688">
        <w:rPr>
          <w:rStyle w:val="FootnoteReference"/>
          <w:noProof w:val="0"/>
          <w:color w:val="212121"/>
          <w:shd w:val="clear" w:color="auto" w:fill="FFFFFF"/>
        </w:rPr>
        <w:footnoteReference w:id="46"/>
      </w:r>
      <w:r w:rsidRPr="00217688">
        <w:rPr>
          <w:rFonts w:eastAsia="Times New Roman" w:cs="Times New Roman"/>
          <w:bCs/>
          <w:noProof w:val="0"/>
          <w:color w:val="212121"/>
          <w:szCs w:val="24"/>
        </w:rPr>
        <w:t xml:space="preserve"> </w:t>
      </w:r>
    </w:p>
    <w:p w14:paraId="009A96CA" w14:textId="77777777" w:rsidR="000966A9" w:rsidRPr="00217688" w:rsidRDefault="00947D89" w:rsidP="00016883">
      <w:pPr>
        <w:pStyle w:val="ListParagraph"/>
        <w:numPr>
          <w:ilvl w:val="0"/>
          <w:numId w:val="12"/>
        </w:numPr>
        <w:jc w:val="both"/>
        <w:rPr>
          <w:noProof w:val="0"/>
          <w:color w:val="212121"/>
          <w:shd w:val="clear" w:color="auto" w:fill="FFFFFF"/>
        </w:rPr>
      </w:pPr>
      <w:r w:rsidRPr="00217688">
        <w:rPr>
          <w:rFonts w:eastAsia="Times New Roman" w:cs="Times New Roman"/>
          <w:b/>
          <w:bCs/>
          <w:noProof w:val="0"/>
          <w:color w:val="212121"/>
          <w:szCs w:val="24"/>
        </w:rPr>
        <w:t>Pārvaldības jomā</w:t>
      </w:r>
      <w:r w:rsidRPr="00217688">
        <w:rPr>
          <w:rFonts w:eastAsia="Times New Roman" w:cs="Times New Roman"/>
          <w:bCs/>
          <w:noProof w:val="0"/>
          <w:color w:val="212121"/>
          <w:szCs w:val="24"/>
        </w:rPr>
        <w:t>: izstrādāt operacionālu rīcības plānu, kā, apkarojot nelikumīgas finanšu plūsmas, tiks panākts</w:t>
      </w:r>
      <w:r w:rsidR="00963973" w:rsidRPr="00217688">
        <w:rPr>
          <w:rFonts w:eastAsia="Times New Roman" w:cs="Times New Roman"/>
          <w:bCs/>
          <w:noProof w:val="0"/>
          <w:color w:val="212121"/>
          <w:szCs w:val="24"/>
        </w:rPr>
        <w:t xml:space="preserve"> progress</w:t>
      </w:r>
      <w:r w:rsidRPr="00217688">
        <w:rPr>
          <w:rFonts w:eastAsia="Times New Roman" w:cs="Times New Roman"/>
          <w:bCs/>
          <w:noProof w:val="0"/>
          <w:color w:val="212121"/>
          <w:szCs w:val="24"/>
        </w:rPr>
        <w:t xml:space="preserve"> nodokļu iekasēšanā, un kā tiks </w:t>
      </w:r>
      <w:r w:rsidR="00963973" w:rsidRPr="00217688">
        <w:rPr>
          <w:rFonts w:eastAsia="Times New Roman" w:cs="Times New Roman"/>
          <w:bCs/>
          <w:noProof w:val="0"/>
          <w:color w:val="212121"/>
          <w:szCs w:val="24"/>
        </w:rPr>
        <w:t>novērstas</w:t>
      </w:r>
      <w:r w:rsidRPr="00217688">
        <w:rPr>
          <w:rFonts w:eastAsia="Times New Roman" w:cs="Times New Roman"/>
          <w:bCs/>
          <w:noProof w:val="0"/>
          <w:color w:val="212121"/>
          <w:szCs w:val="24"/>
        </w:rPr>
        <w:t xml:space="preserve"> nelegālās finanšu plūsmas</w:t>
      </w:r>
      <w:r w:rsidR="000966A9" w:rsidRPr="00217688">
        <w:rPr>
          <w:rFonts w:eastAsia="Times New Roman" w:cs="Times New Roman"/>
          <w:bCs/>
          <w:noProof w:val="0"/>
          <w:color w:val="212121"/>
          <w:szCs w:val="24"/>
        </w:rPr>
        <w:t>, kā arī</w:t>
      </w:r>
      <w:r w:rsidRPr="00217688">
        <w:rPr>
          <w:rFonts w:eastAsia="Times New Roman" w:cs="Times New Roman"/>
          <w:bCs/>
          <w:noProof w:val="0"/>
          <w:color w:val="212121"/>
          <w:szCs w:val="24"/>
        </w:rPr>
        <w:t xml:space="preserve"> līdz 2022.gadam nodrošināt, ka saņēmējvalstu stratēģijās ir </w:t>
      </w:r>
      <w:r w:rsidR="00453ADF" w:rsidRPr="00217688">
        <w:rPr>
          <w:rFonts w:eastAsia="Times New Roman" w:cs="Times New Roman"/>
          <w:bCs/>
          <w:noProof w:val="0"/>
          <w:color w:val="212121"/>
          <w:szCs w:val="24"/>
        </w:rPr>
        <w:t>ņemti vērā</w:t>
      </w:r>
      <w:r w:rsidRPr="00217688">
        <w:rPr>
          <w:rFonts w:eastAsia="Times New Roman" w:cs="Times New Roman"/>
          <w:bCs/>
          <w:noProof w:val="0"/>
          <w:color w:val="212121"/>
          <w:szCs w:val="24"/>
        </w:rPr>
        <w:t xml:space="preserve"> vietējo resursu mobilizācijas un nelikumīgo naudas plūsmu </w:t>
      </w:r>
      <w:r w:rsidR="00453ADF" w:rsidRPr="00217688">
        <w:rPr>
          <w:rFonts w:eastAsia="Times New Roman" w:cs="Times New Roman"/>
          <w:bCs/>
          <w:noProof w:val="0"/>
          <w:color w:val="212121"/>
          <w:szCs w:val="24"/>
        </w:rPr>
        <w:t>aspekti</w:t>
      </w:r>
      <w:r w:rsidR="00016883" w:rsidRPr="00217688">
        <w:rPr>
          <w:rFonts w:eastAsia="Times New Roman" w:cs="Times New Roman"/>
          <w:bCs/>
          <w:noProof w:val="0"/>
          <w:color w:val="212121"/>
          <w:szCs w:val="24"/>
        </w:rPr>
        <w:t xml:space="preserve">. </w:t>
      </w:r>
      <w:r w:rsidR="00FE5BAF" w:rsidRPr="00217688">
        <w:rPr>
          <w:rFonts w:eastAsia="Times New Roman" w:cs="Times New Roman"/>
          <w:bCs/>
          <w:noProof w:val="0"/>
          <w:color w:val="212121"/>
          <w:szCs w:val="24"/>
        </w:rPr>
        <w:t>Nodrošināt</w:t>
      </w:r>
      <w:r w:rsidR="00016883" w:rsidRPr="00217688">
        <w:rPr>
          <w:rFonts w:eastAsia="Times New Roman" w:cs="Times New Roman"/>
          <w:bCs/>
          <w:noProof w:val="0"/>
          <w:color w:val="212121"/>
          <w:szCs w:val="24"/>
        </w:rPr>
        <w:t xml:space="preserve"> </w:t>
      </w:r>
      <w:r w:rsidR="00FE5BAF" w:rsidRPr="00217688">
        <w:rPr>
          <w:rFonts w:eastAsia="Times New Roman" w:cs="Times New Roman"/>
          <w:bCs/>
          <w:noProof w:val="0"/>
          <w:color w:val="212121"/>
          <w:szCs w:val="24"/>
        </w:rPr>
        <w:t xml:space="preserve">arī </w:t>
      </w:r>
      <w:r w:rsidR="00016883" w:rsidRPr="00217688">
        <w:rPr>
          <w:rFonts w:eastAsia="Times New Roman" w:cs="Times New Roman"/>
          <w:bCs/>
          <w:noProof w:val="0"/>
          <w:color w:val="212121"/>
          <w:szCs w:val="24"/>
        </w:rPr>
        <w:t>WBG politik</w:t>
      </w:r>
      <w:r w:rsidR="00A43303" w:rsidRPr="00217688">
        <w:rPr>
          <w:rFonts w:eastAsia="Times New Roman" w:cs="Times New Roman"/>
          <w:bCs/>
          <w:noProof w:val="0"/>
          <w:color w:val="212121"/>
          <w:szCs w:val="24"/>
        </w:rPr>
        <w:t>as par</w:t>
      </w:r>
      <w:r w:rsidR="00016883" w:rsidRPr="00217688">
        <w:rPr>
          <w:rFonts w:eastAsia="Times New Roman" w:cs="Times New Roman"/>
          <w:bCs/>
          <w:noProof w:val="0"/>
          <w:color w:val="212121"/>
          <w:szCs w:val="24"/>
        </w:rPr>
        <w:t xml:space="preserve"> </w:t>
      </w:r>
      <w:r w:rsidR="00FE5BAF" w:rsidRPr="00217688">
        <w:rPr>
          <w:rFonts w:eastAsia="Times New Roman" w:cs="Times New Roman"/>
          <w:bCs/>
          <w:noProof w:val="0"/>
          <w:color w:val="212121"/>
          <w:szCs w:val="24"/>
        </w:rPr>
        <w:t>ārzonu finanšu</w:t>
      </w:r>
      <w:r w:rsidR="00016883" w:rsidRPr="00217688">
        <w:rPr>
          <w:rFonts w:eastAsia="Times New Roman" w:cs="Times New Roman"/>
          <w:bCs/>
          <w:noProof w:val="0"/>
          <w:color w:val="212121"/>
          <w:szCs w:val="24"/>
        </w:rPr>
        <w:t xml:space="preserve"> centru </w:t>
      </w:r>
      <w:r w:rsidR="00FE5BAF" w:rsidRPr="00217688">
        <w:rPr>
          <w:rFonts w:eastAsia="Times New Roman" w:cs="Times New Roman"/>
          <w:bCs/>
          <w:noProof w:val="0"/>
          <w:color w:val="212121"/>
          <w:szCs w:val="24"/>
        </w:rPr>
        <w:t>piemērošanu</w:t>
      </w:r>
      <w:r w:rsidR="00A43303" w:rsidRPr="00217688">
        <w:rPr>
          <w:rFonts w:eastAsia="Times New Roman" w:cs="Times New Roman"/>
          <w:bCs/>
          <w:noProof w:val="0"/>
          <w:color w:val="212121"/>
          <w:szCs w:val="24"/>
        </w:rPr>
        <w:t xml:space="preserve"> aizdevumu </w:t>
      </w:r>
      <w:r w:rsidR="00FE5BAF" w:rsidRPr="00217688">
        <w:rPr>
          <w:rFonts w:eastAsia="Times New Roman" w:cs="Times New Roman"/>
          <w:bCs/>
          <w:noProof w:val="0"/>
          <w:color w:val="212121"/>
          <w:szCs w:val="24"/>
        </w:rPr>
        <w:t>operācijās</w:t>
      </w:r>
      <w:r w:rsidR="00A43303" w:rsidRPr="00217688">
        <w:rPr>
          <w:rFonts w:eastAsia="Times New Roman" w:cs="Times New Roman"/>
          <w:bCs/>
          <w:noProof w:val="0"/>
          <w:color w:val="212121"/>
          <w:szCs w:val="24"/>
        </w:rPr>
        <w:t xml:space="preserve"> (IFC/MIGA) </w:t>
      </w:r>
      <w:r w:rsidR="00FE5BAF" w:rsidRPr="00217688">
        <w:rPr>
          <w:rFonts w:eastAsia="Times New Roman" w:cs="Times New Roman"/>
          <w:bCs/>
          <w:noProof w:val="0"/>
          <w:color w:val="212121"/>
          <w:szCs w:val="24"/>
        </w:rPr>
        <w:t>pārskatīšanu</w:t>
      </w:r>
      <w:r w:rsidR="00A43303" w:rsidRPr="00217688">
        <w:rPr>
          <w:rFonts w:eastAsia="Times New Roman" w:cs="Times New Roman"/>
          <w:bCs/>
          <w:noProof w:val="0"/>
          <w:color w:val="212121"/>
          <w:szCs w:val="24"/>
        </w:rPr>
        <w:t xml:space="preserve">, </w:t>
      </w:r>
      <w:r w:rsidR="00FE5BAF" w:rsidRPr="00217688">
        <w:rPr>
          <w:rFonts w:eastAsia="Times New Roman" w:cs="Times New Roman"/>
          <w:bCs/>
          <w:noProof w:val="0"/>
          <w:color w:val="212121"/>
          <w:szCs w:val="24"/>
        </w:rPr>
        <w:t>ieviešot</w:t>
      </w:r>
      <w:r w:rsidR="00A43303" w:rsidRPr="00217688">
        <w:rPr>
          <w:rFonts w:eastAsia="Times New Roman" w:cs="Times New Roman"/>
          <w:bCs/>
          <w:noProof w:val="0"/>
          <w:color w:val="212121"/>
          <w:szCs w:val="24"/>
        </w:rPr>
        <w:t xml:space="preserve"> </w:t>
      </w:r>
      <w:r w:rsidR="00FE5BAF" w:rsidRPr="00217688">
        <w:rPr>
          <w:rFonts w:eastAsia="Times New Roman" w:cs="Times New Roman"/>
          <w:bCs/>
          <w:noProof w:val="0"/>
          <w:color w:val="212121"/>
          <w:szCs w:val="24"/>
        </w:rPr>
        <w:t>stingrāk</w:t>
      </w:r>
      <w:r w:rsidR="00C25143">
        <w:rPr>
          <w:rFonts w:eastAsia="Times New Roman" w:cs="Times New Roman"/>
          <w:bCs/>
          <w:noProof w:val="0"/>
          <w:color w:val="212121"/>
          <w:szCs w:val="24"/>
        </w:rPr>
        <w:t xml:space="preserve">as </w:t>
      </w:r>
      <w:r w:rsidR="00EF4663">
        <w:rPr>
          <w:rFonts w:eastAsia="Times New Roman" w:cs="Times New Roman"/>
          <w:bCs/>
          <w:noProof w:val="0"/>
          <w:color w:val="212121"/>
          <w:szCs w:val="24"/>
        </w:rPr>
        <w:t>prasības</w:t>
      </w:r>
      <w:r w:rsidR="00A43303" w:rsidRPr="00217688">
        <w:rPr>
          <w:rFonts w:eastAsia="Times New Roman" w:cs="Times New Roman"/>
          <w:bCs/>
          <w:noProof w:val="0"/>
          <w:color w:val="212121"/>
          <w:szCs w:val="24"/>
        </w:rPr>
        <w:t>;</w:t>
      </w:r>
    </w:p>
    <w:p w14:paraId="459770DD" w14:textId="77777777" w:rsidR="00947D89" w:rsidRPr="00217688" w:rsidRDefault="00947D89" w:rsidP="002F4FD9">
      <w:pPr>
        <w:pStyle w:val="ListParagraph"/>
        <w:numPr>
          <w:ilvl w:val="0"/>
          <w:numId w:val="12"/>
        </w:numPr>
        <w:ind w:hanging="357"/>
        <w:contextualSpacing w:val="0"/>
        <w:jc w:val="both"/>
        <w:rPr>
          <w:noProof w:val="0"/>
          <w:color w:val="212121"/>
          <w:shd w:val="clear" w:color="auto" w:fill="FFFFFF"/>
        </w:rPr>
      </w:pPr>
      <w:r w:rsidRPr="00217688">
        <w:rPr>
          <w:rFonts w:eastAsia="Times New Roman" w:cs="Times New Roman"/>
          <w:b/>
          <w:bCs/>
          <w:noProof w:val="0"/>
          <w:color w:val="212121"/>
          <w:szCs w:val="24"/>
        </w:rPr>
        <w:t xml:space="preserve">Nestabilās, vardarbības un konflikta </w:t>
      </w:r>
      <w:r w:rsidR="00782B07" w:rsidRPr="00217688">
        <w:rPr>
          <w:rFonts w:eastAsia="Times New Roman" w:cs="Times New Roman"/>
          <w:b/>
          <w:bCs/>
          <w:noProof w:val="0"/>
          <w:color w:val="212121"/>
          <w:szCs w:val="24"/>
        </w:rPr>
        <w:t>skarto situāciju vietās</w:t>
      </w:r>
      <w:r w:rsidRPr="00217688">
        <w:rPr>
          <w:rFonts w:eastAsia="Times New Roman" w:cs="Times New Roman"/>
          <w:bCs/>
          <w:noProof w:val="0"/>
          <w:color w:val="212121"/>
          <w:szCs w:val="24"/>
        </w:rPr>
        <w:t>: palielināt WBG darbinieku skaitu un motivēt viņus strādāt nestabilās</w:t>
      </w:r>
      <w:r w:rsidR="00782B07" w:rsidRPr="00217688">
        <w:rPr>
          <w:rFonts w:eastAsia="Times New Roman" w:cs="Times New Roman"/>
          <w:bCs/>
          <w:noProof w:val="0"/>
          <w:color w:val="212121"/>
          <w:szCs w:val="24"/>
        </w:rPr>
        <w:t>, vardarbības</w:t>
      </w:r>
      <w:r w:rsidRPr="00217688">
        <w:rPr>
          <w:rFonts w:eastAsia="Times New Roman" w:cs="Times New Roman"/>
          <w:bCs/>
          <w:noProof w:val="0"/>
          <w:color w:val="212121"/>
          <w:szCs w:val="24"/>
        </w:rPr>
        <w:t xml:space="preserve"> un konflikta skartās valstīs.</w:t>
      </w:r>
    </w:p>
    <w:p w14:paraId="5DD1B1F1" w14:textId="77777777" w:rsidR="00FE5BAF" w:rsidRPr="00217688" w:rsidRDefault="00FE5BAF" w:rsidP="002F4FD9">
      <w:pPr>
        <w:pStyle w:val="ListParagraph"/>
        <w:numPr>
          <w:ilvl w:val="0"/>
          <w:numId w:val="12"/>
        </w:numPr>
        <w:ind w:hanging="357"/>
        <w:contextualSpacing w:val="0"/>
        <w:jc w:val="both"/>
        <w:rPr>
          <w:noProof w:val="0"/>
          <w:color w:val="212121"/>
          <w:shd w:val="clear" w:color="auto" w:fill="FFFFFF"/>
        </w:rPr>
      </w:pPr>
      <w:r w:rsidRPr="00217688">
        <w:rPr>
          <w:rFonts w:eastAsia="Times New Roman" w:cs="Times New Roman"/>
          <w:b/>
          <w:bCs/>
          <w:noProof w:val="0"/>
          <w:color w:val="212121"/>
          <w:szCs w:val="24"/>
        </w:rPr>
        <w:t>Iekšējā</w:t>
      </w:r>
      <w:r w:rsidR="002F4FD9" w:rsidRPr="00217688">
        <w:rPr>
          <w:rFonts w:eastAsia="Times New Roman" w:cs="Times New Roman"/>
          <w:b/>
          <w:bCs/>
          <w:noProof w:val="0"/>
          <w:color w:val="212121"/>
          <w:szCs w:val="24"/>
        </w:rPr>
        <w:t>s</w:t>
      </w:r>
      <w:r w:rsidRPr="00217688">
        <w:rPr>
          <w:rFonts w:eastAsia="Times New Roman" w:cs="Times New Roman"/>
          <w:b/>
          <w:bCs/>
          <w:noProof w:val="0"/>
          <w:color w:val="212121"/>
          <w:szCs w:val="24"/>
        </w:rPr>
        <w:t xml:space="preserve"> efektivitātes jomā</w:t>
      </w:r>
      <w:r w:rsidRPr="00217688">
        <w:rPr>
          <w:noProof w:val="0"/>
          <w:color w:val="212121"/>
          <w:shd w:val="clear" w:color="auto" w:fill="FFFFFF"/>
        </w:rPr>
        <w:t>: līdz 2019.gadam (1) analizēt un piedāvāt pasākumus bankas institūciju (IFC, MIGA, IBRD, IDA) labākai integrācijai, piemēram, apvienojot kopīgās funkcijas; (2) nodrošināt efektīvu budžeta procesu un uzlabot ārējā finansējuma integrēšanu budžetā, kā arī iniciēt caurskatāmāku atalgojuma sistēmu.</w:t>
      </w:r>
    </w:p>
    <w:p w14:paraId="50A43FD2" w14:textId="77777777" w:rsidR="00FE5BAF" w:rsidRPr="00217688" w:rsidRDefault="00FE5BAF" w:rsidP="003904C4">
      <w:pPr>
        <w:pStyle w:val="ListParagraph"/>
        <w:numPr>
          <w:ilvl w:val="0"/>
          <w:numId w:val="12"/>
        </w:numPr>
        <w:spacing w:after="120"/>
        <w:ind w:hanging="357"/>
        <w:contextualSpacing w:val="0"/>
        <w:jc w:val="both"/>
        <w:rPr>
          <w:noProof w:val="0"/>
          <w:color w:val="212121"/>
          <w:shd w:val="clear" w:color="auto" w:fill="FFFFFF"/>
        </w:rPr>
      </w:pPr>
      <w:r w:rsidRPr="00217688">
        <w:rPr>
          <w:rFonts w:eastAsia="Times New Roman" w:cs="Times New Roman"/>
          <w:b/>
          <w:bCs/>
          <w:noProof w:val="0"/>
          <w:color w:val="212121"/>
          <w:szCs w:val="24"/>
        </w:rPr>
        <w:t>Sadarbības jomā</w:t>
      </w:r>
      <w:r w:rsidRPr="00217688">
        <w:rPr>
          <w:noProof w:val="0"/>
          <w:color w:val="212121"/>
          <w:shd w:val="clear" w:color="auto" w:fill="FFFFFF"/>
        </w:rPr>
        <w:t xml:space="preserve">: </w:t>
      </w:r>
      <w:r w:rsidR="002F4FD9" w:rsidRPr="00217688">
        <w:rPr>
          <w:noProof w:val="0"/>
          <w:color w:val="212121"/>
          <w:shd w:val="clear" w:color="auto" w:fill="FFFFFF"/>
        </w:rPr>
        <w:t>turpināt uzlabot sadarbību un koordināciju ar citiem at</w:t>
      </w:r>
      <w:r w:rsidR="00001ECD">
        <w:rPr>
          <w:noProof w:val="0"/>
          <w:color w:val="212121"/>
          <w:shd w:val="clear" w:color="auto" w:fill="FFFFFF"/>
        </w:rPr>
        <w:t>tīstības partneriem, tai skaitā</w:t>
      </w:r>
      <w:r w:rsidR="002F4FD9" w:rsidRPr="00217688">
        <w:rPr>
          <w:noProof w:val="0"/>
          <w:color w:val="212121"/>
          <w:shd w:val="clear" w:color="auto" w:fill="FFFFFF"/>
        </w:rPr>
        <w:t xml:space="preserve"> daudzpusējām attīstības bankām, ANO, divpusējiem donoriem, privāto sektoru.</w:t>
      </w:r>
    </w:p>
    <w:p w14:paraId="483129E3" w14:textId="78AAC34E" w:rsidR="00CC1EE9" w:rsidRPr="00217688" w:rsidRDefault="005C7964" w:rsidP="001010F2">
      <w:pPr>
        <w:spacing w:after="120"/>
        <w:jc w:val="both"/>
        <w:rPr>
          <w:noProof w:val="0"/>
          <w:color w:val="212121"/>
          <w:shd w:val="clear" w:color="auto" w:fill="FFFFFF"/>
        </w:rPr>
      </w:pPr>
      <w:r w:rsidRPr="00217688">
        <w:rPr>
          <w:b/>
          <w:noProof w:val="0"/>
          <w:color w:val="212121"/>
          <w:shd w:val="clear" w:color="auto" w:fill="FFFFFF"/>
        </w:rPr>
        <w:t>Kopš Latvija</w:t>
      </w:r>
      <w:r w:rsidR="008F1043" w:rsidRPr="00217688">
        <w:rPr>
          <w:b/>
          <w:noProof w:val="0"/>
          <w:color w:val="212121"/>
          <w:shd w:val="clear" w:color="auto" w:fill="FFFFFF"/>
        </w:rPr>
        <w:t>s</w:t>
      </w:r>
      <w:r w:rsidRPr="00217688">
        <w:rPr>
          <w:b/>
          <w:noProof w:val="0"/>
          <w:color w:val="212121"/>
          <w:shd w:val="clear" w:color="auto" w:fill="FFFFFF"/>
        </w:rPr>
        <w:t xml:space="preserve"> iestā</w:t>
      </w:r>
      <w:r w:rsidR="008F1043" w:rsidRPr="00217688">
        <w:rPr>
          <w:b/>
          <w:noProof w:val="0"/>
          <w:color w:val="212121"/>
          <w:shd w:val="clear" w:color="auto" w:fill="FFFFFF"/>
        </w:rPr>
        <w:t>šanās</w:t>
      </w:r>
      <w:r w:rsidRPr="00217688">
        <w:rPr>
          <w:b/>
          <w:noProof w:val="0"/>
          <w:color w:val="212121"/>
          <w:shd w:val="clear" w:color="auto" w:fill="FFFFFF"/>
        </w:rPr>
        <w:t xml:space="preserve"> WBG</w:t>
      </w:r>
      <w:r w:rsidR="0010652C" w:rsidRPr="00217688">
        <w:rPr>
          <w:rStyle w:val="FootnoteReference"/>
          <w:b/>
          <w:noProof w:val="0"/>
          <w:color w:val="212121"/>
          <w:shd w:val="clear" w:color="auto" w:fill="FFFFFF"/>
        </w:rPr>
        <w:footnoteReference w:id="47"/>
      </w:r>
      <w:r w:rsidRPr="00217688">
        <w:rPr>
          <w:b/>
          <w:noProof w:val="0"/>
          <w:color w:val="212121"/>
          <w:shd w:val="clear" w:color="auto" w:fill="FFFFFF"/>
        </w:rPr>
        <w:t xml:space="preserve"> saņēmējvalsts</w:t>
      </w:r>
      <w:r w:rsidR="0058635E" w:rsidRPr="00217688">
        <w:rPr>
          <w:b/>
          <w:noProof w:val="0"/>
          <w:color w:val="212121"/>
          <w:shd w:val="clear" w:color="auto" w:fill="FFFFFF"/>
        </w:rPr>
        <w:t xml:space="preserve"> statusā</w:t>
      </w:r>
      <w:r w:rsidRPr="00217688">
        <w:rPr>
          <w:b/>
          <w:noProof w:val="0"/>
          <w:color w:val="212121"/>
          <w:shd w:val="clear" w:color="auto" w:fill="FFFFFF"/>
        </w:rPr>
        <w:t>, WBG ir sniegusi attīstības palīdzību Latvijai kopumā 34 projektos</w:t>
      </w:r>
      <w:r w:rsidR="00884841" w:rsidRPr="00217688">
        <w:rPr>
          <w:noProof w:val="0"/>
          <w:color w:val="212121"/>
          <w:shd w:val="clear" w:color="auto" w:fill="FFFFFF"/>
        </w:rPr>
        <w:t>,</w:t>
      </w:r>
      <w:r w:rsidRPr="00217688">
        <w:rPr>
          <w:rStyle w:val="FootnoteReference"/>
          <w:noProof w:val="0"/>
          <w:color w:val="212121"/>
          <w:shd w:val="clear" w:color="auto" w:fill="FFFFFF"/>
        </w:rPr>
        <w:footnoteReference w:id="48"/>
      </w:r>
      <w:r w:rsidRPr="00217688">
        <w:rPr>
          <w:noProof w:val="0"/>
          <w:color w:val="212121"/>
          <w:shd w:val="clear" w:color="auto" w:fill="FFFFFF"/>
        </w:rPr>
        <w:t xml:space="preserve"> </w:t>
      </w:r>
      <w:r w:rsidR="00884841" w:rsidRPr="00001ECD">
        <w:rPr>
          <w:noProof w:val="0"/>
          <w:color w:val="212121"/>
          <w:shd w:val="clear" w:color="auto" w:fill="FFFFFF"/>
        </w:rPr>
        <w:t>t</w:t>
      </w:r>
      <w:r w:rsidR="00CE2023" w:rsidRPr="00001ECD">
        <w:rPr>
          <w:noProof w:val="0"/>
          <w:color w:val="212121"/>
          <w:shd w:val="clear" w:color="auto" w:fill="FFFFFF"/>
        </w:rPr>
        <w:t>urklāt</w:t>
      </w:r>
      <w:r w:rsidRPr="00001ECD">
        <w:rPr>
          <w:noProof w:val="0"/>
          <w:color w:val="212121"/>
          <w:shd w:val="clear" w:color="auto" w:fill="FFFFFF"/>
        </w:rPr>
        <w:t xml:space="preserve"> finanšu krīzes laikā 2008.gadā WBG izsniedza aizdevumu Latvijai EUR 400 miljonu apmērā. </w:t>
      </w:r>
      <w:r w:rsidRPr="00217688">
        <w:rPr>
          <w:noProof w:val="0"/>
          <w:color w:val="212121"/>
          <w:shd w:val="clear" w:color="auto" w:fill="FFFFFF"/>
        </w:rPr>
        <w:t xml:space="preserve">Savukārt kopš 2012.gada Latvija ir saņēmusi tehnisko palīdzību no </w:t>
      </w:r>
      <w:r w:rsidR="00CE2023" w:rsidRPr="00217688">
        <w:rPr>
          <w:noProof w:val="0"/>
          <w:color w:val="212121"/>
          <w:shd w:val="clear" w:color="auto" w:fill="FFFFFF"/>
        </w:rPr>
        <w:t xml:space="preserve">WBG jau </w:t>
      </w:r>
      <w:r w:rsidR="00790CFF" w:rsidRPr="00217688">
        <w:rPr>
          <w:noProof w:val="0"/>
          <w:color w:val="212121"/>
          <w:shd w:val="clear" w:color="auto" w:fill="FFFFFF"/>
        </w:rPr>
        <w:t xml:space="preserve">esot </w:t>
      </w:r>
      <w:proofErr w:type="spellStart"/>
      <w:r w:rsidR="00CE2023" w:rsidRPr="00217688">
        <w:rPr>
          <w:noProof w:val="0"/>
          <w:color w:val="212121"/>
          <w:shd w:val="clear" w:color="auto" w:fill="FFFFFF"/>
        </w:rPr>
        <w:t>donorvalsts</w:t>
      </w:r>
      <w:proofErr w:type="spellEnd"/>
      <w:r w:rsidR="00CE2023" w:rsidRPr="00217688">
        <w:rPr>
          <w:noProof w:val="0"/>
          <w:color w:val="212121"/>
          <w:shd w:val="clear" w:color="auto" w:fill="FFFFFF"/>
        </w:rPr>
        <w:t xml:space="preserve"> statusā</w:t>
      </w:r>
      <w:r w:rsidR="008352D9" w:rsidRPr="00217688">
        <w:rPr>
          <w:noProof w:val="0"/>
          <w:color w:val="212121"/>
          <w:shd w:val="clear" w:color="auto" w:fill="FFFFFF"/>
        </w:rPr>
        <w:t xml:space="preserve"> kopumā</w:t>
      </w:r>
      <w:r w:rsidRPr="00217688">
        <w:rPr>
          <w:noProof w:val="0"/>
          <w:color w:val="212121"/>
          <w:shd w:val="clear" w:color="auto" w:fill="FFFFFF"/>
        </w:rPr>
        <w:t xml:space="preserve"> </w:t>
      </w:r>
      <w:r w:rsidR="00884841" w:rsidRPr="00217688">
        <w:rPr>
          <w:noProof w:val="0"/>
          <w:color w:val="212121"/>
          <w:shd w:val="clear" w:color="auto" w:fill="FFFFFF"/>
        </w:rPr>
        <w:t>deviņos</w:t>
      </w:r>
      <w:r w:rsidRPr="00217688">
        <w:rPr>
          <w:noProof w:val="0"/>
          <w:color w:val="212121"/>
          <w:shd w:val="clear" w:color="auto" w:fill="FFFFFF"/>
        </w:rPr>
        <w:t xml:space="preserve"> projektos</w:t>
      </w:r>
      <w:r w:rsidR="00A43303" w:rsidRPr="00217688">
        <w:rPr>
          <w:noProof w:val="0"/>
          <w:color w:val="212121"/>
          <w:shd w:val="clear" w:color="auto" w:fill="FFFFFF"/>
        </w:rPr>
        <w:t xml:space="preserve">. </w:t>
      </w:r>
      <w:r w:rsidR="00F26986" w:rsidRPr="00217688">
        <w:rPr>
          <w:noProof w:val="0"/>
          <w:szCs w:val="24"/>
        </w:rPr>
        <w:t>WBG</w:t>
      </w:r>
      <w:r w:rsidR="005B07CD" w:rsidRPr="00217688">
        <w:rPr>
          <w:noProof w:val="0"/>
          <w:szCs w:val="24"/>
        </w:rPr>
        <w:t xml:space="preserve"> </w:t>
      </w:r>
      <w:r w:rsidR="00D105CE" w:rsidRPr="00217688">
        <w:rPr>
          <w:noProof w:val="0"/>
          <w:szCs w:val="24"/>
        </w:rPr>
        <w:t>intensīvi</w:t>
      </w:r>
      <w:r w:rsidR="005B07CD" w:rsidRPr="00217688">
        <w:rPr>
          <w:noProof w:val="0"/>
          <w:szCs w:val="24"/>
        </w:rPr>
        <w:t xml:space="preserve"> sadarbojas </w:t>
      </w:r>
      <w:r w:rsidR="0062194A" w:rsidRPr="00217688">
        <w:rPr>
          <w:noProof w:val="0"/>
          <w:szCs w:val="24"/>
        </w:rPr>
        <w:t xml:space="preserve">arī </w:t>
      </w:r>
      <w:r w:rsidR="005B07CD" w:rsidRPr="00217688">
        <w:rPr>
          <w:noProof w:val="0"/>
          <w:szCs w:val="24"/>
        </w:rPr>
        <w:t xml:space="preserve">ar privāto sektoru, piedāvājot iespējas piedalīties gan </w:t>
      </w:r>
      <w:r w:rsidR="00F26986" w:rsidRPr="00217688">
        <w:rPr>
          <w:noProof w:val="0"/>
          <w:szCs w:val="24"/>
        </w:rPr>
        <w:t xml:space="preserve">WBG </w:t>
      </w:r>
      <w:r w:rsidR="005B07CD" w:rsidRPr="00217688">
        <w:rPr>
          <w:noProof w:val="0"/>
          <w:szCs w:val="24"/>
        </w:rPr>
        <w:t xml:space="preserve">iekšējos korporatīvajos </w:t>
      </w:r>
      <w:r w:rsidR="005B07CD" w:rsidRPr="00217688">
        <w:rPr>
          <w:noProof w:val="0"/>
          <w:szCs w:val="24"/>
        </w:rPr>
        <w:lastRenderedPageBreak/>
        <w:t>iepirkumos</w:t>
      </w:r>
      <w:r w:rsidR="0071137E" w:rsidRPr="00217688">
        <w:rPr>
          <w:noProof w:val="0"/>
          <w:szCs w:val="24"/>
        </w:rPr>
        <w:t>, kuru finansējums</w:t>
      </w:r>
      <w:r w:rsidR="005B07CD" w:rsidRPr="00217688">
        <w:rPr>
          <w:noProof w:val="0"/>
          <w:szCs w:val="24"/>
        </w:rPr>
        <w:t xml:space="preserve"> gadā ir līdz US</w:t>
      </w:r>
      <w:r w:rsidR="009E791D">
        <w:rPr>
          <w:noProof w:val="0"/>
          <w:szCs w:val="24"/>
        </w:rPr>
        <w:t xml:space="preserve">D </w:t>
      </w:r>
      <w:r w:rsidR="005B07CD" w:rsidRPr="00217688">
        <w:rPr>
          <w:noProof w:val="0"/>
          <w:szCs w:val="24"/>
        </w:rPr>
        <w:t>2 miljardiem, gan iepirkumos projektu īstenošanai saņēmējvalstīs, kuru finansējums gadā ir līdz US</w:t>
      </w:r>
      <w:r w:rsidR="009E791D">
        <w:rPr>
          <w:noProof w:val="0"/>
          <w:szCs w:val="24"/>
        </w:rPr>
        <w:t xml:space="preserve">D </w:t>
      </w:r>
      <w:r w:rsidR="005B07CD" w:rsidRPr="00217688">
        <w:rPr>
          <w:noProof w:val="0"/>
          <w:szCs w:val="24"/>
        </w:rPr>
        <w:t>20 miljardiem</w:t>
      </w:r>
      <w:r w:rsidR="00C87778" w:rsidRPr="00217688">
        <w:rPr>
          <w:noProof w:val="0"/>
          <w:szCs w:val="24"/>
        </w:rPr>
        <w:t xml:space="preserve">. </w:t>
      </w:r>
      <w:r w:rsidR="00CC1EE9" w:rsidRPr="00217688">
        <w:rPr>
          <w:noProof w:val="0"/>
          <w:color w:val="212121"/>
          <w:shd w:val="clear" w:color="auto" w:fill="FFFFFF"/>
        </w:rPr>
        <w:t>Laika posmā no 2004.-2017.gadam WBG ir veicinājusi arī Latvijas uzņēmumu pakalpojumu</w:t>
      </w:r>
      <w:r w:rsidR="005E07FE" w:rsidRPr="00217688">
        <w:rPr>
          <w:noProof w:val="0"/>
          <w:color w:val="212121"/>
          <w:shd w:val="clear" w:color="auto" w:fill="FFFFFF"/>
        </w:rPr>
        <w:t xml:space="preserve"> un konsultāciju</w:t>
      </w:r>
      <w:r w:rsidR="00CC1EE9" w:rsidRPr="00217688">
        <w:rPr>
          <w:noProof w:val="0"/>
          <w:color w:val="212121"/>
          <w:shd w:val="clear" w:color="auto" w:fill="FFFFFF"/>
        </w:rPr>
        <w:t xml:space="preserve"> eksportu caur WBG īstenotajiem projektiem US</w:t>
      </w:r>
      <w:r w:rsidR="009E791D">
        <w:rPr>
          <w:noProof w:val="0"/>
          <w:color w:val="212121"/>
          <w:shd w:val="clear" w:color="auto" w:fill="FFFFFF"/>
        </w:rPr>
        <w:t xml:space="preserve">D </w:t>
      </w:r>
      <w:r w:rsidR="00CC1EE9" w:rsidRPr="00217688">
        <w:rPr>
          <w:noProof w:val="0"/>
          <w:color w:val="212121"/>
          <w:shd w:val="clear" w:color="auto" w:fill="FFFFFF"/>
        </w:rPr>
        <w:t>29.28 miljonu apmērā, realizējot 64 projektus WBG saņēmējvalstīs.</w:t>
      </w:r>
      <w:r w:rsidR="00FF5C6F" w:rsidRPr="00217688">
        <w:rPr>
          <w:rStyle w:val="FootnoteReference"/>
          <w:noProof w:val="0"/>
          <w:color w:val="212121"/>
          <w:shd w:val="clear" w:color="auto" w:fill="FFFFFF"/>
        </w:rPr>
        <w:footnoteReference w:id="49"/>
      </w:r>
      <w:r w:rsidR="00CC1EE9" w:rsidRPr="00217688">
        <w:rPr>
          <w:noProof w:val="0"/>
          <w:color w:val="212121"/>
          <w:shd w:val="clear" w:color="auto" w:fill="FFFFFF"/>
        </w:rPr>
        <w:t xml:space="preserve"> Pēdējo desmit gadu laikā Latvijas uzņēmēji ir piedalījušies WBG finansēto </w:t>
      </w:r>
      <w:r w:rsidR="00637102" w:rsidRPr="00217688">
        <w:rPr>
          <w:noProof w:val="0"/>
          <w:color w:val="212121"/>
          <w:shd w:val="clear" w:color="auto" w:fill="FFFFFF"/>
        </w:rPr>
        <w:t xml:space="preserve">projektu īstenošanā </w:t>
      </w:r>
      <w:r w:rsidR="00CC1EE9" w:rsidRPr="00217688">
        <w:rPr>
          <w:noProof w:val="0"/>
          <w:color w:val="212121"/>
          <w:shd w:val="clear" w:color="auto" w:fill="FFFFFF"/>
        </w:rPr>
        <w:t>tādās valstīs kā Afganistāna, Argentīna, Azerbaidžāna, Baltkrievija, Bangladeša, Gruzija, Kirgizstānas Republika, Krievija, Moldova</w:t>
      </w:r>
      <w:r w:rsidR="00696558">
        <w:rPr>
          <w:noProof w:val="0"/>
          <w:color w:val="212121"/>
          <w:shd w:val="clear" w:color="auto" w:fill="FFFFFF"/>
        </w:rPr>
        <w:t>,</w:t>
      </w:r>
      <w:r w:rsidR="00CC1EE9" w:rsidRPr="00217688">
        <w:rPr>
          <w:noProof w:val="0"/>
          <w:color w:val="212121"/>
          <w:shd w:val="clear" w:color="auto" w:fill="FFFFFF"/>
        </w:rPr>
        <w:t xml:space="preserve"> Tadžikistāna, Ukraina un Uzbekistāna. Kopš 2010.gada WBG ir piesaistījusi arī sešus konsultāciju pakalpojumu sniedzējus no Latvijas, kas piedalījās tehniskā atbalsta sniegšanā WBG saņēmējvalstīs. Papildus tam, WBG nodarbina </w:t>
      </w:r>
      <w:r w:rsidR="009118CA" w:rsidRPr="00217688">
        <w:rPr>
          <w:noProof w:val="0"/>
          <w:color w:val="212121"/>
          <w:shd w:val="clear" w:color="auto" w:fill="FFFFFF"/>
        </w:rPr>
        <w:t xml:space="preserve">15 </w:t>
      </w:r>
      <w:r w:rsidR="00CC1EE9" w:rsidRPr="00217688">
        <w:rPr>
          <w:noProof w:val="0"/>
          <w:color w:val="212121"/>
          <w:shd w:val="clear" w:color="auto" w:fill="FFFFFF"/>
        </w:rPr>
        <w:t>profesionāļus no Latvijas.</w:t>
      </w:r>
    </w:p>
    <w:p w14:paraId="040D9530" w14:textId="33E9C96A" w:rsidR="007073EF" w:rsidRPr="00217688" w:rsidRDefault="005A36A2" w:rsidP="007073EF">
      <w:pPr>
        <w:shd w:val="clear" w:color="auto" w:fill="FFFFFF"/>
        <w:spacing w:after="120"/>
        <w:jc w:val="both"/>
        <w:rPr>
          <w:rFonts w:eastAsia="Times New Roman"/>
          <w:noProof w:val="0"/>
          <w:szCs w:val="24"/>
          <w:lang w:eastAsia="ar-SA"/>
        </w:rPr>
      </w:pPr>
      <w:r w:rsidRPr="005330DD">
        <w:rPr>
          <w:rFonts w:eastAsia="Times New Roman" w:cs="Times New Roman"/>
          <w:noProof w:val="0"/>
          <w:color w:val="212121"/>
          <w:szCs w:val="24"/>
        </w:rPr>
        <w:t>Pēdējo reizi IBRD kapitāla palie</w:t>
      </w:r>
      <w:r w:rsidR="001010F2" w:rsidRPr="005330DD">
        <w:rPr>
          <w:rFonts w:eastAsia="Times New Roman" w:cs="Times New Roman"/>
          <w:noProof w:val="0"/>
          <w:color w:val="212121"/>
          <w:szCs w:val="24"/>
        </w:rPr>
        <w:t xml:space="preserve">lināšana tika veikta 2010.gadā un tās </w:t>
      </w:r>
      <w:r w:rsidRPr="005330DD">
        <w:rPr>
          <w:rFonts w:eastAsia="Times New Roman" w:cs="Times New Roman"/>
          <w:noProof w:val="0"/>
          <w:color w:val="212121"/>
          <w:szCs w:val="24"/>
        </w:rPr>
        <w:t>ietvaros Latvijas kapitāla da</w:t>
      </w:r>
      <w:r w:rsidR="005330DD" w:rsidRPr="005330DD">
        <w:rPr>
          <w:rFonts w:eastAsia="Times New Roman" w:cs="Times New Roman"/>
          <w:noProof w:val="0"/>
          <w:color w:val="212121"/>
          <w:szCs w:val="24"/>
        </w:rPr>
        <w:t>ļa palielinājās par 370 akcijām US</w:t>
      </w:r>
      <w:r w:rsidR="009E791D">
        <w:rPr>
          <w:rFonts w:eastAsia="Times New Roman" w:cs="Times New Roman"/>
          <w:noProof w:val="0"/>
          <w:color w:val="212121"/>
          <w:szCs w:val="24"/>
        </w:rPr>
        <w:t xml:space="preserve">D </w:t>
      </w:r>
      <w:r w:rsidR="005330DD" w:rsidRPr="005330DD">
        <w:rPr>
          <w:rFonts w:eastAsia="Times New Roman" w:cs="Times New Roman"/>
          <w:noProof w:val="0"/>
          <w:color w:val="212121"/>
          <w:szCs w:val="24"/>
        </w:rPr>
        <w:t>44,6 miljonu apmērā, tai skaitā</w:t>
      </w:r>
      <w:r w:rsidRPr="005330DD">
        <w:rPr>
          <w:rFonts w:eastAsia="Times New Roman" w:cs="Times New Roman"/>
          <w:noProof w:val="0"/>
          <w:color w:val="212121"/>
          <w:szCs w:val="24"/>
        </w:rPr>
        <w:t xml:space="preserve"> veicot tiešu iemaksu apmaksātajā kapitālā US</w:t>
      </w:r>
      <w:r w:rsidR="009E791D">
        <w:rPr>
          <w:rFonts w:eastAsia="Times New Roman" w:cs="Times New Roman"/>
          <w:noProof w:val="0"/>
          <w:color w:val="212121"/>
          <w:szCs w:val="24"/>
        </w:rPr>
        <w:t xml:space="preserve">D </w:t>
      </w:r>
      <w:r w:rsidRPr="005330DD">
        <w:rPr>
          <w:rFonts w:eastAsia="Times New Roman" w:cs="Times New Roman"/>
          <w:noProof w:val="0"/>
          <w:color w:val="212121"/>
          <w:szCs w:val="24"/>
        </w:rPr>
        <w:t xml:space="preserve">2,68 miljonu apmērā. </w:t>
      </w:r>
      <w:r w:rsidR="007073EF" w:rsidRPr="005330DD">
        <w:rPr>
          <w:rFonts w:eastAsia="Times New Roman" w:cs="Times New Roman"/>
          <w:noProof w:val="0"/>
          <w:color w:val="212121"/>
          <w:szCs w:val="24"/>
        </w:rPr>
        <w:t xml:space="preserve">Piedaloties IBRD un IFC kapitāla palielināšanā 2018.gada WBG kapitāla stiprināšanas </w:t>
      </w:r>
      <w:proofErr w:type="spellStart"/>
      <w:r w:rsidR="007073EF" w:rsidRPr="005330DD">
        <w:rPr>
          <w:rFonts w:eastAsia="Times New Roman" w:cs="Times New Roman"/>
          <w:noProof w:val="0"/>
          <w:color w:val="212121"/>
          <w:szCs w:val="24"/>
        </w:rPr>
        <w:t>pakotnes</w:t>
      </w:r>
      <w:proofErr w:type="spellEnd"/>
      <w:r w:rsidR="007073EF" w:rsidRPr="005330DD">
        <w:rPr>
          <w:rFonts w:eastAsia="Times New Roman" w:cs="Times New Roman"/>
          <w:noProof w:val="0"/>
          <w:color w:val="212121"/>
          <w:szCs w:val="24"/>
        </w:rPr>
        <w:t xml:space="preserve"> ietvaros, Latvija kopumā iegūs papildus 19,166 akcijas IFC nesadalītās peļņas konvertācijas, IBRD </w:t>
      </w:r>
      <w:r w:rsidR="00960344" w:rsidRPr="005330DD">
        <w:rPr>
          <w:rFonts w:eastAsia="Times New Roman" w:cs="Times New Roman"/>
          <w:noProof w:val="0"/>
          <w:color w:val="212121"/>
          <w:szCs w:val="24"/>
        </w:rPr>
        <w:t xml:space="preserve">kapitāla uz pieprasījumu </w:t>
      </w:r>
      <w:r w:rsidR="007073EF" w:rsidRPr="005330DD">
        <w:rPr>
          <w:rFonts w:eastAsia="Times New Roman" w:cs="Times New Roman"/>
          <w:noProof w:val="0"/>
          <w:color w:val="212121"/>
          <w:szCs w:val="24"/>
        </w:rPr>
        <w:t>un apmaksātās kapitāla daļas palielināšanas rezultātā, tai skaitā veicot tiešu iemaksu IBRD u</w:t>
      </w:r>
      <w:r w:rsidR="00164E0C" w:rsidRPr="005330DD">
        <w:rPr>
          <w:rFonts w:eastAsia="Times New Roman" w:cs="Times New Roman"/>
          <w:noProof w:val="0"/>
          <w:color w:val="212121"/>
          <w:szCs w:val="24"/>
        </w:rPr>
        <w:t>n IFC apmaksātajā kapitālā kop</w:t>
      </w:r>
      <w:r w:rsidR="007073EF" w:rsidRPr="005330DD">
        <w:rPr>
          <w:rFonts w:eastAsia="Times New Roman" w:cs="Times New Roman"/>
          <w:noProof w:val="0"/>
          <w:color w:val="212121"/>
          <w:szCs w:val="24"/>
        </w:rPr>
        <w:t>ā US</w:t>
      </w:r>
      <w:r w:rsidR="009E791D">
        <w:rPr>
          <w:rFonts w:eastAsia="Times New Roman" w:cs="Times New Roman"/>
          <w:noProof w:val="0"/>
          <w:color w:val="212121"/>
          <w:szCs w:val="24"/>
        </w:rPr>
        <w:t xml:space="preserve">D </w:t>
      </w:r>
      <w:r w:rsidR="007073EF" w:rsidRPr="005330DD">
        <w:rPr>
          <w:rFonts w:eastAsia="Times New Roman" w:cs="Times New Roman"/>
          <w:noProof w:val="0"/>
          <w:color w:val="212121"/>
          <w:szCs w:val="24"/>
        </w:rPr>
        <w:t xml:space="preserve">9.52 miljonu apmērā piecu gadu laikā no 2020.gada. </w:t>
      </w:r>
      <w:r w:rsidR="00164E0C" w:rsidRPr="005330DD">
        <w:rPr>
          <w:rFonts w:eastAsia="Times New Roman" w:cs="Times New Roman"/>
          <w:noProof w:val="0"/>
          <w:color w:val="212121"/>
          <w:szCs w:val="24"/>
        </w:rPr>
        <w:t>Kapitāla palielināšanas rezultātā Latvija</w:t>
      </w:r>
      <w:r w:rsidR="009C5D47">
        <w:rPr>
          <w:rFonts w:eastAsia="Times New Roman" w:cs="Times New Roman"/>
          <w:noProof w:val="0"/>
          <w:color w:val="212121"/>
          <w:szCs w:val="24"/>
        </w:rPr>
        <w:t>s kapitāla daļa IBRD sastādīs 0.</w:t>
      </w:r>
      <w:r w:rsidR="00164E0C" w:rsidRPr="005330DD">
        <w:rPr>
          <w:rFonts w:eastAsia="Times New Roman" w:cs="Times New Roman"/>
          <w:noProof w:val="0"/>
          <w:color w:val="212121"/>
          <w:szCs w:val="24"/>
        </w:rPr>
        <w:t>073 procentus</w:t>
      </w:r>
      <w:r w:rsidR="001010F2" w:rsidRPr="005330DD">
        <w:rPr>
          <w:rFonts w:eastAsia="Times New Roman" w:cs="Times New Roman"/>
          <w:noProof w:val="0"/>
          <w:color w:val="212121"/>
          <w:szCs w:val="24"/>
        </w:rPr>
        <w:t>, kas nodrošinās</w:t>
      </w:r>
      <w:r w:rsidR="009C5D47">
        <w:rPr>
          <w:rFonts w:eastAsia="Times New Roman" w:cs="Times New Roman"/>
          <w:noProof w:val="0"/>
          <w:color w:val="212121"/>
          <w:szCs w:val="24"/>
        </w:rPr>
        <w:t xml:space="preserve"> 0.</w:t>
      </w:r>
      <w:r w:rsidR="00164E0C" w:rsidRPr="005330DD">
        <w:rPr>
          <w:rFonts w:eastAsia="Times New Roman" w:cs="Times New Roman"/>
          <w:noProof w:val="0"/>
          <w:color w:val="212121"/>
          <w:szCs w:val="24"/>
        </w:rPr>
        <w:t xml:space="preserve">098 procentus </w:t>
      </w:r>
      <w:r w:rsidR="001010F2" w:rsidRPr="005330DD">
        <w:rPr>
          <w:rFonts w:eastAsia="Times New Roman" w:cs="Times New Roman"/>
          <w:noProof w:val="0"/>
          <w:color w:val="212121"/>
          <w:szCs w:val="24"/>
        </w:rPr>
        <w:t>balsstiesības</w:t>
      </w:r>
      <w:r w:rsidR="00164E0C" w:rsidRPr="005330DD">
        <w:rPr>
          <w:rFonts w:eastAsia="Times New Roman" w:cs="Times New Roman"/>
          <w:noProof w:val="0"/>
          <w:color w:val="212121"/>
          <w:szCs w:val="24"/>
        </w:rPr>
        <w:t>, savukārt Latvijas kapitāla daļa IFC s</w:t>
      </w:r>
      <w:r w:rsidR="009C5D47">
        <w:rPr>
          <w:rFonts w:eastAsia="Times New Roman" w:cs="Times New Roman"/>
          <w:noProof w:val="0"/>
          <w:color w:val="212121"/>
          <w:szCs w:val="24"/>
        </w:rPr>
        <w:t>astādīs 0.</w:t>
      </w:r>
      <w:r w:rsidR="00164E0C" w:rsidRPr="005330DD">
        <w:rPr>
          <w:rFonts w:eastAsia="Times New Roman" w:cs="Times New Roman"/>
          <w:noProof w:val="0"/>
          <w:color w:val="212121"/>
          <w:szCs w:val="24"/>
        </w:rPr>
        <w:t>08 proc</w:t>
      </w:r>
      <w:r w:rsidR="009C5D47">
        <w:rPr>
          <w:rFonts w:eastAsia="Times New Roman" w:cs="Times New Roman"/>
          <w:noProof w:val="0"/>
          <w:color w:val="212121"/>
          <w:szCs w:val="24"/>
        </w:rPr>
        <w:t>entus akcijas, kas nodrošinās 0.</w:t>
      </w:r>
      <w:r w:rsidR="00164E0C" w:rsidRPr="005330DD">
        <w:rPr>
          <w:rFonts w:eastAsia="Times New Roman" w:cs="Times New Roman"/>
          <w:noProof w:val="0"/>
          <w:color w:val="212121"/>
          <w:szCs w:val="24"/>
        </w:rPr>
        <w:t xml:space="preserve">11 procentus balsstiesības. </w:t>
      </w:r>
      <w:r w:rsidRPr="005330DD">
        <w:rPr>
          <w:rFonts w:eastAsia="Times New Roman" w:cs="Times New Roman"/>
          <w:noProof w:val="0"/>
          <w:color w:val="212121"/>
          <w:szCs w:val="24"/>
        </w:rPr>
        <w:t xml:space="preserve"> </w:t>
      </w:r>
      <w:r w:rsidR="007073EF" w:rsidRPr="001010F2">
        <w:rPr>
          <w:rFonts w:eastAsia="Times New Roman"/>
          <w:noProof w:val="0"/>
          <w:szCs w:val="24"/>
          <w:lang w:eastAsia="ar-SA"/>
        </w:rPr>
        <w:t>IBRD un IFC kapitāla palielināšana tiek plānota kā finansēšanas darījums, kam nav ietekmes uz valsts budžeta bilanci pēc nacionālās budžeta uzskaites metodoloģijas un vispārējās valdības budžeta bilanci atbilstoši Eiropas Kontu sistēmas metodoloģijai.</w:t>
      </w:r>
    </w:p>
    <w:p w14:paraId="099BBFB2" w14:textId="55F1453F" w:rsidR="00AD6549" w:rsidRPr="009C5D47" w:rsidRDefault="00BD5115" w:rsidP="00A665D4">
      <w:pPr>
        <w:jc w:val="both"/>
        <w:rPr>
          <w:rFonts w:cs="Times New Roman"/>
          <w:noProof w:val="0"/>
          <w:szCs w:val="24"/>
        </w:rPr>
      </w:pPr>
      <w:r w:rsidRPr="00217688">
        <w:rPr>
          <w:rFonts w:cs="Times New Roman"/>
          <w:noProof w:val="0"/>
          <w:szCs w:val="24"/>
        </w:rPr>
        <w:t>Latvijas attīstības sadarbības finansējuma saistības izriet no E</w:t>
      </w:r>
      <w:r w:rsidR="00952A42">
        <w:rPr>
          <w:rFonts w:cs="Times New Roman"/>
          <w:noProof w:val="0"/>
          <w:szCs w:val="24"/>
        </w:rPr>
        <w:t xml:space="preserve">iropas </w:t>
      </w:r>
      <w:r w:rsidRPr="00217688">
        <w:rPr>
          <w:rFonts w:cs="Times New Roman"/>
          <w:noProof w:val="0"/>
          <w:szCs w:val="24"/>
        </w:rPr>
        <w:t>S</w:t>
      </w:r>
      <w:r w:rsidR="00952A42">
        <w:rPr>
          <w:rFonts w:cs="Times New Roman"/>
          <w:noProof w:val="0"/>
          <w:szCs w:val="24"/>
        </w:rPr>
        <w:t>avienības (turpmāk – ES)</w:t>
      </w:r>
      <w:r w:rsidRPr="00217688">
        <w:rPr>
          <w:rFonts w:cs="Times New Roman"/>
          <w:noProof w:val="0"/>
          <w:szCs w:val="24"/>
        </w:rPr>
        <w:t xml:space="preserve"> ietvaros apstiprinātajām finansējuma saistībām. Atbilstoši šīm saistībām ES un tās dalībvalstīm kopā līdz 2030.gadam attīstības sadarbībai ir jāvelta 0.7</w:t>
      </w:r>
      <w:r w:rsidR="00ED2D6D" w:rsidRPr="00217688">
        <w:rPr>
          <w:rFonts w:cs="Times New Roman"/>
          <w:noProof w:val="0"/>
          <w:szCs w:val="24"/>
        </w:rPr>
        <w:t xml:space="preserve"> procenti</w:t>
      </w:r>
      <w:r w:rsidRPr="00217688">
        <w:rPr>
          <w:rFonts w:cs="Times New Roman"/>
          <w:noProof w:val="0"/>
          <w:szCs w:val="24"/>
        </w:rPr>
        <w:t xml:space="preserve"> no nacionālā kopienākuma (turpmāk </w:t>
      </w:r>
      <w:r w:rsidR="00ED2D6D" w:rsidRPr="00217688">
        <w:rPr>
          <w:rFonts w:cs="Times New Roman"/>
          <w:noProof w:val="0"/>
          <w:szCs w:val="24"/>
        </w:rPr>
        <w:t xml:space="preserve">- </w:t>
      </w:r>
      <w:r w:rsidRPr="00217688">
        <w:rPr>
          <w:rFonts w:cs="Times New Roman"/>
          <w:noProof w:val="0"/>
          <w:szCs w:val="24"/>
        </w:rPr>
        <w:t>NKI), tajā skaitā 0.15–0.20</w:t>
      </w:r>
      <w:r w:rsidR="00ED2D6D" w:rsidRPr="00217688">
        <w:rPr>
          <w:rFonts w:cs="Times New Roman"/>
          <w:noProof w:val="0"/>
          <w:szCs w:val="24"/>
        </w:rPr>
        <w:t xml:space="preserve"> procentus</w:t>
      </w:r>
      <w:r w:rsidRPr="00217688">
        <w:rPr>
          <w:rFonts w:cs="Times New Roman"/>
          <w:noProof w:val="0"/>
          <w:szCs w:val="24"/>
        </w:rPr>
        <w:t xml:space="preserve"> no NKI novirzot vismazāk attīstītajām valstīm. Šie ES finansējuma mērķi izriet no ANO 2015.gada jūlijā pieņemtās Adisabebas Rīcības programmas. Latvijai attiecīgi līdz 2030.gadam attīstības sadarbībai jātiecas atvēlēt 0.33 </w:t>
      </w:r>
      <w:r w:rsidR="00ED2D6D" w:rsidRPr="00217688">
        <w:rPr>
          <w:rFonts w:cs="Times New Roman"/>
          <w:noProof w:val="0"/>
          <w:szCs w:val="24"/>
        </w:rPr>
        <w:t>procent</w:t>
      </w:r>
      <w:r w:rsidR="00696558">
        <w:rPr>
          <w:rFonts w:cs="Times New Roman"/>
          <w:noProof w:val="0"/>
          <w:szCs w:val="24"/>
        </w:rPr>
        <w:t>us</w:t>
      </w:r>
      <w:r w:rsidRPr="00217688">
        <w:rPr>
          <w:rFonts w:cs="Times New Roman"/>
          <w:noProof w:val="0"/>
          <w:szCs w:val="24"/>
        </w:rPr>
        <w:t xml:space="preserve"> no NKI, kā arī 0.15–0.20</w:t>
      </w:r>
      <w:r w:rsidR="00ED2D6D" w:rsidRPr="00217688">
        <w:rPr>
          <w:rFonts w:cs="Times New Roman"/>
          <w:noProof w:val="0"/>
          <w:szCs w:val="24"/>
        </w:rPr>
        <w:t xml:space="preserve"> procenti</w:t>
      </w:r>
      <w:r w:rsidRPr="00217688">
        <w:rPr>
          <w:rFonts w:cs="Times New Roman"/>
          <w:noProof w:val="0"/>
          <w:szCs w:val="24"/>
        </w:rPr>
        <w:t xml:space="preserve"> no NKI jānovirza vismazāk attīstītajām valstīm. </w:t>
      </w:r>
      <w:r w:rsidR="00AD6549">
        <w:rPr>
          <w:rFonts w:cs="Times New Roman"/>
          <w:noProof w:val="0"/>
          <w:szCs w:val="24"/>
        </w:rPr>
        <w:t>L</w:t>
      </w:r>
      <w:r w:rsidR="00AD6549" w:rsidRPr="00217688">
        <w:rPr>
          <w:rFonts w:cs="Times New Roman"/>
          <w:noProof w:val="0"/>
          <w:szCs w:val="24"/>
        </w:rPr>
        <w:t>ai nodrošinātu efektīvu palīdzības sniegšanu, Latvija atbalstu vismazāk attīstītajām valstīm sniedz caur daudzpusējiem attīstības sadarbības instrumentiem, tai skaitā ar WBG</w:t>
      </w:r>
      <w:r w:rsidR="00AD6549">
        <w:rPr>
          <w:rFonts w:cs="Times New Roman"/>
          <w:noProof w:val="0"/>
          <w:szCs w:val="24"/>
        </w:rPr>
        <w:t xml:space="preserve">. </w:t>
      </w:r>
      <w:r w:rsidR="00E01D1F">
        <w:rPr>
          <w:rFonts w:cs="Times New Roman"/>
          <w:noProof w:val="0"/>
          <w:szCs w:val="24"/>
        </w:rPr>
        <w:t xml:space="preserve">Atbilstoši Attīstības sadarbības politikas pamatnostādnēm 2016.-2020.gadam, </w:t>
      </w:r>
      <w:r w:rsidRPr="00217688">
        <w:rPr>
          <w:rFonts w:cs="Times New Roman"/>
          <w:noProof w:val="0"/>
          <w:szCs w:val="24"/>
        </w:rPr>
        <w:t xml:space="preserve">Latvija ir apņēmusies </w:t>
      </w:r>
      <w:r w:rsidR="00E01D1F">
        <w:rPr>
          <w:rFonts w:cs="Times New Roman"/>
          <w:noProof w:val="0"/>
          <w:szCs w:val="24"/>
        </w:rPr>
        <w:t xml:space="preserve">līdz </w:t>
      </w:r>
      <w:r w:rsidRPr="00217688">
        <w:rPr>
          <w:rFonts w:cs="Times New Roman"/>
          <w:noProof w:val="0"/>
          <w:szCs w:val="24"/>
        </w:rPr>
        <w:t>2020.</w:t>
      </w:r>
      <w:r w:rsidR="009C48D6" w:rsidRPr="00217688">
        <w:rPr>
          <w:rFonts w:cs="Times New Roman"/>
          <w:noProof w:val="0"/>
          <w:szCs w:val="24"/>
        </w:rPr>
        <w:t>gad</w:t>
      </w:r>
      <w:r w:rsidR="00E01D1F">
        <w:rPr>
          <w:rFonts w:cs="Times New Roman"/>
          <w:noProof w:val="0"/>
          <w:szCs w:val="24"/>
        </w:rPr>
        <w:t>am</w:t>
      </w:r>
      <w:r w:rsidR="009C48D6" w:rsidRPr="00217688">
        <w:rPr>
          <w:rFonts w:cs="Times New Roman"/>
          <w:noProof w:val="0"/>
          <w:szCs w:val="24"/>
        </w:rPr>
        <w:t xml:space="preserve"> </w:t>
      </w:r>
      <w:r w:rsidRPr="00217688">
        <w:rPr>
          <w:rFonts w:cs="Times New Roman"/>
          <w:noProof w:val="0"/>
          <w:szCs w:val="24"/>
        </w:rPr>
        <w:t xml:space="preserve">pakāpeniski palielināt </w:t>
      </w:r>
      <w:r w:rsidR="00952A42" w:rsidRPr="00217688">
        <w:rPr>
          <w:rFonts w:cs="Times New Roman"/>
          <w:noProof w:val="0"/>
          <w:szCs w:val="24"/>
        </w:rPr>
        <w:t>Oficiālo attīstības palīdzību (turpmāk – OAP)</w:t>
      </w:r>
      <w:r w:rsidR="00952A42">
        <w:rPr>
          <w:rFonts w:cs="Times New Roman"/>
          <w:noProof w:val="0"/>
          <w:szCs w:val="24"/>
        </w:rPr>
        <w:t xml:space="preserve"> </w:t>
      </w:r>
      <w:r w:rsidRPr="00217688">
        <w:rPr>
          <w:rFonts w:cs="Times New Roman"/>
          <w:noProof w:val="0"/>
          <w:szCs w:val="24"/>
        </w:rPr>
        <w:t>līdz 0.17</w:t>
      </w:r>
      <w:r w:rsidR="00ED2D6D" w:rsidRPr="00217688">
        <w:rPr>
          <w:rFonts w:cs="Times New Roman"/>
          <w:noProof w:val="0"/>
          <w:szCs w:val="24"/>
        </w:rPr>
        <w:t xml:space="preserve"> procenti</w:t>
      </w:r>
      <w:r w:rsidR="009C48D6" w:rsidRPr="00217688">
        <w:rPr>
          <w:rFonts w:cs="Times New Roman"/>
          <w:noProof w:val="0"/>
          <w:szCs w:val="24"/>
        </w:rPr>
        <w:t>em</w:t>
      </w:r>
      <w:r w:rsidR="00ED2D6D" w:rsidRPr="00217688" w:rsidDel="00ED2D6D">
        <w:rPr>
          <w:rFonts w:cs="Times New Roman"/>
          <w:noProof w:val="0"/>
          <w:szCs w:val="24"/>
        </w:rPr>
        <w:t xml:space="preserve"> </w:t>
      </w:r>
      <w:r w:rsidRPr="00217688">
        <w:rPr>
          <w:rFonts w:cs="Times New Roman"/>
          <w:noProof w:val="0"/>
          <w:szCs w:val="24"/>
        </w:rPr>
        <w:t>no NKI</w:t>
      </w:r>
      <w:r w:rsidR="00952A42">
        <w:rPr>
          <w:rFonts w:cs="Times New Roman"/>
          <w:noProof w:val="0"/>
          <w:szCs w:val="24"/>
        </w:rPr>
        <w:t>. 2017.gada Latvijas OAP sasniedza 0.11 procentus, savukārt 2018.gada OAP mērķis ir 0.12 procenti un 2019.gada OAP mērķis ir 0.14 procenti</w:t>
      </w:r>
      <w:r w:rsidRPr="009C5D47">
        <w:rPr>
          <w:rFonts w:cs="Times New Roman"/>
          <w:noProof w:val="0"/>
          <w:szCs w:val="24"/>
        </w:rPr>
        <w:t>.</w:t>
      </w:r>
      <w:r w:rsidR="00952A42" w:rsidRPr="009C5D47">
        <w:rPr>
          <w:rFonts w:cs="Times New Roman"/>
          <w:noProof w:val="0"/>
          <w:szCs w:val="24"/>
        </w:rPr>
        <w:t xml:space="preserve"> </w:t>
      </w:r>
      <w:r w:rsidR="00A665D4" w:rsidRPr="009C5D47">
        <w:t>Latvijas dalība IBRD un IFC kapitāla palielināšanā sekmēs Latvijas 2020.gada OAP mērķa sasniegšanu, jo, atbilstoši prognozēm, veidos aptuveni 0.005 procentus no NKI, kā arī sniegs ieguldījumu Latvijas OAP saistību izpildē arī turpmākajos gados, tuvinot 2030.gada OAP mērķim un saistību pret ES izpildei.</w:t>
      </w:r>
    </w:p>
    <w:p w14:paraId="2F23CB6D" w14:textId="5F659083" w:rsidR="00AD6549" w:rsidRDefault="00AD6549" w:rsidP="000119A3">
      <w:pPr>
        <w:jc w:val="both"/>
        <w:rPr>
          <w:rFonts w:cs="Times New Roman"/>
          <w:noProof w:val="0"/>
          <w:szCs w:val="24"/>
        </w:rPr>
      </w:pPr>
    </w:p>
    <w:p w14:paraId="67712C96" w14:textId="5362C735" w:rsidR="000C194D" w:rsidRDefault="00E42891" w:rsidP="003D4DE5">
      <w:pPr>
        <w:shd w:val="clear" w:color="auto" w:fill="FFFFFF"/>
        <w:spacing w:after="120"/>
        <w:ind w:firstLine="540"/>
        <w:jc w:val="both"/>
        <w:rPr>
          <w:rFonts w:eastAsia="Times New Roman" w:cs="Times New Roman"/>
          <w:bCs/>
          <w:noProof w:val="0"/>
          <w:color w:val="212121"/>
          <w:szCs w:val="24"/>
        </w:rPr>
      </w:pPr>
      <w:r w:rsidRPr="00217688">
        <w:rPr>
          <w:rFonts w:eastAsia="Times New Roman" w:cs="Times New Roman"/>
          <w:b/>
          <w:bCs/>
          <w:noProof w:val="0"/>
          <w:color w:val="212121"/>
          <w:szCs w:val="24"/>
        </w:rPr>
        <w:t xml:space="preserve">IBRD </w:t>
      </w:r>
      <w:r w:rsidR="00BD5115" w:rsidRPr="00217688">
        <w:rPr>
          <w:rFonts w:eastAsia="Times New Roman" w:cs="Times New Roman"/>
          <w:b/>
          <w:bCs/>
          <w:noProof w:val="0"/>
          <w:color w:val="212121"/>
          <w:szCs w:val="24"/>
        </w:rPr>
        <w:t xml:space="preserve">kapitāla </w:t>
      </w:r>
      <w:r w:rsidR="00B41404" w:rsidRPr="00217688">
        <w:rPr>
          <w:rFonts w:eastAsia="Times New Roman" w:cs="Times New Roman"/>
          <w:b/>
          <w:bCs/>
          <w:noProof w:val="0"/>
          <w:color w:val="212121"/>
          <w:szCs w:val="24"/>
        </w:rPr>
        <w:t>palielināša</w:t>
      </w:r>
      <w:r w:rsidR="008C3B5A" w:rsidRPr="00217688">
        <w:rPr>
          <w:rFonts w:eastAsia="Times New Roman" w:cs="Times New Roman"/>
          <w:b/>
          <w:bCs/>
          <w:noProof w:val="0"/>
          <w:color w:val="212121"/>
          <w:szCs w:val="24"/>
        </w:rPr>
        <w:t>n</w:t>
      </w:r>
      <w:r w:rsidR="009A73AC">
        <w:rPr>
          <w:rFonts w:eastAsia="Times New Roman" w:cs="Times New Roman"/>
          <w:b/>
          <w:bCs/>
          <w:noProof w:val="0"/>
          <w:color w:val="212121"/>
          <w:szCs w:val="24"/>
        </w:rPr>
        <w:t>a</w:t>
      </w:r>
      <w:r w:rsidR="00AF6FC5">
        <w:rPr>
          <w:rFonts w:eastAsia="Times New Roman" w:cs="Times New Roman"/>
          <w:b/>
          <w:bCs/>
          <w:noProof w:val="0"/>
          <w:color w:val="212121"/>
          <w:szCs w:val="24"/>
        </w:rPr>
        <w:t xml:space="preserve"> </w:t>
      </w:r>
      <w:r w:rsidR="00AF6FC5" w:rsidRPr="009A73AC">
        <w:rPr>
          <w:rFonts w:eastAsia="Times New Roman" w:cs="Times New Roman"/>
          <w:bCs/>
          <w:noProof w:val="0"/>
          <w:color w:val="212121"/>
          <w:szCs w:val="24"/>
        </w:rPr>
        <w:t>(1.</w:t>
      </w:r>
      <w:r w:rsidR="00AF6FC5">
        <w:rPr>
          <w:rFonts w:eastAsia="Times New Roman" w:cs="Times New Roman"/>
          <w:bCs/>
          <w:noProof w:val="0"/>
          <w:color w:val="212121"/>
          <w:szCs w:val="24"/>
        </w:rPr>
        <w:t>, 3.</w:t>
      </w:r>
      <w:r w:rsidR="00AF6FC5" w:rsidRPr="009A73AC">
        <w:rPr>
          <w:rFonts w:eastAsia="Times New Roman" w:cs="Times New Roman"/>
          <w:bCs/>
          <w:noProof w:val="0"/>
          <w:color w:val="212121"/>
          <w:szCs w:val="24"/>
        </w:rPr>
        <w:t>tabula)</w:t>
      </w:r>
      <w:r w:rsidR="00B41404" w:rsidRPr="00217688">
        <w:rPr>
          <w:rFonts w:eastAsia="Times New Roman" w:cs="Times New Roman"/>
          <w:bCs/>
          <w:noProof w:val="0"/>
          <w:color w:val="212121"/>
          <w:szCs w:val="24"/>
        </w:rPr>
        <w:t xml:space="preserve"> </w:t>
      </w:r>
    </w:p>
    <w:p w14:paraId="7BC8714C" w14:textId="13BE54D6" w:rsidR="000C194D" w:rsidRPr="00217688" w:rsidRDefault="001D6B1F" w:rsidP="00E518A1">
      <w:pPr>
        <w:pStyle w:val="ListParagraph"/>
        <w:numPr>
          <w:ilvl w:val="0"/>
          <w:numId w:val="8"/>
        </w:numPr>
        <w:shd w:val="clear" w:color="auto" w:fill="FFFFFF"/>
        <w:spacing w:after="120"/>
        <w:ind w:left="403" w:hanging="403"/>
        <w:contextualSpacing w:val="0"/>
        <w:jc w:val="both"/>
        <w:rPr>
          <w:rFonts w:eastAsia="Times New Roman" w:cs="Times New Roman"/>
          <w:bCs/>
          <w:noProof w:val="0"/>
          <w:szCs w:val="24"/>
        </w:rPr>
      </w:pPr>
      <w:r w:rsidRPr="00217688">
        <w:rPr>
          <w:rFonts w:eastAsia="Times New Roman" w:cs="Times New Roman"/>
          <w:bCs/>
          <w:noProof w:val="0"/>
          <w:color w:val="212121"/>
          <w:szCs w:val="24"/>
        </w:rPr>
        <w:t>v</w:t>
      </w:r>
      <w:r w:rsidR="00B41404" w:rsidRPr="00217688">
        <w:rPr>
          <w:rFonts w:eastAsia="Times New Roman" w:cs="Times New Roman"/>
          <w:bCs/>
          <w:noProof w:val="0"/>
          <w:color w:val="212121"/>
          <w:szCs w:val="24"/>
        </w:rPr>
        <w:t>ispārējās kapitāla palielināšanas ietvaros paredzēts, ka</w:t>
      </w:r>
      <w:r w:rsidR="00AD12DE" w:rsidRPr="00217688">
        <w:rPr>
          <w:rFonts w:eastAsia="Times New Roman" w:cs="Times New Roman"/>
          <w:bCs/>
          <w:noProof w:val="0"/>
          <w:color w:val="212121"/>
          <w:szCs w:val="24"/>
        </w:rPr>
        <w:t xml:space="preserve"> Latvijas </w:t>
      </w:r>
      <w:r w:rsidR="009140FE" w:rsidRPr="00217688">
        <w:rPr>
          <w:rFonts w:eastAsia="Times New Roman" w:cs="Times New Roman"/>
          <w:bCs/>
          <w:noProof w:val="0"/>
          <w:color w:val="212121"/>
          <w:szCs w:val="24"/>
        </w:rPr>
        <w:t xml:space="preserve">kapitāla </w:t>
      </w:r>
      <w:r w:rsidR="002C2B6F" w:rsidRPr="00217688">
        <w:rPr>
          <w:rFonts w:eastAsia="Times New Roman" w:cs="Times New Roman"/>
          <w:bCs/>
          <w:noProof w:val="0"/>
          <w:color w:val="212121"/>
          <w:szCs w:val="24"/>
        </w:rPr>
        <w:t xml:space="preserve">daļa </w:t>
      </w:r>
      <w:r w:rsidR="00960344">
        <w:rPr>
          <w:rFonts w:eastAsia="Times New Roman" w:cs="Times New Roman"/>
          <w:bCs/>
          <w:noProof w:val="0"/>
          <w:color w:val="212121"/>
          <w:szCs w:val="24"/>
        </w:rPr>
        <w:t xml:space="preserve">uz pieprasījumu </w:t>
      </w:r>
      <w:r w:rsidR="00192539" w:rsidRPr="00217688">
        <w:rPr>
          <w:rFonts w:eastAsia="Times New Roman" w:cs="Times New Roman"/>
          <w:bCs/>
          <w:noProof w:val="0"/>
          <w:color w:val="212121"/>
          <w:szCs w:val="24"/>
        </w:rPr>
        <w:t>(</w:t>
      </w:r>
      <w:proofErr w:type="spellStart"/>
      <w:r w:rsidR="00192539" w:rsidRPr="00217688">
        <w:rPr>
          <w:rFonts w:eastAsia="Times New Roman" w:cs="Times New Roman"/>
          <w:bCs/>
          <w:i/>
          <w:noProof w:val="0"/>
          <w:color w:val="212121"/>
          <w:szCs w:val="24"/>
        </w:rPr>
        <w:t>callable</w:t>
      </w:r>
      <w:proofErr w:type="spellEnd"/>
      <w:r w:rsidR="00192539" w:rsidRPr="00217688">
        <w:rPr>
          <w:rFonts w:eastAsia="Times New Roman" w:cs="Times New Roman"/>
          <w:bCs/>
          <w:noProof w:val="0"/>
          <w:color w:val="212121"/>
          <w:szCs w:val="24"/>
        </w:rPr>
        <w:t>) palielināsies par US</w:t>
      </w:r>
      <w:r w:rsidR="009E791D">
        <w:rPr>
          <w:rFonts w:eastAsia="Times New Roman" w:cs="Times New Roman"/>
          <w:bCs/>
          <w:noProof w:val="0"/>
          <w:color w:val="212121"/>
          <w:szCs w:val="24"/>
        </w:rPr>
        <w:t xml:space="preserve">D </w:t>
      </w:r>
      <w:r w:rsidR="00192539" w:rsidRPr="00217688">
        <w:rPr>
          <w:rFonts w:eastAsia="Times New Roman" w:cs="Times New Roman"/>
          <w:bCs/>
          <w:noProof w:val="0"/>
          <w:color w:val="212121"/>
          <w:szCs w:val="24"/>
        </w:rPr>
        <w:t>16,213,344</w:t>
      </w:r>
      <w:r w:rsidR="0080617C" w:rsidRPr="00217688">
        <w:rPr>
          <w:rFonts w:eastAsia="Times New Roman" w:cs="Times New Roman"/>
          <w:bCs/>
          <w:noProof w:val="0"/>
          <w:color w:val="212121"/>
          <w:szCs w:val="24"/>
        </w:rPr>
        <w:t xml:space="preserve">, </w:t>
      </w:r>
      <w:r w:rsidR="00192539" w:rsidRPr="00217688">
        <w:rPr>
          <w:rFonts w:eastAsia="Times New Roman" w:cs="Times New Roman"/>
          <w:bCs/>
          <w:noProof w:val="0"/>
          <w:color w:val="212121"/>
          <w:szCs w:val="24"/>
        </w:rPr>
        <w:t xml:space="preserve">savukārt </w:t>
      </w:r>
      <w:r w:rsidR="00B41404" w:rsidRPr="00217688">
        <w:rPr>
          <w:rFonts w:eastAsia="Times New Roman" w:cs="Times New Roman"/>
          <w:bCs/>
          <w:noProof w:val="0"/>
          <w:color w:val="212121"/>
          <w:szCs w:val="24"/>
        </w:rPr>
        <w:t>apmaksātā daļa (</w:t>
      </w:r>
      <w:proofErr w:type="spellStart"/>
      <w:r w:rsidR="00B41404" w:rsidRPr="00217688">
        <w:rPr>
          <w:rFonts w:eastAsia="Times New Roman" w:cs="Times New Roman"/>
          <w:bCs/>
          <w:i/>
          <w:noProof w:val="0"/>
          <w:color w:val="212121"/>
          <w:szCs w:val="24"/>
        </w:rPr>
        <w:t>paid</w:t>
      </w:r>
      <w:proofErr w:type="spellEnd"/>
      <w:r w:rsidR="00A50C59" w:rsidRPr="00217688">
        <w:rPr>
          <w:rFonts w:eastAsia="Times New Roman" w:cs="Times New Roman"/>
          <w:bCs/>
          <w:i/>
          <w:noProof w:val="0"/>
          <w:color w:val="212121"/>
          <w:szCs w:val="24"/>
        </w:rPr>
        <w:t>-</w:t>
      </w:r>
      <w:r w:rsidR="00B41404" w:rsidRPr="00217688">
        <w:rPr>
          <w:rFonts w:eastAsia="Times New Roman" w:cs="Times New Roman"/>
          <w:bCs/>
          <w:i/>
          <w:noProof w:val="0"/>
          <w:color w:val="212121"/>
          <w:szCs w:val="24"/>
        </w:rPr>
        <w:t>in</w:t>
      </w:r>
      <w:r w:rsidR="00B41404" w:rsidRPr="00217688">
        <w:rPr>
          <w:rFonts w:eastAsia="Times New Roman" w:cs="Times New Roman"/>
          <w:bCs/>
          <w:noProof w:val="0"/>
          <w:color w:val="212121"/>
          <w:szCs w:val="24"/>
        </w:rPr>
        <w:t xml:space="preserve">) palielināsies par 168 akcijām, </w:t>
      </w:r>
      <w:r w:rsidR="0092029C" w:rsidRPr="00217688">
        <w:rPr>
          <w:rFonts w:eastAsia="Times New Roman" w:cs="Times New Roman"/>
          <w:bCs/>
          <w:noProof w:val="0"/>
          <w:color w:val="212121"/>
          <w:szCs w:val="24"/>
        </w:rPr>
        <w:t xml:space="preserve">par ko </w:t>
      </w:r>
      <w:r w:rsidR="00842978" w:rsidRPr="00217688">
        <w:rPr>
          <w:rFonts w:eastAsia="Times New Roman" w:cs="Times New Roman"/>
          <w:bCs/>
          <w:noProof w:val="0"/>
          <w:color w:val="212121"/>
          <w:szCs w:val="24"/>
        </w:rPr>
        <w:t xml:space="preserve">Latvijai </w:t>
      </w:r>
      <w:r w:rsidR="0092029C" w:rsidRPr="00217688">
        <w:rPr>
          <w:rFonts w:eastAsia="Times New Roman" w:cs="Times New Roman"/>
          <w:bCs/>
          <w:noProof w:val="0"/>
          <w:color w:val="212121"/>
          <w:szCs w:val="24"/>
        </w:rPr>
        <w:t xml:space="preserve">jāveic tieša </w:t>
      </w:r>
      <w:r w:rsidR="00B41404" w:rsidRPr="00217688">
        <w:rPr>
          <w:rFonts w:eastAsia="Times New Roman" w:cs="Times New Roman"/>
          <w:bCs/>
          <w:noProof w:val="0"/>
          <w:color w:val="212121"/>
          <w:szCs w:val="24"/>
        </w:rPr>
        <w:t>iemaks</w:t>
      </w:r>
      <w:r w:rsidR="0092029C" w:rsidRPr="00217688">
        <w:rPr>
          <w:rFonts w:eastAsia="Times New Roman" w:cs="Times New Roman"/>
          <w:bCs/>
          <w:noProof w:val="0"/>
          <w:color w:val="212121"/>
          <w:szCs w:val="24"/>
        </w:rPr>
        <w:t>a</w:t>
      </w:r>
      <w:r w:rsidR="004F212C" w:rsidRPr="00217688">
        <w:rPr>
          <w:rFonts w:eastAsia="Times New Roman" w:cs="Times New Roman"/>
          <w:bCs/>
          <w:noProof w:val="0"/>
          <w:color w:val="212121"/>
          <w:szCs w:val="24"/>
        </w:rPr>
        <w:t xml:space="preserve"> kapitālā</w:t>
      </w:r>
      <w:r w:rsidR="00B41404" w:rsidRPr="00217688">
        <w:rPr>
          <w:rFonts w:eastAsia="Times New Roman" w:cs="Times New Roman"/>
          <w:bCs/>
          <w:noProof w:val="0"/>
          <w:color w:val="212121"/>
          <w:szCs w:val="24"/>
        </w:rPr>
        <w:t xml:space="preserve"> US</w:t>
      </w:r>
      <w:r w:rsidR="009E791D">
        <w:rPr>
          <w:rFonts w:eastAsia="Times New Roman" w:cs="Times New Roman"/>
          <w:bCs/>
          <w:noProof w:val="0"/>
          <w:color w:val="212121"/>
          <w:szCs w:val="24"/>
        </w:rPr>
        <w:t xml:space="preserve">D </w:t>
      </w:r>
      <w:r w:rsidR="00B41404" w:rsidRPr="00217688">
        <w:rPr>
          <w:rFonts w:eastAsia="Times New Roman" w:cs="Times New Roman"/>
          <w:bCs/>
          <w:noProof w:val="0"/>
          <w:color w:val="212121"/>
          <w:szCs w:val="24"/>
        </w:rPr>
        <w:t>4,</w:t>
      </w:r>
      <w:r w:rsidR="001038BD" w:rsidRPr="00217688">
        <w:rPr>
          <w:rFonts w:eastAsia="Times New Roman" w:cs="Times New Roman"/>
          <w:bCs/>
          <w:noProof w:val="0"/>
          <w:color w:val="212121"/>
          <w:szCs w:val="24"/>
        </w:rPr>
        <w:t>05</w:t>
      </w:r>
      <w:r w:rsidR="00344168" w:rsidRPr="00217688">
        <w:rPr>
          <w:rFonts w:eastAsia="Times New Roman" w:cs="Times New Roman"/>
          <w:bCs/>
          <w:noProof w:val="0"/>
          <w:color w:val="212121"/>
          <w:szCs w:val="24"/>
        </w:rPr>
        <w:t>3,336</w:t>
      </w:r>
      <w:r w:rsidR="001038BD" w:rsidRPr="00217688">
        <w:rPr>
          <w:rFonts w:eastAsia="Times New Roman" w:cs="Times New Roman"/>
          <w:bCs/>
          <w:noProof w:val="0"/>
          <w:color w:val="212121"/>
          <w:szCs w:val="24"/>
        </w:rPr>
        <w:t xml:space="preserve"> </w:t>
      </w:r>
      <w:r w:rsidR="00C33360" w:rsidRPr="00217688">
        <w:rPr>
          <w:rFonts w:eastAsia="Times New Roman" w:cs="Times New Roman"/>
          <w:bCs/>
          <w:noProof w:val="0"/>
          <w:color w:val="212121"/>
          <w:szCs w:val="24"/>
        </w:rPr>
        <w:t>apmērā;</w:t>
      </w:r>
    </w:p>
    <w:p w14:paraId="53AF65A6" w14:textId="12D67720" w:rsidR="00EC475F" w:rsidRDefault="00D65E4A" w:rsidP="00EC475F">
      <w:pPr>
        <w:pStyle w:val="ListParagraph"/>
        <w:numPr>
          <w:ilvl w:val="0"/>
          <w:numId w:val="8"/>
        </w:numPr>
        <w:shd w:val="clear" w:color="auto" w:fill="FFFFFF"/>
        <w:spacing w:after="120"/>
        <w:ind w:left="403" w:hanging="403"/>
        <w:contextualSpacing w:val="0"/>
        <w:jc w:val="both"/>
        <w:rPr>
          <w:rFonts w:eastAsia="Times New Roman" w:cs="Times New Roman"/>
          <w:bCs/>
          <w:noProof w:val="0"/>
          <w:szCs w:val="24"/>
        </w:rPr>
      </w:pPr>
      <w:r w:rsidRPr="00217688">
        <w:rPr>
          <w:rFonts w:eastAsia="Times New Roman" w:cs="Times New Roman"/>
          <w:bCs/>
          <w:noProof w:val="0"/>
          <w:color w:val="212121"/>
          <w:szCs w:val="24"/>
        </w:rPr>
        <w:lastRenderedPageBreak/>
        <w:t>s</w:t>
      </w:r>
      <w:r w:rsidR="00C33360" w:rsidRPr="00217688">
        <w:rPr>
          <w:rFonts w:eastAsia="Times New Roman" w:cs="Times New Roman"/>
          <w:bCs/>
          <w:noProof w:val="0"/>
          <w:color w:val="212121"/>
          <w:szCs w:val="24"/>
        </w:rPr>
        <w:t xml:space="preserve">elektīvā kapitāla palielināšanas ietvaros paredzēts, ka Latvijas kapitāla </w:t>
      </w:r>
      <w:r w:rsidR="001E42D1">
        <w:rPr>
          <w:rFonts w:eastAsia="Times New Roman" w:cs="Times New Roman"/>
          <w:bCs/>
          <w:noProof w:val="0"/>
          <w:color w:val="212121"/>
          <w:szCs w:val="24"/>
        </w:rPr>
        <w:t>daļa</w:t>
      </w:r>
      <w:r w:rsidR="002C2B6F" w:rsidRPr="00217688">
        <w:rPr>
          <w:rFonts w:eastAsia="Times New Roman" w:cs="Times New Roman"/>
          <w:bCs/>
          <w:noProof w:val="0"/>
          <w:color w:val="212121"/>
          <w:szCs w:val="24"/>
        </w:rPr>
        <w:t xml:space="preserve"> </w:t>
      </w:r>
      <w:r w:rsidR="00960344">
        <w:rPr>
          <w:rFonts w:eastAsia="Times New Roman" w:cs="Times New Roman"/>
          <w:bCs/>
          <w:noProof w:val="0"/>
          <w:color w:val="212121"/>
          <w:szCs w:val="24"/>
        </w:rPr>
        <w:t xml:space="preserve">uz pieprasījumu </w:t>
      </w:r>
      <w:r w:rsidR="00192539" w:rsidRPr="00217688">
        <w:rPr>
          <w:rFonts w:eastAsia="Times New Roman" w:cs="Times New Roman"/>
          <w:bCs/>
          <w:noProof w:val="0"/>
          <w:color w:val="212121"/>
          <w:szCs w:val="24"/>
        </w:rPr>
        <w:t>(</w:t>
      </w:r>
      <w:proofErr w:type="spellStart"/>
      <w:r w:rsidR="00192539" w:rsidRPr="00217688">
        <w:rPr>
          <w:rFonts w:eastAsia="Times New Roman" w:cs="Times New Roman"/>
          <w:bCs/>
          <w:i/>
          <w:noProof w:val="0"/>
          <w:color w:val="212121"/>
          <w:szCs w:val="24"/>
        </w:rPr>
        <w:t>callable</w:t>
      </w:r>
      <w:proofErr w:type="spellEnd"/>
      <w:r w:rsidR="00192539" w:rsidRPr="00217688">
        <w:rPr>
          <w:rFonts w:eastAsia="Times New Roman" w:cs="Times New Roman"/>
          <w:bCs/>
          <w:noProof w:val="0"/>
          <w:color w:val="212121"/>
          <w:szCs w:val="24"/>
        </w:rPr>
        <w:t>) palielināsies par US</w:t>
      </w:r>
      <w:r w:rsidR="009E791D">
        <w:rPr>
          <w:rFonts w:eastAsia="Times New Roman" w:cs="Times New Roman"/>
          <w:bCs/>
          <w:noProof w:val="0"/>
          <w:color w:val="212121"/>
          <w:szCs w:val="24"/>
        </w:rPr>
        <w:t xml:space="preserve">D </w:t>
      </w:r>
      <w:r w:rsidR="00192539" w:rsidRPr="00217688">
        <w:rPr>
          <w:rFonts w:eastAsia="Times New Roman" w:cs="Times New Roman"/>
          <w:bCs/>
          <w:noProof w:val="0"/>
          <w:color w:val="212121"/>
          <w:szCs w:val="24"/>
        </w:rPr>
        <w:t>11,906,675,</w:t>
      </w:r>
      <w:r w:rsidR="0080617C" w:rsidRPr="00217688">
        <w:rPr>
          <w:rFonts w:eastAsia="Times New Roman" w:cs="Times New Roman"/>
          <w:bCs/>
          <w:noProof w:val="0"/>
          <w:szCs w:val="24"/>
        </w:rPr>
        <w:t xml:space="preserve"> </w:t>
      </w:r>
      <w:r w:rsidR="00192539" w:rsidRPr="00217688">
        <w:rPr>
          <w:rFonts w:eastAsia="Times New Roman" w:cs="Times New Roman"/>
          <w:bCs/>
          <w:noProof w:val="0"/>
          <w:color w:val="212121"/>
          <w:szCs w:val="24"/>
        </w:rPr>
        <w:t xml:space="preserve">savukārt </w:t>
      </w:r>
      <w:r w:rsidR="00C33360" w:rsidRPr="00217688">
        <w:rPr>
          <w:rFonts w:eastAsia="Times New Roman" w:cs="Times New Roman"/>
          <w:bCs/>
          <w:noProof w:val="0"/>
          <w:color w:val="212121"/>
          <w:szCs w:val="24"/>
        </w:rPr>
        <w:t xml:space="preserve">apmaksātā daļa </w:t>
      </w:r>
      <w:r w:rsidR="00C33360" w:rsidRPr="00217688">
        <w:rPr>
          <w:rFonts w:eastAsia="Times New Roman" w:cs="Times New Roman"/>
          <w:bCs/>
          <w:i/>
          <w:noProof w:val="0"/>
          <w:color w:val="212121"/>
          <w:szCs w:val="24"/>
        </w:rPr>
        <w:t>(</w:t>
      </w:r>
      <w:proofErr w:type="spellStart"/>
      <w:r w:rsidR="00C33360" w:rsidRPr="00217688">
        <w:rPr>
          <w:rFonts w:eastAsia="Times New Roman" w:cs="Times New Roman"/>
          <w:bCs/>
          <w:i/>
          <w:noProof w:val="0"/>
          <w:color w:val="212121"/>
          <w:szCs w:val="24"/>
        </w:rPr>
        <w:t>paid</w:t>
      </w:r>
      <w:proofErr w:type="spellEnd"/>
      <w:r w:rsidR="00C33360" w:rsidRPr="00217688">
        <w:rPr>
          <w:rFonts w:eastAsia="Times New Roman" w:cs="Times New Roman"/>
          <w:bCs/>
          <w:i/>
          <w:noProof w:val="0"/>
          <w:color w:val="212121"/>
          <w:szCs w:val="24"/>
        </w:rPr>
        <w:t>-in)</w:t>
      </w:r>
      <w:r w:rsidR="00C33360" w:rsidRPr="00217688">
        <w:rPr>
          <w:rFonts w:eastAsia="Times New Roman" w:cs="Times New Roman"/>
          <w:bCs/>
          <w:noProof w:val="0"/>
          <w:color w:val="212121"/>
          <w:szCs w:val="24"/>
        </w:rPr>
        <w:t xml:space="preserve"> </w:t>
      </w:r>
      <w:r w:rsidR="00B41404" w:rsidRPr="00217688">
        <w:rPr>
          <w:rFonts w:eastAsia="Times New Roman" w:cs="Times New Roman"/>
          <w:bCs/>
          <w:noProof w:val="0"/>
          <w:color w:val="212121"/>
          <w:szCs w:val="24"/>
        </w:rPr>
        <w:t>palielinā</w:t>
      </w:r>
      <w:r w:rsidR="00C33360" w:rsidRPr="00217688">
        <w:rPr>
          <w:rFonts w:eastAsia="Times New Roman" w:cs="Times New Roman"/>
          <w:bCs/>
          <w:noProof w:val="0"/>
          <w:color w:val="212121"/>
          <w:szCs w:val="24"/>
        </w:rPr>
        <w:t>sies</w:t>
      </w:r>
      <w:r w:rsidR="00976867" w:rsidRPr="00217688">
        <w:rPr>
          <w:rFonts w:eastAsia="Times New Roman" w:cs="Times New Roman"/>
          <w:bCs/>
          <w:noProof w:val="0"/>
          <w:color w:val="212121"/>
          <w:szCs w:val="24"/>
        </w:rPr>
        <w:t xml:space="preserve"> par </w:t>
      </w:r>
      <w:r w:rsidR="001845AD" w:rsidRPr="00217688">
        <w:rPr>
          <w:rFonts w:eastAsia="Times New Roman" w:cs="Times New Roman"/>
          <w:bCs/>
          <w:noProof w:val="0"/>
          <w:szCs w:val="24"/>
        </w:rPr>
        <w:t>105</w:t>
      </w:r>
      <w:r w:rsidR="00B41404" w:rsidRPr="00217688">
        <w:rPr>
          <w:rFonts w:eastAsia="Times New Roman" w:cs="Times New Roman"/>
          <w:bCs/>
          <w:noProof w:val="0"/>
          <w:szCs w:val="24"/>
        </w:rPr>
        <w:t xml:space="preserve"> akcijām, </w:t>
      </w:r>
      <w:r w:rsidR="004F212C" w:rsidRPr="00217688">
        <w:rPr>
          <w:rFonts w:eastAsia="Times New Roman" w:cs="Times New Roman"/>
          <w:bCs/>
          <w:noProof w:val="0"/>
          <w:szCs w:val="24"/>
        </w:rPr>
        <w:t xml:space="preserve">par ko </w:t>
      </w:r>
      <w:r w:rsidR="00FF5FC6" w:rsidRPr="00217688">
        <w:rPr>
          <w:rFonts w:eastAsia="Times New Roman" w:cs="Times New Roman"/>
          <w:bCs/>
          <w:noProof w:val="0"/>
          <w:color w:val="212121"/>
          <w:szCs w:val="24"/>
        </w:rPr>
        <w:t xml:space="preserve">Latvijai </w:t>
      </w:r>
      <w:r w:rsidR="004F212C" w:rsidRPr="00217688">
        <w:rPr>
          <w:rFonts w:eastAsia="Times New Roman" w:cs="Times New Roman"/>
          <w:bCs/>
          <w:noProof w:val="0"/>
          <w:szCs w:val="24"/>
        </w:rPr>
        <w:t xml:space="preserve">jāveic tieša iemaksa </w:t>
      </w:r>
      <w:r w:rsidR="00976867" w:rsidRPr="00217688">
        <w:rPr>
          <w:rFonts w:eastAsia="Times New Roman" w:cs="Times New Roman"/>
          <w:bCs/>
          <w:noProof w:val="0"/>
          <w:szCs w:val="24"/>
        </w:rPr>
        <w:t xml:space="preserve">kapitālā </w:t>
      </w:r>
      <w:r w:rsidR="00E42891" w:rsidRPr="00217688">
        <w:rPr>
          <w:rFonts w:eastAsia="Times New Roman" w:cs="Times New Roman"/>
          <w:bCs/>
          <w:noProof w:val="0"/>
          <w:szCs w:val="24"/>
        </w:rPr>
        <w:t>US</w:t>
      </w:r>
      <w:r w:rsidR="009E791D">
        <w:rPr>
          <w:rFonts w:eastAsia="Times New Roman" w:cs="Times New Roman"/>
          <w:bCs/>
          <w:noProof w:val="0"/>
          <w:szCs w:val="24"/>
        </w:rPr>
        <w:t xml:space="preserve">D </w:t>
      </w:r>
      <w:r w:rsidR="006D4974" w:rsidRPr="00217688">
        <w:rPr>
          <w:rFonts w:eastAsia="Times New Roman" w:cs="Times New Roman"/>
          <w:bCs/>
          <w:noProof w:val="0"/>
          <w:szCs w:val="24"/>
        </w:rPr>
        <w:t>760,001</w:t>
      </w:r>
      <w:r w:rsidR="00612C33" w:rsidRPr="00217688">
        <w:rPr>
          <w:rFonts w:eastAsia="Times New Roman" w:cs="Times New Roman"/>
          <w:bCs/>
          <w:noProof w:val="0"/>
          <w:szCs w:val="24"/>
        </w:rPr>
        <w:t xml:space="preserve"> </w:t>
      </w:r>
      <w:r w:rsidR="00976867" w:rsidRPr="00217688">
        <w:rPr>
          <w:rFonts w:eastAsia="Times New Roman" w:cs="Times New Roman"/>
          <w:bCs/>
          <w:noProof w:val="0"/>
          <w:szCs w:val="24"/>
        </w:rPr>
        <w:t>apmērā</w:t>
      </w:r>
      <w:r w:rsidR="00BD5115" w:rsidRPr="00217688">
        <w:rPr>
          <w:rFonts w:eastAsia="Times New Roman" w:cs="Times New Roman"/>
          <w:bCs/>
          <w:noProof w:val="0"/>
          <w:szCs w:val="24"/>
        </w:rPr>
        <w:t xml:space="preserve">. </w:t>
      </w:r>
    </w:p>
    <w:tbl>
      <w:tblPr>
        <w:tblStyle w:val="TableGrid"/>
        <w:tblW w:w="4112" w:type="dxa"/>
        <w:jc w:val="center"/>
        <w:tblLayout w:type="fixed"/>
        <w:tblLook w:val="04A0" w:firstRow="1" w:lastRow="0" w:firstColumn="1" w:lastColumn="0" w:noHBand="0" w:noVBand="1"/>
      </w:tblPr>
      <w:tblGrid>
        <w:gridCol w:w="991"/>
        <w:gridCol w:w="1562"/>
        <w:gridCol w:w="1559"/>
      </w:tblGrid>
      <w:tr w:rsidR="004B7754" w:rsidRPr="00217688" w14:paraId="6E310B82" w14:textId="77777777" w:rsidTr="00504C83">
        <w:trPr>
          <w:jc w:val="center"/>
        </w:trPr>
        <w:tc>
          <w:tcPr>
            <w:tcW w:w="991" w:type="dxa"/>
            <w:vMerge w:val="restart"/>
            <w:shd w:val="clear" w:color="auto" w:fill="EDEDED" w:themeFill="accent3" w:themeFillTint="33"/>
          </w:tcPr>
          <w:p w14:paraId="2D865F0E" w14:textId="77777777" w:rsidR="004B7754" w:rsidRPr="00217688" w:rsidRDefault="004B7754" w:rsidP="0003607D">
            <w:pPr>
              <w:contextualSpacing/>
              <w:jc w:val="center"/>
              <w:rPr>
                <w:rFonts w:eastAsia="Times New Roman" w:cs="Times New Roman"/>
                <w:noProof w:val="0"/>
                <w:color w:val="212121"/>
                <w:sz w:val="18"/>
                <w:szCs w:val="18"/>
              </w:rPr>
            </w:pPr>
          </w:p>
          <w:p w14:paraId="16F962F9" w14:textId="77777777" w:rsidR="004B7754" w:rsidRPr="00217688" w:rsidRDefault="004B7754" w:rsidP="0003607D">
            <w:pPr>
              <w:contextualSpacing/>
              <w:jc w:val="center"/>
              <w:rPr>
                <w:rFonts w:eastAsia="Times New Roman" w:cs="Times New Roman"/>
                <w:noProof w:val="0"/>
                <w:color w:val="212121"/>
                <w:sz w:val="18"/>
                <w:szCs w:val="18"/>
              </w:rPr>
            </w:pPr>
            <w:r w:rsidRPr="00217688">
              <w:rPr>
                <w:rFonts w:eastAsia="Times New Roman" w:cs="Times New Roman"/>
                <w:noProof w:val="0"/>
                <w:color w:val="212121"/>
                <w:sz w:val="18"/>
                <w:szCs w:val="18"/>
              </w:rPr>
              <w:t>Valsts</w:t>
            </w:r>
          </w:p>
        </w:tc>
        <w:tc>
          <w:tcPr>
            <w:tcW w:w="3121" w:type="dxa"/>
            <w:gridSpan w:val="2"/>
            <w:shd w:val="clear" w:color="auto" w:fill="EDEDED" w:themeFill="accent3" w:themeFillTint="33"/>
          </w:tcPr>
          <w:p w14:paraId="45E3694E" w14:textId="0467F83E" w:rsidR="004B7754" w:rsidRPr="00217688" w:rsidRDefault="004B7754" w:rsidP="0003607D">
            <w:pPr>
              <w:contextualSpacing/>
              <w:jc w:val="center"/>
              <w:rPr>
                <w:rFonts w:eastAsia="Times New Roman" w:cs="Times New Roman"/>
                <w:noProof w:val="0"/>
                <w:color w:val="212121"/>
                <w:sz w:val="18"/>
                <w:szCs w:val="18"/>
              </w:rPr>
            </w:pPr>
            <w:r>
              <w:rPr>
                <w:rFonts w:eastAsia="Times New Roman" w:cs="Times New Roman"/>
                <w:i/>
                <w:noProof w:val="0"/>
                <w:color w:val="212121"/>
                <w:sz w:val="18"/>
                <w:szCs w:val="18"/>
              </w:rPr>
              <w:t>Piešķirtās akcijas</w:t>
            </w:r>
          </w:p>
        </w:tc>
      </w:tr>
      <w:tr w:rsidR="004B7754" w:rsidRPr="00217688" w14:paraId="6B11EF5E" w14:textId="77777777" w:rsidTr="004B7754">
        <w:trPr>
          <w:jc w:val="center"/>
        </w:trPr>
        <w:tc>
          <w:tcPr>
            <w:tcW w:w="991" w:type="dxa"/>
            <w:vMerge/>
          </w:tcPr>
          <w:p w14:paraId="6A936226" w14:textId="77777777" w:rsidR="004B7754" w:rsidRPr="00217688" w:rsidRDefault="004B7754" w:rsidP="0003607D">
            <w:pPr>
              <w:contextualSpacing/>
              <w:jc w:val="center"/>
              <w:rPr>
                <w:rFonts w:eastAsia="Times New Roman" w:cs="Times New Roman"/>
                <w:noProof w:val="0"/>
                <w:color w:val="212121"/>
                <w:sz w:val="18"/>
                <w:szCs w:val="18"/>
              </w:rPr>
            </w:pPr>
          </w:p>
        </w:tc>
        <w:tc>
          <w:tcPr>
            <w:tcW w:w="1562" w:type="dxa"/>
            <w:shd w:val="clear" w:color="auto" w:fill="EDEDED" w:themeFill="accent3" w:themeFillTint="33"/>
          </w:tcPr>
          <w:p w14:paraId="750F77F1" w14:textId="77777777" w:rsidR="004B7754" w:rsidRPr="00217688" w:rsidRDefault="004B7754" w:rsidP="0003607D">
            <w:pPr>
              <w:contextualSpacing/>
              <w:jc w:val="center"/>
              <w:rPr>
                <w:rFonts w:eastAsia="Times New Roman" w:cs="Times New Roman"/>
                <w:noProof w:val="0"/>
                <w:color w:val="212121"/>
                <w:sz w:val="18"/>
                <w:szCs w:val="18"/>
              </w:rPr>
            </w:pPr>
            <w:r w:rsidRPr="00217688">
              <w:rPr>
                <w:rFonts w:eastAsia="Times New Roman" w:cs="Times New Roman"/>
                <w:noProof w:val="0"/>
                <w:color w:val="212121"/>
                <w:sz w:val="18"/>
                <w:szCs w:val="18"/>
              </w:rPr>
              <w:t>IBRD SCI</w:t>
            </w:r>
          </w:p>
        </w:tc>
        <w:tc>
          <w:tcPr>
            <w:tcW w:w="1559" w:type="dxa"/>
            <w:shd w:val="clear" w:color="auto" w:fill="EDEDED" w:themeFill="accent3" w:themeFillTint="33"/>
          </w:tcPr>
          <w:p w14:paraId="6D794126" w14:textId="77777777" w:rsidR="004B7754" w:rsidRPr="00217688" w:rsidRDefault="004B7754" w:rsidP="0003607D">
            <w:pPr>
              <w:contextualSpacing/>
              <w:jc w:val="center"/>
              <w:rPr>
                <w:rFonts w:eastAsia="Times New Roman" w:cs="Times New Roman"/>
                <w:noProof w:val="0"/>
                <w:color w:val="212121"/>
                <w:sz w:val="18"/>
                <w:szCs w:val="18"/>
              </w:rPr>
            </w:pPr>
            <w:r w:rsidRPr="00217688">
              <w:rPr>
                <w:rFonts w:eastAsia="Times New Roman" w:cs="Times New Roman"/>
                <w:noProof w:val="0"/>
                <w:color w:val="212121"/>
                <w:sz w:val="18"/>
                <w:szCs w:val="18"/>
              </w:rPr>
              <w:t>IBRD GCI</w:t>
            </w:r>
          </w:p>
        </w:tc>
      </w:tr>
      <w:tr w:rsidR="004B7754" w:rsidRPr="00217688" w14:paraId="730945B9" w14:textId="77777777" w:rsidTr="004B7754">
        <w:trPr>
          <w:jc w:val="center"/>
        </w:trPr>
        <w:tc>
          <w:tcPr>
            <w:tcW w:w="991" w:type="dxa"/>
          </w:tcPr>
          <w:p w14:paraId="2A18D3EC" w14:textId="77777777" w:rsidR="004B7754" w:rsidRPr="00217688" w:rsidRDefault="004B7754" w:rsidP="0003607D">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Zviedrija</w:t>
            </w:r>
          </w:p>
        </w:tc>
        <w:tc>
          <w:tcPr>
            <w:tcW w:w="1562" w:type="dxa"/>
          </w:tcPr>
          <w:p w14:paraId="6869BBEB" w14:textId="4EFD933F"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3</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227</w:t>
            </w:r>
          </w:p>
        </w:tc>
        <w:tc>
          <w:tcPr>
            <w:tcW w:w="1559" w:type="dxa"/>
          </w:tcPr>
          <w:p w14:paraId="2F1DD287" w14:textId="5752B1E1"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2</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088</w:t>
            </w:r>
          </w:p>
        </w:tc>
      </w:tr>
      <w:tr w:rsidR="004B7754" w:rsidRPr="00217688" w14:paraId="5E993BB0" w14:textId="77777777" w:rsidTr="004B7754">
        <w:trPr>
          <w:jc w:val="center"/>
        </w:trPr>
        <w:tc>
          <w:tcPr>
            <w:tcW w:w="991" w:type="dxa"/>
          </w:tcPr>
          <w:p w14:paraId="45C4CE88" w14:textId="77777777" w:rsidR="004B7754" w:rsidRPr="00217688" w:rsidRDefault="004B7754" w:rsidP="0003607D">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Norvēģija</w:t>
            </w:r>
          </w:p>
        </w:tc>
        <w:tc>
          <w:tcPr>
            <w:tcW w:w="1562" w:type="dxa"/>
          </w:tcPr>
          <w:p w14:paraId="1034B320" w14:textId="033F241B"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938</w:t>
            </w:r>
          </w:p>
        </w:tc>
        <w:tc>
          <w:tcPr>
            <w:tcW w:w="1559" w:type="dxa"/>
          </w:tcPr>
          <w:p w14:paraId="374EEACF" w14:textId="00E43167"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390</w:t>
            </w:r>
          </w:p>
        </w:tc>
      </w:tr>
      <w:tr w:rsidR="004B7754" w:rsidRPr="00217688" w14:paraId="0F171A2E" w14:textId="77777777" w:rsidTr="004B7754">
        <w:trPr>
          <w:jc w:val="center"/>
        </w:trPr>
        <w:tc>
          <w:tcPr>
            <w:tcW w:w="991" w:type="dxa"/>
          </w:tcPr>
          <w:p w14:paraId="3793B331" w14:textId="77777777" w:rsidR="004B7754" w:rsidRPr="00217688" w:rsidRDefault="004B7754" w:rsidP="0003607D">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Dānija</w:t>
            </w:r>
          </w:p>
        </w:tc>
        <w:tc>
          <w:tcPr>
            <w:tcW w:w="1562" w:type="dxa"/>
          </w:tcPr>
          <w:p w14:paraId="267E1A74" w14:textId="77C5B646"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516</w:t>
            </w:r>
          </w:p>
        </w:tc>
        <w:tc>
          <w:tcPr>
            <w:tcW w:w="1559" w:type="dxa"/>
          </w:tcPr>
          <w:p w14:paraId="2A07A027" w14:textId="26D0BB6E"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749</w:t>
            </w:r>
          </w:p>
        </w:tc>
      </w:tr>
      <w:tr w:rsidR="004B7754" w:rsidRPr="00217688" w14:paraId="1012B905" w14:textId="77777777" w:rsidTr="004B7754">
        <w:trPr>
          <w:jc w:val="center"/>
        </w:trPr>
        <w:tc>
          <w:tcPr>
            <w:tcW w:w="991" w:type="dxa"/>
          </w:tcPr>
          <w:p w14:paraId="04540F10" w14:textId="77777777" w:rsidR="004B7754" w:rsidRPr="00217688" w:rsidRDefault="004B7754" w:rsidP="0003607D">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Somija</w:t>
            </w:r>
          </w:p>
        </w:tc>
        <w:tc>
          <w:tcPr>
            <w:tcW w:w="1562" w:type="dxa"/>
          </w:tcPr>
          <w:p w14:paraId="05E09EE0" w14:textId="0C4F142D"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146</w:t>
            </w:r>
          </w:p>
        </w:tc>
        <w:tc>
          <w:tcPr>
            <w:tcW w:w="1559" w:type="dxa"/>
          </w:tcPr>
          <w:p w14:paraId="2B83D0F9" w14:textId="00E565C8"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w:t>
            </w:r>
            <w:r w:rsidR="00196293">
              <w:rPr>
                <w:rFonts w:eastAsia="Times New Roman" w:cs="Times New Roman"/>
                <w:noProof w:val="0"/>
                <w:color w:val="212121"/>
                <w:sz w:val="18"/>
                <w:szCs w:val="18"/>
              </w:rPr>
              <w:t xml:space="preserve"> </w:t>
            </w:r>
            <w:r>
              <w:rPr>
                <w:rFonts w:eastAsia="Times New Roman" w:cs="Times New Roman"/>
                <w:noProof w:val="0"/>
                <w:color w:val="212121"/>
                <w:sz w:val="18"/>
                <w:szCs w:val="18"/>
              </w:rPr>
              <w:t>141</w:t>
            </w:r>
          </w:p>
        </w:tc>
      </w:tr>
      <w:tr w:rsidR="004B7754" w:rsidRPr="00217688" w14:paraId="4CEB24E3" w14:textId="77777777" w:rsidTr="004B7754">
        <w:trPr>
          <w:jc w:val="center"/>
        </w:trPr>
        <w:tc>
          <w:tcPr>
            <w:tcW w:w="991" w:type="dxa"/>
          </w:tcPr>
          <w:p w14:paraId="3950A1ED" w14:textId="77777777" w:rsidR="004B7754" w:rsidRPr="00217688" w:rsidRDefault="004B7754" w:rsidP="0003607D">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Lietuva</w:t>
            </w:r>
          </w:p>
        </w:tc>
        <w:tc>
          <w:tcPr>
            <w:tcW w:w="1562" w:type="dxa"/>
          </w:tcPr>
          <w:p w14:paraId="625C5E90" w14:textId="02B7D952"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161</w:t>
            </w:r>
          </w:p>
        </w:tc>
        <w:tc>
          <w:tcPr>
            <w:tcW w:w="1559" w:type="dxa"/>
          </w:tcPr>
          <w:p w14:paraId="22839A71" w14:textId="4E2D1CF2"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187</w:t>
            </w:r>
          </w:p>
        </w:tc>
      </w:tr>
      <w:tr w:rsidR="004B7754" w:rsidRPr="00217688" w14:paraId="1817B517" w14:textId="77777777" w:rsidTr="004B7754">
        <w:trPr>
          <w:jc w:val="center"/>
        </w:trPr>
        <w:tc>
          <w:tcPr>
            <w:tcW w:w="991" w:type="dxa"/>
            <w:shd w:val="clear" w:color="auto" w:fill="auto"/>
          </w:tcPr>
          <w:p w14:paraId="73F2F513" w14:textId="77777777" w:rsidR="004B7754" w:rsidRPr="00217688" w:rsidRDefault="004B7754" w:rsidP="0003607D">
            <w:pPr>
              <w:contextualSpacing/>
              <w:jc w:val="both"/>
              <w:rPr>
                <w:rFonts w:eastAsia="Times New Roman" w:cs="Times New Roman"/>
                <w:b/>
                <w:noProof w:val="0"/>
                <w:color w:val="212121"/>
                <w:sz w:val="18"/>
                <w:szCs w:val="18"/>
              </w:rPr>
            </w:pPr>
            <w:r w:rsidRPr="00217688">
              <w:rPr>
                <w:rFonts w:eastAsia="Times New Roman" w:cs="Times New Roman"/>
                <w:b/>
                <w:noProof w:val="0"/>
                <w:color w:val="212121"/>
                <w:sz w:val="18"/>
                <w:szCs w:val="18"/>
              </w:rPr>
              <w:t>Latvija</w:t>
            </w:r>
          </w:p>
        </w:tc>
        <w:tc>
          <w:tcPr>
            <w:tcW w:w="1562" w:type="dxa"/>
            <w:shd w:val="clear" w:color="auto" w:fill="auto"/>
          </w:tcPr>
          <w:p w14:paraId="2D6F0D13" w14:textId="34D77535" w:rsidR="004B7754" w:rsidRPr="00217688" w:rsidRDefault="004B7754" w:rsidP="0003607D">
            <w:pPr>
              <w:contextualSpacing/>
              <w:jc w:val="right"/>
              <w:rPr>
                <w:rFonts w:eastAsia="Times New Roman" w:cs="Times New Roman"/>
                <w:b/>
                <w:noProof w:val="0"/>
                <w:color w:val="212121"/>
                <w:sz w:val="18"/>
                <w:szCs w:val="18"/>
              </w:rPr>
            </w:pPr>
            <w:r>
              <w:rPr>
                <w:rFonts w:eastAsia="Times New Roman" w:cs="Times New Roman"/>
                <w:b/>
                <w:noProof w:val="0"/>
                <w:color w:val="212121"/>
                <w:sz w:val="18"/>
                <w:szCs w:val="18"/>
              </w:rPr>
              <w:t>105</w:t>
            </w:r>
          </w:p>
        </w:tc>
        <w:tc>
          <w:tcPr>
            <w:tcW w:w="1559" w:type="dxa"/>
            <w:shd w:val="clear" w:color="auto" w:fill="auto"/>
          </w:tcPr>
          <w:p w14:paraId="1B1F82BB" w14:textId="7E6BACDF" w:rsidR="004B7754" w:rsidRPr="00217688" w:rsidRDefault="004B7754" w:rsidP="0003607D">
            <w:pPr>
              <w:contextualSpacing/>
              <w:jc w:val="right"/>
              <w:rPr>
                <w:rFonts w:eastAsia="Times New Roman" w:cs="Times New Roman"/>
                <w:b/>
                <w:noProof w:val="0"/>
                <w:color w:val="212121"/>
                <w:sz w:val="18"/>
                <w:szCs w:val="18"/>
              </w:rPr>
            </w:pPr>
            <w:r>
              <w:rPr>
                <w:rFonts w:eastAsia="Times New Roman" w:cs="Times New Roman"/>
                <w:b/>
                <w:noProof w:val="0"/>
                <w:color w:val="212121"/>
                <w:sz w:val="18"/>
                <w:szCs w:val="18"/>
              </w:rPr>
              <w:t>168</w:t>
            </w:r>
          </w:p>
        </w:tc>
      </w:tr>
      <w:tr w:rsidR="004B7754" w:rsidRPr="00217688" w14:paraId="666A9555" w14:textId="77777777" w:rsidTr="004B7754">
        <w:trPr>
          <w:jc w:val="center"/>
        </w:trPr>
        <w:tc>
          <w:tcPr>
            <w:tcW w:w="991" w:type="dxa"/>
          </w:tcPr>
          <w:p w14:paraId="608AFA29" w14:textId="77777777" w:rsidR="004B7754" w:rsidRPr="00217688" w:rsidRDefault="004B7754" w:rsidP="0003607D">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Igaunija</w:t>
            </w:r>
          </w:p>
        </w:tc>
        <w:tc>
          <w:tcPr>
            <w:tcW w:w="1562" w:type="dxa"/>
          </w:tcPr>
          <w:p w14:paraId="3FD382CB" w14:textId="5FEAFF88"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89</w:t>
            </w:r>
          </w:p>
        </w:tc>
        <w:tc>
          <w:tcPr>
            <w:tcW w:w="1559" w:type="dxa"/>
          </w:tcPr>
          <w:p w14:paraId="28834AE6" w14:textId="16372BDB"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113</w:t>
            </w:r>
          </w:p>
        </w:tc>
      </w:tr>
      <w:tr w:rsidR="004B7754" w:rsidRPr="00217688" w14:paraId="5092B86B" w14:textId="77777777" w:rsidTr="004B7754">
        <w:trPr>
          <w:jc w:val="center"/>
        </w:trPr>
        <w:tc>
          <w:tcPr>
            <w:tcW w:w="991" w:type="dxa"/>
          </w:tcPr>
          <w:p w14:paraId="21EFDAC9" w14:textId="77777777" w:rsidR="004B7754" w:rsidRPr="00217688" w:rsidRDefault="004B7754" w:rsidP="0003607D">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Islande</w:t>
            </w:r>
          </w:p>
        </w:tc>
        <w:tc>
          <w:tcPr>
            <w:tcW w:w="1562" w:type="dxa"/>
          </w:tcPr>
          <w:p w14:paraId="78FE0C9A" w14:textId="6FC7BB9D"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69</w:t>
            </w:r>
          </w:p>
        </w:tc>
        <w:tc>
          <w:tcPr>
            <w:tcW w:w="1559" w:type="dxa"/>
          </w:tcPr>
          <w:p w14:paraId="5608C1A6" w14:textId="4F0BF5E5" w:rsidR="004B7754" w:rsidRPr="00217688" w:rsidRDefault="004B7754" w:rsidP="0003607D">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164</w:t>
            </w:r>
          </w:p>
        </w:tc>
      </w:tr>
    </w:tbl>
    <w:p w14:paraId="10784AD2" w14:textId="69626840" w:rsidR="0003607D" w:rsidRPr="00217688" w:rsidRDefault="004B7754" w:rsidP="000119A3">
      <w:pPr>
        <w:shd w:val="clear" w:color="auto" w:fill="FFFFFF"/>
        <w:spacing w:before="120"/>
        <w:ind w:left="539"/>
        <w:jc w:val="center"/>
        <w:rPr>
          <w:rFonts w:eastAsia="Times New Roman"/>
          <w:i/>
          <w:noProof w:val="0"/>
          <w:sz w:val="20"/>
          <w:szCs w:val="24"/>
          <w:lang w:eastAsia="ar-SA"/>
        </w:rPr>
      </w:pPr>
      <w:r>
        <w:rPr>
          <w:rFonts w:eastAsia="Times New Roman"/>
          <w:i/>
          <w:noProof w:val="0"/>
          <w:sz w:val="20"/>
          <w:szCs w:val="24"/>
          <w:lang w:eastAsia="ar-SA"/>
        </w:rPr>
        <w:t>1.</w:t>
      </w:r>
      <w:r w:rsidRPr="00217688">
        <w:rPr>
          <w:rFonts w:eastAsia="Times New Roman"/>
          <w:i/>
          <w:noProof w:val="0"/>
          <w:sz w:val="20"/>
          <w:szCs w:val="24"/>
          <w:lang w:eastAsia="ar-SA"/>
        </w:rPr>
        <w:t xml:space="preserve">tabula: NBC grupas </w:t>
      </w:r>
      <w:r>
        <w:rPr>
          <w:rFonts w:eastAsia="Times New Roman"/>
          <w:i/>
          <w:noProof w:val="0"/>
          <w:sz w:val="20"/>
          <w:szCs w:val="24"/>
          <w:lang w:eastAsia="ar-SA"/>
        </w:rPr>
        <w:t>valstīm piešķirtās akcijas</w:t>
      </w:r>
      <w:r w:rsidRPr="00217688">
        <w:rPr>
          <w:rFonts w:eastAsia="Times New Roman"/>
          <w:i/>
          <w:noProof w:val="0"/>
          <w:sz w:val="20"/>
          <w:szCs w:val="24"/>
          <w:lang w:eastAsia="ar-SA"/>
        </w:rPr>
        <w:t xml:space="preserve"> IBRD kapitāla palielināšanā (Avots: WBG)</w:t>
      </w:r>
    </w:p>
    <w:p w14:paraId="1629779D" w14:textId="77777777" w:rsidR="008428A6" w:rsidRPr="00217688" w:rsidRDefault="008428A6" w:rsidP="003D4DE5">
      <w:pPr>
        <w:shd w:val="clear" w:color="auto" w:fill="FFFFFF"/>
        <w:spacing w:after="120"/>
        <w:ind w:firstLine="540"/>
        <w:jc w:val="both"/>
        <w:rPr>
          <w:rFonts w:eastAsia="Times New Roman" w:cs="Times New Roman"/>
          <w:b/>
          <w:bCs/>
          <w:noProof w:val="0"/>
          <w:szCs w:val="24"/>
        </w:rPr>
      </w:pPr>
    </w:p>
    <w:p w14:paraId="4FDE7C1B" w14:textId="453ACA4E" w:rsidR="00C2124E" w:rsidRDefault="00E42891" w:rsidP="003D4DE5">
      <w:pPr>
        <w:shd w:val="clear" w:color="auto" w:fill="FFFFFF"/>
        <w:spacing w:after="120"/>
        <w:ind w:firstLine="540"/>
        <w:jc w:val="both"/>
        <w:rPr>
          <w:rFonts w:eastAsia="Times New Roman" w:cs="Times New Roman"/>
          <w:bCs/>
          <w:noProof w:val="0"/>
          <w:szCs w:val="24"/>
        </w:rPr>
      </w:pPr>
      <w:r w:rsidRPr="00217688">
        <w:rPr>
          <w:rFonts w:eastAsia="Times New Roman" w:cs="Times New Roman"/>
          <w:b/>
          <w:bCs/>
          <w:noProof w:val="0"/>
          <w:szCs w:val="24"/>
        </w:rPr>
        <w:t xml:space="preserve">IFC </w:t>
      </w:r>
      <w:r w:rsidR="00BD5115" w:rsidRPr="00217688">
        <w:rPr>
          <w:rFonts w:eastAsia="Times New Roman" w:cs="Times New Roman"/>
          <w:b/>
          <w:bCs/>
          <w:noProof w:val="0"/>
          <w:szCs w:val="24"/>
        </w:rPr>
        <w:t>kapitāla paliel</w:t>
      </w:r>
      <w:r w:rsidR="008F2B6F" w:rsidRPr="00217688">
        <w:rPr>
          <w:rFonts w:eastAsia="Times New Roman" w:cs="Times New Roman"/>
          <w:b/>
          <w:bCs/>
          <w:noProof w:val="0"/>
          <w:szCs w:val="24"/>
        </w:rPr>
        <w:t>ināšan</w:t>
      </w:r>
      <w:r w:rsidR="009A73AC">
        <w:rPr>
          <w:rFonts w:eastAsia="Times New Roman" w:cs="Times New Roman"/>
          <w:b/>
          <w:bCs/>
          <w:noProof w:val="0"/>
          <w:szCs w:val="24"/>
        </w:rPr>
        <w:t>a</w:t>
      </w:r>
      <w:r w:rsidR="00AF6FC5">
        <w:rPr>
          <w:rFonts w:eastAsia="Times New Roman" w:cs="Times New Roman"/>
          <w:b/>
          <w:bCs/>
          <w:noProof w:val="0"/>
          <w:szCs w:val="24"/>
        </w:rPr>
        <w:t xml:space="preserve"> </w:t>
      </w:r>
      <w:r w:rsidR="00AF6FC5">
        <w:rPr>
          <w:rFonts w:eastAsia="Times New Roman" w:cs="Times New Roman"/>
          <w:bCs/>
          <w:noProof w:val="0"/>
          <w:color w:val="212121"/>
          <w:szCs w:val="24"/>
        </w:rPr>
        <w:t>(2</w:t>
      </w:r>
      <w:r w:rsidR="00AF6FC5" w:rsidRPr="001D10EA">
        <w:rPr>
          <w:rFonts w:eastAsia="Times New Roman" w:cs="Times New Roman"/>
          <w:bCs/>
          <w:noProof w:val="0"/>
          <w:color w:val="212121"/>
          <w:szCs w:val="24"/>
        </w:rPr>
        <w:t>.</w:t>
      </w:r>
      <w:r w:rsidR="00AF6FC5">
        <w:rPr>
          <w:rFonts w:eastAsia="Times New Roman" w:cs="Times New Roman"/>
          <w:bCs/>
          <w:noProof w:val="0"/>
          <w:color w:val="212121"/>
          <w:szCs w:val="24"/>
        </w:rPr>
        <w:t>, 3.</w:t>
      </w:r>
      <w:r w:rsidR="00AF6FC5" w:rsidRPr="001D10EA">
        <w:rPr>
          <w:rFonts w:eastAsia="Times New Roman" w:cs="Times New Roman"/>
          <w:bCs/>
          <w:noProof w:val="0"/>
          <w:color w:val="212121"/>
          <w:szCs w:val="24"/>
        </w:rPr>
        <w:t>tabula)</w:t>
      </w:r>
    </w:p>
    <w:p w14:paraId="254BE8E2" w14:textId="77777777" w:rsidR="00C2124E" w:rsidRPr="00217688" w:rsidRDefault="008C3B5A" w:rsidP="00E518A1">
      <w:pPr>
        <w:pStyle w:val="ListParagraph"/>
        <w:numPr>
          <w:ilvl w:val="0"/>
          <w:numId w:val="7"/>
        </w:numPr>
        <w:shd w:val="clear" w:color="auto" w:fill="FFFFFF"/>
        <w:spacing w:after="120"/>
        <w:contextualSpacing w:val="0"/>
        <w:jc w:val="both"/>
        <w:rPr>
          <w:rFonts w:eastAsia="Times New Roman" w:cs="Times New Roman"/>
          <w:bCs/>
          <w:noProof w:val="0"/>
          <w:szCs w:val="24"/>
        </w:rPr>
      </w:pPr>
      <w:r w:rsidRPr="00217688">
        <w:rPr>
          <w:rFonts w:eastAsia="Times New Roman" w:cs="Times New Roman"/>
          <w:bCs/>
          <w:noProof w:val="0"/>
          <w:szCs w:val="24"/>
        </w:rPr>
        <w:t>IFC nesadalītās peļņas k</w:t>
      </w:r>
      <w:r w:rsidR="0092029C" w:rsidRPr="00217688">
        <w:rPr>
          <w:rFonts w:eastAsia="Times New Roman" w:cs="Times New Roman"/>
          <w:bCs/>
          <w:noProof w:val="0"/>
          <w:szCs w:val="24"/>
        </w:rPr>
        <w:t>onvert</w:t>
      </w:r>
      <w:r w:rsidRPr="00217688">
        <w:rPr>
          <w:rFonts w:eastAsia="Times New Roman" w:cs="Times New Roman"/>
          <w:bCs/>
          <w:noProof w:val="0"/>
          <w:szCs w:val="24"/>
        </w:rPr>
        <w:t>ācijas rezultātā</w:t>
      </w:r>
      <w:r w:rsidR="0092029C" w:rsidRPr="00217688">
        <w:rPr>
          <w:rFonts w:eastAsia="Times New Roman" w:cs="Times New Roman"/>
          <w:bCs/>
          <w:noProof w:val="0"/>
          <w:szCs w:val="24"/>
        </w:rPr>
        <w:t xml:space="preserve"> Latvija</w:t>
      </w:r>
      <w:r w:rsidR="00C2124E" w:rsidRPr="00217688">
        <w:rPr>
          <w:rFonts w:eastAsia="Times New Roman" w:cs="Times New Roman"/>
          <w:bCs/>
          <w:noProof w:val="0"/>
          <w:szCs w:val="24"/>
        </w:rPr>
        <w:t xml:space="preserve"> iegūs papildus 14,243 akcijas</w:t>
      </w:r>
      <w:r w:rsidR="00DC645E" w:rsidRPr="00217688">
        <w:rPr>
          <w:rFonts w:eastAsia="Times New Roman" w:cs="Times New Roman"/>
          <w:bCs/>
          <w:noProof w:val="0"/>
          <w:szCs w:val="24"/>
        </w:rPr>
        <w:t>, par ko iemaksa kapitālā nebūs jāveic;</w:t>
      </w:r>
    </w:p>
    <w:p w14:paraId="6C31EE1B" w14:textId="6BCC8ABC" w:rsidR="00C2124E" w:rsidRPr="00217688" w:rsidRDefault="007166F5" w:rsidP="00E518A1">
      <w:pPr>
        <w:pStyle w:val="ListParagraph"/>
        <w:numPr>
          <w:ilvl w:val="0"/>
          <w:numId w:val="7"/>
        </w:numPr>
        <w:shd w:val="clear" w:color="auto" w:fill="FFFFFF"/>
        <w:spacing w:after="120"/>
        <w:contextualSpacing w:val="0"/>
        <w:jc w:val="both"/>
        <w:rPr>
          <w:rFonts w:eastAsia="Times New Roman" w:cs="Times New Roman"/>
          <w:bCs/>
          <w:noProof w:val="0"/>
          <w:szCs w:val="24"/>
        </w:rPr>
      </w:pPr>
      <w:r>
        <w:rPr>
          <w:rFonts w:eastAsia="Times New Roman" w:cs="Times New Roman"/>
          <w:bCs/>
          <w:noProof w:val="0"/>
          <w:szCs w:val="24"/>
        </w:rPr>
        <w:t xml:space="preserve">IFC </w:t>
      </w:r>
      <w:r w:rsidR="00D65E4A" w:rsidRPr="00217688">
        <w:rPr>
          <w:rFonts w:eastAsia="Times New Roman" w:cs="Times New Roman"/>
          <w:bCs/>
          <w:noProof w:val="0"/>
          <w:szCs w:val="24"/>
        </w:rPr>
        <w:t>v</w:t>
      </w:r>
      <w:r w:rsidR="0092029C" w:rsidRPr="00217688">
        <w:rPr>
          <w:rFonts w:eastAsia="Times New Roman" w:cs="Times New Roman"/>
          <w:bCs/>
          <w:noProof w:val="0"/>
          <w:szCs w:val="24"/>
        </w:rPr>
        <w:t xml:space="preserve">ispārējās kapitāla palielināšanas ietvaros Latvijas akciju skaits palielināsies par 4,650 akcijām, par ko </w:t>
      </w:r>
      <w:r w:rsidR="00015330" w:rsidRPr="00217688">
        <w:rPr>
          <w:rFonts w:eastAsia="Times New Roman" w:cs="Times New Roman"/>
          <w:bCs/>
          <w:noProof w:val="0"/>
          <w:szCs w:val="24"/>
        </w:rPr>
        <w:t xml:space="preserve">Latvijai </w:t>
      </w:r>
      <w:r w:rsidR="0092029C" w:rsidRPr="00217688">
        <w:rPr>
          <w:rFonts w:eastAsia="Times New Roman" w:cs="Times New Roman"/>
          <w:bCs/>
          <w:noProof w:val="0"/>
          <w:szCs w:val="24"/>
        </w:rPr>
        <w:t>jāveic tieš</w:t>
      </w:r>
      <w:r w:rsidR="00DC645E" w:rsidRPr="00217688">
        <w:rPr>
          <w:rFonts w:eastAsia="Times New Roman" w:cs="Times New Roman"/>
          <w:bCs/>
          <w:noProof w:val="0"/>
          <w:szCs w:val="24"/>
        </w:rPr>
        <w:t>a iemaksa US</w:t>
      </w:r>
      <w:r w:rsidR="009E791D">
        <w:rPr>
          <w:rFonts w:eastAsia="Times New Roman" w:cs="Times New Roman"/>
          <w:bCs/>
          <w:noProof w:val="0"/>
          <w:szCs w:val="24"/>
        </w:rPr>
        <w:t xml:space="preserve">D </w:t>
      </w:r>
      <w:r w:rsidR="00F15EEA" w:rsidRPr="00217688">
        <w:rPr>
          <w:rFonts w:eastAsia="Times New Roman" w:cs="Times New Roman"/>
          <w:noProof w:val="0"/>
          <w:szCs w:val="24"/>
        </w:rPr>
        <w:t>4,650,000</w:t>
      </w:r>
      <w:r w:rsidR="00DC645E" w:rsidRPr="00217688">
        <w:rPr>
          <w:rFonts w:eastAsia="Times New Roman" w:cs="Times New Roman"/>
          <w:bCs/>
          <w:noProof w:val="0"/>
          <w:szCs w:val="24"/>
        </w:rPr>
        <w:t xml:space="preserve"> apmērā;</w:t>
      </w:r>
    </w:p>
    <w:p w14:paraId="52887100" w14:textId="6C9F0C56" w:rsidR="00C2124E" w:rsidRPr="00217688" w:rsidRDefault="007166F5" w:rsidP="00E518A1">
      <w:pPr>
        <w:pStyle w:val="ListParagraph"/>
        <w:numPr>
          <w:ilvl w:val="0"/>
          <w:numId w:val="7"/>
        </w:numPr>
        <w:shd w:val="clear" w:color="auto" w:fill="FFFFFF"/>
        <w:spacing w:after="120"/>
        <w:contextualSpacing w:val="0"/>
        <w:jc w:val="both"/>
        <w:rPr>
          <w:rFonts w:eastAsia="Times New Roman" w:cs="Times New Roman"/>
          <w:b/>
          <w:bCs/>
          <w:noProof w:val="0"/>
          <w:color w:val="212121"/>
          <w:szCs w:val="24"/>
        </w:rPr>
      </w:pPr>
      <w:r>
        <w:rPr>
          <w:rFonts w:eastAsia="Times New Roman" w:cs="Times New Roman"/>
          <w:bCs/>
          <w:noProof w:val="0"/>
          <w:color w:val="212121"/>
          <w:szCs w:val="24"/>
        </w:rPr>
        <w:t xml:space="preserve">veicot </w:t>
      </w:r>
      <w:r w:rsidR="004F212C" w:rsidRPr="00217688">
        <w:rPr>
          <w:rFonts w:eastAsia="Times New Roman" w:cs="Times New Roman"/>
          <w:bCs/>
          <w:noProof w:val="0"/>
          <w:color w:val="212121"/>
          <w:szCs w:val="24"/>
        </w:rPr>
        <w:t>IFC Statūtu grozījumu</w:t>
      </w:r>
      <w:r>
        <w:rPr>
          <w:rFonts w:eastAsia="Times New Roman" w:cs="Times New Roman"/>
          <w:bCs/>
          <w:noProof w:val="0"/>
          <w:color w:val="212121"/>
          <w:szCs w:val="24"/>
        </w:rPr>
        <w:t>s</w:t>
      </w:r>
      <w:r w:rsidR="004F212C" w:rsidRPr="00217688">
        <w:rPr>
          <w:rFonts w:eastAsia="Times New Roman" w:cs="Times New Roman"/>
          <w:bCs/>
          <w:noProof w:val="0"/>
          <w:color w:val="212121"/>
          <w:szCs w:val="24"/>
        </w:rPr>
        <w:t>,</w:t>
      </w:r>
      <w:r w:rsidR="004F212C" w:rsidRPr="00217688">
        <w:rPr>
          <w:rFonts w:eastAsia="Times New Roman" w:cs="Times New Roman"/>
          <w:b/>
          <w:bCs/>
          <w:noProof w:val="0"/>
          <w:color w:val="212121"/>
          <w:szCs w:val="24"/>
        </w:rPr>
        <w:t xml:space="preserve"> </w:t>
      </w:r>
      <w:r w:rsidRPr="009A73AC">
        <w:rPr>
          <w:rFonts w:eastAsia="Times New Roman" w:cs="Times New Roman"/>
          <w:bCs/>
          <w:noProof w:val="0"/>
          <w:color w:val="212121"/>
          <w:szCs w:val="24"/>
        </w:rPr>
        <w:t>tiks</w:t>
      </w:r>
      <w:r>
        <w:rPr>
          <w:rFonts w:eastAsia="Times New Roman" w:cs="Times New Roman"/>
          <w:b/>
          <w:bCs/>
          <w:noProof w:val="0"/>
          <w:color w:val="212121"/>
          <w:szCs w:val="24"/>
        </w:rPr>
        <w:t xml:space="preserve"> </w:t>
      </w:r>
      <w:r w:rsidRPr="00217688">
        <w:rPr>
          <w:noProof w:val="0"/>
        </w:rPr>
        <w:t>palielin</w:t>
      </w:r>
      <w:r>
        <w:rPr>
          <w:noProof w:val="0"/>
        </w:rPr>
        <w:t>āts</w:t>
      </w:r>
      <w:r w:rsidRPr="00217688">
        <w:rPr>
          <w:noProof w:val="0"/>
        </w:rPr>
        <w:t xml:space="preserve"> </w:t>
      </w:r>
      <w:r w:rsidR="00823F38" w:rsidRPr="00217688">
        <w:rPr>
          <w:noProof w:val="0"/>
        </w:rPr>
        <w:t>nepieciešam</w:t>
      </w:r>
      <w:r>
        <w:rPr>
          <w:noProof w:val="0"/>
        </w:rPr>
        <w:t>ais</w:t>
      </w:r>
      <w:r w:rsidR="00823F38" w:rsidRPr="00217688">
        <w:rPr>
          <w:noProof w:val="0"/>
        </w:rPr>
        <w:t xml:space="preserve"> balsstiesību apjom</w:t>
      </w:r>
      <w:r>
        <w:rPr>
          <w:noProof w:val="0"/>
        </w:rPr>
        <w:t>s</w:t>
      </w:r>
      <w:r w:rsidR="00823F38" w:rsidRPr="00217688">
        <w:rPr>
          <w:noProof w:val="0"/>
        </w:rPr>
        <w:t>, kas turpmāk būs nepieciešams IFC kapitāla palielināšanas apstiprināšanai - no pašreizējiem 80 procentiem līdz 85 procentiem</w:t>
      </w:r>
      <w:r w:rsidR="005B0551" w:rsidRPr="00217688">
        <w:rPr>
          <w:rFonts w:eastAsia="Times New Roman" w:cs="Times New Roman"/>
          <w:iCs/>
          <w:noProof w:val="0"/>
          <w:szCs w:val="24"/>
        </w:rPr>
        <w:t>.</w:t>
      </w:r>
      <w:r w:rsidR="003D4DE5" w:rsidRPr="00217688">
        <w:rPr>
          <w:rFonts w:eastAsia="Times New Roman" w:cs="Times New Roman"/>
          <w:b/>
          <w:bCs/>
          <w:noProof w:val="0"/>
          <w:szCs w:val="24"/>
        </w:rPr>
        <w:t xml:space="preserve"> </w:t>
      </w:r>
    </w:p>
    <w:p w14:paraId="5967FBF6" w14:textId="58810727" w:rsidR="00196293" w:rsidRDefault="00196293" w:rsidP="00085E52">
      <w:pPr>
        <w:shd w:val="clear" w:color="auto" w:fill="FFFFFF"/>
        <w:spacing w:before="60"/>
        <w:ind w:left="539"/>
        <w:jc w:val="center"/>
        <w:rPr>
          <w:rFonts w:eastAsia="Times New Roman"/>
          <w:i/>
          <w:noProof w:val="0"/>
          <w:sz w:val="20"/>
          <w:szCs w:val="24"/>
          <w:lang w:eastAsia="ar-SA"/>
        </w:rPr>
      </w:pPr>
    </w:p>
    <w:tbl>
      <w:tblPr>
        <w:tblStyle w:val="TableGrid"/>
        <w:tblW w:w="5524" w:type="dxa"/>
        <w:jc w:val="center"/>
        <w:tblLayout w:type="fixed"/>
        <w:tblLook w:val="04A0" w:firstRow="1" w:lastRow="0" w:firstColumn="1" w:lastColumn="0" w:noHBand="0" w:noVBand="1"/>
      </w:tblPr>
      <w:tblGrid>
        <w:gridCol w:w="991"/>
        <w:gridCol w:w="1562"/>
        <w:gridCol w:w="1559"/>
        <w:gridCol w:w="1412"/>
      </w:tblGrid>
      <w:tr w:rsidR="00196293" w:rsidRPr="005662D7" w14:paraId="6C83DB03" w14:textId="41FAE582" w:rsidTr="00735858">
        <w:trPr>
          <w:jc w:val="center"/>
        </w:trPr>
        <w:tc>
          <w:tcPr>
            <w:tcW w:w="991" w:type="dxa"/>
            <w:vMerge w:val="restart"/>
            <w:shd w:val="clear" w:color="auto" w:fill="EDEDED" w:themeFill="accent3" w:themeFillTint="33"/>
          </w:tcPr>
          <w:p w14:paraId="24790816" w14:textId="77777777" w:rsidR="00196293" w:rsidRPr="005662D7" w:rsidRDefault="00196293" w:rsidP="00873C7F">
            <w:pPr>
              <w:contextualSpacing/>
              <w:jc w:val="center"/>
              <w:rPr>
                <w:rFonts w:eastAsia="Times New Roman" w:cs="Times New Roman"/>
                <w:b/>
                <w:noProof w:val="0"/>
                <w:color w:val="212121"/>
                <w:sz w:val="18"/>
                <w:szCs w:val="18"/>
              </w:rPr>
            </w:pPr>
          </w:p>
          <w:p w14:paraId="523804FD" w14:textId="77777777" w:rsidR="00196293" w:rsidRPr="005662D7" w:rsidRDefault="00196293" w:rsidP="00873C7F">
            <w:pPr>
              <w:contextualSpacing/>
              <w:jc w:val="center"/>
              <w:rPr>
                <w:rFonts w:eastAsia="Times New Roman" w:cs="Times New Roman"/>
                <w:noProof w:val="0"/>
                <w:color w:val="212121"/>
                <w:sz w:val="18"/>
                <w:szCs w:val="18"/>
              </w:rPr>
            </w:pPr>
            <w:r w:rsidRPr="005662D7">
              <w:rPr>
                <w:rFonts w:eastAsia="Times New Roman" w:cs="Times New Roman"/>
                <w:noProof w:val="0"/>
                <w:color w:val="212121"/>
                <w:sz w:val="18"/>
                <w:szCs w:val="18"/>
              </w:rPr>
              <w:t>Valsts</w:t>
            </w:r>
          </w:p>
        </w:tc>
        <w:tc>
          <w:tcPr>
            <w:tcW w:w="4533" w:type="dxa"/>
            <w:gridSpan w:val="3"/>
            <w:shd w:val="clear" w:color="auto" w:fill="EDEDED" w:themeFill="accent3" w:themeFillTint="33"/>
          </w:tcPr>
          <w:p w14:paraId="51438278" w14:textId="005A06F3" w:rsidR="00196293" w:rsidRPr="005662D7" w:rsidRDefault="00196293" w:rsidP="00873C7F">
            <w:pPr>
              <w:contextualSpacing/>
              <w:jc w:val="center"/>
              <w:rPr>
                <w:rFonts w:eastAsia="Times New Roman" w:cs="Times New Roman"/>
                <w:b/>
                <w:noProof w:val="0"/>
                <w:color w:val="212121"/>
                <w:sz w:val="18"/>
                <w:szCs w:val="18"/>
              </w:rPr>
            </w:pPr>
            <w:r w:rsidRPr="005662D7">
              <w:rPr>
                <w:rFonts w:eastAsia="Times New Roman" w:cs="Times New Roman"/>
                <w:b/>
                <w:noProof w:val="0"/>
                <w:color w:val="212121"/>
                <w:sz w:val="18"/>
                <w:szCs w:val="18"/>
              </w:rPr>
              <w:t>Piešķirtās akcijas</w:t>
            </w:r>
          </w:p>
        </w:tc>
      </w:tr>
      <w:tr w:rsidR="00196293" w:rsidRPr="005662D7" w14:paraId="4B2EB39A" w14:textId="25F1120F" w:rsidTr="00196293">
        <w:trPr>
          <w:jc w:val="center"/>
        </w:trPr>
        <w:tc>
          <w:tcPr>
            <w:tcW w:w="991" w:type="dxa"/>
            <w:vMerge/>
          </w:tcPr>
          <w:p w14:paraId="1975F0D6" w14:textId="77777777" w:rsidR="00196293" w:rsidRPr="005662D7" w:rsidRDefault="00196293" w:rsidP="00873C7F">
            <w:pPr>
              <w:contextualSpacing/>
              <w:jc w:val="center"/>
              <w:rPr>
                <w:rFonts w:eastAsia="Times New Roman" w:cs="Times New Roman"/>
                <w:b/>
                <w:noProof w:val="0"/>
                <w:color w:val="212121"/>
                <w:sz w:val="18"/>
                <w:szCs w:val="18"/>
              </w:rPr>
            </w:pPr>
          </w:p>
        </w:tc>
        <w:tc>
          <w:tcPr>
            <w:tcW w:w="1562" w:type="dxa"/>
            <w:shd w:val="clear" w:color="auto" w:fill="EDEDED" w:themeFill="accent3" w:themeFillTint="33"/>
          </w:tcPr>
          <w:p w14:paraId="5CA50733" w14:textId="244ACCAC" w:rsidR="00196293" w:rsidRPr="005662D7" w:rsidRDefault="00196293" w:rsidP="00196293">
            <w:pPr>
              <w:contextualSpacing/>
              <w:jc w:val="center"/>
              <w:rPr>
                <w:rFonts w:eastAsia="Times New Roman" w:cs="Times New Roman"/>
                <w:b/>
                <w:noProof w:val="0"/>
                <w:color w:val="212121"/>
                <w:sz w:val="18"/>
                <w:szCs w:val="18"/>
              </w:rPr>
            </w:pPr>
            <w:r w:rsidRPr="005662D7">
              <w:rPr>
                <w:rFonts w:eastAsia="Times New Roman" w:cs="Times New Roman"/>
                <w:b/>
                <w:noProof w:val="0"/>
                <w:color w:val="212121"/>
                <w:sz w:val="18"/>
                <w:szCs w:val="18"/>
              </w:rPr>
              <w:t xml:space="preserve">IFC RE GCI </w:t>
            </w:r>
          </w:p>
        </w:tc>
        <w:tc>
          <w:tcPr>
            <w:tcW w:w="1559" w:type="dxa"/>
            <w:shd w:val="clear" w:color="auto" w:fill="EDEDED" w:themeFill="accent3" w:themeFillTint="33"/>
          </w:tcPr>
          <w:p w14:paraId="421217FA" w14:textId="52AB186A" w:rsidR="00196293" w:rsidRPr="005662D7" w:rsidRDefault="00196293" w:rsidP="00873C7F">
            <w:pPr>
              <w:contextualSpacing/>
              <w:jc w:val="center"/>
              <w:rPr>
                <w:rFonts w:eastAsia="Times New Roman" w:cs="Times New Roman"/>
                <w:b/>
                <w:noProof w:val="0"/>
                <w:color w:val="212121"/>
                <w:sz w:val="18"/>
                <w:szCs w:val="18"/>
              </w:rPr>
            </w:pPr>
            <w:r w:rsidRPr="005662D7">
              <w:rPr>
                <w:rFonts w:eastAsia="Times New Roman" w:cs="Times New Roman"/>
                <w:b/>
                <w:noProof w:val="0"/>
                <w:color w:val="212121"/>
                <w:sz w:val="18"/>
                <w:szCs w:val="18"/>
              </w:rPr>
              <w:t>IFC GCI</w:t>
            </w:r>
          </w:p>
        </w:tc>
        <w:tc>
          <w:tcPr>
            <w:tcW w:w="1412" w:type="dxa"/>
            <w:shd w:val="clear" w:color="auto" w:fill="EDEDED" w:themeFill="accent3" w:themeFillTint="33"/>
          </w:tcPr>
          <w:p w14:paraId="2C4E8279" w14:textId="6149BDF0" w:rsidR="00196293" w:rsidRPr="005662D7" w:rsidRDefault="00196293" w:rsidP="00873C7F">
            <w:pPr>
              <w:contextualSpacing/>
              <w:jc w:val="center"/>
              <w:rPr>
                <w:rFonts w:eastAsia="Times New Roman" w:cs="Times New Roman"/>
                <w:b/>
                <w:noProof w:val="0"/>
                <w:color w:val="212121"/>
                <w:sz w:val="18"/>
                <w:szCs w:val="18"/>
              </w:rPr>
            </w:pPr>
            <w:r w:rsidRPr="005662D7">
              <w:rPr>
                <w:rFonts w:eastAsia="Times New Roman" w:cs="Times New Roman"/>
                <w:b/>
                <w:noProof w:val="0"/>
                <w:color w:val="212121"/>
                <w:sz w:val="18"/>
                <w:szCs w:val="18"/>
              </w:rPr>
              <w:t>IFC SCI</w:t>
            </w:r>
          </w:p>
        </w:tc>
      </w:tr>
      <w:tr w:rsidR="00196293" w:rsidRPr="00217688" w14:paraId="28B89FC9" w14:textId="5AF01833" w:rsidTr="00196293">
        <w:trPr>
          <w:jc w:val="center"/>
        </w:trPr>
        <w:tc>
          <w:tcPr>
            <w:tcW w:w="991" w:type="dxa"/>
          </w:tcPr>
          <w:p w14:paraId="59ACF65B" w14:textId="77777777" w:rsidR="00196293" w:rsidRPr="00217688" w:rsidRDefault="00196293" w:rsidP="00873C7F">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Zviedrija</w:t>
            </w:r>
          </w:p>
        </w:tc>
        <w:tc>
          <w:tcPr>
            <w:tcW w:w="1562" w:type="dxa"/>
          </w:tcPr>
          <w:p w14:paraId="5B73F1F9" w14:textId="3B70AA3D"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178 042</w:t>
            </w:r>
          </w:p>
        </w:tc>
        <w:tc>
          <w:tcPr>
            <w:tcW w:w="1559" w:type="dxa"/>
          </w:tcPr>
          <w:p w14:paraId="0A16D366" w14:textId="62CF679F"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58 131</w:t>
            </w:r>
          </w:p>
        </w:tc>
        <w:tc>
          <w:tcPr>
            <w:tcW w:w="1412" w:type="dxa"/>
          </w:tcPr>
          <w:p w14:paraId="47DD37DD" w14:textId="45B198D6"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0</w:t>
            </w:r>
          </w:p>
        </w:tc>
      </w:tr>
      <w:tr w:rsidR="00196293" w:rsidRPr="00217688" w14:paraId="52737847" w14:textId="0CB5033D" w:rsidTr="00196293">
        <w:trPr>
          <w:jc w:val="center"/>
        </w:trPr>
        <w:tc>
          <w:tcPr>
            <w:tcW w:w="991" w:type="dxa"/>
          </w:tcPr>
          <w:p w14:paraId="4DD6B08B" w14:textId="77777777" w:rsidR="00196293" w:rsidRPr="00217688" w:rsidRDefault="00196293" w:rsidP="00873C7F">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Norvēģija</w:t>
            </w:r>
          </w:p>
        </w:tc>
        <w:tc>
          <w:tcPr>
            <w:tcW w:w="1562" w:type="dxa"/>
          </w:tcPr>
          <w:p w14:paraId="403FAC1F" w14:textId="032D06BF"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116 586</w:t>
            </w:r>
          </w:p>
        </w:tc>
        <w:tc>
          <w:tcPr>
            <w:tcW w:w="1559" w:type="dxa"/>
          </w:tcPr>
          <w:p w14:paraId="65BB031E" w14:textId="09F060B8"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38 066</w:t>
            </w:r>
          </w:p>
        </w:tc>
        <w:tc>
          <w:tcPr>
            <w:tcW w:w="1412" w:type="dxa"/>
          </w:tcPr>
          <w:p w14:paraId="1749E87F" w14:textId="5175FD97"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0</w:t>
            </w:r>
          </w:p>
        </w:tc>
      </w:tr>
      <w:tr w:rsidR="00196293" w:rsidRPr="00217688" w14:paraId="64477B36" w14:textId="0968FF7F" w:rsidTr="00196293">
        <w:trPr>
          <w:jc w:val="center"/>
        </w:trPr>
        <w:tc>
          <w:tcPr>
            <w:tcW w:w="991" w:type="dxa"/>
          </w:tcPr>
          <w:p w14:paraId="32DA2897" w14:textId="77777777" w:rsidR="00196293" w:rsidRPr="00217688" w:rsidRDefault="00196293" w:rsidP="00873C7F">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Dānija</w:t>
            </w:r>
          </w:p>
        </w:tc>
        <w:tc>
          <w:tcPr>
            <w:tcW w:w="1562" w:type="dxa"/>
          </w:tcPr>
          <w:p w14:paraId="7653F8CD" w14:textId="5052E291"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122 913</w:t>
            </w:r>
          </w:p>
        </w:tc>
        <w:tc>
          <w:tcPr>
            <w:tcW w:w="1559" w:type="dxa"/>
          </w:tcPr>
          <w:p w14:paraId="0E7CC969" w14:textId="746DAB39"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45 115</w:t>
            </w:r>
          </w:p>
        </w:tc>
        <w:tc>
          <w:tcPr>
            <w:tcW w:w="1412" w:type="dxa"/>
          </w:tcPr>
          <w:p w14:paraId="1C1E56D3" w14:textId="40C846E4"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17 566</w:t>
            </w:r>
          </w:p>
        </w:tc>
      </w:tr>
      <w:tr w:rsidR="00196293" w:rsidRPr="00217688" w14:paraId="514085FA" w14:textId="52F58C28" w:rsidTr="00196293">
        <w:trPr>
          <w:jc w:val="center"/>
        </w:trPr>
        <w:tc>
          <w:tcPr>
            <w:tcW w:w="991" w:type="dxa"/>
          </w:tcPr>
          <w:p w14:paraId="254EBE0E" w14:textId="77777777" w:rsidR="00196293" w:rsidRPr="00217688" w:rsidRDefault="00196293" w:rsidP="00873C7F">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Somija</w:t>
            </w:r>
          </w:p>
        </w:tc>
        <w:tc>
          <w:tcPr>
            <w:tcW w:w="1562" w:type="dxa"/>
          </w:tcPr>
          <w:p w14:paraId="58DDE717" w14:textId="0C3338BA"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103 986</w:t>
            </w:r>
          </w:p>
        </w:tc>
        <w:tc>
          <w:tcPr>
            <w:tcW w:w="1559" w:type="dxa"/>
          </w:tcPr>
          <w:p w14:paraId="53F74C8C" w14:textId="203A8193"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33 952</w:t>
            </w:r>
          </w:p>
        </w:tc>
        <w:tc>
          <w:tcPr>
            <w:tcW w:w="1412" w:type="dxa"/>
          </w:tcPr>
          <w:p w14:paraId="310EBA84" w14:textId="63CAF668"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0</w:t>
            </w:r>
          </w:p>
        </w:tc>
      </w:tr>
      <w:tr w:rsidR="00196293" w:rsidRPr="00217688" w14:paraId="759742A0" w14:textId="1D162795" w:rsidTr="00196293">
        <w:trPr>
          <w:jc w:val="center"/>
        </w:trPr>
        <w:tc>
          <w:tcPr>
            <w:tcW w:w="991" w:type="dxa"/>
          </w:tcPr>
          <w:p w14:paraId="3360AFF9" w14:textId="77777777" w:rsidR="00196293" w:rsidRPr="00217688" w:rsidRDefault="00196293" w:rsidP="00873C7F">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Lietuva</w:t>
            </w:r>
          </w:p>
        </w:tc>
        <w:tc>
          <w:tcPr>
            <w:tcW w:w="1562" w:type="dxa"/>
          </w:tcPr>
          <w:p w14:paraId="1F4BA95E" w14:textId="22BD56B5"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15 508</w:t>
            </w:r>
          </w:p>
        </w:tc>
        <w:tc>
          <w:tcPr>
            <w:tcW w:w="1559" w:type="dxa"/>
          </w:tcPr>
          <w:p w14:paraId="34AD40AF" w14:textId="227F71FA"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5 063</w:t>
            </w:r>
          </w:p>
        </w:tc>
        <w:tc>
          <w:tcPr>
            <w:tcW w:w="1412" w:type="dxa"/>
          </w:tcPr>
          <w:p w14:paraId="75F9397F" w14:textId="573C70E4"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0</w:t>
            </w:r>
          </w:p>
        </w:tc>
      </w:tr>
      <w:tr w:rsidR="00196293" w:rsidRPr="00217688" w14:paraId="257F6F5D" w14:textId="751FAA14" w:rsidTr="00196293">
        <w:trPr>
          <w:jc w:val="center"/>
        </w:trPr>
        <w:tc>
          <w:tcPr>
            <w:tcW w:w="991" w:type="dxa"/>
            <w:shd w:val="clear" w:color="auto" w:fill="auto"/>
          </w:tcPr>
          <w:p w14:paraId="46E3F826" w14:textId="77777777" w:rsidR="00196293" w:rsidRPr="00217688" w:rsidRDefault="00196293" w:rsidP="00873C7F">
            <w:pPr>
              <w:contextualSpacing/>
              <w:jc w:val="both"/>
              <w:rPr>
                <w:rFonts w:eastAsia="Times New Roman" w:cs="Times New Roman"/>
                <w:b/>
                <w:noProof w:val="0"/>
                <w:color w:val="212121"/>
                <w:sz w:val="18"/>
                <w:szCs w:val="18"/>
              </w:rPr>
            </w:pPr>
            <w:r w:rsidRPr="00217688">
              <w:rPr>
                <w:rFonts w:eastAsia="Times New Roman" w:cs="Times New Roman"/>
                <w:b/>
                <w:noProof w:val="0"/>
                <w:color w:val="212121"/>
                <w:sz w:val="18"/>
                <w:szCs w:val="18"/>
              </w:rPr>
              <w:t>Latvija</w:t>
            </w:r>
          </w:p>
        </w:tc>
        <w:tc>
          <w:tcPr>
            <w:tcW w:w="1562" w:type="dxa"/>
            <w:shd w:val="clear" w:color="auto" w:fill="auto"/>
          </w:tcPr>
          <w:p w14:paraId="32B3A5BE" w14:textId="7A730BD7" w:rsidR="00196293" w:rsidRPr="00217688" w:rsidRDefault="00196293" w:rsidP="00873C7F">
            <w:pPr>
              <w:contextualSpacing/>
              <w:jc w:val="right"/>
              <w:rPr>
                <w:rFonts w:eastAsia="Times New Roman" w:cs="Times New Roman"/>
                <w:b/>
                <w:noProof w:val="0"/>
                <w:color w:val="212121"/>
                <w:sz w:val="18"/>
                <w:szCs w:val="18"/>
              </w:rPr>
            </w:pPr>
            <w:r>
              <w:rPr>
                <w:rFonts w:eastAsia="Times New Roman" w:cs="Times New Roman"/>
                <w:b/>
                <w:noProof w:val="0"/>
                <w:color w:val="212121"/>
                <w:sz w:val="18"/>
                <w:szCs w:val="18"/>
              </w:rPr>
              <w:t>14 243</w:t>
            </w:r>
          </w:p>
        </w:tc>
        <w:tc>
          <w:tcPr>
            <w:tcW w:w="1559" w:type="dxa"/>
            <w:shd w:val="clear" w:color="auto" w:fill="auto"/>
          </w:tcPr>
          <w:p w14:paraId="30EA3EFE" w14:textId="243F8218" w:rsidR="00196293" w:rsidRPr="00217688" w:rsidRDefault="00196293" w:rsidP="00873C7F">
            <w:pPr>
              <w:contextualSpacing/>
              <w:jc w:val="right"/>
              <w:rPr>
                <w:rFonts w:eastAsia="Times New Roman" w:cs="Times New Roman"/>
                <w:b/>
                <w:noProof w:val="0"/>
                <w:color w:val="212121"/>
                <w:sz w:val="18"/>
                <w:szCs w:val="18"/>
              </w:rPr>
            </w:pPr>
            <w:r>
              <w:rPr>
                <w:rFonts w:eastAsia="Times New Roman" w:cs="Times New Roman"/>
                <w:b/>
                <w:noProof w:val="0"/>
                <w:color w:val="212121"/>
                <w:sz w:val="18"/>
                <w:szCs w:val="18"/>
              </w:rPr>
              <w:t>4 650</w:t>
            </w:r>
          </w:p>
        </w:tc>
        <w:tc>
          <w:tcPr>
            <w:tcW w:w="1412" w:type="dxa"/>
          </w:tcPr>
          <w:p w14:paraId="5ACCC5AA" w14:textId="4359CFE2" w:rsidR="00196293" w:rsidRPr="00217688" w:rsidRDefault="00196293" w:rsidP="00873C7F">
            <w:pPr>
              <w:contextualSpacing/>
              <w:jc w:val="right"/>
              <w:rPr>
                <w:rFonts w:eastAsia="Times New Roman" w:cs="Times New Roman"/>
                <w:b/>
                <w:noProof w:val="0"/>
                <w:color w:val="212121"/>
                <w:sz w:val="18"/>
                <w:szCs w:val="18"/>
              </w:rPr>
            </w:pPr>
            <w:r>
              <w:rPr>
                <w:rFonts w:eastAsia="Times New Roman" w:cs="Times New Roman"/>
                <w:b/>
                <w:noProof w:val="0"/>
                <w:color w:val="212121"/>
                <w:sz w:val="18"/>
                <w:szCs w:val="18"/>
              </w:rPr>
              <w:t>0</w:t>
            </w:r>
          </w:p>
        </w:tc>
      </w:tr>
      <w:tr w:rsidR="00196293" w:rsidRPr="00217688" w14:paraId="0B5217B0" w14:textId="7CC7E318" w:rsidTr="00196293">
        <w:trPr>
          <w:jc w:val="center"/>
        </w:trPr>
        <w:tc>
          <w:tcPr>
            <w:tcW w:w="991" w:type="dxa"/>
          </w:tcPr>
          <w:p w14:paraId="24E01B81" w14:textId="77777777" w:rsidR="00196293" w:rsidRPr="00217688" w:rsidRDefault="00196293" w:rsidP="00873C7F">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Igaunija</w:t>
            </w:r>
          </w:p>
        </w:tc>
        <w:tc>
          <w:tcPr>
            <w:tcW w:w="1562" w:type="dxa"/>
          </w:tcPr>
          <w:p w14:paraId="448BD9BD" w14:textId="192883CC"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9 500</w:t>
            </w:r>
          </w:p>
        </w:tc>
        <w:tc>
          <w:tcPr>
            <w:tcW w:w="1559" w:type="dxa"/>
          </w:tcPr>
          <w:p w14:paraId="442CF224" w14:textId="0A2C488C"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3 102</w:t>
            </w:r>
          </w:p>
        </w:tc>
        <w:tc>
          <w:tcPr>
            <w:tcW w:w="1412" w:type="dxa"/>
          </w:tcPr>
          <w:p w14:paraId="1B6015D8" w14:textId="70DD8862"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0</w:t>
            </w:r>
          </w:p>
        </w:tc>
      </w:tr>
      <w:tr w:rsidR="00196293" w:rsidRPr="00217688" w14:paraId="133CC4D6" w14:textId="5032B857" w:rsidTr="00196293">
        <w:trPr>
          <w:jc w:val="center"/>
        </w:trPr>
        <w:tc>
          <w:tcPr>
            <w:tcW w:w="991" w:type="dxa"/>
          </w:tcPr>
          <w:p w14:paraId="67636EC9" w14:textId="77777777" w:rsidR="00196293" w:rsidRPr="00217688" w:rsidRDefault="00196293" w:rsidP="00873C7F">
            <w:pPr>
              <w:contextualSpacing/>
              <w:jc w:val="both"/>
              <w:rPr>
                <w:rFonts w:eastAsia="Times New Roman" w:cs="Times New Roman"/>
                <w:noProof w:val="0"/>
                <w:color w:val="212121"/>
                <w:sz w:val="18"/>
                <w:szCs w:val="18"/>
              </w:rPr>
            </w:pPr>
            <w:r w:rsidRPr="00217688">
              <w:rPr>
                <w:rFonts w:eastAsia="Times New Roman" w:cs="Times New Roman"/>
                <w:noProof w:val="0"/>
                <w:color w:val="212121"/>
                <w:sz w:val="18"/>
                <w:szCs w:val="18"/>
              </w:rPr>
              <w:t>Islande</w:t>
            </w:r>
          </w:p>
        </w:tc>
        <w:tc>
          <w:tcPr>
            <w:tcW w:w="1562" w:type="dxa"/>
          </w:tcPr>
          <w:p w14:paraId="6C9E0988" w14:textId="5AA591EE"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278</w:t>
            </w:r>
          </w:p>
        </w:tc>
        <w:tc>
          <w:tcPr>
            <w:tcW w:w="1559" w:type="dxa"/>
          </w:tcPr>
          <w:p w14:paraId="05E0918F" w14:textId="2DFDA7C5"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579</w:t>
            </w:r>
          </w:p>
        </w:tc>
        <w:tc>
          <w:tcPr>
            <w:tcW w:w="1412" w:type="dxa"/>
          </w:tcPr>
          <w:p w14:paraId="44D6B646" w14:textId="3FA5311A" w:rsidR="00196293" w:rsidRPr="00217688" w:rsidRDefault="00196293" w:rsidP="00873C7F">
            <w:pPr>
              <w:contextualSpacing/>
              <w:jc w:val="right"/>
              <w:rPr>
                <w:rFonts w:eastAsia="Times New Roman" w:cs="Times New Roman"/>
                <w:noProof w:val="0"/>
                <w:color w:val="212121"/>
                <w:sz w:val="18"/>
                <w:szCs w:val="18"/>
              </w:rPr>
            </w:pPr>
            <w:r>
              <w:rPr>
                <w:rFonts w:eastAsia="Times New Roman" w:cs="Times New Roman"/>
                <w:noProof w:val="0"/>
                <w:color w:val="212121"/>
                <w:sz w:val="18"/>
                <w:szCs w:val="18"/>
              </w:rPr>
              <w:t>1 720</w:t>
            </w:r>
          </w:p>
        </w:tc>
      </w:tr>
    </w:tbl>
    <w:p w14:paraId="3CFF616E" w14:textId="77E54786" w:rsidR="00601843" w:rsidRDefault="00086295" w:rsidP="00085E52">
      <w:pPr>
        <w:shd w:val="clear" w:color="auto" w:fill="FFFFFF"/>
        <w:spacing w:before="60"/>
        <w:ind w:left="539"/>
        <w:jc w:val="center"/>
        <w:rPr>
          <w:rFonts w:eastAsia="Times New Roman"/>
          <w:i/>
          <w:noProof w:val="0"/>
          <w:sz w:val="20"/>
          <w:szCs w:val="24"/>
          <w:lang w:eastAsia="ar-SA"/>
        </w:rPr>
      </w:pPr>
      <w:r>
        <w:rPr>
          <w:rFonts w:eastAsia="Times New Roman"/>
          <w:i/>
          <w:noProof w:val="0"/>
          <w:sz w:val="20"/>
          <w:szCs w:val="24"/>
          <w:lang w:eastAsia="ar-SA"/>
        </w:rPr>
        <w:t>2.</w:t>
      </w:r>
      <w:r w:rsidR="00601843" w:rsidRPr="00217688">
        <w:rPr>
          <w:rFonts w:eastAsia="Times New Roman"/>
          <w:i/>
          <w:noProof w:val="0"/>
          <w:sz w:val="20"/>
          <w:szCs w:val="24"/>
          <w:lang w:eastAsia="ar-SA"/>
        </w:rPr>
        <w:t xml:space="preserve"> tabula: NBC </w:t>
      </w:r>
      <w:r w:rsidR="00304EA6" w:rsidRPr="00217688">
        <w:rPr>
          <w:rFonts w:eastAsia="Times New Roman"/>
          <w:i/>
          <w:noProof w:val="0"/>
          <w:sz w:val="20"/>
          <w:szCs w:val="24"/>
          <w:lang w:eastAsia="ar-SA"/>
        </w:rPr>
        <w:t xml:space="preserve">grupas </w:t>
      </w:r>
      <w:r w:rsidR="00196293">
        <w:rPr>
          <w:rFonts w:eastAsia="Times New Roman"/>
          <w:i/>
          <w:noProof w:val="0"/>
          <w:sz w:val="20"/>
          <w:szCs w:val="24"/>
          <w:lang w:eastAsia="ar-SA"/>
        </w:rPr>
        <w:t>valstīm piešķirtās akcijas</w:t>
      </w:r>
      <w:r w:rsidR="00601843" w:rsidRPr="00217688">
        <w:rPr>
          <w:rFonts w:eastAsia="Times New Roman"/>
          <w:i/>
          <w:noProof w:val="0"/>
          <w:sz w:val="20"/>
          <w:szCs w:val="24"/>
          <w:lang w:eastAsia="ar-SA"/>
        </w:rPr>
        <w:t xml:space="preserve"> IFC kapitāla palielināšanā</w:t>
      </w:r>
      <w:r w:rsidR="00236B8C" w:rsidRPr="00217688">
        <w:rPr>
          <w:rFonts w:eastAsia="Times New Roman"/>
          <w:i/>
          <w:noProof w:val="0"/>
          <w:sz w:val="20"/>
          <w:szCs w:val="24"/>
          <w:lang w:eastAsia="ar-SA"/>
        </w:rPr>
        <w:t xml:space="preserve"> </w:t>
      </w:r>
      <w:r w:rsidR="00100CEE" w:rsidRPr="00217688">
        <w:rPr>
          <w:rFonts w:eastAsia="Times New Roman"/>
          <w:i/>
          <w:noProof w:val="0"/>
          <w:sz w:val="20"/>
          <w:szCs w:val="24"/>
          <w:lang w:eastAsia="ar-SA"/>
        </w:rPr>
        <w:t>(Avots: WBG)</w:t>
      </w:r>
    </w:p>
    <w:p w14:paraId="4A91284C" w14:textId="5D39D6F2" w:rsidR="00123ABB" w:rsidRDefault="00123ABB" w:rsidP="00085E52">
      <w:pPr>
        <w:shd w:val="clear" w:color="auto" w:fill="FFFFFF"/>
        <w:spacing w:before="60"/>
        <w:ind w:left="539"/>
        <w:jc w:val="center"/>
        <w:rPr>
          <w:rFonts w:eastAsia="Times New Roman"/>
          <w:i/>
          <w:noProof w:val="0"/>
          <w:sz w:val="20"/>
          <w:szCs w:val="24"/>
          <w:lang w:eastAsia="ar-SA"/>
        </w:rPr>
      </w:pPr>
    </w:p>
    <w:p w14:paraId="2C49968C" w14:textId="780ED078" w:rsidR="0035389B" w:rsidRPr="009A73AC" w:rsidRDefault="002C2B6F" w:rsidP="009A73AC">
      <w:pPr>
        <w:jc w:val="center"/>
        <w:rPr>
          <w:rFonts w:eastAsia="Times New Roman"/>
          <w:noProof w:val="0"/>
          <w:sz w:val="20"/>
          <w:szCs w:val="24"/>
          <w:lang w:eastAsia="ar-SA"/>
        </w:rPr>
      </w:pPr>
      <w:r w:rsidRPr="002C2B6F">
        <w:rPr>
          <w:lang w:val="en-GB" w:eastAsia="en-GB"/>
        </w:rPr>
        <w:drawing>
          <wp:inline distT="0" distB="0" distL="0" distR="0" wp14:anchorId="3922C7A0" wp14:editId="443A785E">
            <wp:extent cx="6616460" cy="159286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3448" cy="1601765"/>
                    </a:xfrm>
                    <a:prstGeom prst="rect">
                      <a:avLst/>
                    </a:prstGeom>
                    <a:noFill/>
                    <a:ln>
                      <a:noFill/>
                    </a:ln>
                  </pic:spPr>
                </pic:pic>
              </a:graphicData>
            </a:graphic>
          </wp:inline>
        </w:drawing>
      </w:r>
    </w:p>
    <w:p w14:paraId="7EADD75C" w14:textId="77777777" w:rsidR="00062B97" w:rsidRPr="00062B97" w:rsidRDefault="00AB2163" w:rsidP="00AB2163">
      <w:pPr>
        <w:jc w:val="center"/>
        <w:rPr>
          <w:rFonts w:eastAsia="Times New Roman"/>
          <w:i/>
          <w:noProof w:val="0"/>
          <w:sz w:val="20"/>
          <w:szCs w:val="24"/>
          <w:lang w:eastAsia="ar-SA"/>
        </w:rPr>
      </w:pPr>
      <w:r>
        <w:rPr>
          <w:rFonts w:eastAsia="Times New Roman"/>
          <w:i/>
          <w:noProof w:val="0"/>
          <w:sz w:val="20"/>
          <w:szCs w:val="24"/>
          <w:lang w:eastAsia="ar-SA"/>
        </w:rPr>
        <w:t>3</w:t>
      </w:r>
      <w:r w:rsidR="00062B97">
        <w:rPr>
          <w:rFonts w:eastAsia="Times New Roman"/>
          <w:i/>
          <w:noProof w:val="0"/>
          <w:sz w:val="20"/>
          <w:szCs w:val="24"/>
          <w:lang w:eastAsia="ar-SA"/>
        </w:rPr>
        <w:t xml:space="preserve">. </w:t>
      </w:r>
      <w:r>
        <w:rPr>
          <w:rFonts w:eastAsia="Times New Roman"/>
          <w:i/>
          <w:noProof w:val="0"/>
          <w:sz w:val="20"/>
          <w:szCs w:val="24"/>
          <w:lang w:eastAsia="ar-SA"/>
        </w:rPr>
        <w:t>t</w:t>
      </w:r>
      <w:r w:rsidR="00062B97" w:rsidRPr="00062B97">
        <w:rPr>
          <w:rFonts w:eastAsia="Times New Roman"/>
          <w:i/>
          <w:noProof w:val="0"/>
          <w:sz w:val="20"/>
          <w:szCs w:val="24"/>
          <w:lang w:eastAsia="ar-SA"/>
        </w:rPr>
        <w:t>abula</w:t>
      </w:r>
      <w:r w:rsidR="00062B97">
        <w:rPr>
          <w:rFonts w:eastAsia="Times New Roman"/>
          <w:i/>
          <w:noProof w:val="0"/>
          <w:sz w:val="20"/>
          <w:szCs w:val="24"/>
          <w:lang w:eastAsia="ar-SA"/>
        </w:rPr>
        <w:t>: Latvijas saistības IBRD un IFC vispārējā kapitāla palielināšanā</w:t>
      </w:r>
      <w:r w:rsidR="00062B97" w:rsidRPr="00062B97">
        <w:rPr>
          <w:rFonts w:eastAsia="Times New Roman"/>
          <w:i/>
          <w:noProof w:val="0"/>
          <w:sz w:val="20"/>
          <w:szCs w:val="24"/>
          <w:lang w:eastAsia="ar-SA"/>
        </w:rPr>
        <w:t xml:space="preserve"> </w:t>
      </w:r>
      <w:r w:rsidR="00062B97">
        <w:rPr>
          <w:rFonts w:eastAsia="Times New Roman"/>
          <w:i/>
          <w:noProof w:val="0"/>
          <w:sz w:val="20"/>
          <w:szCs w:val="24"/>
          <w:lang w:eastAsia="ar-SA"/>
        </w:rPr>
        <w:t>(GCI) un selektīvā kapitāla palielināšanā (SCI)</w:t>
      </w:r>
    </w:p>
    <w:p w14:paraId="6E2BEBBD" w14:textId="77777777" w:rsidR="00F951FA" w:rsidRDefault="00F951FA">
      <w:pPr>
        <w:rPr>
          <w:rFonts w:eastAsia="Times New Roman"/>
          <w:i/>
          <w:noProof w:val="0"/>
          <w:sz w:val="20"/>
          <w:szCs w:val="24"/>
          <w:lang w:eastAsia="ar-SA"/>
        </w:rPr>
      </w:pPr>
    </w:p>
    <w:p w14:paraId="25FFB3AA" w14:textId="6D21E9ED" w:rsidR="00AB2163" w:rsidRDefault="00AB2163">
      <w:pPr>
        <w:rPr>
          <w:rFonts w:eastAsia="Times New Roman"/>
          <w:i/>
          <w:noProof w:val="0"/>
          <w:sz w:val="20"/>
          <w:szCs w:val="24"/>
          <w:lang w:eastAsia="ar-SA"/>
        </w:rPr>
      </w:pPr>
    </w:p>
    <w:p w14:paraId="49180DE0" w14:textId="6195B768" w:rsidR="005330DD" w:rsidRDefault="005330DD">
      <w:pPr>
        <w:rPr>
          <w:rFonts w:eastAsia="Times New Roman"/>
          <w:i/>
          <w:noProof w:val="0"/>
          <w:sz w:val="20"/>
          <w:szCs w:val="24"/>
          <w:lang w:eastAsia="ar-SA"/>
        </w:rPr>
      </w:pPr>
    </w:p>
    <w:p w14:paraId="47A9E8D2" w14:textId="6AC49F76" w:rsidR="005330DD" w:rsidRDefault="005330DD">
      <w:pPr>
        <w:rPr>
          <w:rFonts w:eastAsia="Times New Roman"/>
          <w:i/>
          <w:noProof w:val="0"/>
          <w:sz w:val="20"/>
          <w:szCs w:val="24"/>
          <w:lang w:eastAsia="ar-SA"/>
        </w:rPr>
      </w:pPr>
    </w:p>
    <w:p w14:paraId="1426559A" w14:textId="1C632DA9" w:rsidR="005330DD" w:rsidRDefault="005330DD">
      <w:pPr>
        <w:rPr>
          <w:rFonts w:eastAsia="Times New Roman"/>
          <w:i/>
          <w:noProof w:val="0"/>
          <w:sz w:val="20"/>
          <w:szCs w:val="24"/>
          <w:lang w:eastAsia="ar-SA"/>
        </w:rPr>
      </w:pPr>
    </w:p>
    <w:p w14:paraId="23DB639E" w14:textId="77777777" w:rsidR="005330DD" w:rsidRDefault="005330DD">
      <w:pPr>
        <w:rPr>
          <w:rFonts w:eastAsia="Times New Roman"/>
          <w:i/>
          <w:noProof w:val="0"/>
          <w:sz w:val="20"/>
          <w:szCs w:val="24"/>
          <w:lang w:eastAsia="ar-SA"/>
        </w:rPr>
      </w:pPr>
    </w:p>
    <w:p w14:paraId="09B54BAD" w14:textId="77777777" w:rsidR="005D2272" w:rsidRPr="00217688" w:rsidRDefault="00C512BD" w:rsidP="000119A3">
      <w:pPr>
        <w:pStyle w:val="ListParagraph"/>
        <w:numPr>
          <w:ilvl w:val="0"/>
          <w:numId w:val="14"/>
        </w:numPr>
        <w:shd w:val="clear" w:color="auto" w:fill="FFFFFF"/>
        <w:spacing w:after="120"/>
        <w:jc w:val="center"/>
        <w:rPr>
          <w:b/>
          <w:noProof w:val="0"/>
        </w:rPr>
      </w:pPr>
      <w:r w:rsidRPr="00217688">
        <w:rPr>
          <w:b/>
          <w:noProof w:val="0"/>
        </w:rPr>
        <w:t>Turpmākā rīcība</w:t>
      </w:r>
    </w:p>
    <w:p w14:paraId="0B24F030" w14:textId="77777777" w:rsidR="00C512BD" w:rsidRPr="00217688" w:rsidRDefault="00C512BD" w:rsidP="000119A3">
      <w:pPr>
        <w:pStyle w:val="ListParagraph"/>
        <w:shd w:val="clear" w:color="auto" w:fill="FFFFFF"/>
        <w:spacing w:after="120"/>
        <w:ind w:left="1080"/>
        <w:rPr>
          <w:b/>
          <w:noProof w:val="0"/>
        </w:rPr>
      </w:pPr>
    </w:p>
    <w:p w14:paraId="6811B730" w14:textId="77777777" w:rsidR="00CE4F22" w:rsidRPr="00217688" w:rsidRDefault="00CE4F22" w:rsidP="00CE4F22">
      <w:pPr>
        <w:pStyle w:val="ListParagraph"/>
        <w:numPr>
          <w:ilvl w:val="0"/>
          <w:numId w:val="2"/>
        </w:numPr>
        <w:spacing w:after="120"/>
        <w:ind w:left="284" w:hanging="357"/>
        <w:contextualSpacing w:val="0"/>
        <w:jc w:val="both"/>
      </w:pPr>
      <w:r w:rsidRPr="00217688">
        <w:t>Pieņemt zināšanai informatīvo ziņojumu.</w:t>
      </w:r>
    </w:p>
    <w:p w14:paraId="0AADA168" w14:textId="7C9E9F15" w:rsidR="00CE4F22" w:rsidRPr="00217688" w:rsidRDefault="00CE4F22" w:rsidP="00CE4F22">
      <w:pPr>
        <w:pStyle w:val="ListParagraph"/>
        <w:numPr>
          <w:ilvl w:val="0"/>
          <w:numId w:val="2"/>
        </w:numPr>
        <w:spacing w:after="120"/>
        <w:ind w:left="284" w:hanging="357"/>
        <w:contextualSpacing w:val="0"/>
        <w:jc w:val="both"/>
      </w:pPr>
      <w:r w:rsidRPr="00217688">
        <w:t xml:space="preserve">Saskaņā ar likuma </w:t>
      </w:r>
      <w:r>
        <w:t>“P</w:t>
      </w:r>
      <w:r w:rsidRPr="00217688">
        <w:t xml:space="preserve">ar Latvijas Republikas iestāšanos Starptautiskajā </w:t>
      </w:r>
      <w:r w:rsidR="00921F70">
        <w:t>r</w:t>
      </w:r>
      <w:r w:rsidRPr="00217688">
        <w:t xml:space="preserve">ekonstrukcijas un attīstības bankā, tās apvienotajās organizācijās un Eiropas </w:t>
      </w:r>
      <w:r w:rsidR="00921F70">
        <w:t>r</w:t>
      </w:r>
      <w:r w:rsidRPr="00217688">
        <w:t>ekonstrukcijas un attīstības bankā</w:t>
      </w:r>
      <w:r>
        <w:t>”</w:t>
      </w:r>
      <w:r w:rsidRPr="00217688">
        <w:t xml:space="preserve"> 6.pantu, pilnvarot finanšu ministri Latvijas Republikas vārdā atbalstīt:</w:t>
      </w:r>
    </w:p>
    <w:p w14:paraId="4215C01D" w14:textId="732D5A01" w:rsidR="00CE4F22" w:rsidRPr="00217688" w:rsidRDefault="00CE4F22" w:rsidP="00CE4F22">
      <w:pPr>
        <w:pStyle w:val="ListParagraph"/>
        <w:numPr>
          <w:ilvl w:val="1"/>
          <w:numId w:val="2"/>
        </w:numPr>
        <w:spacing w:after="120"/>
        <w:ind w:left="851"/>
        <w:contextualSpacing w:val="0"/>
        <w:jc w:val="both"/>
      </w:pPr>
      <w:r w:rsidRPr="00217688">
        <w:t>Starptautiskās Rekonstrukcijas un attīstības bankas (IBRD) rezolūcijas „</w:t>
      </w:r>
      <w:r w:rsidR="008B4B24">
        <w:t xml:space="preserve">2018.gada </w:t>
      </w:r>
      <w:r w:rsidRPr="00217688">
        <w:t>Vispārējā kapitāla palielināšana” projektu, kas paredz vispārējā kapitāla palielināšanu;</w:t>
      </w:r>
    </w:p>
    <w:p w14:paraId="5777EE41" w14:textId="26FFA5CE" w:rsidR="00CE4F22" w:rsidRPr="00217688" w:rsidRDefault="00CE4F22" w:rsidP="00CE4F22">
      <w:pPr>
        <w:pStyle w:val="ListParagraph"/>
        <w:numPr>
          <w:ilvl w:val="1"/>
          <w:numId w:val="2"/>
        </w:numPr>
        <w:spacing w:after="120"/>
        <w:ind w:left="851"/>
        <w:contextualSpacing w:val="0"/>
        <w:jc w:val="both"/>
      </w:pPr>
      <w:r w:rsidRPr="00217688">
        <w:t>Starptautiskās Finanšu korporācijas (IFC) rezolūcijas “</w:t>
      </w:r>
      <w:r w:rsidR="00B47F29">
        <w:t xml:space="preserve">2018.gada </w:t>
      </w:r>
      <w:r w:rsidRPr="00217688">
        <w:t>Nesa</w:t>
      </w:r>
      <w:r w:rsidR="00B47F29">
        <w:t>dalītās peļņas konvertācija un V</w:t>
      </w:r>
      <w:r w:rsidRPr="00217688">
        <w:t xml:space="preserve">ispārējā kapitāla palielināšana” projektu, kas paredz IFC  nesadalītās peļņas konvertāciju </w:t>
      </w:r>
      <w:r w:rsidR="00A63A29">
        <w:t xml:space="preserve">apmaksātajā </w:t>
      </w:r>
      <w:r w:rsidRPr="00217688">
        <w:t>kapitālā un vispārējo kapitāla palielināšanu;</w:t>
      </w:r>
    </w:p>
    <w:p w14:paraId="2EFC05A9" w14:textId="26A34FAC" w:rsidR="00CE4F22" w:rsidRPr="00217688" w:rsidRDefault="00CE4F22" w:rsidP="00CE4F22">
      <w:pPr>
        <w:pStyle w:val="ListParagraph"/>
        <w:numPr>
          <w:ilvl w:val="1"/>
          <w:numId w:val="2"/>
        </w:numPr>
        <w:spacing w:after="120"/>
        <w:ind w:left="851"/>
        <w:contextualSpacing w:val="0"/>
        <w:jc w:val="both"/>
      </w:pPr>
      <w:r w:rsidRPr="00217688">
        <w:t>Starptautiskās Finanšu korporācijas (IFC) rezolūcijas “</w:t>
      </w:r>
      <w:r w:rsidR="000F336C">
        <w:t>Grozījums Korporācijas</w:t>
      </w:r>
      <w:r w:rsidRPr="00217688">
        <w:t xml:space="preserve"> Statūt</w:t>
      </w:r>
      <w:r w:rsidR="000F336C">
        <w:t>os</w:t>
      </w:r>
      <w:r w:rsidRPr="00217688">
        <w:t>” projektu, kas paredz IFC Statūtu grozījumus;</w:t>
      </w:r>
    </w:p>
    <w:p w14:paraId="1571FA44" w14:textId="01BC1404" w:rsidR="00CE4F22" w:rsidRPr="00217688" w:rsidRDefault="00CE4F22" w:rsidP="00CE4F22">
      <w:pPr>
        <w:pStyle w:val="ListParagraph"/>
        <w:numPr>
          <w:ilvl w:val="1"/>
          <w:numId w:val="2"/>
        </w:numPr>
        <w:spacing w:after="120"/>
        <w:ind w:left="851"/>
        <w:contextualSpacing w:val="0"/>
        <w:jc w:val="both"/>
      </w:pPr>
      <w:r w:rsidRPr="00217688">
        <w:t>Starptautiskās Finanšu korporācijas (IFC) rezolūcijas “</w:t>
      </w:r>
      <w:r w:rsidR="00694D0F">
        <w:t xml:space="preserve">2018.gada </w:t>
      </w:r>
      <w:r w:rsidRPr="00217688">
        <w:t>Vispārējā kapitāla palielināšana” projektu, kas paredz vispārējo kapitāla palielināšanu;</w:t>
      </w:r>
    </w:p>
    <w:p w14:paraId="509ABC53" w14:textId="499FA9D1" w:rsidR="00CE4F22" w:rsidRDefault="00CE4F22" w:rsidP="00CE4F22">
      <w:pPr>
        <w:pStyle w:val="ListParagraph"/>
        <w:numPr>
          <w:ilvl w:val="1"/>
          <w:numId w:val="2"/>
        </w:numPr>
        <w:spacing w:after="120"/>
        <w:ind w:left="851"/>
        <w:contextualSpacing w:val="0"/>
        <w:jc w:val="both"/>
      </w:pPr>
      <w:r w:rsidRPr="00217688">
        <w:t>Starptautiskās Rekonstrukcijas un attīstības bankas (IBRD) rezolūcijas „</w:t>
      </w:r>
      <w:r w:rsidR="00694D0F">
        <w:t xml:space="preserve">2018.gada </w:t>
      </w:r>
      <w:r w:rsidRPr="00217688">
        <w:t>Selektīvā kapitāla palielināšana” projektu, kas paredz selektīvo kapitāla palielināšanu;</w:t>
      </w:r>
    </w:p>
    <w:p w14:paraId="5B3789C7" w14:textId="5EC3E53C" w:rsidR="00CE4F22" w:rsidRPr="00217688" w:rsidRDefault="00CE4F22" w:rsidP="00CE4F22">
      <w:pPr>
        <w:pStyle w:val="ListParagraph"/>
        <w:numPr>
          <w:ilvl w:val="1"/>
          <w:numId w:val="2"/>
        </w:numPr>
        <w:spacing w:after="120"/>
        <w:ind w:left="851"/>
        <w:contextualSpacing w:val="0"/>
        <w:jc w:val="both"/>
      </w:pPr>
      <w:r w:rsidRPr="00217688">
        <w:t>Starptautiskās Finanšu korporācijas (IFC) rezolūcijas “</w:t>
      </w:r>
      <w:r w:rsidR="00694D0F">
        <w:t xml:space="preserve">2018.gada </w:t>
      </w:r>
      <w:r>
        <w:t>Selektīvā</w:t>
      </w:r>
      <w:r w:rsidRPr="00217688">
        <w:t xml:space="preserve"> kapitāla palielināšana” projektu, kas paredz </w:t>
      </w:r>
      <w:r>
        <w:t>selektīvo</w:t>
      </w:r>
      <w:r w:rsidRPr="00217688">
        <w:t xml:space="preserve"> kapitāla palielināšanu;</w:t>
      </w:r>
    </w:p>
    <w:p w14:paraId="7CAD7806" w14:textId="2A6F2D67" w:rsidR="00CE4F22" w:rsidRPr="00217688" w:rsidRDefault="00CE4F22" w:rsidP="00CE4F22">
      <w:pPr>
        <w:pStyle w:val="ListParagraph"/>
        <w:numPr>
          <w:ilvl w:val="0"/>
          <w:numId w:val="2"/>
        </w:numPr>
        <w:shd w:val="clear" w:color="auto" w:fill="FFFFFF"/>
        <w:spacing w:after="120"/>
        <w:ind w:left="284" w:hanging="357"/>
        <w:contextualSpacing w:val="0"/>
        <w:jc w:val="both"/>
        <w:rPr>
          <w:rFonts w:ascii="Segoe UI" w:hAnsi="Segoe UI" w:cs="Segoe UI"/>
          <w:sz w:val="23"/>
          <w:szCs w:val="23"/>
        </w:rPr>
      </w:pPr>
      <w:r w:rsidRPr="00217688">
        <w:rPr>
          <w:color w:val="212121"/>
        </w:rPr>
        <w:t>Finanšu ministrijai likumprojektā „Par valsts budžetu 20</w:t>
      </w:r>
      <w:r>
        <w:rPr>
          <w:color w:val="212121"/>
        </w:rPr>
        <w:t>20</w:t>
      </w:r>
      <w:r w:rsidRPr="00217688">
        <w:rPr>
          <w:color w:val="212121"/>
        </w:rPr>
        <w:t>. gadam” iekļaut normu, kas paredz atļauju finanšu ministr</w:t>
      </w:r>
      <w:r>
        <w:rPr>
          <w:color w:val="212121"/>
        </w:rPr>
        <w:t>am</w:t>
      </w:r>
      <w:r w:rsidRPr="00217688">
        <w:rPr>
          <w:color w:val="212121"/>
        </w:rPr>
        <w:t xml:space="preserve"> palielināt Latvijas Republikas saistības pret IBRD Latvijas Republikas </w:t>
      </w:r>
      <w:r>
        <w:rPr>
          <w:color w:val="212121"/>
        </w:rPr>
        <w:t xml:space="preserve">parakstītā </w:t>
      </w:r>
      <w:r w:rsidRPr="00217688">
        <w:rPr>
          <w:color w:val="212121"/>
        </w:rPr>
        <w:t>kapitāla palielināšanai IBRD</w:t>
      </w:r>
      <w:r w:rsidR="006D4FEB">
        <w:rPr>
          <w:color w:val="212121"/>
        </w:rPr>
        <w:t xml:space="preserve"> par USD 32 933 356 ei</w:t>
      </w:r>
      <w:r>
        <w:rPr>
          <w:color w:val="212121"/>
        </w:rPr>
        <w:t>ro ekvivalentā</w:t>
      </w:r>
      <w:r w:rsidR="00DB35B5">
        <w:rPr>
          <w:color w:val="212121"/>
        </w:rPr>
        <w:t>.</w:t>
      </w:r>
      <w:r w:rsidRPr="00217688">
        <w:rPr>
          <w:i/>
          <w:iCs/>
          <w:color w:val="212121"/>
        </w:rPr>
        <w:t xml:space="preserve"> </w:t>
      </w:r>
    </w:p>
    <w:p w14:paraId="25E26B21" w14:textId="17BB3E9D" w:rsidR="00CE4F22" w:rsidRPr="001F4F67" w:rsidRDefault="00CE4F22" w:rsidP="00CE4F22">
      <w:pPr>
        <w:pStyle w:val="ListParagraph"/>
        <w:numPr>
          <w:ilvl w:val="0"/>
          <w:numId w:val="2"/>
        </w:numPr>
        <w:shd w:val="clear" w:color="auto" w:fill="FFFFFF"/>
        <w:spacing w:after="120"/>
        <w:ind w:left="284" w:hanging="357"/>
        <w:contextualSpacing w:val="0"/>
        <w:jc w:val="both"/>
        <w:rPr>
          <w:rFonts w:ascii="Segoe UI" w:hAnsi="Segoe UI" w:cs="Segoe UI"/>
          <w:sz w:val="23"/>
          <w:szCs w:val="23"/>
        </w:rPr>
      </w:pPr>
      <w:r w:rsidRPr="00217688">
        <w:t>Finanšu ministrijai likumprojektā „Par valsts budžetu 20</w:t>
      </w:r>
      <w:r>
        <w:t>20</w:t>
      </w:r>
      <w:r w:rsidRPr="00217688">
        <w:t>. gadam” iekļaut normu, kas paredz atļauju finanšu ministr</w:t>
      </w:r>
      <w:r>
        <w:t>am</w:t>
      </w:r>
      <w:r w:rsidRPr="00217688">
        <w:t xml:space="preserve"> palielināt Latvijas Republikas saistības pret IFC Latvijas Republikas</w:t>
      </w:r>
      <w:r>
        <w:t xml:space="preserve"> parakstītā</w:t>
      </w:r>
      <w:r w:rsidRPr="00217688">
        <w:t xml:space="preserve"> kapitāla palielināšanai IFC</w:t>
      </w:r>
      <w:r w:rsidR="006D4FEB">
        <w:t xml:space="preserve"> par USD 4 650 000 ei</w:t>
      </w:r>
      <w:r>
        <w:t>ro ekvivalentā</w:t>
      </w:r>
      <w:r w:rsidRPr="00217688">
        <w:t xml:space="preserve">. </w:t>
      </w:r>
    </w:p>
    <w:p w14:paraId="7A3488A8" w14:textId="77777777" w:rsidR="00CE4F22" w:rsidRPr="00217688" w:rsidRDefault="00CE4F22" w:rsidP="00CE4F22">
      <w:pPr>
        <w:pStyle w:val="ListParagraph"/>
        <w:numPr>
          <w:ilvl w:val="0"/>
          <w:numId w:val="2"/>
        </w:numPr>
        <w:shd w:val="clear" w:color="auto" w:fill="FFFFFF"/>
        <w:spacing w:after="120"/>
        <w:ind w:left="284" w:hanging="357"/>
        <w:contextualSpacing w:val="0"/>
        <w:jc w:val="both"/>
        <w:rPr>
          <w:rFonts w:ascii="Segoe UI" w:hAnsi="Segoe UI" w:cs="Segoe UI"/>
          <w:sz w:val="23"/>
          <w:szCs w:val="23"/>
        </w:rPr>
      </w:pPr>
      <w:r>
        <w:t>Pieņemt zināšanai, ka IFC nesadalītās peļņas konvertācijas kapitālā rezultātā Latvijas apmaksātā kapitāla daļa IFC tiks palielināta par 14 243 akcijām.</w:t>
      </w:r>
    </w:p>
    <w:p w14:paraId="4C6B93A9" w14:textId="259469E6" w:rsidR="00CE4F22" w:rsidRPr="00217688" w:rsidRDefault="00CE4F22" w:rsidP="00CE4F22">
      <w:pPr>
        <w:pStyle w:val="ListParagraph"/>
        <w:numPr>
          <w:ilvl w:val="0"/>
          <w:numId w:val="2"/>
        </w:numPr>
        <w:shd w:val="clear" w:color="auto" w:fill="FFFFFF"/>
        <w:spacing w:after="120"/>
        <w:ind w:left="284" w:hanging="357"/>
        <w:contextualSpacing w:val="0"/>
        <w:jc w:val="both"/>
        <w:rPr>
          <w:rFonts w:ascii="Segoe UI" w:hAnsi="Segoe UI" w:cs="Segoe UI"/>
          <w:color w:val="212121"/>
          <w:sz w:val="23"/>
          <w:szCs w:val="23"/>
        </w:rPr>
      </w:pPr>
      <w:r>
        <w:rPr>
          <w:color w:val="212121"/>
        </w:rPr>
        <w:t>Likumprojekta “Par valsts budžetu</w:t>
      </w:r>
      <w:r w:rsidRPr="00217688">
        <w:rPr>
          <w:color w:val="212121"/>
        </w:rPr>
        <w:t xml:space="preserve"> 2019.gada</w:t>
      </w:r>
      <w:r w:rsidR="00DB35B5">
        <w:rPr>
          <w:color w:val="212121"/>
        </w:rPr>
        <w:t>m</w:t>
      </w:r>
      <w:r>
        <w:rPr>
          <w:color w:val="212121"/>
        </w:rPr>
        <w:t>”</w:t>
      </w:r>
      <w:r w:rsidRPr="00217688">
        <w:rPr>
          <w:color w:val="212121"/>
        </w:rPr>
        <w:t xml:space="preserve"> sagatavošanas procesā palielināt finansējumu Finanšu ministrijas ilgtermiņa saistībām </w:t>
      </w:r>
      <w:r>
        <w:rPr>
          <w:color w:val="212121"/>
        </w:rPr>
        <w:t xml:space="preserve">2020.gadam un turpmākajiem </w:t>
      </w:r>
      <w:r w:rsidRPr="00217688">
        <w:rPr>
          <w:color w:val="212121"/>
        </w:rPr>
        <w:t>gad</w:t>
      </w:r>
      <w:r>
        <w:rPr>
          <w:color w:val="212121"/>
        </w:rPr>
        <w:t>iem</w:t>
      </w:r>
      <w:r w:rsidRPr="00217688">
        <w:rPr>
          <w:color w:val="212121"/>
        </w:rPr>
        <w:t xml:space="preserve"> valsts budžeta apakšprogrammā 41.03.00 “Iemaksas starptautiskajās organizācijās” ieguldījumu veikšanai:</w:t>
      </w:r>
    </w:p>
    <w:p w14:paraId="560C9355" w14:textId="77777777" w:rsidR="00CE4F22" w:rsidRPr="00684C6D" w:rsidRDefault="00CE4F22" w:rsidP="00CE4F22">
      <w:pPr>
        <w:pStyle w:val="ListParagraph"/>
        <w:numPr>
          <w:ilvl w:val="1"/>
          <w:numId w:val="2"/>
        </w:numPr>
        <w:shd w:val="clear" w:color="auto" w:fill="FFFFFF"/>
        <w:spacing w:after="120"/>
        <w:ind w:left="850" w:hanging="357"/>
        <w:contextualSpacing w:val="0"/>
        <w:jc w:val="both"/>
        <w:rPr>
          <w:color w:val="212121"/>
        </w:rPr>
      </w:pPr>
      <w:r w:rsidRPr="00684C6D">
        <w:rPr>
          <w:color w:val="212121"/>
        </w:rPr>
        <w:t xml:space="preserve">IBRD vispārējā kapitāla palielināšanai 2020., 2021. un 2022.gadā par </w:t>
      </w:r>
      <w:r>
        <w:rPr>
          <w:color w:val="212121"/>
        </w:rPr>
        <w:t xml:space="preserve">USD 810 667,2 eiro ekvivalentā jeb EUR 748 </w:t>
      </w:r>
      <w:r w:rsidRPr="00684C6D">
        <w:rPr>
          <w:color w:val="212121"/>
        </w:rPr>
        <w:t xml:space="preserve">246 ik gadu un turpmākajos gados līdz 2024.gadam (ieskaitot) kopā par </w:t>
      </w:r>
      <w:r>
        <w:rPr>
          <w:color w:val="212121"/>
        </w:rPr>
        <w:t>USD 1 621 334,4 eiro ekvivalentā jeb EUR 1 496 </w:t>
      </w:r>
      <w:r w:rsidRPr="00684C6D">
        <w:rPr>
          <w:color w:val="212121"/>
        </w:rPr>
        <w:t>492;</w:t>
      </w:r>
    </w:p>
    <w:p w14:paraId="3B7D1505" w14:textId="77777777" w:rsidR="00CE4F22" w:rsidRPr="00684C6D" w:rsidRDefault="00CE4F22" w:rsidP="00CE4F22">
      <w:pPr>
        <w:pStyle w:val="ListParagraph"/>
        <w:numPr>
          <w:ilvl w:val="1"/>
          <w:numId w:val="2"/>
        </w:numPr>
        <w:shd w:val="clear" w:color="auto" w:fill="FFFFFF"/>
        <w:spacing w:after="120"/>
        <w:ind w:left="850" w:hanging="357"/>
        <w:contextualSpacing w:val="0"/>
        <w:jc w:val="both"/>
        <w:rPr>
          <w:color w:val="212121"/>
        </w:rPr>
      </w:pPr>
      <w:r w:rsidRPr="00684C6D">
        <w:rPr>
          <w:color w:val="212121"/>
        </w:rPr>
        <w:t xml:space="preserve">IBRD selektīvā kapitāla palielināšanai 2020., 2021. un 2022.gadā par </w:t>
      </w:r>
      <w:r>
        <w:rPr>
          <w:color w:val="212121"/>
        </w:rPr>
        <w:t xml:space="preserve">USD 152 000,2 eiro ekvivalentā jeb EUR 140 </w:t>
      </w:r>
      <w:r w:rsidRPr="00684C6D">
        <w:rPr>
          <w:color w:val="212121"/>
        </w:rPr>
        <w:t xml:space="preserve">297 ik gadu un turpmākajos gados līdz 2024.gadam (ieskaitot) kopā par </w:t>
      </w:r>
      <w:r>
        <w:rPr>
          <w:color w:val="212121"/>
        </w:rPr>
        <w:t>USD 304 000,4 eiro ekvivalentā jeb EUR 280 594</w:t>
      </w:r>
      <w:r w:rsidRPr="00684C6D">
        <w:rPr>
          <w:color w:val="212121"/>
        </w:rPr>
        <w:t>;</w:t>
      </w:r>
    </w:p>
    <w:p w14:paraId="489C454C" w14:textId="77777777" w:rsidR="00CE4F22" w:rsidRPr="00217688" w:rsidRDefault="00CE4F22" w:rsidP="00CE4F22">
      <w:pPr>
        <w:pStyle w:val="ListParagraph"/>
        <w:numPr>
          <w:ilvl w:val="1"/>
          <w:numId w:val="2"/>
        </w:numPr>
        <w:shd w:val="clear" w:color="auto" w:fill="FFFFFF"/>
        <w:spacing w:after="120"/>
        <w:ind w:left="850" w:hanging="357"/>
        <w:contextualSpacing w:val="0"/>
        <w:jc w:val="both"/>
        <w:rPr>
          <w:rFonts w:ascii="Segoe UI" w:hAnsi="Segoe UI" w:cs="Segoe UI"/>
          <w:color w:val="212121"/>
          <w:sz w:val="23"/>
          <w:szCs w:val="23"/>
        </w:rPr>
      </w:pPr>
      <w:r w:rsidRPr="00684C6D">
        <w:rPr>
          <w:color w:val="212121"/>
        </w:rPr>
        <w:t xml:space="preserve">IFC vispārējā kapitāla palielināšanai 2020., 2021. un 2022.gadā par </w:t>
      </w:r>
      <w:r>
        <w:rPr>
          <w:color w:val="212121"/>
        </w:rPr>
        <w:t xml:space="preserve">USD 930 000 eiro ekvivalentā jeb EUR 858 </w:t>
      </w:r>
      <w:r w:rsidRPr="00684C6D">
        <w:rPr>
          <w:color w:val="212121"/>
        </w:rPr>
        <w:t>390 ik gadu un turpmākajos gados līdz 2024.gadam (ieskaitot) kopā par</w:t>
      </w:r>
      <w:r>
        <w:rPr>
          <w:color w:val="212121"/>
        </w:rPr>
        <w:t xml:space="preserve"> USD 1 860 000 eiro ekvivalentā jeb EUR 1 716 780.</w:t>
      </w:r>
    </w:p>
    <w:p w14:paraId="2E1B3E57" w14:textId="3ED92F41" w:rsidR="00CE4F22" w:rsidRPr="00217688" w:rsidRDefault="00CE4F22" w:rsidP="00CE4F22">
      <w:pPr>
        <w:pStyle w:val="ListParagraph"/>
        <w:numPr>
          <w:ilvl w:val="0"/>
          <w:numId w:val="2"/>
        </w:numPr>
        <w:spacing w:after="120"/>
        <w:ind w:left="284" w:hanging="357"/>
        <w:contextualSpacing w:val="0"/>
        <w:jc w:val="both"/>
        <w:rPr>
          <w:iCs/>
          <w:color w:val="212121"/>
        </w:rPr>
      </w:pPr>
      <w:r w:rsidRPr="00217688">
        <w:rPr>
          <w:iCs/>
          <w:color w:val="212121"/>
        </w:rPr>
        <w:lastRenderedPageBreak/>
        <w:t xml:space="preserve">Saskaņā ar likuma “Par Latvijas Republikas iestāšanos Starptautiskajā </w:t>
      </w:r>
      <w:r w:rsidR="00921F70">
        <w:rPr>
          <w:iCs/>
          <w:color w:val="212121"/>
        </w:rPr>
        <w:t>r</w:t>
      </w:r>
      <w:r w:rsidRPr="00217688">
        <w:rPr>
          <w:iCs/>
          <w:color w:val="212121"/>
        </w:rPr>
        <w:t xml:space="preserve">ekonstrukcijas un attīstības bankā, tās apvienotajās organizācijās un Eiropas </w:t>
      </w:r>
      <w:r w:rsidR="00921F70">
        <w:rPr>
          <w:iCs/>
          <w:color w:val="212121"/>
        </w:rPr>
        <w:t>r</w:t>
      </w:r>
      <w:r w:rsidRPr="00217688">
        <w:rPr>
          <w:iCs/>
          <w:color w:val="212121"/>
        </w:rPr>
        <w:t xml:space="preserve">ekonstrukcijas un attīstības bankā” 6.pantu, pilnvarot tieslietu ministru pēc Parakstīšanās instrumenta </w:t>
      </w:r>
      <w:r w:rsidR="00D87307">
        <w:rPr>
          <w:iCs/>
          <w:color w:val="212121"/>
        </w:rPr>
        <w:t xml:space="preserve">un Finanšu ministrijas pieprasījuma </w:t>
      </w:r>
      <w:r w:rsidRPr="00217688">
        <w:rPr>
          <w:iCs/>
          <w:color w:val="212121"/>
        </w:rPr>
        <w:t>saņemšanas sagatavot juridisko atzinumu (</w:t>
      </w:r>
      <w:r w:rsidRPr="00217688">
        <w:rPr>
          <w:i/>
          <w:iCs/>
          <w:color w:val="212121"/>
        </w:rPr>
        <w:t>Memorandum of Law</w:t>
      </w:r>
      <w:r w:rsidRPr="00217688">
        <w:rPr>
          <w:iCs/>
          <w:color w:val="212121"/>
        </w:rPr>
        <w:t>) IBRD un iesniegt to Finanšu ministrijai.</w:t>
      </w:r>
    </w:p>
    <w:p w14:paraId="66335F41" w14:textId="6EFCF7A5" w:rsidR="00CE4F22" w:rsidRDefault="00DB35B5" w:rsidP="00CE4F22">
      <w:pPr>
        <w:pStyle w:val="ListParagraph"/>
        <w:numPr>
          <w:ilvl w:val="0"/>
          <w:numId w:val="2"/>
        </w:numPr>
        <w:spacing w:after="120"/>
        <w:ind w:left="284" w:hanging="357"/>
        <w:contextualSpacing w:val="0"/>
        <w:jc w:val="both"/>
        <w:rPr>
          <w:iCs/>
          <w:color w:val="212121"/>
        </w:rPr>
      </w:pPr>
      <w:r>
        <w:rPr>
          <w:iCs/>
          <w:color w:val="212121"/>
        </w:rPr>
        <w:t>Pilnvarot finanšu ministru</w:t>
      </w:r>
      <w:r w:rsidR="00CE4F22" w:rsidRPr="00217688">
        <w:rPr>
          <w:iCs/>
          <w:color w:val="212121"/>
        </w:rPr>
        <w:t xml:space="preserve"> Latvijas Republikas valdības vārdā parakstīt Parakstīšanās </w:t>
      </w:r>
      <w:r w:rsidR="00CE4F22">
        <w:rPr>
          <w:iCs/>
          <w:color w:val="212121"/>
        </w:rPr>
        <w:t>i</w:t>
      </w:r>
      <w:r w:rsidR="00CE4F22" w:rsidRPr="00217688">
        <w:rPr>
          <w:iCs/>
          <w:color w:val="212121"/>
        </w:rPr>
        <w:t>nstrumentus par Latvijas Republikas dalību IBRD un IFC kapitāla palielināšanā.</w:t>
      </w:r>
    </w:p>
    <w:p w14:paraId="79B56EEC" w14:textId="166AFAAA" w:rsidR="00D87307" w:rsidRPr="00055042" w:rsidRDefault="00D87307" w:rsidP="00D87307">
      <w:pPr>
        <w:pStyle w:val="ListParagraph"/>
        <w:numPr>
          <w:ilvl w:val="0"/>
          <w:numId w:val="2"/>
        </w:numPr>
        <w:spacing w:after="120"/>
        <w:ind w:left="284" w:hanging="357"/>
        <w:contextualSpacing w:val="0"/>
        <w:jc w:val="both"/>
        <w:rPr>
          <w:iCs/>
          <w:color w:val="212121"/>
        </w:rPr>
      </w:pPr>
      <w:r w:rsidRPr="00431048">
        <w:rPr>
          <w:iCs/>
          <w:color w:val="212121"/>
        </w:rPr>
        <w:t xml:space="preserve">Finanšu ministrijai nodrošināt </w:t>
      </w:r>
      <w:r>
        <w:rPr>
          <w:iCs/>
          <w:color w:val="212121"/>
        </w:rPr>
        <w:t xml:space="preserve">IFC rezolūcijas </w:t>
      </w:r>
      <w:r w:rsidRPr="006C5C65">
        <w:t xml:space="preserve">“Grozījums Korporācijas Statūtos” </w:t>
      </w:r>
      <w:r>
        <w:rPr>
          <w:iCs/>
          <w:color w:val="212121"/>
        </w:rPr>
        <w:t xml:space="preserve">ienešanu Latvijas tiesību sistēmā, kā arī </w:t>
      </w:r>
      <w:r w:rsidRPr="00431048">
        <w:rPr>
          <w:iCs/>
          <w:color w:val="212121"/>
        </w:rPr>
        <w:t>IBRD, IFC un Daudzpusējās investīciju garantiju aģentūras statūtu</w:t>
      </w:r>
      <w:r w:rsidRPr="00AD57B5">
        <w:rPr>
          <w:iCs/>
          <w:color w:val="212121"/>
        </w:rPr>
        <w:t xml:space="preserve"> </w:t>
      </w:r>
      <w:r w:rsidRPr="00431048">
        <w:rPr>
          <w:iCs/>
          <w:color w:val="212121"/>
        </w:rPr>
        <w:t>oficiālo publicēšanu.</w:t>
      </w:r>
    </w:p>
    <w:p w14:paraId="0080A6F6" w14:textId="77777777" w:rsidR="0048762C" w:rsidRPr="00217688" w:rsidRDefault="0048762C" w:rsidP="002C6902">
      <w:pPr>
        <w:pStyle w:val="ListParagraph"/>
        <w:jc w:val="both"/>
        <w:rPr>
          <w:rFonts w:eastAsia="Times New Roman" w:cs="Times New Roman"/>
          <w:iCs/>
          <w:noProof w:val="0"/>
          <w:color w:val="212121"/>
          <w:szCs w:val="24"/>
        </w:rPr>
      </w:pPr>
    </w:p>
    <w:p w14:paraId="6291DD7E" w14:textId="77777777" w:rsidR="00EA61B7" w:rsidRPr="00217688" w:rsidRDefault="00EA61B7" w:rsidP="00284E93">
      <w:pPr>
        <w:pStyle w:val="ListParagraph"/>
        <w:jc w:val="both"/>
        <w:rPr>
          <w:rFonts w:eastAsia="Times New Roman" w:cs="Times New Roman"/>
          <w:iCs/>
          <w:noProof w:val="0"/>
          <w:color w:val="212121"/>
          <w:szCs w:val="24"/>
        </w:rPr>
      </w:pPr>
    </w:p>
    <w:p w14:paraId="3C83EA09" w14:textId="77777777" w:rsidR="009A73AC" w:rsidRDefault="009A73AC" w:rsidP="000119A3">
      <w:pPr>
        <w:ind w:firstLine="720"/>
        <w:jc w:val="both"/>
        <w:rPr>
          <w:rFonts w:eastAsia="Times New Roman" w:cs="Times New Roman"/>
          <w:iCs/>
          <w:noProof w:val="0"/>
          <w:color w:val="212121"/>
          <w:szCs w:val="24"/>
        </w:rPr>
      </w:pPr>
    </w:p>
    <w:p w14:paraId="1E52C9F3" w14:textId="77777777" w:rsidR="009A73AC" w:rsidRDefault="009A73AC" w:rsidP="000119A3">
      <w:pPr>
        <w:ind w:firstLine="720"/>
        <w:jc w:val="both"/>
        <w:rPr>
          <w:rFonts w:eastAsia="Times New Roman" w:cs="Times New Roman"/>
          <w:iCs/>
          <w:noProof w:val="0"/>
          <w:color w:val="212121"/>
          <w:szCs w:val="24"/>
        </w:rPr>
      </w:pPr>
    </w:p>
    <w:p w14:paraId="28C5C085" w14:textId="77777777" w:rsidR="009A73AC" w:rsidRDefault="009A73AC" w:rsidP="000119A3">
      <w:pPr>
        <w:ind w:firstLine="720"/>
        <w:jc w:val="both"/>
        <w:rPr>
          <w:rFonts w:eastAsia="Times New Roman" w:cs="Times New Roman"/>
          <w:iCs/>
          <w:noProof w:val="0"/>
          <w:color w:val="212121"/>
          <w:szCs w:val="24"/>
        </w:rPr>
      </w:pPr>
    </w:p>
    <w:p w14:paraId="10EB1879" w14:textId="68DAB103" w:rsidR="00284E93" w:rsidRPr="00217688" w:rsidRDefault="00284E93" w:rsidP="000119A3">
      <w:pPr>
        <w:ind w:firstLine="720"/>
        <w:jc w:val="both"/>
        <w:rPr>
          <w:rFonts w:eastAsia="Times New Roman" w:cs="Times New Roman"/>
          <w:iCs/>
          <w:noProof w:val="0"/>
          <w:color w:val="212121"/>
          <w:szCs w:val="24"/>
        </w:rPr>
      </w:pPr>
      <w:r w:rsidRPr="00217688">
        <w:rPr>
          <w:rFonts w:eastAsia="Times New Roman" w:cs="Times New Roman"/>
          <w:iCs/>
          <w:noProof w:val="0"/>
          <w:color w:val="212121"/>
          <w:szCs w:val="24"/>
        </w:rPr>
        <w:t>Finanšu ministre</w:t>
      </w:r>
      <w:r w:rsidRPr="00217688">
        <w:rPr>
          <w:rFonts w:eastAsia="Times New Roman" w:cs="Times New Roman"/>
          <w:iCs/>
          <w:noProof w:val="0"/>
          <w:color w:val="212121"/>
          <w:szCs w:val="24"/>
        </w:rPr>
        <w:tab/>
      </w:r>
      <w:r w:rsidRPr="00217688">
        <w:rPr>
          <w:rFonts w:eastAsia="Times New Roman" w:cs="Times New Roman"/>
          <w:iCs/>
          <w:noProof w:val="0"/>
          <w:color w:val="212121"/>
          <w:szCs w:val="24"/>
        </w:rPr>
        <w:tab/>
      </w:r>
      <w:r w:rsidRPr="00217688">
        <w:rPr>
          <w:rFonts w:eastAsia="Times New Roman" w:cs="Times New Roman"/>
          <w:iCs/>
          <w:noProof w:val="0"/>
          <w:color w:val="212121"/>
          <w:szCs w:val="24"/>
        </w:rPr>
        <w:tab/>
      </w:r>
      <w:r w:rsidRPr="00217688">
        <w:rPr>
          <w:rFonts w:eastAsia="Times New Roman" w:cs="Times New Roman"/>
          <w:iCs/>
          <w:noProof w:val="0"/>
          <w:color w:val="212121"/>
          <w:szCs w:val="24"/>
        </w:rPr>
        <w:tab/>
      </w:r>
      <w:r w:rsidRPr="00217688">
        <w:rPr>
          <w:rFonts w:eastAsia="Times New Roman" w:cs="Times New Roman"/>
          <w:iCs/>
          <w:noProof w:val="0"/>
          <w:color w:val="212121"/>
          <w:szCs w:val="24"/>
        </w:rPr>
        <w:tab/>
      </w:r>
      <w:r w:rsidRPr="00217688">
        <w:rPr>
          <w:rFonts w:eastAsia="Times New Roman" w:cs="Times New Roman"/>
          <w:iCs/>
          <w:noProof w:val="0"/>
          <w:color w:val="212121"/>
          <w:szCs w:val="24"/>
        </w:rPr>
        <w:tab/>
      </w:r>
      <w:proofErr w:type="spellStart"/>
      <w:r w:rsidRPr="00217688">
        <w:rPr>
          <w:rFonts w:eastAsia="Times New Roman" w:cs="Times New Roman"/>
          <w:iCs/>
          <w:noProof w:val="0"/>
          <w:color w:val="212121"/>
          <w:szCs w:val="24"/>
        </w:rPr>
        <w:t>D.Reizniece</w:t>
      </w:r>
      <w:proofErr w:type="spellEnd"/>
      <w:r w:rsidRPr="00217688">
        <w:rPr>
          <w:rFonts w:eastAsia="Times New Roman" w:cs="Times New Roman"/>
          <w:iCs/>
          <w:noProof w:val="0"/>
          <w:color w:val="212121"/>
          <w:szCs w:val="24"/>
        </w:rPr>
        <w:t>-Ozola</w:t>
      </w:r>
    </w:p>
    <w:p w14:paraId="261695E7" w14:textId="77777777" w:rsidR="00284E93" w:rsidRPr="00217688" w:rsidRDefault="00284E93" w:rsidP="00284E93">
      <w:pPr>
        <w:pStyle w:val="ListParagraph"/>
        <w:jc w:val="both"/>
        <w:rPr>
          <w:rFonts w:eastAsia="Times New Roman" w:cs="Times New Roman"/>
          <w:iCs/>
          <w:noProof w:val="0"/>
          <w:color w:val="212121"/>
          <w:szCs w:val="24"/>
        </w:rPr>
      </w:pPr>
    </w:p>
    <w:p w14:paraId="39B54140" w14:textId="644B7B16" w:rsidR="00024F4A" w:rsidRDefault="00024F4A" w:rsidP="00284E93">
      <w:pPr>
        <w:pStyle w:val="ListParagraph"/>
        <w:jc w:val="both"/>
        <w:rPr>
          <w:rFonts w:eastAsia="Times New Roman" w:cs="Times New Roman"/>
          <w:iCs/>
          <w:noProof w:val="0"/>
          <w:color w:val="212121"/>
          <w:szCs w:val="24"/>
        </w:rPr>
      </w:pPr>
    </w:p>
    <w:p w14:paraId="3EBDF460" w14:textId="77777777" w:rsidR="00CE4F22" w:rsidRPr="00217688" w:rsidRDefault="00CE4F22" w:rsidP="00284E93">
      <w:pPr>
        <w:pStyle w:val="ListParagraph"/>
        <w:jc w:val="both"/>
        <w:rPr>
          <w:rFonts w:eastAsia="Times New Roman" w:cs="Times New Roman"/>
          <w:iCs/>
          <w:noProof w:val="0"/>
          <w:color w:val="212121"/>
          <w:szCs w:val="24"/>
        </w:rPr>
      </w:pPr>
    </w:p>
    <w:p w14:paraId="7994FE5A" w14:textId="77777777" w:rsidR="00024F4A" w:rsidRPr="00217688" w:rsidRDefault="00024F4A" w:rsidP="00284E93">
      <w:pPr>
        <w:pStyle w:val="ListParagraph"/>
        <w:jc w:val="both"/>
        <w:rPr>
          <w:rFonts w:eastAsia="Times New Roman" w:cs="Times New Roman"/>
          <w:iCs/>
          <w:noProof w:val="0"/>
          <w:color w:val="212121"/>
          <w:szCs w:val="24"/>
        </w:rPr>
      </w:pPr>
    </w:p>
    <w:p w14:paraId="63EEB52F" w14:textId="1DCA7277" w:rsidR="00EA61B7" w:rsidRDefault="00EA61B7" w:rsidP="00284E93">
      <w:pPr>
        <w:pStyle w:val="ListParagraph"/>
        <w:jc w:val="both"/>
        <w:rPr>
          <w:rFonts w:eastAsia="Times New Roman" w:cs="Times New Roman"/>
          <w:iCs/>
          <w:noProof w:val="0"/>
          <w:color w:val="212121"/>
          <w:szCs w:val="24"/>
        </w:rPr>
      </w:pPr>
    </w:p>
    <w:p w14:paraId="7A96043C" w14:textId="36749AE8" w:rsidR="000457B7" w:rsidRDefault="000457B7" w:rsidP="00284E93">
      <w:pPr>
        <w:pStyle w:val="ListParagraph"/>
        <w:jc w:val="both"/>
        <w:rPr>
          <w:rFonts w:eastAsia="Times New Roman" w:cs="Times New Roman"/>
          <w:iCs/>
          <w:noProof w:val="0"/>
          <w:color w:val="212121"/>
          <w:szCs w:val="24"/>
        </w:rPr>
      </w:pPr>
    </w:p>
    <w:p w14:paraId="32678E8C" w14:textId="42349D76" w:rsidR="000457B7" w:rsidRDefault="000457B7" w:rsidP="00284E93">
      <w:pPr>
        <w:pStyle w:val="ListParagraph"/>
        <w:jc w:val="both"/>
        <w:rPr>
          <w:rFonts w:eastAsia="Times New Roman" w:cs="Times New Roman"/>
          <w:iCs/>
          <w:noProof w:val="0"/>
          <w:color w:val="212121"/>
          <w:szCs w:val="24"/>
        </w:rPr>
      </w:pPr>
    </w:p>
    <w:p w14:paraId="77898E7B" w14:textId="4FC97DE0" w:rsidR="000457B7" w:rsidRDefault="000457B7" w:rsidP="00284E93">
      <w:pPr>
        <w:pStyle w:val="ListParagraph"/>
        <w:jc w:val="both"/>
        <w:rPr>
          <w:rFonts w:eastAsia="Times New Roman" w:cs="Times New Roman"/>
          <w:iCs/>
          <w:noProof w:val="0"/>
          <w:color w:val="212121"/>
          <w:szCs w:val="24"/>
        </w:rPr>
      </w:pPr>
    </w:p>
    <w:p w14:paraId="7FEEECF0" w14:textId="7DF01767" w:rsidR="000457B7" w:rsidRDefault="000457B7" w:rsidP="00284E93">
      <w:pPr>
        <w:pStyle w:val="ListParagraph"/>
        <w:jc w:val="both"/>
        <w:rPr>
          <w:rFonts w:eastAsia="Times New Roman" w:cs="Times New Roman"/>
          <w:iCs/>
          <w:noProof w:val="0"/>
          <w:color w:val="212121"/>
          <w:szCs w:val="24"/>
        </w:rPr>
      </w:pPr>
    </w:p>
    <w:p w14:paraId="7EBEB470" w14:textId="77777777" w:rsidR="000457B7" w:rsidRPr="00217688" w:rsidRDefault="000457B7" w:rsidP="00284E93">
      <w:pPr>
        <w:pStyle w:val="ListParagraph"/>
        <w:jc w:val="both"/>
        <w:rPr>
          <w:rFonts w:eastAsia="Times New Roman" w:cs="Times New Roman"/>
          <w:iCs/>
          <w:noProof w:val="0"/>
          <w:color w:val="212121"/>
          <w:szCs w:val="24"/>
        </w:rPr>
      </w:pPr>
    </w:p>
    <w:p w14:paraId="57A9BAE4" w14:textId="77777777" w:rsidR="00EA61B7" w:rsidRPr="00217688" w:rsidRDefault="00EA61B7" w:rsidP="00284E93">
      <w:pPr>
        <w:pStyle w:val="ListParagraph"/>
        <w:jc w:val="both"/>
        <w:rPr>
          <w:rFonts w:eastAsia="Times New Roman" w:cs="Times New Roman"/>
          <w:iCs/>
          <w:noProof w:val="0"/>
          <w:color w:val="212121"/>
          <w:szCs w:val="24"/>
        </w:rPr>
      </w:pPr>
    </w:p>
    <w:p w14:paraId="2573AF78" w14:textId="77777777" w:rsidR="00284E93" w:rsidRPr="00217688" w:rsidRDefault="00284E93" w:rsidP="00284E93">
      <w:pPr>
        <w:pStyle w:val="ListParagraph"/>
        <w:jc w:val="both"/>
        <w:rPr>
          <w:rFonts w:eastAsia="Times New Roman" w:cs="Times New Roman"/>
          <w:iCs/>
          <w:noProof w:val="0"/>
          <w:color w:val="212121"/>
          <w:sz w:val="18"/>
          <w:szCs w:val="24"/>
        </w:rPr>
      </w:pPr>
      <w:proofErr w:type="spellStart"/>
      <w:r w:rsidRPr="00217688">
        <w:rPr>
          <w:rFonts w:eastAsia="Times New Roman" w:cs="Times New Roman"/>
          <w:iCs/>
          <w:noProof w:val="0"/>
          <w:color w:val="212121"/>
          <w:sz w:val="18"/>
          <w:szCs w:val="24"/>
        </w:rPr>
        <w:t>I.Forda</w:t>
      </w:r>
      <w:proofErr w:type="spellEnd"/>
      <w:r w:rsidRPr="00217688">
        <w:rPr>
          <w:rFonts w:eastAsia="Times New Roman" w:cs="Times New Roman"/>
          <w:iCs/>
          <w:noProof w:val="0"/>
          <w:color w:val="212121"/>
          <w:sz w:val="18"/>
          <w:szCs w:val="24"/>
        </w:rPr>
        <w:t>, 67095585</w:t>
      </w:r>
    </w:p>
    <w:p w14:paraId="621F64FC" w14:textId="77777777" w:rsidR="00284E93" w:rsidRPr="00217688" w:rsidRDefault="00A2060B" w:rsidP="00284E93">
      <w:pPr>
        <w:pStyle w:val="ListParagraph"/>
        <w:jc w:val="both"/>
        <w:rPr>
          <w:rFonts w:eastAsia="Times New Roman" w:cs="Times New Roman"/>
          <w:iCs/>
          <w:noProof w:val="0"/>
          <w:color w:val="212121"/>
          <w:sz w:val="18"/>
          <w:szCs w:val="24"/>
        </w:rPr>
      </w:pPr>
      <w:hyperlink r:id="rId17" w:history="1">
        <w:r w:rsidR="00206A2C" w:rsidRPr="00217688">
          <w:rPr>
            <w:rStyle w:val="Hyperlink"/>
            <w:rFonts w:eastAsia="Times New Roman" w:cs="Times New Roman"/>
            <w:iCs/>
            <w:noProof w:val="0"/>
            <w:sz w:val="18"/>
            <w:szCs w:val="24"/>
          </w:rPr>
          <w:t>Inga.Forda@fm.gov.lv</w:t>
        </w:r>
      </w:hyperlink>
      <w:r w:rsidR="00206A2C" w:rsidRPr="00217688">
        <w:rPr>
          <w:rFonts w:eastAsia="Times New Roman" w:cs="Times New Roman"/>
          <w:iCs/>
          <w:noProof w:val="0"/>
          <w:color w:val="212121"/>
          <w:sz w:val="18"/>
          <w:szCs w:val="24"/>
        </w:rPr>
        <w:t xml:space="preserve"> </w:t>
      </w:r>
    </w:p>
    <w:sectPr w:rsidR="00284E93" w:rsidRPr="00217688" w:rsidSect="000119A3">
      <w:headerReference w:type="default" r:id="rId18"/>
      <w:footerReference w:type="default" r:id="rId19"/>
      <w:pgSz w:w="12240" w:h="15840"/>
      <w:pgMar w:top="709" w:right="1440" w:bottom="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144E70" w16cid:durableId="1EF72B1D"/>
  <w16cid:commentId w16cid:paraId="55120843" w16cid:durableId="1EF72B45"/>
  <w16cid:commentId w16cid:paraId="2FD3C9A2" w16cid:durableId="1EF7292A"/>
  <w16cid:commentId w16cid:paraId="6AEB16C7" w16cid:durableId="1EF7292B"/>
  <w16cid:commentId w16cid:paraId="57D5C2B5" w16cid:durableId="1EF7292C"/>
  <w16cid:commentId w16cid:paraId="3E9B81AE" w16cid:durableId="1EF729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0BCD" w14:textId="77777777" w:rsidR="0003607D" w:rsidRDefault="0003607D" w:rsidP="00255AE4">
      <w:r>
        <w:separator/>
      </w:r>
    </w:p>
  </w:endnote>
  <w:endnote w:type="continuationSeparator" w:id="0">
    <w:p w14:paraId="07DD5881" w14:textId="77777777" w:rsidR="0003607D" w:rsidRDefault="0003607D" w:rsidP="0025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32301726"/>
      <w:docPartObj>
        <w:docPartGallery w:val="Page Numbers (Bottom of Page)"/>
        <w:docPartUnique/>
      </w:docPartObj>
    </w:sdtPr>
    <w:sdtEndPr>
      <w:rPr>
        <w:noProof/>
      </w:rPr>
    </w:sdtEndPr>
    <w:sdtContent>
      <w:p w14:paraId="29E6194F" w14:textId="6C0660EA" w:rsidR="0003607D" w:rsidRDefault="0003607D">
        <w:pPr>
          <w:pStyle w:val="Footer"/>
          <w:jc w:val="center"/>
        </w:pPr>
        <w:r>
          <w:rPr>
            <w:noProof w:val="0"/>
          </w:rPr>
          <w:fldChar w:fldCharType="begin"/>
        </w:r>
        <w:r>
          <w:instrText xml:space="preserve"> PAGE   \* MERGEFORMAT </w:instrText>
        </w:r>
        <w:r>
          <w:rPr>
            <w:noProof w:val="0"/>
          </w:rPr>
          <w:fldChar w:fldCharType="separate"/>
        </w:r>
        <w:r w:rsidR="00A2060B">
          <w:t>1</w:t>
        </w:r>
        <w:r>
          <w:fldChar w:fldCharType="end"/>
        </w:r>
      </w:p>
      <w:p w14:paraId="7B65A338" w14:textId="0CA58BAE" w:rsidR="0003607D" w:rsidRDefault="0003607D">
        <w:pPr>
          <w:pStyle w:val="Footer"/>
          <w:rPr>
            <w:sz w:val="18"/>
          </w:rPr>
        </w:pPr>
        <w:r w:rsidRPr="00782588">
          <w:rPr>
            <w:sz w:val="18"/>
          </w:rPr>
          <w:t>FMZin_150618_WBG</w:t>
        </w:r>
        <w:r w:rsidR="00A93491">
          <w:rPr>
            <w:sz w:val="18"/>
          </w:rPr>
          <w:t>.docx</w:t>
        </w:r>
      </w:p>
      <w:p w14:paraId="29028EAD" w14:textId="77777777" w:rsidR="0003607D" w:rsidRDefault="00A2060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C847" w14:textId="77777777" w:rsidR="0003607D" w:rsidRDefault="0003607D" w:rsidP="00255AE4">
      <w:r>
        <w:separator/>
      </w:r>
    </w:p>
  </w:footnote>
  <w:footnote w:type="continuationSeparator" w:id="0">
    <w:p w14:paraId="3267F128" w14:textId="77777777" w:rsidR="0003607D" w:rsidRDefault="0003607D" w:rsidP="00255AE4">
      <w:r>
        <w:continuationSeparator/>
      </w:r>
    </w:p>
  </w:footnote>
  <w:footnote w:id="1">
    <w:p w14:paraId="14AC111A" w14:textId="77777777" w:rsidR="0003607D" w:rsidRDefault="0003607D" w:rsidP="000B1E8C">
      <w:pPr>
        <w:pStyle w:val="FootnoteText"/>
      </w:pPr>
      <w:r>
        <w:rPr>
          <w:rStyle w:val="FootnoteReference"/>
        </w:rPr>
        <w:footnoteRef/>
      </w:r>
      <w:r>
        <w:t xml:space="preserve"> </w:t>
      </w:r>
      <w:r w:rsidRPr="00C14C74">
        <w:rPr>
          <w:sz w:val="16"/>
        </w:rPr>
        <w:t xml:space="preserve">WBG Globālās ekonomiskās prognozes </w:t>
      </w:r>
      <w:r w:rsidRPr="00C14C74">
        <w:rPr>
          <w:i/>
          <w:sz w:val="16"/>
        </w:rPr>
        <w:t>(Global Economic Prospects)</w:t>
      </w:r>
      <w:r w:rsidRPr="00C14C74">
        <w:rPr>
          <w:sz w:val="16"/>
        </w:rPr>
        <w:t xml:space="preserve">, 2018.gada jūnijs, 43., 50.lp.; pieejams: </w:t>
      </w:r>
      <w:hyperlink r:id="rId1" w:history="1">
        <w:r w:rsidRPr="00C14C74">
          <w:rPr>
            <w:rStyle w:val="Hyperlink"/>
            <w:sz w:val="16"/>
          </w:rPr>
          <w:t>http://www.worldbank.org/en/publication/global-economic-prospects</w:t>
        </w:r>
      </w:hyperlink>
      <w:r w:rsidRPr="00C14C74">
        <w:rPr>
          <w:sz w:val="16"/>
        </w:rPr>
        <w:t xml:space="preserve">  </w:t>
      </w:r>
    </w:p>
  </w:footnote>
  <w:footnote w:id="2">
    <w:p w14:paraId="2818BFA1" w14:textId="77777777" w:rsidR="0003607D" w:rsidRDefault="0003607D">
      <w:pPr>
        <w:pStyle w:val="FootnoteText"/>
      </w:pPr>
      <w:r>
        <w:rPr>
          <w:rStyle w:val="FootnoteReference"/>
        </w:rPr>
        <w:footnoteRef/>
      </w:r>
      <w:r>
        <w:t xml:space="preserve"> </w:t>
      </w:r>
      <w:r w:rsidRPr="001F3D9D">
        <w:rPr>
          <w:i/>
          <w:sz w:val="16"/>
        </w:rPr>
        <w:t>Sustainable Financing for Sustainable Development: World Bank Group Capital Package Proposal,</w:t>
      </w:r>
      <w:r w:rsidRPr="00B203CD">
        <w:rPr>
          <w:sz w:val="16"/>
        </w:rPr>
        <w:t xml:space="preserve"> 4.lp;</w:t>
      </w:r>
    </w:p>
  </w:footnote>
  <w:footnote w:id="3">
    <w:p w14:paraId="587C4B45" w14:textId="77777777" w:rsidR="0003607D" w:rsidRPr="00F15EEA" w:rsidRDefault="0003607D">
      <w:pPr>
        <w:pStyle w:val="FootnoteText"/>
        <w:rPr>
          <w:sz w:val="16"/>
          <w:szCs w:val="16"/>
        </w:rPr>
      </w:pPr>
      <w:r w:rsidRPr="00F15EEA">
        <w:rPr>
          <w:rStyle w:val="FootnoteReference"/>
          <w:sz w:val="16"/>
          <w:szCs w:val="16"/>
        </w:rPr>
        <w:footnoteRef/>
      </w:r>
      <w:r w:rsidRPr="00F15EEA">
        <w:rPr>
          <w:sz w:val="16"/>
          <w:szCs w:val="16"/>
        </w:rPr>
        <w:t xml:space="preserve"> Pasaules Bankas </w:t>
      </w:r>
      <w:r>
        <w:rPr>
          <w:sz w:val="16"/>
          <w:szCs w:val="16"/>
        </w:rPr>
        <w:t>g</w:t>
      </w:r>
      <w:r w:rsidRPr="00F15EEA">
        <w:rPr>
          <w:sz w:val="16"/>
          <w:szCs w:val="16"/>
        </w:rPr>
        <w:t xml:space="preserve">rupas dati, pieejams: </w:t>
      </w:r>
      <w:hyperlink r:id="rId2" w:history="1">
        <w:r w:rsidRPr="00F15EEA">
          <w:rPr>
            <w:rStyle w:val="Hyperlink"/>
            <w:sz w:val="16"/>
            <w:szCs w:val="16"/>
          </w:rPr>
          <w:t>http://www.worldbank.org/en/topic/poverty/overview</w:t>
        </w:r>
      </w:hyperlink>
      <w:r w:rsidRPr="00F15EEA">
        <w:rPr>
          <w:sz w:val="16"/>
          <w:szCs w:val="16"/>
        </w:rPr>
        <w:t xml:space="preserve">; </w:t>
      </w:r>
    </w:p>
  </w:footnote>
  <w:footnote w:id="4">
    <w:p w14:paraId="3360705B" w14:textId="77777777" w:rsidR="0003607D" w:rsidRPr="0064726E" w:rsidRDefault="0003607D" w:rsidP="00853570">
      <w:pPr>
        <w:pStyle w:val="FootnoteText"/>
        <w:jc w:val="both"/>
        <w:rPr>
          <w:sz w:val="16"/>
          <w:szCs w:val="16"/>
        </w:rPr>
      </w:pPr>
      <w:r w:rsidRPr="0064726E">
        <w:rPr>
          <w:rStyle w:val="FootnoteReference"/>
          <w:sz w:val="16"/>
          <w:szCs w:val="16"/>
        </w:rPr>
        <w:footnoteRef/>
      </w:r>
      <w:r w:rsidRPr="0064726E">
        <w:rPr>
          <w:sz w:val="16"/>
          <w:szCs w:val="16"/>
        </w:rPr>
        <w:t xml:space="preserve"> WBG ziņojums pilnvarniekiem uz 2018.gada Pavasara sanāksmi “Ilgtspējīgs finansējums ilgtspējīgai attīstībai: Pasaules Bankas </w:t>
      </w:r>
      <w:r>
        <w:rPr>
          <w:sz w:val="16"/>
          <w:szCs w:val="16"/>
        </w:rPr>
        <w:t>g</w:t>
      </w:r>
      <w:r w:rsidRPr="0064726E">
        <w:rPr>
          <w:sz w:val="16"/>
          <w:szCs w:val="16"/>
        </w:rPr>
        <w:t>rupas Kapitāla pakotnes priekšlikums” (</w:t>
      </w:r>
      <w:r w:rsidRPr="0064726E">
        <w:rPr>
          <w:i/>
          <w:sz w:val="16"/>
          <w:szCs w:val="16"/>
        </w:rPr>
        <w:t>“Sustainable Financing for Sustainable Development: World Bank Group Capital Package Proposal”)</w:t>
      </w:r>
      <w:r w:rsidRPr="0064726E">
        <w:rPr>
          <w:sz w:val="16"/>
          <w:szCs w:val="16"/>
        </w:rPr>
        <w:t>, 2.lp</w:t>
      </w:r>
      <w:r>
        <w:rPr>
          <w:sz w:val="16"/>
          <w:szCs w:val="16"/>
        </w:rPr>
        <w:t>.</w:t>
      </w:r>
      <w:r w:rsidRPr="0064726E">
        <w:rPr>
          <w:sz w:val="16"/>
          <w:szCs w:val="16"/>
        </w:rPr>
        <w:t>;</w:t>
      </w:r>
      <w:r w:rsidRPr="006C0BB3">
        <w:rPr>
          <w:sz w:val="16"/>
        </w:rPr>
        <w:t xml:space="preserve"> </w:t>
      </w:r>
      <w:r>
        <w:rPr>
          <w:sz w:val="16"/>
        </w:rPr>
        <w:t xml:space="preserve">pieejams: </w:t>
      </w:r>
      <w:hyperlink r:id="rId3" w:history="1">
        <w:r w:rsidRPr="00AA6085">
          <w:rPr>
            <w:rStyle w:val="Hyperlink"/>
            <w:sz w:val="16"/>
          </w:rPr>
          <w:t>http://siteresources.worldbank.org/DEVCOMMINT/Documentation/23776700/DC2018-0002_PSustainableFinancing421.pdf</w:t>
        </w:r>
      </w:hyperlink>
      <w:r>
        <w:rPr>
          <w:sz w:val="16"/>
        </w:rPr>
        <w:t xml:space="preserve"> </w:t>
      </w:r>
    </w:p>
  </w:footnote>
  <w:footnote w:id="5">
    <w:p w14:paraId="15C3282E" w14:textId="77777777" w:rsidR="0003607D" w:rsidRPr="006D71C3" w:rsidRDefault="0003607D" w:rsidP="00853570">
      <w:pPr>
        <w:pStyle w:val="FootnoteText"/>
        <w:jc w:val="both"/>
      </w:pPr>
      <w:r w:rsidRPr="000E3EA0">
        <w:rPr>
          <w:rStyle w:val="FootnoteReference"/>
          <w:sz w:val="18"/>
        </w:rPr>
        <w:footnoteRef/>
      </w:r>
      <w:r w:rsidRPr="000E3EA0">
        <w:rPr>
          <w:sz w:val="18"/>
        </w:rPr>
        <w:t xml:space="preserve"> </w:t>
      </w:r>
      <w:r w:rsidRPr="00C14C74">
        <w:rPr>
          <w:sz w:val="16"/>
        </w:rPr>
        <w:t>Turpat</w:t>
      </w:r>
      <w:r w:rsidRPr="001F3D9D">
        <w:rPr>
          <w:i/>
          <w:sz w:val="16"/>
        </w:rPr>
        <w:t xml:space="preserve">, </w:t>
      </w:r>
      <w:r w:rsidRPr="00C14C74">
        <w:rPr>
          <w:sz w:val="16"/>
        </w:rPr>
        <w:t>3.lp</w:t>
      </w:r>
      <w:r>
        <w:rPr>
          <w:sz w:val="16"/>
        </w:rPr>
        <w:t>.;</w:t>
      </w:r>
    </w:p>
  </w:footnote>
  <w:footnote w:id="6">
    <w:p w14:paraId="7AE92D5F" w14:textId="77777777" w:rsidR="0003607D" w:rsidRPr="003920DC" w:rsidRDefault="0003607D" w:rsidP="00F1093C">
      <w:pPr>
        <w:pStyle w:val="Default"/>
        <w:jc w:val="both"/>
        <w:rPr>
          <w:lang w:val="lv-LV"/>
        </w:rPr>
      </w:pPr>
      <w:r w:rsidRPr="00C14C74">
        <w:rPr>
          <w:rStyle w:val="FootnoteReference"/>
          <w:sz w:val="20"/>
        </w:rPr>
        <w:footnoteRef/>
      </w:r>
      <w:r w:rsidRPr="00C14C74">
        <w:rPr>
          <w:sz w:val="20"/>
          <w:lang w:val="lv-LV"/>
        </w:rPr>
        <w:t xml:space="preserve"> </w:t>
      </w:r>
      <w:r w:rsidRPr="00C14C74">
        <w:rPr>
          <w:sz w:val="16"/>
          <w:lang w:val="lv-LV"/>
        </w:rPr>
        <w:t xml:space="preserve">WBG sastāv no piecām institūcijām </w:t>
      </w:r>
      <w:r>
        <w:rPr>
          <w:sz w:val="16"/>
          <w:lang w:val="lv-LV"/>
        </w:rPr>
        <w:t>–</w:t>
      </w:r>
      <w:r w:rsidRPr="00C14C74">
        <w:rPr>
          <w:sz w:val="16"/>
          <w:lang w:val="lv-LV"/>
        </w:rPr>
        <w:t xml:space="preserve"> </w:t>
      </w:r>
      <w:r w:rsidRPr="007C48E6">
        <w:rPr>
          <w:sz w:val="16"/>
          <w:lang w:val="lv-LV"/>
        </w:rPr>
        <w:t>1945.gada izveidota</w:t>
      </w:r>
      <w:r>
        <w:rPr>
          <w:sz w:val="16"/>
          <w:lang w:val="lv-LV"/>
        </w:rPr>
        <w:t xml:space="preserve"> </w:t>
      </w:r>
      <w:r w:rsidRPr="00C14C74">
        <w:rPr>
          <w:sz w:val="16"/>
          <w:lang w:val="lv-LV"/>
        </w:rPr>
        <w:t>Starptautiskā Rekonstrukcijas un attīstības bank</w:t>
      </w:r>
      <w:r w:rsidRPr="007C48E6">
        <w:rPr>
          <w:sz w:val="16"/>
          <w:lang w:val="lv-LV"/>
        </w:rPr>
        <w:t>a</w:t>
      </w:r>
      <w:r w:rsidRPr="007C48E6">
        <w:rPr>
          <w:rStyle w:val="FootnoteReference"/>
          <w:sz w:val="16"/>
          <w:lang w:val="lv-LV"/>
        </w:rPr>
        <w:footnoteRef/>
      </w:r>
      <w:r w:rsidRPr="00C14C74">
        <w:rPr>
          <w:sz w:val="16"/>
          <w:lang w:val="lv-LV"/>
        </w:rPr>
        <w:t xml:space="preserve"> (turpmāk – IBRD), Starptautiskā Attīstības </w:t>
      </w:r>
      <w:r>
        <w:rPr>
          <w:sz w:val="16"/>
          <w:lang w:val="lv-LV"/>
        </w:rPr>
        <w:t>a</w:t>
      </w:r>
      <w:r w:rsidRPr="00C14C74">
        <w:rPr>
          <w:sz w:val="16"/>
          <w:lang w:val="lv-LV"/>
        </w:rPr>
        <w:t>sociācija (turpmāk – IDA),</w:t>
      </w:r>
      <w:r w:rsidRPr="00C14C74">
        <w:rPr>
          <w:rStyle w:val="FootnoteReference"/>
          <w:sz w:val="16"/>
          <w:lang w:val="lv-LV"/>
        </w:rPr>
        <w:footnoteRef/>
      </w:r>
      <w:r w:rsidRPr="00C14C74">
        <w:rPr>
          <w:sz w:val="16"/>
          <w:lang w:val="lv-LV"/>
        </w:rPr>
        <w:t xml:space="preserve"> Starptautiskā Finanšu </w:t>
      </w:r>
      <w:r>
        <w:rPr>
          <w:sz w:val="16"/>
          <w:lang w:val="lv-LV"/>
        </w:rPr>
        <w:t>k</w:t>
      </w:r>
      <w:r w:rsidRPr="00C14C74">
        <w:rPr>
          <w:sz w:val="16"/>
          <w:lang w:val="lv-LV"/>
        </w:rPr>
        <w:t>orporācija (turpmāk – IFC),</w:t>
      </w:r>
      <w:r w:rsidRPr="00C14C74">
        <w:rPr>
          <w:rStyle w:val="FootnoteReference"/>
          <w:sz w:val="16"/>
          <w:lang w:val="lv-LV"/>
        </w:rPr>
        <w:footnoteRef/>
      </w:r>
      <w:r w:rsidRPr="00C14C74">
        <w:rPr>
          <w:sz w:val="16"/>
          <w:lang w:val="lv-LV"/>
        </w:rPr>
        <w:t xml:space="preserve"> Daudzpusējā </w:t>
      </w:r>
      <w:r>
        <w:rPr>
          <w:sz w:val="16"/>
          <w:lang w:val="lv-LV"/>
        </w:rPr>
        <w:t>i</w:t>
      </w:r>
      <w:r w:rsidRPr="00C14C74">
        <w:rPr>
          <w:sz w:val="16"/>
          <w:lang w:val="lv-LV"/>
        </w:rPr>
        <w:t xml:space="preserve">nvestīciju </w:t>
      </w:r>
      <w:r>
        <w:rPr>
          <w:sz w:val="16"/>
          <w:lang w:val="lv-LV"/>
        </w:rPr>
        <w:t>g</w:t>
      </w:r>
      <w:r w:rsidRPr="00C14C74">
        <w:rPr>
          <w:sz w:val="16"/>
          <w:lang w:val="lv-LV"/>
        </w:rPr>
        <w:t xml:space="preserve">arantiju </w:t>
      </w:r>
      <w:r>
        <w:rPr>
          <w:sz w:val="16"/>
          <w:lang w:val="lv-LV"/>
        </w:rPr>
        <w:t>a</w:t>
      </w:r>
      <w:r w:rsidRPr="00C14C74">
        <w:rPr>
          <w:sz w:val="16"/>
          <w:lang w:val="lv-LV"/>
        </w:rPr>
        <w:t>ģentūra (turpmāk – MIGA)</w:t>
      </w:r>
      <w:r w:rsidRPr="00C14C74">
        <w:rPr>
          <w:rStyle w:val="FootnoteReference"/>
          <w:sz w:val="16"/>
          <w:lang w:val="lv-LV"/>
        </w:rPr>
        <w:footnoteRef/>
      </w:r>
      <w:r w:rsidRPr="00C14C74">
        <w:rPr>
          <w:sz w:val="16"/>
          <w:lang w:val="lv-LV"/>
        </w:rPr>
        <w:t xml:space="preserve"> un Starptautiskais Investīciju </w:t>
      </w:r>
      <w:r>
        <w:rPr>
          <w:sz w:val="16"/>
          <w:lang w:val="lv-LV"/>
        </w:rPr>
        <w:t>s</w:t>
      </w:r>
      <w:r w:rsidRPr="00C14C74">
        <w:rPr>
          <w:sz w:val="16"/>
          <w:lang w:val="lv-LV"/>
        </w:rPr>
        <w:t xml:space="preserve">trīdu </w:t>
      </w:r>
      <w:r>
        <w:rPr>
          <w:sz w:val="16"/>
          <w:lang w:val="lv-LV"/>
        </w:rPr>
        <w:t>i</w:t>
      </w:r>
      <w:r w:rsidRPr="00C14C74">
        <w:rPr>
          <w:sz w:val="16"/>
          <w:lang w:val="lv-LV"/>
        </w:rPr>
        <w:t xml:space="preserve">zšķiršanas </w:t>
      </w:r>
      <w:r>
        <w:rPr>
          <w:sz w:val="16"/>
          <w:lang w:val="lv-LV"/>
        </w:rPr>
        <w:t>c</w:t>
      </w:r>
      <w:r w:rsidRPr="00C14C74">
        <w:rPr>
          <w:sz w:val="16"/>
          <w:lang w:val="lv-LV"/>
        </w:rPr>
        <w:t>entrs (turpmāk – ICSID).</w:t>
      </w:r>
      <w:r w:rsidRPr="00C14C74">
        <w:rPr>
          <w:rStyle w:val="FootnoteReference"/>
          <w:sz w:val="16"/>
          <w:lang w:val="lv-LV"/>
        </w:rPr>
        <w:footnoteRef/>
      </w:r>
      <w:r w:rsidRPr="00C14C74">
        <w:rPr>
          <w:sz w:val="16"/>
          <w:lang w:val="lv-LV"/>
        </w:rPr>
        <w:t xml:space="preserve"> IBRD un IDA nodrošina finansējumu, sniedz konsultācijas un tehnisko atbalstu attīstības valstu valdībām – IBRD palīdz vidēja ienākuma un kredītspējīgām nabadzīgām valstīm;</w:t>
      </w:r>
      <w:r>
        <w:rPr>
          <w:sz w:val="16"/>
          <w:lang w:val="lv-LV"/>
        </w:rPr>
        <w:t xml:space="preserve"> </w:t>
      </w:r>
      <w:r w:rsidRPr="00C14C74">
        <w:rPr>
          <w:sz w:val="16"/>
          <w:lang w:val="lv-LV"/>
        </w:rPr>
        <w:t>IDA palīdz pasaules nabadzīgākajām valstīm. Savukārt IFC un MIGA loma ir privātā sektora stiprināšana attīstības valstīs, nodrošinot finansējumu, tehnisko atbalstu, politiskā riska apdrošināšanu; ICSID nodrošina starptautisko</w:t>
      </w:r>
      <w:r>
        <w:rPr>
          <w:sz w:val="16"/>
          <w:lang w:val="lv-LV"/>
        </w:rPr>
        <w:t xml:space="preserve"> investīciju strīdu izšķiršanu.</w:t>
      </w:r>
    </w:p>
  </w:footnote>
  <w:footnote w:id="7">
    <w:p w14:paraId="5E7E8C59" w14:textId="77777777" w:rsidR="0003607D" w:rsidRPr="00B93FBC" w:rsidRDefault="0003607D" w:rsidP="00F1093C">
      <w:pPr>
        <w:pStyle w:val="FootnoteText"/>
      </w:pPr>
    </w:p>
  </w:footnote>
  <w:footnote w:id="8">
    <w:p w14:paraId="37DB0F78" w14:textId="77777777" w:rsidR="0003607D" w:rsidRDefault="0003607D" w:rsidP="00F1093C">
      <w:pPr>
        <w:pStyle w:val="FootnoteText"/>
      </w:pPr>
      <w:r>
        <w:rPr>
          <w:rStyle w:val="FootnoteReference"/>
        </w:rPr>
        <w:footnoteRef/>
      </w:r>
      <w:r>
        <w:rPr>
          <w:sz w:val="16"/>
        </w:rPr>
        <w:t xml:space="preserve"> </w:t>
      </w:r>
      <w:r w:rsidRPr="00C14C74">
        <w:rPr>
          <w:i/>
          <w:sz w:val="16"/>
        </w:rPr>
        <w:t>The World Bank Group Twin Goals &amp; The Millennium Development Goals</w:t>
      </w:r>
      <w:r>
        <w:rPr>
          <w:sz w:val="16"/>
        </w:rPr>
        <w:t xml:space="preserve">, 2.lp, pieejams:  </w:t>
      </w:r>
      <w:hyperlink r:id="rId4" w:history="1">
        <w:r w:rsidRPr="00AA6085">
          <w:rPr>
            <w:rStyle w:val="Hyperlink"/>
            <w:sz w:val="16"/>
          </w:rPr>
          <w:t>http://www.worldbank.org/content/dam/Worldbank/gmr/gmr2014/GMR_2014_Report_Card.pdf</w:t>
        </w:r>
      </w:hyperlink>
      <w:r>
        <w:rPr>
          <w:sz w:val="16"/>
        </w:rPr>
        <w:t xml:space="preserve"> ; </w:t>
      </w:r>
    </w:p>
  </w:footnote>
  <w:footnote w:id="9">
    <w:p w14:paraId="69ED3FF7" w14:textId="77777777" w:rsidR="0003607D" w:rsidRPr="007C48E6" w:rsidRDefault="0003607D" w:rsidP="00F1093C">
      <w:pPr>
        <w:pStyle w:val="Default"/>
        <w:jc w:val="both"/>
        <w:rPr>
          <w:sz w:val="16"/>
          <w:szCs w:val="16"/>
          <w:lang w:val="lv-LV"/>
        </w:rPr>
      </w:pPr>
      <w:r w:rsidRPr="007C48E6">
        <w:rPr>
          <w:rStyle w:val="FootnoteReference"/>
          <w:sz w:val="16"/>
          <w:szCs w:val="16"/>
        </w:rPr>
        <w:footnoteRef/>
      </w:r>
      <w:r w:rsidRPr="007C48E6">
        <w:rPr>
          <w:sz w:val="16"/>
          <w:szCs w:val="16"/>
        </w:rPr>
        <w:t xml:space="preserve"> </w:t>
      </w:r>
      <w:r>
        <w:rPr>
          <w:sz w:val="16"/>
          <w:szCs w:val="16"/>
        </w:rPr>
        <w:t xml:space="preserve">WBG </w:t>
      </w:r>
      <w:proofErr w:type="spellStart"/>
      <w:r>
        <w:rPr>
          <w:sz w:val="16"/>
          <w:szCs w:val="16"/>
        </w:rPr>
        <w:t>dati</w:t>
      </w:r>
      <w:proofErr w:type="spellEnd"/>
      <w:r>
        <w:rPr>
          <w:sz w:val="16"/>
          <w:szCs w:val="16"/>
        </w:rPr>
        <w:t xml:space="preserve">, </w:t>
      </w:r>
      <w:proofErr w:type="spellStart"/>
      <w:r>
        <w:rPr>
          <w:sz w:val="16"/>
          <w:szCs w:val="16"/>
        </w:rPr>
        <w:t>pieejams</w:t>
      </w:r>
      <w:proofErr w:type="spellEnd"/>
      <w:r>
        <w:rPr>
          <w:sz w:val="16"/>
          <w:szCs w:val="16"/>
        </w:rPr>
        <w:t xml:space="preserve">: </w:t>
      </w:r>
      <w:hyperlink r:id="rId5" w:history="1">
        <w:r w:rsidRPr="00525DC6">
          <w:rPr>
            <w:rStyle w:val="Hyperlink"/>
            <w:sz w:val="16"/>
            <w:szCs w:val="16"/>
          </w:rPr>
          <w:t>https://www.worldbank.org/en/topic/isp/overview</w:t>
        </w:r>
      </w:hyperlink>
      <w:r>
        <w:rPr>
          <w:sz w:val="16"/>
          <w:szCs w:val="16"/>
        </w:rPr>
        <w:t xml:space="preserve">; </w:t>
      </w:r>
    </w:p>
  </w:footnote>
  <w:footnote w:id="10">
    <w:p w14:paraId="4DBBCA9C" w14:textId="77777777" w:rsidR="0003607D" w:rsidRPr="00735DF6" w:rsidRDefault="0003607D" w:rsidP="00F1093C">
      <w:pPr>
        <w:pStyle w:val="FootnoteText"/>
        <w:rPr>
          <w:sz w:val="16"/>
          <w:szCs w:val="18"/>
        </w:rPr>
      </w:pPr>
      <w:r w:rsidRPr="00735DF6">
        <w:rPr>
          <w:rStyle w:val="FootnoteReference"/>
          <w:sz w:val="16"/>
          <w:szCs w:val="18"/>
        </w:rPr>
        <w:footnoteRef/>
      </w:r>
      <w:r w:rsidRPr="00735DF6">
        <w:rPr>
          <w:sz w:val="16"/>
          <w:szCs w:val="18"/>
        </w:rPr>
        <w:t xml:space="preserve"> </w:t>
      </w:r>
      <w:r w:rsidRPr="00735DF6">
        <w:rPr>
          <w:i/>
          <w:sz w:val="16"/>
          <w:szCs w:val="18"/>
        </w:rPr>
        <w:t xml:space="preserve">“A Stronger World Bank Group for All”, World Bank Group. </w:t>
      </w:r>
      <w:r>
        <w:rPr>
          <w:sz w:val="16"/>
          <w:szCs w:val="18"/>
        </w:rPr>
        <w:t>2017.gada 28.marts</w:t>
      </w:r>
      <w:r w:rsidRPr="00735DF6">
        <w:rPr>
          <w:i/>
          <w:sz w:val="16"/>
          <w:szCs w:val="18"/>
        </w:rPr>
        <w:t xml:space="preserve">, </w:t>
      </w:r>
      <w:r w:rsidRPr="00735DF6">
        <w:rPr>
          <w:sz w:val="16"/>
          <w:szCs w:val="18"/>
        </w:rPr>
        <w:t>2.lp.</w:t>
      </w:r>
      <w:r>
        <w:rPr>
          <w:sz w:val="16"/>
          <w:szCs w:val="18"/>
        </w:rPr>
        <w:t xml:space="preserve">, pieejams: </w:t>
      </w:r>
      <w:hyperlink r:id="rId6" w:history="1">
        <w:r w:rsidRPr="00AA6085">
          <w:rPr>
            <w:rStyle w:val="Hyperlink"/>
            <w:sz w:val="16"/>
            <w:szCs w:val="18"/>
          </w:rPr>
          <w:t>http://siteresources.worldbank.org/DEVCOMMINT/Documentation/23745171/DC2017-0005.pdf</w:t>
        </w:r>
      </w:hyperlink>
      <w:r>
        <w:rPr>
          <w:sz w:val="16"/>
          <w:szCs w:val="18"/>
        </w:rPr>
        <w:t>;</w:t>
      </w:r>
      <w:r w:rsidRPr="00735DF6">
        <w:rPr>
          <w:sz w:val="16"/>
          <w:szCs w:val="18"/>
        </w:rPr>
        <w:t xml:space="preserve">  </w:t>
      </w:r>
    </w:p>
  </w:footnote>
  <w:footnote w:id="11">
    <w:p w14:paraId="3858A162" w14:textId="77777777" w:rsidR="0003607D" w:rsidRDefault="0003607D" w:rsidP="00F1093C">
      <w:pPr>
        <w:pStyle w:val="FootnoteText"/>
        <w:jc w:val="both"/>
      </w:pPr>
      <w:r>
        <w:rPr>
          <w:rStyle w:val="FootnoteReference"/>
        </w:rPr>
        <w:footnoteRef/>
      </w:r>
      <w:r>
        <w:t xml:space="preserve"> </w:t>
      </w:r>
      <w:r w:rsidRPr="005874C3">
        <w:rPr>
          <w:rFonts w:cs="Times New Roman"/>
          <w:sz w:val="16"/>
        </w:rPr>
        <w:t>2015.gadā ANO apstiprināja “Dienaskārtība ilgtspējīgai attīstībai 2030” (“Dienaskārtība 2030”), kas ietver 17 ilgtspējīgas attīstības mērķus (</w:t>
      </w:r>
      <w:r w:rsidRPr="005874C3">
        <w:rPr>
          <w:rFonts w:cs="Times New Roman"/>
          <w:i/>
          <w:sz w:val="16"/>
        </w:rPr>
        <w:t>Sustainable Development Goals</w:t>
      </w:r>
      <w:r w:rsidRPr="005874C3">
        <w:rPr>
          <w:rFonts w:cs="Times New Roman"/>
          <w:sz w:val="16"/>
        </w:rPr>
        <w:t xml:space="preserve"> - SDGs), kurus ANO dalībvalstis apņemas sasniegt līdz 2030. gadam</w:t>
      </w:r>
      <w:r w:rsidRPr="005874C3">
        <w:rPr>
          <w:sz w:val="14"/>
        </w:rPr>
        <w:t>;</w:t>
      </w:r>
    </w:p>
  </w:footnote>
  <w:footnote w:id="12">
    <w:p w14:paraId="3B33F6DB" w14:textId="77777777" w:rsidR="0003607D" w:rsidRDefault="0003607D" w:rsidP="00F1093C">
      <w:pPr>
        <w:pStyle w:val="FootnoteText"/>
      </w:pPr>
      <w:r>
        <w:rPr>
          <w:rStyle w:val="FootnoteReference"/>
        </w:rPr>
        <w:footnoteRef/>
      </w:r>
      <w:r>
        <w:t xml:space="preserve"> </w:t>
      </w:r>
      <w:r w:rsidRPr="00976F23">
        <w:rPr>
          <w:sz w:val="16"/>
        </w:rPr>
        <w:t xml:space="preserve">Jo zemāks Gini </w:t>
      </w:r>
      <w:r>
        <w:rPr>
          <w:sz w:val="16"/>
        </w:rPr>
        <w:t>koeficients</w:t>
      </w:r>
      <w:r w:rsidRPr="00976F23">
        <w:rPr>
          <w:sz w:val="16"/>
        </w:rPr>
        <w:t>, jo augstāka vienlīdzība.</w:t>
      </w:r>
    </w:p>
  </w:footnote>
  <w:footnote w:id="13">
    <w:p w14:paraId="5392099F" w14:textId="77777777" w:rsidR="0003607D" w:rsidRDefault="0003607D" w:rsidP="00F1093C">
      <w:pPr>
        <w:pStyle w:val="FootnoteText"/>
      </w:pPr>
      <w:r w:rsidRPr="00976F23">
        <w:rPr>
          <w:rStyle w:val="FootnoteReference"/>
          <w:sz w:val="16"/>
        </w:rPr>
        <w:footnoteRef/>
      </w:r>
      <w:r w:rsidRPr="00976F23">
        <w:rPr>
          <w:sz w:val="16"/>
        </w:rPr>
        <w:t xml:space="preserve"> </w:t>
      </w:r>
      <w:r w:rsidRPr="00267EF1">
        <w:rPr>
          <w:sz w:val="16"/>
        </w:rPr>
        <w:t xml:space="preserve">Valstis ar augstāko Gini koeficientu jeb lielāku ienākumu vienlīdzību ir </w:t>
      </w:r>
      <w:r>
        <w:rPr>
          <w:sz w:val="16"/>
        </w:rPr>
        <w:t>Ukraina, Slovēnija</w:t>
      </w:r>
      <w:r w:rsidRPr="00267EF1">
        <w:rPr>
          <w:sz w:val="16"/>
        </w:rPr>
        <w:t>, Slovākija, Čehija, Norvēģija, savukārt vislielākā ienākumu nevienlīdzība ir Dienvidāfrikā,</w:t>
      </w:r>
      <w:r>
        <w:rPr>
          <w:sz w:val="16"/>
        </w:rPr>
        <w:t xml:space="preserve"> Namībijā, Botsvānā, Centrālāfrikas Republikā</w:t>
      </w:r>
      <w:r w:rsidRPr="00267EF1">
        <w:rPr>
          <w:sz w:val="16"/>
        </w:rPr>
        <w:t xml:space="preserve">. </w:t>
      </w:r>
      <w:r w:rsidRPr="00976F23">
        <w:rPr>
          <w:sz w:val="16"/>
        </w:rPr>
        <w:t>Latvijas Gini koeficients mājsaimniecību ienā</w:t>
      </w:r>
      <w:r>
        <w:rPr>
          <w:sz w:val="16"/>
        </w:rPr>
        <w:t>kumie</w:t>
      </w:r>
      <w:r w:rsidRPr="00976F23">
        <w:rPr>
          <w:sz w:val="16"/>
        </w:rPr>
        <w:t>m pēc nodokļu nomaksas ir viens no augstākajiem ES,</w:t>
      </w:r>
      <w:r>
        <w:rPr>
          <w:sz w:val="16"/>
        </w:rPr>
        <w:t xml:space="preserve"> 2017.gadā</w:t>
      </w:r>
      <w:r w:rsidRPr="00976F23">
        <w:rPr>
          <w:sz w:val="16"/>
        </w:rPr>
        <w:t xml:space="preserve"> sast</w:t>
      </w:r>
      <w:r>
        <w:rPr>
          <w:sz w:val="16"/>
        </w:rPr>
        <w:t>ādot 34.5;</w:t>
      </w:r>
    </w:p>
  </w:footnote>
  <w:footnote w:id="14">
    <w:p w14:paraId="2487FF57" w14:textId="77777777" w:rsidR="0003607D" w:rsidRPr="00735DF6" w:rsidRDefault="0003607D" w:rsidP="00126EA7">
      <w:pPr>
        <w:pStyle w:val="FootnoteText"/>
        <w:rPr>
          <w:sz w:val="16"/>
        </w:rPr>
      </w:pPr>
      <w:r w:rsidRPr="00735DF6">
        <w:rPr>
          <w:rStyle w:val="FootnoteReference"/>
          <w:sz w:val="16"/>
          <w:szCs w:val="18"/>
        </w:rPr>
        <w:footnoteRef/>
      </w:r>
      <w:r w:rsidRPr="00735DF6">
        <w:rPr>
          <w:sz w:val="16"/>
        </w:rPr>
        <w:t xml:space="preserve"> </w:t>
      </w:r>
      <w:r w:rsidRPr="00735DF6">
        <w:rPr>
          <w:i/>
          <w:sz w:val="16"/>
        </w:rPr>
        <w:t xml:space="preserve">World Bank. 2016. Poverty and Shared Prosperity 2016: Taking on Inequality. World Bank, </w:t>
      </w:r>
      <w:r w:rsidRPr="00735DF6">
        <w:rPr>
          <w:sz w:val="16"/>
        </w:rPr>
        <w:t>10.lp.</w:t>
      </w:r>
      <w:r>
        <w:rPr>
          <w:sz w:val="16"/>
        </w:rPr>
        <w:t xml:space="preserve">, pieejams: </w:t>
      </w:r>
      <w:hyperlink r:id="rId7" w:history="1">
        <w:r w:rsidRPr="00AA6085">
          <w:rPr>
            <w:rStyle w:val="Hyperlink"/>
            <w:sz w:val="16"/>
          </w:rPr>
          <w:t>http://www.worldbank.org/en/publication/poverty-and-shared-prosperity</w:t>
        </w:r>
      </w:hyperlink>
      <w:r>
        <w:rPr>
          <w:sz w:val="16"/>
        </w:rPr>
        <w:t xml:space="preserve"> </w:t>
      </w:r>
    </w:p>
  </w:footnote>
  <w:footnote w:id="15">
    <w:p w14:paraId="105B79A3" w14:textId="77777777" w:rsidR="0003607D" w:rsidRPr="0064726E" w:rsidRDefault="0003607D" w:rsidP="00BC4234">
      <w:pPr>
        <w:pStyle w:val="FootnoteText"/>
        <w:jc w:val="both"/>
        <w:rPr>
          <w:sz w:val="16"/>
          <w:szCs w:val="16"/>
        </w:rPr>
      </w:pPr>
      <w:r w:rsidRPr="0064726E">
        <w:rPr>
          <w:rStyle w:val="FootnoteReference"/>
          <w:sz w:val="16"/>
          <w:szCs w:val="16"/>
        </w:rPr>
        <w:footnoteRef/>
      </w:r>
      <w:r w:rsidRPr="0064726E">
        <w:rPr>
          <w:sz w:val="16"/>
          <w:szCs w:val="16"/>
        </w:rPr>
        <w:t xml:space="preserve"> </w:t>
      </w:r>
      <w:r>
        <w:rPr>
          <w:sz w:val="16"/>
          <w:szCs w:val="16"/>
        </w:rPr>
        <w:t>Turpat</w:t>
      </w:r>
      <w:r w:rsidRPr="0064726E">
        <w:rPr>
          <w:sz w:val="16"/>
          <w:szCs w:val="16"/>
        </w:rPr>
        <w:t>, 5.lp.;</w:t>
      </w:r>
      <w:r>
        <w:rPr>
          <w:sz w:val="16"/>
          <w:szCs w:val="16"/>
        </w:rPr>
        <w:t xml:space="preserve"> </w:t>
      </w:r>
      <w:r w:rsidRPr="00F1093C">
        <w:rPr>
          <w:sz w:val="16"/>
          <w:szCs w:val="16"/>
        </w:rPr>
        <w:t xml:space="preserve">IFC (2016), </w:t>
      </w:r>
      <w:r w:rsidRPr="00F1093C">
        <w:rPr>
          <w:i/>
          <w:sz w:val="16"/>
          <w:szCs w:val="16"/>
        </w:rPr>
        <w:t>Climate Investment Opportunities in Emerging Markets: An IFC Analysis. McKinsey Global Institute (2017), Bridging Infrastructure Gaps: Has the World Made Progress?</w:t>
      </w:r>
      <w:r w:rsidRPr="00F1093C">
        <w:rPr>
          <w:sz w:val="16"/>
          <w:szCs w:val="16"/>
        </w:rPr>
        <w:t xml:space="preserve">; UNCTAD (2014), </w:t>
      </w:r>
      <w:r w:rsidRPr="00F1093C">
        <w:rPr>
          <w:i/>
          <w:sz w:val="16"/>
          <w:szCs w:val="16"/>
        </w:rPr>
        <w:t>World Investment Report 2014 – Investing in the SDGs: An Action Plan</w:t>
      </w:r>
      <w:r>
        <w:rPr>
          <w:sz w:val="16"/>
          <w:szCs w:val="16"/>
        </w:rPr>
        <w:t>;</w:t>
      </w:r>
    </w:p>
  </w:footnote>
  <w:footnote w:id="16">
    <w:p w14:paraId="20560B34" w14:textId="77777777" w:rsidR="0003607D" w:rsidRPr="00552D68" w:rsidRDefault="0003607D" w:rsidP="00E36C2B">
      <w:pPr>
        <w:pStyle w:val="FootnoteText"/>
        <w:jc w:val="both"/>
        <w:rPr>
          <w:sz w:val="16"/>
          <w:szCs w:val="16"/>
        </w:rPr>
      </w:pPr>
      <w:r w:rsidRPr="00552D68">
        <w:rPr>
          <w:rStyle w:val="FootnoteReference"/>
          <w:sz w:val="16"/>
          <w:szCs w:val="16"/>
        </w:rPr>
        <w:footnoteRef/>
      </w:r>
      <w:r w:rsidRPr="00552D68">
        <w:rPr>
          <w:sz w:val="16"/>
          <w:szCs w:val="16"/>
        </w:rPr>
        <w:t xml:space="preserve"> WBG augstākā lēmējinstitūcija ir pilnvarnieku valde, ko pārstāv dalībvalstu pilnvarnieki, lielākoties finanšu un attīstības lietu ministri. WBG pilnvarnieku Gada sanāksmē un Pavasara sanāksmē, kas tiek organizēta kopā ar</w:t>
      </w:r>
      <w:r>
        <w:rPr>
          <w:sz w:val="16"/>
          <w:szCs w:val="16"/>
        </w:rPr>
        <w:t xml:space="preserve"> IMF</w:t>
      </w:r>
      <w:r w:rsidRPr="00552D68">
        <w:rPr>
          <w:sz w:val="16"/>
          <w:szCs w:val="16"/>
        </w:rPr>
        <w:t>, pilnvarnieki sniedz politisko virzienu WBG, savukārt lēmumu pieņemšanu darba līmenī nodrošina pilnvarnieku deleģētie 25 direktori, kas pārstāv vienu vai vairākus no 189 akcionāriem. WBG pārstāvniecības atrodas vairāk kā 130 vietās pasaulē;</w:t>
      </w:r>
    </w:p>
  </w:footnote>
  <w:footnote w:id="17">
    <w:p w14:paraId="1FF88B15" w14:textId="77777777" w:rsidR="0003607D" w:rsidRPr="00552D68" w:rsidRDefault="0003607D" w:rsidP="00E36C2B">
      <w:pPr>
        <w:pStyle w:val="FootnoteText"/>
        <w:jc w:val="both"/>
        <w:rPr>
          <w:sz w:val="16"/>
          <w:szCs w:val="16"/>
        </w:rPr>
      </w:pPr>
      <w:r w:rsidRPr="00552D68">
        <w:rPr>
          <w:rStyle w:val="FootnoteReference"/>
          <w:sz w:val="16"/>
          <w:szCs w:val="16"/>
        </w:rPr>
        <w:footnoteRef/>
      </w:r>
      <w:r w:rsidRPr="00552D68">
        <w:rPr>
          <w:sz w:val="16"/>
          <w:szCs w:val="16"/>
        </w:rPr>
        <w:t xml:space="preserve"> IBRD 2017.gada pārskats,</w:t>
      </w:r>
      <w:r>
        <w:rPr>
          <w:sz w:val="16"/>
          <w:szCs w:val="16"/>
        </w:rPr>
        <w:t xml:space="preserve"> 4.lp.,</w:t>
      </w:r>
      <w:r w:rsidRPr="00552D68">
        <w:rPr>
          <w:sz w:val="16"/>
          <w:szCs w:val="16"/>
        </w:rPr>
        <w:t xml:space="preserve"> pieejams: </w:t>
      </w:r>
      <w:hyperlink r:id="rId8" w:history="1">
        <w:r w:rsidRPr="00552D68">
          <w:rPr>
            <w:rStyle w:val="Hyperlink"/>
            <w:sz w:val="16"/>
            <w:szCs w:val="16"/>
          </w:rPr>
          <w:t>http://pubdocs.worldbank.org/en/908481507403754670/Annual-Report-2017-WBG.pdf</w:t>
        </w:r>
      </w:hyperlink>
      <w:r>
        <w:rPr>
          <w:rStyle w:val="Hyperlink"/>
          <w:sz w:val="16"/>
          <w:szCs w:val="16"/>
        </w:rPr>
        <w:t>;</w:t>
      </w:r>
      <w:r w:rsidRPr="00552D68">
        <w:rPr>
          <w:sz w:val="16"/>
          <w:szCs w:val="16"/>
        </w:rPr>
        <w:t xml:space="preserve"> </w:t>
      </w:r>
    </w:p>
  </w:footnote>
  <w:footnote w:id="18">
    <w:p w14:paraId="1CFC5928" w14:textId="77777777" w:rsidR="0003607D" w:rsidRPr="00135B51" w:rsidRDefault="0003607D" w:rsidP="00E36C2B">
      <w:pPr>
        <w:pStyle w:val="FootnoteText"/>
        <w:jc w:val="both"/>
        <w:rPr>
          <w:sz w:val="22"/>
        </w:rPr>
      </w:pPr>
      <w:r w:rsidRPr="00552D68">
        <w:rPr>
          <w:rStyle w:val="FootnoteReference"/>
          <w:sz w:val="16"/>
          <w:szCs w:val="16"/>
        </w:rPr>
        <w:footnoteRef/>
      </w:r>
      <w:r w:rsidRPr="00552D68">
        <w:rPr>
          <w:sz w:val="16"/>
          <w:szCs w:val="16"/>
        </w:rPr>
        <w:t xml:space="preserve"> IFC 2017.gada pārskats, </w:t>
      </w:r>
      <w:r>
        <w:rPr>
          <w:sz w:val="16"/>
          <w:szCs w:val="16"/>
        </w:rPr>
        <w:t xml:space="preserve">18.,19.lp. </w:t>
      </w:r>
      <w:r w:rsidRPr="00552D68">
        <w:rPr>
          <w:sz w:val="16"/>
          <w:szCs w:val="16"/>
        </w:rPr>
        <w:t>pieejams:</w:t>
      </w:r>
      <w:r>
        <w:rPr>
          <w:sz w:val="16"/>
          <w:szCs w:val="16"/>
        </w:rPr>
        <w:tab/>
      </w:r>
      <w:r>
        <w:rPr>
          <w:sz w:val="16"/>
          <w:szCs w:val="16"/>
        </w:rPr>
        <w:br/>
      </w:r>
      <w:r w:rsidRPr="00552D68">
        <w:rPr>
          <w:sz w:val="16"/>
          <w:szCs w:val="16"/>
        </w:rPr>
        <w:t xml:space="preserve"> </w:t>
      </w:r>
      <w:hyperlink r:id="rId9" w:history="1">
        <w:r w:rsidRPr="00552D68">
          <w:rPr>
            <w:rStyle w:val="Hyperlink"/>
            <w:sz w:val="16"/>
            <w:szCs w:val="16"/>
          </w:rPr>
          <w:t>https://www.ifc.org/wps/wcm/connect/corp_ext_content/ifc_external_corporate_site/annual+report/2017-online-report/printed-version</w:t>
        </w:r>
      </w:hyperlink>
      <w:r w:rsidRPr="00135B51">
        <w:rPr>
          <w:sz w:val="16"/>
        </w:rPr>
        <w:t xml:space="preserve"> </w:t>
      </w:r>
    </w:p>
  </w:footnote>
  <w:footnote w:id="19">
    <w:p w14:paraId="17F513AC" w14:textId="57135372" w:rsidR="0003607D" w:rsidRPr="000C7594" w:rsidRDefault="0003607D" w:rsidP="00DB0CD7">
      <w:pPr>
        <w:pStyle w:val="FootnoteText"/>
        <w:jc w:val="both"/>
        <w:rPr>
          <w:sz w:val="16"/>
          <w:szCs w:val="16"/>
        </w:rPr>
      </w:pPr>
      <w:r w:rsidRPr="000C7594">
        <w:rPr>
          <w:rStyle w:val="FootnoteReference"/>
          <w:sz w:val="16"/>
          <w:szCs w:val="16"/>
        </w:rPr>
        <w:footnoteRef/>
      </w:r>
      <w:r w:rsidRPr="000C7594">
        <w:rPr>
          <w:sz w:val="16"/>
          <w:szCs w:val="16"/>
        </w:rPr>
        <w:t xml:space="preserve"> WBG finanšu aizdošanas kapacitāte 2016.gadā bija vidēji US</w:t>
      </w:r>
      <w:r w:rsidR="009E791D">
        <w:rPr>
          <w:sz w:val="16"/>
          <w:szCs w:val="16"/>
        </w:rPr>
        <w:t xml:space="preserve">D </w:t>
      </w:r>
      <w:r w:rsidRPr="000C7594">
        <w:rPr>
          <w:sz w:val="16"/>
          <w:szCs w:val="16"/>
        </w:rPr>
        <w:t>85 miljardi gadā;</w:t>
      </w:r>
    </w:p>
  </w:footnote>
  <w:footnote w:id="20">
    <w:p w14:paraId="3000738B" w14:textId="77777777"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WBG darbības stratēģijas īstenošanas progresa ziņojums </w:t>
      </w:r>
      <w:r w:rsidRPr="000C7594">
        <w:rPr>
          <w:i/>
          <w:sz w:val="16"/>
          <w:szCs w:val="16"/>
        </w:rPr>
        <w:t>“Forward Look – a Vision for the World Bank Group in 2030 -Implementation Update”</w:t>
      </w:r>
      <w:r>
        <w:rPr>
          <w:sz w:val="16"/>
          <w:szCs w:val="16"/>
        </w:rPr>
        <w:t xml:space="preserve">, pieejams: </w:t>
      </w:r>
      <w:hyperlink r:id="rId10" w:history="1">
        <w:r w:rsidRPr="00AA6085">
          <w:rPr>
            <w:rStyle w:val="Hyperlink"/>
            <w:sz w:val="16"/>
            <w:szCs w:val="16"/>
          </w:rPr>
          <w:t>http://siteresources.worldbank.org/DEVCOMMINT/Documentation/23775499/DC2018_0005ForwardLookupdate_329.pdf</w:t>
        </w:r>
      </w:hyperlink>
      <w:r>
        <w:rPr>
          <w:rStyle w:val="Hyperlink"/>
          <w:sz w:val="16"/>
          <w:szCs w:val="16"/>
        </w:rPr>
        <w:t>;</w:t>
      </w:r>
      <w:r>
        <w:rPr>
          <w:sz w:val="16"/>
          <w:szCs w:val="16"/>
        </w:rPr>
        <w:t xml:space="preserve"> </w:t>
      </w:r>
    </w:p>
  </w:footnote>
  <w:footnote w:id="21">
    <w:p w14:paraId="1C5D6EF8" w14:textId="77777777"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WBG finanšu gads sākas kalendārā gada 1.jūnijā un beidzas nākamā kalendārā gada 31.maijā;</w:t>
      </w:r>
    </w:p>
  </w:footnote>
  <w:footnote w:id="22">
    <w:p w14:paraId="4776E0E8" w14:textId="76B3D1F6"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WBG finanšu aizdošanas kapacitāte 2016.gadā bija vidēji US</w:t>
      </w:r>
      <w:r w:rsidR="009E791D">
        <w:rPr>
          <w:sz w:val="16"/>
          <w:szCs w:val="16"/>
        </w:rPr>
        <w:t xml:space="preserve">D </w:t>
      </w:r>
      <w:r w:rsidRPr="000C7594">
        <w:rPr>
          <w:sz w:val="16"/>
          <w:szCs w:val="16"/>
        </w:rPr>
        <w:t>85 miljardi gadā;</w:t>
      </w:r>
    </w:p>
  </w:footnote>
  <w:footnote w:id="23">
    <w:p w14:paraId="369F02B1" w14:textId="354D55E6"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IBRD finanšu aizdošanas kapacitāte 2016.gadā bija vidēji US</w:t>
      </w:r>
      <w:r w:rsidR="009E791D">
        <w:rPr>
          <w:sz w:val="16"/>
          <w:szCs w:val="16"/>
        </w:rPr>
        <w:t xml:space="preserve">D </w:t>
      </w:r>
      <w:r w:rsidRPr="000C7594">
        <w:rPr>
          <w:sz w:val="16"/>
          <w:szCs w:val="16"/>
        </w:rPr>
        <w:t>27 miljardi gadā;</w:t>
      </w:r>
    </w:p>
  </w:footnote>
  <w:footnote w:id="24">
    <w:p w14:paraId="0D37150C" w14:textId="675B7379"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IFC finanšu aizdošanas kapacitāte 2016.gadā bija vidēji US</w:t>
      </w:r>
      <w:r w:rsidR="009E791D">
        <w:rPr>
          <w:sz w:val="16"/>
          <w:szCs w:val="16"/>
        </w:rPr>
        <w:t xml:space="preserve">D </w:t>
      </w:r>
      <w:r w:rsidRPr="000C7594">
        <w:rPr>
          <w:sz w:val="16"/>
          <w:szCs w:val="16"/>
        </w:rPr>
        <w:t>27 miljardi gadā;</w:t>
      </w:r>
    </w:p>
  </w:footnote>
  <w:footnote w:id="25">
    <w:p w14:paraId="152F318C" w14:textId="77777777"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w:t>
      </w:r>
      <w:r w:rsidRPr="000C7594">
        <w:rPr>
          <w:i/>
          <w:sz w:val="16"/>
          <w:szCs w:val="16"/>
        </w:rPr>
        <w:t xml:space="preserve">Fragility, conflict, violence – FCV, </w:t>
      </w:r>
      <w:r w:rsidRPr="000C7594">
        <w:rPr>
          <w:sz w:val="16"/>
          <w:szCs w:val="16"/>
        </w:rPr>
        <w:t>kas</w:t>
      </w:r>
      <w:r w:rsidRPr="000C7594">
        <w:rPr>
          <w:i/>
          <w:sz w:val="16"/>
          <w:szCs w:val="16"/>
        </w:rPr>
        <w:t xml:space="preserve"> </w:t>
      </w:r>
      <w:r w:rsidRPr="000C7594">
        <w:rPr>
          <w:sz w:val="16"/>
          <w:szCs w:val="16"/>
        </w:rPr>
        <w:t>ietver</w:t>
      </w:r>
      <w:r w:rsidRPr="000C7594">
        <w:rPr>
          <w:i/>
          <w:sz w:val="16"/>
          <w:szCs w:val="16"/>
        </w:rPr>
        <w:t xml:space="preserve"> </w:t>
      </w:r>
      <w:r w:rsidRPr="000C7594">
        <w:rPr>
          <w:sz w:val="16"/>
          <w:szCs w:val="16"/>
        </w:rPr>
        <w:t>tādas valstis kā</w:t>
      </w:r>
      <w:r w:rsidRPr="000C7594">
        <w:rPr>
          <w:i/>
          <w:sz w:val="16"/>
          <w:szCs w:val="16"/>
        </w:rPr>
        <w:t xml:space="preserve"> </w:t>
      </w:r>
      <w:r w:rsidRPr="000C7594">
        <w:rPr>
          <w:sz w:val="16"/>
          <w:szCs w:val="16"/>
        </w:rPr>
        <w:t>Afganistāna, Burundi, Centrālāfrikas Republika, Čada, Komor</w:t>
      </w:r>
      <w:r>
        <w:rPr>
          <w:sz w:val="16"/>
          <w:szCs w:val="16"/>
        </w:rPr>
        <w:t>u salas</w:t>
      </w:r>
      <w:r w:rsidRPr="000C7594">
        <w:rPr>
          <w:sz w:val="16"/>
          <w:szCs w:val="16"/>
        </w:rPr>
        <w:t>, Kongo Demokrātiskā Republika, Kotdivuāra, Džibuti, Eritreja, Gambija, Gvineja</w:t>
      </w:r>
      <w:r>
        <w:rPr>
          <w:sz w:val="16"/>
          <w:szCs w:val="16"/>
        </w:rPr>
        <w:t>-</w:t>
      </w:r>
      <w:r w:rsidRPr="000C7594">
        <w:rPr>
          <w:sz w:val="16"/>
          <w:szCs w:val="16"/>
        </w:rPr>
        <w:t>Bisa</w:t>
      </w:r>
      <w:r>
        <w:rPr>
          <w:sz w:val="16"/>
          <w:szCs w:val="16"/>
        </w:rPr>
        <w:t>va</w:t>
      </w:r>
      <w:r w:rsidRPr="000C7594">
        <w:rPr>
          <w:sz w:val="16"/>
          <w:szCs w:val="16"/>
        </w:rPr>
        <w:t>, Haiti, Kiribati, Kosova, Libērija, Mali, Maršalu salas, Mikronēzija, Mozambika, Mjanma, Papua-Jaungvineja, Sjerraleone, Zālamanu salas, Somālija, Dienvidsudāna, Sudāna, Sīrija, Togo, Tuvalu, Jemenas Republika, Rietumkrasts un Gazas josla, Zimbabve, Irāka, Libāna, Lībija</w:t>
      </w:r>
      <w:r w:rsidRPr="000C7594">
        <w:rPr>
          <w:i/>
          <w:sz w:val="16"/>
          <w:szCs w:val="16"/>
        </w:rPr>
        <w:t>;</w:t>
      </w:r>
    </w:p>
  </w:footnote>
  <w:footnote w:id="26">
    <w:p w14:paraId="4E8C8693" w14:textId="77777777"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WBG nodrošinās reaģēšanu uz nacionālām, reģionālām un globālām krīzēm, par prioritāti nosakot FCV situāciju eskalācijas un </w:t>
      </w:r>
      <w:r w:rsidRPr="005D640F">
        <w:rPr>
          <w:sz w:val="16"/>
          <w:szCs w:val="16"/>
        </w:rPr>
        <w:t>pārne</w:t>
      </w:r>
      <w:r>
        <w:rPr>
          <w:sz w:val="16"/>
          <w:szCs w:val="16"/>
        </w:rPr>
        <w:t>se</w:t>
      </w:r>
      <w:r w:rsidRPr="005D640F">
        <w:rPr>
          <w:sz w:val="16"/>
          <w:szCs w:val="16"/>
        </w:rPr>
        <w:t>s</w:t>
      </w:r>
      <w:r w:rsidRPr="000C7594">
        <w:rPr>
          <w:sz w:val="16"/>
          <w:szCs w:val="16"/>
        </w:rPr>
        <w:t xml:space="preserve"> prevenciju un uzlabot to ietekmi ar privātā sektora iesaistes palielināšanu;</w:t>
      </w:r>
    </w:p>
  </w:footnote>
  <w:footnote w:id="27">
    <w:p w14:paraId="00139085" w14:textId="77777777"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WBG būtiski stiprinās finansējumu klimata pārmaiņu risināšanā ar mērķi palielināt aizdevumus un investīcijas līdz vidēji 30 procentiem IBRD un 32 procentiem IFC 2019.-2030.gadā, tādējādi paredzot, ka IBRD un IFC klimata ieguvumi gadā būtu 1.7 reizes augstāki nekā bez kapitāla stiprināšanas pakotnes;</w:t>
      </w:r>
    </w:p>
  </w:footnote>
  <w:footnote w:id="28">
    <w:p w14:paraId="099BED00" w14:textId="77777777"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Lai būtiski mazinātu dzimumu līdztiesības trūkumus, WBG īstenos WBG Dzimumu līdztiesības stratēģiju </w:t>
      </w:r>
      <w:r w:rsidRPr="000C7594">
        <w:rPr>
          <w:i/>
          <w:sz w:val="16"/>
          <w:szCs w:val="16"/>
        </w:rPr>
        <w:t>World Bank Group Gender Strategy (FY16-23): Gender Equality, Poverty Reduction and Inclusive Growth</w:t>
      </w:r>
      <w:r w:rsidRPr="000C7594">
        <w:rPr>
          <w:sz w:val="16"/>
          <w:szCs w:val="16"/>
        </w:rPr>
        <w:t xml:space="preserve">; </w:t>
      </w:r>
    </w:p>
  </w:footnote>
  <w:footnote w:id="29">
    <w:p w14:paraId="3DDFD2B2" w14:textId="77777777" w:rsidR="0003607D" w:rsidRPr="000C7594" w:rsidRDefault="0003607D" w:rsidP="000C7594">
      <w:pPr>
        <w:pStyle w:val="FootnoteText"/>
        <w:jc w:val="both"/>
        <w:rPr>
          <w:sz w:val="16"/>
          <w:szCs w:val="16"/>
        </w:rPr>
      </w:pPr>
      <w:r w:rsidRPr="000C7594">
        <w:rPr>
          <w:rStyle w:val="FootnoteReference"/>
          <w:sz w:val="16"/>
          <w:szCs w:val="16"/>
        </w:rPr>
        <w:footnoteRef/>
      </w:r>
      <w:r w:rsidRPr="000C7594">
        <w:rPr>
          <w:sz w:val="16"/>
          <w:szCs w:val="16"/>
        </w:rPr>
        <w:t xml:space="preserve"> Paredzēts, ka kapitāla palielināšanas rezultātā kapitāla mobilizācija ar IBRD un IFC palīdzību līdz 2030.gadam pieaugs 1.7 reizes;</w:t>
      </w:r>
    </w:p>
  </w:footnote>
  <w:footnote w:id="30">
    <w:p w14:paraId="4EA2D8EA" w14:textId="77777777" w:rsidR="0003607D" w:rsidRDefault="0003607D" w:rsidP="000C7594">
      <w:pPr>
        <w:jc w:val="both"/>
      </w:pPr>
      <w:r w:rsidRPr="000C7594">
        <w:rPr>
          <w:rStyle w:val="FootnoteReference"/>
          <w:sz w:val="16"/>
          <w:szCs w:val="16"/>
        </w:rPr>
        <w:footnoteRef/>
      </w:r>
      <w:r w:rsidRPr="000C7594">
        <w:rPr>
          <w:sz w:val="16"/>
          <w:szCs w:val="16"/>
        </w:rPr>
        <w:t xml:space="preserve"> WBG Kaskādes pieeja (ieviesta ar </w:t>
      </w:r>
      <w:r w:rsidRPr="000C7594">
        <w:rPr>
          <w:i/>
          <w:sz w:val="16"/>
          <w:szCs w:val="16"/>
        </w:rPr>
        <w:t>Forward Look</w:t>
      </w:r>
      <w:r w:rsidRPr="000C7594">
        <w:rPr>
          <w:sz w:val="16"/>
          <w:szCs w:val="16"/>
        </w:rPr>
        <w:t xml:space="preserve">) paredz WBG atbalsta sniegšanu saņēmējvalstīm, lai tās pēc iespējas vairāk piesaistītu privātā sektora finansējumu un ilgtspējīgus privātā sektora risinājumus, lai sasniegtu augstākos vides, sociālos un fiskālās atbildības standardus un izmantotu publisko finansējumu tikai tām jomām, kur privātais sektors nav optimāls vai ir nepieejams. Praksē tas nozīmē, ka WBG eksperti konsultē saņēmējvalstis, vai konkrētus projektus vislabāk būtu īstenot ar privātā sektora risinājumiem (finansējot vai sniedzot pakalpojumu) vai tomēr ir nepieciešams WBG atbalsts investīciju vides uzlabošanai (regulējuma reformai) vai risku mazināšanai (WBG risku mazināšanas instrumenti), lai palīdzētu sasniegt šādus privātā sektora risinājumus, </w:t>
      </w:r>
      <w:r w:rsidRPr="000C7594">
        <w:rPr>
          <w:i/>
          <w:sz w:val="16"/>
          <w:szCs w:val="16"/>
        </w:rPr>
        <w:t>Maximizing Finance for Development: Leveraging the Private Sector for Growth and Sustainable Development, 1.lp;</w:t>
      </w:r>
    </w:p>
  </w:footnote>
  <w:footnote w:id="31">
    <w:p w14:paraId="58686000" w14:textId="77777777" w:rsidR="0003607D" w:rsidRPr="00AA10A3" w:rsidRDefault="0003607D" w:rsidP="00AA10A3">
      <w:pPr>
        <w:pStyle w:val="FootnoteText"/>
        <w:jc w:val="both"/>
        <w:rPr>
          <w:sz w:val="16"/>
          <w:szCs w:val="16"/>
        </w:rPr>
      </w:pPr>
      <w:r w:rsidRPr="00AA10A3">
        <w:rPr>
          <w:rStyle w:val="FootnoteReference"/>
          <w:sz w:val="16"/>
          <w:szCs w:val="16"/>
        </w:rPr>
        <w:footnoteRef/>
      </w:r>
      <w:r w:rsidRPr="00AA10A3">
        <w:rPr>
          <w:sz w:val="16"/>
          <w:szCs w:val="16"/>
        </w:rPr>
        <w:t xml:space="preserve"> Attīstības komiteja (</w:t>
      </w:r>
      <w:r w:rsidRPr="00AA10A3">
        <w:rPr>
          <w:i/>
          <w:sz w:val="16"/>
          <w:szCs w:val="16"/>
        </w:rPr>
        <w:t>Development Committee</w:t>
      </w:r>
      <w:r w:rsidRPr="00AA10A3">
        <w:rPr>
          <w:sz w:val="16"/>
          <w:szCs w:val="16"/>
        </w:rPr>
        <w:t xml:space="preserve"> – DC) ir WBG/</w:t>
      </w:r>
      <w:r>
        <w:rPr>
          <w:sz w:val="16"/>
          <w:szCs w:val="16"/>
        </w:rPr>
        <w:t>IMF</w:t>
      </w:r>
      <w:r w:rsidRPr="00AA10A3">
        <w:rPr>
          <w:sz w:val="16"/>
          <w:szCs w:val="16"/>
        </w:rPr>
        <w:t xml:space="preserve"> ministru līmeņa starpvaldību forums, kura mandāts ir sniegt rekomendāciju WBG/</w:t>
      </w:r>
      <w:r w:rsidRPr="00CD4B1B">
        <w:rPr>
          <w:sz w:val="16"/>
          <w:szCs w:val="16"/>
        </w:rPr>
        <w:t xml:space="preserve"> </w:t>
      </w:r>
      <w:r>
        <w:rPr>
          <w:sz w:val="16"/>
          <w:szCs w:val="16"/>
        </w:rPr>
        <w:t>IMF</w:t>
      </w:r>
      <w:r w:rsidRPr="00AA10A3" w:rsidDel="00CD4B1B">
        <w:rPr>
          <w:sz w:val="16"/>
          <w:szCs w:val="16"/>
        </w:rPr>
        <w:t xml:space="preserve"> </w:t>
      </w:r>
      <w:r w:rsidRPr="00AA10A3">
        <w:rPr>
          <w:sz w:val="16"/>
          <w:szCs w:val="16"/>
        </w:rPr>
        <w:t xml:space="preserve"> pilnvarnieku valdei par būtiskajiem attīstības jautājumiem un nepieciešamo finansējumu ekonomiskās attīstības veicināšanai attīstības valstīs. DC sastāv no 25 locekļiem - finanšu vai attīstības ministriem, kas pārstāv WBG/</w:t>
      </w:r>
      <w:r w:rsidRPr="00CD4B1B">
        <w:rPr>
          <w:sz w:val="16"/>
          <w:szCs w:val="16"/>
        </w:rPr>
        <w:t xml:space="preserve"> </w:t>
      </w:r>
      <w:r>
        <w:rPr>
          <w:sz w:val="16"/>
          <w:szCs w:val="16"/>
        </w:rPr>
        <w:t>IMF</w:t>
      </w:r>
      <w:r w:rsidRPr="00AA10A3">
        <w:rPr>
          <w:sz w:val="16"/>
          <w:szCs w:val="16"/>
        </w:rPr>
        <w:t>, un DC sanāksmes notiek divas reizes gadā – WBG/</w:t>
      </w:r>
      <w:r w:rsidRPr="00CD4B1B">
        <w:rPr>
          <w:sz w:val="16"/>
          <w:szCs w:val="16"/>
        </w:rPr>
        <w:t xml:space="preserve"> </w:t>
      </w:r>
      <w:r>
        <w:rPr>
          <w:sz w:val="16"/>
          <w:szCs w:val="16"/>
        </w:rPr>
        <w:t>IMF</w:t>
      </w:r>
      <w:r w:rsidRPr="00AA10A3" w:rsidDel="00CD4B1B">
        <w:rPr>
          <w:sz w:val="16"/>
          <w:szCs w:val="16"/>
        </w:rPr>
        <w:t xml:space="preserve"> </w:t>
      </w:r>
      <w:r w:rsidRPr="00AA10A3">
        <w:rPr>
          <w:sz w:val="16"/>
          <w:szCs w:val="16"/>
        </w:rPr>
        <w:t>Pavasara un Gada sanāksmju formātā;</w:t>
      </w:r>
    </w:p>
  </w:footnote>
  <w:footnote w:id="32">
    <w:p w14:paraId="3737B56B" w14:textId="77777777" w:rsidR="0003607D" w:rsidRDefault="0003607D" w:rsidP="00AA10A3">
      <w:pPr>
        <w:pStyle w:val="FootnoteText"/>
        <w:jc w:val="both"/>
      </w:pPr>
      <w:r w:rsidRPr="00AA10A3">
        <w:rPr>
          <w:rStyle w:val="FootnoteReference"/>
          <w:sz w:val="16"/>
          <w:szCs w:val="16"/>
        </w:rPr>
        <w:footnoteRef/>
      </w:r>
      <w:r w:rsidRPr="00AA10A3">
        <w:rPr>
          <w:sz w:val="16"/>
          <w:szCs w:val="16"/>
        </w:rPr>
        <w:t xml:space="preserve"> </w:t>
      </w:r>
      <w:r w:rsidRPr="00AA10A3">
        <w:rPr>
          <w:i/>
          <w:sz w:val="16"/>
          <w:szCs w:val="16"/>
        </w:rPr>
        <w:t>Shareholding Review: Report to Governors at the Spring Meetings 2018;</w:t>
      </w:r>
    </w:p>
  </w:footnote>
  <w:footnote w:id="33">
    <w:p w14:paraId="6F37A668" w14:textId="77777777" w:rsidR="0003607D" w:rsidRPr="00C96A4E" w:rsidRDefault="0003607D" w:rsidP="00C96A4E">
      <w:pPr>
        <w:pStyle w:val="FootnoteText"/>
        <w:jc w:val="both"/>
        <w:rPr>
          <w:sz w:val="16"/>
          <w:szCs w:val="16"/>
        </w:rPr>
      </w:pPr>
      <w:r w:rsidRPr="00C96A4E">
        <w:rPr>
          <w:rStyle w:val="FootnoteReference"/>
          <w:sz w:val="16"/>
          <w:szCs w:val="16"/>
        </w:rPr>
        <w:footnoteRef/>
      </w:r>
      <w:r w:rsidRPr="00C96A4E">
        <w:rPr>
          <w:sz w:val="16"/>
          <w:szCs w:val="16"/>
        </w:rPr>
        <w:t xml:space="preserve"> Atbilstoši neatkarīgajam izvērtējumam, IBRD ekspozīcijas palielināšana, vēl vairāk samazinot esošo rādītāju pašu kapitāls pret aizdevumiem (</w:t>
      </w:r>
      <w:r w:rsidRPr="00C96A4E">
        <w:rPr>
          <w:i/>
          <w:sz w:val="16"/>
          <w:szCs w:val="16"/>
        </w:rPr>
        <w:t>Equity to Loan</w:t>
      </w:r>
      <w:r w:rsidRPr="00C96A4E">
        <w:rPr>
          <w:sz w:val="16"/>
          <w:szCs w:val="16"/>
        </w:rPr>
        <w:t xml:space="preserve"> </w:t>
      </w:r>
      <w:r w:rsidRPr="00C96A4E">
        <w:rPr>
          <w:i/>
          <w:sz w:val="16"/>
          <w:szCs w:val="16"/>
        </w:rPr>
        <w:t>ratio</w:t>
      </w:r>
      <w:r w:rsidRPr="00C96A4E">
        <w:rPr>
          <w:sz w:val="16"/>
          <w:szCs w:val="16"/>
        </w:rPr>
        <w:t xml:space="preserve"> - E/L)</w:t>
      </w:r>
      <w:r>
        <w:rPr>
          <w:sz w:val="16"/>
          <w:szCs w:val="16"/>
        </w:rPr>
        <w:t>,</w:t>
      </w:r>
      <w:r w:rsidRPr="00C96A4E">
        <w:rPr>
          <w:sz w:val="16"/>
          <w:szCs w:val="16"/>
        </w:rPr>
        <w:t xml:space="preserve"> nav iespējama (pēdējo divu gadu laikā tas samazināts no 23 uz 20 procentiem). Kapitāla pietiekamības ietvara pārskatīšana drīzāk palielinātu</w:t>
      </w:r>
      <w:r>
        <w:rPr>
          <w:sz w:val="16"/>
          <w:szCs w:val="16"/>
        </w:rPr>
        <w:t>,</w:t>
      </w:r>
      <w:r w:rsidRPr="00C96A4E">
        <w:rPr>
          <w:sz w:val="16"/>
          <w:szCs w:val="16"/>
        </w:rPr>
        <w:t xml:space="preserve"> nevis samazinātu kapitāla prasības</w:t>
      </w:r>
      <w:r>
        <w:rPr>
          <w:sz w:val="16"/>
          <w:szCs w:val="16"/>
        </w:rPr>
        <w:t>;</w:t>
      </w:r>
    </w:p>
  </w:footnote>
  <w:footnote w:id="34">
    <w:p w14:paraId="44F7CA22" w14:textId="01ED90F9" w:rsidR="0003607D" w:rsidRPr="00C96A4E" w:rsidRDefault="0003607D" w:rsidP="00C96A4E">
      <w:pPr>
        <w:pStyle w:val="FootnoteText"/>
        <w:jc w:val="both"/>
        <w:rPr>
          <w:sz w:val="16"/>
          <w:szCs w:val="16"/>
        </w:rPr>
      </w:pPr>
      <w:r w:rsidRPr="00C96A4E">
        <w:rPr>
          <w:rStyle w:val="FootnoteReference"/>
          <w:sz w:val="16"/>
          <w:szCs w:val="16"/>
        </w:rPr>
        <w:footnoteRef/>
      </w:r>
      <w:r w:rsidRPr="00C96A4E">
        <w:rPr>
          <w:sz w:val="16"/>
          <w:szCs w:val="16"/>
        </w:rPr>
        <w:t xml:space="preserve"> Paredzēts, ka ienākumi no aizdevumu cenu palielinājuma tiks pilnībā saglabāti IBRD (t.i., netiks iekļauti pārskaitījumos uz IDA trīs resursu papildināšanas periodus līdz IDA21 2028.gadā) un tādējādi uzlabos IBRD ieņēmumu pozīciju par aptuveni US</w:t>
      </w:r>
      <w:r w:rsidR="009E791D">
        <w:rPr>
          <w:sz w:val="16"/>
          <w:szCs w:val="16"/>
        </w:rPr>
        <w:t xml:space="preserve">D </w:t>
      </w:r>
      <w:r w:rsidRPr="00C96A4E">
        <w:rPr>
          <w:sz w:val="16"/>
          <w:szCs w:val="16"/>
        </w:rPr>
        <w:t>1.6 miljardiem līdz 2030.gadam;</w:t>
      </w:r>
    </w:p>
  </w:footnote>
  <w:footnote w:id="35">
    <w:p w14:paraId="711258FC" w14:textId="45C89E93" w:rsidR="0003607D" w:rsidRPr="00C96A4E" w:rsidRDefault="0003607D" w:rsidP="00C96A4E">
      <w:pPr>
        <w:pStyle w:val="FootnoteText"/>
        <w:jc w:val="both"/>
        <w:rPr>
          <w:sz w:val="16"/>
          <w:szCs w:val="16"/>
        </w:rPr>
      </w:pPr>
      <w:r w:rsidRPr="00C96A4E">
        <w:rPr>
          <w:rStyle w:val="FootnoteReference"/>
          <w:sz w:val="16"/>
          <w:szCs w:val="16"/>
        </w:rPr>
        <w:footnoteRef/>
      </w:r>
      <w:r w:rsidRPr="00C96A4E">
        <w:rPr>
          <w:sz w:val="16"/>
          <w:szCs w:val="16"/>
        </w:rPr>
        <w:t xml:space="preserve"> IDA18 formula paredz iespēju veikt lielākus pārskaitījumus uz IDA, kad IBRD ir labāka finanšu pozīcija un attiecīgi samazināt pārskaitījumus, kad IBRD ieņēmumi ir mazāki, tādējādi piemērojot IDA18 formulu arī turpmākiem IBRD pārskaitījumiem uz IDA, tiks nodrošināti pārskaitījumi US</w:t>
      </w:r>
      <w:r w:rsidR="009E791D">
        <w:rPr>
          <w:sz w:val="16"/>
          <w:szCs w:val="16"/>
        </w:rPr>
        <w:t xml:space="preserve">D </w:t>
      </w:r>
      <w:r w:rsidRPr="00C96A4E">
        <w:rPr>
          <w:sz w:val="16"/>
          <w:szCs w:val="16"/>
        </w:rPr>
        <w:t>7-8 miljardu apmērā līdz 2030.gadam, kas ir pieaugums par US</w:t>
      </w:r>
      <w:r w:rsidR="009E791D">
        <w:rPr>
          <w:sz w:val="16"/>
          <w:szCs w:val="16"/>
        </w:rPr>
        <w:t xml:space="preserve">D </w:t>
      </w:r>
      <w:r w:rsidRPr="00C96A4E">
        <w:rPr>
          <w:sz w:val="16"/>
          <w:szCs w:val="16"/>
        </w:rPr>
        <w:t>102 miljardiem;</w:t>
      </w:r>
    </w:p>
  </w:footnote>
  <w:footnote w:id="36">
    <w:p w14:paraId="67ECA532" w14:textId="23697163" w:rsidR="0003607D" w:rsidRPr="00C96A4E" w:rsidRDefault="0003607D" w:rsidP="00C96A4E">
      <w:pPr>
        <w:pStyle w:val="FootnoteText"/>
        <w:jc w:val="both"/>
        <w:rPr>
          <w:sz w:val="16"/>
          <w:szCs w:val="16"/>
        </w:rPr>
      </w:pPr>
      <w:r w:rsidRPr="00C96A4E">
        <w:rPr>
          <w:rStyle w:val="FootnoteReference"/>
          <w:sz w:val="16"/>
          <w:szCs w:val="16"/>
        </w:rPr>
        <w:footnoteRef/>
      </w:r>
      <w:r w:rsidRPr="00C96A4E">
        <w:rPr>
          <w:sz w:val="16"/>
          <w:szCs w:val="16"/>
        </w:rPr>
        <w:t xml:space="preserve"> IBRD kapitāla pakotnes īstenošanai būs nepieciešams papildus administratīvais budžets aptuveni US</w:t>
      </w:r>
      <w:r w:rsidR="009E791D">
        <w:rPr>
          <w:sz w:val="16"/>
          <w:szCs w:val="16"/>
        </w:rPr>
        <w:t xml:space="preserve">D </w:t>
      </w:r>
      <w:r w:rsidRPr="00C96A4E">
        <w:rPr>
          <w:sz w:val="16"/>
          <w:szCs w:val="16"/>
        </w:rPr>
        <w:t>3.4 miljardu apmērā līdz 2030.gadam. Tomēr bruto izmaksas tiks daļēji kompensētas ar US</w:t>
      </w:r>
      <w:r w:rsidR="009E791D">
        <w:rPr>
          <w:sz w:val="16"/>
          <w:szCs w:val="16"/>
        </w:rPr>
        <w:t xml:space="preserve">D </w:t>
      </w:r>
      <w:r w:rsidRPr="00C96A4E">
        <w:rPr>
          <w:sz w:val="16"/>
          <w:szCs w:val="16"/>
        </w:rPr>
        <w:t>1.1 miljardiem no apjomradītiem ietaupījumiem un izmaksu ietaupījumiem, samazinot neto papildu budžeta vajadzību kopumā par aptuveni US</w:t>
      </w:r>
      <w:r w:rsidR="009E791D">
        <w:rPr>
          <w:sz w:val="16"/>
          <w:szCs w:val="16"/>
        </w:rPr>
        <w:t xml:space="preserve">D </w:t>
      </w:r>
      <w:r w:rsidRPr="00C96A4E">
        <w:rPr>
          <w:sz w:val="16"/>
          <w:szCs w:val="16"/>
        </w:rPr>
        <w:t>2.2 miljardiem līdz 2030.gadam. Savukārt, īstenojot pasākumus, kas saistīti ar WBG atalgojuma metodoloģijas, korporatīvo iepirkumu, nekustamā īpašuma vajadzību pārskatīšanu, administratīvā sloga samazināšanu un citiem pasākumiem, līdz 2030.gadam tiks kopumā ietaupīti aptuveni US</w:t>
      </w:r>
      <w:r w:rsidR="009E791D">
        <w:rPr>
          <w:sz w:val="16"/>
          <w:szCs w:val="16"/>
        </w:rPr>
        <w:t xml:space="preserve">D </w:t>
      </w:r>
      <w:r w:rsidRPr="00C96A4E">
        <w:rPr>
          <w:sz w:val="16"/>
          <w:szCs w:val="16"/>
        </w:rPr>
        <w:t>400 miljoni;</w:t>
      </w:r>
    </w:p>
  </w:footnote>
  <w:footnote w:id="37">
    <w:p w14:paraId="7C8A4D7F" w14:textId="61FB07B5" w:rsidR="0003607D" w:rsidRPr="00C96A4E" w:rsidRDefault="0003607D" w:rsidP="00C96A4E">
      <w:pPr>
        <w:pStyle w:val="FootnoteText"/>
        <w:jc w:val="both"/>
        <w:rPr>
          <w:sz w:val="16"/>
          <w:szCs w:val="16"/>
        </w:rPr>
      </w:pPr>
      <w:r w:rsidRPr="00C96A4E">
        <w:rPr>
          <w:rStyle w:val="FootnoteReference"/>
          <w:sz w:val="16"/>
          <w:szCs w:val="16"/>
        </w:rPr>
        <w:footnoteRef/>
      </w:r>
      <w:r w:rsidRPr="00C96A4E">
        <w:rPr>
          <w:sz w:val="16"/>
          <w:szCs w:val="16"/>
        </w:rPr>
        <w:t xml:space="preserve"> Atbilstoši IBRD Statūtu 2.panta 5.daļai, apmaksātais kapitāls sastāda 20 procentus, pārējie 80 procenti ir kapitāls</w:t>
      </w:r>
      <w:r>
        <w:rPr>
          <w:sz w:val="16"/>
          <w:szCs w:val="16"/>
        </w:rPr>
        <w:t xml:space="preserve"> uz pieprasījumu</w:t>
      </w:r>
      <w:r w:rsidRPr="00C96A4E">
        <w:rPr>
          <w:sz w:val="16"/>
          <w:szCs w:val="16"/>
        </w:rPr>
        <w:t>;</w:t>
      </w:r>
    </w:p>
  </w:footnote>
  <w:footnote w:id="38">
    <w:p w14:paraId="60CBF546" w14:textId="77777777" w:rsidR="0003607D" w:rsidRDefault="0003607D" w:rsidP="00C96A4E">
      <w:pPr>
        <w:pStyle w:val="FootnoteText"/>
        <w:jc w:val="both"/>
      </w:pPr>
      <w:r w:rsidRPr="00C96A4E">
        <w:rPr>
          <w:rStyle w:val="FootnoteReference"/>
          <w:sz w:val="16"/>
          <w:szCs w:val="16"/>
        </w:rPr>
        <w:footnoteRef/>
      </w:r>
      <w:r w:rsidRPr="00C96A4E">
        <w:rPr>
          <w:sz w:val="16"/>
          <w:szCs w:val="16"/>
        </w:rPr>
        <w:t xml:space="preserve"> 245,773 no jauna emitētas daļas un 22,170 jau esošās, bet nepiešķirtās daļas;</w:t>
      </w:r>
    </w:p>
  </w:footnote>
  <w:footnote w:id="39">
    <w:p w14:paraId="0B8D6D41" w14:textId="74FF3357" w:rsidR="0003607D" w:rsidRPr="00AD014E" w:rsidRDefault="0003607D" w:rsidP="00C80ED4">
      <w:pPr>
        <w:pStyle w:val="FootnoteText"/>
        <w:jc w:val="both"/>
        <w:rPr>
          <w:sz w:val="16"/>
          <w:szCs w:val="16"/>
        </w:rPr>
      </w:pPr>
      <w:r w:rsidRPr="00AD014E">
        <w:rPr>
          <w:rStyle w:val="FootnoteReference"/>
          <w:sz w:val="16"/>
          <w:szCs w:val="16"/>
        </w:rPr>
        <w:footnoteRef/>
      </w:r>
      <w:r w:rsidRPr="00AD014E">
        <w:rPr>
          <w:sz w:val="16"/>
          <w:szCs w:val="16"/>
        </w:rPr>
        <w:t xml:space="preserve"> Kopš 2017.gada 90 procenti no IFC kopējā kapitāla (US</w:t>
      </w:r>
      <w:r w:rsidR="009E791D">
        <w:rPr>
          <w:sz w:val="16"/>
          <w:szCs w:val="16"/>
        </w:rPr>
        <w:t xml:space="preserve">D </w:t>
      </w:r>
      <w:r w:rsidRPr="00AD014E">
        <w:rPr>
          <w:sz w:val="16"/>
          <w:szCs w:val="16"/>
        </w:rPr>
        <w:t>25.05 miljardi) sastāv no nesadalītās peļņas (US</w:t>
      </w:r>
      <w:r w:rsidR="009E791D">
        <w:rPr>
          <w:sz w:val="16"/>
          <w:szCs w:val="16"/>
        </w:rPr>
        <w:t xml:space="preserve">D </w:t>
      </w:r>
      <w:r w:rsidRPr="00AD014E">
        <w:rPr>
          <w:sz w:val="16"/>
          <w:szCs w:val="16"/>
        </w:rPr>
        <w:t>22.03 miljardi), savukārt apmaksāta</w:t>
      </w:r>
      <w:r>
        <w:rPr>
          <w:sz w:val="16"/>
          <w:szCs w:val="16"/>
        </w:rPr>
        <w:t>is kapitāls ir US</w:t>
      </w:r>
      <w:r w:rsidR="009E791D">
        <w:rPr>
          <w:sz w:val="16"/>
          <w:szCs w:val="16"/>
        </w:rPr>
        <w:t xml:space="preserve">D </w:t>
      </w:r>
      <w:r>
        <w:rPr>
          <w:sz w:val="16"/>
          <w:szCs w:val="16"/>
        </w:rPr>
        <w:t>2.57 miljardi;</w:t>
      </w:r>
    </w:p>
  </w:footnote>
  <w:footnote w:id="40">
    <w:p w14:paraId="4BA4FC87" w14:textId="77777777" w:rsidR="0003607D" w:rsidRPr="00AD014E" w:rsidRDefault="0003607D" w:rsidP="0090386E">
      <w:pPr>
        <w:pStyle w:val="FootnoteText"/>
        <w:jc w:val="both"/>
        <w:rPr>
          <w:sz w:val="16"/>
          <w:szCs w:val="16"/>
        </w:rPr>
      </w:pPr>
      <w:r w:rsidRPr="00AD014E">
        <w:rPr>
          <w:rStyle w:val="FootnoteReference"/>
          <w:sz w:val="16"/>
          <w:szCs w:val="16"/>
        </w:rPr>
        <w:footnoteRef/>
      </w:r>
      <w:r w:rsidRPr="00AD014E">
        <w:rPr>
          <w:sz w:val="16"/>
          <w:szCs w:val="16"/>
        </w:rPr>
        <w:t xml:space="preserve"> ASV vēlas harmonizēt savu akciju sadalījumu IBRD un IFC, tāpēc neplāno piedalīties IFC kapitāla palielināšanā, tādējādi piedāvātie posmi IFC kapitāla palielināšanai ir apvienoti ar rezolūciju grozīt IFC Statūtus, lai palielinātu balsstiesību skaitu, kas nepieciešams kapitāla palielināšanai</w:t>
      </w:r>
      <w:r>
        <w:rPr>
          <w:sz w:val="16"/>
          <w:szCs w:val="16"/>
        </w:rPr>
        <w:t>,</w:t>
      </w:r>
      <w:r w:rsidRPr="00AD014E">
        <w:rPr>
          <w:sz w:val="16"/>
          <w:szCs w:val="16"/>
        </w:rPr>
        <w:t xml:space="preserve"> no 80 procentiem uz 85 procentiem;</w:t>
      </w:r>
    </w:p>
  </w:footnote>
  <w:footnote w:id="41">
    <w:p w14:paraId="13789D70" w14:textId="64F4692E" w:rsidR="0003607D" w:rsidRPr="00AD014E" w:rsidRDefault="0003607D" w:rsidP="009805B1">
      <w:pPr>
        <w:pStyle w:val="FootnoteText"/>
        <w:jc w:val="both"/>
        <w:rPr>
          <w:sz w:val="16"/>
          <w:szCs w:val="16"/>
        </w:rPr>
      </w:pPr>
      <w:r w:rsidRPr="00AD014E">
        <w:rPr>
          <w:rStyle w:val="FootnoteReference"/>
          <w:sz w:val="16"/>
          <w:szCs w:val="16"/>
        </w:rPr>
        <w:footnoteRef/>
      </w:r>
      <w:r w:rsidRPr="00AD014E">
        <w:rPr>
          <w:sz w:val="16"/>
          <w:szCs w:val="16"/>
        </w:rPr>
        <w:t xml:space="preserve"> IFC saglabās aptuveni US</w:t>
      </w:r>
      <w:r w:rsidR="009E791D">
        <w:rPr>
          <w:sz w:val="16"/>
          <w:szCs w:val="16"/>
        </w:rPr>
        <w:t xml:space="preserve">D </w:t>
      </w:r>
      <w:r w:rsidRPr="00AD014E">
        <w:rPr>
          <w:sz w:val="16"/>
          <w:szCs w:val="16"/>
        </w:rPr>
        <w:t xml:space="preserve">5 miljardus nesadalītajā peļņā kā buferi iepējamai zaudējumu absorbcijai nākotnē; </w:t>
      </w:r>
    </w:p>
  </w:footnote>
  <w:footnote w:id="42">
    <w:p w14:paraId="153C95BA" w14:textId="77777777" w:rsidR="0003607D" w:rsidRPr="00AD014E" w:rsidRDefault="0003607D" w:rsidP="00433E9C">
      <w:pPr>
        <w:pStyle w:val="FootnoteText"/>
        <w:jc w:val="both"/>
        <w:rPr>
          <w:sz w:val="16"/>
          <w:szCs w:val="16"/>
        </w:rPr>
      </w:pPr>
      <w:r w:rsidRPr="00AD014E">
        <w:rPr>
          <w:rStyle w:val="FootnoteReference"/>
          <w:sz w:val="16"/>
          <w:szCs w:val="16"/>
        </w:rPr>
        <w:footnoteRef/>
      </w:r>
      <w:r w:rsidRPr="00AD014E">
        <w:rPr>
          <w:sz w:val="16"/>
          <w:szCs w:val="16"/>
        </w:rPr>
        <w:t xml:space="preserve"> Pēc kapitāla palielināšanas 2010.gadā Latvijas akciju sadalījums IFC (0,08) ir lielāks nekā IBRD (0,077), līdz ar to Latvija nepiedalīsies IFC selektīvā kapitāla palielināšanā (SCI);</w:t>
      </w:r>
    </w:p>
  </w:footnote>
  <w:footnote w:id="43">
    <w:p w14:paraId="5048B159" w14:textId="77777777" w:rsidR="0003607D" w:rsidRPr="00405C07" w:rsidRDefault="0003607D" w:rsidP="00C80ED4">
      <w:pPr>
        <w:pStyle w:val="FootnoteText"/>
        <w:jc w:val="both"/>
      </w:pPr>
      <w:r w:rsidRPr="00AD014E">
        <w:rPr>
          <w:rStyle w:val="FootnoteReference"/>
          <w:sz w:val="16"/>
          <w:szCs w:val="16"/>
        </w:rPr>
        <w:footnoteRef/>
      </w:r>
      <w:r w:rsidRPr="00AD014E">
        <w:rPr>
          <w:sz w:val="16"/>
          <w:szCs w:val="16"/>
        </w:rPr>
        <w:t xml:space="preserve"> IFC GCI tiks emitētas 4.58 miljoni jaunas akcijas, tai skaitā 970,559 akcijas (jeb 21.19 procenti no kopējā jauno akciju skaita), kas atbilst lielākā akcionāra akciju skaitam, taču, ņemot vērā, ka lielākais akcionārs nepiedalīsies GCI, šīs akcijas tiks proporcionāli sadalītas pārējiem dalībniekiem, un tādējādi lielākā akcionāra IFC akciju daļa samazināsies līdz 17.32 procentiem (ar balsstiesībām 16.39 procenti);</w:t>
      </w:r>
    </w:p>
  </w:footnote>
  <w:footnote w:id="44">
    <w:p w14:paraId="0FC886B1" w14:textId="77777777" w:rsidR="0003607D" w:rsidRDefault="0003607D" w:rsidP="00C80ED4">
      <w:pPr>
        <w:pStyle w:val="FootnoteText"/>
        <w:jc w:val="both"/>
      </w:pPr>
      <w:r w:rsidRPr="00EB5D94">
        <w:rPr>
          <w:rStyle w:val="FootnoteReference"/>
          <w:sz w:val="16"/>
        </w:rPr>
        <w:footnoteRef/>
      </w:r>
      <w:r w:rsidRPr="00EB5D94">
        <w:rPr>
          <w:sz w:val="16"/>
        </w:rPr>
        <w:t xml:space="preserve"> </w:t>
      </w:r>
      <w:r w:rsidRPr="00EB5D94">
        <w:rPr>
          <w:i/>
          <w:sz w:val="16"/>
        </w:rPr>
        <w:t xml:space="preserve">Financial Sustainability Framework </w:t>
      </w:r>
      <w:r w:rsidRPr="00EB5D94">
        <w:rPr>
          <w:sz w:val="16"/>
        </w:rPr>
        <w:t>mērķis ir nodrošināt, ka IBRD aizdevumi ir automātiski salāgoti ar ilgtspējīgu kapacitāti ilgtermiņā (paredzot, ka tālāka kapitāla palielināšana nebūs jāveic un pārskaitījumi uz IDA tiks veikti, balstoties uz IDA18 formulu) un kapitāls tiek izmantots efektīvi, saglabājot elastību reaģēšanai uz krīzes situācijām;</w:t>
      </w:r>
    </w:p>
  </w:footnote>
  <w:footnote w:id="45">
    <w:p w14:paraId="1AE3E23C" w14:textId="77777777" w:rsidR="0003607D" w:rsidRPr="006A1904" w:rsidRDefault="0003607D" w:rsidP="006A1904">
      <w:pPr>
        <w:pStyle w:val="FootnoteText"/>
        <w:jc w:val="both"/>
        <w:rPr>
          <w:sz w:val="16"/>
          <w:szCs w:val="16"/>
        </w:rPr>
      </w:pPr>
      <w:r w:rsidRPr="006A1904">
        <w:rPr>
          <w:rStyle w:val="FootnoteReference"/>
          <w:sz w:val="16"/>
          <w:szCs w:val="16"/>
        </w:rPr>
        <w:footnoteRef/>
      </w:r>
      <w:r w:rsidRPr="006A1904">
        <w:rPr>
          <w:sz w:val="16"/>
          <w:szCs w:val="16"/>
        </w:rPr>
        <w:t xml:space="preserve"> Tai skaitā atbilstoši Latvijas attīstības sadarbības politikas pamatnostādnēm 2016.-2020.gadam - Latvijas prioritārās jomas attīstības sadarbībā ir (1) publiskās pārvaldes attīstība un spēju stiprināšana, (2) uzņēmējdarbības attīstība un eksportspējas stiprināšana, (3) konfliktu novēršana un risināšana, miers un drošība, (4) demokrātiskas līdzdalības veicināšana un pilsoniskās sabiedrības attīstība, (5) izglītība un sabiedrības izpratnes veicināšana par attīstības sadarbību;</w:t>
      </w:r>
    </w:p>
  </w:footnote>
  <w:footnote w:id="46">
    <w:p w14:paraId="336AD889" w14:textId="77777777" w:rsidR="0003607D" w:rsidRPr="006A1904" w:rsidRDefault="0003607D" w:rsidP="006A1904">
      <w:pPr>
        <w:jc w:val="both"/>
        <w:rPr>
          <w:sz w:val="16"/>
          <w:szCs w:val="16"/>
        </w:rPr>
      </w:pPr>
      <w:r w:rsidRPr="006A1904">
        <w:rPr>
          <w:rStyle w:val="FootnoteReference"/>
          <w:sz w:val="16"/>
          <w:szCs w:val="16"/>
        </w:rPr>
        <w:footnoteRef/>
      </w:r>
      <w:r w:rsidRPr="006A1904">
        <w:rPr>
          <w:sz w:val="16"/>
          <w:szCs w:val="16"/>
        </w:rPr>
        <w:t xml:space="preserve"> EDGE sertifikācija ir pasaulē vadošā novērtēšanas metodoloģija un biznesa sertifikācijas standarts dzimumu līdztiesības jomā. EDGE sertifikācija ir izveidota, lai palīdzētu organizācijām ne tikai radīt optimālus darba apstākļus sievietēm un vīriešiem, bet arī gūt no tā priekšrocības. EDGE sertifikācija strādā ar vairāk kā 170 organizācijām vairāk kā 48 valstīs un 23 industrijās; informācija pieejama : </w:t>
      </w:r>
      <w:hyperlink r:id="rId11" w:history="1">
        <w:r w:rsidRPr="006A1904">
          <w:rPr>
            <w:rStyle w:val="Hyperlink"/>
            <w:sz w:val="16"/>
            <w:szCs w:val="16"/>
          </w:rPr>
          <w:t>http://edge-cert.org/</w:t>
        </w:r>
      </w:hyperlink>
      <w:r w:rsidRPr="006A1904">
        <w:rPr>
          <w:rStyle w:val="Hyperlink"/>
          <w:sz w:val="16"/>
          <w:szCs w:val="16"/>
        </w:rPr>
        <w:t>;</w:t>
      </w:r>
    </w:p>
  </w:footnote>
  <w:footnote w:id="47">
    <w:p w14:paraId="2501D736" w14:textId="77777777" w:rsidR="0003607D" w:rsidRPr="006A1904" w:rsidRDefault="0003607D" w:rsidP="006A1904">
      <w:pPr>
        <w:pStyle w:val="FootnoteText"/>
        <w:jc w:val="both"/>
        <w:rPr>
          <w:sz w:val="16"/>
          <w:szCs w:val="16"/>
        </w:rPr>
      </w:pPr>
      <w:r w:rsidRPr="006A1904">
        <w:rPr>
          <w:rStyle w:val="FootnoteReference"/>
          <w:sz w:val="16"/>
          <w:szCs w:val="16"/>
        </w:rPr>
        <w:footnoteRef/>
      </w:r>
      <w:r w:rsidRPr="006A1904">
        <w:rPr>
          <w:sz w:val="16"/>
          <w:szCs w:val="16"/>
        </w:rPr>
        <w:t xml:space="preserve"> Latvija kļuva par IBRD un IDA dalībvalsti 1992. gada 11.augustā,  IFC un MIGA 1993.gadā, un ICSID - 1997.gadā;</w:t>
      </w:r>
    </w:p>
  </w:footnote>
  <w:footnote w:id="48">
    <w:p w14:paraId="52AA0B7B" w14:textId="77777777" w:rsidR="0003607D" w:rsidRPr="006A1904" w:rsidRDefault="0003607D" w:rsidP="006A1904">
      <w:pPr>
        <w:pStyle w:val="FootnoteText"/>
        <w:jc w:val="both"/>
        <w:rPr>
          <w:sz w:val="16"/>
          <w:szCs w:val="16"/>
        </w:rPr>
      </w:pPr>
      <w:r w:rsidRPr="006A1904">
        <w:rPr>
          <w:rStyle w:val="FootnoteReference"/>
          <w:sz w:val="16"/>
          <w:szCs w:val="16"/>
        </w:rPr>
        <w:footnoteRef/>
      </w:r>
      <w:r w:rsidRPr="006A1904">
        <w:rPr>
          <w:sz w:val="16"/>
          <w:szCs w:val="16"/>
        </w:rPr>
        <w:t xml:space="preserve"> </w:t>
      </w:r>
      <w:r w:rsidRPr="006A1904">
        <w:rPr>
          <w:color w:val="212121"/>
          <w:sz w:val="16"/>
          <w:szCs w:val="16"/>
          <w:shd w:val="clear" w:color="auto" w:fill="FFFFFF"/>
        </w:rPr>
        <w:t xml:space="preserve">Informācija par WBG Latvijas projektiem pieejama šeit: </w:t>
      </w:r>
      <w:hyperlink r:id="rId12" w:history="1">
        <w:r w:rsidRPr="006A1904">
          <w:rPr>
            <w:rStyle w:val="Hyperlink"/>
            <w:sz w:val="16"/>
            <w:szCs w:val="16"/>
            <w:shd w:val="clear" w:color="auto" w:fill="FFFFFF"/>
          </w:rPr>
          <w:t>http://projects.worldbank.org/search?lang=en&amp;searchTerm=Latvia</w:t>
        </w:r>
      </w:hyperlink>
      <w:r w:rsidRPr="006A1904">
        <w:rPr>
          <w:color w:val="212121"/>
          <w:sz w:val="16"/>
          <w:szCs w:val="16"/>
          <w:shd w:val="clear" w:color="auto" w:fill="FFFFFF"/>
        </w:rPr>
        <w:t xml:space="preserve"> </w:t>
      </w:r>
    </w:p>
  </w:footnote>
  <w:footnote w:id="49">
    <w:p w14:paraId="608757DB" w14:textId="6F773974" w:rsidR="0003607D" w:rsidRPr="002C6902" w:rsidRDefault="0003607D" w:rsidP="006A1904">
      <w:pPr>
        <w:pStyle w:val="FootnoteText"/>
        <w:jc w:val="both"/>
        <w:rPr>
          <w:sz w:val="18"/>
        </w:rPr>
      </w:pPr>
      <w:r w:rsidRPr="006A1904">
        <w:rPr>
          <w:rStyle w:val="FootnoteReference"/>
          <w:sz w:val="16"/>
          <w:szCs w:val="16"/>
        </w:rPr>
        <w:footnoteRef/>
      </w:r>
      <w:r w:rsidRPr="006A1904">
        <w:rPr>
          <w:sz w:val="16"/>
          <w:szCs w:val="16"/>
        </w:rPr>
        <w:t xml:space="preserve"> 2017.gadā US</w:t>
      </w:r>
      <w:r w:rsidR="009E791D">
        <w:rPr>
          <w:sz w:val="16"/>
          <w:szCs w:val="16"/>
        </w:rPr>
        <w:t xml:space="preserve">D </w:t>
      </w:r>
      <w:r w:rsidRPr="006A1904">
        <w:rPr>
          <w:sz w:val="16"/>
          <w:szCs w:val="16"/>
        </w:rPr>
        <w:t>1.5 miljonu apmērā, 2016.gadā US</w:t>
      </w:r>
      <w:r w:rsidR="009E791D">
        <w:rPr>
          <w:sz w:val="16"/>
          <w:szCs w:val="16"/>
        </w:rPr>
        <w:t xml:space="preserve">D </w:t>
      </w:r>
      <w:r w:rsidRPr="006A1904">
        <w:rPr>
          <w:sz w:val="16"/>
          <w:szCs w:val="16"/>
        </w:rPr>
        <w:t>5.3 miljonu apmērā, 2015.gadā US</w:t>
      </w:r>
      <w:r w:rsidR="009E791D">
        <w:rPr>
          <w:sz w:val="16"/>
          <w:szCs w:val="16"/>
        </w:rPr>
        <w:t xml:space="preserve">D </w:t>
      </w:r>
      <w:r w:rsidRPr="006A1904">
        <w:rPr>
          <w:sz w:val="16"/>
          <w:szCs w:val="16"/>
        </w:rPr>
        <w:t>0.3 miljonu apmērā;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4586" w14:textId="77777777" w:rsidR="0003607D" w:rsidRDefault="0003607D" w:rsidP="000119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7CB"/>
    <w:multiLevelType w:val="hybridMultilevel"/>
    <w:tmpl w:val="2160B840"/>
    <w:lvl w:ilvl="0" w:tplc="207473DC">
      <w:start w:val="1"/>
      <w:numFmt w:val="decimal"/>
      <w:lvlText w:val="%1."/>
      <w:lvlJc w:val="left"/>
      <w:pPr>
        <w:ind w:left="360" w:hanging="360"/>
      </w:pPr>
      <w:rPr>
        <w:rFonts w:hint="default"/>
        <w:sz w:val="1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345383"/>
    <w:multiLevelType w:val="hybridMultilevel"/>
    <w:tmpl w:val="C0422DD6"/>
    <w:lvl w:ilvl="0" w:tplc="C390F44C">
      <w:start w:val="2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56110"/>
    <w:multiLevelType w:val="hybridMultilevel"/>
    <w:tmpl w:val="A5A2AD12"/>
    <w:lvl w:ilvl="0" w:tplc="92765CA0">
      <w:start w:val="1"/>
      <w:numFmt w:val="decimal"/>
      <w:lvlText w:val="%1."/>
      <w:lvlJc w:val="left"/>
      <w:pPr>
        <w:ind w:left="717" w:hanging="360"/>
      </w:pPr>
      <w:rPr>
        <w:rFonts w:ascii="Times New Roman" w:hAnsi="Times New Roman" w:cs="Times New Roman" w:hint="default"/>
        <w:sz w:val="24"/>
        <w:szCs w:val="24"/>
      </w:rPr>
    </w:lvl>
    <w:lvl w:ilvl="1" w:tplc="D49C26BA">
      <w:start w:val="1"/>
      <w:numFmt w:val="decimal"/>
      <w:lvlText w:val="%2)"/>
      <w:lvlJc w:val="left"/>
      <w:pPr>
        <w:ind w:left="1437" w:hanging="360"/>
      </w:pPr>
      <w:rPr>
        <w:rFonts w:ascii="Times New Roman" w:hAnsi="Times New Roman" w:cs="Times New Roman" w:hint="default"/>
        <w:sz w:val="24"/>
        <w:szCs w:val="24"/>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376444C"/>
    <w:multiLevelType w:val="hybridMultilevel"/>
    <w:tmpl w:val="BAD04C08"/>
    <w:lvl w:ilvl="0" w:tplc="04260001">
      <w:start w:val="1"/>
      <w:numFmt w:val="bullet"/>
      <w:lvlText w:val=""/>
      <w:lvlJc w:val="left"/>
      <w:pPr>
        <w:ind w:left="567" w:hanging="360"/>
      </w:pPr>
      <w:rPr>
        <w:rFonts w:ascii="Symbol" w:hAnsi="Symbol" w:hint="default"/>
      </w:rPr>
    </w:lvl>
    <w:lvl w:ilvl="1" w:tplc="04260003" w:tentative="1">
      <w:start w:val="1"/>
      <w:numFmt w:val="bullet"/>
      <w:lvlText w:val="o"/>
      <w:lvlJc w:val="left"/>
      <w:pPr>
        <w:ind w:left="1287" w:hanging="360"/>
      </w:pPr>
      <w:rPr>
        <w:rFonts w:ascii="Courier New" w:hAnsi="Courier New" w:cs="Courier New" w:hint="default"/>
      </w:rPr>
    </w:lvl>
    <w:lvl w:ilvl="2" w:tplc="04260005" w:tentative="1">
      <w:start w:val="1"/>
      <w:numFmt w:val="bullet"/>
      <w:lvlText w:val=""/>
      <w:lvlJc w:val="left"/>
      <w:pPr>
        <w:ind w:left="2007" w:hanging="360"/>
      </w:pPr>
      <w:rPr>
        <w:rFonts w:ascii="Wingdings" w:hAnsi="Wingdings" w:hint="default"/>
      </w:rPr>
    </w:lvl>
    <w:lvl w:ilvl="3" w:tplc="04260001" w:tentative="1">
      <w:start w:val="1"/>
      <w:numFmt w:val="bullet"/>
      <w:lvlText w:val=""/>
      <w:lvlJc w:val="left"/>
      <w:pPr>
        <w:ind w:left="2727" w:hanging="360"/>
      </w:pPr>
      <w:rPr>
        <w:rFonts w:ascii="Symbol" w:hAnsi="Symbol" w:hint="default"/>
      </w:rPr>
    </w:lvl>
    <w:lvl w:ilvl="4" w:tplc="04260003" w:tentative="1">
      <w:start w:val="1"/>
      <w:numFmt w:val="bullet"/>
      <w:lvlText w:val="o"/>
      <w:lvlJc w:val="left"/>
      <w:pPr>
        <w:ind w:left="3447" w:hanging="360"/>
      </w:pPr>
      <w:rPr>
        <w:rFonts w:ascii="Courier New" w:hAnsi="Courier New" w:cs="Courier New" w:hint="default"/>
      </w:rPr>
    </w:lvl>
    <w:lvl w:ilvl="5" w:tplc="04260005" w:tentative="1">
      <w:start w:val="1"/>
      <w:numFmt w:val="bullet"/>
      <w:lvlText w:val=""/>
      <w:lvlJc w:val="left"/>
      <w:pPr>
        <w:ind w:left="4167" w:hanging="360"/>
      </w:pPr>
      <w:rPr>
        <w:rFonts w:ascii="Wingdings" w:hAnsi="Wingdings" w:hint="default"/>
      </w:rPr>
    </w:lvl>
    <w:lvl w:ilvl="6" w:tplc="04260001" w:tentative="1">
      <w:start w:val="1"/>
      <w:numFmt w:val="bullet"/>
      <w:lvlText w:val=""/>
      <w:lvlJc w:val="left"/>
      <w:pPr>
        <w:ind w:left="4887" w:hanging="360"/>
      </w:pPr>
      <w:rPr>
        <w:rFonts w:ascii="Symbol" w:hAnsi="Symbol" w:hint="default"/>
      </w:rPr>
    </w:lvl>
    <w:lvl w:ilvl="7" w:tplc="04260003" w:tentative="1">
      <w:start w:val="1"/>
      <w:numFmt w:val="bullet"/>
      <w:lvlText w:val="o"/>
      <w:lvlJc w:val="left"/>
      <w:pPr>
        <w:ind w:left="5607" w:hanging="360"/>
      </w:pPr>
      <w:rPr>
        <w:rFonts w:ascii="Courier New" w:hAnsi="Courier New" w:cs="Courier New" w:hint="default"/>
      </w:rPr>
    </w:lvl>
    <w:lvl w:ilvl="8" w:tplc="04260005" w:tentative="1">
      <w:start w:val="1"/>
      <w:numFmt w:val="bullet"/>
      <w:lvlText w:val=""/>
      <w:lvlJc w:val="left"/>
      <w:pPr>
        <w:ind w:left="6327" w:hanging="360"/>
      </w:pPr>
      <w:rPr>
        <w:rFonts w:ascii="Wingdings" w:hAnsi="Wingdings" w:hint="default"/>
      </w:rPr>
    </w:lvl>
  </w:abstractNum>
  <w:abstractNum w:abstractNumId="4" w15:restartNumberingAfterBreak="0">
    <w:nsid w:val="19580014"/>
    <w:multiLevelType w:val="hybridMultilevel"/>
    <w:tmpl w:val="64A0D80E"/>
    <w:lvl w:ilvl="0" w:tplc="0AC2F71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A1906"/>
    <w:multiLevelType w:val="hybridMultilevel"/>
    <w:tmpl w:val="7662051A"/>
    <w:lvl w:ilvl="0" w:tplc="FFFFFFF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8AD6A5A0">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60CE"/>
    <w:multiLevelType w:val="hybridMultilevel"/>
    <w:tmpl w:val="1DA0E4A8"/>
    <w:lvl w:ilvl="0" w:tplc="04260001">
      <w:start w:val="1"/>
      <w:numFmt w:val="bullet"/>
      <w:lvlText w:val=""/>
      <w:lvlJc w:val="left"/>
      <w:pPr>
        <w:ind w:left="567" w:hanging="360"/>
      </w:pPr>
      <w:rPr>
        <w:rFonts w:ascii="Symbol" w:hAnsi="Symbol" w:hint="default"/>
      </w:rPr>
    </w:lvl>
    <w:lvl w:ilvl="1" w:tplc="04260003" w:tentative="1">
      <w:start w:val="1"/>
      <w:numFmt w:val="bullet"/>
      <w:lvlText w:val="o"/>
      <w:lvlJc w:val="left"/>
      <w:pPr>
        <w:ind w:left="1287" w:hanging="360"/>
      </w:pPr>
      <w:rPr>
        <w:rFonts w:ascii="Courier New" w:hAnsi="Courier New" w:cs="Courier New" w:hint="default"/>
      </w:rPr>
    </w:lvl>
    <w:lvl w:ilvl="2" w:tplc="04260005" w:tentative="1">
      <w:start w:val="1"/>
      <w:numFmt w:val="bullet"/>
      <w:lvlText w:val=""/>
      <w:lvlJc w:val="left"/>
      <w:pPr>
        <w:ind w:left="2007" w:hanging="360"/>
      </w:pPr>
      <w:rPr>
        <w:rFonts w:ascii="Wingdings" w:hAnsi="Wingdings" w:hint="default"/>
      </w:rPr>
    </w:lvl>
    <w:lvl w:ilvl="3" w:tplc="04260001" w:tentative="1">
      <w:start w:val="1"/>
      <w:numFmt w:val="bullet"/>
      <w:lvlText w:val=""/>
      <w:lvlJc w:val="left"/>
      <w:pPr>
        <w:ind w:left="2727" w:hanging="360"/>
      </w:pPr>
      <w:rPr>
        <w:rFonts w:ascii="Symbol" w:hAnsi="Symbol" w:hint="default"/>
      </w:rPr>
    </w:lvl>
    <w:lvl w:ilvl="4" w:tplc="04260003" w:tentative="1">
      <w:start w:val="1"/>
      <w:numFmt w:val="bullet"/>
      <w:lvlText w:val="o"/>
      <w:lvlJc w:val="left"/>
      <w:pPr>
        <w:ind w:left="3447" w:hanging="360"/>
      </w:pPr>
      <w:rPr>
        <w:rFonts w:ascii="Courier New" w:hAnsi="Courier New" w:cs="Courier New" w:hint="default"/>
      </w:rPr>
    </w:lvl>
    <w:lvl w:ilvl="5" w:tplc="04260005" w:tentative="1">
      <w:start w:val="1"/>
      <w:numFmt w:val="bullet"/>
      <w:lvlText w:val=""/>
      <w:lvlJc w:val="left"/>
      <w:pPr>
        <w:ind w:left="4167" w:hanging="360"/>
      </w:pPr>
      <w:rPr>
        <w:rFonts w:ascii="Wingdings" w:hAnsi="Wingdings" w:hint="default"/>
      </w:rPr>
    </w:lvl>
    <w:lvl w:ilvl="6" w:tplc="04260001" w:tentative="1">
      <w:start w:val="1"/>
      <w:numFmt w:val="bullet"/>
      <w:lvlText w:val=""/>
      <w:lvlJc w:val="left"/>
      <w:pPr>
        <w:ind w:left="4887" w:hanging="360"/>
      </w:pPr>
      <w:rPr>
        <w:rFonts w:ascii="Symbol" w:hAnsi="Symbol" w:hint="default"/>
      </w:rPr>
    </w:lvl>
    <w:lvl w:ilvl="7" w:tplc="04260003" w:tentative="1">
      <w:start w:val="1"/>
      <w:numFmt w:val="bullet"/>
      <w:lvlText w:val="o"/>
      <w:lvlJc w:val="left"/>
      <w:pPr>
        <w:ind w:left="5607" w:hanging="360"/>
      </w:pPr>
      <w:rPr>
        <w:rFonts w:ascii="Courier New" w:hAnsi="Courier New" w:cs="Courier New" w:hint="default"/>
      </w:rPr>
    </w:lvl>
    <w:lvl w:ilvl="8" w:tplc="04260005" w:tentative="1">
      <w:start w:val="1"/>
      <w:numFmt w:val="bullet"/>
      <w:lvlText w:val=""/>
      <w:lvlJc w:val="left"/>
      <w:pPr>
        <w:ind w:left="6327" w:hanging="360"/>
      </w:pPr>
      <w:rPr>
        <w:rFonts w:ascii="Wingdings" w:hAnsi="Wingdings" w:hint="default"/>
      </w:rPr>
    </w:lvl>
  </w:abstractNum>
  <w:abstractNum w:abstractNumId="7" w15:restartNumberingAfterBreak="0">
    <w:nsid w:val="43961BB5"/>
    <w:multiLevelType w:val="hybridMultilevel"/>
    <w:tmpl w:val="4F583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787773"/>
    <w:multiLevelType w:val="hybridMultilevel"/>
    <w:tmpl w:val="71DC7DA6"/>
    <w:lvl w:ilvl="0" w:tplc="D368CDCC">
      <w:start w:val="1"/>
      <w:numFmt w:val="decimal"/>
      <w:lvlText w:val="(%1)"/>
      <w:lvlJc w:val="left"/>
      <w:pPr>
        <w:ind w:left="420" w:hanging="42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3327D82"/>
    <w:multiLevelType w:val="hybridMultilevel"/>
    <w:tmpl w:val="773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67B4E"/>
    <w:multiLevelType w:val="hybridMultilevel"/>
    <w:tmpl w:val="53F69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AB5E08"/>
    <w:multiLevelType w:val="hybridMultilevel"/>
    <w:tmpl w:val="7AC2D40A"/>
    <w:lvl w:ilvl="0" w:tplc="70FA99A0">
      <w:start w:val="1"/>
      <w:numFmt w:val="decimal"/>
      <w:lvlText w:val="(%1)"/>
      <w:lvlJc w:val="left"/>
      <w:pPr>
        <w:ind w:left="360" w:hanging="360"/>
      </w:pPr>
      <w:rPr>
        <w:rFonts w:hint="default"/>
      </w:rPr>
    </w:lvl>
    <w:lvl w:ilvl="1" w:tplc="A9A6E194">
      <w:numFmt w:val="bullet"/>
      <w:lvlText w:val="-"/>
      <w:lvlJc w:val="left"/>
      <w:pPr>
        <w:ind w:left="1080" w:hanging="360"/>
      </w:pPr>
      <w:rPr>
        <w:rFonts w:ascii="Calibri" w:eastAsia="Calibri" w:hAnsi="Calibri"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9E86DFB"/>
    <w:multiLevelType w:val="hybridMultilevel"/>
    <w:tmpl w:val="FA88B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0A2650"/>
    <w:multiLevelType w:val="hybridMultilevel"/>
    <w:tmpl w:val="26BC824E"/>
    <w:lvl w:ilvl="0" w:tplc="FFFFFFFF">
      <w:start w:val="1"/>
      <w:numFmt w:val="decimal"/>
      <w:lvlText w:val="%1."/>
      <w:lvlJc w:val="left"/>
      <w:pPr>
        <w:ind w:left="720" w:hanging="360"/>
      </w:pPr>
      <w:rPr>
        <w:rFonts w:hint="default"/>
      </w:rPr>
    </w:lvl>
    <w:lvl w:ilvl="1" w:tplc="70FA99A0">
      <w:start w:val="1"/>
      <w:numFmt w:val="decimal"/>
      <w:lvlText w:val="(%2)"/>
      <w:lvlJc w:val="left"/>
      <w:pPr>
        <w:ind w:left="1440" w:hanging="360"/>
      </w:pPr>
      <w:rPr>
        <w:rFonts w:hint="default"/>
      </w:rPr>
    </w:lvl>
    <w:lvl w:ilvl="2" w:tplc="8AD6A5A0">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73DB"/>
    <w:multiLevelType w:val="hybridMultilevel"/>
    <w:tmpl w:val="C4E8A658"/>
    <w:lvl w:ilvl="0" w:tplc="FFFFFFF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3FF7BBF"/>
    <w:multiLevelType w:val="hybridMultilevel"/>
    <w:tmpl w:val="DA14CD82"/>
    <w:lvl w:ilvl="0" w:tplc="FFFFFFFF">
      <w:start w:val="1"/>
      <w:numFmt w:val="decimal"/>
      <w:lvlText w:val="%1."/>
      <w:lvlJc w:val="left"/>
      <w:pPr>
        <w:ind w:left="720" w:hanging="360"/>
      </w:pPr>
      <w:rPr>
        <w:rFonts w:hint="default"/>
      </w:rPr>
    </w:lvl>
    <w:lvl w:ilvl="1" w:tplc="4EB62236">
      <w:start w:val="1"/>
      <w:numFmt w:val="decimal"/>
      <w:lvlText w:val="%2)"/>
      <w:lvlJc w:val="left"/>
      <w:pPr>
        <w:ind w:left="1440" w:hanging="360"/>
      </w:pPr>
      <w:rPr>
        <w:rFonts w:hint="default"/>
      </w:rPr>
    </w:lvl>
    <w:lvl w:ilvl="2" w:tplc="8AD6A5A0">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131B3"/>
    <w:multiLevelType w:val="hybridMultilevel"/>
    <w:tmpl w:val="9B26A6CA"/>
    <w:lvl w:ilvl="0" w:tplc="015A5CAC">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FE12A58"/>
    <w:multiLevelType w:val="hybridMultilevel"/>
    <w:tmpl w:val="6E74BD12"/>
    <w:lvl w:ilvl="0" w:tplc="EC4223F2">
      <w:start w:val="1"/>
      <w:numFmt w:val="decimal"/>
      <w:lvlText w:val="(%1)"/>
      <w:lvlJc w:val="left"/>
      <w:pPr>
        <w:ind w:left="405" w:hanging="405"/>
      </w:pPr>
      <w:rPr>
        <w:rFonts w:hint="default"/>
        <w:color w:val="21212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
  </w:num>
  <w:num w:numId="3">
    <w:abstractNumId w:val="11"/>
  </w:num>
  <w:num w:numId="4">
    <w:abstractNumId w:val="16"/>
  </w:num>
  <w:num w:numId="5">
    <w:abstractNumId w:val="15"/>
  </w:num>
  <w:num w:numId="6">
    <w:abstractNumId w:val="0"/>
  </w:num>
  <w:num w:numId="7">
    <w:abstractNumId w:val="8"/>
  </w:num>
  <w:num w:numId="8">
    <w:abstractNumId w:val="17"/>
  </w:num>
  <w:num w:numId="9">
    <w:abstractNumId w:val="10"/>
  </w:num>
  <w:num w:numId="10">
    <w:abstractNumId w:val="7"/>
  </w:num>
  <w:num w:numId="11">
    <w:abstractNumId w:val="3"/>
  </w:num>
  <w:num w:numId="12">
    <w:abstractNumId w:val="6"/>
  </w:num>
  <w:num w:numId="13">
    <w:abstractNumId w:val="13"/>
  </w:num>
  <w:num w:numId="14">
    <w:abstractNumId w:val="4"/>
  </w:num>
  <w:num w:numId="15">
    <w:abstractNumId w:val="14"/>
  </w:num>
  <w:num w:numId="16">
    <w:abstractNumId w:val="5"/>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83"/>
    <w:rsid w:val="000009CC"/>
    <w:rsid w:val="00000A5A"/>
    <w:rsid w:val="00000EE7"/>
    <w:rsid w:val="000011CB"/>
    <w:rsid w:val="00001ECD"/>
    <w:rsid w:val="0000257D"/>
    <w:rsid w:val="0000285A"/>
    <w:rsid w:val="000030E6"/>
    <w:rsid w:val="00004512"/>
    <w:rsid w:val="0000480C"/>
    <w:rsid w:val="000054EB"/>
    <w:rsid w:val="0000606B"/>
    <w:rsid w:val="000119A3"/>
    <w:rsid w:val="00013F3E"/>
    <w:rsid w:val="00015330"/>
    <w:rsid w:val="00016883"/>
    <w:rsid w:val="0001786C"/>
    <w:rsid w:val="00021791"/>
    <w:rsid w:val="00023E0E"/>
    <w:rsid w:val="00024825"/>
    <w:rsid w:val="00024F4A"/>
    <w:rsid w:val="00026C1F"/>
    <w:rsid w:val="00027B0E"/>
    <w:rsid w:val="000310D2"/>
    <w:rsid w:val="000333E3"/>
    <w:rsid w:val="00034EA5"/>
    <w:rsid w:val="00035537"/>
    <w:rsid w:val="00036045"/>
    <w:rsid w:val="0003607D"/>
    <w:rsid w:val="0003777A"/>
    <w:rsid w:val="00037FD6"/>
    <w:rsid w:val="00040ABD"/>
    <w:rsid w:val="000410B4"/>
    <w:rsid w:val="00041521"/>
    <w:rsid w:val="00041E6C"/>
    <w:rsid w:val="00042112"/>
    <w:rsid w:val="000426C2"/>
    <w:rsid w:val="00042F08"/>
    <w:rsid w:val="00043522"/>
    <w:rsid w:val="00043A64"/>
    <w:rsid w:val="000442E9"/>
    <w:rsid w:val="000457B7"/>
    <w:rsid w:val="000507DD"/>
    <w:rsid w:val="00050B96"/>
    <w:rsid w:val="0005473A"/>
    <w:rsid w:val="00055042"/>
    <w:rsid w:val="000555BC"/>
    <w:rsid w:val="0005750C"/>
    <w:rsid w:val="0006248D"/>
    <w:rsid w:val="00062B97"/>
    <w:rsid w:val="0006319D"/>
    <w:rsid w:val="00063812"/>
    <w:rsid w:val="000640FB"/>
    <w:rsid w:val="00065955"/>
    <w:rsid w:val="000673C2"/>
    <w:rsid w:val="00073018"/>
    <w:rsid w:val="00073C83"/>
    <w:rsid w:val="00074039"/>
    <w:rsid w:val="00074495"/>
    <w:rsid w:val="00074AE5"/>
    <w:rsid w:val="00074EA4"/>
    <w:rsid w:val="000752CE"/>
    <w:rsid w:val="00080B16"/>
    <w:rsid w:val="00082C43"/>
    <w:rsid w:val="00082DDC"/>
    <w:rsid w:val="00083571"/>
    <w:rsid w:val="000848DF"/>
    <w:rsid w:val="000856C6"/>
    <w:rsid w:val="00085E52"/>
    <w:rsid w:val="00086295"/>
    <w:rsid w:val="00086486"/>
    <w:rsid w:val="00086B18"/>
    <w:rsid w:val="00086F9E"/>
    <w:rsid w:val="000872FA"/>
    <w:rsid w:val="000906DC"/>
    <w:rsid w:val="00091518"/>
    <w:rsid w:val="00091813"/>
    <w:rsid w:val="00092EC4"/>
    <w:rsid w:val="000966A9"/>
    <w:rsid w:val="00096A6F"/>
    <w:rsid w:val="00097015"/>
    <w:rsid w:val="000A1D08"/>
    <w:rsid w:val="000A20E3"/>
    <w:rsid w:val="000B0481"/>
    <w:rsid w:val="000B14EA"/>
    <w:rsid w:val="000B16CC"/>
    <w:rsid w:val="000B1E4A"/>
    <w:rsid w:val="000B1E8C"/>
    <w:rsid w:val="000B2816"/>
    <w:rsid w:val="000B3C51"/>
    <w:rsid w:val="000B56F9"/>
    <w:rsid w:val="000B732A"/>
    <w:rsid w:val="000B7532"/>
    <w:rsid w:val="000C0092"/>
    <w:rsid w:val="000C194D"/>
    <w:rsid w:val="000C2839"/>
    <w:rsid w:val="000C41EA"/>
    <w:rsid w:val="000C4307"/>
    <w:rsid w:val="000C4A11"/>
    <w:rsid w:val="000C4FF3"/>
    <w:rsid w:val="000C552C"/>
    <w:rsid w:val="000C55D6"/>
    <w:rsid w:val="000C5B1A"/>
    <w:rsid w:val="000C71FA"/>
    <w:rsid w:val="000C7594"/>
    <w:rsid w:val="000C75CB"/>
    <w:rsid w:val="000C7F84"/>
    <w:rsid w:val="000D349B"/>
    <w:rsid w:val="000D352F"/>
    <w:rsid w:val="000D4903"/>
    <w:rsid w:val="000D4CFC"/>
    <w:rsid w:val="000D7E15"/>
    <w:rsid w:val="000E1BA5"/>
    <w:rsid w:val="000E1C49"/>
    <w:rsid w:val="000E29AA"/>
    <w:rsid w:val="000E2A3B"/>
    <w:rsid w:val="000E2E58"/>
    <w:rsid w:val="000E3BD0"/>
    <w:rsid w:val="000E3EA0"/>
    <w:rsid w:val="000E4A07"/>
    <w:rsid w:val="000E5287"/>
    <w:rsid w:val="000E5441"/>
    <w:rsid w:val="000E7EEE"/>
    <w:rsid w:val="000F1350"/>
    <w:rsid w:val="000F1774"/>
    <w:rsid w:val="000F192C"/>
    <w:rsid w:val="000F336C"/>
    <w:rsid w:val="000F3C9C"/>
    <w:rsid w:val="000F42F1"/>
    <w:rsid w:val="000F569C"/>
    <w:rsid w:val="000F6BCE"/>
    <w:rsid w:val="000F772A"/>
    <w:rsid w:val="00100CEE"/>
    <w:rsid w:val="001010F2"/>
    <w:rsid w:val="001027D3"/>
    <w:rsid w:val="001038BD"/>
    <w:rsid w:val="00103F5F"/>
    <w:rsid w:val="00104322"/>
    <w:rsid w:val="00105AAB"/>
    <w:rsid w:val="0010652C"/>
    <w:rsid w:val="001133AE"/>
    <w:rsid w:val="00114516"/>
    <w:rsid w:val="00115744"/>
    <w:rsid w:val="00115ACC"/>
    <w:rsid w:val="00115C96"/>
    <w:rsid w:val="001168A2"/>
    <w:rsid w:val="00116D3D"/>
    <w:rsid w:val="00116E2D"/>
    <w:rsid w:val="00121FE0"/>
    <w:rsid w:val="00122B62"/>
    <w:rsid w:val="0012345A"/>
    <w:rsid w:val="00123477"/>
    <w:rsid w:val="00123ABB"/>
    <w:rsid w:val="00125A38"/>
    <w:rsid w:val="00126EA7"/>
    <w:rsid w:val="0013113D"/>
    <w:rsid w:val="0013426F"/>
    <w:rsid w:val="00134F15"/>
    <w:rsid w:val="00135483"/>
    <w:rsid w:val="00135926"/>
    <w:rsid w:val="00135B51"/>
    <w:rsid w:val="00135F27"/>
    <w:rsid w:val="00136D53"/>
    <w:rsid w:val="001374C3"/>
    <w:rsid w:val="00146451"/>
    <w:rsid w:val="00147090"/>
    <w:rsid w:val="00147973"/>
    <w:rsid w:val="00147BF1"/>
    <w:rsid w:val="001508FC"/>
    <w:rsid w:val="00150FCB"/>
    <w:rsid w:val="00151A0C"/>
    <w:rsid w:val="0015373A"/>
    <w:rsid w:val="0015415A"/>
    <w:rsid w:val="001604D6"/>
    <w:rsid w:val="00160AC7"/>
    <w:rsid w:val="00161CA3"/>
    <w:rsid w:val="0016348F"/>
    <w:rsid w:val="00163CEF"/>
    <w:rsid w:val="00164986"/>
    <w:rsid w:val="00164E0C"/>
    <w:rsid w:val="001651BC"/>
    <w:rsid w:val="00165551"/>
    <w:rsid w:val="00165A00"/>
    <w:rsid w:val="00166493"/>
    <w:rsid w:val="001705F5"/>
    <w:rsid w:val="00172690"/>
    <w:rsid w:val="00176CA7"/>
    <w:rsid w:val="00177578"/>
    <w:rsid w:val="001778FE"/>
    <w:rsid w:val="001807A8"/>
    <w:rsid w:val="00181357"/>
    <w:rsid w:val="0018190E"/>
    <w:rsid w:val="001845AD"/>
    <w:rsid w:val="00184759"/>
    <w:rsid w:val="00187748"/>
    <w:rsid w:val="00187A19"/>
    <w:rsid w:val="001916AD"/>
    <w:rsid w:val="00192539"/>
    <w:rsid w:val="00193623"/>
    <w:rsid w:val="00194D91"/>
    <w:rsid w:val="00195300"/>
    <w:rsid w:val="00195F31"/>
    <w:rsid w:val="00196293"/>
    <w:rsid w:val="00196B73"/>
    <w:rsid w:val="00196FCE"/>
    <w:rsid w:val="001972CD"/>
    <w:rsid w:val="00197644"/>
    <w:rsid w:val="001A2EA5"/>
    <w:rsid w:val="001A3EAA"/>
    <w:rsid w:val="001A4749"/>
    <w:rsid w:val="001A4929"/>
    <w:rsid w:val="001A5578"/>
    <w:rsid w:val="001A5F3B"/>
    <w:rsid w:val="001A75AC"/>
    <w:rsid w:val="001A76C8"/>
    <w:rsid w:val="001A7A95"/>
    <w:rsid w:val="001B0AC0"/>
    <w:rsid w:val="001B0B4B"/>
    <w:rsid w:val="001B1CBD"/>
    <w:rsid w:val="001B2C53"/>
    <w:rsid w:val="001B4798"/>
    <w:rsid w:val="001B4B3D"/>
    <w:rsid w:val="001B5724"/>
    <w:rsid w:val="001B5CDA"/>
    <w:rsid w:val="001C69C0"/>
    <w:rsid w:val="001C7224"/>
    <w:rsid w:val="001C7E35"/>
    <w:rsid w:val="001D13B4"/>
    <w:rsid w:val="001D2F93"/>
    <w:rsid w:val="001D4799"/>
    <w:rsid w:val="001D4B7A"/>
    <w:rsid w:val="001D68FE"/>
    <w:rsid w:val="001D6B1F"/>
    <w:rsid w:val="001D6CC0"/>
    <w:rsid w:val="001D7ED2"/>
    <w:rsid w:val="001E0F96"/>
    <w:rsid w:val="001E32C3"/>
    <w:rsid w:val="001E3301"/>
    <w:rsid w:val="001E42D1"/>
    <w:rsid w:val="001E50C3"/>
    <w:rsid w:val="001E74F5"/>
    <w:rsid w:val="001F3520"/>
    <w:rsid w:val="001F3B27"/>
    <w:rsid w:val="001F3D9D"/>
    <w:rsid w:val="001F410A"/>
    <w:rsid w:val="001F4638"/>
    <w:rsid w:val="001F6A70"/>
    <w:rsid w:val="001F6DFD"/>
    <w:rsid w:val="0020012D"/>
    <w:rsid w:val="00201927"/>
    <w:rsid w:val="0020255B"/>
    <w:rsid w:val="002036E9"/>
    <w:rsid w:val="002042EB"/>
    <w:rsid w:val="00206365"/>
    <w:rsid w:val="00206A2C"/>
    <w:rsid w:val="00210350"/>
    <w:rsid w:val="00210755"/>
    <w:rsid w:val="00211247"/>
    <w:rsid w:val="00211353"/>
    <w:rsid w:val="002127C8"/>
    <w:rsid w:val="00213114"/>
    <w:rsid w:val="00215862"/>
    <w:rsid w:val="00217688"/>
    <w:rsid w:val="0022037A"/>
    <w:rsid w:val="002206C3"/>
    <w:rsid w:val="00221E0A"/>
    <w:rsid w:val="00224024"/>
    <w:rsid w:val="00226B6D"/>
    <w:rsid w:val="00232CA8"/>
    <w:rsid w:val="0023543A"/>
    <w:rsid w:val="00236B8C"/>
    <w:rsid w:val="00236EC7"/>
    <w:rsid w:val="00236FD8"/>
    <w:rsid w:val="00237F06"/>
    <w:rsid w:val="00242207"/>
    <w:rsid w:val="0024271C"/>
    <w:rsid w:val="00243761"/>
    <w:rsid w:val="0024397B"/>
    <w:rsid w:val="002457D1"/>
    <w:rsid w:val="00246051"/>
    <w:rsid w:val="002477F3"/>
    <w:rsid w:val="002524D8"/>
    <w:rsid w:val="002537F8"/>
    <w:rsid w:val="00255AE4"/>
    <w:rsid w:val="00256893"/>
    <w:rsid w:val="00256DB7"/>
    <w:rsid w:val="002577A8"/>
    <w:rsid w:val="00261381"/>
    <w:rsid w:val="0026149C"/>
    <w:rsid w:val="0026202D"/>
    <w:rsid w:val="00263022"/>
    <w:rsid w:val="002634D9"/>
    <w:rsid w:val="00263928"/>
    <w:rsid w:val="00263C93"/>
    <w:rsid w:val="002642CD"/>
    <w:rsid w:val="002643B2"/>
    <w:rsid w:val="00264A6D"/>
    <w:rsid w:val="00264B5D"/>
    <w:rsid w:val="00267EF1"/>
    <w:rsid w:val="00270AA8"/>
    <w:rsid w:val="00271FC5"/>
    <w:rsid w:val="00272110"/>
    <w:rsid w:val="0027213A"/>
    <w:rsid w:val="00274D58"/>
    <w:rsid w:val="00275776"/>
    <w:rsid w:val="00275AA5"/>
    <w:rsid w:val="00275FCC"/>
    <w:rsid w:val="00276DAA"/>
    <w:rsid w:val="002775D8"/>
    <w:rsid w:val="00282945"/>
    <w:rsid w:val="0028376C"/>
    <w:rsid w:val="00284E93"/>
    <w:rsid w:val="0028579D"/>
    <w:rsid w:val="002858C6"/>
    <w:rsid w:val="00286C91"/>
    <w:rsid w:val="00287569"/>
    <w:rsid w:val="0029099B"/>
    <w:rsid w:val="0029133A"/>
    <w:rsid w:val="002916D0"/>
    <w:rsid w:val="00291CBF"/>
    <w:rsid w:val="0029333B"/>
    <w:rsid w:val="00294289"/>
    <w:rsid w:val="00294670"/>
    <w:rsid w:val="0029518E"/>
    <w:rsid w:val="00297AF1"/>
    <w:rsid w:val="002A0C34"/>
    <w:rsid w:val="002A1601"/>
    <w:rsid w:val="002A1E93"/>
    <w:rsid w:val="002A2B15"/>
    <w:rsid w:val="002A3130"/>
    <w:rsid w:val="002A73C3"/>
    <w:rsid w:val="002B01A1"/>
    <w:rsid w:val="002B0A92"/>
    <w:rsid w:val="002B1053"/>
    <w:rsid w:val="002B262F"/>
    <w:rsid w:val="002B3738"/>
    <w:rsid w:val="002B3BB4"/>
    <w:rsid w:val="002B41B0"/>
    <w:rsid w:val="002B45C0"/>
    <w:rsid w:val="002B60C4"/>
    <w:rsid w:val="002C090E"/>
    <w:rsid w:val="002C0CD5"/>
    <w:rsid w:val="002C2B6F"/>
    <w:rsid w:val="002C3167"/>
    <w:rsid w:val="002C31EF"/>
    <w:rsid w:val="002C32E6"/>
    <w:rsid w:val="002C5252"/>
    <w:rsid w:val="002C6902"/>
    <w:rsid w:val="002C6A1C"/>
    <w:rsid w:val="002C778A"/>
    <w:rsid w:val="002D0075"/>
    <w:rsid w:val="002D4153"/>
    <w:rsid w:val="002E1045"/>
    <w:rsid w:val="002E1132"/>
    <w:rsid w:val="002E2FDF"/>
    <w:rsid w:val="002E40BE"/>
    <w:rsid w:val="002E4288"/>
    <w:rsid w:val="002E4C73"/>
    <w:rsid w:val="002E4FEB"/>
    <w:rsid w:val="002F1118"/>
    <w:rsid w:val="002F1C7C"/>
    <w:rsid w:val="002F1DF8"/>
    <w:rsid w:val="002F31EF"/>
    <w:rsid w:val="002F4C94"/>
    <w:rsid w:val="002F4FD9"/>
    <w:rsid w:val="002F6772"/>
    <w:rsid w:val="002F7A1F"/>
    <w:rsid w:val="00300184"/>
    <w:rsid w:val="0030079E"/>
    <w:rsid w:val="003017B3"/>
    <w:rsid w:val="003031B4"/>
    <w:rsid w:val="00303442"/>
    <w:rsid w:val="003038B9"/>
    <w:rsid w:val="00303988"/>
    <w:rsid w:val="0030400C"/>
    <w:rsid w:val="003044D2"/>
    <w:rsid w:val="00304EA6"/>
    <w:rsid w:val="003059D3"/>
    <w:rsid w:val="00306745"/>
    <w:rsid w:val="00311A1F"/>
    <w:rsid w:val="003133A5"/>
    <w:rsid w:val="00314343"/>
    <w:rsid w:val="0031460E"/>
    <w:rsid w:val="00314D92"/>
    <w:rsid w:val="00316EE1"/>
    <w:rsid w:val="003171F5"/>
    <w:rsid w:val="0031749D"/>
    <w:rsid w:val="003176E4"/>
    <w:rsid w:val="00317E65"/>
    <w:rsid w:val="0032060A"/>
    <w:rsid w:val="00320BF5"/>
    <w:rsid w:val="00321C33"/>
    <w:rsid w:val="00322BED"/>
    <w:rsid w:val="0032316E"/>
    <w:rsid w:val="00323185"/>
    <w:rsid w:val="003234D9"/>
    <w:rsid w:val="0032393E"/>
    <w:rsid w:val="00323F37"/>
    <w:rsid w:val="003245EA"/>
    <w:rsid w:val="00324960"/>
    <w:rsid w:val="00324C8E"/>
    <w:rsid w:val="00331355"/>
    <w:rsid w:val="0033157A"/>
    <w:rsid w:val="00332E6E"/>
    <w:rsid w:val="00335749"/>
    <w:rsid w:val="0033685F"/>
    <w:rsid w:val="003415D1"/>
    <w:rsid w:val="0034182F"/>
    <w:rsid w:val="00341937"/>
    <w:rsid w:val="00342203"/>
    <w:rsid w:val="00342239"/>
    <w:rsid w:val="0034312D"/>
    <w:rsid w:val="0034353C"/>
    <w:rsid w:val="00344168"/>
    <w:rsid w:val="003444D5"/>
    <w:rsid w:val="003453A0"/>
    <w:rsid w:val="00345685"/>
    <w:rsid w:val="00346110"/>
    <w:rsid w:val="00346775"/>
    <w:rsid w:val="00346A11"/>
    <w:rsid w:val="00347821"/>
    <w:rsid w:val="00347B8E"/>
    <w:rsid w:val="00347E9F"/>
    <w:rsid w:val="0035177C"/>
    <w:rsid w:val="00351FD0"/>
    <w:rsid w:val="0035278E"/>
    <w:rsid w:val="003535BF"/>
    <w:rsid w:val="0035389B"/>
    <w:rsid w:val="003544C4"/>
    <w:rsid w:val="00356446"/>
    <w:rsid w:val="00360BB9"/>
    <w:rsid w:val="0036249D"/>
    <w:rsid w:val="003625A4"/>
    <w:rsid w:val="003626E1"/>
    <w:rsid w:val="00362E7E"/>
    <w:rsid w:val="0036353E"/>
    <w:rsid w:val="00363F9B"/>
    <w:rsid w:val="003656D3"/>
    <w:rsid w:val="0036671A"/>
    <w:rsid w:val="00366869"/>
    <w:rsid w:val="00367B3D"/>
    <w:rsid w:val="00370EAC"/>
    <w:rsid w:val="00371AB3"/>
    <w:rsid w:val="00372302"/>
    <w:rsid w:val="00374FAB"/>
    <w:rsid w:val="003759D6"/>
    <w:rsid w:val="00381789"/>
    <w:rsid w:val="00381F96"/>
    <w:rsid w:val="00382210"/>
    <w:rsid w:val="00382B8C"/>
    <w:rsid w:val="00383DCF"/>
    <w:rsid w:val="00384C77"/>
    <w:rsid w:val="003852F7"/>
    <w:rsid w:val="00385798"/>
    <w:rsid w:val="003858C8"/>
    <w:rsid w:val="00386A33"/>
    <w:rsid w:val="00387605"/>
    <w:rsid w:val="003904C4"/>
    <w:rsid w:val="003920DC"/>
    <w:rsid w:val="00392587"/>
    <w:rsid w:val="003932A8"/>
    <w:rsid w:val="00393C86"/>
    <w:rsid w:val="00393EC3"/>
    <w:rsid w:val="00394932"/>
    <w:rsid w:val="00394C19"/>
    <w:rsid w:val="00394E44"/>
    <w:rsid w:val="00394FAA"/>
    <w:rsid w:val="00395A9D"/>
    <w:rsid w:val="00396C39"/>
    <w:rsid w:val="00396C44"/>
    <w:rsid w:val="003A0A39"/>
    <w:rsid w:val="003A1345"/>
    <w:rsid w:val="003A2C12"/>
    <w:rsid w:val="003A2F8B"/>
    <w:rsid w:val="003A3E87"/>
    <w:rsid w:val="003B0063"/>
    <w:rsid w:val="003B3BFA"/>
    <w:rsid w:val="003B465D"/>
    <w:rsid w:val="003B5D8A"/>
    <w:rsid w:val="003B76EC"/>
    <w:rsid w:val="003C01B7"/>
    <w:rsid w:val="003C091E"/>
    <w:rsid w:val="003C0CAD"/>
    <w:rsid w:val="003C3A61"/>
    <w:rsid w:val="003C47ED"/>
    <w:rsid w:val="003C7B6F"/>
    <w:rsid w:val="003D1C69"/>
    <w:rsid w:val="003D2280"/>
    <w:rsid w:val="003D23D8"/>
    <w:rsid w:val="003D2791"/>
    <w:rsid w:val="003D2E63"/>
    <w:rsid w:val="003D3632"/>
    <w:rsid w:val="003D3703"/>
    <w:rsid w:val="003D4CB6"/>
    <w:rsid w:val="003D4DE5"/>
    <w:rsid w:val="003D6F07"/>
    <w:rsid w:val="003D71B1"/>
    <w:rsid w:val="003D7785"/>
    <w:rsid w:val="003D7C39"/>
    <w:rsid w:val="003E0FBA"/>
    <w:rsid w:val="003E14CA"/>
    <w:rsid w:val="003E27FF"/>
    <w:rsid w:val="003E370A"/>
    <w:rsid w:val="003E3ADF"/>
    <w:rsid w:val="003E42EB"/>
    <w:rsid w:val="003E72DA"/>
    <w:rsid w:val="003F08CC"/>
    <w:rsid w:val="003F1091"/>
    <w:rsid w:val="003F24C4"/>
    <w:rsid w:val="003F2531"/>
    <w:rsid w:val="003F39F2"/>
    <w:rsid w:val="003F77CF"/>
    <w:rsid w:val="00401226"/>
    <w:rsid w:val="00402BFE"/>
    <w:rsid w:val="0040580E"/>
    <w:rsid w:val="00405C07"/>
    <w:rsid w:val="00406679"/>
    <w:rsid w:val="004073CE"/>
    <w:rsid w:val="0041088C"/>
    <w:rsid w:val="0041118D"/>
    <w:rsid w:val="0041192D"/>
    <w:rsid w:val="0041381F"/>
    <w:rsid w:val="004141A2"/>
    <w:rsid w:val="00414323"/>
    <w:rsid w:val="00415ED2"/>
    <w:rsid w:val="00420784"/>
    <w:rsid w:val="00420FAE"/>
    <w:rsid w:val="004215B6"/>
    <w:rsid w:val="00424D1F"/>
    <w:rsid w:val="00427102"/>
    <w:rsid w:val="00430288"/>
    <w:rsid w:val="0043071B"/>
    <w:rsid w:val="00433776"/>
    <w:rsid w:val="00433E9C"/>
    <w:rsid w:val="00434D2B"/>
    <w:rsid w:val="00435899"/>
    <w:rsid w:val="00436873"/>
    <w:rsid w:val="00440422"/>
    <w:rsid w:val="004411F2"/>
    <w:rsid w:val="004420EF"/>
    <w:rsid w:val="00443521"/>
    <w:rsid w:val="0044482E"/>
    <w:rsid w:val="00444CBF"/>
    <w:rsid w:val="00446739"/>
    <w:rsid w:val="00451009"/>
    <w:rsid w:val="00452191"/>
    <w:rsid w:val="004521E6"/>
    <w:rsid w:val="00453354"/>
    <w:rsid w:val="00453ADF"/>
    <w:rsid w:val="00453CA1"/>
    <w:rsid w:val="00454A9F"/>
    <w:rsid w:val="00457C2B"/>
    <w:rsid w:val="00457CE5"/>
    <w:rsid w:val="004623D5"/>
    <w:rsid w:val="00462562"/>
    <w:rsid w:val="00463086"/>
    <w:rsid w:val="00463DE8"/>
    <w:rsid w:val="00470B67"/>
    <w:rsid w:val="00471729"/>
    <w:rsid w:val="00472505"/>
    <w:rsid w:val="004730E7"/>
    <w:rsid w:val="00474C3D"/>
    <w:rsid w:val="00480ADA"/>
    <w:rsid w:val="00480FD5"/>
    <w:rsid w:val="0048248E"/>
    <w:rsid w:val="004833A9"/>
    <w:rsid w:val="00486C95"/>
    <w:rsid w:val="0048762C"/>
    <w:rsid w:val="0049011E"/>
    <w:rsid w:val="004930B1"/>
    <w:rsid w:val="004952CE"/>
    <w:rsid w:val="00495F75"/>
    <w:rsid w:val="004A04F8"/>
    <w:rsid w:val="004A0DC2"/>
    <w:rsid w:val="004A2DC2"/>
    <w:rsid w:val="004A3296"/>
    <w:rsid w:val="004A337F"/>
    <w:rsid w:val="004A4160"/>
    <w:rsid w:val="004A6F3F"/>
    <w:rsid w:val="004B0EEF"/>
    <w:rsid w:val="004B1398"/>
    <w:rsid w:val="004B3B47"/>
    <w:rsid w:val="004B4B63"/>
    <w:rsid w:val="004B5307"/>
    <w:rsid w:val="004B68E3"/>
    <w:rsid w:val="004B73A2"/>
    <w:rsid w:val="004B7754"/>
    <w:rsid w:val="004C022F"/>
    <w:rsid w:val="004C132F"/>
    <w:rsid w:val="004C1537"/>
    <w:rsid w:val="004C48A5"/>
    <w:rsid w:val="004C4FFD"/>
    <w:rsid w:val="004C5F0A"/>
    <w:rsid w:val="004C6C1C"/>
    <w:rsid w:val="004C720D"/>
    <w:rsid w:val="004C79B6"/>
    <w:rsid w:val="004D3187"/>
    <w:rsid w:val="004D31B6"/>
    <w:rsid w:val="004D71D6"/>
    <w:rsid w:val="004E054C"/>
    <w:rsid w:val="004E1FD5"/>
    <w:rsid w:val="004E3440"/>
    <w:rsid w:val="004E608A"/>
    <w:rsid w:val="004F0547"/>
    <w:rsid w:val="004F212C"/>
    <w:rsid w:val="004F2439"/>
    <w:rsid w:val="004F2A1C"/>
    <w:rsid w:val="004F4108"/>
    <w:rsid w:val="004F434C"/>
    <w:rsid w:val="004F5CA1"/>
    <w:rsid w:val="004F6870"/>
    <w:rsid w:val="004F71FC"/>
    <w:rsid w:val="00500466"/>
    <w:rsid w:val="00502520"/>
    <w:rsid w:val="005049E8"/>
    <w:rsid w:val="00507816"/>
    <w:rsid w:val="0051074A"/>
    <w:rsid w:val="0051143D"/>
    <w:rsid w:val="00513C21"/>
    <w:rsid w:val="00514A1A"/>
    <w:rsid w:val="00514E12"/>
    <w:rsid w:val="00516FEE"/>
    <w:rsid w:val="005174CA"/>
    <w:rsid w:val="00520922"/>
    <w:rsid w:val="00521A53"/>
    <w:rsid w:val="00522597"/>
    <w:rsid w:val="005242E9"/>
    <w:rsid w:val="005244E8"/>
    <w:rsid w:val="0052482B"/>
    <w:rsid w:val="00525CF6"/>
    <w:rsid w:val="00526B68"/>
    <w:rsid w:val="00530AB9"/>
    <w:rsid w:val="0053100F"/>
    <w:rsid w:val="005330DD"/>
    <w:rsid w:val="005339DC"/>
    <w:rsid w:val="00534085"/>
    <w:rsid w:val="005379C0"/>
    <w:rsid w:val="00540208"/>
    <w:rsid w:val="00540DB6"/>
    <w:rsid w:val="00542136"/>
    <w:rsid w:val="00542914"/>
    <w:rsid w:val="00543133"/>
    <w:rsid w:val="0054428C"/>
    <w:rsid w:val="005472B2"/>
    <w:rsid w:val="00550BEE"/>
    <w:rsid w:val="005516B3"/>
    <w:rsid w:val="00552589"/>
    <w:rsid w:val="00552D68"/>
    <w:rsid w:val="00554138"/>
    <w:rsid w:val="00554F60"/>
    <w:rsid w:val="005550E6"/>
    <w:rsid w:val="005565D2"/>
    <w:rsid w:val="00556731"/>
    <w:rsid w:val="00560FBC"/>
    <w:rsid w:val="005613E1"/>
    <w:rsid w:val="00562FB5"/>
    <w:rsid w:val="00564CA4"/>
    <w:rsid w:val="005651F3"/>
    <w:rsid w:val="005662D7"/>
    <w:rsid w:val="00566BEC"/>
    <w:rsid w:val="00570FD3"/>
    <w:rsid w:val="00571427"/>
    <w:rsid w:val="005736F0"/>
    <w:rsid w:val="005737BE"/>
    <w:rsid w:val="00573D6F"/>
    <w:rsid w:val="00574F43"/>
    <w:rsid w:val="00576785"/>
    <w:rsid w:val="005775D9"/>
    <w:rsid w:val="00580498"/>
    <w:rsid w:val="00580B0E"/>
    <w:rsid w:val="005815AC"/>
    <w:rsid w:val="00581BFF"/>
    <w:rsid w:val="005838F6"/>
    <w:rsid w:val="00583C04"/>
    <w:rsid w:val="00584256"/>
    <w:rsid w:val="0058448E"/>
    <w:rsid w:val="0058635E"/>
    <w:rsid w:val="005867ED"/>
    <w:rsid w:val="0058707D"/>
    <w:rsid w:val="005874C3"/>
    <w:rsid w:val="00587747"/>
    <w:rsid w:val="00592775"/>
    <w:rsid w:val="00596632"/>
    <w:rsid w:val="005A08B0"/>
    <w:rsid w:val="005A1625"/>
    <w:rsid w:val="005A1C26"/>
    <w:rsid w:val="005A32BA"/>
    <w:rsid w:val="005A36A2"/>
    <w:rsid w:val="005A487E"/>
    <w:rsid w:val="005A78C1"/>
    <w:rsid w:val="005A79CD"/>
    <w:rsid w:val="005B03B2"/>
    <w:rsid w:val="005B0551"/>
    <w:rsid w:val="005B07CD"/>
    <w:rsid w:val="005B0831"/>
    <w:rsid w:val="005B61B5"/>
    <w:rsid w:val="005C0D07"/>
    <w:rsid w:val="005C397E"/>
    <w:rsid w:val="005C3F17"/>
    <w:rsid w:val="005C4E61"/>
    <w:rsid w:val="005C5A14"/>
    <w:rsid w:val="005C5C52"/>
    <w:rsid w:val="005C782A"/>
    <w:rsid w:val="005C793F"/>
    <w:rsid w:val="005C7964"/>
    <w:rsid w:val="005D2272"/>
    <w:rsid w:val="005D282E"/>
    <w:rsid w:val="005D33AC"/>
    <w:rsid w:val="005D4CD7"/>
    <w:rsid w:val="005D5178"/>
    <w:rsid w:val="005D640F"/>
    <w:rsid w:val="005E07FE"/>
    <w:rsid w:val="005E0EA7"/>
    <w:rsid w:val="005E24BC"/>
    <w:rsid w:val="005E73BD"/>
    <w:rsid w:val="005F02CD"/>
    <w:rsid w:val="005F161E"/>
    <w:rsid w:val="005F253F"/>
    <w:rsid w:val="00601398"/>
    <w:rsid w:val="00601843"/>
    <w:rsid w:val="006027E9"/>
    <w:rsid w:val="00602DB6"/>
    <w:rsid w:val="00603265"/>
    <w:rsid w:val="00604A61"/>
    <w:rsid w:val="00605253"/>
    <w:rsid w:val="00605909"/>
    <w:rsid w:val="0060646B"/>
    <w:rsid w:val="00606EB7"/>
    <w:rsid w:val="00607670"/>
    <w:rsid w:val="00611AB3"/>
    <w:rsid w:val="00611ACA"/>
    <w:rsid w:val="00611B6E"/>
    <w:rsid w:val="00612C33"/>
    <w:rsid w:val="00612D22"/>
    <w:rsid w:val="006136BB"/>
    <w:rsid w:val="00614511"/>
    <w:rsid w:val="006154C4"/>
    <w:rsid w:val="0062038A"/>
    <w:rsid w:val="0062059E"/>
    <w:rsid w:val="0062085F"/>
    <w:rsid w:val="0062168E"/>
    <w:rsid w:val="0062194A"/>
    <w:rsid w:val="00621DD8"/>
    <w:rsid w:val="006224ED"/>
    <w:rsid w:val="0062313D"/>
    <w:rsid w:val="00623DE9"/>
    <w:rsid w:val="00626A21"/>
    <w:rsid w:val="00630E25"/>
    <w:rsid w:val="00631492"/>
    <w:rsid w:val="00631F0A"/>
    <w:rsid w:val="00634771"/>
    <w:rsid w:val="00637102"/>
    <w:rsid w:val="00637879"/>
    <w:rsid w:val="006403A9"/>
    <w:rsid w:val="00640B31"/>
    <w:rsid w:val="00641BB2"/>
    <w:rsid w:val="006435A9"/>
    <w:rsid w:val="00643F5C"/>
    <w:rsid w:val="00644E4D"/>
    <w:rsid w:val="00645076"/>
    <w:rsid w:val="0064726E"/>
    <w:rsid w:val="0065067B"/>
    <w:rsid w:val="00650D0D"/>
    <w:rsid w:val="0065146B"/>
    <w:rsid w:val="00651E89"/>
    <w:rsid w:val="00651E9A"/>
    <w:rsid w:val="00655589"/>
    <w:rsid w:val="00655656"/>
    <w:rsid w:val="0065586D"/>
    <w:rsid w:val="006606E8"/>
    <w:rsid w:val="00661073"/>
    <w:rsid w:val="006615DA"/>
    <w:rsid w:val="006626CC"/>
    <w:rsid w:val="00663177"/>
    <w:rsid w:val="006631F9"/>
    <w:rsid w:val="0066348A"/>
    <w:rsid w:val="006636F4"/>
    <w:rsid w:val="0066715C"/>
    <w:rsid w:val="00670067"/>
    <w:rsid w:val="00670948"/>
    <w:rsid w:val="006716D6"/>
    <w:rsid w:val="00671CF6"/>
    <w:rsid w:val="00672820"/>
    <w:rsid w:val="00674BDF"/>
    <w:rsid w:val="006759D1"/>
    <w:rsid w:val="006774E9"/>
    <w:rsid w:val="00677D09"/>
    <w:rsid w:val="00677EE3"/>
    <w:rsid w:val="00677F0A"/>
    <w:rsid w:val="00680641"/>
    <w:rsid w:val="0068095A"/>
    <w:rsid w:val="00681711"/>
    <w:rsid w:val="00684C6D"/>
    <w:rsid w:val="00687887"/>
    <w:rsid w:val="006942AD"/>
    <w:rsid w:val="00694D0F"/>
    <w:rsid w:val="006954BF"/>
    <w:rsid w:val="00696558"/>
    <w:rsid w:val="00696E43"/>
    <w:rsid w:val="006A1904"/>
    <w:rsid w:val="006A2321"/>
    <w:rsid w:val="006A41B7"/>
    <w:rsid w:val="006A7E1A"/>
    <w:rsid w:val="006B082D"/>
    <w:rsid w:val="006B1C07"/>
    <w:rsid w:val="006B2121"/>
    <w:rsid w:val="006B3A00"/>
    <w:rsid w:val="006B68AA"/>
    <w:rsid w:val="006B6EF5"/>
    <w:rsid w:val="006B7233"/>
    <w:rsid w:val="006C0707"/>
    <w:rsid w:val="006C087B"/>
    <w:rsid w:val="006C0BB3"/>
    <w:rsid w:val="006C0C81"/>
    <w:rsid w:val="006C118F"/>
    <w:rsid w:val="006C1300"/>
    <w:rsid w:val="006C1648"/>
    <w:rsid w:val="006C1B65"/>
    <w:rsid w:val="006C5022"/>
    <w:rsid w:val="006C594A"/>
    <w:rsid w:val="006C7726"/>
    <w:rsid w:val="006D3E61"/>
    <w:rsid w:val="006D411E"/>
    <w:rsid w:val="006D42B4"/>
    <w:rsid w:val="006D4974"/>
    <w:rsid w:val="006D4FD3"/>
    <w:rsid w:val="006D4FEB"/>
    <w:rsid w:val="006D540B"/>
    <w:rsid w:val="006D5B5F"/>
    <w:rsid w:val="006D6097"/>
    <w:rsid w:val="006D71C3"/>
    <w:rsid w:val="006D7557"/>
    <w:rsid w:val="006E0668"/>
    <w:rsid w:val="006E495F"/>
    <w:rsid w:val="006E5426"/>
    <w:rsid w:val="006E6E68"/>
    <w:rsid w:val="006E73D3"/>
    <w:rsid w:val="006F0193"/>
    <w:rsid w:val="006F2A31"/>
    <w:rsid w:val="006F2F00"/>
    <w:rsid w:val="006F31AA"/>
    <w:rsid w:val="006F6019"/>
    <w:rsid w:val="0070195C"/>
    <w:rsid w:val="00701C53"/>
    <w:rsid w:val="00703282"/>
    <w:rsid w:val="00703F87"/>
    <w:rsid w:val="007041AC"/>
    <w:rsid w:val="0070437D"/>
    <w:rsid w:val="0070517F"/>
    <w:rsid w:val="00705E80"/>
    <w:rsid w:val="00706B35"/>
    <w:rsid w:val="007073EF"/>
    <w:rsid w:val="0070781D"/>
    <w:rsid w:val="0071137E"/>
    <w:rsid w:val="007113C3"/>
    <w:rsid w:val="00712A91"/>
    <w:rsid w:val="007166F5"/>
    <w:rsid w:val="0071799F"/>
    <w:rsid w:val="00717E77"/>
    <w:rsid w:val="0072276D"/>
    <w:rsid w:val="007231E6"/>
    <w:rsid w:val="00723A47"/>
    <w:rsid w:val="007243A3"/>
    <w:rsid w:val="007253FB"/>
    <w:rsid w:val="00726828"/>
    <w:rsid w:val="00726A3E"/>
    <w:rsid w:val="00727742"/>
    <w:rsid w:val="007302F1"/>
    <w:rsid w:val="00733160"/>
    <w:rsid w:val="00733FB5"/>
    <w:rsid w:val="00734446"/>
    <w:rsid w:val="00734522"/>
    <w:rsid w:val="00734E7B"/>
    <w:rsid w:val="00735DF6"/>
    <w:rsid w:val="00741700"/>
    <w:rsid w:val="00742512"/>
    <w:rsid w:val="007443BF"/>
    <w:rsid w:val="00745320"/>
    <w:rsid w:val="0074555A"/>
    <w:rsid w:val="00745E90"/>
    <w:rsid w:val="00745FD0"/>
    <w:rsid w:val="0074730A"/>
    <w:rsid w:val="00750671"/>
    <w:rsid w:val="00751DE3"/>
    <w:rsid w:val="007561A6"/>
    <w:rsid w:val="007561EE"/>
    <w:rsid w:val="00756513"/>
    <w:rsid w:val="00757749"/>
    <w:rsid w:val="00757CD0"/>
    <w:rsid w:val="00761673"/>
    <w:rsid w:val="00764230"/>
    <w:rsid w:val="00765448"/>
    <w:rsid w:val="00767CBC"/>
    <w:rsid w:val="0077001B"/>
    <w:rsid w:val="0077115D"/>
    <w:rsid w:val="00771DCC"/>
    <w:rsid w:val="007741AE"/>
    <w:rsid w:val="00775946"/>
    <w:rsid w:val="0077739F"/>
    <w:rsid w:val="0078058F"/>
    <w:rsid w:val="00780D5C"/>
    <w:rsid w:val="00782588"/>
    <w:rsid w:val="00782B07"/>
    <w:rsid w:val="00782B22"/>
    <w:rsid w:val="007867C7"/>
    <w:rsid w:val="00786B74"/>
    <w:rsid w:val="007877A6"/>
    <w:rsid w:val="00790CFF"/>
    <w:rsid w:val="00794631"/>
    <w:rsid w:val="007A03D5"/>
    <w:rsid w:val="007A1330"/>
    <w:rsid w:val="007A15D6"/>
    <w:rsid w:val="007A3131"/>
    <w:rsid w:val="007A3952"/>
    <w:rsid w:val="007A51C1"/>
    <w:rsid w:val="007A51E6"/>
    <w:rsid w:val="007A5702"/>
    <w:rsid w:val="007A6F49"/>
    <w:rsid w:val="007A7EA0"/>
    <w:rsid w:val="007B023A"/>
    <w:rsid w:val="007B1B44"/>
    <w:rsid w:val="007B569A"/>
    <w:rsid w:val="007C48E6"/>
    <w:rsid w:val="007C49A3"/>
    <w:rsid w:val="007C6EE1"/>
    <w:rsid w:val="007D20B1"/>
    <w:rsid w:val="007D40C2"/>
    <w:rsid w:val="007D6DE3"/>
    <w:rsid w:val="007D748C"/>
    <w:rsid w:val="007E0280"/>
    <w:rsid w:val="007E1749"/>
    <w:rsid w:val="007E1BF2"/>
    <w:rsid w:val="007E57FF"/>
    <w:rsid w:val="007E65B4"/>
    <w:rsid w:val="007E7455"/>
    <w:rsid w:val="007F07C5"/>
    <w:rsid w:val="007F2E4E"/>
    <w:rsid w:val="007F34B1"/>
    <w:rsid w:val="007F3C39"/>
    <w:rsid w:val="007F50A6"/>
    <w:rsid w:val="007F552A"/>
    <w:rsid w:val="007F5575"/>
    <w:rsid w:val="007F5FD7"/>
    <w:rsid w:val="007F6EF8"/>
    <w:rsid w:val="007F7540"/>
    <w:rsid w:val="008013AB"/>
    <w:rsid w:val="008019E4"/>
    <w:rsid w:val="008023BD"/>
    <w:rsid w:val="00802550"/>
    <w:rsid w:val="008026B5"/>
    <w:rsid w:val="00803972"/>
    <w:rsid w:val="00804144"/>
    <w:rsid w:val="008053C6"/>
    <w:rsid w:val="0080617C"/>
    <w:rsid w:val="00810A9E"/>
    <w:rsid w:val="0081296D"/>
    <w:rsid w:val="00812C3C"/>
    <w:rsid w:val="00813EE2"/>
    <w:rsid w:val="00814A00"/>
    <w:rsid w:val="00817038"/>
    <w:rsid w:val="008237BD"/>
    <w:rsid w:val="00823BEF"/>
    <w:rsid w:val="00823F38"/>
    <w:rsid w:val="00825436"/>
    <w:rsid w:val="00830C1A"/>
    <w:rsid w:val="00832868"/>
    <w:rsid w:val="008340BC"/>
    <w:rsid w:val="00834A82"/>
    <w:rsid w:val="00834C55"/>
    <w:rsid w:val="008351A0"/>
    <w:rsid w:val="008352D9"/>
    <w:rsid w:val="00836363"/>
    <w:rsid w:val="008366DA"/>
    <w:rsid w:val="00836B18"/>
    <w:rsid w:val="00841A06"/>
    <w:rsid w:val="0084237E"/>
    <w:rsid w:val="008428A6"/>
    <w:rsid w:val="00842978"/>
    <w:rsid w:val="008441EA"/>
    <w:rsid w:val="008442A9"/>
    <w:rsid w:val="008462EB"/>
    <w:rsid w:val="008476D3"/>
    <w:rsid w:val="00847918"/>
    <w:rsid w:val="00847F1F"/>
    <w:rsid w:val="00850947"/>
    <w:rsid w:val="00850CB5"/>
    <w:rsid w:val="00850EC2"/>
    <w:rsid w:val="00853570"/>
    <w:rsid w:val="0085410A"/>
    <w:rsid w:val="00855BD3"/>
    <w:rsid w:val="00855EEF"/>
    <w:rsid w:val="0085614D"/>
    <w:rsid w:val="008627D6"/>
    <w:rsid w:val="0086297C"/>
    <w:rsid w:val="008636C5"/>
    <w:rsid w:val="00863B74"/>
    <w:rsid w:val="008642F4"/>
    <w:rsid w:val="008645C2"/>
    <w:rsid w:val="00864999"/>
    <w:rsid w:val="00866B74"/>
    <w:rsid w:val="008678E9"/>
    <w:rsid w:val="008708F1"/>
    <w:rsid w:val="008726F3"/>
    <w:rsid w:val="0087411F"/>
    <w:rsid w:val="00875089"/>
    <w:rsid w:val="00880B4D"/>
    <w:rsid w:val="00881A49"/>
    <w:rsid w:val="00882AE0"/>
    <w:rsid w:val="00883048"/>
    <w:rsid w:val="00883F5B"/>
    <w:rsid w:val="00883FF3"/>
    <w:rsid w:val="00884345"/>
    <w:rsid w:val="00884841"/>
    <w:rsid w:val="00884D20"/>
    <w:rsid w:val="0088522F"/>
    <w:rsid w:val="00885E08"/>
    <w:rsid w:val="00885EEA"/>
    <w:rsid w:val="00886425"/>
    <w:rsid w:val="00890368"/>
    <w:rsid w:val="008908DF"/>
    <w:rsid w:val="008921D7"/>
    <w:rsid w:val="00896DB7"/>
    <w:rsid w:val="008972AF"/>
    <w:rsid w:val="00897886"/>
    <w:rsid w:val="008979C0"/>
    <w:rsid w:val="008A12CE"/>
    <w:rsid w:val="008A2528"/>
    <w:rsid w:val="008A3E1F"/>
    <w:rsid w:val="008A5E0A"/>
    <w:rsid w:val="008A740C"/>
    <w:rsid w:val="008B09A8"/>
    <w:rsid w:val="008B24EF"/>
    <w:rsid w:val="008B35FC"/>
    <w:rsid w:val="008B4734"/>
    <w:rsid w:val="008B4B24"/>
    <w:rsid w:val="008C1543"/>
    <w:rsid w:val="008C3B5A"/>
    <w:rsid w:val="008C5822"/>
    <w:rsid w:val="008C7BC5"/>
    <w:rsid w:val="008D53E9"/>
    <w:rsid w:val="008D619C"/>
    <w:rsid w:val="008D6BD4"/>
    <w:rsid w:val="008D70EF"/>
    <w:rsid w:val="008D7718"/>
    <w:rsid w:val="008E03B5"/>
    <w:rsid w:val="008E1045"/>
    <w:rsid w:val="008E146B"/>
    <w:rsid w:val="008E3384"/>
    <w:rsid w:val="008E34BD"/>
    <w:rsid w:val="008E4798"/>
    <w:rsid w:val="008E494F"/>
    <w:rsid w:val="008E7CB9"/>
    <w:rsid w:val="008F00FC"/>
    <w:rsid w:val="008F0F35"/>
    <w:rsid w:val="008F0F95"/>
    <w:rsid w:val="008F1043"/>
    <w:rsid w:val="008F11BC"/>
    <w:rsid w:val="008F1FA4"/>
    <w:rsid w:val="008F2B6F"/>
    <w:rsid w:val="008F5526"/>
    <w:rsid w:val="008F56DB"/>
    <w:rsid w:val="008F6A46"/>
    <w:rsid w:val="008F782B"/>
    <w:rsid w:val="008F7D94"/>
    <w:rsid w:val="00900136"/>
    <w:rsid w:val="00901AA3"/>
    <w:rsid w:val="00903033"/>
    <w:rsid w:val="0090386E"/>
    <w:rsid w:val="00904142"/>
    <w:rsid w:val="00905518"/>
    <w:rsid w:val="00905C97"/>
    <w:rsid w:val="00905DF7"/>
    <w:rsid w:val="00906079"/>
    <w:rsid w:val="0090614B"/>
    <w:rsid w:val="009079DE"/>
    <w:rsid w:val="009118CA"/>
    <w:rsid w:val="009124D6"/>
    <w:rsid w:val="00912D62"/>
    <w:rsid w:val="009140FE"/>
    <w:rsid w:val="0091715B"/>
    <w:rsid w:val="0092029C"/>
    <w:rsid w:val="009219B9"/>
    <w:rsid w:val="00921A76"/>
    <w:rsid w:val="00921BF2"/>
    <w:rsid w:val="00921F70"/>
    <w:rsid w:val="009235D6"/>
    <w:rsid w:val="00925D38"/>
    <w:rsid w:val="00927243"/>
    <w:rsid w:val="00927849"/>
    <w:rsid w:val="00930340"/>
    <w:rsid w:val="00931AFF"/>
    <w:rsid w:val="0093383A"/>
    <w:rsid w:val="009350C2"/>
    <w:rsid w:val="00935F49"/>
    <w:rsid w:val="0094055E"/>
    <w:rsid w:val="00941939"/>
    <w:rsid w:val="00943451"/>
    <w:rsid w:val="009435CE"/>
    <w:rsid w:val="00943E8C"/>
    <w:rsid w:val="00943FD2"/>
    <w:rsid w:val="00944746"/>
    <w:rsid w:val="009452CC"/>
    <w:rsid w:val="00945B8A"/>
    <w:rsid w:val="0094741D"/>
    <w:rsid w:val="00947D29"/>
    <w:rsid w:val="00947D89"/>
    <w:rsid w:val="0095298A"/>
    <w:rsid w:val="00952A42"/>
    <w:rsid w:val="0095391C"/>
    <w:rsid w:val="0095628A"/>
    <w:rsid w:val="00960344"/>
    <w:rsid w:val="00961B2B"/>
    <w:rsid w:val="00961BE3"/>
    <w:rsid w:val="00963764"/>
    <w:rsid w:val="00963973"/>
    <w:rsid w:val="00963A9A"/>
    <w:rsid w:val="00963D40"/>
    <w:rsid w:val="00965508"/>
    <w:rsid w:val="009672D4"/>
    <w:rsid w:val="009679D1"/>
    <w:rsid w:val="00967BEE"/>
    <w:rsid w:val="009716F6"/>
    <w:rsid w:val="009717A0"/>
    <w:rsid w:val="00973A51"/>
    <w:rsid w:val="00974827"/>
    <w:rsid w:val="00975F33"/>
    <w:rsid w:val="00976867"/>
    <w:rsid w:val="00976F23"/>
    <w:rsid w:val="00980339"/>
    <w:rsid w:val="009805B1"/>
    <w:rsid w:val="00984727"/>
    <w:rsid w:val="0098792B"/>
    <w:rsid w:val="00990528"/>
    <w:rsid w:val="009917C5"/>
    <w:rsid w:val="00991E7C"/>
    <w:rsid w:val="00992607"/>
    <w:rsid w:val="00994D13"/>
    <w:rsid w:val="009953D6"/>
    <w:rsid w:val="009965C9"/>
    <w:rsid w:val="009A018E"/>
    <w:rsid w:val="009A0CA2"/>
    <w:rsid w:val="009A17CE"/>
    <w:rsid w:val="009A2114"/>
    <w:rsid w:val="009A384E"/>
    <w:rsid w:val="009A4814"/>
    <w:rsid w:val="009A48EE"/>
    <w:rsid w:val="009A534E"/>
    <w:rsid w:val="009A5633"/>
    <w:rsid w:val="009A5B8C"/>
    <w:rsid w:val="009A5CE8"/>
    <w:rsid w:val="009A73AC"/>
    <w:rsid w:val="009B0644"/>
    <w:rsid w:val="009B09F8"/>
    <w:rsid w:val="009B0E56"/>
    <w:rsid w:val="009B15E2"/>
    <w:rsid w:val="009B3C02"/>
    <w:rsid w:val="009B3D19"/>
    <w:rsid w:val="009B3ECA"/>
    <w:rsid w:val="009B4E10"/>
    <w:rsid w:val="009B6FC8"/>
    <w:rsid w:val="009C0E5B"/>
    <w:rsid w:val="009C3702"/>
    <w:rsid w:val="009C4650"/>
    <w:rsid w:val="009C48D6"/>
    <w:rsid w:val="009C508C"/>
    <w:rsid w:val="009C5D47"/>
    <w:rsid w:val="009D1A86"/>
    <w:rsid w:val="009D205C"/>
    <w:rsid w:val="009D45FE"/>
    <w:rsid w:val="009D4DA2"/>
    <w:rsid w:val="009D62C6"/>
    <w:rsid w:val="009D75FC"/>
    <w:rsid w:val="009D7C21"/>
    <w:rsid w:val="009D7EFA"/>
    <w:rsid w:val="009E0611"/>
    <w:rsid w:val="009E0BD8"/>
    <w:rsid w:val="009E0CB0"/>
    <w:rsid w:val="009E2EAC"/>
    <w:rsid w:val="009E33C6"/>
    <w:rsid w:val="009E41FA"/>
    <w:rsid w:val="009E4513"/>
    <w:rsid w:val="009E5B69"/>
    <w:rsid w:val="009E791D"/>
    <w:rsid w:val="009F0CAE"/>
    <w:rsid w:val="009F0DB0"/>
    <w:rsid w:val="009F1A34"/>
    <w:rsid w:val="009F37A5"/>
    <w:rsid w:val="009F38A5"/>
    <w:rsid w:val="009F3AB3"/>
    <w:rsid w:val="009F40BE"/>
    <w:rsid w:val="00A0031C"/>
    <w:rsid w:val="00A012E8"/>
    <w:rsid w:val="00A01473"/>
    <w:rsid w:val="00A035FE"/>
    <w:rsid w:val="00A03EE2"/>
    <w:rsid w:val="00A0730E"/>
    <w:rsid w:val="00A10243"/>
    <w:rsid w:val="00A12C9C"/>
    <w:rsid w:val="00A1706C"/>
    <w:rsid w:val="00A17C91"/>
    <w:rsid w:val="00A205D2"/>
    <w:rsid w:val="00A2060B"/>
    <w:rsid w:val="00A22237"/>
    <w:rsid w:val="00A2280F"/>
    <w:rsid w:val="00A23912"/>
    <w:rsid w:val="00A23E5B"/>
    <w:rsid w:val="00A24741"/>
    <w:rsid w:val="00A24EEF"/>
    <w:rsid w:val="00A26D39"/>
    <w:rsid w:val="00A27ABF"/>
    <w:rsid w:val="00A308C7"/>
    <w:rsid w:val="00A31724"/>
    <w:rsid w:val="00A31940"/>
    <w:rsid w:val="00A31BCB"/>
    <w:rsid w:val="00A32154"/>
    <w:rsid w:val="00A3266A"/>
    <w:rsid w:val="00A32CE4"/>
    <w:rsid w:val="00A3480D"/>
    <w:rsid w:val="00A36232"/>
    <w:rsid w:val="00A36A49"/>
    <w:rsid w:val="00A378BE"/>
    <w:rsid w:val="00A37AEB"/>
    <w:rsid w:val="00A4145A"/>
    <w:rsid w:val="00A41CAC"/>
    <w:rsid w:val="00A4291B"/>
    <w:rsid w:val="00A43303"/>
    <w:rsid w:val="00A43788"/>
    <w:rsid w:val="00A50C59"/>
    <w:rsid w:val="00A50EE0"/>
    <w:rsid w:val="00A51E26"/>
    <w:rsid w:val="00A51E6D"/>
    <w:rsid w:val="00A531BE"/>
    <w:rsid w:val="00A5322C"/>
    <w:rsid w:val="00A55765"/>
    <w:rsid w:val="00A604B3"/>
    <w:rsid w:val="00A60D32"/>
    <w:rsid w:val="00A63A29"/>
    <w:rsid w:val="00A63D82"/>
    <w:rsid w:val="00A6480F"/>
    <w:rsid w:val="00A654C5"/>
    <w:rsid w:val="00A65B60"/>
    <w:rsid w:val="00A664EA"/>
    <w:rsid w:val="00A665D4"/>
    <w:rsid w:val="00A66795"/>
    <w:rsid w:val="00A67228"/>
    <w:rsid w:val="00A700FB"/>
    <w:rsid w:val="00A70BBA"/>
    <w:rsid w:val="00A71A41"/>
    <w:rsid w:val="00A7320E"/>
    <w:rsid w:val="00A73287"/>
    <w:rsid w:val="00A73ABA"/>
    <w:rsid w:val="00A743E9"/>
    <w:rsid w:val="00A762D7"/>
    <w:rsid w:val="00A76BBB"/>
    <w:rsid w:val="00A77499"/>
    <w:rsid w:val="00A77CAA"/>
    <w:rsid w:val="00A77D0B"/>
    <w:rsid w:val="00A803F4"/>
    <w:rsid w:val="00A81C3C"/>
    <w:rsid w:val="00A824EA"/>
    <w:rsid w:val="00A857B2"/>
    <w:rsid w:val="00A85D7B"/>
    <w:rsid w:val="00A87E6A"/>
    <w:rsid w:val="00A90C75"/>
    <w:rsid w:val="00A91737"/>
    <w:rsid w:val="00A93491"/>
    <w:rsid w:val="00A9504B"/>
    <w:rsid w:val="00A963AC"/>
    <w:rsid w:val="00A96492"/>
    <w:rsid w:val="00A96661"/>
    <w:rsid w:val="00A97E5F"/>
    <w:rsid w:val="00AA035E"/>
    <w:rsid w:val="00AA0596"/>
    <w:rsid w:val="00AA0EED"/>
    <w:rsid w:val="00AA10A3"/>
    <w:rsid w:val="00AA17DD"/>
    <w:rsid w:val="00AA21D4"/>
    <w:rsid w:val="00AA26B5"/>
    <w:rsid w:val="00AA289A"/>
    <w:rsid w:val="00AA5809"/>
    <w:rsid w:val="00AB0C54"/>
    <w:rsid w:val="00AB0CDA"/>
    <w:rsid w:val="00AB2163"/>
    <w:rsid w:val="00AB2ED3"/>
    <w:rsid w:val="00AB5F25"/>
    <w:rsid w:val="00AB628F"/>
    <w:rsid w:val="00AB6AE6"/>
    <w:rsid w:val="00AB6C15"/>
    <w:rsid w:val="00AC6A1C"/>
    <w:rsid w:val="00AD014E"/>
    <w:rsid w:val="00AD082F"/>
    <w:rsid w:val="00AD12DE"/>
    <w:rsid w:val="00AD2D0C"/>
    <w:rsid w:val="00AD39D8"/>
    <w:rsid w:val="00AD4F56"/>
    <w:rsid w:val="00AD5014"/>
    <w:rsid w:val="00AD6426"/>
    <w:rsid w:val="00AD64A5"/>
    <w:rsid w:val="00AD6549"/>
    <w:rsid w:val="00AD6E68"/>
    <w:rsid w:val="00AD7AAE"/>
    <w:rsid w:val="00AD7D5C"/>
    <w:rsid w:val="00AE24B3"/>
    <w:rsid w:val="00AE2FB1"/>
    <w:rsid w:val="00AE38E3"/>
    <w:rsid w:val="00AE6538"/>
    <w:rsid w:val="00AE7230"/>
    <w:rsid w:val="00AF1156"/>
    <w:rsid w:val="00AF1F39"/>
    <w:rsid w:val="00AF3280"/>
    <w:rsid w:val="00AF336B"/>
    <w:rsid w:val="00AF38EB"/>
    <w:rsid w:val="00AF3DBE"/>
    <w:rsid w:val="00AF50EB"/>
    <w:rsid w:val="00AF6692"/>
    <w:rsid w:val="00AF6FC5"/>
    <w:rsid w:val="00B0022F"/>
    <w:rsid w:val="00B00FF5"/>
    <w:rsid w:val="00B010E5"/>
    <w:rsid w:val="00B01673"/>
    <w:rsid w:val="00B016EE"/>
    <w:rsid w:val="00B02CA2"/>
    <w:rsid w:val="00B03F90"/>
    <w:rsid w:val="00B04481"/>
    <w:rsid w:val="00B05AE1"/>
    <w:rsid w:val="00B06AF7"/>
    <w:rsid w:val="00B077BA"/>
    <w:rsid w:val="00B07C9A"/>
    <w:rsid w:val="00B1142E"/>
    <w:rsid w:val="00B11AA4"/>
    <w:rsid w:val="00B12527"/>
    <w:rsid w:val="00B1360C"/>
    <w:rsid w:val="00B1487F"/>
    <w:rsid w:val="00B15CCA"/>
    <w:rsid w:val="00B16AE5"/>
    <w:rsid w:val="00B203CD"/>
    <w:rsid w:val="00B216E1"/>
    <w:rsid w:val="00B2646A"/>
    <w:rsid w:val="00B26FD9"/>
    <w:rsid w:val="00B27317"/>
    <w:rsid w:val="00B30574"/>
    <w:rsid w:val="00B311E5"/>
    <w:rsid w:val="00B31F5B"/>
    <w:rsid w:val="00B32DA9"/>
    <w:rsid w:val="00B335A9"/>
    <w:rsid w:val="00B36578"/>
    <w:rsid w:val="00B36A70"/>
    <w:rsid w:val="00B4070A"/>
    <w:rsid w:val="00B4136D"/>
    <w:rsid w:val="00B41404"/>
    <w:rsid w:val="00B428D1"/>
    <w:rsid w:val="00B4365D"/>
    <w:rsid w:val="00B43985"/>
    <w:rsid w:val="00B44A7F"/>
    <w:rsid w:val="00B45F49"/>
    <w:rsid w:val="00B4715E"/>
    <w:rsid w:val="00B47F29"/>
    <w:rsid w:val="00B509FF"/>
    <w:rsid w:val="00B50A1C"/>
    <w:rsid w:val="00B50EC7"/>
    <w:rsid w:val="00B52427"/>
    <w:rsid w:val="00B531C7"/>
    <w:rsid w:val="00B5468C"/>
    <w:rsid w:val="00B54951"/>
    <w:rsid w:val="00B553F4"/>
    <w:rsid w:val="00B55677"/>
    <w:rsid w:val="00B61517"/>
    <w:rsid w:val="00B63632"/>
    <w:rsid w:val="00B63FED"/>
    <w:rsid w:val="00B64C4D"/>
    <w:rsid w:val="00B654B2"/>
    <w:rsid w:val="00B65BEB"/>
    <w:rsid w:val="00B65EAF"/>
    <w:rsid w:val="00B663B0"/>
    <w:rsid w:val="00B67932"/>
    <w:rsid w:val="00B67E03"/>
    <w:rsid w:val="00B67F9D"/>
    <w:rsid w:val="00B7012D"/>
    <w:rsid w:val="00B70138"/>
    <w:rsid w:val="00B702A4"/>
    <w:rsid w:val="00B70DEE"/>
    <w:rsid w:val="00B71B08"/>
    <w:rsid w:val="00B72D82"/>
    <w:rsid w:val="00B745FE"/>
    <w:rsid w:val="00B75938"/>
    <w:rsid w:val="00B771F2"/>
    <w:rsid w:val="00B81E29"/>
    <w:rsid w:val="00B822E0"/>
    <w:rsid w:val="00B82FD1"/>
    <w:rsid w:val="00B850F8"/>
    <w:rsid w:val="00B87EE4"/>
    <w:rsid w:val="00B916CB"/>
    <w:rsid w:val="00B91E6D"/>
    <w:rsid w:val="00B92D52"/>
    <w:rsid w:val="00B92EF1"/>
    <w:rsid w:val="00B93FBC"/>
    <w:rsid w:val="00B96C8C"/>
    <w:rsid w:val="00B97036"/>
    <w:rsid w:val="00B9723C"/>
    <w:rsid w:val="00B97DA3"/>
    <w:rsid w:val="00BA1C30"/>
    <w:rsid w:val="00BA1E73"/>
    <w:rsid w:val="00BA45A7"/>
    <w:rsid w:val="00BA6557"/>
    <w:rsid w:val="00BB047A"/>
    <w:rsid w:val="00BB0F35"/>
    <w:rsid w:val="00BB1000"/>
    <w:rsid w:val="00BB2750"/>
    <w:rsid w:val="00BB4A12"/>
    <w:rsid w:val="00BB551B"/>
    <w:rsid w:val="00BB59A5"/>
    <w:rsid w:val="00BB5ECA"/>
    <w:rsid w:val="00BB711F"/>
    <w:rsid w:val="00BB7A42"/>
    <w:rsid w:val="00BC08CF"/>
    <w:rsid w:val="00BC415C"/>
    <w:rsid w:val="00BC4234"/>
    <w:rsid w:val="00BC69ED"/>
    <w:rsid w:val="00BD19AA"/>
    <w:rsid w:val="00BD220F"/>
    <w:rsid w:val="00BD5115"/>
    <w:rsid w:val="00BD7C43"/>
    <w:rsid w:val="00BE014E"/>
    <w:rsid w:val="00BE0192"/>
    <w:rsid w:val="00BE021B"/>
    <w:rsid w:val="00BE0DD9"/>
    <w:rsid w:val="00BE1000"/>
    <w:rsid w:val="00BE436A"/>
    <w:rsid w:val="00BE484C"/>
    <w:rsid w:val="00BE5706"/>
    <w:rsid w:val="00BF11D3"/>
    <w:rsid w:val="00BF22FE"/>
    <w:rsid w:val="00BF2544"/>
    <w:rsid w:val="00BF27A8"/>
    <w:rsid w:val="00BF29C7"/>
    <w:rsid w:val="00BF2A77"/>
    <w:rsid w:val="00BF2E2B"/>
    <w:rsid w:val="00BF49F3"/>
    <w:rsid w:val="00BF4E47"/>
    <w:rsid w:val="00C033E9"/>
    <w:rsid w:val="00C04668"/>
    <w:rsid w:val="00C05C5E"/>
    <w:rsid w:val="00C06E21"/>
    <w:rsid w:val="00C07F81"/>
    <w:rsid w:val="00C1104A"/>
    <w:rsid w:val="00C11256"/>
    <w:rsid w:val="00C115B7"/>
    <w:rsid w:val="00C11D7A"/>
    <w:rsid w:val="00C122B3"/>
    <w:rsid w:val="00C13957"/>
    <w:rsid w:val="00C146B9"/>
    <w:rsid w:val="00C14803"/>
    <w:rsid w:val="00C14C74"/>
    <w:rsid w:val="00C167EF"/>
    <w:rsid w:val="00C16978"/>
    <w:rsid w:val="00C16F31"/>
    <w:rsid w:val="00C179DA"/>
    <w:rsid w:val="00C17A28"/>
    <w:rsid w:val="00C2124E"/>
    <w:rsid w:val="00C22562"/>
    <w:rsid w:val="00C22E6A"/>
    <w:rsid w:val="00C23380"/>
    <w:rsid w:val="00C23B62"/>
    <w:rsid w:val="00C25143"/>
    <w:rsid w:val="00C2727E"/>
    <w:rsid w:val="00C32A0E"/>
    <w:rsid w:val="00C33239"/>
    <w:rsid w:val="00C33360"/>
    <w:rsid w:val="00C34D5A"/>
    <w:rsid w:val="00C3513A"/>
    <w:rsid w:val="00C4001F"/>
    <w:rsid w:val="00C40E1E"/>
    <w:rsid w:val="00C43309"/>
    <w:rsid w:val="00C449D0"/>
    <w:rsid w:val="00C44F64"/>
    <w:rsid w:val="00C46D33"/>
    <w:rsid w:val="00C5057A"/>
    <w:rsid w:val="00C512BD"/>
    <w:rsid w:val="00C53AD7"/>
    <w:rsid w:val="00C53F30"/>
    <w:rsid w:val="00C579D7"/>
    <w:rsid w:val="00C60268"/>
    <w:rsid w:val="00C6194B"/>
    <w:rsid w:val="00C61D34"/>
    <w:rsid w:val="00C64394"/>
    <w:rsid w:val="00C65B2E"/>
    <w:rsid w:val="00C75BD2"/>
    <w:rsid w:val="00C75E02"/>
    <w:rsid w:val="00C7629E"/>
    <w:rsid w:val="00C765E8"/>
    <w:rsid w:val="00C771A2"/>
    <w:rsid w:val="00C77F08"/>
    <w:rsid w:val="00C80ED4"/>
    <w:rsid w:val="00C81124"/>
    <w:rsid w:val="00C833DF"/>
    <w:rsid w:val="00C85C22"/>
    <w:rsid w:val="00C86452"/>
    <w:rsid w:val="00C87778"/>
    <w:rsid w:val="00C91618"/>
    <w:rsid w:val="00C91A28"/>
    <w:rsid w:val="00C91DFA"/>
    <w:rsid w:val="00C92317"/>
    <w:rsid w:val="00C92BE4"/>
    <w:rsid w:val="00C933E6"/>
    <w:rsid w:val="00C96A4E"/>
    <w:rsid w:val="00C96F4A"/>
    <w:rsid w:val="00CA2477"/>
    <w:rsid w:val="00CA3FE1"/>
    <w:rsid w:val="00CA40F3"/>
    <w:rsid w:val="00CA4258"/>
    <w:rsid w:val="00CA5527"/>
    <w:rsid w:val="00CA5CD1"/>
    <w:rsid w:val="00CA6117"/>
    <w:rsid w:val="00CA6394"/>
    <w:rsid w:val="00CA71AA"/>
    <w:rsid w:val="00CA78EF"/>
    <w:rsid w:val="00CB17BD"/>
    <w:rsid w:val="00CB2556"/>
    <w:rsid w:val="00CB2B22"/>
    <w:rsid w:val="00CB505E"/>
    <w:rsid w:val="00CB5B78"/>
    <w:rsid w:val="00CB5C31"/>
    <w:rsid w:val="00CB6164"/>
    <w:rsid w:val="00CB6227"/>
    <w:rsid w:val="00CC1033"/>
    <w:rsid w:val="00CC123B"/>
    <w:rsid w:val="00CC1EE9"/>
    <w:rsid w:val="00CC2D07"/>
    <w:rsid w:val="00CC31BF"/>
    <w:rsid w:val="00CC3A31"/>
    <w:rsid w:val="00CC3E87"/>
    <w:rsid w:val="00CC60DB"/>
    <w:rsid w:val="00CC7816"/>
    <w:rsid w:val="00CD1D80"/>
    <w:rsid w:val="00CD2140"/>
    <w:rsid w:val="00CD39A7"/>
    <w:rsid w:val="00CD4B1B"/>
    <w:rsid w:val="00CE15D4"/>
    <w:rsid w:val="00CE179C"/>
    <w:rsid w:val="00CE2023"/>
    <w:rsid w:val="00CE2059"/>
    <w:rsid w:val="00CE45A5"/>
    <w:rsid w:val="00CE4F22"/>
    <w:rsid w:val="00CE6224"/>
    <w:rsid w:val="00CE6B14"/>
    <w:rsid w:val="00CF16AC"/>
    <w:rsid w:val="00CF21C3"/>
    <w:rsid w:val="00CF2397"/>
    <w:rsid w:val="00CF2706"/>
    <w:rsid w:val="00CF5ACA"/>
    <w:rsid w:val="00CF7B24"/>
    <w:rsid w:val="00D00F1D"/>
    <w:rsid w:val="00D0192A"/>
    <w:rsid w:val="00D105CE"/>
    <w:rsid w:val="00D10C71"/>
    <w:rsid w:val="00D134CF"/>
    <w:rsid w:val="00D150BF"/>
    <w:rsid w:val="00D150F8"/>
    <w:rsid w:val="00D208F1"/>
    <w:rsid w:val="00D20C6A"/>
    <w:rsid w:val="00D27813"/>
    <w:rsid w:val="00D30DDE"/>
    <w:rsid w:val="00D31012"/>
    <w:rsid w:val="00D31043"/>
    <w:rsid w:val="00D31D92"/>
    <w:rsid w:val="00D3574F"/>
    <w:rsid w:val="00D35F18"/>
    <w:rsid w:val="00D36B26"/>
    <w:rsid w:val="00D421B4"/>
    <w:rsid w:val="00D42263"/>
    <w:rsid w:val="00D425BD"/>
    <w:rsid w:val="00D43121"/>
    <w:rsid w:val="00D50D37"/>
    <w:rsid w:val="00D515AB"/>
    <w:rsid w:val="00D5186D"/>
    <w:rsid w:val="00D51A9D"/>
    <w:rsid w:val="00D52C4C"/>
    <w:rsid w:val="00D52C83"/>
    <w:rsid w:val="00D54885"/>
    <w:rsid w:val="00D55093"/>
    <w:rsid w:val="00D5580B"/>
    <w:rsid w:val="00D55EAA"/>
    <w:rsid w:val="00D56F20"/>
    <w:rsid w:val="00D57422"/>
    <w:rsid w:val="00D61407"/>
    <w:rsid w:val="00D61C51"/>
    <w:rsid w:val="00D63D5B"/>
    <w:rsid w:val="00D63F87"/>
    <w:rsid w:val="00D65A9A"/>
    <w:rsid w:val="00D65E4A"/>
    <w:rsid w:val="00D663A0"/>
    <w:rsid w:val="00D67718"/>
    <w:rsid w:val="00D7002A"/>
    <w:rsid w:val="00D70D76"/>
    <w:rsid w:val="00D7147D"/>
    <w:rsid w:val="00D72390"/>
    <w:rsid w:val="00D726E7"/>
    <w:rsid w:val="00D7396A"/>
    <w:rsid w:val="00D7396E"/>
    <w:rsid w:val="00D75002"/>
    <w:rsid w:val="00D75849"/>
    <w:rsid w:val="00D75C48"/>
    <w:rsid w:val="00D76F51"/>
    <w:rsid w:val="00D77E8F"/>
    <w:rsid w:val="00D77FA4"/>
    <w:rsid w:val="00D8421E"/>
    <w:rsid w:val="00D84336"/>
    <w:rsid w:val="00D84407"/>
    <w:rsid w:val="00D84996"/>
    <w:rsid w:val="00D86FB2"/>
    <w:rsid w:val="00D87307"/>
    <w:rsid w:val="00D87620"/>
    <w:rsid w:val="00D90534"/>
    <w:rsid w:val="00D91CC1"/>
    <w:rsid w:val="00D94D4C"/>
    <w:rsid w:val="00D96DCA"/>
    <w:rsid w:val="00DA1ECF"/>
    <w:rsid w:val="00DA4107"/>
    <w:rsid w:val="00DA4907"/>
    <w:rsid w:val="00DA7B79"/>
    <w:rsid w:val="00DB0CD7"/>
    <w:rsid w:val="00DB35B5"/>
    <w:rsid w:val="00DB497E"/>
    <w:rsid w:val="00DB4D26"/>
    <w:rsid w:val="00DB5156"/>
    <w:rsid w:val="00DB6F04"/>
    <w:rsid w:val="00DB76B6"/>
    <w:rsid w:val="00DC0B83"/>
    <w:rsid w:val="00DC0DA0"/>
    <w:rsid w:val="00DC1884"/>
    <w:rsid w:val="00DC26E3"/>
    <w:rsid w:val="00DC2EB5"/>
    <w:rsid w:val="00DC3424"/>
    <w:rsid w:val="00DC375C"/>
    <w:rsid w:val="00DC5A3C"/>
    <w:rsid w:val="00DC645E"/>
    <w:rsid w:val="00DC73BC"/>
    <w:rsid w:val="00DC7F4A"/>
    <w:rsid w:val="00DD0F34"/>
    <w:rsid w:val="00DD2275"/>
    <w:rsid w:val="00DD3F68"/>
    <w:rsid w:val="00DD52C7"/>
    <w:rsid w:val="00DD7B6A"/>
    <w:rsid w:val="00DE1D50"/>
    <w:rsid w:val="00DE330C"/>
    <w:rsid w:val="00DE65E5"/>
    <w:rsid w:val="00DF1BD7"/>
    <w:rsid w:val="00DF275D"/>
    <w:rsid w:val="00DF2B86"/>
    <w:rsid w:val="00DF44B9"/>
    <w:rsid w:val="00E00880"/>
    <w:rsid w:val="00E01741"/>
    <w:rsid w:val="00E01D1F"/>
    <w:rsid w:val="00E02352"/>
    <w:rsid w:val="00E02E9A"/>
    <w:rsid w:val="00E05A8E"/>
    <w:rsid w:val="00E0601F"/>
    <w:rsid w:val="00E0745F"/>
    <w:rsid w:val="00E07C28"/>
    <w:rsid w:val="00E126A3"/>
    <w:rsid w:val="00E12796"/>
    <w:rsid w:val="00E1573C"/>
    <w:rsid w:val="00E1580D"/>
    <w:rsid w:val="00E2002A"/>
    <w:rsid w:val="00E20551"/>
    <w:rsid w:val="00E20DED"/>
    <w:rsid w:val="00E2124C"/>
    <w:rsid w:val="00E21B9C"/>
    <w:rsid w:val="00E21FC9"/>
    <w:rsid w:val="00E221BB"/>
    <w:rsid w:val="00E22646"/>
    <w:rsid w:val="00E23253"/>
    <w:rsid w:val="00E23C45"/>
    <w:rsid w:val="00E253AB"/>
    <w:rsid w:val="00E31F06"/>
    <w:rsid w:val="00E33681"/>
    <w:rsid w:val="00E33919"/>
    <w:rsid w:val="00E3607E"/>
    <w:rsid w:val="00E3665C"/>
    <w:rsid w:val="00E36C2B"/>
    <w:rsid w:val="00E36F98"/>
    <w:rsid w:val="00E37738"/>
    <w:rsid w:val="00E427ED"/>
    <w:rsid w:val="00E42891"/>
    <w:rsid w:val="00E4405E"/>
    <w:rsid w:val="00E46AFA"/>
    <w:rsid w:val="00E46E2F"/>
    <w:rsid w:val="00E47387"/>
    <w:rsid w:val="00E5020D"/>
    <w:rsid w:val="00E503CB"/>
    <w:rsid w:val="00E51662"/>
    <w:rsid w:val="00E518A1"/>
    <w:rsid w:val="00E51EA5"/>
    <w:rsid w:val="00E52D62"/>
    <w:rsid w:val="00E55B4D"/>
    <w:rsid w:val="00E56F31"/>
    <w:rsid w:val="00E573BA"/>
    <w:rsid w:val="00E61E0D"/>
    <w:rsid w:val="00E63EBD"/>
    <w:rsid w:val="00E6548F"/>
    <w:rsid w:val="00E65CB7"/>
    <w:rsid w:val="00E66858"/>
    <w:rsid w:val="00E710B4"/>
    <w:rsid w:val="00E72736"/>
    <w:rsid w:val="00E72ACE"/>
    <w:rsid w:val="00E75EA3"/>
    <w:rsid w:val="00E76022"/>
    <w:rsid w:val="00E762C9"/>
    <w:rsid w:val="00E9130B"/>
    <w:rsid w:val="00E9241A"/>
    <w:rsid w:val="00E93A75"/>
    <w:rsid w:val="00E95A56"/>
    <w:rsid w:val="00EA0379"/>
    <w:rsid w:val="00EA0FEF"/>
    <w:rsid w:val="00EA1569"/>
    <w:rsid w:val="00EA2197"/>
    <w:rsid w:val="00EA2F97"/>
    <w:rsid w:val="00EA32BE"/>
    <w:rsid w:val="00EA4DBE"/>
    <w:rsid w:val="00EA4DCB"/>
    <w:rsid w:val="00EA61B7"/>
    <w:rsid w:val="00EA7196"/>
    <w:rsid w:val="00EA7FB8"/>
    <w:rsid w:val="00EB05C8"/>
    <w:rsid w:val="00EB096A"/>
    <w:rsid w:val="00EB204B"/>
    <w:rsid w:val="00EB3A00"/>
    <w:rsid w:val="00EB4FB5"/>
    <w:rsid w:val="00EB57AD"/>
    <w:rsid w:val="00EB5D94"/>
    <w:rsid w:val="00EB675C"/>
    <w:rsid w:val="00EB74FC"/>
    <w:rsid w:val="00EC1A79"/>
    <w:rsid w:val="00EC22D8"/>
    <w:rsid w:val="00EC288C"/>
    <w:rsid w:val="00EC3080"/>
    <w:rsid w:val="00EC39BA"/>
    <w:rsid w:val="00EC4431"/>
    <w:rsid w:val="00EC475F"/>
    <w:rsid w:val="00EC4984"/>
    <w:rsid w:val="00EC4AF9"/>
    <w:rsid w:val="00EC57B1"/>
    <w:rsid w:val="00EC5BFC"/>
    <w:rsid w:val="00ED2B61"/>
    <w:rsid w:val="00ED2D6D"/>
    <w:rsid w:val="00ED3C0A"/>
    <w:rsid w:val="00ED6924"/>
    <w:rsid w:val="00ED6C29"/>
    <w:rsid w:val="00EE2B8E"/>
    <w:rsid w:val="00EE3162"/>
    <w:rsid w:val="00EE5410"/>
    <w:rsid w:val="00EE6B60"/>
    <w:rsid w:val="00EE7398"/>
    <w:rsid w:val="00EF069D"/>
    <w:rsid w:val="00EF2E92"/>
    <w:rsid w:val="00EF3B01"/>
    <w:rsid w:val="00EF4663"/>
    <w:rsid w:val="00EF4AD0"/>
    <w:rsid w:val="00EF5C58"/>
    <w:rsid w:val="00F0028E"/>
    <w:rsid w:val="00F00624"/>
    <w:rsid w:val="00F01499"/>
    <w:rsid w:val="00F06B87"/>
    <w:rsid w:val="00F108F2"/>
    <w:rsid w:val="00F1093C"/>
    <w:rsid w:val="00F1113F"/>
    <w:rsid w:val="00F12157"/>
    <w:rsid w:val="00F12761"/>
    <w:rsid w:val="00F13133"/>
    <w:rsid w:val="00F13AFD"/>
    <w:rsid w:val="00F13BAF"/>
    <w:rsid w:val="00F14C50"/>
    <w:rsid w:val="00F1537D"/>
    <w:rsid w:val="00F15EEA"/>
    <w:rsid w:val="00F23A9D"/>
    <w:rsid w:val="00F23BC2"/>
    <w:rsid w:val="00F244BD"/>
    <w:rsid w:val="00F24F7B"/>
    <w:rsid w:val="00F26986"/>
    <w:rsid w:val="00F301A4"/>
    <w:rsid w:val="00F30F3D"/>
    <w:rsid w:val="00F31086"/>
    <w:rsid w:val="00F34C17"/>
    <w:rsid w:val="00F35F14"/>
    <w:rsid w:val="00F35F1A"/>
    <w:rsid w:val="00F371BF"/>
    <w:rsid w:val="00F41CB3"/>
    <w:rsid w:val="00F432F1"/>
    <w:rsid w:val="00F44E05"/>
    <w:rsid w:val="00F51120"/>
    <w:rsid w:val="00F5146F"/>
    <w:rsid w:val="00F5370B"/>
    <w:rsid w:val="00F54CBF"/>
    <w:rsid w:val="00F54E96"/>
    <w:rsid w:val="00F578E4"/>
    <w:rsid w:val="00F6058B"/>
    <w:rsid w:val="00F6155B"/>
    <w:rsid w:val="00F63AD5"/>
    <w:rsid w:val="00F66ED0"/>
    <w:rsid w:val="00F670E0"/>
    <w:rsid w:val="00F70D3E"/>
    <w:rsid w:val="00F711CE"/>
    <w:rsid w:val="00F71BD7"/>
    <w:rsid w:val="00F747CE"/>
    <w:rsid w:val="00F7528D"/>
    <w:rsid w:val="00F75AFE"/>
    <w:rsid w:val="00F7768C"/>
    <w:rsid w:val="00F812FE"/>
    <w:rsid w:val="00F818AA"/>
    <w:rsid w:val="00F81A57"/>
    <w:rsid w:val="00F81E24"/>
    <w:rsid w:val="00F82994"/>
    <w:rsid w:val="00F8317B"/>
    <w:rsid w:val="00F83642"/>
    <w:rsid w:val="00F85F50"/>
    <w:rsid w:val="00F8753E"/>
    <w:rsid w:val="00F900CA"/>
    <w:rsid w:val="00F90654"/>
    <w:rsid w:val="00F9104B"/>
    <w:rsid w:val="00F91A92"/>
    <w:rsid w:val="00F92BD8"/>
    <w:rsid w:val="00F94864"/>
    <w:rsid w:val="00F9518D"/>
    <w:rsid w:val="00F951FA"/>
    <w:rsid w:val="00F9568F"/>
    <w:rsid w:val="00F96EE2"/>
    <w:rsid w:val="00FA01BD"/>
    <w:rsid w:val="00FA17A6"/>
    <w:rsid w:val="00FA2F6D"/>
    <w:rsid w:val="00FA3F66"/>
    <w:rsid w:val="00FA486D"/>
    <w:rsid w:val="00FA4BD4"/>
    <w:rsid w:val="00FA656C"/>
    <w:rsid w:val="00FA7162"/>
    <w:rsid w:val="00FB3C65"/>
    <w:rsid w:val="00FC34FE"/>
    <w:rsid w:val="00FC3E4F"/>
    <w:rsid w:val="00FC49C2"/>
    <w:rsid w:val="00FC5B92"/>
    <w:rsid w:val="00FC5BF5"/>
    <w:rsid w:val="00FC694D"/>
    <w:rsid w:val="00FC6FE3"/>
    <w:rsid w:val="00FD1B9B"/>
    <w:rsid w:val="00FD2C93"/>
    <w:rsid w:val="00FD75A0"/>
    <w:rsid w:val="00FE5BAF"/>
    <w:rsid w:val="00FE6F11"/>
    <w:rsid w:val="00FE7E72"/>
    <w:rsid w:val="00FF0A72"/>
    <w:rsid w:val="00FF101D"/>
    <w:rsid w:val="00FF27AE"/>
    <w:rsid w:val="00FF27FD"/>
    <w:rsid w:val="00FF2F07"/>
    <w:rsid w:val="00FF56BC"/>
    <w:rsid w:val="00FF578E"/>
    <w:rsid w:val="00FF5C6F"/>
    <w:rsid w:val="00FF5FC6"/>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209D6B"/>
  <w15:docId w15:val="{ADAC4937-50F5-4F22-BAE9-110FC2EB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83"/>
    <w:pPr>
      <w:ind w:left="720"/>
      <w:contextualSpacing/>
    </w:pPr>
  </w:style>
  <w:style w:type="paragraph" w:styleId="FootnoteText">
    <w:name w:val="footnote text"/>
    <w:aliases w:val="Znak,Tekst przypisu,fn,footnote text,footnote text Char,Footnote Text Char1,Footnote Text Char1 Char,single space,FOOTNOTES,Podrozdział,Fußnote,Footnote,Podrozdzia3,przypis,Fußnotentext wam,Footnote Text Char2 Char"/>
    <w:basedOn w:val="Normal"/>
    <w:link w:val="FootnoteTextChar"/>
    <w:uiPriority w:val="99"/>
    <w:unhideWhenUsed/>
    <w:qFormat/>
    <w:rsid w:val="00255AE4"/>
    <w:rPr>
      <w:sz w:val="20"/>
      <w:szCs w:val="20"/>
    </w:rPr>
  </w:style>
  <w:style w:type="character" w:customStyle="1" w:styleId="FootnoteTextChar">
    <w:name w:val="Footnote Text Char"/>
    <w:aliases w:val="Znak Char,Tekst przypisu Char,fn Char,footnote text Char1,footnote text Char Char,Footnote Text Char1 Char1,Footnote Text Char1 Char Char,single space Char,FOOTNOTES Char,Podrozdział Char,Fußnote Char,Footnote Char,Podrozdzia3 Char"/>
    <w:basedOn w:val="DefaultParagraphFont"/>
    <w:link w:val="FootnoteText"/>
    <w:uiPriority w:val="99"/>
    <w:rsid w:val="00255AE4"/>
    <w:rPr>
      <w:noProof/>
      <w:sz w:val="20"/>
      <w:szCs w:val="20"/>
      <w:lang w:val="lv-LV"/>
    </w:rPr>
  </w:style>
  <w:style w:type="character" w:styleId="FootnoteReference">
    <w:name w:val="footnote reference"/>
    <w:aliases w:val="Footnote Reference Superscript,Footnote Reference Number,Odwołanie przypisu,ftref"/>
    <w:basedOn w:val="DefaultParagraphFont"/>
    <w:uiPriority w:val="99"/>
    <w:unhideWhenUsed/>
    <w:rsid w:val="00255AE4"/>
    <w:rPr>
      <w:vertAlign w:val="superscript"/>
    </w:rPr>
  </w:style>
  <w:style w:type="paragraph" w:styleId="Header">
    <w:name w:val="header"/>
    <w:basedOn w:val="Normal"/>
    <w:link w:val="HeaderChar"/>
    <w:uiPriority w:val="99"/>
    <w:unhideWhenUsed/>
    <w:rsid w:val="00004512"/>
    <w:pPr>
      <w:tabs>
        <w:tab w:val="center" w:pos="4680"/>
        <w:tab w:val="right" w:pos="9360"/>
      </w:tabs>
    </w:pPr>
  </w:style>
  <w:style w:type="character" w:customStyle="1" w:styleId="HeaderChar">
    <w:name w:val="Header Char"/>
    <w:basedOn w:val="DefaultParagraphFont"/>
    <w:link w:val="Header"/>
    <w:uiPriority w:val="99"/>
    <w:rsid w:val="00004512"/>
    <w:rPr>
      <w:noProof/>
      <w:lang w:val="lv-LV"/>
    </w:rPr>
  </w:style>
  <w:style w:type="paragraph" w:styleId="Footer">
    <w:name w:val="footer"/>
    <w:basedOn w:val="Normal"/>
    <w:link w:val="FooterChar"/>
    <w:uiPriority w:val="99"/>
    <w:unhideWhenUsed/>
    <w:rsid w:val="00004512"/>
    <w:pPr>
      <w:tabs>
        <w:tab w:val="center" w:pos="4680"/>
        <w:tab w:val="right" w:pos="9360"/>
      </w:tabs>
    </w:pPr>
  </w:style>
  <w:style w:type="character" w:customStyle="1" w:styleId="FooterChar">
    <w:name w:val="Footer Char"/>
    <w:basedOn w:val="DefaultParagraphFont"/>
    <w:link w:val="Footer"/>
    <w:uiPriority w:val="99"/>
    <w:rsid w:val="00004512"/>
    <w:rPr>
      <w:noProof/>
      <w:lang w:val="lv-LV"/>
    </w:rPr>
  </w:style>
  <w:style w:type="paragraph" w:customStyle="1" w:styleId="Default">
    <w:name w:val="Default"/>
    <w:rsid w:val="00726828"/>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C75E02"/>
    <w:rPr>
      <w:color w:val="0563C1" w:themeColor="hyperlink"/>
      <w:u w:val="single"/>
    </w:rPr>
  </w:style>
  <w:style w:type="character" w:customStyle="1" w:styleId="xmsofootnotereference">
    <w:name w:val="x_msofootnotereference"/>
    <w:basedOn w:val="DefaultParagraphFont"/>
    <w:rsid w:val="00677F0A"/>
  </w:style>
  <w:style w:type="paragraph" w:customStyle="1" w:styleId="xmsonormal">
    <w:name w:val="x_msonormal"/>
    <w:basedOn w:val="Normal"/>
    <w:rsid w:val="000C75CB"/>
    <w:pPr>
      <w:spacing w:before="100" w:beforeAutospacing="1" w:after="100" w:afterAutospacing="1"/>
    </w:pPr>
    <w:rPr>
      <w:rFonts w:eastAsia="Times New Roman" w:cs="Times New Roman"/>
      <w:noProof w:val="0"/>
      <w:szCs w:val="24"/>
      <w:lang w:val="en-US"/>
    </w:rPr>
  </w:style>
  <w:style w:type="paragraph" w:styleId="BalloonText">
    <w:name w:val="Balloon Text"/>
    <w:basedOn w:val="Normal"/>
    <w:link w:val="BalloonTextChar"/>
    <w:uiPriority w:val="99"/>
    <w:semiHidden/>
    <w:unhideWhenUsed/>
    <w:rsid w:val="00905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DF7"/>
    <w:rPr>
      <w:rFonts w:ascii="Segoe UI" w:hAnsi="Segoe UI" w:cs="Segoe UI"/>
      <w:noProof/>
      <w:sz w:val="18"/>
      <w:szCs w:val="18"/>
      <w:lang w:val="lv-LV"/>
    </w:rPr>
  </w:style>
  <w:style w:type="character" w:styleId="FollowedHyperlink">
    <w:name w:val="FollowedHyperlink"/>
    <w:basedOn w:val="DefaultParagraphFont"/>
    <w:uiPriority w:val="99"/>
    <w:semiHidden/>
    <w:unhideWhenUsed/>
    <w:rsid w:val="005C7964"/>
    <w:rPr>
      <w:color w:val="954F72" w:themeColor="followedHyperlink"/>
      <w:u w:val="single"/>
    </w:rPr>
  </w:style>
  <w:style w:type="character" w:styleId="CommentReference">
    <w:name w:val="annotation reference"/>
    <w:basedOn w:val="DefaultParagraphFont"/>
    <w:uiPriority w:val="99"/>
    <w:semiHidden/>
    <w:unhideWhenUsed/>
    <w:rsid w:val="000B3C51"/>
    <w:rPr>
      <w:sz w:val="16"/>
      <w:szCs w:val="16"/>
    </w:rPr>
  </w:style>
  <w:style w:type="paragraph" w:styleId="CommentText">
    <w:name w:val="annotation text"/>
    <w:basedOn w:val="Normal"/>
    <w:link w:val="CommentTextChar"/>
    <w:uiPriority w:val="99"/>
    <w:semiHidden/>
    <w:unhideWhenUsed/>
    <w:rsid w:val="000B3C51"/>
    <w:rPr>
      <w:sz w:val="20"/>
      <w:szCs w:val="20"/>
    </w:rPr>
  </w:style>
  <w:style w:type="character" w:customStyle="1" w:styleId="CommentTextChar">
    <w:name w:val="Comment Text Char"/>
    <w:basedOn w:val="DefaultParagraphFont"/>
    <w:link w:val="CommentText"/>
    <w:uiPriority w:val="99"/>
    <w:semiHidden/>
    <w:rsid w:val="000B3C51"/>
    <w:rPr>
      <w:noProof/>
      <w:sz w:val="20"/>
      <w:szCs w:val="20"/>
      <w:lang w:val="lv-LV"/>
    </w:rPr>
  </w:style>
  <w:style w:type="paragraph" w:styleId="CommentSubject">
    <w:name w:val="annotation subject"/>
    <w:basedOn w:val="CommentText"/>
    <w:next w:val="CommentText"/>
    <w:link w:val="CommentSubjectChar"/>
    <w:uiPriority w:val="99"/>
    <w:semiHidden/>
    <w:unhideWhenUsed/>
    <w:rsid w:val="000B3C51"/>
    <w:rPr>
      <w:b/>
      <w:bCs/>
    </w:rPr>
  </w:style>
  <w:style w:type="character" w:customStyle="1" w:styleId="CommentSubjectChar">
    <w:name w:val="Comment Subject Char"/>
    <w:basedOn w:val="CommentTextChar"/>
    <w:link w:val="CommentSubject"/>
    <w:uiPriority w:val="99"/>
    <w:semiHidden/>
    <w:rsid w:val="000B3C51"/>
    <w:rPr>
      <w:b/>
      <w:bCs/>
      <w:noProof/>
      <w:sz w:val="20"/>
      <w:szCs w:val="20"/>
      <w:lang w:val="lv-LV"/>
    </w:rPr>
  </w:style>
  <w:style w:type="table" w:styleId="TableGrid">
    <w:name w:val="Table Grid"/>
    <w:basedOn w:val="TableNormal"/>
    <w:uiPriority w:val="39"/>
    <w:rsid w:val="00BA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0551"/>
    <w:rPr>
      <w:noProof/>
      <w:lang w:val="lv-LV"/>
    </w:rPr>
  </w:style>
  <w:style w:type="character" w:customStyle="1" w:styleId="UnresolvedMention1">
    <w:name w:val="Unresolved Mention1"/>
    <w:basedOn w:val="DefaultParagraphFont"/>
    <w:uiPriority w:val="99"/>
    <w:semiHidden/>
    <w:unhideWhenUsed/>
    <w:rsid w:val="00853570"/>
    <w:rPr>
      <w:color w:val="808080"/>
      <w:shd w:val="clear" w:color="auto" w:fill="E6E6E6"/>
    </w:rPr>
  </w:style>
  <w:style w:type="paragraph" w:styleId="BodyText">
    <w:name w:val="Body Text"/>
    <w:basedOn w:val="Normal"/>
    <w:link w:val="BodyTextChar"/>
    <w:qFormat/>
    <w:rsid w:val="00016883"/>
    <w:pPr>
      <w:tabs>
        <w:tab w:val="left" w:pos="1701"/>
        <w:tab w:val="left" w:pos="3600"/>
        <w:tab w:val="left" w:pos="5387"/>
      </w:tabs>
      <w:spacing w:after="280" w:line="276" w:lineRule="auto"/>
    </w:pPr>
    <w:rPr>
      <w:rFonts w:asciiTheme="minorHAnsi" w:hAnsiTheme="minorHAnsi"/>
      <w:noProof w:val="0"/>
      <w:sz w:val="25"/>
      <w:szCs w:val="25"/>
      <w:lang w:val="sv-SE"/>
    </w:rPr>
  </w:style>
  <w:style w:type="character" w:customStyle="1" w:styleId="BodyTextChar">
    <w:name w:val="Body Text Char"/>
    <w:basedOn w:val="DefaultParagraphFont"/>
    <w:link w:val="BodyText"/>
    <w:rsid w:val="00016883"/>
    <w:rPr>
      <w:rFonts w:asciiTheme="minorHAnsi" w:hAnsiTheme="minorHAnsi"/>
      <w:sz w:val="25"/>
      <w:szCs w:val="25"/>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423">
      <w:bodyDiv w:val="1"/>
      <w:marLeft w:val="0"/>
      <w:marRight w:val="0"/>
      <w:marTop w:val="0"/>
      <w:marBottom w:val="0"/>
      <w:divBdr>
        <w:top w:val="none" w:sz="0" w:space="0" w:color="auto"/>
        <w:left w:val="none" w:sz="0" w:space="0" w:color="auto"/>
        <w:bottom w:val="none" w:sz="0" w:space="0" w:color="auto"/>
        <w:right w:val="none" w:sz="0" w:space="0" w:color="auto"/>
      </w:divBdr>
    </w:div>
    <w:div w:id="216210205">
      <w:bodyDiv w:val="1"/>
      <w:marLeft w:val="0"/>
      <w:marRight w:val="0"/>
      <w:marTop w:val="0"/>
      <w:marBottom w:val="0"/>
      <w:divBdr>
        <w:top w:val="none" w:sz="0" w:space="0" w:color="auto"/>
        <w:left w:val="none" w:sz="0" w:space="0" w:color="auto"/>
        <w:bottom w:val="none" w:sz="0" w:space="0" w:color="auto"/>
        <w:right w:val="none" w:sz="0" w:space="0" w:color="auto"/>
      </w:divBdr>
    </w:div>
    <w:div w:id="326057456">
      <w:bodyDiv w:val="1"/>
      <w:marLeft w:val="0"/>
      <w:marRight w:val="0"/>
      <w:marTop w:val="0"/>
      <w:marBottom w:val="0"/>
      <w:divBdr>
        <w:top w:val="none" w:sz="0" w:space="0" w:color="auto"/>
        <w:left w:val="none" w:sz="0" w:space="0" w:color="auto"/>
        <w:bottom w:val="none" w:sz="0" w:space="0" w:color="auto"/>
        <w:right w:val="none" w:sz="0" w:space="0" w:color="auto"/>
      </w:divBdr>
    </w:div>
    <w:div w:id="342440653">
      <w:bodyDiv w:val="1"/>
      <w:marLeft w:val="0"/>
      <w:marRight w:val="0"/>
      <w:marTop w:val="0"/>
      <w:marBottom w:val="0"/>
      <w:divBdr>
        <w:top w:val="none" w:sz="0" w:space="0" w:color="auto"/>
        <w:left w:val="none" w:sz="0" w:space="0" w:color="auto"/>
        <w:bottom w:val="none" w:sz="0" w:space="0" w:color="auto"/>
        <w:right w:val="none" w:sz="0" w:space="0" w:color="auto"/>
      </w:divBdr>
    </w:div>
    <w:div w:id="528185858">
      <w:bodyDiv w:val="1"/>
      <w:marLeft w:val="0"/>
      <w:marRight w:val="0"/>
      <w:marTop w:val="0"/>
      <w:marBottom w:val="0"/>
      <w:divBdr>
        <w:top w:val="none" w:sz="0" w:space="0" w:color="auto"/>
        <w:left w:val="none" w:sz="0" w:space="0" w:color="auto"/>
        <w:bottom w:val="none" w:sz="0" w:space="0" w:color="auto"/>
        <w:right w:val="none" w:sz="0" w:space="0" w:color="auto"/>
      </w:divBdr>
    </w:div>
    <w:div w:id="673846450">
      <w:bodyDiv w:val="1"/>
      <w:marLeft w:val="0"/>
      <w:marRight w:val="0"/>
      <w:marTop w:val="0"/>
      <w:marBottom w:val="0"/>
      <w:divBdr>
        <w:top w:val="none" w:sz="0" w:space="0" w:color="auto"/>
        <w:left w:val="none" w:sz="0" w:space="0" w:color="auto"/>
        <w:bottom w:val="none" w:sz="0" w:space="0" w:color="auto"/>
        <w:right w:val="none" w:sz="0" w:space="0" w:color="auto"/>
      </w:divBdr>
    </w:div>
    <w:div w:id="987369030">
      <w:bodyDiv w:val="1"/>
      <w:marLeft w:val="0"/>
      <w:marRight w:val="0"/>
      <w:marTop w:val="0"/>
      <w:marBottom w:val="0"/>
      <w:divBdr>
        <w:top w:val="none" w:sz="0" w:space="0" w:color="auto"/>
        <w:left w:val="none" w:sz="0" w:space="0" w:color="auto"/>
        <w:bottom w:val="none" w:sz="0" w:space="0" w:color="auto"/>
        <w:right w:val="none" w:sz="0" w:space="0" w:color="auto"/>
      </w:divBdr>
    </w:div>
    <w:div w:id="1005746116">
      <w:bodyDiv w:val="1"/>
      <w:marLeft w:val="0"/>
      <w:marRight w:val="0"/>
      <w:marTop w:val="0"/>
      <w:marBottom w:val="0"/>
      <w:divBdr>
        <w:top w:val="none" w:sz="0" w:space="0" w:color="auto"/>
        <w:left w:val="none" w:sz="0" w:space="0" w:color="auto"/>
        <w:bottom w:val="none" w:sz="0" w:space="0" w:color="auto"/>
        <w:right w:val="none" w:sz="0" w:space="0" w:color="auto"/>
      </w:divBdr>
    </w:div>
    <w:div w:id="1008629820">
      <w:bodyDiv w:val="1"/>
      <w:marLeft w:val="0"/>
      <w:marRight w:val="0"/>
      <w:marTop w:val="0"/>
      <w:marBottom w:val="0"/>
      <w:divBdr>
        <w:top w:val="none" w:sz="0" w:space="0" w:color="auto"/>
        <w:left w:val="none" w:sz="0" w:space="0" w:color="auto"/>
        <w:bottom w:val="none" w:sz="0" w:space="0" w:color="auto"/>
        <w:right w:val="none" w:sz="0" w:space="0" w:color="auto"/>
      </w:divBdr>
    </w:div>
    <w:div w:id="1053507874">
      <w:bodyDiv w:val="1"/>
      <w:marLeft w:val="0"/>
      <w:marRight w:val="0"/>
      <w:marTop w:val="0"/>
      <w:marBottom w:val="0"/>
      <w:divBdr>
        <w:top w:val="none" w:sz="0" w:space="0" w:color="auto"/>
        <w:left w:val="none" w:sz="0" w:space="0" w:color="auto"/>
        <w:bottom w:val="none" w:sz="0" w:space="0" w:color="auto"/>
        <w:right w:val="none" w:sz="0" w:space="0" w:color="auto"/>
      </w:divBdr>
    </w:div>
    <w:div w:id="1241017603">
      <w:bodyDiv w:val="1"/>
      <w:marLeft w:val="0"/>
      <w:marRight w:val="0"/>
      <w:marTop w:val="0"/>
      <w:marBottom w:val="0"/>
      <w:divBdr>
        <w:top w:val="none" w:sz="0" w:space="0" w:color="auto"/>
        <w:left w:val="none" w:sz="0" w:space="0" w:color="auto"/>
        <w:bottom w:val="none" w:sz="0" w:space="0" w:color="auto"/>
        <w:right w:val="none" w:sz="0" w:space="0" w:color="auto"/>
      </w:divBdr>
      <w:divsChild>
        <w:div w:id="710300910">
          <w:marLeft w:val="0"/>
          <w:marRight w:val="0"/>
          <w:marTop w:val="0"/>
          <w:marBottom w:val="0"/>
          <w:divBdr>
            <w:top w:val="none" w:sz="0" w:space="0" w:color="auto"/>
            <w:left w:val="none" w:sz="0" w:space="0" w:color="auto"/>
            <w:bottom w:val="none" w:sz="0" w:space="0" w:color="auto"/>
            <w:right w:val="none" w:sz="0" w:space="0" w:color="auto"/>
          </w:divBdr>
          <w:divsChild>
            <w:div w:id="1591430928">
              <w:marLeft w:val="0"/>
              <w:marRight w:val="0"/>
              <w:marTop w:val="0"/>
              <w:marBottom w:val="0"/>
              <w:divBdr>
                <w:top w:val="none" w:sz="0" w:space="0" w:color="auto"/>
                <w:left w:val="none" w:sz="0" w:space="0" w:color="auto"/>
                <w:bottom w:val="none" w:sz="0" w:space="0" w:color="auto"/>
                <w:right w:val="none" w:sz="0" w:space="0" w:color="auto"/>
              </w:divBdr>
              <w:divsChild>
                <w:div w:id="499852493">
                  <w:marLeft w:val="0"/>
                  <w:marRight w:val="0"/>
                  <w:marTop w:val="0"/>
                  <w:marBottom w:val="0"/>
                  <w:divBdr>
                    <w:top w:val="none" w:sz="0" w:space="0" w:color="auto"/>
                    <w:left w:val="none" w:sz="0" w:space="0" w:color="auto"/>
                    <w:bottom w:val="none" w:sz="0" w:space="0" w:color="auto"/>
                    <w:right w:val="none" w:sz="0" w:space="0" w:color="auto"/>
                  </w:divBdr>
                  <w:divsChild>
                    <w:div w:id="221865595">
                      <w:marLeft w:val="0"/>
                      <w:marRight w:val="0"/>
                      <w:marTop w:val="0"/>
                      <w:marBottom w:val="0"/>
                      <w:divBdr>
                        <w:top w:val="none" w:sz="0" w:space="0" w:color="auto"/>
                        <w:left w:val="none" w:sz="0" w:space="0" w:color="auto"/>
                        <w:bottom w:val="none" w:sz="0" w:space="0" w:color="auto"/>
                        <w:right w:val="none" w:sz="0" w:space="0" w:color="auto"/>
                      </w:divBdr>
                      <w:divsChild>
                        <w:div w:id="462845594">
                          <w:marLeft w:val="0"/>
                          <w:marRight w:val="0"/>
                          <w:marTop w:val="0"/>
                          <w:marBottom w:val="0"/>
                          <w:divBdr>
                            <w:top w:val="none" w:sz="0" w:space="0" w:color="auto"/>
                            <w:left w:val="none" w:sz="0" w:space="0" w:color="auto"/>
                            <w:bottom w:val="none" w:sz="0" w:space="0" w:color="auto"/>
                            <w:right w:val="none" w:sz="0" w:space="0" w:color="auto"/>
                          </w:divBdr>
                          <w:divsChild>
                            <w:div w:id="1623535503">
                              <w:marLeft w:val="0"/>
                              <w:marRight w:val="0"/>
                              <w:marTop w:val="0"/>
                              <w:marBottom w:val="0"/>
                              <w:divBdr>
                                <w:top w:val="none" w:sz="0" w:space="0" w:color="auto"/>
                                <w:left w:val="none" w:sz="0" w:space="0" w:color="auto"/>
                                <w:bottom w:val="none" w:sz="0" w:space="0" w:color="auto"/>
                                <w:right w:val="none" w:sz="0" w:space="0" w:color="auto"/>
                              </w:divBdr>
                              <w:divsChild>
                                <w:div w:id="1899512993">
                                  <w:marLeft w:val="0"/>
                                  <w:marRight w:val="0"/>
                                  <w:marTop w:val="0"/>
                                  <w:marBottom w:val="0"/>
                                  <w:divBdr>
                                    <w:top w:val="none" w:sz="0" w:space="0" w:color="auto"/>
                                    <w:left w:val="none" w:sz="0" w:space="0" w:color="auto"/>
                                    <w:bottom w:val="none" w:sz="0" w:space="0" w:color="auto"/>
                                    <w:right w:val="none" w:sz="0" w:space="0" w:color="auto"/>
                                  </w:divBdr>
                                  <w:divsChild>
                                    <w:div w:id="1976176841">
                                      <w:marLeft w:val="60"/>
                                      <w:marRight w:val="0"/>
                                      <w:marTop w:val="0"/>
                                      <w:marBottom w:val="0"/>
                                      <w:divBdr>
                                        <w:top w:val="none" w:sz="0" w:space="0" w:color="auto"/>
                                        <w:left w:val="none" w:sz="0" w:space="0" w:color="auto"/>
                                        <w:bottom w:val="none" w:sz="0" w:space="0" w:color="auto"/>
                                        <w:right w:val="none" w:sz="0" w:space="0" w:color="auto"/>
                                      </w:divBdr>
                                      <w:divsChild>
                                        <w:div w:id="1231309238">
                                          <w:marLeft w:val="0"/>
                                          <w:marRight w:val="0"/>
                                          <w:marTop w:val="0"/>
                                          <w:marBottom w:val="0"/>
                                          <w:divBdr>
                                            <w:top w:val="none" w:sz="0" w:space="0" w:color="auto"/>
                                            <w:left w:val="none" w:sz="0" w:space="0" w:color="auto"/>
                                            <w:bottom w:val="none" w:sz="0" w:space="0" w:color="auto"/>
                                            <w:right w:val="none" w:sz="0" w:space="0" w:color="auto"/>
                                          </w:divBdr>
                                          <w:divsChild>
                                            <w:div w:id="349917078">
                                              <w:marLeft w:val="0"/>
                                              <w:marRight w:val="0"/>
                                              <w:marTop w:val="0"/>
                                              <w:marBottom w:val="120"/>
                                              <w:divBdr>
                                                <w:top w:val="single" w:sz="6" w:space="0" w:color="F5F5F5"/>
                                                <w:left w:val="single" w:sz="6" w:space="0" w:color="F5F5F5"/>
                                                <w:bottom w:val="single" w:sz="6" w:space="0" w:color="F5F5F5"/>
                                                <w:right w:val="single" w:sz="6" w:space="0" w:color="F5F5F5"/>
                                              </w:divBdr>
                                              <w:divsChild>
                                                <w:div w:id="2175810">
                                                  <w:marLeft w:val="0"/>
                                                  <w:marRight w:val="0"/>
                                                  <w:marTop w:val="0"/>
                                                  <w:marBottom w:val="0"/>
                                                  <w:divBdr>
                                                    <w:top w:val="none" w:sz="0" w:space="0" w:color="auto"/>
                                                    <w:left w:val="none" w:sz="0" w:space="0" w:color="auto"/>
                                                    <w:bottom w:val="none" w:sz="0" w:space="0" w:color="auto"/>
                                                    <w:right w:val="none" w:sz="0" w:space="0" w:color="auto"/>
                                                  </w:divBdr>
                                                  <w:divsChild>
                                                    <w:div w:id="212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80811">
      <w:bodyDiv w:val="1"/>
      <w:marLeft w:val="0"/>
      <w:marRight w:val="0"/>
      <w:marTop w:val="0"/>
      <w:marBottom w:val="0"/>
      <w:divBdr>
        <w:top w:val="none" w:sz="0" w:space="0" w:color="auto"/>
        <w:left w:val="none" w:sz="0" w:space="0" w:color="auto"/>
        <w:bottom w:val="none" w:sz="0" w:space="0" w:color="auto"/>
        <w:right w:val="none" w:sz="0" w:space="0" w:color="auto"/>
      </w:divBdr>
    </w:div>
    <w:div w:id="1468401539">
      <w:bodyDiv w:val="1"/>
      <w:marLeft w:val="0"/>
      <w:marRight w:val="0"/>
      <w:marTop w:val="0"/>
      <w:marBottom w:val="0"/>
      <w:divBdr>
        <w:top w:val="none" w:sz="0" w:space="0" w:color="auto"/>
        <w:left w:val="none" w:sz="0" w:space="0" w:color="auto"/>
        <w:bottom w:val="none" w:sz="0" w:space="0" w:color="auto"/>
        <w:right w:val="none" w:sz="0" w:space="0" w:color="auto"/>
      </w:divBdr>
    </w:div>
    <w:div w:id="1832408246">
      <w:bodyDiv w:val="1"/>
      <w:marLeft w:val="0"/>
      <w:marRight w:val="0"/>
      <w:marTop w:val="0"/>
      <w:marBottom w:val="0"/>
      <w:divBdr>
        <w:top w:val="none" w:sz="0" w:space="0" w:color="auto"/>
        <w:left w:val="none" w:sz="0" w:space="0" w:color="auto"/>
        <w:bottom w:val="none" w:sz="0" w:space="0" w:color="auto"/>
        <w:right w:val="none" w:sz="0" w:space="0" w:color="auto"/>
      </w:divBdr>
    </w:div>
    <w:div w:id="1838839738">
      <w:bodyDiv w:val="1"/>
      <w:marLeft w:val="0"/>
      <w:marRight w:val="0"/>
      <w:marTop w:val="0"/>
      <w:marBottom w:val="0"/>
      <w:divBdr>
        <w:top w:val="none" w:sz="0" w:space="0" w:color="auto"/>
        <w:left w:val="none" w:sz="0" w:space="0" w:color="auto"/>
        <w:bottom w:val="none" w:sz="0" w:space="0" w:color="auto"/>
        <w:right w:val="none" w:sz="0" w:space="0" w:color="auto"/>
      </w:divBdr>
    </w:div>
    <w:div w:id="1844542565">
      <w:bodyDiv w:val="1"/>
      <w:marLeft w:val="0"/>
      <w:marRight w:val="0"/>
      <w:marTop w:val="0"/>
      <w:marBottom w:val="0"/>
      <w:divBdr>
        <w:top w:val="none" w:sz="0" w:space="0" w:color="auto"/>
        <w:left w:val="none" w:sz="0" w:space="0" w:color="auto"/>
        <w:bottom w:val="none" w:sz="0" w:space="0" w:color="auto"/>
        <w:right w:val="none" w:sz="0" w:space="0" w:color="auto"/>
      </w:divBdr>
    </w:div>
    <w:div w:id="1846748479">
      <w:bodyDiv w:val="1"/>
      <w:marLeft w:val="0"/>
      <w:marRight w:val="0"/>
      <w:marTop w:val="0"/>
      <w:marBottom w:val="0"/>
      <w:divBdr>
        <w:top w:val="none" w:sz="0" w:space="0" w:color="auto"/>
        <w:left w:val="none" w:sz="0" w:space="0" w:color="auto"/>
        <w:bottom w:val="none" w:sz="0" w:space="0" w:color="auto"/>
        <w:right w:val="none" w:sz="0" w:space="0" w:color="auto"/>
      </w:divBdr>
      <w:divsChild>
        <w:div w:id="315186002">
          <w:marLeft w:val="360"/>
          <w:marRight w:val="0"/>
          <w:marTop w:val="0"/>
          <w:marBottom w:val="120"/>
          <w:divBdr>
            <w:top w:val="none" w:sz="0" w:space="0" w:color="auto"/>
            <w:left w:val="none" w:sz="0" w:space="0" w:color="auto"/>
            <w:bottom w:val="none" w:sz="0" w:space="0" w:color="auto"/>
            <w:right w:val="none" w:sz="0" w:space="0" w:color="auto"/>
          </w:divBdr>
        </w:div>
        <w:div w:id="143159977">
          <w:marLeft w:val="360"/>
          <w:marRight w:val="0"/>
          <w:marTop w:val="0"/>
          <w:marBottom w:val="0"/>
          <w:divBdr>
            <w:top w:val="none" w:sz="0" w:space="0" w:color="auto"/>
            <w:left w:val="none" w:sz="0" w:space="0" w:color="auto"/>
            <w:bottom w:val="none" w:sz="0" w:space="0" w:color="auto"/>
            <w:right w:val="none" w:sz="0" w:space="0" w:color="auto"/>
          </w:divBdr>
        </w:div>
      </w:divsChild>
    </w:div>
    <w:div w:id="1859537288">
      <w:bodyDiv w:val="1"/>
      <w:marLeft w:val="0"/>
      <w:marRight w:val="0"/>
      <w:marTop w:val="0"/>
      <w:marBottom w:val="0"/>
      <w:divBdr>
        <w:top w:val="none" w:sz="0" w:space="0" w:color="auto"/>
        <w:left w:val="none" w:sz="0" w:space="0" w:color="auto"/>
        <w:bottom w:val="none" w:sz="0" w:space="0" w:color="auto"/>
        <w:right w:val="none" w:sz="0" w:space="0" w:color="auto"/>
      </w:divBdr>
    </w:div>
    <w:div w:id="2015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ga.Forda@fm.gov.lv"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pubdocs.worldbank.org/en/908481507403754670/Annual-Report-2017-WBG.pdf" TargetMode="External"/><Relationship Id="rId3" Type="http://schemas.openxmlformats.org/officeDocument/2006/relationships/hyperlink" Target="http://siteresources.worldbank.org/DEVCOMMINT/Documentation/23776700/DC2018-0002_PSustainableFinancing421.pdf" TargetMode="External"/><Relationship Id="rId7" Type="http://schemas.openxmlformats.org/officeDocument/2006/relationships/hyperlink" Target="http://www.worldbank.org/en/publication/poverty-and-shared-prosperity" TargetMode="External"/><Relationship Id="rId12" Type="http://schemas.openxmlformats.org/officeDocument/2006/relationships/hyperlink" Target="http://projects.worldbank.org/search?lang=en&amp;searchTerm=Latvia" TargetMode="External"/><Relationship Id="rId2" Type="http://schemas.openxmlformats.org/officeDocument/2006/relationships/hyperlink" Target="http://www.worldbank.org/en/topic/poverty/overview" TargetMode="External"/><Relationship Id="rId1" Type="http://schemas.openxmlformats.org/officeDocument/2006/relationships/hyperlink" Target="http://www.worldbank.org/en/publication/global-economic-prospects" TargetMode="External"/><Relationship Id="rId6" Type="http://schemas.openxmlformats.org/officeDocument/2006/relationships/hyperlink" Target="http://siteresources.worldbank.org/DEVCOMMINT/Documentation/23745171/DC2017-0005.pdf" TargetMode="External"/><Relationship Id="rId11" Type="http://schemas.openxmlformats.org/officeDocument/2006/relationships/hyperlink" Target="http://edge-cert.org/" TargetMode="External"/><Relationship Id="rId5" Type="http://schemas.openxmlformats.org/officeDocument/2006/relationships/hyperlink" Target="https://www.worldbank.org/en/topic/isp/overview" TargetMode="External"/><Relationship Id="rId10" Type="http://schemas.openxmlformats.org/officeDocument/2006/relationships/hyperlink" Target="http://siteresources.worldbank.org/DEVCOMMINT/Documentation/23775499/DC2018_0005ForwardLookupdate_329.pdf" TargetMode="External"/><Relationship Id="rId4" Type="http://schemas.openxmlformats.org/officeDocument/2006/relationships/hyperlink" Target="http://www.worldbank.org/content/dam/Worldbank/gmr/gmr2014/GMR_2014_Report_Card.pdf" TargetMode="External"/><Relationship Id="rId9" Type="http://schemas.openxmlformats.org/officeDocument/2006/relationships/hyperlink" Target="https://www.ifc.org/wps/wcm/connect/corp_ext_content/ifc_external_corporate_site/annual+report/2017-online-report/printed-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21EF-FD53-445E-8DFB-B83A7FE4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Informatīvais ziņojums par Pasaules Bankas Grupas kapitāla stiprināšanas pakotni</vt:lpstr>
    </vt:vector>
  </TitlesOfParts>
  <Company>Finanšu ministrija</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Pasaules Bankas grupas kapitāla stiprināšanas pakotni</dc:title>
  <dc:subject>Informatīvais ziņojums</dc:subject>
  <dc:creator>Inga Forda</dc:creator>
  <dc:description>Inga.Forda@fm.gov.lv
67095585</dc:description>
  <cp:lastModifiedBy>Liene Vītola</cp:lastModifiedBy>
  <cp:revision>7</cp:revision>
  <cp:lastPrinted>2018-08-07T12:25:00Z</cp:lastPrinted>
  <dcterms:created xsi:type="dcterms:W3CDTF">2018-09-04T11:40:00Z</dcterms:created>
  <dcterms:modified xsi:type="dcterms:W3CDTF">2018-09-04T14:41:00Z</dcterms:modified>
</cp:coreProperties>
</file>