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5A5845" w:rsidRDefault="000E0C05" w:rsidP="00EA7312">
      <w:pPr>
        <w:widowControl w:val="0"/>
        <w:spacing w:after="0" w:line="240" w:lineRule="auto"/>
        <w:jc w:val="center"/>
        <w:rPr>
          <w:rFonts w:ascii="Times New Roman" w:hAnsi="Times New Roman" w:cs="Times New Roman"/>
          <w:b/>
          <w:bCs/>
          <w:color w:val="000000" w:themeColor="text1"/>
          <w:sz w:val="27"/>
          <w:szCs w:val="27"/>
        </w:rPr>
      </w:pPr>
      <w:r w:rsidRPr="005A5845">
        <w:rPr>
          <w:rFonts w:ascii="Times New Roman" w:hAnsi="Times New Roman" w:cs="Times New Roman"/>
          <w:b/>
          <w:bCs/>
          <w:color w:val="000000" w:themeColor="text1"/>
          <w:sz w:val="27"/>
          <w:szCs w:val="27"/>
        </w:rPr>
        <w:t>M</w:t>
      </w:r>
      <w:r w:rsidR="005D4DFD" w:rsidRPr="005A5845">
        <w:rPr>
          <w:rFonts w:ascii="Times New Roman" w:hAnsi="Times New Roman" w:cs="Times New Roman"/>
          <w:b/>
          <w:bCs/>
          <w:color w:val="000000" w:themeColor="text1"/>
          <w:sz w:val="27"/>
          <w:szCs w:val="27"/>
        </w:rPr>
        <w:t xml:space="preserve">inistru kabineta rīkojuma projekta </w:t>
      </w:r>
    </w:p>
    <w:p w14:paraId="2BA7DECC" w14:textId="546EC553" w:rsidR="005D4DFD" w:rsidRPr="005A5845" w:rsidRDefault="005D4DFD" w:rsidP="00EA7312">
      <w:pPr>
        <w:widowControl w:val="0"/>
        <w:spacing w:after="0" w:line="240" w:lineRule="auto"/>
        <w:jc w:val="center"/>
        <w:rPr>
          <w:rFonts w:ascii="Times New Roman" w:hAnsi="Times New Roman" w:cs="Times New Roman"/>
          <w:b/>
          <w:bCs/>
          <w:color w:val="000000" w:themeColor="text1"/>
          <w:sz w:val="27"/>
          <w:szCs w:val="27"/>
        </w:rPr>
      </w:pPr>
      <w:r w:rsidRPr="005A5845">
        <w:rPr>
          <w:rFonts w:ascii="Times New Roman" w:hAnsi="Times New Roman" w:cs="Times New Roman"/>
          <w:b/>
          <w:bCs/>
          <w:color w:val="000000" w:themeColor="text1"/>
          <w:sz w:val="27"/>
          <w:szCs w:val="27"/>
        </w:rPr>
        <w:t xml:space="preserve">„Par nekustamo īpašumu atsavināšanu Latvijas Republikas un </w:t>
      </w:r>
      <w:r w:rsidR="00CB3F10" w:rsidRPr="005A5845">
        <w:rPr>
          <w:rFonts w:ascii="Times New Roman" w:hAnsi="Times New Roman" w:cs="Times New Roman"/>
          <w:b/>
          <w:bCs/>
          <w:color w:val="000000" w:themeColor="text1"/>
          <w:sz w:val="27"/>
          <w:szCs w:val="27"/>
        </w:rPr>
        <w:t>Baltkrievijas Republikas</w:t>
      </w:r>
      <w:r w:rsidRPr="005A5845">
        <w:rPr>
          <w:rFonts w:ascii="Times New Roman" w:hAnsi="Times New Roman" w:cs="Times New Roman"/>
          <w:b/>
          <w:bCs/>
          <w:color w:val="000000" w:themeColor="text1"/>
          <w:sz w:val="27"/>
          <w:szCs w:val="27"/>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5A5845">
          <w:rPr>
            <w:rFonts w:ascii="Times New Roman" w:hAnsi="Times New Roman" w:cs="Times New Roman"/>
            <w:b/>
            <w:bCs/>
            <w:color w:val="000000" w:themeColor="text1"/>
            <w:sz w:val="27"/>
            <w:szCs w:val="27"/>
          </w:rPr>
          <w:t>ziņojums</w:t>
        </w:r>
      </w:smartTag>
      <w:r w:rsidRPr="005A5845">
        <w:rPr>
          <w:rFonts w:ascii="Times New Roman" w:hAnsi="Times New Roman" w:cs="Times New Roman"/>
          <w:b/>
          <w:bCs/>
          <w:color w:val="000000" w:themeColor="text1"/>
          <w:sz w:val="27"/>
          <w:szCs w:val="27"/>
        </w:rPr>
        <w:t xml:space="preserve"> (anotācija)</w:t>
      </w:r>
    </w:p>
    <w:p w14:paraId="0A97C463" w14:textId="77777777" w:rsidR="00D55D3B" w:rsidRPr="005A5845" w:rsidRDefault="00D55D3B" w:rsidP="00EA7312">
      <w:pPr>
        <w:widowControl w:val="0"/>
        <w:spacing w:after="0" w:line="240" w:lineRule="auto"/>
        <w:jc w:val="center"/>
        <w:rPr>
          <w:rFonts w:ascii="Times New Roman" w:hAnsi="Times New Roman" w:cs="Times New Roman"/>
          <w:b/>
          <w:bCs/>
          <w:color w:val="000000" w:themeColor="text1"/>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1014A9" w:rsidRPr="005A5845"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5A5845"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Tiesību akta projekta anotācijas kopsavilkums</w:t>
            </w:r>
          </w:p>
        </w:tc>
      </w:tr>
      <w:tr w:rsidR="001014A9" w:rsidRPr="005A5845"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5A5845" w:rsidRDefault="00D55D3B"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5A5845" w:rsidRDefault="00D55D3B" w:rsidP="00C8263F">
            <w:pPr>
              <w:spacing w:after="0" w:line="240" w:lineRule="auto"/>
              <w:ind w:firstLine="539"/>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Ministru kabineta rīkojuma projekts „Par nekustamo īpašumu atsavināšanu Latvijas Republikas un </w:t>
            </w:r>
            <w:r w:rsidR="00CB3F10" w:rsidRPr="005A5845">
              <w:rPr>
                <w:rFonts w:ascii="Times New Roman" w:hAnsi="Times New Roman" w:cs="Times New Roman"/>
                <w:color w:val="000000" w:themeColor="text1"/>
                <w:sz w:val="27"/>
                <w:szCs w:val="27"/>
              </w:rPr>
              <w:t>Baltkrievijas Republikas</w:t>
            </w:r>
            <w:r w:rsidRPr="005A5845">
              <w:rPr>
                <w:rFonts w:ascii="Times New Roman" w:hAnsi="Times New Roman" w:cs="Times New Roman"/>
                <w:color w:val="000000" w:themeColor="text1"/>
                <w:sz w:val="27"/>
                <w:szCs w:val="27"/>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5A5845">
              <w:rPr>
                <w:rFonts w:ascii="Times New Roman" w:hAnsi="Times New Roman" w:cs="Times New Roman"/>
                <w:color w:val="000000" w:themeColor="text1"/>
                <w:sz w:val="27"/>
                <w:szCs w:val="27"/>
              </w:rPr>
              <w:t>Baltkrievijas Republiku</w:t>
            </w:r>
            <w:r w:rsidRPr="005A5845">
              <w:rPr>
                <w:rFonts w:ascii="Times New Roman" w:hAnsi="Times New Roman" w:cs="Times New Roman"/>
                <w:color w:val="000000" w:themeColor="text1"/>
                <w:sz w:val="27"/>
                <w:szCs w:val="27"/>
              </w:rPr>
              <w:t xml:space="preserve">, kā arī uzstādītu valsts robežas joslas, pierobežas joslas un pierobežas norādījuma zīmes un informatīvās norādes, ievērojot attiecīgo deleģējumu. </w:t>
            </w:r>
          </w:p>
          <w:p w14:paraId="3F5E911F" w14:textId="2B9C75DB" w:rsidR="00D55D3B" w:rsidRPr="005A5845" w:rsidRDefault="00D55D3B" w:rsidP="00C8263F">
            <w:pPr>
              <w:spacing w:after="0" w:line="240" w:lineRule="auto"/>
              <w:ind w:firstLine="539"/>
              <w:jc w:val="both"/>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 xml:space="preserve">Ministru kabineta rīkojuma projekts stājas spēkā tā </w:t>
            </w:r>
            <w:r w:rsidR="00130C38" w:rsidRPr="005A5845">
              <w:rPr>
                <w:rFonts w:ascii="Times New Roman" w:hAnsi="Times New Roman" w:cs="Times New Roman"/>
                <w:color w:val="000000" w:themeColor="text1"/>
                <w:sz w:val="27"/>
                <w:szCs w:val="27"/>
              </w:rPr>
              <w:t>parakstīšanas brīdī</w:t>
            </w:r>
            <w:r w:rsidRPr="005A5845">
              <w:rPr>
                <w:rFonts w:ascii="Times New Roman" w:hAnsi="Times New Roman" w:cs="Times New Roman"/>
                <w:color w:val="000000" w:themeColor="text1"/>
                <w:sz w:val="27"/>
                <w:szCs w:val="27"/>
              </w:rPr>
              <w:t>.</w:t>
            </w:r>
          </w:p>
        </w:tc>
      </w:tr>
    </w:tbl>
    <w:p w14:paraId="4A9B52BB" w14:textId="77777777" w:rsidR="00D55D3B" w:rsidRPr="005A5845" w:rsidRDefault="00D55D3B" w:rsidP="00D55D3B">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 </w:t>
      </w:r>
    </w:p>
    <w:tbl>
      <w:tblPr>
        <w:tblStyle w:val="TableGrid"/>
        <w:tblW w:w="0" w:type="auto"/>
        <w:tblLook w:val="04A0" w:firstRow="1" w:lastRow="0" w:firstColumn="1" w:lastColumn="0" w:noHBand="0" w:noVBand="1"/>
      </w:tblPr>
      <w:tblGrid>
        <w:gridCol w:w="534"/>
        <w:gridCol w:w="2976"/>
        <w:gridCol w:w="5777"/>
      </w:tblGrid>
      <w:tr w:rsidR="00404580" w:rsidRPr="005A5845" w14:paraId="46ACB075" w14:textId="77777777" w:rsidTr="003E277A">
        <w:tc>
          <w:tcPr>
            <w:tcW w:w="9287" w:type="dxa"/>
            <w:gridSpan w:val="3"/>
          </w:tcPr>
          <w:p w14:paraId="46A86EBA" w14:textId="5247938F" w:rsidR="00404580" w:rsidRPr="005A5845" w:rsidRDefault="00404580" w:rsidP="00404580">
            <w:pPr>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I. Tiesību akta projekta izstrādes nepieciešamība</w:t>
            </w:r>
          </w:p>
        </w:tc>
      </w:tr>
      <w:tr w:rsidR="00404580" w:rsidRPr="005A5845" w14:paraId="244E8997" w14:textId="77777777" w:rsidTr="00404580">
        <w:tc>
          <w:tcPr>
            <w:tcW w:w="534" w:type="dxa"/>
          </w:tcPr>
          <w:p w14:paraId="69FA5F01" w14:textId="4F635E31"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w:t>
            </w:r>
          </w:p>
        </w:tc>
        <w:tc>
          <w:tcPr>
            <w:tcW w:w="2976" w:type="dxa"/>
          </w:tcPr>
          <w:p w14:paraId="451B95C9" w14:textId="32214FD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Pamatojums</w:t>
            </w:r>
          </w:p>
        </w:tc>
        <w:tc>
          <w:tcPr>
            <w:tcW w:w="5777" w:type="dxa"/>
          </w:tcPr>
          <w:p w14:paraId="43010DB3" w14:textId="77777777" w:rsidR="00404580" w:rsidRPr="005A5845" w:rsidRDefault="00404580" w:rsidP="006A47F3">
            <w:pPr>
              <w:pStyle w:val="Heading2"/>
              <w:tabs>
                <w:tab w:val="left" w:pos="855"/>
              </w:tabs>
              <w:ind w:firstLine="720"/>
              <w:jc w:val="both"/>
              <w:outlineLvl w:val="1"/>
              <w:rPr>
                <w:color w:val="000000" w:themeColor="text1"/>
                <w:sz w:val="27"/>
                <w:szCs w:val="27"/>
              </w:rPr>
            </w:pPr>
            <w:r w:rsidRPr="005A5845">
              <w:rPr>
                <w:color w:val="000000" w:themeColor="text1"/>
                <w:sz w:val="27"/>
                <w:szCs w:val="27"/>
              </w:rPr>
              <w:t>Rīkojuma projekts izstrādāts saskaņā ar:</w:t>
            </w:r>
          </w:p>
          <w:p w14:paraId="1A776C03" w14:textId="77777777" w:rsidR="00404580" w:rsidRPr="005A5845" w:rsidRDefault="00404580" w:rsidP="006A47F3">
            <w:pPr>
              <w:numPr>
                <w:ilvl w:val="0"/>
                <w:numId w:val="5"/>
              </w:numPr>
              <w:tabs>
                <w:tab w:val="left" w:pos="965"/>
              </w:tabs>
              <w:ind w:left="0" w:firstLine="539"/>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Latvijas Republikas valsts robežas likuma 13.panta pirmo un ceturto daļu, 31.panta trešās daļas 2.punktu;</w:t>
            </w:r>
          </w:p>
          <w:p w14:paraId="6012A724" w14:textId="45EACEC7" w:rsidR="00404580" w:rsidRPr="005A5845" w:rsidRDefault="00404580" w:rsidP="00404580">
            <w:pPr>
              <w:numPr>
                <w:ilvl w:val="0"/>
                <w:numId w:val="5"/>
              </w:numPr>
              <w:tabs>
                <w:tab w:val="left" w:pos="965"/>
              </w:tabs>
              <w:ind w:left="0" w:firstLine="539"/>
              <w:jc w:val="both"/>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Sabiedrības vajadzībām nepieciešamā nekustamā īpašuma atsavināšanas likuma (turpmāk</w:t>
            </w:r>
            <w:r w:rsidR="001C35F2" w:rsidRPr="005A5845">
              <w:rPr>
                <w:rFonts w:ascii="Times New Roman" w:hAnsi="Times New Roman" w:cs="Times New Roman"/>
                <w:color w:val="000000" w:themeColor="text1"/>
                <w:sz w:val="27"/>
                <w:szCs w:val="27"/>
              </w:rPr>
              <w:t xml:space="preserve"> – Atsavināšanas likums) 9.panta pirmo daļu</w:t>
            </w:r>
            <w:r w:rsidRPr="005A5845">
              <w:rPr>
                <w:rFonts w:ascii="Times New Roman" w:hAnsi="Times New Roman" w:cs="Times New Roman"/>
                <w:color w:val="000000" w:themeColor="text1"/>
                <w:sz w:val="27"/>
                <w:szCs w:val="27"/>
              </w:rPr>
              <w:t>;</w:t>
            </w:r>
          </w:p>
          <w:p w14:paraId="4E4E137D" w14:textId="46A3039E" w:rsidR="00404580" w:rsidRPr="005A5845" w:rsidRDefault="00404580" w:rsidP="00404580">
            <w:pPr>
              <w:numPr>
                <w:ilvl w:val="0"/>
                <w:numId w:val="5"/>
              </w:numPr>
              <w:tabs>
                <w:tab w:val="left" w:pos="965"/>
              </w:tabs>
              <w:ind w:left="0" w:firstLine="539"/>
              <w:jc w:val="both"/>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p>
        </w:tc>
      </w:tr>
      <w:tr w:rsidR="00404580" w:rsidRPr="005A5845" w14:paraId="1C3E1E81" w14:textId="77777777" w:rsidTr="00404580">
        <w:tc>
          <w:tcPr>
            <w:tcW w:w="534" w:type="dxa"/>
          </w:tcPr>
          <w:p w14:paraId="74011DE6" w14:textId="3DBBD3C4"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w:t>
            </w:r>
          </w:p>
        </w:tc>
        <w:tc>
          <w:tcPr>
            <w:tcW w:w="2976" w:type="dxa"/>
          </w:tcPr>
          <w:p w14:paraId="69E4FBA9" w14:textId="69B7E3DC"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Pašreizējā situācija un problēmas, kuru risināšanai tiesību akta projekts izstrādāts, tiesiskā regulējuma mērķis un būtība</w:t>
            </w:r>
          </w:p>
        </w:tc>
        <w:tc>
          <w:tcPr>
            <w:tcW w:w="5777" w:type="dxa"/>
          </w:tcPr>
          <w:p w14:paraId="4EAD7112"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w:t>
            </w:r>
            <w:r w:rsidRPr="005A5845">
              <w:rPr>
                <w:rFonts w:ascii="Times New Roman" w:hAnsi="Times New Roman" w:cs="Times New Roman"/>
                <w:color w:val="000000" w:themeColor="text1"/>
                <w:sz w:val="27"/>
                <w:szCs w:val="27"/>
              </w:rPr>
              <w:lastRenderedPageBreak/>
              <w:t>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6ED7ACEF"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3122E27"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5A5845">
                <w:rPr>
                  <w:rFonts w:ascii="Times New Roman" w:hAnsi="Times New Roman" w:cs="Times New Roman"/>
                  <w:color w:val="000000" w:themeColor="text1"/>
                  <w:sz w:val="27"/>
                  <w:szCs w:val="27"/>
                </w:rPr>
                <w:t>Ministru kabinets</w:t>
              </w:r>
            </w:smartTag>
            <w:r w:rsidRPr="005A5845">
              <w:rPr>
                <w:rFonts w:ascii="Times New Roman" w:hAnsi="Times New Roman" w:cs="Times New Roman"/>
                <w:color w:val="000000" w:themeColor="text1"/>
                <w:sz w:val="27"/>
                <w:szCs w:val="27"/>
              </w:rPr>
              <w:t xml:space="preserve"> nosaka noteikta platuma valsts robežas joslu, un tās platums nedrīkst būt šaurāks par Latvijas Republikas noslēgtajos starptautiskajos līgumos noteikto valsts robežas joslas platumu. Atbilstoši Noteikumu Nr.550 2.1.apakšpunktam, Latvijas Republikas valsts robežas platums ar Baltkrievijas Republiku ir 12 metri.</w:t>
            </w:r>
          </w:p>
          <w:p w14:paraId="4B818C92"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Lai veiktu Latvijas Republikas un Baltkrievijas Republikas robežas ierīcību atbilstoši </w:t>
            </w:r>
            <w:r w:rsidRPr="005A5845">
              <w:rPr>
                <w:rFonts w:ascii="Times New Roman" w:hAnsi="Times New Roman" w:cs="Times New Roman"/>
                <w:bCs/>
                <w:color w:val="000000" w:themeColor="text1"/>
                <w:sz w:val="27"/>
                <w:szCs w:val="27"/>
              </w:rPr>
              <w:t>Latvijas Republikas valsts robežas likuma nosacījumiem</w:t>
            </w:r>
            <w:r w:rsidRPr="005A5845">
              <w:rPr>
                <w:rFonts w:ascii="Times New Roman" w:hAnsi="Times New Roman" w:cs="Times New Roman"/>
                <w:color w:val="000000" w:themeColor="text1"/>
                <w:sz w:val="27"/>
                <w:szCs w:val="27"/>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Baltkrievijas Republiku, kā arī uzstādīt valsts robežas joslas, pierobežas joslas un pierobežas norādījuma zīmes un informatīvās norādes, ievērojot attiecīgo deleģējumu.</w:t>
            </w:r>
          </w:p>
          <w:p w14:paraId="43FAA74A"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Veicot Latvijas Republikas un Baltkrievijas Republikas robežas ierīcību, nepieciešams atsavināt robežai pieguļošos nekustamos īpašumus, kas atrodas valsts robežas joslā: </w:t>
            </w:r>
          </w:p>
          <w:p w14:paraId="01F08B18" w14:textId="77777777" w:rsidR="00404580" w:rsidRPr="005A5845" w:rsidRDefault="00404580" w:rsidP="006A47F3">
            <w:pPr>
              <w:numPr>
                <w:ilvl w:val="0"/>
                <w:numId w:val="6"/>
              </w:numPr>
              <w:tabs>
                <w:tab w:val="left" w:pos="965"/>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sz w:val="27"/>
                <w:szCs w:val="27"/>
              </w:rPr>
              <w:t>nekustamo īpašumu “Irinas-1” (nekustamā īpašuma kadastra Nr. 6070 010 0251) – zemes vienību (zemes vienības kadastra apzīmējums 6070 010 0251) 0,3163 ha platībā – Kaplavas pagastā, Krāslavas novadā</w:t>
            </w:r>
            <w:r w:rsidRPr="005A5845">
              <w:rPr>
                <w:rFonts w:ascii="Times New Roman" w:hAnsi="Times New Roman" w:cs="Times New Roman"/>
                <w:color w:val="000000" w:themeColor="text1"/>
                <w:sz w:val="27"/>
                <w:szCs w:val="27"/>
              </w:rPr>
              <w:t xml:space="preserve"> (turpmāk – nekustamais īpašums „Irinas-1”);</w:t>
            </w:r>
          </w:p>
          <w:p w14:paraId="0414B698" w14:textId="77777777" w:rsidR="00404580" w:rsidRPr="005A5845" w:rsidRDefault="00404580" w:rsidP="006A47F3">
            <w:pPr>
              <w:numPr>
                <w:ilvl w:val="0"/>
                <w:numId w:val="6"/>
              </w:numPr>
              <w:tabs>
                <w:tab w:val="left" w:pos="965"/>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sz w:val="27"/>
                <w:szCs w:val="27"/>
              </w:rPr>
              <w:t>nekustamo īpašumu “</w:t>
            </w:r>
            <w:proofErr w:type="spellStart"/>
            <w:r w:rsidRPr="005A5845">
              <w:rPr>
                <w:rFonts w:ascii="Times New Roman" w:hAnsi="Times New Roman" w:cs="Times New Roman"/>
                <w:sz w:val="27"/>
                <w:szCs w:val="27"/>
              </w:rPr>
              <w:t>Robežmeži-1”</w:t>
            </w:r>
            <w:proofErr w:type="spellEnd"/>
            <w:r w:rsidRPr="005A5845">
              <w:rPr>
                <w:rFonts w:ascii="Times New Roman" w:hAnsi="Times New Roman" w:cs="Times New Roman"/>
                <w:sz w:val="27"/>
                <w:szCs w:val="27"/>
              </w:rPr>
              <w:t xml:space="preserve"> </w:t>
            </w:r>
            <w:proofErr w:type="gramStart"/>
            <w:r w:rsidRPr="005A5845">
              <w:rPr>
                <w:rFonts w:ascii="Times New Roman" w:hAnsi="Times New Roman" w:cs="Times New Roman"/>
                <w:sz w:val="27"/>
                <w:szCs w:val="27"/>
              </w:rPr>
              <w:t>(</w:t>
            </w:r>
            <w:proofErr w:type="gramEnd"/>
            <w:r w:rsidRPr="005A5845">
              <w:rPr>
                <w:rFonts w:ascii="Times New Roman" w:hAnsi="Times New Roman" w:cs="Times New Roman"/>
                <w:sz w:val="27"/>
                <w:szCs w:val="27"/>
              </w:rPr>
              <w:t>nekustamā īpašuma kadastra Nr. 6070 010 0420 – zemes vienību (zemes vienības kadastra apzīmējums 6070 010 0420) 0,0209 ha platībā – Kaplavas pagastā, Krāslavas novadā</w:t>
            </w:r>
            <w:r w:rsidRPr="005A5845">
              <w:rPr>
                <w:rFonts w:ascii="Times New Roman" w:hAnsi="Times New Roman" w:cs="Times New Roman"/>
                <w:color w:val="000000" w:themeColor="text1"/>
                <w:sz w:val="27"/>
                <w:szCs w:val="27"/>
              </w:rPr>
              <w:t xml:space="preserve"> (turpmāk – nekustamais īpašums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w:t>
            </w:r>
          </w:p>
          <w:p w14:paraId="29AD9268" w14:textId="77777777" w:rsidR="00404580" w:rsidRPr="005A5845" w:rsidRDefault="00404580" w:rsidP="006A47F3">
            <w:pPr>
              <w:tabs>
                <w:tab w:val="left" w:pos="965"/>
              </w:tabs>
              <w:ind w:left="41" w:right="147" w:firstLine="498"/>
              <w:jc w:val="both"/>
              <w:rPr>
                <w:rFonts w:ascii="Times New Roman" w:hAnsi="Times New Roman" w:cs="Times New Roman"/>
                <w:color w:val="000000" w:themeColor="text1"/>
                <w:sz w:val="27"/>
                <w:szCs w:val="27"/>
              </w:rPr>
            </w:pPr>
          </w:p>
          <w:p w14:paraId="02D65834" w14:textId="77777777" w:rsidR="00404580" w:rsidRPr="005A5845"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1. Nekustamais īpašums „Irinas-1” ir ierakstīts Daugavpils tiesas zemesgrāmatu nodaļas Kaplavas pagasta zemesgrāmatas nodalījumā Nr.100000574267. Nekustamajam īpašumam „Irinas-1” zemesgrāmatā nav ierakstīti apgrūtinājumi par labu trešajām personām. Zemesgrāmatā ir ierakstīti šādi apgrūtinājumi:</w:t>
            </w:r>
          </w:p>
          <w:p w14:paraId="7402661B" w14:textId="77777777" w:rsidR="00404580" w:rsidRPr="005A5845"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w:t>
            </w:r>
            <w:proofErr w:type="gramStart"/>
            <w:r w:rsidRPr="005A5845">
              <w:rPr>
                <w:rFonts w:ascii="Times New Roman" w:hAnsi="Times New Roman" w:cs="Times New Roman"/>
                <w:color w:val="000000" w:themeColor="text1"/>
                <w:sz w:val="27"/>
                <w:szCs w:val="27"/>
              </w:rPr>
              <w:t xml:space="preserve">  </w:t>
            </w:r>
            <w:proofErr w:type="gramEnd"/>
            <w:r w:rsidRPr="005A5845">
              <w:rPr>
                <w:rFonts w:ascii="Times New Roman" w:hAnsi="Times New Roman" w:cs="Times New Roman"/>
                <w:color w:val="000000" w:themeColor="text1"/>
                <w:sz w:val="27"/>
                <w:szCs w:val="27"/>
              </w:rPr>
              <w:t>ūdensteces aizsargjoslas teritorija 0,16 ha;</w:t>
            </w:r>
          </w:p>
          <w:p w14:paraId="1B1401E4" w14:textId="77777777" w:rsidR="00404580" w:rsidRPr="005A5845"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aizsargājamo ainavu apvidus ainavu aizsardzības zonas teritorija 0,3163 ha.</w:t>
            </w:r>
          </w:p>
          <w:p w14:paraId="69993768" w14:textId="77777777"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Nekustamā īpašuma “Irinas-1” īpašniekam 2018.gada 21.februārī ir nosūtīts paziņojums Nr.1.2.2.-09/1874 Ministru kabineta 2011. gada 15. marta noteikumu Nr. 204 „Kārtība, kādā nosaka taisnīgu atlīdzību par sabiedrības vajadzībām atsavināmo nekustamo īpašumu” (turpmāk – MK noteikumi Nr.204) 13. punktā noteiktajā kārtībā. Informācija par nekustamo īpašumu “Irinas-1”</w:t>
            </w:r>
            <w:proofErr w:type="gramStart"/>
            <w:r w:rsidRPr="005A5845">
              <w:rPr>
                <w:rFonts w:ascii="Times New Roman" w:hAnsi="Times New Roman" w:cs="Times New Roman"/>
                <w:color w:val="000000" w:themeColor="text1"/>
                <w:sz w:val="27"/>
                <w:szCs w:val="27"/>
              </w:rPr>
              <w:t xml:space="preserve">  </w:t>
            </w:r>
            <w:proofErr w:type="gramEnd"/>
            <w:r w:rsidRPr="005A5845">
              <w:rPr>
                <w:rFonts w:ascii="Times New Roman" w:hAnsi="Times New Roman" w:cs="Times New Roman"/>
                <w:color w:val="000000" w:themeColor="text1"/>
                <w:sz w:val="27"/>
                <w:szCs w:val="27"/>
              </w:rPr>
              <w:t>un dokumenti, kas raksturo atsavināmo nekustamo īpašumu, tajā skaitā dokumenti, kas raksturo nekustamā īpašuma “Irinas-1” sastāvu, stāvokli, uz tā gulstošās nastas un apgrūtinājumus, ienesīgumi, un citi dokumenti par īpašumu, kas varētu ietekmēt nekustamā īpašuma “Irinas-1” vērtības noteikšanu, no īpašnieka nav saņemti.</w:t>
            </w:r>
          </w:p>
          <w:p w14:paraId="35EF77BC" w14:textId="447F4A64"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Sertificēts vērtētājs noteica, ka nekustamā īpašuma “Irinas-1” tirgus vērtība 2018.gada 13.aprīlī ir 1200,00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(viens tūkstotis divi simti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00 centi)</w:t>
            </w:r>
            <w:r w:rsidRPr="005A5845">
              <w:rPr>
                <w:rFonts w:ascii="Times New Roman" w:hAnsi="Times New Roman" w:cs="Times New Roman"/>
                <w:i/>
                <w:color w:val="000000" w:themeColor="text1"/>
                <w:sz w:val="27"/>
                <w:szCs w:val="27"/>
              </w:rPr>
              <w:t xml:space="preserve">. </w:t>
            </w:r>
            <w:r w:rsidRPr="005A5845">
              <w:rPr>
                <w:rFonts w:ascii="Times New Roman" w:hAnsi="Times New Roman" w:cs="Times New Roman"/>
                <w:color w:val="000000" w:themeColor="text1"/>
                <w:sz w:val="27"/>
                <w:szCs w:val="27"/>
              </w:rPr>
              <w:t xml:space="preserve">Vērtējamās īpašuma daļas tirgus vērtībā iekļauta mežaudzes vērtība. Atsavināšanas rezultātā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pašniekam radušies zaudējumi netika konstatēti – to apmērs ir 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w:t>
            </w:r>
          </w:p>
          <w:p w14:paraId="3ED130CD" w14:textId="55AAA624" w:rsidR="00404580" w:rsidRPr="005A5845" w:rsidRDefault="00F26523"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Ar Iekšlietu ministrijas 2017.gada 29.jūnija rīkojumu Nr. 1-12/1589 „Par pastāvīgās komisijas izveidošanu sabiedrības vajadzībām nepieciešamā īpašuma atsavināšanai” izveidotā komisija (turpmāk – k</w:t>
            </w:r>
            <w:r w:rsidR="00404580" w:rsidRPr="005A5845">
              <w:rPr>
                <w:rFonts w:ascii="Times New Roman" w:hAnsi="Times New Roman" w:cs="Times New Roman"/>
                <w:color w:val="000000" w:themeColor="text1"/>
                <w:sz w:val="27"/>
                <w:szCs w:val="27"/>
              </w:rPr>
              <w:t>omisija</w:t>
            </w:r>
            <w:r w:rsidRPr="005A5845">
              <w:rPr>
                <w:rFonts w:ascii="Times New Roman" w:hAnsi="Times New Roman" w:cs="Times New Roman"/>
                <w:color w:val="000000" w:themeColor="text1"/>
                <w:sz w:val="27"/>
                <w:szCs w:val="27"/>
              </w:rPr>
              <w:t>)</w:t>
            </w:r>
            <w:r w:rsidR="00404580" w:rsidRPr="005A5845">
              <w:rPr>
                <w:rFonts w:ascii="Times New Roman" w:hAnsi="Times New Roman" w:cs="Times New Roman"/>
                <w:color w:val="000000" w:themeColor="text1"/>
                <w:sz w:val="27"/>
                <w:szCs w:val="27"/>
              </w:rPr>
              <w:t xml:space="preserve"> saskaņā ar MK noteikumu Nr.204 26.punktu 2018.gada 2.maijā nosūtīja </w:t>
            </w:r>
            <w:r w:rsidRPr="005A5845">
              <w:rPr>
                <w:rFonts w:ascii="Times New Roman" w:hAnsi="Times New Roman" w:cs="Times New Roman"/>
                <w:color w:val="000000" w:themeColor="text1"/>
                <w:sz w:val="27"/>
                <w:szCs w:val="27"/>
              </w:rPr>
              <w:t>ī</w:t>
            </w:r>
            <w:r w:rsidR="00404580" w:rsidRPr="005A5845">
              <w:rPr>
                <w:rFonts w:ascii="Times New Roman" w:hAnsi="Times New Roman" w:cs="Times New Roman"/>
                <w:color w:val="000000" w:themeColor="text1"/>
                <w:sz w:val="27"/>
                <w:szCs w:val="27"/>
              </w:rPr>
              <w:t>pašniekam uzaicinājumu Nr.1.2.2-09/4859 piedalīties sēdē par aprēķinātās atlīdzības izvērtēšanu.</w:t>
            </w:r>
          </w:p>
          <w:p w14:paraId="7A4A0994" w14:textId="776E6B9B"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lang w:eastAsia="ar-SA"/>
              </w:rPr>
              <w:t xml:space="preserve">Komisija saskaņā ar Atsavināšanas likuma 26.panta pirmās daļas 2.punktu izteica </w:t>
            </w:r>
            <w:r w:rsidR="00F26523" w:rsidRPr="005A5845">
              <w:rPr>
                <w:rFonts w:ascii="Times New Roman" w:hAnsi="Times New Roman" w:cs="Times New Roman"/>
                <w:color w:val="000000" w:themeColor="text1"/>
                <w:sz w:val="27"/>
                <w:szCs w:val="27"/>
                <w:lang w:eastAsia="ar-SA"/>
              </w:rPr>
              <w:t>ī</w:t>
            </w:r>
            <w:r w:rsidRPr="005A5845">
              <w:rPr>
                <w:rFonts w:ascii="Times New Roman" w:hAnsi="Times New Roman" w:cs="Times New Roman"/>
                <w:color w:val="000000" w:themeColor="text1"/>
                <w:sz w:val="27"/>
                <w:szCs w:val="27"/>
                <w:lang w:eastAsia="ar-SA"/>
              </w:rPr>
              <w:t>pašniekam piedāvājumu daļu no atlīdzības kompensēt ar nekustamo īpašumu “</w:t>
            </w:r>
            <w:r w:rsidR="00E30DB4" w:rsidRPr="005A5845">
              <w:rPr>
                <w:rFonts w:ascii="Times New Roman" w:hAnsi="Times New Roman" w:cs="Times New Roman"/>
                <w:color w:val="000000" w:themeColor="text1"/>
                <w:sz w:val="27"/>
                <w:szCs w:val="27"/>
                <w:lang w:eastAsia="ar-SA"/>
              </w:rPr>
              <w:t>Irinas 2</w:t>
            </w:r>
            <w:r w:rsidRPr="005A5845">
              <w:rPr>
                <w:rFonts w:ascii="Times New Roman" w:hAnsi="Times New Roman" w:cs="Times New Roman"/>
                <w:color w:val="000000" w:themeColor="text1"/>
                <w:sz w:val="27"/>
                <w:szCs w:val="27"/>
                <w:lang w:eastAsia="ar-SA"/>
              </w:rPr>
              <w:t xml:space="preserve">” Kaplavas pagastā, Krāslavas novadā, kadastra numurs 6070 010 0009, kas sastāv no zemes vienības ar kadastra apzīmējumu 6070 010 0423 0,4142 ha platībā un kura tirgus vērtība saskaņā ar sertificēta vērtētāja vērtējumu 2018.gada 13.aprīlī ir 1100,00 </w:t>
            </w:r>
            <w:r w:rsidRPr="005A5845">
              <w:rPr>
                <w:rFonts w:ascii="Times New Roman" w:hAnsi="Times New Roman" w:cs="Times New Roman"/>
                <w:i/>
                <w:color w:val="000000" w:themeColor="text1"/>
                <w:sz w:val="27"/>
                <w:szCs w:val="27"/>
                <w:lang w:eastAsia="ar-SA"/>
              </w:rPr>
              <w:t xml:space="preserve">euro </w:t>
            </w:r>
            <w:r w:rsidRPr="005A5845">
              <w:rPr>
                <w:rFonts w:ascii="Times New Roman" w:hAnsi="Times New Roman" w:cs="Times New Roman"/>
                <w:color w:val="000000" w:themeColor="text1"/>
                <w:sz w:val="27"/>
                <w:szCs w:val="27"/>
                <w:lang w:eastAsia="ar-SA"/>
              </w:rPr>
              <w:t xml:space="preserve">(viens tūkstotis viens simts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un 00 centi) (tirgus vērtībā iekļauta mežaudzes vērtība), bet atlikušo daļu – 100,00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(viens simts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un 00 centi) izmaksājot naudā.</w:t>
            </w:r>
          </w:p>
          <w:p w14:paraId="055E5C32" w14:textId="501DD185"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Komisija ir saņēmusi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pašnieka 2018.gada 14.maija iesniegumu ar informāciju, ka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pašnieks aprēķinātai atlīdzībai 1200,00 </w:t>
            </w:r>
            <w:r w:rsidRPr="005A5845">
              <w:rPr>
                <w:rFonts w:ascii="Times New Roman" w:hAnsi="Times New Roman" w:cs="Times New Roman"/>
                <w:i/>
                <w:color w:val="000000" w:themeColor="text1"/>
                <w:sz w:val="27"/>
                <w:szCs w:val="27"/>
              </w:rPr>
              <w:t xml:space="preserve">euro </w:t>
            </w:r>
            <w:r w:rsidRPr="005A5845">
              <w:rPr>
                <w:rFonts w:ascii="Times New Roman" w:hAnsi="Times New Roman" w:cs="Times New Roman"/>
                <w:color w:val="000000" w:themeColor="text1"/>
                <w:sz w:val="27"/>
                <w:szCs w:val="27"/>
              </w:rPr>
              <w:t xml:space="preserve">(viens tūkstotis divi simti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00 centi)</w:t>
            </w:r>
            <w:r w:rsidRPr="005A5845">
              <w:rPr>
                <w:rFonts w:ascii="Times New Roman" w:hAnsi="Times New Roman" w:cs="Times New Roman"/>
                <w:i/>
                <w:color w:val="000000" w:themeColor="text1"/>
                <w:sz w:val="27"/>
                <w:szCs w:val="27"/>
              </w:rPr>
              <w:t xml:space="preserve"> </w:t>
            </w:r>
            <w:r w:rsidRPr="005A5845">
              <w:rPr>
                <w:rFonts w:ascii="Times New Roman" w:hAnsi="Times New Roman" w:cs="Times New Roman"/>
                <w:color w:val="000000" w:themeColor="text1"/>
                <w:sz w:val="27"/>
                <w:szCs w:val="27"/>
              </w:rPr>
              <w:t xml:space="preserve">par nekustamā īpašuma “Irinas-1” atsavināšanu piekrīt, kā arī informāciju, ka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pašnieks piekrīt atlīdzības daļējai kompensēšanai ar </w:t>
            </w:r>
            <w:r w:rsidRPr="005A5845">
              <w:rPr>
                <w:rFonts w:ascii="Times New Roman" w:hAnsi="Times New Roman" w:cs="Times New Roman"/>
                <w:color w:val="000000" w:themeColor="text1"/>
                <w:sz w:val="27"/>
                <w:szCs w:val="27"/>
                <w:lang w:eastAsia="ar-SA"/>
              </w:rPr>
              <w:t>nekustamo īpašumu “</w:t>
            </w:r>
            <w:r w:rsidR="00E30DB4" w:rsidRPr="005A5845">
              <w:rPr>
                <w:rFonts w:ascii="Times New Roman" w:hAnsi="Times New Roman" w:cs="Times New Roman"/>
                <w:color w:val="000000" w:themeColor="text1"/>
                <w:sz w:val="27"/>
                <w:szCs w:val="27"/>
                <w:lang w:eastAsia="ar-SA"/>
              </w:rPr>
              <w:t>Irinas 2</w:t>
            </w:r>
            <w:r w:rsidRPr="005A5845">
              <w:rPr>
                <w:rFonts w:ascii="Times New Roman" w:hAnsi="Times New Roman" w:cs="Times New Roman"/>
                <w:color w:val="000000" w:themeColor="text1"/>
                <w:sz w:val="27"/>
                <w:szCs w:val="27"/>
                <w:lang w:eastAsia="ar-SA"/>
              </w:rPr>
              <w:t xml:space="preserve">” Kaplavas pagastā, Krāslavas novadā, kadastra numurs 6070 010 0009, kas sastāv no zemes vienības ar kadastra apzīmējumu 6070 010 0423 0,4142 ha platībā, </w:t>
            </w:r>
            <w:r w:rsidRPr="005A5845">
              <w:rPr>
                <w:rFonts w:ascii="Times New Roman" w:hAnsi="Times New Roman" w:cs="Times New Roman"/>
                <w:color w:val="000000" w:themeColor="text1"/>
                <w:sz w:val="27"/>
                <w:szCs w:val="27"/>
              </w:rPr>
              <w:t xml:space="preserve">kā arī informāciju, ka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pašnieks komisijas sēdē par aprēķinātās atlīdzības izvērtēšanu nepiedalīsies. </w:t>
            </w:r>
          </w:p>
          <w:p w14:paraId="10038D29" w14:textId="77777777" w:rsidR="00404580" w:rsidRPr="005A5845"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2. Nekustamais īpašums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ir ierakstīts Daugavpils tiesas zemesgrāmatu nodaļas Kaplavas pagasta zemesgrāmatas nodalījumā Nr.100000574248. Nekustamajam īpašumam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zemesgrāmatā nav ierakstīti apgrūtinājumi par labu trešajām personām. Zemesgrāmatā ir ierakstīts šāds apgrūtinājums:</w:t>
            </w:r>
          </w:p>
          <w:p w14:paraId="734B0AB3" w14:textId="77777777" w:rsidR="00404580" w:rsidRPr="005A5845" w:rsidRDefault="00404580" w:rsidP="006A47F3">
            <w:pPr>
              <w:tabs>
                <w:tab w:val="left" w:pos="430"/>
                <w:tab w:val="left" w:pos="714"/>
                <w:tab w:val="left" w:pos="997"/>
              </w:tabs>
              <w:ind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aizsargājamo ainavu apvidus ainavu aizsardzības zonas teritorija 0,0209 ha.</w:t>
            </w:r>
          </w:p>
          <w:p w14:paraId="20E666B2" w14:textId="77777777"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Nekustamā īpašuma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īpašniekam 2018.gada 21.februārī ir nosūtīts paziņojums Nr.1.2.2.-09/1875 MK noteikumu Nr. 204 13.punktā noteiktajā kārtībā. Informācija par nekustamo īpašumu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un dokumenti, kas raksturo atsavināmo nekustamo īpašumu, tajā skaitā dokumenti, kas raksturo nekustamā īpašuma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sastāvu, stāvokli, uz tā gulstošās nastas un apgrūtinājumus, ienesīgumu, un citi dokumenti par īpašumu, kas varētu ietekmēt nekustamā īpašuma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vērtības noteikšanu, no īpašnieka nav saņemti.</w:t>
            </w:r>
          </w:p>
          <w:p w14:paraId="41FE8345" w14:textId="2C591D1A"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Sertificēts vērtētājs noteica, ka nekustamā īpašuma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tirgus vērtība 2018.gada 13.aprīlī ir 160,00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(viens simts sešdesmit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00 centi)</w:t>
            </w:r>
            <w:r w:rsidRPr="005A5845">
              <w:rPr>
                <w:rFonts w:ascii="Times New Roman" w:hAnsi="Times New Roman" w:cs="Times New Roman"/>
                <w:i/>
                <w:color w:val="000000" w:themeColor="text1"/>
                <w:sz w:val="27"/>
                <w:szCs w:val="27"/>
              </w:rPr>
              <w:t xml:space="preserve">. </w:t>
            </w:r>
            <w:r w:rsidRPr="005A5845">
              <w:rPr>
                <w:rFonts w:ascii="Times New Roman" w:hAnsi="Times New Roman" w:cs="Times New Roman"/>
                <w:color w:val="000000" w:themeColor="text1"/>
                <w:sz w:val="27"/>
                <w:szCs w:val="27"/>
              </w:rPr>
              <w:t xml:space="preserve">Vērtējamās īpašuma daļas tirgus vērtībā iekļauta mežaudzes vērtība. Atsavināšanas rezultātā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pašniekam radušies zaudējumi netika konstatēti – to apmērs ir 0,00 </w:t>
            </w:r>
            <w:r w:rsidRPr="005A5845">
              <w:rPr>
                <w:rFonts w:ascii="Times New Roman" w:hAnsi="Times New Roman" w:cs="Times New Roman"/>
                <w:i/>
                <w:color w:val="000000" w:themeColor="text1"/>
                <w:sz w:val="27"/>
                <w:szCs w:val="27"/>
              </w:rPr>
              <w:t>euro.</w:t>
            </w:r>
          </w:p>
          <w:p w14:paraId="5BFEC847" w14:textId="2B2A32BA"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Komisija saskaņā ar MK noteikumu Nr.204 26.punktu 2018.gada 2.maijā nosūtīja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pašniekam uzaicinājumu Nr.1.2.2-09/4854 piedalīties sēdē par aprēķinātās atlīdzības izvērtēšanu.</w:t>
            </w:r>
          </w:p>
          <w:p w14:paraId="5856404E" w14:textId="5DDBFFA4"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lang w:eastAsia="ar-SA"/>
              </w:rPr>
              <w:t xml:space="preserve">Komisija saskaņā ar Atsavināšanas likuma 26.panta pirmās daļas 2.punktu izteica </w:t>
            </w:r>
            <w:r w:rsidR="00F26523" w:rsidRPr="005A5845">
              <w:rPr>
                <w:rFonts w:ascii="Times New Roman" w:hAnsi="Times New Roman" w:cs="Times New Roman"/>
                <w:color w:val="000000" w:themeColor="text1"/>
                <w:sz w:val="27"/>
                <w:szCs w:val="27"/>
                <w:lang w:eastAsia="ar-SA"/>
              </w:rPr>
              <w:t>ī</w:t>
            </w:r>
            <w:r w:rsidRPr="005A5845">
              <w:rPr>
                <w:rFonts w:ascii="Times New Roman" w:hAnsi="Times New Roman" w:cs="Times New Roman"/>
                <w:color w:val="000000" w:themeColor="text1"/>
                <w:sz w:val="27"/>
                <w:szCs w:val="27"/>
                <w:lang w:eastAsia="ar-SA"/>
              </w:rPr>
              <w:t>pašniekam piedāvājumu daļu no atlīdzības kompensēt ar nekustamo īpašumu “</w:t>
            </w:r>
            <w:proofErr w:type="spellStart"/>
            <w:r w:rsidR="00E30DB4" w:rsidRPr="005A5845">
              <w:rPr>
                <w:rFonts w:ascii="Times New Roman" w:hAnsi="Times New Roman" w:cs="Times New Roman"/>
                <w:color w:val="000000" w:themeColor="text1"/>
                <w:sz w:val="27"/>
                <w:szCs w:val="27"/>
                <w:lang w:eastAsia="ar-SA"/>
              </w:rPr>
              <w:t>Robežmeži</w:t>
            </w:r>
            <w:proofErr w:type="spellEnd"/>
            <w:r w:rsidR="00E30DB4" w:rsidRPr="005A5845">
              <w:rPr>
                <w:rFonts w:ascii="Times New Roman" w:hAnsi="Times New Roman" w:cs="Times New Roman"/>
                <w:color w:val="000000" w:themeColor="text1"/>
                <w:sz w:val="27"/>
                <w:szCs w:val="27"/>
                <w:lang w:eastAsia="ar-SA"/>
              </w:rPr>
              <w:t xml:space="preserve"> 2</w:t>
            </w:r>
            <w:r w:rsidRPr="005A5845">
              <w:rPr>
                <w:rFonts w:ascii="Times New Roman" w:hAnsi="Times New Roman" w:cs="Times New Roman"/>
                <w:color w:val="000000" w:themeColor="text1"/>
                <w:sz w:val="27"/>
                <w:szCs w:val="27"/>
                <w:lang w:eastAsia="ar-SA"/>
              </w:rPr>
              <w:t xml:space="preserve">”, Kaplavas pagastā, Krāslavas novadā, kadastra numurs 6070 010 0422, kas sastāv no zemes vienības ar kadastra apzīmējumu 6070 010 0422 0,0222 ha platībā un kura tirgus vērtība saskaņā ar sertificēta vērtētāja vērtējumu 2018.gada 13.aprīlī ir 150,00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(viens simts piecdesmit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un 00 centi) (tirgus vērtībā iekļauta mežaudzes vērtība), atlikušo daļu – 10,00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(desmit </w:t>
            </w:r>
            <w:r w:rsidRPr="005A5845">
              <w:rPr>
                <w:rFonts w:ascii="Times New Roman" w:hAnsi="Times New Roman" w:cs="Times New Roman"/>
                <w:i/>
                <w:color w:val="000000" w:themeColor="text1"/>
                <w:sz w:val="27"/>
                <w:szCs w:val="27"/>
                <w:lang w:eastAsia="ar-SA"/>
              </w:rPr>
              <w:t xml:space="preserve">euro </w:t>
            </w:r>
            <w:r w:rsidRPr="005A5845">
              <w:rPr>
                <w:rFonts w:ascii="Times New Roman" w:hAnsi="Times New Roman" w:cs="Times New Roman"/>
                <w:color w:val="000000" w:themeColor="text1"/>
                <w:sz w:val="27"/>
                <w:szCs w:val="27"/>
                <w:lang w:eastAsia="ar-SA"/>
              </w:rPr>
              <w:t>un 00 centi) izmaksājot naudā.</w:t>
            </w:r>
          </w:p>
          <w:p w14:paraId="7FEDDB7B" w14:textId="0631B229" w:rsidR="00404580" w:rsidRPr="005A5845" w:rsidRDefault="00404580" w:rsidP="006A47F3">
            <w:pPr>
              <w:widowControl w:val="0"/>
              <w:tabs>
                <w:tab w:val="left" w:pos="1134"/>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Komisija ir saņēmusi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pašnieka 2018.gada 13.maija iesniegumu ar informāciju, ka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pašnieks aprēķinātai atlīdzībai 160,00 </w:t>
            </w:r>
            <w:r w:rsidRPr="005A5845">
              <w:rPr>
                <w:rFonts w:ascii="Times New Roman" w:hAnsi="Times New Roman" w:cs="Times New Roman"/>
                <w:i/>
                <w:color w:val="000000" w:themeColor="text1"/>
                <w:sz w:val="27"/>
                <w:szCs w:val="27"/>
              </w:rPr>
              <w:t xml:space="preserve">euro </w:t>
            </w:r>
            <w:r w:rsidRPr="005A5845">
              <w:rPr>
                <w:rFonts w:ascii="Times New Roman" w:hAnsi="Times New Roman" w:cs="Times New Roman"/>
                <w:color w:val="000000" w:themeColor="text1"/>
                <w:sz w:val="27"/>
                <w:szCs w:val="27"/>
              </w:rPr>
              <w:t xml:space="preserve">(viens simts sešdesmit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00 centi)</w:t>
            </w:r>
            <w:r w:rsidRPr="005A5845">
              <w:rPr>
                <w:rFonts w:ascii="Times New Roman" w:hAnsi="Times New Roman" w:cs="Times New Roman"/>
                <w:i/>
                <w:color w:val="000000" w:themeColor="text1"/>
                <w:sz w:val="27"/>
                <w:szCs w:val="27"/>
              </w:rPr>
              <w:t xml:space="preserve"> </w:t>
            </w:r>
            <w:r w:rsidRPr="005A5845">
              <w:rPr>
                <w:rFonts w:ascii="Times New Roman" w:hAnsi="Times New Roman" w:cs="Times New Roman"/>
                <w:color w:val="000000" w:themeColor="text1"/>
                <w:sz w:val="27"/>
                <w:szCs w:val="27"/>
              </w:rPr>
              <w:t>par nekustamā īpašuma “</w:t>
            </w:r>
            <w:proofErr w:type="spellStart"/>
            <w:r w:rsidRPr="005A5845">
              <w:rPr>
                <w:rFonts w:ascii="Times New Roman" w:hAnsi="Times New Roman" w:cs="Times New Roman"/>
                <w:color w:val="000000" w:themeColor="text1"/>
                <w:sz w:val="27"/>
                <w:szCs w:val="27"/>
              </w:rPr>
              <w:t>Robžmeži-1”</w:t>
            </w:r>
            <w:proofErr w:type="spellEnd"/>
            <w:r w:rsidRPr="005A5845">
              <w:rPr>
                <w:rFonts w:ascii="Times New Roman" w:hAnsi="Times New Roman" w:cs="Times New Roman"/>
                <w:color w:val="000000" w:themeColor="text1"/>
                <w:sz w:val="27"/>
                <w:szCs w:val="27"/>
              </w:rPr>
              <w:t xml:space="preserve"> atsavināšanu piekrīt, kā arī informāciju, ka </w:t>
            </w:r>
            <w:r w:rsidR="00F26523" w:rsidRPr="005A5845">
              <w:rPr>
                <w:rFonts w:ascii="Times New Roman" w:hAnsi="Times New Roman" w:cs="Times New Roman"/>
                <w:color w:val="000000" w:themeColor="text1"/>
                <w:sz w:val="27"/>
                <w:szCs w:val="27"/>
              </w:rPr>
              <w:t>ī</w:t>
            </w:r>
            <w:r w:rsidRPr="005A5845">
              <w:rPr>
                <w:rFonts w:ascii="Times New Roman" w:hAnsi="Times New Roman" w:cs="Times New Roman"/>
                <w:color w:val="000000" w:themeColor="text1"/>
                <w:sz w:val="27"/>
                <w:szCs w:val="27"/>
              </w:rPr>
              <w:t xml:space="preserve">pašnieks piekrīt atlīdzības daļējai kompensēšanai </w:t>
            </w:r>
            <w:r w:rsidRPr="005A5845">
              <w:rPr>
                <w:rFonts w:ascii="Times New Roman" w:hAnsi="Times New Roman" w:cs="Times New Roman"/>
                <w:color w:val="000000" w:themeColor="text1"/>
                <w:sz w:val="27"/>
                <w:szCs w:val="27"/>
                <w:lang w:eastAsia="ar-SA"/>
              </w:rPr>
              <w:t>ar nekustamo īpašumu “</w:t>
            </w:r>
            <w:proofErr w:type="spellStart"/>
            <w:r w:rsidR="00E30DB4" w:rsidRPr="005A5845">
              <w:rPr>
                <w:rFonts w:ascii="Times New Roman" w:hAnsi="Times New Roman" w:cs="Times New Roman"/>
                <w:color w:val="000000" w:themeColor="text1"/>
                <w:sz w:val="27"/>
                <w:szCs w:val="27"/>
                <w:lang w:eastAsia="ar-SA"/>
              </w:rPr>
              <w:t>Robežmeži</w:t>
            </w:r>
            <w:proofErr w:type="spellEnd"/>
            <w:r w:rsidR="00E30DB4" w:rsidRPr="005A5845">
              <w:rPr>
                <w:rFonts w:ascii="Times New Roman" w:hAnsi="Times New Roman" w:cs="Times New Roman"/>
                <w:color w:val="000000" w:themeColor="text1"/>
                <w:sz w:val="27"/>
                <w:szCs w:val="27"/>
                <w:lang w:eastAsia="ar-SA"/>
              </w:rPr>
              <w:t xml:space="preserve"> 2</w:t>
            </w:r>
            <w:r w:rsidRPr="005A5845">
              <w:rPr>
                <w:rFonts w:ascii="Times New Roman" w:hAnsi="Times New Roman" w:cs="Times New Roman"/>
                <w:color w:val="000000" w:themeColor="text1"/>
                <w:sz w:val="27"/>
                <w:szCs w:val="27"/>
                <w:lang w:eastAsia="ar-SA"/>
              </w:rPr>
              <w:t xml:space="preserve">”, Kaplavas pagastā, Krāslavas novadā, kadastra numurs 6070 010 0422, kas sastāv no zemes vienības ar kadastra apzīmējumu 6070 010 0422 0,0222 ha platībā, kā arī informāciju, ka </w:t>
            </w:r>
            <w:r w:rsidR="00F26523" w:rsidRPr="005A5845">
              <w:rPr>
                <w:rFonts w:ascii="Times New Roman" w:hAnsi="Times New Roman" w:cs="Times New Roman"/>
                <w:color w:val="000000" w:themeColor="text1"/>
                <w:sz w:val="27"/>
                <w:szCs w:val="27"/>
                <w:lang w:eastAsia="ar-SA"/>
              </w:rPr>
              <w:t>ī</w:t>
            </w:r>
            <w:r w:rsidRPr="005A5845">
              <w:rPr>
                <w:rFonts w:ascii="Times New Roman" w:hAnsi="Times New Roman" w:cs="Times New Roman"/>
                <w:color w:val="000000" w:themeColor="text1"/>
                <w:sz w:val="27"/>
                <w:szCs w:val="27"/>
                <w:lang w:eastAsia="ar-SA"/>
              </w:rPr>
              <w:t xml:space="preserve">pašnieks </w:t>
            </w:r>
            <w:r w:rsidRPr="005A5845">
              <w:rPr>
                <w:rFonts w:ascii="Times New Roman" w:hAnsi="Times New Roman" w:cs="Times New Roman"/>
                <w:color w:val="000000" w:themeColor="text1"/>
                <w:sz w:val="27"/>
                <w:szCs w:val="27"/>
              </w:rPr>
              <w:t xml:space="preserve">komisijas sēdē par aprēķinātās atlīdzības izvērtēšanu nepiedalīsies. </w:t>
            </w:r>
          </w:p>
          <w:p w14:paraId="6309F425" w14:textId="77777777" w:rsidR="00404580" w:rsidRPr="005A5845" w:rsidRDefault="00404580" w:rsidP="006A47F3">
            <w:pPr>
              <w:tabs>
                <w:tab w:val="left" w:pos="965"/>
              </w:tabs>
              <w:ind w:left="41" w:right="147" w:firstLine="498"/>
              <w:jc w:val="both"/>
              <w:rPr>
                <w:rFonts w:ascii="Times New Roman" w:hAnsi="Times New Roman" w:cs="Times New Roman"/>
                <w:color w:val="000000" w:themeColor="text1"/>
                <w:sz w:val="27"/>
                <w:szCs w:val="27"/>
              </w:rPr>
            </w:pPr>
          </w:p>
          <w:p w14:paraId="0FE81007" w14:textId="5AD10534" w:rsidR="00404580" w:rsidRPr="005A5845" w:rsidRDefault="00404580" w:rsidP="006A47F3">
            <w:pPr>
              <w:tabs>
                <w:tab w:val="left" w:pos="965"/>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Iekšlietu ministrija saskaņā ar MK noteikumu Nr. 204 36. punktu izskatīja</w:t>
            </w:r>
            <w:r w:rsidR="00F26523" w:rsidRPr="005A5845">
              <w:rPr>
                <w:rFonts w:ascii="Times New Roman" w:hAnsi="Times New Roman" w:cs="Times New Roman"/>
                <w:color w:val="000000" w:themeColor="text1"/>
                <w:sz w:val="27"/>
                <w:szCs w:val="27"/>
              </w:rPr>
              <w:t xml:space="preserve"> </w:t>
            </w:r>
            <w:r w:rsidRPr="005A5845">
              <w:rPr>
                <w:rFonts w:ascii="Times New Roman" w:hAnsi="Times New Roman" w:cs="Times New Roman"/>
                <w:color w:val="000000" w:themeColor="text1"/>
                <w:sz w:val="27"/>
                <w:szCs w:val="27"/>
              </w:rPr>
              <w:t>komisijas 2018.gada 18.maija lēmumu Nr.7 par atlīdzības apmēru sabiedrības vajadzībām nepieciešamo nekustamo īpašumu atsavināšanai un nolēma:</w:t>
            </w:r>
          </w:p>
          <w:p w14:paraId="54BB9530" w14:textId="43043D36" w:rsidR="00404580" w:rsidRPr="005A5845" w:rsidRDefault="00404580" w:rsidP="006A47F3">
            <w:pPr>
              <w:numPr>
                <w:ilvl w:val="0"/>
                <w:numId w:val="7"/>
              </w:numPr>
              <w:tabs>
                <w:tab w:val="left" w:pos="539"/>
                <w:tab w:val="left" w:pos="823"/>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ar 2018.gada 12.jūnija lēmumu Nr.1-66/96 apstiprināt </w:t>
            </w:r>
            <w:r w:rsidR="00F26523" w:rsidRPr="005A5845">
              <w:rPr>
                <w:rFonts w:ascii="Times New Roman" w:hAnsi="Times New Roman" w:cs="Times New Roman"/>
                <w:color w:val="000000" w:themeColor="text1"/>
                <w:sz w:val="27"/>
                <w:szCs w:val="27"/>
              </w:rPr>
              <w:t>k</w:t>
            </w:r>
            <w:r w:rsidRPr="005A5845">
              <w:rPr>
                <w:rFonts w:ascii="Times New Roman" w:hAnsi="Times New Roman" w:cs="Times New Roman"/>
                <w:color w:val="000000" w:themeColor="text1"/>
                <w:sz w:val="27"/>
                <w:szCs w:val="27"/>
              </w:rPr>
              <w:t xml:space="preserve">omisijas noteikto atlīdzības apmēru par nekustamā īpašuma „Irinas-1” atsavināšanu, nosakot taisnīgu atlīdzību 1200,00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apmērā, daļu no atlīdzības kompensēt ar nekustamo īpašumu “</w:t>
            </w:r>
            <w:r w:rsidR="00E30DB4" w:rsidRPr="005A5845">
              <w:rPr>
                <w:rFonts w:ascii="Times New Roman" w:hAnsi="Times New Roman" w:cs="Times New Roman"/>
                <w:color w:val="000000" w:themeColor="text1"/>
                <w:sz w:val="27"/>
                <w:szCs w:val="27"/>
              </w:rPr>
              <w:t>Irinas 2</w:t>
            </w:r>
            <w:r w:rsidRPr="005A5845">
              <w:rPr>
                <w:rFonts w:ascii="Times New Roman" w:hAnsi="Times New Roman" w:cs="Times New Roman"/>
                <w:color w:val="000000" w:themeColor="text1"/>
                <w:sz w:val="27"/>
                <w:szCs w:val="27"/>
              </w:rPr>
              <w:t xml:space="preserve">”, Kaplavas pagastā, Krāslavas novadā, </w:t>
            </w:r>
            <w:r w:rsidRPr="005A5845">
              <w:rPr>
                <w:rFonts w:ascii="Times New Roman" w:hAnsi="Times New Roman" w:cs="Times New Roman"/>
                <w:color w:val="000000" w:themeColor="text1"/>
                <w:sz w:val="27"/>
                <w:szCs w:val="27"/>
                <w:lang w:eastAsia="ar-SA"/>
              </w:rPr>
              <w:t>kadastra numurs 6070 010 0009, kas sastāv no</w:t>
            </w:r>
            <w:r w:rsidRPr="005A5845">
              <w:rPr>
                <w:rFonts w:ascii="Times New Roman" w:hAnsi="Times New Roman" w:cs="Times New Roman"/>
                <w:color w:val="000000" w:themeColor="text1"/>
                <w:sz w:val="27"/>
                <w:szCs w:val="27"/>
              </w:rPr>
              <w:t xml:space="preserve"> zemes vienības ar kadastra apzīmējumu 6070 010 0423 0,4142 ha platībā, kura tirgus vērtība </w:t>
            </w:r>
            <w:r w:rsidRPr="005A5845">
              <w:rPr>
                <w:rFonts w:ascii="Times New Roman" w:hAnsi="Times New Roman" w:cs="Times New Roman"/>
                <w:color w:val="000000" w:themeColor="text1"/>
                <w:sz w:val="27"/>
                <w:szCs w:val="27"/>
                <w:lang w:eastAsia="ar-SA"/>
              </w:rPr>
              <w:t xml:space="preserve">saskaņā ar sertificēta vērtētāja vērtējumu </w:t>
            </w:r>
            <w:r w:rsidRPr="005A5845">
              <w:rPr>
                <w:rFonts w:ascii="Times New Roman" w:hAnsi="Times New Roman" w:cs="Times New Roman"/>
                <w:color w:val="000000" w:themeColor="text1"/>
                <w:sz w:val="27"/>
                <w:szCs w:val="27"/>
              </w:rPr>
              <w:t xml:space="preserve">2018.gada 13.aprīlī ir 1100,00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(tirgus vērtībā iekļauta mežaudzes vērtība), atlikušo daļu – 100,00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w:t>
            </w:r>
            <w:r w:rsidRPr="005A5845">
              <w:rPr>
                <w:rFonts w:ascii="Times New Roman" w:hAnsi="Times New Roman" w:cs="Times New Roman"/>
                <w:color w:val="000000" w:themeColor="text1"/>
                <w:sz w:val="27"/>
                <w:szCs w:val="27"/>
                <w:lang w:eastAsia="ar-SA"/>
              </w:rPr>
              <w:t xml:space="preserve">(viens simts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un 00 centi) </w:t>
            </w:r>
            <w:r w:rsidRPr="005A5845">
              <w:rPr>
                <w:rFonts w:ascii="Times New Roman" w:hAnsi="Times New Roman" w:cs="Times New Roman"/>
                <w:color w:val="000000" w:themeColor="text1"/>
                <w:sz w:val="27"/>
                <w:szCs w:val="27"/>
              </w:rPr>
              <w:t>izmaksājot naudā;</w:t>
            </w:r>
          </w:p>
          <w:p w14:paraId="3B573891" w14:textId="5D01EAC4" w:rsidR="00404580" w:rsidRPr="005A5845" w:rsidRDefault="00404580" w:rsidP="006A47F3">
            <w:pPr>
              <w:numPr>
                <w:ilvl w:val="0"/>
                <w:numId w:val="7"/>
              </w:numPr>
              <w:tabs>
                <w:tab w:val="left" w:pos="539"/>
                <w:tab w:val="left" w:pos="823"/>
              </w:tabs>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ar 2018.gada 12.jūnija lēmumu Nr.1-66/98 apstiprināt </w:t>
            </w:r>
            <w:r w:rsidR="00F26523" w:rsidRPr="005A5845">
              <w:rPr>
                <w:rFonts w:ascii="Times New Roman" w:hAnsi="Times New Roman" w:cs="Times New Roman"/>
                <w:color w:val="000000" w:themeColor="text1"/>
                <w:sz w:val="27"/>
                <w:szCs w:val="27"/>
              </w:rPr>
              <w:t>k</w:t>
            </w:r>
            <w:r w:rsidRPr="005A5845">
              <w:rPr>
                <w:rFonts w:ascii="Times New Roman" w:hAnsi="Times New Roman" w:cs="Times New Roman"/>
                <w:color w:val="000000" w:themeColor="text1"/>
                <w:sz w:val="27"/>
                <w:szCs w:val="27"/>
              </w:rPr>
              <w:t>omisijas noteikto atlīdzības apmēru par nekustamā īpašuma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atsavināšanu, nosakot taisnīgu atlīdzību 160,00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apmērā, daļu no atlīdzības kompensējot ar nekustamo īpašumu “</w:t>
            </w:r>
            <w:proofErr w:type="spellStart"/>
            <w:r w:rsidR="00E30DB4" w:rsidRPr="005A5845">
              <w:rPr>
                <w:rFonts w:ascii="Times New Roman" w:hAnsi="Times New Roman" w:cs="Times New Roman"/>
                <w:color w:val="000000" w:themeColor="text1"/>
                <w:sz w:val="27"/>
                <w:szCs w:val="27"/>
              </w:rPr>
              <w:t>Robežmeži</w:t>
            </w:r>
            <w:proofErr w:type="spellEnd"/>
            <w:r w:rsidR="00E30DB4" w:rsidRPr="005A5845">
              <w:rPr>
                <w:rFonts w:ascii="Times New Roman" w:hAnsi="Times New Roman" w:cs="Times New Roman"/>
                <w:color w:val="000000" w:themeColor="text1"/>
                <w:sz w:val="27"/>
                <w:szCs w:val="27"/>
              </w:rPr>
              <w:t xml:space="preserve"> 2</w:t>
            </w:r>
            <w:r w:rsidRPr="005A5845">
              <w:rPr>
                <w:rFonts w:ascii="Times New Roman" w:hAnsi="Times New Roman" w:cs="Times New Roman"/>
                <w:color w:val="000000" w:themeColor="text1"/>
                <w:sz w:val="27"/>
                <w:szCs w:val="27"/>
              </w:rPr>
              <w:t xml:space="preserve">”, Kaplavas pagastā, Krāslavas novadā, </w:t>
            </w:r>
            <w:r w:rsidRPr="005A5845">
              <w:rPr>
                <w:rFonts w:ascii="Times New Roman" w:hAnsi="Times New Roman" w:cs="Times New Roman"/>
                <w:color w:val="000000" w:themeColor="text1"/>
                <w:sz w:val="27"/>
                <w:szCs w:val="27"/>
                <w:lang w:eastAsia="ar-SA"/>
              </w:rPr>
              <w:t>kadastra numurs 6070 010 0422, kas sastāv no</w:t>
            </w:r>
            <w:r w:rsidRPr="005A5845">
              <w:rPr>
                <w:rFonts w:ascii="Times New Roman" w:hAnsi="Times New Roman" w:cs="Times New Roman"/>
                <w:color w:val="000000" w:themeColor="text1"/>
                <w:sz w:val="27"/>
                <w:szCs w:val="27"/>
              </w:rPr>
              <w:t xml:space="preserve"> zemes vienības ar kadastra apzīmējumu 6070 010 0422 0,0222 ha platībā un kura tirgus vērtība saskaņā ar sertificēta vērtētāja vērtējumu 2018.gada 13.aprīlī ir 150,00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w:t>
            </w:r>
            <w:r w:rsidRPr="005A5845">
              <w:rPr>
                <w:rFonts w:ascii="Times New Roman" w:hAnsi="Times New Roman" w:cs="Times New Roman"/>
                <w:color w:val="000000" w:themeColor="text1"/>
                <w:sz w:val="27"/>
                <w:szCs w:val="27"/>
                <w:lang w:eastAsia="ar-SA"/>
              </w:rPr>
              <w:t xml:space="preserve">(viens simts piecdesmit </w:t>
            </w:r>
            <w:r w:rsidRPr="005A5845">
              <w:rPr>
                <w:rFonts w:ascii="Times New Roman" w:hAnsi="Times New Roman" w:cs="Times New Roman"/>
                <w:i/>
                <w:color w:val="000000" w:themeColor="text1"/>
                <w:sz w:val="27"/>
                <w:szCs w:val="27"/>
                <w:lang w:eastAsia="ar-SA"/>
              </w:rPr>
              <w:t>euro</w:t>
            </w:r>
            <w:r w:rsidRPr="005A5845">
              <w:rPr>
                <w:rFonts w:ascii="Times New Roman" w:hAnsi="Times New Roman" w:cs="Times New Roman"/>
                <w:color w:val="000000" w:themeColor="text1"/>
                <w:sz w:val="27"/>
                <w:szCs w:val="27"/>
                <w:lang w:eastAsia="ar-SA"/>
              </w:rPr>
              <w:t xml:space="preserve"> un 00 centi) </w:t>
            </w:r>
            <w:r w:rsidRPr="005A5845">
              <w:rPr>
                <w:rFonts w:ascii="Times New Roman" w:hAnsi="Times New Roman" w:cs="Times New Roman"/>
                <w:color w:val="000000" w:themeColor="text1"/>
                <w:sz w:val="27"/>
                <w:szCs w:val="27"/>
              </w:rPr>
              <w:t xml:space="preserve">(tirgus vērtībā iekļauta mežaudzes vērtība), atlikušo daļu – 10,00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w:t>
            </w:r>
            <w:r w:rsidRPr="005A5845">
              <w:rPr>
                <w:rFonts w:ascii="Times New Roman" w:hAnsi="Times New Roman" w:cs="Times New Roman"/>
                <w:color w:val="000000" w:themeColor="text1"/>
                <w:sz w:val="27"/>
                <w:szCs w:val="27"/>
                <w:lang w:eastAsia="ar-SA"/>
              </w:rPr>
              <w:t xml:space="preserve">(desmit </w:t>
            </w:r>
            <w:r w:rsidRPr="005A5845">
              <w:rPr>
                <w:rFonts w:ascii="Times New Roman" w:hAnsi="Times New Roman" w:cs="Times New Roman"/>
                <w:i/>
                <w:color w:val="000000" w:themeColor="text1"/>
                <w:sz w:val="27"/>
                <w:szCs w:val="27"/>
                <w:lang w:eastAsia="ar-SA"/>
              </w:rPr>
              <w:t xml:space="preserve">euro </w:t>
            </w:r>
            <w:r w:rsidRPr="005A5845">
              <w:rPr>
                <w:rFonts w:ascii="Times New Roman" w:hAnsi="Times New Roman" w:cs="Times New Roman"/>
                <w:color w:val="000000" w:themeColor="text1"/>
                <w:sz w:val="27"/>
                <w:szCs w:val="27"/>
                <w:lang w:eastAsia="ar-SA"/>
              </w:rPr>
              <w:t xml:space="preserve">un 00 centi) </w:t>
            </w:r>
            <w:r w:rsidRPr="005A5845">
              <w:rPr>
                <w:rFonts w:ascii="Times New Roman" w:hAnsi="Times New Roman" w:cs="Times New Roman"/>
                <w:color w:val="000000" w:themeColor="text1"/>
                <w:sz w:val="27"/>
                <w:szCs w:val="27"/>
              </w:rPr>
              <w:t>izmaksājot naudā.</w:t>
            </w:r>
          </w:p>
          <w:p w14:paraId="1C21DC42"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p>
          <w:p w14:paraId="5A0B91B0"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Nekustamos īpašumus “Irinas-1” un “</w:t>
            </w:r>
            <w:proofErr w:type="spellStart"/>
            <w:r w:rsidRPr="005A5845">
              <w:rPr>
                <w:rFonts w:ascii="Times New Roman" w:hAnsi="Times New Roman" w:cs="Times New Roman"/>
                <w:color w:val="000000" w:themeColor="text1"/>
                <w:sz w:val="27"/>
                <w:szCs w:val="27"/>
              </w:rPr>
              <w:t>Robežmeži-1”</w:t>
            </w:r>
            <w:proofErr w:type="spellEnd"/>
            <w:r w:rsidRPr="005A5845">
              <w:rPr>
                <w:rFonts w:ascii="Times New Roman" w:hAnsi="Times New Roman" w:cs="Times New Roman"/>
                <w:color w:val="000000" w:themeColor="text1"/>
                <w:sz w:val="27"/>
                <w:szCs w:val="27"/>
              </w:rPr>
              <w:t xml:space="preserve"> ir paredzēts atsavināt Latvijas Republikas valsts robežas joslas ar Baltkrievijas Republiku paplašināšanai līdz 12 metriem. </w:t>
            </w:r>
          </w:p>
          <w:p w14:paraId="4D6D85EB" w14:textId="532CAA00" w:rsidR="00410BE6" w:rsidRPr="005A5845" w:rsidRDefault="00410BE6"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sz w:val="27"/>
                <w:szCs w:val="27"/>
              </w:rPr>
              <w:t>Nekustamo īpašumu “Irinas-1” un “</w:t>
            </w:r>
            <w:proofErr w:type="spellStart"/>
            <w:r w:rsidRPr="005A5845">
              <w:rPr>
                <w:rFonts w:ascii="Times New Roman" w:hAnsi="Times New Roman" w:cs="Times New Roman"/>
                <w:sz w:val="27"/>
                <w:szCs w:val="27"/>
              </w:rPr>
              <w:t>Robežmeži-1”</w:t>
            </w:r>
            <w:proofErr w:type="spellEnd"/>
            <w:r w:rsidRPr="005A5845">
              <w:rPr>
                <w:rFonts w:ascii="Times New Roman" w:hAnsi="Times New Roman" w:cs="Times New Roman"/>
                <w:sz w:val="27"/>
                <w:szCs w:val="27"/>
              </w:rPr>
              <w:t xml:space="preserve"> atrašanās aizsargājamo ainavu apvidus ainavu aizsardzības zonas teritorijā neietekmēs minēto nekustamo īpašumu atsavināšanu. </w:t>
            </w:r>
          </w:p>
          <w:p w14:paraId="08E0F23F"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 xml:space="preserve">Pēc atsavināšanas pabeigšanas Iekšlietu ministrija īpašuma tiesības uz nekustamajiem īpašumiem normatīvajos aktos noteiktajā kārtībā nostiprinās zemesgrāmatā uz valsts vārda Iekšlietu ministrijas personā.  </w:t>
            </w:r>
          </w:p>
          <w:p w14:paraId="38B9FE2E" w14:textId="77777777" w:rsidR="00404580" w:rsidRPr="005A5845" w:rsidRDefault="00404580" w:rsidP="006A47F3">
            <w:pPr>
              <w:ind w:left="41" w:right="147" w:firstLine="498"/>
              <w:jc w:val="both"/>
              <w:rPr>
                <w:rFonts w:ascii="Times New Roman" w:hAnsi="Times New Roman" w:cs="Times New Roman"/>
                <w:color w:val="000000" w:themeColor="text1"/>
                <w:sz w:val="27"/>
                <w:szCs w:val="27"/>
              </w:rPr>
            </w:pPr>
            <w:r w:rsidRPr="005A5845">
              <w:rPr>
                <w:rFonts w:ascii="Times New Roman" w:hAnsi="Times New Roman" w:cs="Times New Roman"/>
                <w:color w:val="000000" w:themeColor="text1"/>
                <w:sz w:val="27"/>
                <w:szCs w:val="27"/>
              </w:rPr>
              <w:t>Atsavināmās zemes vienības tiks reģistrētas no jauna, grupējot nekustamos īpašumus pēc teritoriālā principa pa pagastiem.</w:t>
            </w:r>
          </w:p>
          <w:p w14:paraId="10976D05" w14:textId="5258F364"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sz w:val="27"/>
                <w:szCs w:val="27"/>
              </w:rPr>
              <w:t>Projekts attiecas uz iekšlietu politikas jomu.</w:t>
            </w:r>
          </w:p>
        </w:tc>
      </w:tr>
      <w:tr w:rsidR="00404580" w:rsidRPr="005A5845" w14:paraId="1D17C410" w14:textId="77777777" w:rsidTr="00404580">
        <w:tc>
          <w:tcPr>
            <w:tcW w:w="534" w:type="dxa"/>
          </w:tcPr>
          <w:p w14:paraId="42A9E53E" w14:textId="63F2124E"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lastRenderedPageBreak/>
              <w:t>3.</w:t>
            </w:r>
          </w:p>
        </w:tc>
        <w:tc>
          <w:tcPr>
            <w:tcW w:w="2976" w:type="dxa"/>
          </w:tcPr>
          <w:p w14:paraId="0ACC4E66" w14:textId="58B51C0B"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Projekta izstrādē iesaistītās institūcijas un publiskas personas kapitālsabiedrības</w:t>
            </w:r>
          </w:p>
        </w:tc>
        <w:tc>
          <w:tcPr>
            <w:tcW w:w="5777" w:type="dxa"/>
          </w:tcPr>
          <w:p w14:paraId="5AE84E7C" w14:textId="3701A671"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Iekšlietu ministrija, Nodrošinājuma valsts aģentūra.</w:t>
            </w:r>
          </w:p>
        </w:tc>
      </w:tr>
      <w:tr w:rsidR="00404580" w:rsidRPr="005A5845" w14:paraId="257BD2BF" w14:textId="77777777" w:rsidTr="00404580">
        <w:tc>
          <w:tcPr>
            <w:tcW w:w="534" w:type="dxa"/>
          </w:tcPr>
          <w:p w14:paraId="7DEA1FF6" w14:textId="7D280045"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4.</w:t>
            </w:r>
          </w:p>
        </w:tc>
        <w:tc>
          <w:tcPr>
            <w:tcW w:w="2976" w:type="dxa"/>
          </w:tcPr>
          <w:p w14:paraId="19D90F30" w14:textId="029F4AE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Cita informācija</w:t>
            </w:r>
          </w:p>
        </w:tc>
        <w:tc>
          <w:tcPr>
            <w:tcW w:w="5777" w:type="dxa"/>
          </w:tcPr>
          <w:p w14:paraId="372870CA" w14:textId="34097914"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Nav.</w:t>
            </w:r>
          </w:p>
        </w:tc>
      </w:tr>
    </w:tbl>
    <w:p w14:paraId="443F10B2" w14:textId="77777777" w:rsidR="00404580" w:rsidRPr="005A5845" w:rsidRDefault="00404580" w:rsidP="00D55D3B">
      <w:pPr>
        <w:spacing w:after="0" w:line="240" w:lineRule="auto"/>
        <w:rPr>
          <w:rFonts w:ascii="Times New Roman" w:eastAsia="Times New Roman" w:hAnsi="Times New Roman" w:cs="Times New Roman"/>
          <w:color w:val="000000" w:themeColor="text1"/>
          <w:sz w:val="27"/>
          <w:szCs w:val="27"/>
          <w:lang w:eastAsia="lv-LV"/>
        </w:rPr>
      </w:pPr>
    </w:p>
    <w:tbl>
      <w:tblPr>
        <w:tblStyle w:val="TableGrid"/>
        <w:tblW w:w="0" w:type="auto"/>
        <w:tblLook w:val="04A0" w:firstRow="1" w:lastRow="0" w:firstColumn="1" w:lastColumn="0" w:noHBand="0" w:noVBand="1"/>
      </w:tblPr>
      <w:tblGrid>
        <w:gridCol w:w="534"/>
        <w:gridCol w:w="3260"/>
        <w:gridCol w:w="5493"/>
      </w:tblGrid>
      <w:tr w:rsidR="00404580" w:rsidRPr="005A5845" w14:paraId="04220BC9" w14:textId="77777777" w:rsidTr="00656B2A">
        <w:tc>
          <w:tcPr>
            <w:tcW w:w="9287" w:type="dxa"/>
            <w:gridSpan w:val="3"/>
          </w:tcPr>
          <w:p w14:paraId="21819AF2" w14:textId="1EEC08A7" w:rsidR="00404580" w:rsidRPr="005A5845" w:rsidRDefault="00404580" w:rsidP="00404580">
            <w:pPr>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II. Tiesību akta projekta ietekme uz sabiedrību, tautsaimniecības attīstību un administratīvo slogu</w:t>
            </w:r>
          </w:p>
        </w:tc>
      </w:tr>
      <w:tr w:rsidR="00404580" w:rsidRPr="005A5845" w14:paraId="45CD3BC8" w14:textId="77777777" w:rsidTr="00404580">
        <w:tc>
          <w:tcPr>
            <w:tcW w:w="534" w:type="dxa"/>
          </w:tcPr>
          <w:p w14:paraId="292AD7A4" w14:textId="1BA9961B"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w:t>
            </w:r>
          </w:p>
        </w:tc>
        <w:tc>
          <w:tcPr>
            <w:tcW w:w="3260" w:type="dxa"/>
          </w:tcPr>
          <w:p w14:paraId="6B9F7C34" w14:textId="0C3A7658"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Sabiedrības mērķgrupas, kuras tiesiskais regulējums ietekmē vai varētu ietekmēt</w:t>
            </w:r>
          </w:p>
        </w:tc>
        <w:tc>
          <w:tcPr>
            <w:tcW w:w="5493" w:type="dxa"/>
          </w:tcPr>
          <w:p w14:paraId="606CB79F" w14:textId="39DABD1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Rīkojuma projekts attiecināms uz tajā minēto nekustamo īpašumu īpašniekiem, kuriem piederošais īpašums tiek atsavināts.</w:t>
            </w:r>
          </w:p>
        </w:tc>
      </w:tr>
      <w:tr w:rsidR="00404580" w:rsidRPr="005A5845" w14:paraId="1942A8C3" w14:textId="77777777" w:rsidTr="00404580">
        <w:tc>
          <w:tcPr>
            <w:tcW w:w="534" w:type="dxa"/>
          </w:tcPr>
          <w:p w14:paraId="6D7B4C82" w14:textId="53F0381D"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w:t>
            </w:r>
          </w:p>
        </w:tc>
        <w:tc>
          <w:tcPr>
            <w:tcW w:w="3260" w:type="dxa"/>
          </w:tcPr>
          <w:p w14:paraId="2E3303CD" w14:textId="17954B97"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Tiesiskā regulējuma ietekme uz tautsaimniecību un administratīvo slogu</w:t>
            </w:r>
          </w:p>
        </w:tc>
        <w:tc>
          <w:tcPr>
            <w:tcW w:w="5493" w:type="dxa"/>
          </w:tcPr>
          <w:p w14:paraId="76258A97" w14:textId="55819BB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Projekts šo jomu neskar.</w:t>
            </w:r>
          </w:p>
        </w:tc>
      </w:tr>
      <w:tr w:rsidR="00404580" w:rsidRPr="005A5845" w14:paraId="15B795B6" w14:textId="77777777" w:rsidTr="00404580">
        <w:tc>
          <w:tcPr>
            <w:tcW w:w="534" w:type="dxa"/>
          </w:tcPr>
          <w:p w14:paraId="08A922A4" w14:textId="41A5941D"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w:t>
            </w:r>
          </w:p>
        </w:tc>
        <w:tc>
          <w:tcPr>
            <w:tcW w:w="3260" w:type="dxa"/>
          </w:tcPr>
          <w:p w14:paraId="5BA29F1B" w14:textId="683FE710"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Administratīvo izmaksu monetārs novērtējums</w:t>
            </w:r>
          </w:p>
        </w:tc>
        <w:tc>
          <w:tcPr>
            <w:tcW w:w="5493" w:type="dxa"/>
          </w:tcPr>
          <w:p w14:paraId="08BEAB20" w14:textId="76904F5D"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Projekts šo jomu neskar.</w:t>
            </w:r>
          </w:p>
        </w:tc>
      </w:tr>
      <w:tr w:rsidR="00404580" w:rsidRPr="005A5845" w14:paraId="2BEE8427" w14:textId="77777777" w:rsidTr="00404580">
        <w:tc>
          <w:tcPr>
            <w:tcW w:w="534" w:type="dxa"/>
          </w:tcPr>
          <w:p w14:paraId="15BA9E9A" w14:textId="083005BD"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4.</w:t>
            </w:r>
          </w:p>
        </w:tc>
        <w:tc>
          <w:tcPr>
            <w:tcW w:w="3260" w:type="dxa"/>
          </w:tcPr>
          <w:p w14:paraId="3363258E" w14:textId="19419AF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Atbilstības izmaksu monetārs novērtējums</w:t>
            </w:r>
          </w:p>
        </w:tc>
        <w:tc>
          <w:tcPr>
            <w:tcW w:w="5493" w:type="dxa"/>
          </w:tcPr>
          <w:p w14:paraId="7DA4877B" w14:textId="04E3036C"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Projekts šo jomu neskar.</w:t>
            </w:r>
          </w:p>
        </w:tc>
      </w:tr>
      <w:tr w:rsidR="00404580" w:rsidRPr="005A5845" w14:paraId="0403A45E" w14:textId="77777777" w:rsidTr="00404580">
        <w:tc>
          <w:tcPr>
            <w:tcW w:w="534" w:type="dxa"/>
          </w:tcPr>
          <w:p w14:paraId="73036792" w14:textId="3558D809"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w:t>
            </w:r>
          </w:p>
        </w:tc>
        <w:tc>
          <w:tcPr>
            <w:tcW w:w="3260" w:type="dxa"/>
          </w:tcPr>
          <w:p w14:paraId="64A94E56" w14:textId="14070C38"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Cita informācija</w:t>
            </w:r>
          </w:p>
        </w:tc>
        <w:tc>
          <w:tcPr>
            <w:tcW w:w="5493" w:type="dxa"/>
          </w:tcPr>
          <w:p w14:paraId="4E2F34A6" w14:textId="6D6C8CD8" w:rsidR="00404580" w:rsidRPr="005A5845" w:rsidRDefault="00404580" w:rsidP="00D55D3B">
            <w:pP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Nav.</w:t>
            </w:r>
          </w:p>
        </w:tc>
      </w:tr>
    </w:tbl>
    <w:tbl>
      <w:tblPr>
        <w:tblpPr w:leftFromText="180" w:rightFromText="180" w:vertAnchor="text" w:horzAnchor="margin" w:tblpX="-118" w:tblpY="-100"/>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77"/>
        <w:gridCol w:w="993"/>
        <w:gridCol w:w="1098"/>
        <w:gridCol w:w="888"/>
        <w:gridCol w:w="1098"/>
        <w:gridCol w:w="888"/>
        <w:gridCol w:w="1098"/>
        <w:gridCol w:w="1098"/>
      </w:tblGrid>
      <w:tr w:rsidR="001014A9" w:rsidRPr="005A5845" w14:paraId="49C4E8E3" w14:textId="77777777" w:rsidTr="00404580">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5CB77EF"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III. Tiesību akta projekta ietekme uz valsts budžetu un pašvaldību budžetiem</w:t>
            </w:r>
          </w:p>
        </w:tc>
      </w:tr>
      <w:tr w:rsidR="001014A9" w:rsidRPr="005A5845" w14:paraId="29BF615B" w14:textId="77777777" w:rsidTr="00404580">
        <w:tc>
          <w:tcPr>
            <w:tcW w:w="120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Rādītāji</w:t>
            </w:r>
          </w:p>
        </w:tc>
        <w:tc>
          <w:tcPr>
            <w:tcW w:w="10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2018.gads</w:t>
            </w:r>
          </w:p>
        </w:tc>
        <w:tc>
          <w:tcPr>
            <w:tcW w:w="2715"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Turpmākie trīs gadi (</w:t>
            </w:r>
            <w:r w:rsidRPr="005A5845">
              <w:rPr>
                <w:rFonts w:ascii="Times New Roman" w:eastAsia="Times New Roman" w:hAnsi="Times New Roman" w:cs="Times New Roman"/>
                <w:i/>
                <w:iCs/>
                <w:color w:val="000000" w:themeColor="text1"/>
                <w:sz w:val="27"/>
                <w:szCs w:val="27"/>
                <w:lang w:eastAsia="lv-LV"/>
              </w:rPr>
              <w:t>euro</w:t>
            </w:r>
            <w:r w:rsidRPr="005A5845">
              <w:rPr>
                <w:rFonts w:ascii="Times New Roman" w:eastAsia="Times New Roman" w:hAnsi="Times New Roman" w:cs="Times New Roman"/>
                <w:color w:val="000000" w:themeColor="text1"/>
                <w:sz w:val="27"/>
                <w:szCs w:val="27"/>
                <w:lang w:eastAsia="lv-LV"/>
              </w:rPr>
              <w:t>)</w:t>
            </w:r>
          </w:p>
        </w:tc>
      </w:tr>
      <w:tr w:rsidR="001014A9" w:rsidRPr="005A5845" w14:paraId="7CF5CEE6" w14:textId="77777777" w:rsidTr="00404580">
        <w:tc>
          <w:tcPr>
            <w:tcW w:w="1200" w:type="pct"/>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2019</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2020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2021</w:t>
            </w:r>
          </w:p>
        </w:tc>
      </w:tr>
      <w:tr w:rsidR="001014A9" w:rsidRPr="005A5845" w14:paraId="0C8D47DB" w14:textId="77777777" w:rsidTr="00404580">
        <w:tc>
          <w:tcPr>
            <w:tcW w:w="1200" w:type="pct"/>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saskaņā ar valsts budžetu kārtējam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izmaiņas kārtējā gadā, salīdzinot ar valsts budžetu kārtējam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saskaņā ar vidēja termiņa budžeta ietvaru</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izmaiņas, salīdzinot ar vidēja termiņa budžeta ietvaru n+1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saskaņā ar vidēja termiņa budžeta ietvaru</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izmaiņas, salīdzinot ar vidēja termiņa budžeta ietvaru n+2 gadam</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izmaiņas, salīdzinot ar vidēja termiņa budžeta ietvaru n+2 gadam</w:t>
            </w:r>
          </w:p>
        </w:tc>
      </w:tr>
      <w:tr w:rsidR="001014A9" w:rsidRPr="005A5845" w14:paraId="52C9A8F9" w14:textId="77777777" w:rsidTr="00404580">
        <w:tc>
          <w:tcPr>
            <w:tcW w:w="120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4</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6</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7</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5A5845" w:rsidRDefault="00956AB9" w:rsidP="00404580">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8</w:t>
            </w:r>
          </w:p>
        </w:tc>
      </w:tr>
      <w:tr w:rsidR="001014A9" w:rsidRPr="005A5845" w14:paraId="0C2762CE"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 Budžeta ieņēmumi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2007511F"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1.1. valsts pamatbudžets, tai skaitā ieņēmumi no maksas pakalpojumiem un citi pašu ieņēmumi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2EB0F59C"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1.2. valsts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23DECBE6"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7839147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 Budžeta izdevumi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70F36DD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2.1. valsts pamatbudžets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386892</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4461F4D2"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2.2. valsts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420D1FB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4732C49D"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 Finansiālā ietekme</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786000C7"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3.1. valsts pamatbudžets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1C33591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3.2. speciālais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2872F82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3.3. pašvaldību budžets</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357CD8BA"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4. Finanšu līdzekļi papildu izdevumu finansēšanai (kompensējošu izdevumu samazinājumu norāda ar "+" zīmi)</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X</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063495E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 Precizēta finansiālā ietekme</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X</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0819CDC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273B5B21"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4799DEDA"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c>
          <w:tcPr>
            <w:tcW w:w="543"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5A5845" w:rsidRDefault="00956AB9" w:rsidP="00404580">
            <w:pPr>
              <w:spacing w:after="0" w:line="240" w:lineRule="auto"/>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0</w:t>
            </w:r>
          </w:p>
        </w:tc>
      </w:tr>
      <w:tr w:rsidR="001014A9" w:rsidRPr="005A5845" w14:paraId="7DCF01E3"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6. Detalizēts ieņēmumu un izdevumu aprēķins (ja nepieciešams, detalizētu ieņēmumu un izdevumu aprēķinu var pievienot anotācijas pielikumā)</w:t>
            </w:r>
          </w:p>
        </w:tc>
        <w:tc>
          <w:tcPr>
            <w:tcW w:w="380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CE4A0B2" w:rsidR="00956AB9" w:rsidRPr="005A5845" w:rsidRDefault="00956AB9" w:rsidP="00404580">
            <w:pPr>
              <w:tabs>
                <w:tab w:val="left" w:pos="522"/>
                <w:tab w:val="left" w:pos="635"/>
                <w:tab w:val="left" w:pos="918"/>
              </w:tabs>
              <w:spacing w:before="240" w:after="0" w:line="240" w:lineRule="auto"/>
              <w:ind w:firstLine="438"/>
              <w:jc w:val="both"/>
              <w:rPr>
                <w:rFonts w:ascii="Times New Roman" w:hAnsi="Times New Roman" w:cs="Times New Roman"/>
                <w:bCs/>
                <w:color w:val="000000" w:themeColor="text1"/>
                <w:sz w:val="27"/>
                <w:szCs w:val="27"/>
              </w:rPr>
            </w:pPr>
            <w:r w:rsidRPr="005A5845">
              <w:rPr>
                <w:rFonts w:ascii="Times New Roman" w:hAnsi="Times New Roman" w:cs="Times New Roman"/>
                <w:bCs/>
                <w:color w:val="000000" w:themeColor="text1"/>
                <w:sz w:val="27"/>
                <w:szCs w:val="27"/>
              </w:rPr>
              <w:t xml:space="preserve">Izdevumi, kas saistīti ar nekustamo īpašumu atsavināšanu un </w:t>
            </w:r>
            <w:r w:rsidR="00446626" w:rsidRPr="005A5845">
              <w:rPr>
                <w:rFonts w:ascii="Times New Roman" w:hAnsi="Times New Roman" w:cs="Times New Roman"/>
                <w:sz w:val="27"/>
                <w:szCs w:val="27"/>
              </w:rPr>
              <w:t>īpašuma tiesību nostiprināšanu</w:t>
            </w:r>
            <w:r w:rsidR="00446626" w:rsidRPr="005A5845">
              <w:rPr>
                <w:rFonts w:ascii="Times New Roman" w:hAnsi="Times New Roman" w:cs="Times New Roman"/>
                <w:bCs/>
                <w:sz w:val="27"/>
                <w:szCs w:val="27"/>
              </w:rPr>
              <w:t xml:space="preserve"> zemesgrāmatā</w:t>
            </w:r>
            <w:r w:rsidR="00446626" w:rsidRPr="005A5845">
              <w:rPr>
                <w:rFonts w:ascii="Times New Roman" w:hAnsi="Times New Roman" w:cs="Times New Roman"/>
                <w:bCs/>
                <w:color w:val="000000" w:themeColor="text1"/>
                <w:sz w:val="27"/>
                <w:szCs w:val="27"/>
              </w:rPr>
              <w:t xml:space="preserve"> </w:t>
            </w:r>
            <w:r w:rsidRPr="005A5845">
              <w:rPr>
                <w:rFonts w:ascii="Times New Roman" w:hAnsi="Times New Roman" w:cs="Times New Roman"/>
                <w:bCs/>
                <w:color w:val="000000" w:themeColor="text1"/>
                <w:sz w:val="27"/>
                <w:szCs w:val="27"/>
              </w:rPr>
              <w:t xml:space="preserve">kopumā sastāda </w:t>
            </w:r>
            <w:r w:rsidR="00967F86" w:rsidRPr="005A5845">
              <w:rPr>
                <w:rFonts w:ascii="Times New Roman" w:hAnsi="Times New Roman" w:cs="Times New Roman"/>
                <w:b/>
                <w:bCs/>
                <w:color w:val="000000" w:themeColor="text1"/>
                <w:sz w:val="27"/>
                <w:szCs w:val="27"/>
              </w:rPr>
              <w:t>494</w:t>
            </w:r>
            <w:r w:rsidR="00301D15" w:rsidRPr="005A5845">
              <w:rPr>
                <w:rFonts w:ascii="Times New Roman" w:hAnsi="Times New Roman" w:cs="Times New Roman"/>
                <w:b/>
                <w:bCs/>
                <w:color w:val="000000" w:themeColor="text1"/>
                <w:sz w:val="27"/>
                <w:szCs w:val="27"/>
              </w:rPr>
              <w:t>,00</w:t>
            </w:r>
            <w:r w:rsidRPr="005A5845">
              <w:rPr>
                <w:rFonts w:ascii="Times New Roman" w:hAnsi="Times New Roman" w:cs="Times New Roman"/>
                <w:b/>
                <w:bCs/>
                <w:color w:val="000000" w:themeColor="text1"/>
                <w:sz w:val="27"/>
                <w:szCs w:val="27"/>
              </w:rPr>
              <w:t xml:space="preserve"> </w:t>
            </w:r>
            <w:r w:rsidRPr="005A5845">
              <w:rPr>
                <w:rFonts w:ascii="Times New Roman" w:hAnsi="Times New Roman" w:cs="Times New Roman"/>
                <w:b/>
                <w:bCs/>
                <w:i/>
                <w:color w:val="000000" w:themeColor="text1"/>
                <w:sz w:val="27"/>
                <w:szCs w:val="27"/>
              </w:rPr>
              <w:t>euro</w:t>
            </w:r>
            <w:r w:rsidRPr="005A5845">
              <w:rPr>
                <w:rFonts w:ascii="Times New Roman" w:hAnsi="Times New Roman" w:cs="Times New Roman"/>
                <w:bCs/>
                <w:color w:val="000000" w:themeColor="text1"/>
                <w:sz w:val="27"/>
                <w:szCs w:val="27"/>
              </w:rPr>
              <w:t xml:space="preserve"> </w:t>
            </w:r>
            <w:r w:rsidR="00301D15" w:rsidRPr="005A5845">
              <w:rPr>
                <w:rFonts w:ascii="Times New Roman" w:hAnsi="Times New Roman" w:cs="Times New Roman"/>
                <w:bCs/>
                <w:color w:val="000000" w:themeColor="text1"/>
                <w:sz w:val="27"/>
                <w:szCs w:val="27"/>
              </w:rPr>
              <w:t xml:space="preserve">(četri simti deviņdesmit četri </w:t>
            </w:r>
            <w:r w:rsidR="00301D15" w:rsidRPr="005A5845">
              <w:rPr>
                <w:rFonts w:ascii="Times New Roman" w:hAnsi="Times New Roman" w:cs="Times New Roman"/>
                <w:bCs/>
                <w:i/>
                <w:color w:val="000000" w:themeColor="text1"/>
                <w:sz w:val="27"/>
                <w:szCs w:val="27"/>
              </w:rPr>
              <w:t>euro</w:t>
            </w:r>
            <w:r w:rsidR="00301D15" w:rsidRPr="005A5845">
              <w:rPr>
                <w:rFonts w:ascii="Times New Roman" w:hAnsi="Times New Roman" w:cs="Times New Roman"/>
                <w:bCs/>
                <w:color w:val="000000" w:themeColor="text1"/>
                <w:sz w:val="27"/>
                <w:szCs w:val="27"/>
              </w:rPr>
              <w:t xml:space="preserve"> un 00 centi) </w:t>
            </w:r>
            <w:r w:rsidRPr="005A5845">
              <w:rPr>
                <w:rFonts w:ascii="Times New Roman" w:hAnsi="Times New Roman" w:cs="Times New Roman"/>
                <w:bCs/>
                <w:color w:val="000000" w:themeColor="text1"/>
                <w:sz w:val="27"/>
                <w:szCs w:val="27"/>
              </w:rPr>
              <w:t>(EKK 5217) (budžeta apakšprogramma 40.02.00 „Nekustamais īpašums un centralizētais iepirkums”), tajā skaitā:</w:t>
            </w:r>
          </w:p>
          <w:p w14:paraId="12E952DF" w14:textId="29F5B112" w:rsidR="00956AB9" w:rsidRPr="005A5845" w:rsidRDefault="00956AB9" w:rsidP="00404580">
            <w:pPr>
              <w:pStyle w:val="ListParagraph"/>
              <w:numPr>
                <w:ilvl w:val="0"/>
                <w:numId w:val="8"/>
              </w:numPr>
              <w:tabs>
                <w:tab w:val="left" w:pos="522"/>
                <w:tab w:val="left" w:pos="635"/>
                <w:tab w:val="left" w:pos="918"/>
              </w:tabs>
              <w:ind w:left="0" w:firstLine="438"/>
              <w:jc w:val="both"/>
              <w:rPr>
                <w:bCs/>
                <w:color w:val="000000" w:themeColor="text1"/>
                <w:sz w:val="27"/>
                <w:szCs w:val="27"/>
                <w:lang w:val="lv-LV"/>
              </w:rPr>
            </w:pPr>
            <w:r w:rsidRPr="005A5845">
              <w:rPr>
                <w:bCs/>
                <w:color w:val="000000" w:themeColor="text1"/>
                <w:sz w:val="27"/>
                <w:szCs w:val="27"/>
                <w:lang w:val="lv-LV"/>
              </w:rPr>
              <w:t xml:space="preserve">izdevumi, lai segtu atlīdzību par nekustamo īpašumu atsavināšanu – </w:t>
            </w:r>
            <w:r w:rsidRPr="005A5845">
              <w:rPr>
                <w:b/>
                <w:bCs/>
                <w:color w:val="000000" w:themeColor="text1"/>
                <w:sz w:val="27"/>
                <w:szCs w:val="27"/>
                <w:lang w:val="lv-LV"/>
              </w:rPr>
              <w:t>1</w:t>
            </w:r>
            <w:r w:rsidR="00967F86" w:rsidRPr="005A5845">
              <w:rPr>
                <w:b/>
                <w:bCs/>
                <w:color w:val="000000" w:themeColor="text1"/>
                <w:sz w:val="27"/>
                <w:szCs w:val="27"/>
                <w:lang w:val="lv-LV"/>
              </w:rPr>
              <w:t>1</w:t>
            </w:r>
            <w:r w:rsidRPr="005A5845">
              <w:rPr>
                <w:b/>
                <w:bCs/>
                <w:color w:val="000000" w:themeColor="text1"/>
                <w:sz w:val="27"/>
                <w:szCs w:val="27"/>
                <w:lang w:val="lv-LV"/>
              </w:rPr>
              <w:t>0</w:t>
            </w:r>
            <w:r w:rsidR="00301D15" w:rsidRPr="005A5845">
              <w:rPr>
                <w:b/>
                <w:bCs/>
                <w:color w:val="000000" w:themeColor="text1"/>
                <w:sz w:val="27"/>
                <w:szCs w:val="27"/>
                <w:lang w:val="lv-LV"/>
              </w:rPr>
              <w:t>,00</w:t>
            </w:r>
            <w:r w:rsidRPr="005A5845">
              <w:rPr>
                <w:bCs/>
                <w:color w:val="000000" w:themeColor="text1"/>
                <w:sz w:val="27"/>
                <w:szCs w:val="27"/>
                <w:lang w:val="lv-LV"/>
              </w:rPr>
              <w:t xml:space="preserve"> </w:t>
            </w:r>
            <w:r w:rsidRPr="005A5845">
              <w:rPr>
                <w:b/>
                <w:bCs/>
                <w:i/>
                <w:color w:val="000000" w:themeColor="text1"/>
                <w:sz w:val="27"/>
                <w:szCs w:val="27"/>
                <w:lang w:val="lv-LV"/>
              </w:rPr>
              <w:t>euro</w:t>
            </w:r>
            <w:r w:rsidR="00301D15" w:rsidRPr="005A5845">
              <w:rPr>
                <w:b/>
                <w:bCs/>
                <w:i/>
                <w:color w:val="000000" w:themeColor="text1"/>
                <w:sz w:val="27"/>
                <w:szCs w:val="27"/>
                <w:lang w:val="lv-LV"/>
              </w:rPr>
              <w:t xml:space="preserve"> </w:t>
            </w:r>
            <w:r w:rsidR="00301D15" w:rsidRPr="005A5845">
              <w:rPr>
                <w:bCs/>
                <w:color w:val="000000" w:themeColor="text1"/>
                <w:sz w:val="27"/>
                <w:szCs w:val="27"/>
                <w:lang w:val="lv-LV"/>
              </w:rPr>
              <w:t xml:space="preserve">(simtu desmit </w:t>
            </w:r>
            <w:r w:rsidR="00301D15" w:rsidRPr="005A5845">
              <w:rPr>
                <w:bCs/>
                <w:i/>
                <w:color w:val="000000" w:themeColor="text1"/>
                <w:sz w:val="27"/>
                <w:szCs w:val="27"/>
                <w:lang w:val="lv-LV"/>
              </w:rPr>
              <w:t>euro</w:t>
            </w:r>
            <w:r w:rsidR="00301D15" w:rsidRPr="005A5845">
              <w:rPr>
                <w:bCs/>
                <w:color w:val="000000" w:themeColor="text1"/>
                <w:sz w:val="27"/>
                <w:szCs w:val="27"/>
                <w:lang w:val="lv-LV"/>
              </w:rPr>
              <w:t xml:space="preserve"> un 00 centi)</w:t>
            </w:r>
            <w:r w:rsidRPr="005A5845">
              <w:rPr>
                <w:bCs/>
                <w:color w:val="000000" w:themeColor="text1"/>
                <w:sz w:val="27"/>
                <w:szCs w:val="27"/>
                <w:lang w:val="lv-LV"/>
              </w:rPr>
              <w:t>, tajā skaitā:</w:t>
            </w:r>
          </w:p>
          <w:p w14:paraId="1C1CE053" w14:textId="022F6832" w:rsidR="00956AB9" w:rsidRPr="005A5845" w:rsidRDefault="00956AB9" w:rsidP="00404580">
            <w:pPr>
              <w:pStyle w:val="ListParagraph"/>
              <w:widowControl w:val="0"/>
              <w:numPr>
                <w:ilvl w:val="1"/>
                <w:numId w:val="8"/>
              </w:numPr>
              <w:tabs>
                <w:tab w:val="left" w:pos="777"/>
                <w:tab w:val="left" w:pos="1005"/>
              </w:tabs>
              <w:ind w:left="0" w:firstLine="438"/>
              <w:jc w:val="both"/>
              <w:rPr>
                <w:color w:val="000000" w:themeColor="text1"/>
                <w:sz w:val="27"/>
                <w:szCs w:val="27"/>
                <w:lang w:val="lv-LV"/>
              </w:rPr>
            </w:pPr>
            <w:r w:rsidRPr="005A5845">
              <w:rPr>
                <w:color w:val="000000" w:themeColor="text1"/>
                <w:sz w:val="27"/>
                <w:szCs w:val="27"/>
                <w:lang w:val="lv-LV"/>
              </w:rPr>
              <w:t>par nekustamo īpašumu „</w:t>
            </w:r>
            <w:r w:rsidR="00967F86" w:rsidRPr="005A5845">
              <w:rPr>
                <w:color w:val="000000" w:themeColor="text1"/>
                <w:sz w:val="27"/>
                <w:szCs w:val="27"/>
                <w:lang w:val="lv-LV"/>
              </w:rPr>
              <w:t>Irinas-1</w:t>
            </w:r>
            <w:r w:rsidRPr="005A5845">
              <w:rPr>
                <w:color w:val="000000" w:themeColor="text1"/>
                <w:sz w:val="27"/>
                <w:szCs w:val="27"/>
                <w:lang w:val="lv-LV"/>
              </w:rPr>
              <w:t xml:space="preserve">” </w:t>
            </w:r>
            <w:r w:rsidR="00967F86" w:rsidRPr="005A5845">
              <w:rPr>
                <w:color w:val="000000" w:themeColor="text1"/>
                <w:sz w:val="27"/>
                <w:szCs w:val="27"/>
                <w:lang w:val="lv-LV"/>
              </w:rPr>
              <w:t>10</w:t>
            </w:r>
            <w:r w:rsidRPr="005A5845">
              <w:rPr>
                <w:color w:val="000000" w:themeColor="text1"/>
                <w:sz w:val="27"/>
                <w:szCs w:val="27"/>
                <w:lang w:val="lv-LV"/>
              </w:rPr>
              <w:t xml:space="preserve">0,00 </w:t>
            </w:r>
            <w:proofErr w:type="spellStart"/>
            <w:r w:rsidRPr="005A5845">
              <w:rPr>
                <w:i/>
                <w:color w:val="000000" w:themeColor="text1"/>
                <w:sz w:val="27"/>
                <w:szCs w:val="27"/>
                <w:lang w:val="lv-LV"/>
              </w:rPr>
              <w:t>euro</w:t>
            </w:r>
            <w:proofErr w:type="spellEnd"/>
            <w:r w:rsidRPr="005A5845">
              <w:rPr>
                <w:color w:val="000000" w:themeColor="text1"/>
                <w:sz w:val="27"/>
                <w:szCs w:val="27"/>
                <w:lang w:val="lv-LV"/>
              </w:rPr>
              <w:t>;</w:t>
            </w:r>
          </w:p>
          <w:p w14:paraId="1AD6832E" w14:textId="57124CFF" w:rsidR="00956AB9" w:rsidRPr="005A5845" w:rsidRDefault="00956AB9" w:rsidP="00404580">
            <w:pPr>
              <w:pStyle w:val="ListParagraph"/>
              <w:widowControl w:val="0"/>
              <w:numPr>
                <w:ilvl w:val="1"/>
                <w:numId w:val="8"/>
              </w:numPr>
              <w:tabs>
                <w:tab w:val="left" w:pos="777"/>
                <w:tab w:val="left" w:pos="1005"/>
              </w:tabs>
              <w:ind w:left="0" w:firstLine="438"/>
              <w:jc w:val="both"/>
              <w:rPr>
                <w:color w:val="000000" w:themeColor="text1"/>
                <w:sz w:val="27"/>
                <w:szCs w:val="27"/>
                <w:lang w:val="lv-LV"/>
              </w:rPr>
            </w:pPr>
            <w:r w:rsidRPr="005A5845">
              <w:rPr>
                <w:color w:val="000000" w:themeColor="text1"/>
                <w:sz w:val="27"/>
                <w:szCs w:val="27"/>
                <w:lang w:val="lv-LV"/>
              </w:rPr>
              <w:t>par nekustamo īpašumu „</w:t>
            </w:r>
            <w:proofErr w:type="spellStart"/>
            <w:r w:rsidR="00967F86" w:rsidRPr="005A5845">
              <w:rPr>
                <w:color w:val="000000" w:themeColor="text1"/>
                <w:sz w:val="27"/>
                <w:szCs w:val="27"/>
                <w:lang w:val="lv-LV"/>
              </w:rPr>
              <w:t>Robežmeži-1</w:t>
            </w:r>
            <w:r w:rsidRPr="005A5845">
              <w:rPr>
                <w:color w:val="000000" w:themeColor="text1"/>
                <w:sz w:val="27"/>
                <w:szCs w:val="27"/>
                <w:lang w:val="lv-LV"/>
              </w:rPr>
              <w:t>”</w:t>
            </w:r>
            <w:proofErr w:type="spellEnd"/>
            <w:r w:rsidRPr="005A5845">
              <w:rPr>
                <w:color w:val="000000" w:themeColor="text1"/>
                <w:sz w:val="27"/>
                <w:szCs w:val="27"/>
                <w:lang w:val="lv-LV"/>
              </w:rPr>
              <w:t xml:space="preserve"> </w:t>
            </w:r>
            <w:r w:rsidR="00967F86" w:rsidRPr="005A5845">
              <w:rPr>
                <w:color w:val="000000" w:themeColor="text1"/>
                <w:sz w:val="27"/>
                <w:szCs w:val="27"/>
                <w:lang w:val="lv-LV"/>
              </w:rPr>
              <w:t>1</w:t>
            </w:r>
            <w:r w:rsidRPr="005A5845">
              <w:rPr>
                <w:color w:val="000000" w:themeColor="text1"/>
                <w:sz w:val="27"/>
                <w:szCs w:val="27"/>
                <w:lang w:val="lv-LV"/>
              </w:rPr>
              <w:t xml:space="preserve">0,00 </w:t>
            </w:r>
            <w:proofErr w:type="spellStart"/>
            <w:r w:rsidRPr="005A5845">
              <w:rPr>
                <w:i/>
                <w:color w:val="000000" w:themeColor="text1"/>
                <w:sz w:val="27"/>
                <w:szCs w:val="27"/>
                <w:lang w:val="lv-LV"/>
              </w:rPr>
              <w:t>euro</w:t>
            </w:r>
            <w:proofErr w:type="spellEnd"/>
            <w:r w:rsidRPr="005A5845">
              <w:rPr>
                <w:color w:val="000000" w:themeColor="text1"/>
                <w:sz w:val="27"/>
                <w:szCs w:val="27"/>
                <w:lang w:val="lv-LV"/>
              </w:rPr>
              <w:t>;</w:t>
            </w:r>
          </w:p>
          <w:p w14:paraId="0BE847F2" w14:textId="77777777" w:rsidR="00956AB9" w:rsidRPr="005A5845" w:rsidRDefault="00956AB9" w:rsidP="00404580">
            <w:pPr>
              <w:widowControl w:val="0"/>
              <w:tabs>
                <w:tab w:val="left" w:pos="918"/>
                <w:tab w:val="left" w:pos="1276"/>
              </w:tabs>
              <w:spacing w:after="0" w:line="240" w:lineRule="auto"/>
              <w:ind w:firstLine="438"/>
              <w:jc w:val="both"/>
              <w:rPr>
                <w:rFonts w:ascii="Times New Roman" w:hAnsi="Times New Roman" w:cs="Times New Roman"/>
                <w:color w:val="000000" w:themeColor="text1"/>
                <w:sz w:val="27"/>
                <w:szCs w:val="27"/>
              </w:rPr>
            </w:pPr>
          </w:p>
          <w:p w14:paraId="691CB487" w14:textId="5A9AE325" w:rsidR="00956AB9" w:rsidRPr="005A5845" w:rsidRDefault="00956AB9" w:rsidP="00404580">
            <w:pPr>
              <w:pStyle w:val="ListParagraph"/>
              <w:numPr>
                <w:ilvl w:val="0"/>
                <w:numId w:val="8"/>
              </w:numPr>
              <w:tabs>
                <w:tab w:val="left" w:pos="522"/>
                <w:tab w:val="left" w:pos="635"/>
                <w:tab w:val="left" w:pos="918"/>
              </w:tabs>
              <w:ind w:left="0" w:firstLine="438"/>
              <w:jc w:val="both"/>
              <w:rPr>
                <w:bCs/>
                <w:color w:val="000000" w:themeColor="text1"/>
                <w:sz w:val="27"/>
                <w:szCs w:val="27"/>
                <w:lang w:val="lv-LV"/>
              </w:rPr>
            </w:pPr>
            <w:r w:rsidRPr="005A5845">
              <w:rPr>
                <w:bCs/>
                <w:color w:val="000000" w:themeColor="text1"/>
                <w:sz w:val="27"/>
                <w:szCs w:val="27"/>
                <w:lang w:val="lv-LV"/>
              </w:rPr>
              <w:t xml:space="preserve">izdevumi, kas saistīti ar nostiprinājuma lūguma parakstīšanu pie notāra: </w:t>
            </w:r>
            <w:r w:rsidR="00967F86" w:rsidRPr="005A5845">
              <w:rPr>
                <w:bCs/>
                <w:color w:val="000000" w:themeColor="text1"/>
                <w:sz w:val="27"/>
                <w:szCs w:val="27"/>
                <w:lang w:val="lv-LV"/>
              </w:rPr>
              <w:t>4</w:t>
            </w:r>
            <w:r w:rsidRPr="005A5845">
              <w:rPr>
                <w:bCs/>
                <w:color w:val="000000" w:themeColor="text1"/>
                <w:sz w:val="27"/>
                <w:szCs w:val="27"/>
                <w:lang w:val="lv-LV"/>
              </w:rPr>
              <w:t xml:space="preserve"> īpašumi x 66 </w:t>
            </w:r>
            <w:r w:rsidRPr="005A5845">
              <w:rPr>
                <w:bCs/>
                <w:i/>
                <w:color w:val="000000" w:themeColor="text1"/>
                <w:sz w:val="27"/>
                <w:szCs w:val="27"/>
                <w:lang w:val="lv-LV"/>
              </w:rPr>
              <w:t>euro</w:t>
            </w:r>
            <w:r w:rsidRPr="005A5845">
              <w:rPr>
                <w:bCs/>
                <w:color w:val="000000" w:themeColor="text1"/>
                <w:sz w:val="27"/>
                <w:szCs w:val="27"/>
                <w:lang w:val="lv-LV"/>
              </w:rPr>
              <w:t xml:space="preserve"> = </w:t>
            </w:r>
            <w:r w:rsidR="00967F86" w:rsidRPr="005A5845">
              <w:rPr>
                <w:b/>
                <w:bCs/>
                <w:color w:val="000000" w:themeColor="text1"/>
                <w:sz w:val="27"/>
                <w:szCs w:val="27"/>
                <w:lang w:val="lv-LV"/>
              </w:rPr>
              <w:t>264</w:t>
            </w:r>
            <w:r w:rsidR="00301D15" w:rsidRPr="005A5845">
              <w:rPr>
                <w:b/>
                <w:bCs/>
                <w:color w:val="000000" w:themeColor="text1"/>
                <w:sz w:val="27"/>
                <w:szCs w:val="27"/>
                <w:lang w:val="lv-LV"/>
              </w:rPr>
              <w:t>,00</w:t>
            </w:r>
            <w:r w:rsidRPr="005A5845">
              <w:rPr>
                <w:b/>
                <w:bCs/>
                <w:color w:val="000000" w:themeColor="text1"/>
                <w:sz w:val="27"/>
                <w:szCs w:val="27"/>
                <w:lang w:val="lv-LV"/>
              </w:rPr>
              <w:t xml:space="preserve"> </w:t>
            </w:r>
            <w:r w:rsidRPr="005A5845">
              <w:rPr>
                <w:b/>
                <w:bCs/>
                <w:i/>
                <w:color w:val="000000" w:themeColor="text1"/>
                <w:sz w:val="27"/>
                <w:szCs w:val="27"/>
                <w:lang w:val="lv-LV"/>
              </w:rPr>
              <w:t>euro</w:t>
            </w:r>
            <w:r w:rsidR="00301D15" w:rsidRPr="005A5845">
              <w:rPr>
                <w:b/>
                <w:bCs/>
                <w:i/>
                <w:color w:val="000000" w:themeColor="text1"/>
                <w:sz w:val="27"/>
                <w:szCs w:val="27"/>
                <w:lang w:val="lv-LV"/>
              </w:rPr>
              <w:t xml:space="preserve"> </w:t>
            </w:r>
            <w:r w:rsidR="00301D15" w:rsidRPr="005A5845">
              <w:rPr>
                <w:bCs/>
                <w:color w:val="000000" w:themeColor="text1"/>
                <w:sz w:val="27"/>
                <w:szCs w:val="27"/>
                <w:lang w:val="lv-LV"/>
              </w:rPr>
              <w:t xml:space="preserve">(divi simti sešdesmit četri </w:t>
            </w:r>
            <w:r w:rsidR="00301D15" w:rsidRPr="005A5845">
              <w:rPr>
                <w:bCs/>
                <w:i/>
                <w:color w:val="000000" w:themeColor="text1"/>
                <w:sz w:val="27"/>
                <w:szCs w:val="27"/>
                <w:lang w:val="lv-LV"/>
              </w:rPr>
              <w:t>euro</w:t>
            </w:r>
            <w:r w:rsidR="00301D15" w:rsidRPr="005A5845">
              <w:rPr>
                <w:bCs/>
                <w:color w:val="000000" w:themeColor="text1"/>
                <w:sz w:val="27"/>
                <w:szCs w:val="27"/>
                <w:lang w:val="lv-LV"/>
              </w:rPr>
              <w:t xml:space="preserve"> un 00 centi)</w:t>
            </w:r>
            <w:r w:rsidRPr="005A5845">
              <w:rPr>
                <w:bCs/>
                <w:color w:val="000000" w:themeColor="text1"/>
                <w:sz w:val="27"/>
                <w:szCs w:val="27"/>
                <w:lang w:val="lv-LV"/>
              </w:rPr>
              <w:t>;</w:t>
            </w:r>
          </w:p>
          <w:p w14:paraId="0D467FEE" w14:textId="77777777" w:rsidR="00956AB9" w:rsidRPr="005A5845" w:rsidRDefault="00956AB9" w:rsidP="00404580">
            <w:pPr>
              <w:pStyle w:val="ListParagraph"/>
              <w:tabs>
                <w:tab w:val="left" w:pos="522"/>
                <w:tab w:val="left" w:pos="635"/>
                <w:tab w:val="left" w:pos="918"/>
              </w:tabs>
              <w:ind w:left="0" w:firstLine="438"/>
              <w:jc w:val="both"/>
              <w:rPr>
                <w:bCs/>
                <w:color w:val="000000" w:themeColor="text1"/>
                <w:sz w:val="27"/>
                <w:szCs w:val="27"/>
                <w:lang w:val="lv-LV"/>
              </w:rPr>
            </w:pPr>
          </w:p>
          <w:p w14:paraId="64A67B9D" w14:textId="5F6D1D00" w:rsidR="00956AB9" w:rsidRPr="005A5845" w:rsidRDefault="00956AB9" w:rsidP="00404580">
            <w:pPr>
              <w:pStyle w:val="ListParagraph"/>
              <w:numPr>
                <w:ilvl w:val="0"/>
                <w:numId w:val="8"/>
              </w:numPr>
              <w:tabs>
                <w:tab w:val="left" w:pos="522"/>
                <w:tab w:val="left" w:pos="635"/>
                <w:tab w:val="left" w:pos="918"/>
              </w:tabs>
              <w:spacing w:before="240"/>
              <w:ind w:left="0" w:firstLine="438"/>
              <w:jc w:val="both"/>
              <w:rPr>
                <w:color w:val="000000" w:themeColor="text1"/>
                <w:sz w:val="27"/>
                <w:szCs w:val="27"/>
                <w:lang w:val="lv-LV" w:eastAsia="lv-LV"/>
              </w:rPr>
            </w:pPr>
            <w:r w:rsidRPr="005A5845">
              <w:rPr>
                <w:bCs/>
                <w:color w:val="000000" w:themeColor="text1"/>
                <w:sz w:val="27"/>
                <w:szCs w:val="27"/>
                <w:lang w:val="lv-LV"/>
              </w:rPr>
              <w:t xml:space="preserve">izdevumi, kas saistīti ar </w:t>
            </w:r>
            <w:r w:rsidR="00446626" w:rsidRPr="005A5845">
              <w:rPr>
                <w:sz w:val="27"/>
                <w:szCs w:val="27"/>
                <w:lang w:val="lv-LV"/>
              </w:rPr>
              <w:t>īpašuma tiesību nostiprināšanu</w:t>
            </w:r>
            <w:r w:rsidR="00446626" w:rsidRPr="005A5845">
              <w:rPr>
                <w:bCs/>
                <w:sz w:val="27"/>
                <w:szCs w:val="27"/>
                <w:lang w:val="lv-LV"/>
              </w:rPr>
              <w:t xml:space="preserve"> zemesgrāmatā</w:t>
            </w:r>
            <w:r w:rsidRPr="005A5845">
              <w:rPr>
                <w:bCs/>
                <w:color w:val="000000" w:themeColor="text1"/>
                <w:sz w:val="27"/>
                <w:szCs w:val="27"/>
                <w:lang w:val="lv-LV"/>
              </w:rPr>
              <w:t xml:space="preserve">: </w:t>
            </w:r>
            <w:r w:rsidR="00967F86" w:rsidRPr="005A5845">
              <w:rPr>
                <w:bCs/>
                <w:color w:val="000000" w:themeColor="text1"/>
                <w:sz w:val="27"/>
                <w:szCs w:val="27"/>
                <w:lang w:val="lv-LV"/>
              </w:rPr>
              <w:t>4</w:t>
            </w:r>
            <w:r w:rsidRPr="005A5845">
              <w:rPr>
                <w:bCs/>
                <w:color w:val="000000" w:themeColor="text1"/>
                <w:sz w:val="27"/>
                <w:szCs w:val="27"/>
                <w:lang w:val="lv-LV"/>
              </w:rPr>
              <w:t xml:space="preserve"> īpašumi x 30 </w:t>
            </w:r>
            <w:r w:rsidRPr="005A5845">
              <w:rPr>
                <w:bCs/>
                <w:i/>
                <w:color w:val="000000" w:themeColor="text1"/>
                <w:sz w:val="27"/>
                <w:szCs w:val="27"/>
                <w:lang w:val="lv-LV"/>
              </w:rPr>
              <w:t>euro</w:t>
            </w:r>
            <w:r w:rsidRPr="005A5845">
              <w:rPr>
                <w:bCs/>
                <w:color w:val="000000" w:themeColor="text1"/>
                <w:sz w:val="27"/>
                <w:szCs w:val="27"/>
                <w:lang w:val="lv-LV"/>
              </w:rPr>
              <w:t xml:space="preserve"> = </w:t>
            </w:r>
            <w:r w:rsidR="00967F86" w:rsidRPr="005A5845">
              <w:rPr>
                <w:b/>
                <w:bCs/>
                <w:color w:val="000000" w:themeColor="text1"/>
                <w:sz w:val="27"/>
                <w:szCs w:val="27"/>
                <w:lang w:val="lv-LV"/>
              </w:rPr>
              <w:t>12</w:t>
            </w:r>
            <w:r w:rsidRPr="005A5845">
              <w:rPr>
                <w:b/>
                <w:bCs/>
                <w:color w:val="000000" w:themeColor="text1"/>
                <w:sz w:val="27"/>
                <w:szCs w:val="27"/>
                <w:lang w:val="lv-LV"/>
              </w:rPr>
              <w:t>0</w:t>
            </w:r>
            <w:r w:rsidR="00301D15" w:rsidRPr="005A5845">
              <w:rPr>
                <w:b/>
                <w:bCs/>
                <w:color w:val="000000" w:themeColor="text1"/>
                <w:sz w:val="27"/>
                <w:szCs w:val="27"/>
                <w:lang w:val="lv-LV"/>
              </w:rPr>
              <w:t>,00</w:t>
            </w:r>
            <w:r w:rsidRPr="005A5845">
              <w:rPr>
                <w:b/>
                <w:bCs/>
                <w:color w:val="000000" w:themeColor="text1"/>
                <w:sz w:val="27"/>
                <w:szCs w:val="27"/>
                <w:lang w:val="lv-LV"/>
              </w:rPr>
              <w:t xml:space="preserve"> </w:t>
            </w:r>
            <w:r w:rsidRPr="005A5845">
              <w:rPr>
                <w:b/>
                <w:bCs/>
                <w:i/>
                <w:color w:val="000000" w:themeColor="text1"/>
                <w:sz w:val="27"/>
                <w:szCs w:val="27"/>
                <w:lang w:val="lv-LV"/>
              </w:rPr>
              <w:t>euro</w:t>
            </w:r>
            <w:r w:rsidR="00301D15" w:rsidRPr="005A5845">
              <w:rPr>
                <w:b/>
                <w:bCs/>
                <w:i/>
                <w:color w:val="000000" w:themeColor="text1"/>
                <w:sz w:val="27"/>
                <w:szCs w:val="27"/>
                <w:lang w:val="lv-LV"/>
              </w:rPr>
              <w:t xml:space="preserve"> </w:t>
            </w:r>
            <w:r w:rsidR="00301D15" w:rsidRPr="005A5845">
              <w:rPr>
                <w:bCs/>
                <w:color w:val="000000" w:themeColor="text1"/>
                <w:sz w:val="27"/>
                <w:szCs w:val="27"/>
                <w:lang w:val="lv-LV"/>
              </w:rPr>
              <w:t xml:space="preserve">(simtu divdesmit </w:t>
            </w:r>
            <w:r w:rsidR="00301D15" w:rsidRPr="005A5845">
              <w:rPr>
                <w:bCs/>
                <w:i/>
                <w:color w:val="000000" w:themeColor="text1"/>
                <w:sz w:val="27"/>
                <w:szCs w:val="27"/>
                <w:lang w:val="lv-LV"/>
              </w:rPr>
              <w:t>euro</w:t>
            </w:r>
            <w:r w:rsidR="00301D15" w:rsidRPr="005A5845">
              <w:rPr>
                <w:bCs/>
                <w:color w:val="000000" w:themeColor="text1"/>
                <w:sz w:val="27"/>
                <w:szCs w:val="27"/>
                <w:lang w:val="lv-LV"/>
              </w:rPr>
              <w:t xml:space="preserve"> un 00 centi)</w:t>
            </w:r>
            <w:r w:rsidRPr="005A5845">
              <w:rPr>
                <w:bCs/>
                <w:color w:val="000000" w:themeColor="text1"/>
                <w:sz w:val="27"/>
                <w:szCs w:val="27"/>
                <w:lang w:val="lv-LV"/>
              </w:rPr>
              <w:t>.</w:t>
            </w:r>
          </w:p>
          <w:p w14:paraId="61E1320A" w14:textId="77777777" w:rsidR="00956AB9" w:rsidRPr="005A5845" w:rsidRDefault="00956AB9" w:rsidP="00404580">
            <w:pPr>
              <w:pStyle w:val="ListParagraph"/>
              <w:rPr>
                <w:color w:val="000000" w:themeColor="text1"/>
                <w:sz w:val="27"/>
                <w:szCs w:val="27"/>
                <w:lang w:val="lv-LV" w:eastAsia="lv-LV"/>
              </w:rPr>
            </w:pPr>
          </w:p>
          <w:p w14:paraId="17499B14" w14:textId="77777777" w:rsidR="00956AB9" w:rsidRPr="005A5845" w:rsidRDefault="00956AB9" w:rsidP="00404580">
            <w:pPr>
              <w:tabs>
                <w:tab w:val="left" w:pos="522"/>
                <w:tab w:val="left" w:pos="635"/>
                <w:tab w:val="left" w:pos="918"/>
              </w:tabs>
              <w:spacing w:after="0" w:line="240" w:lineRule="auto"/>
              <w:ind w:firstLine="458"/>
              <w:jc w:val="both"/>
              <w:rPr>
                <w:rFonts w:ascii="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5A5845">
              <w:rPr>
                <w:rFonts w:ascii="Times New Roman" w:hAnsi="Times New Roman" w:cs="Times New Roman"/>
                <w:i/>
                <w:color w:val="000000" w:themeColor="text1"/>
                <w:sz w:val="27"/>
                <w:szCs w:val="27"/>
              </w:rPr>
              <w:t>euro</w:t>
            </w:r>
            <w:r w:rsidRPr="005A5845">
              <w:rPr>
                <w:rFonts w:ascii="Times New Roman" w:hAnsi="Times New Roman" w:cs="Times New Roman"/>
                <w:color w:val="000000" w:themeColor="text1"/>
                <w:sz w:val="27"/>
                <w:szCs w:val="27"/>
              </w:rPr>
              <w:t xml:space="preserve"> apmērā Latvijas Republikas un Baltkrievijas Republikas valsts robežas joslā esošo privātpersonām un juridiskajām personām piederošo nekustamo īpašumu atsavināšanai.</w:t>
            </w:r>
          </w:p>
        </w:tc>
      </w:tr>
      <w:tr w:rsidR="001014A9" w:rsidRPr="005A5845" w14:paraId="62C754B7"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p>
        </w:tc>
      </w:tr>
      <w:tr w:rsidR="001014A9" w:rsidRPr="005A5845" w14:paraId="6C54141B"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p>
        </w:tc>
      </w:tr>
      <w:tr w:rsidR="001014A9" w:rsidRPr="005A5845" w14:paraId="7C9C9779"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7. Amata vietu skaita izmaiņas</w:t>
            </w:r>
          </w:p>
        </w:tc>
        <w:tc>
          <w:tcPr>
            <w:tcW w:w="380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bCs/>
                <w:color w:val="000000" w:themeColor="text1"/>
                <w:sz w:val="27"/>
                <w:szCs w:val="27"/>
                <w:lang w:eastAsia="lv-LV"/>
              </w:rPr>
              <w:t>Projekts šo jomu neskar.</w:t>
            </w:r>
          </w:p>
        </w:tc>
      </w:tr>
      <w:tr w:rsidR="001014A9" w:rsidRPr="005A5845" w14:paraId="762CF7B2" w14:textId="77777777" w:rsidTr="00404580">
        <w:tc>
          <w:tcPr>
            <w:tcW w:w="120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5A5845" w:rsidRDefault="00956AB9" w:rsidP="00404580">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8. Cita informācija</w:t>
            </w:r>
          </w:p>
        </w:tc>
        <w:tc>
          <w:tcPr>
            <w:tcW w:w="380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5A5845" w:rsidRDefault="00956AB9" w:rsidP="00404580">
            <w:pPr>
              <w:tabs>
                <w:tab w:val="left" w:pos="522"/>
                <w:tab w:val="left" w:pos="635"/>
                <w:tab w:val="left" w:pos="918"/>
              </w:tabs>
              <w:spacing w:after="0" w:line="240" w:lineRule="auto"/>
              <w:ind w:firstLine="404"/>
              <w:jc w:val="both"/>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rPr>
              <w:t>Izdevumus, kas saistīti ar nekustamā īpašuma nodokļa apmaksu, Iekšlietu ministrija (Nodrošinājuma valsts aģentūra) segs tai piešķirto valsts budžeta līdzekļu ietvaros.</w:t>
            </w:r>
          </w:p>
        </w:tc>
      </w:tr>
    </w:tbl>
    <w:p w14:paraId="4CD80E8A" w14:textId="49440156" w:rsidR="00D55D3B" w:rsidRPr="005A5845" w:rsidRDefault="00D55D3B" w:rsidP="00D55D3B">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5A5845"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5A5845"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IV. Tiesību akta projekta ietekme uz spēkā esošo tiesību normu sistēmu</w:t>
            </w:r>
          </w:p>
        </w:tc>
      </w:tr>
      <w:tr w:rsidR="001014A9" w:rsidRPr="005A5845"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Cs/>
                <w:color w:val="000000" w:themeColor="text1"/>
                <w:sz w:val="27"/>
                <w:szCs w:val="27"/>
                <w:lang w:eastAsia="lv-LV"/>
              </w:rPr>
              <w:t>Projekts šo jomu neskar.</w:t>
            </w:r>
          </w:p>
        </w:tc>
      </w:tr>
    </w:tbl>
    <w:p w14:paraId="3EE37F86" w14:textId="77777777" w:rsidR="00D55D3B" w:rsidRPr="005A5845" w:rsidRDefault="00D55D3B" w:rsidP="00D55D3B">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5A5845"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5A5845"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V. Tiesību akta projekta atbilstība Latvijas Republikas starptautiskajām saistībām</w:t>
            </w:r>
          </w:p>
        </w:tc>
      </w:tr>
      <w:tr w:rsidR="001014A9" w:rsidRPr="005A5845"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Cs/>
                <w:color w:val="000000" w:themeColor="text1"/>
                <w:sz w:val="27"/>
                <w:szCs w:val="27"/>
                <w:lang w:eastAsia="lv-LV"/>
              </w:rPr>
              <w:t>Projekts šo jomu neskar.</w:t>
            </w:r>
          </w:p>
        </w:tc>
      </w:tr>
    </w:tbl>
    <w:p w14:paraId="6306D80F" w14:textId="59E4F63E" w:rsidR="00D55D3B" w:rsidRPr="005A5845" w:rsidRDefault="00D55D3B" w:rsidP="00D55D3B">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014A9" w:rsidRPr="005A5845"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5A5845"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VI. Sabiedrības līdzdalība un komunikācijas aktivitātes</w:t>
            </w:r>
          </w:p>
        </w:tc>
      </w:tr>
      <w:tr w:rsidR="001014A9" w:rsidRPr="005A5845"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Cs/>
                <w:color w:val="000000" w:themeColor="text1"/>
                <w:sz w:val="27"/>
                <w:szCs w:val="27"/>
                <w:lang w:eastAsia="lv-LV"/>
              </w:rPr>
              <w:t>Projekts šo jomu neskar.</w:t>
            </w:r>
          </w:p>
        </w:tc>
      </w:tr>
    </w:tbl>
    <w:p w14:paraId="0753CB4B" w14:textId="77777777" w:rsidR="00D55D3B" w:rsidRPr="005A5845" w:rsidRDefault="00D55D3B" w:rsidP="00D55D3B">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1014A9" w:rsidRPr="005A5845"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5A5845" w:rsidRDefault="00D55D3B" w:rsidP="005D2852">
            <w:pPr>
              <w:spacing w:before="100" w:beforeAutospacing="1" w:after="100" w:afterAutospacing="1" w:line="293" w:lineRule="atLeast"/>
              <w:jc w:val="center"/>
              <w:rPr>
                <w:rFonts w:ascii="Times New Roman" w:eastAsia="Times New Roman" w:hAnsi="Times New Roman" w:cs="Times New Roman"/>
                <w:b/>
                <w:bCs/>
                <w:color w:val="000000" w:themeColor="text1"/>
                <w:sz w:val="27"/>
                <w:szCs w:val="27"/>
                <w:lang w:eastAsia="lv-LV"/>
              </w:rPr>
            </w:pPr>
            <w:r w:rsidRPr="005A5845">
              <w:rPr>
                <w:rFonts w:ascii="Times New Roman" w:eastAsia="Times New Roman" w:hAnsi="Times New Roman" w:cs="Times New Roman"/>
                <w:b/>
                <w:bCs/>
                <w:color w:val="000000" w:themeColor="text1"/>
                <w:sz w:val="27"/>
                <w:szCs w:val="27"/>
                <w:lang w:eastAsia="lv-LV"/>
              </w:rPr>
              <w:t>VII. Tiesību akta projekta izpildes nodrošināšana un tās ietekme uz institūcijām</w:t>
            </w:r>
          </w:p>
        </w:tc>
      </w:tr>
      <w:tr w:rsidR="001014A9" w:rsidRPr="005A5845"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rPr>
              <w:t>Iekšlietu ministrija, Nodrošinājuma valsts aģentūra.</w:t>
            </w:r>
          </w:p>
        </w:tc>
      </w:tr>
      <w:tr w:rsidR="001014A9" w:rsidRPr="005A5845"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Projekta izpildes ietekme uz pārvaldes funkcijām un institucionālo struktūru.</w:t>
            </w:r>
            <w:r w:rsidRPr="005A5845">
              <w:rPr>
                <w:rFonts w:ascii="Times New Roman" w:eastAsia="Times New Roman" w:hAnsi="Times New Roman" w:cs="Times New Roman"/>
                <w:color w:val="000000" w:themeColor="text1"/>
                <w:sz w:val="27"/>
                <w:szCs w:val="27"/>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hAnsi="Times New Roman" w:cs="Times New Roman"/>
                <w:color w:val="000000" w:themeColor="text1"/>
                <w:sz w:val="27"/>
                <w:szCs w:val="27"/>
                <w:shd w:val="clear" w:color="auto" w:fill="FFFFFF"/>
              </w:rPr>
              <w:t>Projekta izpilde neietekmē projekta izstrādē iesaistīto institūciju funkcijas un uzdevumus.</w:t>
            </w:r>
          </w:p>
        </w:tc>
      </w:tr>
      <w:tr w:rsidR="009F6303" w:rsidRPr="005A5845"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5A5845" w:rsidRDefault="009F6303" w:rsidP="005D2852">
            <w:pPr>
              <w:spacing w:before="100" w:beforeAutospacing="1" w:after="100" w:afterAutospacing="1" w:line="293" w:lineRule="atLeast"/>
              <w:jc w:val="center"/>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5A5845" w:rsidRDefault="009F6303" w:rsidP="005D2852">
            <w:pPr>
              <w:spacing w:after="0" w:line="240" w:lineRule="auto"/>
              <w:rPr>
                <w:rFonts w:ascii="Times New Roman" w:eastAsia="Times New Roman" w:hAnsi="Times New Roman" w:cs="Times New Roman"/>
                <w:color w:val="000000" w:themeColor="text1"/>
                <w:sz w:val="27"/>
                <w:szCs w:val="27"/>
                <w:lang w:eastAsia="lv-LV"/>
              </w:rPr>
            </w:pPr>
            <w:r w:rsidRPr="005A5845">
              <w:rPr>
                <w:rFonts w:ascii="Times New Roman" w:eastAsia="Times New Roman" w:hAnsi="Times New Roman" w:cs="Times New Roman"/>
                <w:color w:val="000000" w:themeColor="text1"/>
                <w:sz w:val="27"/>
                <w:szCs w:val="27"/>
                <w:lang w:eastAsia="lv-LV"/>
              </w:rPr>
              <w:t>Nav.</w:t>
            </w:r>
          </w:p>
        </w:tc>
      </w:tr>
    </w:tbl>
    <w:p w14:paraId="0091A533" w14:textId="77777777" w:rsidR="009F6303" w:rsidRPr="005A5845" w:rsidRDefault="009F6303" w:rsidP="004248C5">
      <w:pPr>
        <w:spacing w:after="0" w:line="240" w:lineRule="auto"/>
        <w:rPr>
          <w:rFonts w:ascii="Times New Roman" w:hAnsi="Times New Roman" w:cs="Times New Roman"/>
          <w:b/>
          <w:bCs/>
          <w:color w:val="000000" w:themeColor="text1"/>
          <w:sz w:val="27"/>
          <w:szCs w:val="27"/>
        </w:rPr>
      </w:pPr>
    </w:p>
    <w:p w14:paraId="6E7B4960" w14:textId="77777777" w:rsidR="009F6303" w:rsidRPr="005A5845" w:rsidRDefault="009F6303" w:rsidP="004248C5">
      <w:pPr>
        <w:spacing w:after="0" w:line="240" w:lineRule="auto"/>
        <w:rPr>
          <w:rFonts w:ascii="Times New Roman" w:hAnsi="Times New Roman" w:cs="Times New Roman"/>
          <w:b/>
          <w:bCs/>
          <w:color w:val="000000" w:themeColor="text1"/>
          <w:sz w:val="27"/>
          <w:szCs w:val="27"/>
        </w:rPr>
      </w:pPr>
    </w:p>
    <w:p w14:paraId="58812D7A" w14:textId="77777777" w:rsidR="00E644E7" w:rsidRDefault="00E644E7" w:rsidP="00E644E7">
      <w:pPr>
        <w:spacing w:after="0" w:line="240" w:lineRule="auto"/>
        <w:rPr>
          <w:rFonts w:ascii="Times New Roman" w:hAnsi="Times New Roman" w:cs="Times New Roman"/>
          <w:sz w:val="27"/>
          <w:szCs w:val="27"/>
        </w:rPr>
      </w:pPr>
      <w:r>
        <w:rPr>
          <w:rFonts w:ascii="Times New Roman" w:hAnsi="Times New Roman" w:cs="Times New Roman"/>
          <w:sz w:val="27"/>
          <w:szCs w:val="27"/>
        </w:rPr>
        <w:t>Iekšlietu ministrs</w:t>
      </w:r>
      <w:r>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Rihards Kozlovskis</w:t>
      </w:r>
      <w:r>
        <w:rPr>
          <w:rFonts w:ascii="Times New Roman" w:hAnsi="Times New Roman" w:cs="Times New Roman"/>
          <w:sz w:val="27"/>
          <w:szCs w:val="27"/>
        </w:rPr>
        <w:tab/>
      </w:r>
    </w:p>
    <w:p w14:paraId="6EBA8A24" w14:textId="77777777" w:rsidR="00E644E7" w:rsidRDefault="00E644E7" w:rsidP="00E644E7">
      <w:pPr>
        <w:spacing w:after="0" w:line="240" w:lineRule="auto"/>
        <w:rPr>
          <w:rFonts w:ascii="Times New Roman" w:hAnsi="Times New Roman" w:cs="Times New Roman"/>
          <w:sz w:val="27"/>
          <w:szCs w:val="27"/>
        </w:rPr>
      </w:pPr>
    </w:p>
    <w:p w14:paraId="05528BB5" w14:textId="77777777" w:rsidR="00E644E7" w:rsidRDefault="00E644E7" w:rsidP="00E644E7">
      <w:pPr>
        <w:pStyle w:val="likparaksts"/>
        <w:shd w:val="clear" w:color="auto" w:fill="FFFFFF"/>
        <w:spacing w:before="0" w:beforeAutospacing="0" w:after="0" w:afterAutospacing="0"/>
        <w:jc w:val="both"/>
        <w:rPr>
          <w:sz w:val="27"/>
          <w:szCs w:val="27"/>
        </w:rPr>
      </w:pPr>
      <w:r>
        <w:rPr>
          <w:sz w:val="27"/>
          <w:szCs w:val="27"/>
        </w:rPr>
        <w:t xml:space="preserve">Vīza: </w:t>
      </w:r>
    </w:p>
    <w:p w14:paraId="4AC63F33" w14:textId="77777777" w:rsidR="00E644E7" w:rsidRDefault="00E644E7" w:rsidP="00E644E7">
      <w:pPr>
        <w:pStyle w:val="likparaksts"/>
        <w:shd w:val="clear" w:color="auto" w:fill="FFFFFF"/>
        <w:spacing w:before="0" w:beforeAutospacing="0" w:after="0" w:afterAutospacing="0"/>
        <w:jc w:val="both"/>
        <w:rPr>
          <w:sz w:val="27"/>
          <w:szCs w:val="27"/>
        </w:rPr>
      </w:pPr>
      <w:r>
        <w:rPr>
          <w:sz w:val="27"/>
          <w:szCs w:val="27"/>
        </w:rPr>
        <w:t>valsts sekretāra pienākumu izpildītāja</w:t>
      </w:r>
      <w:r>
        <w:rPr>
          <w:sz w:val="27"/>
          <w:szCs w:val="27"/>
        </w:rPr>
        <w:tab/>
      </w:r>
      <w:r>
        <w:rPr>
          <w:sz w:val="27"/>
          <w:szCs w:val="27"/>
        </w:rPr>
        <w:tab/>
      </w:r>
      <w:r>
        <w:rPr>
          <w:sz w:val="27"/>
          <w:szCs w:val="27"/>
        </w:rPr>
        <w:tab/>
      </w:r>
      <w:proofErr w:type="gramStart"/>
      <w:r>
        <w:rPr>
          <w:sz w:val="27"/>
          <w:szCs w:val="27"/>
        </w:rPr>
        <w:t xml:space="preserve">               </w:t>
      </w:r>
      <w:proofErr w:type="gramEnd"/>
      <w:r>
        <w:rPr>
          <w:sz w:val="27"/>
          <w:szCs w:val="27"/>
        </w:rPr>
        <w:t xml:space="preserve">Ingūna </w:t>
      </w:r>
      <w:proofErr w:type="spellStart"/>
      <w:r>
        <w:rPr>
          <w:sz w:val="27"/>
          <w:szCs w:val="27"/>
        </w:rPr>
        <w:t>Aire</w:t>
      </w:r>
      <w:proofErr w:type="spellEnd"/>
    </w:p>
    <w:p w14:paraId="24B0B4D6" w14:textId="77777777" w:rsidR="00D10C03" w:rsidRDefault="00D10C03" w:rsidP="00EA7312">
      <w:pPr>
        <w:tabs>
          <w:tab w:val="left" w:pos="5955"/>
        </w:tabs>
        <w:spacing w:after="0" w:line="240" w:lineRule="auto"/>
        <w:jc w:val="both"/>
        <w:rPr>
          <w:rFonts w:ascii="Times New Roman" w:hAnsi="Times New Roman" w:cs="Times New Roman"/>
          <w:color w:val="000000" w:themeColor="text1"/>
          <w:sz w:val="27"/>
          <w:szCs w:val="27"/>
        </w:rPr>
      </w:pPr>
    </w:p>
    <w:p w14:paraId="40960342" w14:textId="77777777" w:rsidR="005A5845" w:rsidRPr="005A5845" w:rsidRDefault="005A5845" w:rsidP="00EA7312">
      <w:pPr>
        <w:tabs>
          <w:tab w:val="left" w:pos="5955"/>
        </w:tabs>
        <w:spacing w:after="0" w:line="240" w:lineRule="auto"/>
        <w:jc w:val="both"/>
        <w:rPr>
          <w:rFonts w:ascii="Times New Roman" w:hAnsi="Times New Roman" w:cs="Times New Roman"/>
          <w:color w:val="000000" w:themeColor="text1"/>
          <w:sz w:val="27"/>
          <w:szCs w:val="27"/>
        </w:rPr>
      </w:pPr>
      <w:bookmarkStart w:id="0" w:name="_GoBack"/>
      <w:bookmarkEnd w:id="0"/>
    </w:p>
    <w:p w14:paraId="7E5FADA6" w14:textId="77777777" w:rsidR="00EA7312" w:rsidRPr="005A5845" w:rsidRDefault="002241CE" w:rsidP="00EA7312">
      <w:pPr>
        <w:tabs>
          <w:tab w:val="left" w:pos="5955"/>
        </w:tabs>
        <w:spacing w:after="0" w:line="240" w:lineRule="auto"/>
        <w:jc w:val="both"/>
        <w:rPr>
          <w:rFonts w:ascii="Times New Roman" w:hAnsi="Times New Roman" w:cs="Times New Roman"/>
          <w:color w:val="000000" w:themeColor="text1"/>
          <w:sz w:val="20"/>
          <w:szCs w:val="20"/>
        </w:rPr>
      </w:pPr>
      <w:r w:rsidRPr="005A5845">
        <w:rPr>
          <w:rFonts w:ascii="Times New Roman" w:hAnsi="Times New Roman" w:cs="Times New Roman"/>
          <w:color w:val="000000" w:themeColor="text1"/>
          <w:sz w:val="20"/>
          <w:szCs w:val="20"/>
        </w:rPr>
        <w:t>Būmeistere</w:t>
      </w:r>
      <w:r w:rsidR="00EA7312" w:rsidRPr="005A5845">
        <w:rPr>
          <w:rFonts w:ascii="Times New Roman" w:hAnsi="Times New Roman" w:cs="Times New Roman"/>
          <w:color w:val="000000" w:themeColor="text1"/>
          <w:sz w:val="20"/>
          <w:szCs w:val="20"/>
        </w:rPr>
        <w:t xml:space="preserve"> 67829885</w:t>
      </w:r>
    </w:p>
    <w:p w14:paraId="65E88B10" w14:textId="5594BFA5" w:rsidR="006C49CC" w:rsidRPr="005A5845" w:rsidRDefault="00546632" w:rsidP="00EA7312">
      <w:pPr>
        <w:spacing w:after="0" w:line="240" w:lineRule="auto"/>
        <w:rPr>
          <w:rFonts w:ascii="Times New Roman" w:hAnsi="Times New Roman" w:cs="Times New Roman"/>
          <w:color w:val="000000" w:themeColor="text1"/>
          <w:sz w:val="20"/>
          <w:szCs w:val="20"/>
        </w:rPr>
      </w:pPr>
      <w:r w:rsidRPr="005A5845">
        <w:rPr>
          <w:rFonts w:ascii="Times New Roman" w:hAnsi="Times New Roman" w:cs="Times New Roman"/>
          <w:sz w:val="20"/>
          <w:szCs w:val="20"/>
        </w:rPr>
        <w:t>anete.bumeistere@agentura.iem.gov.lv</w:t>
      </w:r>
      <w:bookmarkStart w:id="1" w:name="n-626535"/>
      <w:bookmarkStart w:id="2" w:name="626535"/>
      <w:bookmarkEnd w:id="1"/>
      <w:bookmarkEnd w:id="2"/>
    </w:p>
    <w:p w14:paraId="2A16489D" w14:textId="77777777" w:rsidR="00D10C03" w:rsidRPr="005A5845" w:rsidRDefault="00D10C03" w:rsidP="00EA7312">
      <w:pPr>
        <w:spacing w:after="0" w:line="240" w:lineRule="auto"/>
        <w:rPr>
          <w:rFonts w:ascii="Times New Roman" w:hAnsi="Times New Roman" w:cs="Times New Roman"/>
          <w:color w:val="000000" w:themeColor="text1"/>
          <w:sz w:val="20"/>
          <w:szCs w:val="20"/>
        </w:rPr>
      </w:pPr>
    </w:p>
    <w:p w14:paraId="786830DF" w14:textId="4EC8F0D8" w:rsidR="006B7155" w:rsidRPr="005A5845" w:rsidRDefault="006B7155" w:rsidP="00EA7312">
      <w:pPr>
        <w:spacing w:after="0" w:line="240" w:lineRule="auto"/>
        <w:rPr>
          <w:rFonts w:ascii="Times New Roman" w:hAnsi="Times New Roman" w:cs="Times New Roman"/>
          <w:color w:val="000000" w:themeColor="text1"/>
          <w:sz w:val="20"/>
          <w:szCs w:val="20"/>
        </w:rPr>
      </w:pPr>
      <w:r w:rsidRPr="005A5845">
        <w:rPr>
          <w:rFonts w:ascii="Times New Roman" w:hAnsi="Times New Roman" w:cs="Times New Roman"/>
          <w:color w:val="000000" w:themeColor="text1"/>
          <w:sz w:val="20"/>
          <w:szCs w:val="20"/>
        </w:rPr>
        <w:t>Liepiņš 29468263</w:t>
      </w:r>
    </w:p>
    <w:p w14:paraId="13877610" w14:textId="77DF0EA6" w:rsidR="006B7155" w:rsidRPr="005A5845" w:rsidRDefault="00546632" w:rsidP="00EA7312">
      <w:pPr>
        <w:spacing w:after="0" w:line="240" w:lineRule="auto"/>
        <w:rPr>
          <w:rFonts w:ascii="Times New Roman" w:hAnsi="Times New Roman" w:cs="Times New Roman"/>
          <w:color w:val="000000" w:themeColor="text1"/>
          <w:sz w:val="20"/>
          <w:szCs w:val="20"/>
        </w:rPr>
      </w:pPr>
      <w:r w:rsidRPr="005A5845">
        <w:rPr>
          <w:rFonts w:ascii="Times New Roman" w:hAnsi="Times New Roman" w:cs="Times New Roman"/>
          <w:sz w:val="20"/>
          <w:szCs w:val="20"/>
        </w:rPr>
        <w:t>gunars.liepins@agentura.iem.gov.lv</w:t>
      </w:r>
      <w:r w:rsidRPr="005A5845">
        <w:rPr>
          <w:rFonts w:ascii="Times New Roman" w:hAnsi="Times New Roman" w:cs="Times New Roman"/>
          <w:color w:val="000000" w:themeColor="text1"/>
          <w:sz w:val="20"/>
          <w:szCs w:val="20"/>
        </w:rPr>
        <w:t xml:space="preserve"> </w:t>
      </w:r>
    </w:p>
    <w:sectPr w:rsidR="006B7155" w:rsidRPr="005A584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76275" w14:textId="77777777" w:rsidR="00693BCD" w:rsidRDefault="00693BCD" w:rsidP="002241CE">
      <w:pPr>
        <w:spacing w:after="0" w:line="240" w:lineRule="auto"/>
      </w:pPr>
      <w:r>
        <w:separator/>
      </w:r>
    </w:p>
  </w:endnote>
  <w:endnote w:type="continuationSeparator" w:id="0">
    <w:p w14:paraId="6F797CF9" w14:textId="77777777" w:rsidR="00693BCD" w:rsidRDefault="00693BCD"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678472F" w:rsidR="00AD5F9C" w:rsidRPr="002241CE" w:rsidRDefault="00AD5F9C">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D77297">
      <w:rPr>
        <w:rFonts w:ascii="Times New Roman" w:hAnsi="Times New Roman" w:cs="Times New Roman"/>
        <w:sz w:val="20"/>
        <w:szCs w:val="20"/>
      </w:rPr>
      <w:t>0708</w:t>
    </w:r>
    <w:r>
      <w:rPr>
        <w:rFonts w:ascii="Times New Roman" w:hAnsi="Times New Roman" w:cs="Times New Roman"/>
        <w:sz w:val="20"/>
        <w:szCs w:val="20"/>
      </w:rPr>
      <w:t>18</w:t>
    </w:r>
    <w:r w:rsidRPr="002241CE">
      <w:rPr>
        <w:rFonts w:ascii="Times New Roman" w:hAnsi="Times New Roman" w:cs="Times New Roman"/>
        <w:sz w:val="20"/>
        <w:szCs w:val="20"/>
      </w:rPr>
      <w:t>_</w:t>
    </w:r>
    <w:r w:rsidR="001C35F2">
      <w:rPr>
        <w:rFonts w:ascii="Times New Roman" w:hAnsi="Times New Roman" w:cs="Times New Roman"/>
        <w:sz w:val="20"/>
        <w:szCs w:val="20"/>
      </w:rPr>
      <w:t>VSS_669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5F46A0F5" w:rsidR="00AD5F9C" w:rsidRPr="002241CE" w:rsidRDefault="00AD5F9C"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D77297">
      <w:rPr>
        <w:rFonts w:ascii="Times New Roman" w:hAnsi="Times New Roman" w:cs="Times New Roman"/>
        <w:sz w:val="20"/>
        <w:szCs w:val="20"/>
      </w:rPr>
      <w:t>0708</w:t>
    </w:r>
    <w:r>
      <w:rPr>
        <w:rFonts w:ascii="Times New Roman" w:hAnsi="Times New Roman" w:cs="Times New Roman"/>
        <w:sz w:val="20"/>
        <w:szCs w:val="20"/>
      </w:rPr>
      <w:t>18</w:t>
    </w:r>
    <w:r w:rsidRPr="002241CE">
      <w:rPr>
        <w:rFonts w:ascii="Times New Roman" w:hAnsi="Times New Roman" w:cs="Times New Roman"/>
        <w:sz w:val="20"/>
        <w:szCs w:val="20"/>
      </w:rPr>
      <w:t>_</w:t>
    </w:r>
    <w:r w:rsidR="001C35F2">
      <w:rPr>
        <w:rFonts w:ascii="Times New Roman" w:hAnsi="Times New Roman" w:cs="Times New Roman"/>
        <w:sz w:val="20"/>
        <w:szCs w:val="20"/>
      </w:rPr>
      <w:t>VSS_669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FC45" w14:textId="77777777" w:rsidR="00693BCD" w:rsidRDefault="00693BCD" w:rsidP="002241CE">
      <w:pPr>
        <w:spacing w:after="0" w:line="240" w:lineRule="auto"/>
      </w:pPr>
      <w:r>
        <w:separator/>
      </w:r>
    </w:p>
  </w:footnote>
  <w:footnote w:type="continuationSeparator" w:id="0">
    <w:p w14:paraId="295D2983" w14:textId="77777777" w:rsidR="00693BCD" w:rsidRDefault="00693BCD"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18B4A12" w:rsidR="00AD5F9C" w:rsidRDefault="00AD5F9C">
        <w:pPr>
          <w:pStyle w:val="Header"/>
          <w:jc w:val="center"/>
        </w:pPr>
        <w:r>
          <w:fldChar w:fldCharType="begin"/>
        </w:r>
        <w:r>
          <w:instrText xml:space="preserve"> PAGE   \* MERGEFORMAT </w:instrText>
        </w:r>
        <w:r>
          <w:fldChar w:fldCharType="separate"/>
        </w:r>
        <w:r w:rsidR="001C2DC1">
          <w:rPr>
            <w:noProof/>
          </w:rPr>
          <w:t>10</w:t>
        </w:r>
        <w:r>
          <w:rPr>
            <w:noProof/>
          </w:rPr>
          <w:fldChar w:fldCharType="end"/>
        </w:r>
      </w:p>
    </w:sdtContent>
  </w:sdt>
  <w:p w14:paraId="6246C6F0" w14:textId="77777777" w:rsidR="00AD5F9C" w:rsidRDefault="00AD5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43BC6"/>
    <w:rsid w:val="00053F8F"/>
    <w:rsid w:val="00065156"/>
    <w:rsid w:val="00096E22"/>
    <w:rsid w:val="000A083B"/>
    <w:rsid w:val="000E0C05"/>
    <w:rsid w:val="000F3F67"/>
    <w:rsid w:val="001014A9"/>
    <w:rsid w:val="00130C38"/>
    <w:rsid w:val="001433CF"/>
    <w:rsid w:val="00174A58"/>
    <w:rsid w:val="001A02ED"/>
    <w:rsid w:val="001B44B2"/>
    <w:rsid w:val="001C2DC1"/>
    <w:rsid w:val="001C35F2"/>
    <w:rsid w:val="001C46D0"/>
    <w:rsid w:val="001E7D0B"/>
    <w:rsid w:val="002241CE"/>
    <w:rsid w:val="00277D81"/>
    <w:rsid w:val="00286B2B"/>
    <w:rsid w:val="002C141D"/>
    <w:rsid w:val="002F2A89"/>
    <w:rsid w:val="002F6812"/>
    <w:rsid w:val="0030148E"/>
    <w:rsid w:val="00301D15"/>
    <w:rsid w:val="00312F78"/>
    <w:rsid w:val="00317747"/>
    <w:rsid w:val="00325C86"/>
    <w:rsid w:val="003520F8"/>
    <w:rsid w:val="003E40D9"/>
    <w:rsid w:val="003E4192"/>
    <w:rsid w:val="00402068"/>
    <w:rsid w:val="00404580"/>
    <w:rsid w:val="00406111"/>
    <w:rsid w:val="00410BE6"/>
    <w:rsid w:val="004248C5"/>
    <w:rsid w:val="00446626"/>
    <w:rsid w:val="00466875"/>
    <w:rsid w:val="004911A3"/>
    <w:rsid w:val="004F7D35"/>
    <w:rsid w:val="00504ECD"/>
    <w:rsid w:val="00513340"/>
    <w:rsid w:val="0051782F"/>
    <w:rsid w:val="00534444"/>
    <w:rsid w:val="00546632"/>
    <w:rsid w:val="00565334"/>
    <w:rsid w:val="00596D42"/>
    <w:rsid w:val="005A0732"/>
    <w:rsid w:val="005A5845"/>
    <w:rsid w:val="005B5261"/>
    <w:rsid w:val="005C3FDE"/>
    <w:rsid w:val="005D189B"/>
    <w:rsid w:val="005D2852"/>
    <w:rsid w:val="005D2CB9"/>
    <w:rsid w:val="005D4DFD"/>
    <w:rsid w:val="0062333D"/>
    <w:rsid w:val="00623841"/>
    <w:rsid w:val="0065708A"/>
    <w:rsid w:val="00660D65"/>
    <w:rsid w:val="006826FD"/>
    <w:rsid w:val="00684521"/>
    <w:rsid w:val="00693BCD"/>
    <w:rsid w:val="006A76B0"/>
    <w:rsid w:val="006B6965"/>
    <w:rsid w:val="006B7155"/>
    <w:rsid w:val="006C49CC"/>
    <w:rsid w:val="006C53EF"/>
    <w:rsid w:val="006E0F54"/>
    <w:rsid w:val="006E0F93"/>
    <w:rsid w:val="00711A9C"/>
    <w:rsid w:val="00722411"/>
    <w:rsid w:val="00727F21"/>
    <w:rsid w:val="0073235B"/>
    <w:rsid w:val="00750C7A"/>
    <w:rsid w:val="00791570"/>
    <w:rsid w:val="007C3BF1"/>
    <w:rsid w:val="007F4A0D"/>
    <w:rsid w:val="0081612F"/>
    <w:rsid w:val="0082116C"/>
    <w:rsid w:val="00822F9A"/>
    <w:rsid w:val="00826D25"/>
    <w:rsid w:val="00840D1A"/>
    <w:rsid w:val="008648F1"/>
    <w:rsid w:val="008E2589"/>
    <w:rsid w:val="008F1BCE"/>
    <w:rsid w:val="00925397"/>
    <w:rsid w:val="00955021"/>
    <w:rsid w:val="00956AB9"/>
    <w:rsid w:val="00967F86"/>
    <w:rsid w:val="009744A6"/>
    <w:rsid w:val="0098193F"/>
    <w:rsid w:val="009B2D42"/>
    <w:rsid w:val="009B5A4E"/>
    <w:rsid w:val="009E2873"/>
    <w:rsid w:val="009E63AB"/>
    <w:rsid w:val="009F4656"/>
    <w:rsid w:val="009F6303"/>
    <w:rsid w:val="00A02974"/>
    <w:rsid w:val="00A11EB6"/>
    <w:rsid w:val="00A3532E"/>
    <w:rsid w:val="00A90D4D"/>
    <w:rsid w:val="00AC56CD"/>
    <w:rsid w:val="00AD5F9C"/>
    <w:rsid w:val="00B16FF5"/>
    <w:rsid w:val="00B22776"/>
    <w:rsid w:val="00BA0984"/>
    <w:rsid w:val="00BE4AB1"/>
    <w:rsid w:val="00BF1A9E"/>
    <w:rsid w:val="00C077B0"/>
    <w:rsid w:val="00C43493"/>
    <w:rsid w:val="00C61BA8"/>
    <w:rsid w:val="00C7787A"/>
    <w:rsid w:val="00C8263F"/>
    <w:rsid w:val="00CB3F10"/>
    <w:rsid w:val="00D05049"/>
    <w:rsid w:val="00D10C03"/>
    <w:rsid w:val="00D55D3B"/>
    <w:rsid w:val="00D77297"/>
    <w:rsid w:val="00D967A6"/>
    <w:rsid w:val="00DA5299"/>
    <w:rsid w:val="00DB6356"/>
    <w:rsid w:val="00E11414"/>
    <w:rsid w:val="00E223B4"/>
    <w:rsid w:val="00E30DB4"/>
    <w:rsid w:val="00E331F2"/>
    <w:rsid w:val="00E5616C"/>
    <w:rsid w:val="00E644E7"/>
    <w:rsid w:val="00E70D2A"/>
    <w:rsid w:val="00EA7312"/>
    <w:rsid w:val="00EC4478"/>
    <w:rsid w:val="00ED2E8F"/>
    <w:rsid w:val="00EF68D9"/>
    <w:rsid w:val="00F01F38"/>
    <w:rsid w:val="00F26523"/>
    <w:rsid w:val="00F30CE4"/>
    <w:rsid w:val="00F36FB5"/>
    <w:rsid w:val="00F56766"/>
    <w:rsid w:val="00F71C30"/>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table" w:styleId="TableGrid">
    <w:name w:val="Table Grid"/>
    <w:basedOn w:val="TableNormal"/>
    <w:uiPriority w:val="59"/>
    <w:rsid w:val="00404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kparaksts">
    <w:name w:val="lik_paraksts"/>
    <w:basedOn w:val="Normal"/>
    <w:rsid w:val="00E644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table" w:styleId="TableGrid">
    <w:name w:val="Table Grid"/>
    <w:basedOn w:val="TableNormal"/>
    <w:uiPriority w:val="59"/>
    <w:rsid w:val="00404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kparaksts">
    <w:name w:val="lik_paraksts"/>
    <w:basedOn w:val="Normal"/>
    <w:rsid w:val="00E644E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 w:id="19409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FF7B-519F-441F-83C7-957CEE72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11366</Words>
  <Characters>6479</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14</cp:revision>
  <cp:lastPrinted>2018-08-08T05:29:00Z</cp:lastPrinted>
  <dcterms:created xsi:type="dcterms:W3CDTF">2018-06-20T08:24:00Z</dcterms:created>
  <dcterms:modified xsi:type="dcterms:W3CDTF">2018-08-08T05:40:00Z</dcterms:modified>
</cp:coreProperties>
</file>