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ACD9" w14:textId="77777777" w:rsidR="00153DF2" w:rsidRDefault="00153DF2" w:rsidP="00153DF2">
      <w:pPr>
        <w:pStyle w:val="BodyText2"/>
        <w:spacing w:after="0" w:line="240" w:lineRule="auto"/>
        <w:jc w:val="center"/>
        <w:rPr>
          <w:b/>
        </w:rPr>
      </w:pPr>
      <w:r w:rsidRPr="003B4147">
        <w:rPr>
          <w:b/>
        </w:rPr>
        <w:t>Ministru kabineta rīkojuma projekta</w:t>
      </w:r>
    </w:p>
    <w:p w14:paraId="46FBBEB9" w14:textId="77777777" w:rsidR="00153DF2" w:rsidRDefault="00153DF2" w:rsidP="00153DF2">
      <w:pPr>
        <w:pStyle w:val="BodyText2"/>
        <w:spacing w:after="0" w:line="240" w:lineRule="auto"/>
        <w:jc w:val="center"/>
        <w:rPr>
          <w:b/>
        </w:rPr>
      </w:pPr>
      <w:r w:rsidRPr="00DA5D16">
        <w:rPr>
          <w:b/>
          <w:bCs/>
        </w:rPr>
        <w:t xml:space="preserve">“Par pamatbudžeta apropriācijas pārdali starp </w:t>
      </w:r>
      <w:r>
        <w:rPr>
          <w:b/>
          <w:bCs/>
        </w:rPr>
        <w:t xml:space="preserve">Satiksmes ministrijas apakšprogrammām” </w:t>
      </w:r>
      <w:r w:rsidRPr="003B4147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B4147">
          <w:rPr>
            <w:b/>
          </w:rPr>
          <w:t>ziņojums</w:t>
        </w:r>
      </w:smartTag>
      <w:r w:rsidRPr="003B4147">
        <w:rPr>
          <w:b/>
        </w:rPr>
        <w:t xml:space="preserve"> (anotācija)</w:t>
      </w:r>
    </w:p>
    <w:p w14:paraId="42D09A65" w14:textId="77777777" w:rsidR="003E36F2" w:rsidRPr="003E36F2" w:rsidRDefault="003E36F2" w:rsidP="003E36F2">
      <w:pPr>
        <w:shd w:val="clear" w:color="auto" w:fill="FFFFFF"/>
        <w:ind w:firstLine="300"/>
        <w:jc w:val="center"/>
        <w:rPr>
          <w:iCs/>
        </w:rPr>
      </w:pP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5"/>
      </w:tblGrid>
      <w:tr w:rsidR="003E36F2" w:rsidRPr="003E36F2" w14:paraId="79820553" w14:textId="77777777" w:rsidTr="00F9612F">
        <w:trPr>
          <w:cantSplit/>
        </w:trPr>
        <w:tc>
          <w:tcPr>
            <w:tcW w:w="9641" w:type="dxa"/>
            <w:gridSpan w:val="2"/>
            <w:shd w:val="clear" w:color="auto" w:fill="FFFFFF"/>
            <w:vAlign w:val="center"/>
            <w:hideMark/>
          </w:tcPr>
          <w:p w14:paraId="57BFF0B4" w14:textId="77777777" w:rsidR="003E36F2" w:rsidRPr="003E36F2" w:rsidRDefault="003E36F2" w:rsidP="003E36F2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3E36F2">
              <w:rPr>
                <w:rFonts w:eastAsia="Calibri"/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3E36F2" w:rsidRPr="003E36F2" w14:paraId="123CE92D" w14:textId="77777777" w:rsidTr="00F9612F">
        <w:trPr>
          <w:cantSplit/>
        </w:trPr>
        <w:tc>
          <w:tcPr>
            <w:tcW w:w="3686" w:type="dxa"/>
            <w:shd w:val="clear" w:color="auto" w:fill="FFFFFF"/>
            <w:hideMark/>
          </w:tcPr>
          <w:p w14:paraId="0C133C7D" w14:textId="77777777" w:rsidR="003E36F2" w:rsidRPr="003E36F2" w:rsidRDefault="003E36F2" w:rsidP="003E36F2">
            <w:pPr>
              <w:rPr>
                <w:rFonts w:eastAsia="Calibri"/>
                <w:iCs/>
                <w:lang w:eastAsia="en-US"/>
              </w:rPr>
            </w:pPr>
            <w:r w:rsidRPr="003E36F2">
              <w:rPr>
                <w:rFonts w:eastAsia="Calibri"/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955" w:type="dxa"/>
            <w:shd w:val="clear" w:color="auto" w:fill="FFFFFF"/>
            <w:hideMark/>
          </w:tcPr>
          <w:p w14:paraId="59043A49" w14:textId="77777777" w:rsidR="003E36F2" w:rsidRPr="003E36F2" w:rsidRDefault="003E36F2" w:rsidP="004F4C6C">
            <w:pPr>
              <w:ind w:left="119" w:right="117"/>
              <w:jc w:val="both"/>
              <w:rPr>
                <w:rFonts w:eastAsia="Calibri"/>
                <w:lang w:eastAsia="en-US"/>
              </w:rPr>
            </w:pPr>
            <w:r w:rsidRPr="003E36F2">
              <w:rPr>
                <w:rFonts w:eastAsia="Calibri"/>
                <w:lang w:eastAsia="en-US"/>
              </w:rPr>
              <w:t>Atbilstoši Ministru kabineta 2009.gada 15.decembra instrukcijas Nr. 19 “Tiesību akta projekta sākotnējās ietekmes izvērtēšanas kārtība”5.</w:t>
            </w:r>
            <w:r w:rsidRPr="003E36F2">
              <w:rPr>
                <w:rFonts w:eastAsia="Calibri"/>
                <w:vertAlign w:val="superscript"/>
                <w:lang w:eastAsia="en-US"/>
              </w:rPr>
              <w:t xml:space="preserve">1 </w:t>
            </w:r>
            <w:r w:rsidRPr="003E36F2">
              <w:rPr>
                <w:rFonts w:eastAsia="Calibri"/>
                <w:lang w:eastAsia="en-US"/>
              </w:rPr>
              <w:t>punktam nav jāaizpilda.</w:t>
            </w:r>
          </w:p>
        </w:tc>
      </w:tr>
    </w:tbl>
    <w:p w14:paraId="45CA10FB" w14:textId="77777777" w:rsidR="003E36F2" w:rsidRDefault="003E36F2" w:rsidP="00153DF2">
      <w:pPr>
        <w:pStyle w:val="BodyText2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254"/>
        <w:gridCol w:w="5941"/>
      </w:tblGrid>
      <w:tr w:rsidR="00153DF2" w:rsidRPr="00E96AEC" w14:paraId="6152FC12" w14:textId="77777777" w:rsidTr="00344344">
        <w:trPr>
          <w:trHeight w:val="419"/>
        </w:trPr>
        <w:tc>
          <w:tcPr>
            <w:tcW w:w="5000" w:type="pct"/>
            <w:gridSpan w:val="3"/>
            <w:vAlign w:val="center"/>
          </w:tcPr>
          <w:p w14:paraId="73FA3869" w14:textId="77777777" w:rsidR="00153DF2" w:rsidRPr="00E96AEC" w:rsidRDefault="00153DF2" w:rsidP="0034434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96AEC">
              <w:rPr>
                <w:b/>
              </w:rPr>
              <w:t>I. Tiesību akta projekta izstrādes nepieciešamība</w:t>
            </w:r>
          </w:p>
        </w:tc>
      </w:tr>
      <w:tr w:rsidR="00153DF2" w:rsidRPr="00E96AEC" w14:paraId="31B37715" w14:textId="77777777" w:rsidTr="00F9612F">
        <w:trPr>
          <w:trHeight w:val="415"/>
        </w:trPr>
        <w:tc>
          <w:tcPr>
            <w:tcW w:w="222" w:type="pct"/>
          </w:tcPr>
          <w:p w14:paraId="479D15FB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96AEC">
              <w:t>1.</w:t>
            </w:r>
          </w:p>
        </w:tc>
        <w:tc>
          <w:tcPr>
            <w:tcW w:w="1691" w:type="pct"/>
          </w:tcPr>
          <w:p w14:paraId="7061170C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Pamatojums</w:t>
            </w:r>
          </w:p>
        </w:tc>
        <w:tc>
          <w:tcPr>
            <w:tcW w:w="3087" w:type="pct"/>
          </w:tcPr>
          <w:p w14:paraId="57BE1188" w14:textId="77777777" w:rsidR="00153DF2" w:rsidRPr="00E96AEC" w:rsidRDefault="00153DF2" w:rsidP="004F4C6C">
            <w:pPr>
              <w:ind w:left="143" w:right="121"/>
              <w:jc w:val="both"/>
            </w:pPr>
            <w:r w:rsidRPr="00E96AEC">
              <w:t>Saskaņā ar Ministru kabineta 2010.gada 7.aprīļa noteikumu Nr.300 „Ministru kabineta kārtības rullis” 58.punktu</w:t>
            </w:r>
            <w:r>
              <w:t xml:space="preserve"> </w:t>
            </w:r>
            <w:r w:rsidRPr="00FC1A8E">
              <w:t xml:space="preserve"> pēc Satiksmes ministrijas iniciatīvas.</w:t>
            </w:r>
          </w:p>
        </w:tc>
      </w:tr>
      <w:tr w:rsidR="00153DF2" w:rsidRPr="00E96AEC" w14:paraId="0F72EA6D" w14:textId="77777777" w:rsidTr="00F9612F">
        <w:trPr>
          <w:cantSplit/>
          <w:trHeight w:val="1134"/>
        </w:trPr>
        <w:tc>
          <w:tcPr>
            <w:tcW w:w="222" w:type="pct"/>
          </w:tcPr>
          <w:p w14:paraId="4CEC30F4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96AEC">
              <w:t>2.</w:t>
            </w:r>
          </w:p>
        </w:tc>
        <w:tc>
          <w:tcPr>
            <w:tcW w:w="1691" w:type="pct"/>
          </w:tcPr>
          <w:p w14:paraId="1C1ECFB1" w14:textId="77777777" w:rsidR="00153DF2" w:rsidRPr="00E96AEC" w:rsidRDefault="00153DF2" w:rsidP="0034434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96AEC">
              <w:t>Pašreizējā situācija un problēmas, kuru risināšanai tiesību akta projekts izstrādāts, tiesiskā regulējuma mērķis un būtība</w:t>
            </w:r>
          </w:p>
        </w:tc>
        <w:tc>
          <w:tcPr>
            <w:tcW w:w="3087" w:type="pct"/>
          </w:tcPr>
          <w:p w14:paraId="651284FA" w14:textId="77777777" w:rsidR="00153DF2" w:rsidRDefault="00F208FA" w:rsidP="004F4C6C">
            <w:pPr>
              <w:tabs>
                <w:tab w:val="left" w:pos="720"/>
              </w:tabs>
              <w:ind w:left="143" w:right="121"/>
              <w:jc w:val="both"/>
            </w:pPr>
            <w:r>
              <w:t xml:space="preserve">Ministru kabineta rīkojuma projekts “Par pamatbudžeta apropriācijas pārdali starp Satiksmes ministrijas apakšprogrammām” paredz </w:t>
            </w:r>
            <w:r w:rsidR="00B73ACC">
              <w:t>novirzīt</w:t>
            </w:r>
            <w:r w:rsidR="00331EC6">
              <w:t xml:space="preserve"> </w:t>
            </w:r>
            <w:r w:rsidR="00331EC6" w:rsidRPr="00331EC6">
              <w:t xml:space="preserve">citu zaudējumu segšanai </w:t>
            </w:r>
            <w:r>
              <w:t>papildus piešķirt</w:t>
            </w:r>
            <w:r w:rsidR="00D05FD1">
              <w:t>o</w:t>
            </w:r>
            <w:r>
              <w:t xml:space="preserve">s </w:t>
            </w:r>
            <w:r w:rsidR="00153DF2" w:rsidRPr="00153DF2">
              <w:t>2018.</w:t>
            </w:r>
            <w:r w:rsidR="008E23E1">
              <w:t xml:space="preserve"> </w:t>
            </w:r>
            <w:r w:rsidR="00153DF2" w:rsidRPr="00153DF2">
              <w:t>gad</w:t>
            </w:r>
            <w:r w:rsidR="00331EC6">
              <w:t>ā</w:t>
            </w:r>
            <w:r w:rsidR="00153DF2" w:rsidRPr="00153DF2">
              <w:t xml:space="preserve"> valsts budžeta programmas</w:t>
            </w:r>
            <w:r w:rsidR="0019785E">
              <w:t xml:space="preserve"> 31.00.00</w:t>
            </w:r>
            <w:r w:rsidR="00153DF2" w:rsidRPr="00153DF2">
              <w:t xml:space="preserve"> </w:t>
            </w:r>
            <w:r w:rsidRPr="00F208FA">
              <w:t>“</w:t>
            </w:r>
            <w:r w:rsidR="00153DF2" w:rsidRPr="00F208FA">
              <w:t>Sabiedriskais transports</w:t>
            </w:r>
            <w:r w:rsidRPr="00F208FA">
              <w:t>”</w:t>
            </w:r>
            <w:r w:rsidR="00153DF2" w:rsidRPr="00153DF2">
              <w:t xml:space="preserve"> apakšprogrammā 31.07.00 “Dotācijas sabiedriskā transporta pakalpojumu sniedzējiem ar braukšanas maksas atvieglojumiem saistīto zaudējumu segšanai” 3 400 000 </w:t>
            </w:r>
            <w:proofErr w:type="spellStart"/>
            <w:r w:rsidR="00153DF2" w:rsidRPr="00153DF2">
              <w:rPr>
                <w:i/>
              </w:rPr>
              <w:t>euro</w:t>
            </w:r>
            <w:proofErr w:type="spellEnd"/>
            <w:r w:rsidR="00153DF2" w:rsidRPr="00153DF2">
              <w:t>, kas paredzēti, lai saskaņā ar 2017.gada 27.</w:t>
            </w:r>
            <w:r w:rsidR="008E23E1">
              <w:t xml:space="preserve"> </w:t>
            </w:r>
            <w:r w:rsidR="00153DF2" w:rsidRPr="00153DF2">
              <w:t>jūnija Ministru kabineta noteikum</w:t>
            </w:r>
            <w:r w:rsidR="00C41BB5">
              <w:t>iem</w:t>
            </w:r>
            <w:r w:rsidR="00153DF2" w:rsidRPr="00153DF2">
              <w:t xml:space="preserve"> Nr.371 “Braukšanas maksas atvieglojumu noteikumi” kompensētu braukšanas maksas atvieglojumus </w:t>
            </w:r>
            <w:proofErr w:type="spellStart"/>
            <w:r w:rsidR="00153DF2" w:rsidRPr="00153DF2">
              <w:t>daudzbērnu</w:t>
            </w:r>
            <w:proofErr w:type="spellEnd"/>
            <w:r w:rsidR="00153DF2" w:rsidRPr="00153DF2">
              <w:t xml:space="preserve"> ģimeņu locekļiem, kas izmanto valsts īstenoto atbalsta programmu “Latvijas Goda ģimenes apliecība “3+ Ģimenes karte”” (turpmāk –</w:t>
            </w:r>
            <w:proofErr w:type="spellStart"/>
            <w:r w:rsidR="00153DF2" w:rsidRPr="00153DF2">
              <w:t>daudzbērnu</w:t>
            </w:r>
            <w:proofErr w:type="spellEnd"/>
            <w:r w:rsidR="00153DF2" w:rsidRPr="00153DF2">
              <w:t xml:space="preserve"> ģimenes locekļi), reģionālās nozīmes maršrutu autobusos un vilcienos. </w:t>
            </w:r>
          </w:p>
          <w:p w14:paraId="12845632" w14:textId="77777777" w:rsidR="00A62EEF" w:rsidRDefault="00A62EEF" w:rsidP="00F9612F">
            <w:pPr>
              <w:tabs>
                <w:tab w:val="left" w:pos="720"/>
              </w:tabs>
              <w:ind w:left="143" w:right="121"/>
              <w:jc w:val="both"/>
            </w:pPr>
            <w:r>
              <w:t>I</w:t>
            </w:r>
            <w:r w:rsidR="00153DF2" w:rsidRPr="00153DF2">
              <w:t>zvērtējot kopējo minēto līdzekļu apguvi uz 2018.</w:t>
            </w:r>
            <w:r w:rsidR="008E23E1">
              <w:t xml:space="preserve"> </w:t>
            </w:r>
            <w:r w:rsidR="00153DF2" w:rsidRPr="00153DF2">
              <w:t>gada 1.</w:t>
            </w:r>
            <w:r w:rsidR="008E23E1">
              <w:t xml:space="preserve"> </w:t>
            </w:r>
            <w:r w:rsidR="00153DF2" w:rsidRPr="00153DF2">
              <w:t xml:space="preserve">augustu, ir secināms, ka kopumā </w:t>
            </w:r>
            <w:r>
              <w:t>piešķirtie 3 </w:t>
            </w:r>
            <w:r w:rsidR="00153DF2" w:rsidRPr="00153DF2">
              <w:t>4</w:t>
            </w:r>
            <w:r>
              <w:t xml:space="preserve">00 000 </w:t>
            </w:r>
            <w:r w:rsidR="00153DF2" w:rsidRPr="00153DF2">
              <w:t xml:space="preserve"> </w:t>
            </w:r>
            <w:proofErr w:type="spellStart"/>
            <w:r w:rsidR="00153DF2" w:rsidRPr="00153DF2">
              <w:rPr>
                <w:i/>
              </w:rPr>
              <w:t>euro</w:t>
            </w:r>
            <w:proofErr w:type="spellEnd"/>
            <w:r w:rsidR="00153DF2" w:rsidRPr="00153DF2">
              <w:rPr>
                <w:i/>
              </w:rPr>
              <w:t xml:space="preserve"> </w:t>
            </w:r>
            <w:r w:rsidR="00153DF2" w:rsidRPr="00153DF2">
              <w:t>2018.</w:t>
            </w:r>
            <w:r w:rsidR="008E23E1">
              <w:t xml:space="preserve"> </w:t>
            </w:r>
            <w:r w:rsidR="00153DF2" w:rsidRPr="00153DF2">
              <w:t xml:space="preserve">gadā netiks izlietoti par </w:t>
            </w:r>
            <w:proofErr w:type="spellStart"/>
            <w:r w:rsidR="00153DF2" w:rsidRPr="00153DF2">
              <w:t>daudzbērnu</w:t>
            </w:r>
            <w:proofErr w:type="spellEnd"/>
            <w:r w:rsidR="00153DF2" w:rsidRPr="00153DF2">
              <w:t xml:space="preserve"> ģimenes locekļiem piešķirtajiem braukšanas maksas atvieglojumiem</w:t>
            </w:r>
            <w:r>
              <w:t>.</w:t>
            </w:r>
            <w:r w:rsidR="00153DF2">
              <w:t xml:space="preserve"> VSIA “Autotransporta direkcija” plāno, ka 2018.gadā kopējais finansēju</w:t>
            </w:r>
            <w:r>
              <w:t xml:space="preserve">ms, kas varētu tikt apgūt </w:t>
            </w:r>
            <w:r w:rsidR="00D05FD1" w:rsidRPr="004E069C">
              <w:t xml:space="preserve">644 710 </w:t>
            </w:r>
            <w:proofErr w:type="spellStart"/>
            <w:r w:rsidR="00D05FD1" w:rsidRPr="004E069C">
              <w:rPr>
                <w:i/>
              </w:rPr>
              <w:t>euro</w:t>
            </w:r>
            <w:proofErr w:type="spellEnd"/>
            <w:r w:rsidR="00D05FD1">
              <w:t xml:space="preserve"> </w:t>
            </w:r>
            <w:r>
              <w:t xml:space="preserve">no </w:t>
            </w:r>
            <w:r w:rsidR="00D05FD1">
              <w:t xml:space="preserve">piešķirtajiem </w:t>
            </w:r>
            <w:r>
              <w:t>3 </w:t>
            </w:r>
            <w:r w:rsidR="00153DF2">
              <w:t>4</w:t>
            </w:r>
            <w:r>
              <w:t>00 000</w:t>
            </w:r>
            <w:r w:rsidR="00153DF2">
              <w:t xml:space="preserve"> </w:t>
            </w:r>
            <w:proofErr w:type="spellStart"/>
            <w:r w:rsidR="00153DF2" w:rsidRPr="00153DF2">
              <w:rPr>
                <w:i/>
              </w:rPr>
              <w:t>euro</w:t>
            </w:r>
            <w:proofErr w:type="spellEnd"/>
            <w:r w:rsidR="00153DF2" w:rsidRPr="004E069C">
              <w:t>.</w:t>
            </w:r>
            <w:r w:rsidR="00153DF2" w:rsidRPr="00153DF2">
              <w:t xml:space="preserve"> </w:t>
            </w:r>
          </w:p>
          <w:p w14:paraId="79EB7ACD" w14:textId="77777777" w:rsidR="00153DF2" w:rsidRPr="00153DF2" w:rsidRDefault="00153DF2" w:rsidP="00F9612F">
            <w:pPr>
              <w:tabs>
                <w:tab w:val="left" w:pos="720"/>
              </w:tabs>
              <w:ind w:left="143" w:right="121"/>
              <w:jc w:val="both"/>
            </w:pPr>
            <w:r w:rsidRPr="00153DF2">
              <w:t>Tādējādi</w:t>
            </w:r>
            <w:r w:rsidR="00A62EEF">
              <w:t>,</w:t>
            </w:r>
            <w:r w:rsidRPr="00153DF2">
              <w:t xml:space="preserve"> provizoriski no </w:t>
            </w:r>
            <w:r w:rsidR="004E069C">
              <w:t xml:space="preserve">Satiksmes ministrijas </w:t>
            </w:r>
            <w:r w:rsidR="003A7B19">
              <w:t xml:space="preserve">apakšprogrammas </w:t>
            </w:r>
            <w:r w:rsidR="003A7B19" w:rsidRPr="003A7B19">
              <w:t xml:space="preserve">31.07.00 “Dotācijas sabiedriskā transporta pakalpojumu sniedzējiem ar braukšanas maksas atvieglojumiem saistīto zaudējumu segšanai” </w:t>
            </w:r>
            <w:r w:rsidRPr="00153DF2">
              <w:t xml:space="preserve">piešķirtā finansējuma </w:t>
            </w:r>
            <w:r w:rsidRPr="004E069C">
              <w:rPr>
                <w:b/>
              </w:rPr>
              <w:t>2 755 290 </w:t>
            </w:r>
            <w:proofErr w:type="spellStart"/>
            <w:r w:rsidRPr="004E069C">
              <w:rPr>
                <w:b/>
                <w:i/>
              </w:rPr>
              <w:t>euro</w:t>
            </w:r>
            <w:proofErr w:type="spellEnd"/>
            <w:r w:rsidRPr="00153DF2">
              <w:t xml:space="preserve"> būtu novirzāmi citu zaudējumu segšanai, pārceļot attiecīgo finansējumu vispārējo sabiedriskā transporta pakalpojumu sniedzējiem radušos zaudējumu kompensēšanai (</w:t>
            </w:r>
            <w:r>
              <w:t xml:space="preserve">Satiksmes ministrijas </w:t>
            </w:r>
            <w:r w:rsidRPr="00153DF2">
              <w:t>apakšprogramma 31.06.00</w:t>
            </w:r>
            <w:r w:rsidR="003A7B19">
              <w:t xml:space="preserve"> “</w:t>
            </w:r>
            <w:r w:rsidR="003A7B19" w:rsidRPr="003A7B19">
              <w:t>Dotācija zaudējumu segšanai sabiedriskā transporta pakalpojumu sniedzējiem”</w:t>
            </w:r>
            <w:r w:rsidR="003A7B19">
              <w:t>)</w:t>
            </w:r>
            <w:r>
              <w:t>, jo minēto zaudējumu kompensēšanai finansējums ir nepietiekams.</w:t>
            </w:r>
          </w:p>
          <w:p w14:paraId="59D304FB" w14:textId="77777777" w:rsidR="004E069C" w:rsidRPr="00E96AEC" w:rsidRDefault="00331EC6" w:rsidP="004F4C6C">
            <w:pPr>
              <w:ind w:left="143" w:right="121"/>
              <w:jc w:val="both"/>
              <w:rPr>
                <w:color w:val="FF0000"/>
              </w:rPr>
            </w:pPr>
            <w:r>
              <w:rPr>
                <w:rFonts w:eastAsia="Calibri"/>
              </w:rPr>
              <w:t>F</w:t>
            </w:r>
            <w:r w:rsidR="004E069C" w:rsidRPr="00255C0C">
              <w:rPr>
                <w:rFonts w:eastAsia="Calibri"/>
              </w:rPr>
              <w:t xml:space="preserve">inansējuma pārdale tiek veikta </w:t>
            </w:r>
            <w:r w:rsidR="004E069C" w:rsidRPr="00255C0C">
              <w:t xml:space="preserve">valsts budžeta programmas </w:t>
            </w:r>
            <w:r w:rsidR="0019785E" w:rsidRPr="0019785E">
              <w:t>31.00.00 “Sabiedriskais transports”</w:t>
            </w:r>
            <w:r w:rsidR="0019785E" w:rsidRPr="0019785E">
              <w:rPr>
                <w:i/>
              </w:rPr>
              <w:t xml:space="preserve"> </w:t>
            </w:r>
            <w:r w:rsidR="004E069C" w:rsidRPr="00255C0C">
              <w:t xml:space="preserve">ietvarā, tas nemaina </w:t>
            </w:r>
            <w:r w:rsidR="004E069C" w:rsidRPr="00255C0C">
              <w:lastRenderedPageBreak/>
              <w:t>kopējo situāciju attiecībā uz sabiedriskā transport</w:t>
            </w:r>
            <w:r>
              <w:t>a nozarē trūkstošo finansējumu.</w:t>
            </w:r>
          </w:p>
        </w:tc>
      </w:tr>
      <w:tr w:rsidR="00153DF2" w:rsidRPr="00E96AEC" w14:paraId="386EDDA5" w14:textId="77777777" w:rsidTr="00F9612F">
        <w:trPr>
          <w:trHeight w:val="476"/>
        </w:trPr>
        <w:tc>
          <w:tcPr>
            <w:tcW w:w="222" w:type="pct"/>
          </w:tcPr>
          <w:p w14:paraId="469817E3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96AEC">
              <w:lastRenderedPageBreak/>
              <w:t>3.</w:t>
            </w:r>
          </w:p>
        </w:tc>
        <w:tc>
          <w:tcPr>
            <w:tcW w:w="1691" w:type="pct"/>
          </w:tcPr>
          <w:p w14:paraId="53D93375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Projekta izstrādē iesaistītās institūcijas</w:t>
            </w:r>
          </w:p>
        </w:tc>
        <w:tc>
          <w:tcPr>
            <w:tcW w:w="3087" w:type="pct"/>
          </w:tcPr>
          <w:p w14:paraId="4E980118" w14:textId="77777777" w:rsidR="00153DF2" w:rsidRPr="00E96AEC" w:rsidRDefault="00153DF2" w:rsidP="00344344">
            <w:pPr>
              <w:ind w:left="57" w:right="57"/>
            </w:pPr>
            <w:r w:rsidRPr="00E96AEC">
              <w:t>Satiksmes ministrija, VSIA „Autotransporta direkcija”.</w:t>
            </w:r>
          </w:p>
        </w:tc>
      </w:tr>
      <w:tr w:rsidR="00153DF2" w:rsidRPr="00E96AEC" w14:paraId="47CC74D1" w14:textId="77777777" w:rsidTr="00F9612F">
        <w:tc>
          <w:tcPr>
            <w:tcW w:w="222" w:type="pct"/>
          </w:tcPr>
          <w:p w14:paraId="1039DA50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96AEC">
              <w:t>4.</w:t>
            </w:r>
          </w:p>
        </w:tc>
        <w:tc>
          <w:tcPr>
            <w:tcW w:w="1691" w:type="pct"/>
          </w:tcPr>
          <w:p w14:paraId="1678DA99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Cita informācija</w:t>
            </w:r>
          </w:p>
        </w:tc>
        <w:tc>
          <w:tcPr>
            <w:tcW w:w="3087" w:type="pct"/>
          </w:tcPr>
          <w:p w14:paraId="3566E784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Nav.</w:t>
            </w:r>
          </w:p>
        </w:tc>
      </w:tr>
    </w:tbl>
    <w:p w14:paraId="09AA42CE" w14:textId="77777777" w:rsidR="00153DF2" w:rsidRPr="00E96AEC" w:rsidRDefault="00153DF2" w:rsidP="00153DF2"/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50"/>
        <w:gridCol w:w="5822"/>
      </w:tblGrid>
      <w:tr w:rsidR="00153DF2" w:rsidRPr="00E96AEC" w14:paraId="48CBB759" w14:textId="77777777" w:rsidTr="00344344">
        <w:trPr>
          <w:trHeight w:val="556"/>
        </w:trPr>
        <w:tc>
          <w:tcPr>
            <w:tcW w:w="9503" w:type="dxa"/>
            <w:gridSpan w:val="3"/>
            <w:vAlign w:val="center"/>
          </w:tcPr>
          <w:p w14:paraId="63D19A3F" w14:textId="77777777" w:rsidR="00153DF2" w:rsidRPr="00E96AEC" w:rsidRDefault="00153DF2" w:rsidP="0034434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96AEC">
              <w:rPr>
                <w:b/>
              </w:rPr>
              <w:t>II. Tiesību akta projekta ietekme uz sabiedrību, tautsaimniecības attīstību</w:t>
            </w:r>
          </w:p>
          <w:p w14:paraId="7B1752AD" w14:textId="77777777" w:rsidR="00153DF2" w:rsidRPr="00E96AEC" w:rsidRDefault="00153DF2" w:rsidP="0034434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96AEC">
              <w:rPr>
                <w:b/>
              </w:rPr>
              <w:t>un administratīvo slogu</w:t>
            </w:r>
          </w:p>
        </w:tc>
      </w:tr>
      <w:tr w:rsidR="00153DF2" w:rsidRPr="00E96AEC" w14:paraId="433AA911" w14:textId="77777777" w:rsidTr="00F9612F">
        <w:trPr>
          <w:trHeight w:val="467"/>
        </w:trPr>
        <w:tc>
          <w:tcPr>
            <w:tcW w:w="431" w:type="dxa"/>
          </w:tcPr>
          <w:p w14:paraId="4A45BEF4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1.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70BB6683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 xml:space="preserve">Sabiedrības </w:t>
            </w:r>
            <w:proofErr w:type="spellStart"/>
            <w:r w:rsidRPr="00E96AEC">
              <w:t>mērķgrupas</w:t>
            </w:r>
            <w:proofErr w:type="spellEnd"/>
            <w:r w:rsidRPr="00E96AEC">
              <w:t>, kuras tiesiskais regulējums ietekmē vai varētu ietekmēt</w:t>
            </w:r>
          </w:p>
        </w:tc>
        <w:tc>
          <w:tcPr>
            <w:tcW w:w="5822" w:type="dxa"/>
          </w:tcPr>
          <w:p w14:paraId="6058A18E" w14:textId="77777777" w:rsidR="00153DF2" w:rsidRPr="00E96AEC" w:rsidRDefault="00153DF2" w:rsidP="00B7147D">
            <w:pPr>
              <w:shd w:val="clear" w:color="auto" w:fill="FFFFFF"/>
              <w:ind w:left="57" w:right="57"/>
              <w:jc w:val="both"/>
            </w:pPr>
            <w:bookmarkStart w:id="0" w:name="p21"/>
            <w:bookmarkEnd w:id="0"/>
            <w:r w:rsidRPr="00E96AEC">
              <w:t xml:space="preserve">Satiksmes ministrija, VSIA ”Autotransporta direkcija”, </w:t>
            </w:r>
            <w:r>
              <w:t>sabiedriskā transporta pakalpojumu sniedzēji</w:t>
            </w:r>
            <w:r w:rsidR="00B7147D">
              <w:t>.</w:t>
            </w:r>
          </w:p>
        </w:tc>
      </w:tr>
      <w:tr w:rsidR="00153DF2" w:rsidRPr="00E96AEC" w14:paraId="0244F716" w14:textId="77777777" w:rsidTr="00F9612F">
        <w:trPr>
          <w:trHeight w:val="523"/>
        </w:trPr>
        <w:tc>
          <w:tcPr>
            <w:tcW w:w="431" w:type="dxa"/>
          </w:tcPr>
          <w:p w14:paraId="3C74BAE8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2.</w:t>
            </w:r>
          </w:p>
        </w:tc>
        <w:tc>
          <w:tcPr>
            <w:tcW w:w="3250" w:type="dxa"/>
          </w:tcPr>
          <w:p w14:paraId="653325EE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Tiesiskā regulējuma ietekme uz tautsaimniecību un administratīvo slogu</w:t>
            </w:r>
          </w:p>
        </w:tc>
        <w:tc>
          <w:tcPr>
            <w:tcW w:w="5822" w:type="dxa"/>
          </w:tcPr>
          <w:p w14:paraId="7642F885" w14:textId="77777777" w:rsidR="00153DF2" w:rsidRPr="00E96AEC" w:rsidRDefault="00153DF2" w:rsidP="00344344">
            <w:pPr>
              <w:shd w:val="clear" w:color="auto" w:fill="FFFFFF"/>
              <w:ind w:left="57" w:right="57"/>
            </w:pPr>
            <w:r w:rsidRPr="00E96AEC">
              <w:t>Projekts šo jomu neskar.</w:t>
            </w:r>
          </w:p>
        </w:tc>
      </w:tr>
      <w:tr w:rsidR="00153DF2" w:rsidRPr="00E96AEC" w14:paraId="7CBF9EC3" w14:textId="77777777" w:rsidTr="00F9612F">
        <w:trPr>
          <w:trHeight w:val="523"/>
        </w:trPr>
        <w:tc>
          <w:tcPr>
            <w:tcW w:w="431" w:type="dxa"/>
          </w:tcPr>
          <w:p w14:paraId="2AC7C8B5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3.</w:t>
            </w:r>
          </w:p>
        </w:tc>
        <w:tc>
          <w:tcPr>
            <w:tcW w:w="3250" w:type="dxa"/>
          </w:tcPr>
          <w:p w14:paraId="4D6B86B2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Administratīvo izmaksu monetārs novērtējums</w:t>
            </w:r>
          </w:p>
        </w:tc>
        <w:tc>
          <w:tcPr>
            <w:tcW w:w="5822" w:type="dxa"/>
          </w:tcPr>
          <w:p w14:paraId="311B3B53" w14:textId="77777777" w:rsidR="00153DF2" w:rsidRPr="00E96AEC" w:rsidRDefault="00153DF2" w:rsidP="00344344">
            <w:pPr>
              <w:shd w:val="clear" w:color="auto" w:fill="FFFFFF"/>
              <w:ind w:left="57" w:right="57"/>
            </w:pPr>
            <w:r w:rsidRPr="00E96AEC">
              <w:t>Projekts šo jomu neskar.</w:t>
            </w:r>
          </w:p>
        </w:tc>
      </w:tr>
      <w:tr w:rsidR="00153DF2" w:rsidRPr="00E96AEC" w14:paraId="7B2214EA" w14:textId="77777777" w:rsidTr="00F9612F">
        <w:trPr>
          <w:trHeight w:val="357"/>
        </w:trPr>
        <w:tc>
          <w:tcPr>
            <w:tcW w:w="431" w:type="dxa"/>
          </w:tcPr>
          <w:p w14:paraId="5E3AA735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4.</w:t>
            </w:r>
          </w:p>
        </w:tc>
        <w:tc>
          <w:tcPr>
            <w:tcW w:w="3250" w:type="dxa"/>
          </w:tcPr>
          <w:p w14:paraId="0B2D8C93" w14:textId="77777777" w:rsidR="00153DF2" w:rsidRPr="00E96AEC" w:rsidRDefault="00153DF2" w:rsidP="00344344">
            <w:pPr>
              <w:pStyle w:val="naiskr"/>
              <w:spacing w:before="0" w:beforeAutospacing="0" w:after="0" w:afterAutospacing="0"/>
              <w:ind w:left="57" w:right="57"/>
            </w:pPr>
            <w:r w:rsidRPr="00E96AEC">
              <w:t>Cita informācija</w:t>
            </w:r>
          </w:p>
        </w:tc>
        <w:tc>
          <w:tcPr>
            <w:tcW w:w="5822" w:type="dxa"/>
          </w:tcPr>
          <w:p w14:paraId="6D76A197" w14:textId="77777777" w:rsidR="00153DF2" w:rsidRPr="00E96AEC" w:rsidRDefault="00153DF2" w:rsidP="00344344">
            <w:pPr>
              <w:shd w:val="clear" w:color="auto" w:fill="FFFFFF"/>
              <w:ind w:left="57" w:right="57"/>
            </w:pPr>
            <w:r w:rsidRPr="00E96AEC">
              <w:t>Nav.</w:t>
            </w:r>
          </w:p>
        </w:tc>
      </w:tr>
    </w:tbl>
    <w:p w14:paraId="658946F9" w14:textId="77777777" w:rsidR="00B03D89" w:rsidRPr="00825345" w:rsidRDefault="00153DF2" w:rsidP="00F9612F">
      <w:pPr>
        <w:spacing w:before="100" w:beforeAutospacing="1" w:line="360" w:lineRule="auto"/>
        <w:ind w:firstLine="300"/>
      </w:pPr>
      <w:r w:rsidRPr="00E96AEC">
        <w:rPr>
          <w:rFonts w:ascii="Arial" w:hAnsi="Arial" w:cs="Arial"/>
          <w:color w:val="414142"/>
        </w:rPr>
        <w:t> 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200"/>
        <w:gridCol w:w="1134"/>
        <w:gridCol w:w="1134"/>
        <w:gridCol w:w="1134"/>
        <w:gridCol w:w="1134"/>
        <w:gridCol w:w="993"/>
        <w:gridCol w:w="1105"/>
      </w:tblGrid>
      <w:tr w:rsidR="00B03D89" w:rsidRPr="00825345" w14:paraId="3B9B9AEB" w14:textId="77777777" w:rsidTr="00136B5E">
        <w:trPr>
          <w:trHeight w:val="212"/>
        </w:trPr>
        <w:tc>
          <w:tcPr>
            <w:tcW w:w="9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A2EF" w14:textId="77777777" w:rsidR="00B03D89" w:rsidRPr="00B34F99" w:rsidRDefault="00B03D89" w:rsidP="00136B5E">
            <w:pPr>
              <w:jc w:val="center"/>
              <w:rPr>
                <w:b/>
                <w:bCs/>
              </w:rPr>
            </w:pPr>
            <w:r w:rsidRPr="00B34F9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03D89" w:rsidRPr="00825345" w14:paraId="6785E014" w14:textId="77777777" w:rsidTr="00342C9C">
        <w:trPr>
          <w:trHeight w:val="300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2F905" w14:textId="77777777" w:rsidR="00B03D89" w:rsidRPr="00342C9C" w:rsidRDefault="00B03D89" w:rsidP="00136B5E">
            <w:pPr>
              <w:jc w:val="center"/>
              <w:rPr>
                <w:bCs/>
                <w:sz w:val="22"/>
                <w:szCs w:val="22"/>
              </w:rPr>
            </w:pPr>
            <w:r w:rsidRPr="00342C9C">
              <w:rPr>
                <w:bCs/>
                <w:sz w:val="22"/>
                <w:szCs w:val="22"/>
              </w:rPr>
              <w:t>Rādītāji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811E1" w14:textId="77777777" w:rsidR="00B03D89" w:rsidRPr="00B34F99" w:rsidRDefault="00B03D89" w:rsidP="00136B5E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2018. gads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2AF25" w14:textId="77777777" w:rsidR="00B03D89" w:rsidRPr="00825345" w:rsidRDefault="00B03D89" w:rsidP="00136B5E">
            <w:pPr>
              <w:jc w:val="center"/>
            </w:pPr>
            <w:r w:rsidRPr="00825345">
              <w:t>Turpmākie trīs gadi (</w:t>
            </w:r>
            <w:proofErr w:type="spellStart"/>
            <w:r w:rsidRPr="00B34F99">
              <w:rPr>
                <w:i/>
                <w:iCs/>
              </w:rPr>
              <w:t>euro</w:t>
            </w:r>
            <w:proofErr w:type="spellEnd"/>
            <w:r w:rsidRPr="00825345">
              <w:t>)</w:t>
            </w:r>
          </w:p>
        </w:tc>
      </w:tr>
      <w:tr w:rsidR="00B03D89" w:rsidRPr="00825345" w14:paraId="33DC5563" w14:textId="77777777" w:rsidTr="00342C9C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D9A" w14:textId="77777777" w:rsidR="00B03D89" w:rsidRPr="00342C9C" w:rsidRDefault="00B03D89" w:rsidP="00136B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AB9" w14:textId="77777777" w:rsidR="00B03D89" w:rsidRPr="00B34F99" w:rsidRDefault="00B03D89" w:rsidP="00136B5E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2383" w14:textId="77777777" w:rsidR="00B03D89" w:rsidRPr="00B34F99" w:rsidRDefault="00B03D89" w:rsidP="00136B5E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93D4C" w14:textId="77777777" w:rsidR="00B03D89" w:rsidRPr="00B34F99" w:rsidRDefault="00B03D89" w:rsidP="00136B5E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144E1" w14:textId="77777777" w:rsidR="00B03D89" w:rsidRPr="00B34F99" w:rsidRDefault="00B03D89" w:rsidP="00136B5E">
            <w:pPr>
              <w:jc w:val="center"/>
              <w:rPr>
                <w:bCs/>
              </w:rPr>
            </w:pPr>
            <w:r w:rsidRPr="00B34F99">
              <w:rPr>
                <w:bCs/>
              </w:rPr>
              <w:t>2021</w:t>
            </w:r>
          </w:p>
        </w:tc>
      </w:tr>
      <w:tr w:rsidR="003A2445" w:rsidRPr="00825345" w14:paraId="05C364FF" w14:textId="77777777" w:rsidTr="00342C9C">
        <w:trPr>
          <w:trHeight w:val="41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9527" w14:textId="77777777" w:rsidR="00B03D89" w:rsidRPr="00342C9C" w:rsidRDefault="00B03D89" w:rsidP="00136B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AB901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saskaņā ar valsts budžetu kārtējam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85246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izmaiņas kārtējā gadā, salīdzinot ar valsts budžetu kārtējam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92B62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2346E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izmaiņas, salīdzinot ar vidēja termiņa budžeta ietvaru 2019.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23408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saskaņā ar vidēja termiņa budžeta ietvaru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2E91A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 xml:space="preserve">izmaiņas, </w:t>
            </w:r>
            <w:r w:rsidRPr="00342C9C">
              <w:rPr>
                <w:sz w:val="18"/>
                <w:szCs w:val="18"/>
              </w:rPr>
              <w:t>salīdzino</w:t>
            </w:r>
            <w:r w:rsidRPr="00342C9C">
              <w:rPr>
                <w:sz w:val="20"/>
                <w:szCs w:val="20"/>
              </w:rPr>
              <w:t>t ar vidēja termiņa budžeta ietvaru 2020. gadam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56E41" w14:textId="77777777" w:rsidR="00B03D89" w:rsidRPr="00342C9C" w:rsidRDefault="00B03D89" w:rsidP="00136B5E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izmaiņas, salīdzinot ar vidēja termiņa budžeta ietvaru 2020. gadam</w:t>
            </w:r>
          </w:p>
        </w:tc>
      </w:tr>
      <w:tr w:rsidR="003A2445" w:rsidRPr="00825345" w14:paraId="75EFF598" w14:textId="77777777" w:rsidTr="00342C9C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632A6" w14:textId="77777777" w:rsidR="00B03D89" w:rsidRPr="00342C9C" w:rsidRDefault="00B03D89" w:rsidP="00136B5E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1E3FE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4715F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2B25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9F7EB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C52A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0D173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FDF8C" w14:textId="77777777" w:rsidR="00B03D89" w:rsidRPr="00B34F99" w:rsidRDefault="00B03D89" w:rsidP="00136B5E">
            <w:pPr>
              <w:jc w:val="center"/>
              <w:rPr>
                <w:sz w:val="20"/>
                <w:szCs w:val="20"/>
              </w:rPr>
            </w:pPr>
            <w:r w:rsidRPr="00B34F99">
              <w:rPr>
                <w:sz w:val="20"/>
                <w:szCs w:val="20"/>
              </w:rPr>
              <w:t>8</w:t>
            </w:r>
          </w:p>
        </w:tc>
      </w:tr>
      <w:tr w:rsidR="003A2445" w:rsidRPr="00825345" w14:paraId="40E14DB1" w14:textId="77777777" w:rsidTr="00342C9C">
        <w:trPr>
          <w:trHeight w:val="18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DAC1A" w14:textId="77777777" w:rsidR="003A2445" w:rsidRPr="00342C9C" w:rsidRDefault="003A2445" w:rsidP="003A2445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1. Budžeta ieņēmumi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19DE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61 598 128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D2ADF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82F4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6B198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7DDBA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1E350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A5D7D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3A2445" w:rsidRPr="00825345" w14:paraId="28A4031C" w14:textId="77777777" w:rsidTr="00342C9C">
        <w:trPr>
          <w:trHeight w:val="135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4B81" w14:textId="77777777" w:rsidR="003A2445" w:rsidRPr="00342C9C" w:rsidRDefault="003A2445" w:rsidP="003A2445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34A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61 598 128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D60B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1466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3EF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15D" w14:textId="77777777" w:rsidR="003A2445" w:rsidRPr="00342C9C" w:rsidRDefault="003A2445" w:rsidP="00342C9C">
            <w:pPr>
              <w:spacing w:before="96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D8F2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A5CA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3A2445" w:rsidRPr="00825345" w14:paraId="575B2517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2303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FBC3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413B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42A9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1925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92C9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E3B0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B965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3A2445" w:rsidRPr="00825345" w14:paraId="37A6170E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D58B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ECE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7199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CF7B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4D70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C4E4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1468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8863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3A2445" w:rsidRPr="00825345" w14:paraId="4B3307A9" w14:textId="77777777" w:rsidTr="00342C9C">
        <w:trPr>
          <w:trHeight w:val="3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4CCC" w14:textId="77777777" w:rsidR="003A2445" w:rsidRPr="00342C9C" w:rsidRDefault="003A2445" w:rsidP="003A2445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2. Budžeta izdevumi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0B6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61 598 128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80AB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160F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138A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8A05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C972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D5E9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3A2445" w:rsidRPr="00825345" w14:paraId="550A1D2A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CB30" w14:textId="77777777" w:rsidR="003A2445" w:rsidRPr="00342C9C" w:rsidRDefault="003A2445" w:rsidP="003A2445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E6C1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61 598 128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2665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D7F1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1DED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0416" w14:textId="77777777" w:rsidR="003A2445" w:rsidRPr="00342C9C" w:rsidRDefault="003A2445" w:rsidP="00342C9C">
            <w:pPr>
              <w:spacing w:before="120"/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61 603 518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848D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F6C7" w14:textId="77777777" w:rsidR="003A2445" w:rsidRPr="00342C9C" w:rsidRDefault="003A2445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0</w:t>
            </w:r>
          </w:p>
        </w:tc>
      </w:tr>
      <w:tr w:rsidR="00CC318B" w:rsidRPr="00825345" w14:paraId="51C80002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AB2E" w14:textId="77777777" w:rsidR="00CC318B" w:rsidRPr="00342C9C" w:rsidRDefault="00CC318B" w:rsidP="00CC318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 xml:space="preserve">2.1.1. Satiksmes ministrijas </w:t>
            </w:r>
            <w:r w:rsidRPr="00342C9C">
              <w:rPr>
                <w:sz w:val="22"/>
                <w:szCs w:val="22"/>
              </w:rPr>
              <w:lastRenderedPageBreak/>
              <w:t>budžeta 31.07.00 apakšprogramma “Dotācija sabiedriskā transporta pakalpojumu sniedzējiem ar braukšanas maksas atvieglojumiem saistīto zaudējumu segšanai”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ABCD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lastRenderedPageBreak/>
              <w:t>23 643 908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91C6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  <w:r w:rsidRPr="00342C9C">
              <w:rPr>
                <w:sz w:val="20"/>
                <w:szCs w:val="20"/>
              </w:rPr>
              <w:t>-2 755 290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FFD2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92E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94E7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1791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F19D" w14:textId="77777777" w:rsidR="00CC318B" w:rsidRPr="00342C9C" w:rsidRDefault="00CC318B" w:rsidP="00342C9C">
            <w:pPr>
              <w:jc w:val="center"/>
              <w:rPr>
                <w:sz w:val="20"/>
                <w:szCs w:val="20"/>
              </w:rPr>
            </w:pPr>
          </w:p>
        </w:tc>
      </w:tr>
      <w:tr w:rsidR="00CC318B" w:rsidRPr="00825345" w14:paraId="7D82A2BA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1CC1" w14:textId="77777777" w:rsidR="00CC318B" w:rsidRPr="00342C9C" w:rsidRDefault="00CC318B" w:rsidP="00CC318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2.1.2. Satiksmes ministrijas budžeta 31.06.00 apakšprogramma “Dotācija zaudējumu segšanai sabiedriskā transporta pakalpojumu sniedzējiem”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B4A" w14:textId="77777777" w:rsidR="00CC318B" w:rsidRPr="00C56354" w:rsidRDefault="00CC318B" w:rsidP="00342C9C">
            <w:pPr>
              <w:jc w:val="center"/>
              <w:rPr>
                <w:sz w:val="20"/>
                <w:szCs w:val="20"/>
              </w:rPr>
            </w:pPr>
            <w:r w:rsidRPr="00C56354">
              <w:rPr>
                <w:sz w:val="20"/>
                <w:szCs w:val="20"/>
              </w:rPr>
              <w:t>37 954 220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B20C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2 755 290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455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B8F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31C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73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0E7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</w:tr>
      <w:tr w:rsidR="003A2445" w:rsidRPr="00825345" w14:paraId="5382B378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C098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6F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B20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E2B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25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D089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E072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7CF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34DECB9C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515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2.3. pašvaldību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157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A90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547A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B6B7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87FC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B1F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9F1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BD0191" w14:paraId="4641FB45" w14:textId="77777777" w:rsidTr="00342C9C">
        <w:trPr>
          <w:trHeight w:val="2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F77C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3. Finansiālā ietekme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C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00A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FDA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00B0" w14:textId="77777777" w:rsidR="00CC318B" w:rsidRPr="00342C9C" w:rsidRDefault="00CC318B" w:rsidP="00342C9C">
            <w:pPr>
              <w:pStyle w:val="ListParagraph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18C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91D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D53A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</w:tr>
      <w:tr w:rsidR="003A2445" w:rsidRPr="00825345" w14:paraId="40501B37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60CD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9768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18D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DD4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F5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E21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967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445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</w:tr>
      <w:tr w:rsidR="003A2445" w:rsidRPr="00825345" w14:paraId="2B3FAB1C" w14:textId="77777777" w:rsidTr="00342C9C">
        <w:trPr>
          <w:trHeight w:val="32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D882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D0A9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D0A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F6F8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8EA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F24A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D540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E65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1B23119E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2A69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3.3. pašvaldību budžets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E4CD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3A1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E909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FD3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5BFA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667A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3C4D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199D49A7" w14:textId="77777777" w:rsidTr="00342C9C">
        <w:trPr>
          <w:trHeight w:val="84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A45B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F540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68F2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FDC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54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550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1174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95B7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298D6E91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39AD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5. Precizēta finansiālā ietekme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698E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  <w:p w14:paraId="35823FE8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  <w:p w14:paraId="60DA808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  <w:p w14:paraId="398154F8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217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79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  <w:p w14:paraId="0304770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  <w:p w14:paraId="5D582B7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D30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059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  <w:p w14:paraId="19BA6AD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  <w:p w14:paraId="1FA16172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  <w:p w14:paraId="0D2413C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9593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06A9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3E6793A1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7D1B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32C7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B815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FBE2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E969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58F4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737D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5CFF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42E6AB5A" w14:textId="77777777" w:rsidTr="00342C9C">
        <w:trPr>
          <w:trHeight w:val="2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5E08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2AE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C8A4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F951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8C0B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3FF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A286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C692" w14:textId="77777777" w:rsidR="00CC318B" w:rsidRPr="00342C9C" w:rsidRDefault="00CC318B" w:rsidP="00342C9C">
            <w:pPr>
              <w:jc w:val="center"/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</w:t>
            </w:r>
          </w:p>
        </w:tc>
      </w:tr>
      <w:tr w:rsidR="003A2445" w:rsidRPr="00825345" w14:paraId="58CB64A2" w14:textId="77777777" w:rsidTr="00342C9C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6D25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5.3. pašvaldību budžets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E8ED" w14:textId="77777777" w:rsidR="00CC318B" w:rsidRPr="00342C9C" w:rsidRDefault="00CC318B" w:rsidP="00CC3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A6B1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7892" w14:textId="77777777" w:rsidR="00CC318B" w:rsidRPr="00342C9C" w:rsidRDefault="00CC318B" w:rsidP="00CC3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2938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250" w14:textId="77777777" w:rsidR="00CC318B" w:rsidRPr="00342C9C" w:rsidRDefault="00CC318B" w:rsidP="00CC3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DB0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6C5F" w14:textId="77777777" w:rsidR="00CC318B" w:rsidRPr="00342C9C" w:rsidRDefault="00CC318B" w:rsidP="00CC318B">
            <w:pPr>
              <w:rPr>
                <w:sz w:val="22"/>
                <w:szCs w:val="22"/>
              </w:rPr>
            </w:pPr>
            <w:r w:rsidRPr="00342C9C">
              <w:rPr>
                <w:sz w:val="22"/>
                <w:szCs w:val="22"/>
              </w:rPr>
              <w:t>0 </w:t>
            </w:r>
          </w:p>
        </w:tc>
      </w:tr>
      <w:tr w:rsidR="00CC318B" w:rsidRPr="00825345" w14:paraId="276698D6" w14:textId="77777777" w:rsidTr="00136B5E">
        <w:trPr>
          <w:trHeight w:val="186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8D1" w14:textId="77777777" w:rsidR="00CC318B" w:rsidRPr="004F4C6C" w:rsidRDefault="00CC318B" w:rsidP="00CC318B">
            <w:r w:rsidRPr="004F4C6C">
              <w:lastRenderedPageBreak/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8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94DB" w14:textId="77777777" w:rsidR="00CC318B" w:rsidRPr="004F4C6C" w:rsidRDefault="007F19BC" w:rsidP="004F4C6C">
            <w:pPr>
              <w:jc w:val="both"/>
            </w:pPr>
            <w:r w:rsidRPr="004F4C6C">
              <w:t xml:space="preserve">Jaunās politikas iniciatīvā piešķirtais finansējums 2018.gadam 3 400 000 EUR. Par 2018.gada 1.pusgadu aprēķinātie un kompensētie braukšanas maksas atvieglojumi </w:t>
            </w:r>
            <w:proofErr w:type="spellStart"/>
            <w:r w:rsidRPr="004F4C6C">
              <w:t>daudzbērnu</w:t>
            </w:r>
            <w:proofErr w:type="spellEnd"/>
            <w:r w:rsidRPr="004F4C6C">
              <w:t xml:space="preserve"> ģimeņu locekļiem 132 602 EUR (t. sk. PVN). Ar plānotiem normatīvo aktu grozījumiem no 2018.gada 1.septembra </w:t>
            </w:r>
            <w:proofErr w:type="spellStart"/>
            <w:r w:rsidRPr="004F4C6C">
              <w:t>daudzbērnu</w:t>
            </w:r>
            <w:proofErr w:type="spellEnd"/>
            <w:r w:rsidRPr="004F4C6C">
              <w:t xml:space="preserve"> ģimeņu locekļiem palielinot piemērojamo atlaižu lielumu kopējā finansējuma apguve 2018.gadā lēsta 644 710 EUR. Neapgūtais finansējums 2 755 290 </w:t>
            </w:r>
            <w:proofErr w:type="spellStart"/>
            <w:r w:rsidRPr="004F4C6C">
              <w:rPr>
                <w:i/>
              </w:rPr>
              <w:t>euro</w:t>
            </w:r>
            <w:proofErr w:type="spellEnd"/>
            <w:r w:rsidRPr="004F4C6C">
              <w:t>.</w:t>
            </w:r>
          </w:p>
        </w:tc>
      </w:tr>
      <w:tr w:rsidR="00CC318B" w:rsidRPr="00825345" w14:paraId="5B2058B9" w14:textId="77777777" w:rsidTr="007F19BC">
        <w:trPr>
          <w:trHeight w:val="106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0636" w14:textId="77777777" w:rsidR="00CC318B" w:rsidRPr="004F4C6C" w:rsidRDefault="00CC318B" w:rsidP="003A3E84">
            <w:r w:rsidRPr="004F4C6C">
              <w:t>6.1. detalizēts ieņēmumu aprēķins</w:t>
            </w:r>
          </w:p>
        </w:tc>
        <w:tc>
          <w:tcPr>
            <w:tcW w:w="78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F7F" w14:textId="77777777" w:rsidR="00CC318B" w:rsidRPr="004F4C6C" w:rsidRDefault="00CC318B" w:rsidP="00CC318B"/>
        </w:tc>
      </w:tr>
      <w:tr w:rsidR="00CC318B" w:rsidRPr="00825345" w14:paraId="4727DEA0" w14:textId="77777777" w:rsidTr="00136B5E">
        <w:trPr>
          <w:trHeight w:val="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8608" w14:textId="77777777" w:rsidR="00CC318B" w:rsidRPr="004F4C6C" w:rsidRDefault="00CC318B" w:rsidP="00CC318B">
            <w:r w:rsidRPr="004F4C6C">
              <w:t>6.2. detalizēts izdevumu aprēķins</w:t>
            </w:r>
          </w:p>
        </w:tc>
        <w:tc>
          <w:tcPr>
            <w:tcW w:w="78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5B3" w14:textId="77777777" w:rsidR="00CC318B" w:rsidRPr="004F4C6C" w:rsidRDefault="00CC318B" w:rsidP="00CC318B"/>
        </w:tc>
      </w:tr>
      <w:tr w:rsidR="00CC318B" w:rsidRPr="00825345" w14:paraId="7D66F8D0" w14:textId="77777777" w:rsidTr="00136B5E">
        <w:trPr>
          <w:trHeight w:val="5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C40" w14:textId="77777777" w:rsidR="00CC318B" w:rsidRPr="004F4C6C" w:rsidRDefault="00CC318B" w:rsidP="00CC318B">
            <w:r w:rsidRPr="004F4C6C">
              <w:t>7. Amata vietu skaita izmaiņas</w:t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C211" w14:textId="77777777" w:rsidR="00CC318B" w:rsidRPr="004F4C6C" w:rsidRDefault="00CC318B" w:rsidP="00CC318B">
            <w:r w:rsidRPr="004F4C6C">
              <w:t>Nav attiecināms.</w:t>
            </w:r>
          </w:p>
        </w:tc>
      </w:tr>
      <w:tr w:rsidR="002C3A38" w:rsidRPr="00825345" w14:paraId="3F2D4EBD" w14:textId="77777777" w:rsidTr="00136B5E">
        <w:trPr>
          <w:trHeight w:val="7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4051" w14:textId="77777777" w:rsidR="002C3A38" w:rsidRPr="004F4C6C" w:rsidRDefault="002C3A38" w:rsidP="002C3A38">
            <w:r w:rsidRPr="004F4C6C">
              <w:t>8. Cita informācija</w:t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DE7" w14:textId="77777777" w:rsidR="002C3A38" w:rsidRPr="004F4C6C" w:rsidRDefault="002C3A38" w:rsidP="0043220E">
            <w:pPr>
              <w:jc w:val="both"/>
            </w:pPr>
            <w:r w:rsidRPr="004F4C6C">
              <w:rPr>
                <w:rFonts w:eastAsia="Calibri"/>
              </w:rPr>
              <w:t xml:space="preserve">Projektam nav negatīvas ietekmes uz kopējo valsts budžeta bilanci, jo līdzekļi </w:t>
            </w:r>
            <w:r w:rsidR="0043220E" w:rsidRPr="004F4C6C">
              <w:rPr>
                <w:rFonts w:eastAsia="Calibri"/>
              </w:rPr>
              <w:t xml:space="preserve">           </w:t>
            </w:r>
            <w:r w:rsidRPr="004F4C6C">
              <w:rPr>
                <w:rFonts w:eastAsia="Calibri"/>
              </w:rPr>
              <w:t>2 755 290</w:t>
            </w:r>
            <w:r w:rsidRPr="004F4C6C">
              <w:t xml:space="preserve"> </w:t>
            </w:r>
            <w:proofErr w:type="spellStart"/>
            <w:r w:rsidRPr="004F4C6C">
              <w:rPr>
                <w:i/>
              </w:rPr>
              <w:t>euro</w:t>
            </w:r>
            <w:proofErr w:type="spellEnd"/>
            <w:r w:rsidRPr="004F4C6C">
              <w:rPr>
                <w:i/>
              </w:rPr>
              <w:t xml:space="preserve"> </w:t>
            </w:r>
            <w:r w:rsidRPr="004F4C6C">
              <w:t xml:space="preserve">apmērā Satiksmes ministrijas </w:t>
            </w:r>
            <w:r w:rsidR="0043220E" w:rsidRPr="004F4C6C">
              <w:t xml:space="preserve">valsts </w:t>
            </w:r>
            <w:r w:rsidRPr="004F4C6C">
              <w:t xml:space="preserve">budžeta apakšprogrammai 31.06.00 “Dotācija zaudējumu segšanai sabiedriskā transporta pakalpojumu sniedzējiem” tiks pārdalīti no Satiksmes ministrijas </w:t>
            </w:r>
            <w:r w:rsidR="0043220E" w:rsidRPr="004F4C6C">
              <w:t xml:space="preserve">valsts </w:t>
            </w:r>
            <w:r w:rsidRPr="004F4C6C">
              <w:t xml:space="preserve">budžeta 31.07.00 apakšprogrammas “Dotācija sabiedriskā transporta pakalpojumu sniedzējiem ar braukšanas maksas atvieglojumiem saistīto zaudējumu segšanai”, lai nodrošinātu sabiedriskā transporta  nepārtrauktību un segtu </w:t>
            </w:r>
            <w:r w:rsidRPr="004F4C6C">
              <w:rPr>
                <w:rFonts w:eastAsia="Calibri"/>
              </w:rPr>
              <w:t>zaudējumus sabiedriskā transporta pakalpojumu sniedzējiem.</w:t>
            </w:r>
          </w:p>
        </w:tc>
      </w:tr>
    </w:tbl>
    <w:p w14:paraId="48328EDD" w14:textId="77777777" w:rsidR="00457EEB" w:rsidRPr="00825345" w:rsidRDefault="00B03D89" w:rsidP="00457EEB">
      <w:pPr>
        <w:shd w:val="clear" w:color="auto" w:fill="FFFFFF"/>
        <w:ind w:firstLine="300"/>
        <w:rPr>
          <w:sz w:val="22"/>
          <w:szCs w:val="22"/>
        </w:rPr>
      </w:pPr>
      <w:r w:rsidRPr="00825345">
        <w:rPr>
          <w:sz w:val="22"/>
          <w:szCs w:val="22"/>
        </w:rPr>
        <w:t> </w:t>
      </w:r>
    </w:p>
    <w:tbl>
      <w:tblPr>
        <w:tblW w:w="532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7"/>
      </w:tblGrid>
      <w:tr w:rsidR="00457EEB" w:rsidRPr="00825345" w14:paraId="40B7C355" w14:textId="77777777" w:rsidTr="00EB57CA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9F84D5" w14:textId="77777777" w:rsidR="00457EEB" w:rsidRPr="00825345" w:rsidRDefault="00457EEB" w:rsidP="00136B5E">
            <w:pPr>
              <w:jc w:val="center"/>
              <w:rPr>
                <w:b/>
                <w:bCs/>
              </w:rPr>
            </w:pPr>
            <w:r w:rsidRPr="00825345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57EEB" w:rsidRPr="00825345" w14:paraId="39BD2915" w14:textId="77777777" w:rsidTr="00EB57CA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CD798E" w14:textId="77777777" w:rsidR="00457EEB" w:rsidRPr="006531D9" w:rsidRDefault="00457EEB" w:rsidP="00136B5E">
            <w:pPr>
              <w:jc w:val="center"/>
              <w:rPr>
                <w:bCs/>
              </w:rPr>
            </w:pPr>
            <w:r w:rsidRPr="006531D9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14:paraId="28DDE512" w14:textId="77777777" w:rsidR="00457EEB" w:rsidRPr="00825345" w:rsidRDefault="00457EEB" w:rsidP="00457EEB">
      <w:pPr>
        <w:shd w:val="clear" w:color="auto" w:fill="FFFFFF"/>
        <w:ind w:firstLine="300"/>
      </w:pPr>
      <w:r w:rsidRPr="00825345">
        <w:rPr>
          <w:rFonts w:ascii="Arial" w:hAnsi="Arial" w:cs="Arial"/>
        </w:rPr>
        <w:t> </w:t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457EEB" w:rsidRPr="00825345" w14:paraId="7D74D637" w14:textId="77777777" w:rsidTr="00136B5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A9A03B" w14:textId="77777777" w:rsidR="00457EEB" w:rsidRPr="00825345" w:rsidRDefault="00457EEB" w:rsidP="00136B5E">
            <w:pPr>
              <w:jc w:val="center"/>
              <w:rPr>
                <w:b/>
                <w:bCs/>
              </w:rPr>
            </w:pPr>
            <w:r w:rsidRPr="00825345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57EEB" w:rsidRPr="00825345" w14:paraId="046ED79F" w14:textId="77777777" w:rsidTr="00136B5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4AF392" w14:textId="77777777" w:rsidR="00457EEB" w:rsidRPr="006531D9" w:rsidRDefault="00457EEB" w:rsidP="00136B5E">
            <w:pPr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2B52AF5A" w14:textId="77777777" w:rsidR="00457EEB" w:rsidRPr="00825345" w:rsidRDefault="00457EEB" w:rsidP="00457EEB">
      <w:pPr>
        <w:shd w:val="clear" w:color="auto" w:fill="FFFFFF"/>
        <w:ind w:firstLine="300"/>
      </w:pPr>
      <w:r w:rsidRPr="00825345">
        <w:rPr>
          <w:rFonts w:ascii="Arial" w:hAnsi="Arial" w:cs="Arial"/>
        </w:rPr>
        <w:t> </w:t>
      </w:r>
    </w:p>
    <w:tbl>
      <w:tblPr>
        <w:tblW w:w="532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457EEB" w:rsidRPr="00825345" w14:paraId="7A225AA2" w14:textId="77777777" w:rsidTr="00136B5E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DD934" w14:textId="77777777" w:rsidR="00457EEB" w:rsidRPr="00825345" w:rsidRDefault="00457EEB" w:rsidP="00136B5E">
            <w:pPr>
              <w:jc w:val="center"/>
              <w:rPr>
                <w:b/>
                <w:bCs/>
              </w:rPr>
            </w:pPr>
            <w:r w:rsidRPr="00825345">
              <w:rPr>
                <w:b/>
                <w:bCs/>
              </w:rPr>
              <w:t>VI. Sabiedrības līdzdalība un komunikācijas aktivitātes</w:t>
            </w:r>
          </w:p>
        </w:tc>
      </w:tr>
      <w:tr w:rsidR="00457EEB" w:rsidRPr="00825345" w14:paraId="64248725" w14:textId="77777777" w:rsidTr="00457EEB">
        <w:trPr>
          <w:trHeight w:val="26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BE247" w14:textId="77777777" w:rsidR="00457EEB" w:rsidRPr="005331FE" w:rsidRDefault="00457EEB" w:rsidP="00457EEB">
            <w:pPr>
              <w:jc w:val="center"/>
            </w:pPr>
            <w:r>
              <w:rPr>
                <w:bCs/>
              </w:rPr>
              <w:t>Projekts šo jomu neskar.</w:t>
            </w:r>
          </w:p>
        </w:tc>
      </w:tr>
    </w:tbl>
    <w:p w14:paraId="68618FF9" w14:textId="77777777" w:rsidR="00457EEB" w:rsidRPr="00825345" w:rsidRDefault="00457EEB" w:rsidP="00457EEB">
      <w:pPr>
        <w:shd w:val="clear" w:color="auto" w:fill="FFFFFF"/>
        <w:ind w:firstLine="300"/>
      </w:pPr>
      <w:r w:rsidRPr="00825345">
        <w:rPr>
          <w:rFonts w:ascii="Arial" w:hAnsi="Arial" w:cs="Arial"/>
        </w:rPr>
        <w:t> </w:t>
      </w:r>
    </w:p>
    <w:tbl>
      <w:tblPr>
        <w:tblW w:w="524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2604"/>
        <w:gridCol w:w="6379"/>
      </w:tblGrid>
      <w:tr w:rsidR="00457EEB" w:rsidRPr="00825345" w14:paraId="1E4BD528" w14:textId="77777777" w:rsidTr="00136B5E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D3521" w14:textId="77777777" w:rsidR="00457EEB" w:rsidRPr="00825345" w:rsidRDefault="00457EEB" w:rsidP="00136B5E">
            <w:pPr>
              <w:jc w:val="center"/>
              <w:rPr>
                <w:b/>
                <w:bCs/>
              </w:rPr>
            </w:pPr>
            <w:r w:rsidRPr="0082534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57EEB" w:rsidRPr="00825345" w14:paraId="5BB3FD0B" w14:textId="77777777" w:rsidTr="00136B5E">
        <w:trPr>
          <w:trHeight w:val="420"/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D32C7" w14:textId="77777777" w:rsidR="00457EEB" w:rsidRPr="00825345" w:rsidRDefault="00457EEB" w:rsidP="00457EEB">
            <w:r w:rsidRPr="00825345">
              <w:t>1.</w:t>
            </w:r>
          </w:p>
        </w:tc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1E591" w14:textId="77777777" w:rsidR="00457EEB" w:rsidRPr="00825345" w:rsidRDefault="00457EEB" w:rsidP="00457EEB">
            <w:r w:rsidRPr="00825345">
              <w:t>Projekta izpildē iesaistītās institūcijas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0CD62" w14:textId="77777777" w:rsidR="00457EEB" w:rsidRPr="00FD7BBD" w:rsidRDefault="00457EEB" w:rsidP="00A47BC9">
            <w:pPr>
              <w:shd w:val="clear" w:color="auto" w:fill="FFFFFF"/>
              <w:jc w:val="both"/>
            </w:pPr>
            <w:r w:rsidRPr="00FD7BBD">
              <w:t>Rīkojuma izpildi nodrošinās Satiksmes ministrija, Finanšu ministrija un VSIA „Autotransporta direkcija”.</w:t>
            </w:r>
          </w:p>
        </w:tc>
      </w:tr>
      <w:tr w:rsidR="00457EEB" w:rsidRPr="00825345" w14:paraId="71D8625A" w14:textId="77777777" w:rsidTr="00136B5E">
        <w:trPr>
          <w:trHeight w:val="450"/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FF8409" w14:textId="77777777" w:rsidR="00457EEB" w:rsidRPr="00825345" w:rsidRDefault="00457EEB" w:rsidP="00457EEB">
            <w:r w:rsidRPr="00825345">
              <w:t>2.</w:t>
            </w:r>
          </w:p>
        </w:tc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91C78" w14:textId="77777777" w:rsidR="00457EEB" w:rsidRPr="00825345" w:rsidRDefault="00457EEB" w:rsidP="00457EEB">
            <w:r w:rsidRPr="00825345">
              <w:t>Projekta izpildes ietekme uz pārvaldes funkcijām un institucionālo struktūru.</w:t>
            </w:r>
          </w:p>
          <w:p w14:paraId="24460136" w14:textId="77777777" w:rsidR="00457EEB" w:rsidRPr="00825345" w:rsidRDefault="00457EEB" w:rsidP="00457EEB">
            <w:r w:rsidRPr="00825345">
              <w:t xml:space="preserve">Jaunu institūciju izveide, esošu institūciju likvidācija vai </w:t>
            </w:r>
            <w:r w:rsidRPr="00825345">
              <w:lastRenderedPageBreak/>
              <w:t>reorganizācija, to ietekme uz institūcijas cilvēkresursiem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93163" w14:textId="77777777" w:rsidR="00457EEB" w:rsidRPr="00FD7BBD" w:rsidRDefault="00970653" w:rsidP="00A47BC9">
            <w:pPr>
              <w:shd w:val="clear" w:color="auto" w:fill="FFFFFF"/>
              <w:jc w:val="both"/>
            </w:pPr>
            <w:r w:rsidRPr="00013847">
              <w:rPr>
                <w:color w:val="000000" w:themeColor="text1"/>
              </w:rPr>
              <w:lastRenderedPageBreak/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457EEB" w:rsidRPr="00825345" w14:paraId="47868583" w14:textId="77777777" w:rsidTr="00136B5E">
        <w:trPr>
          <w:trHeight w:val="390"/>
          <w:jc w:val="center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20A2A" w14:textId="77777777" w:rsidR="00457EEB" w:rsidRPr="00825345" w:rsidRDefault="00457EEB" w:rsidP="00136B5E">
            <w:r w:rsidRPr="00825345">
              <w:t>3.</w:t>
            </w:r>
          </w:p>
        </w:tc>
        <w:tc>
          <w:tcPr>
            <w:tcW w:w="13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C9D4A" w14:textId="77777777" w:rsidR="00457EEB" w:rsidRPr="00825345" w:rsidRDefault="00457EEB" w:rsidP="00136B5E">
            <w:r w:rsidRPr="00825345"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AE3EB" w14:textId="77777777" w:rsidR="00457EEB" w:rsidRPr="00825345" w:rsidRDefault="00457EEB" w:rsidP="00136B5E">
            <w:r>
              <w:t>Nav.</w:t>
            </w:r>
          </w:p>
        </w:tc>
      </w:tr>
    </w:tbl>
    <w:p w14:paraId="0EBCD5F3" w14:textId="77777777" w:rsidR="00457EEB" w:rsidRDefault="00457EEB" w:rsidP="00457EEB"/>
    <w:p w14:paraId="7D687934" w14:textId="77777777" w:rsidR="00457EEB" w:rsidRDefault="00457EEB" w:rsidP="00457EEB"/>
    <w:p w14:paraId="2BFECD5B" w14:textId="77777777" w:rsidR="0042020F" w:rsidRDefault="0042020F" w:rsidP="00457EEB"/>
    <w:p w14:paraId="6918F37F" w14:textId="77777777" w:rsidR="00457EEB" w:rsidRDefault="00457EEB" w:rsidP="00457EEB">
      <w:r w:rsidRPr="006531D9">
        <w:t>Satiksmes ministr</w:t>
      </w:r>
      <w:r>
        <w:t>s</w:t>
      </w:r>
      <w:r>
        <w:tab/>
      </w:r>
      <w:r>
        <w:tab/>
      </w:r>
      <w:r>
        <w:tab/>
      </w:r>
      <w:r w:rsidR="0042020F">
        <w:t xml:space="preserve">             </w:t>
      </w:r>
      <w:r>
        <w:tab/>
      </w:r>
      <w:r>
        <w:tab/>
      </w:r>
      <w:r>
        <w:tab/>
      </w:r>
      <w:r>
        <w:tab/>
      </w:r>
      <w:proofErr w:type="spellStart"/>
      <w:r>
        <w:t>U.Augulis</w:t>
      </w:r>
      <w:proofErr w:type="spellEnd"/>
    </w:p>
    <w:p w14:paraId="7D424E5D" w14:textId="77777777" w:rsidR="00457EEB" w:rsidRPr="006531D9" w:rsidRDefault="00457EEB" w:rsidP="00457EEB"/>
    <w:p w14:paraId="73C52FF5" w14:textId="77777777" w:rsidR="00457EEB" w:rsidRPr="006531D9" w:rsidRDefault="00457EEB" w:rsidP="00457EEB"/>
    <w:p w14:paraId="72714106" w14:textId="77777777" w:rsidR="00A47BC9" w:rsidRDefault="00457EEB" w:rsidP="00C94D58">
      <w:r w:rsidRPr="006531D9">
        <w:t xml:space="preserve">Vīza: </w:t>
      </w:r>
    </w:p>
    <w:p w14:paraId="6ECDB2AD" w14:textId="129ED029" w:rsidR="00457EEB" w:rsidRDefault="00C94D58" w:rsidP="00C94D58">
      <w:r w:rsidRPr="00C94D58">
        <w:t xml:space="preserve">Valsts sekretārs    </w:t>
      </w:r>
      <w:r>
        <w:t xml:space="preserve">                                   </w:t>
      </w:r>
      <w:r w:rsidRPr="00C94D58">
        <w:t xml:space="preserve">   </w:t>
      </w:r>
      <w:r w:rsidRPr="00C94D58">
        <w:tab/>
      </w:r>
      <w:r w:rsidR="00A47BC9">
        <w:tab/>
      </w:r>
      <w:bookmarkStart w:id="1" w:name="_GoBack"/>
      <w:bookmarkEnd w:id="1"/>
      <w:r w:rsidRPr="00C94D58">
        <w:tab/>
      </w:r>
      <w:r w:rsidRPr="00C94D58">
        <w:tab/>
      </w:r>
      <w:r w:rsidRPr="00C94D58">
        <w:tab/>
        <w:t>K. Ozoliņš</w:t>
      </w:r>
      <w:r w:rsidRPr="00C94D58">
        <w:tab/>
      </w:r>
    </w:p>
    <w:p w14:paraId="644C8D9B" w14:textId="77777777" w:rsidR="00C94D58" w:rsidRDefault="00C94D58" w:rsidP="00C94D58"/>
    <w:p w14:paraId="67E16FC3" w14:textId="77777777" w:rsidR="0042020F" w:rsidRPr="006531D9" w:rsidRDefault="0042020F" w:rsidP="00457EEB">
      <w:pPr>
        <w:tabs>
          <w:tab w:val="center" w:pos="4153"/>
          <w:tab w:val="right" w:pos="8306"/>
        </w:tabs>
      </w:pPr>
    </w:p>
    <w:p w14:paraId="4E8980BA" w14:textId="77777777" w:rsidR="00457EEB" w:rsidRDefault="00457EEB" w:rsidP="00457EE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Marinska</w:t>
      </w:r>
      <w:r w:rsidRPr="006531D9">
        <w:rPr>
          <w:sz w:val="20"/>
          <w:szCs w:val="20"/>
          <w:lang w:val="de-DE"/>
        </w:rPr>
        <w:t xml:space="preserve"> 670280</w:t>
      </w:r>
      <w:r>
        <w:rPr>
          <w:sz w:val="20"/>
          <w:szCs w:val="20"/>
          <w:lang w:val="de-DE"/>
        </w:rPr>
        <w:t>66</w:t>
      </w:r>
    </w:p>
    <w:p w14:paraId="4A788677" w14:textId="77777777" w:rsidR="00A47BC9" w:rsidRDefault="00A47BC9" w:rsidP="00A47BC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Karina.Marinska@sam.gov.lv</w:t>
      </w:r>
    </w:p>
    <w:p w14:paraId="6BA4692A" w14:textId="77777777" w:rsidR="00A47BC9" w:rsidRDefault="00A47BC9" w:rsidP="00457EEB">
      <w:pPr>
        <w:rPr>
          <w:sz w:val="20"/>
          <w:szCs w:val="20"/>
          <w:lang w:val="de-DE"/>
        </w:rPr>
      </w:pPr>
    </w:p>
    <w:p w14:paraId="36260274" w14:textId="48DDBBD3" w:rsidR="00A47BC9" w:rsidRDefault="00A47BC9" w:rsidP="00457EE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Ziemele-Adricka 67028036</w:t>
      </w:r>
    </w:p>
    <w:p w14:paraId="7D7B749A" w14:textId="7C43DEA7" w:rsidR="00A47BC9" w:rsidRDefault="00A47BC9" w:rsidP="00457EE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Dana.Ziemele-Adricka@sam.gov.lv</w:t>
      </w:r>
    </w:p>
    <w:p w14:paraId="0D2D0A76" w14:textId="77777777" w:rsidR="00A47BC9" w:rsidRDefault="00A47BC9">
      <w:pPr>
        <w:rPr>
          <w:sz w:val="20"/>
          <w:szCs w:val="20"/>
          <w:lang w:val="de-DE"/>
        </w:rPr>
      </w:pPr>
    </w:p>
    <w:sectPr w:rsidR="00A47BC9" w:rsidSect="001340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4E00" w14:textId="77777777" w:rsidR="00A35E20" w:rsidRDefault="00A35E20" w:rsidP="006F1576">
      <w:r>
        <w:separator/>
      </w:r>
    </w:p>
  </w:endnote>
  <w:endnote w:type="continuationSeparator" w:id="0">
    <w:p w14:paraId="06BC93E0" w14:textId="77777777" w:rsidR="00A35E20" w:rsidRDefault="00A35E20" w:rsidP="006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1622" w14:textId="7C16D2B8" w:rsidR="000F6623" w:rsidRPr="00C31C07" w:rsidRDefault="000F6623" w:rsidP="000F6623">
    <w:pPr>
      <w:pStyle w:val="Footer"/>
      <w:jc w:val="both"/>
      <w:rPr>
        <w:bCs/>
        <w:noProof/>
        <w:sz w:val="20"/>
        <w:szCs w:val="20"/>
      </w:rPr>
    </w:pPr>
    <w:r>
      <w:rPr>
        <w:sz w:val="20"/>
        <w:szCs w:val="20"/>
      </w:rPr>
      <w:t>S</w:t>
    </w:r>
    <w:r w:rsidRPr="00C31C07">
      <w:rPr>
        <w:sz w:val="20"/>
        <w:szCs w:val="20"/>
      </w:rPr>
      <w:t>M</w:t>
    </w:r>
    <w:r>
      <w:rPr>
        <w:sz w:val="20"/>
        <w:szCs w:val="20"/>
      </w:rPr>
      <w:t>A</w:t>
    </w:r>
    <w:r w:rsidRPr="00C31C07">
      <w:rPr>
        <w:sz w:val="20"/>
        <w:szCs w:val="20"/>
      </w:rPr>
      <w:t>not_</w:t>
    </w:r>
    <w:r w:rsidR="00EB57CA">
      <w:rPr>
        <w:sz w:val="20"/>
        <w:szCs w:val="20"/>
      </w:rPr>
      <w:t>2</w:t>
    </w:r>
    <w:r w:rsidR="00A47BC9">
      <w:rPr>
        <w:sz w:val="20"/>
        <w:szCs w:val="20"/>
      </w:rPr>
      <w:t>8</w:t>
    </w:r>
    <w:r>
      <w:rPr>
        <w:sz w:val="20"/>
        <w:szCs w:val="20"/>
      </w:rPr>
      <w:t>0818_</w:t>
    </w:r>
    <w:r w:rsidR="00A47BC9">
      <w:rPr>
        <w:sz w:val="20"/>
        <w:szCs w:val="20"/>
      </w:rPr>
      <w:t>sabtr</w:t>
    </w:r>
  </w:p>
  <w:p w14:paraId="09EEE268" w14:textId="77777777" w:rsidR="007B5BE4" w:rsidRPr="007964F9" w:rsidRDefault="00631539" w:rsidP="007B5BE4">
    <w:pPr>
      <w:pStyle w:val="Footer"/>
      <w:jc w:val="both"/>
      <w:rPr>
        <w:bCs/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3476" w14:textId="2DB0EFF7" w:rsidR="00BA67E4" w:rsidRPr="00C31C07" w:rsidRDefault="000F6623" w:rsidP="006F1576">
    <w:pPr>
      <w:pStyle w:val="Footer"/>
      <w:jc w:val="both"/>
      <w:rPr>
        <w:bCs/>
        <w:noProof/>
        <w:sz w:val="20"/>
        <w:szCs w:val="20"/>
      </w:rPr>
    </w:pPr>
    <w:r>
      <w:rPr>
        <w:sz w:val="20"/>
        <w:szCs w:val="20"/>
      </w:rPr>
      <w:t>S</w:t>
    </w:r>
    <w:r w:rsidR="00510C78" w:rsidRPr="00C31C07">
      <w:rPr>
        <w:sz w:val="20"/>
        <w:szCs w:val="20"/>
      </w:rPr>
      <w:t>M</w:t>
    </w:r>
    <w:r>
      <w:rPr>
        <w:sz w:val="20"/>
        <w:szCs w:val="20"/>
      </w:rPr>
      <w:t>A</w:t>
    </w:r>
    <w:r w:rsidR="00510C78" w:rsidRPr="00C31C07">
      <w:rPr>
        <w:sz w:val="20"/>
        <w:szCs w:val="20"/>
      </w:rPr>
      <w:t>not_</w:t>
    </w:r>
    <w:r w:rsidR="00EB57CA">
      <w:rPr>
        <w:sz w:val="20"/>
        <w:szCs w:val="20"/>
      </w:rPr>
      <w:t>2</w:t>
    </w:r>
    <w:r w:rsidR="00A47BC9">
      <w:rPr>
        <w:sz w:val="20"/>
        <w:szCs w:val="20"/>
      </w:rPr>
      <w:t>8</w:t>
    </w:r>
    <w:r w:rsidR="006F1576">
      <w:rPr>
        <w:sz w:val="20"/>
        <w:szCs w:val="20"/>
      </w:rPr>
      <w:t>0818_</w:t>
    </w:r>
    <w:r w:rsidR="0067721D">
      <w:rPr>
        <w:sz w:val="20"/>
        <w:szCs w:val="20"/>
      </w:rPr>
      <w:t>sabtr</w:t>
    </w:r>
  </w:p>
  <w:p w14:paraId="19078F40" w14:textId="77777777" w:rsidR="000E1619" w:rsidRPr="007964F9" w:rsidRDefault="00631539" w:rsidP="005B2BB4">
    <w:pPr>
      <w:pStyle w:val="Footer"/>
      <w:jc w:val="both"/>
      <w:rPr>
        <w:bCs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2B05" w14:textId="77777777" w:rsidR="00A35E20" w:rsidRDefault="00A35E20" w:rsidP="006F1576">
      <w:r>
        <w:separator/>
      </w:r>
    </w:p>
  </w:footnote>
  <w:footnote w:type="continuationSeparator" w:id="0">
    <w:p w14:paraId="3BF907F6" w14:textId="77777777" w:rsidR="00A35E20" w:rsidRDefault="00A35E20" w:rsidP="006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AC6D" w14:textId="77777777" w:rsidR="000E1619" w:rsidRDefault="00510C78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57B08" w14:textId="77777777" w:rsidR="000E1619" w:rsidRDefault="00631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A272" w14:textId="77777777" w:rsidR="000E1619" w:rsidRDefault="00510C78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F7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A6B1CD" w14:textId="77777777" w:rsidR="000E1619" w:rsidRDefault="00631539" w:rsidP="001E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9B3"/>
    <w:multiLevelType w:val="hybridMultilevel"/>
    <w:tmpl w:val="B776B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EAB"/>
    <w:multiLevelType w:val="hybridMultilevel"/>
    <w:tmpl w:val="11A43068"/>
    <w:lvl w:ilvl="0" w:tplc="9318676C">
      <w:start w:val="4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0D2D"/>
    <w:multiLevelType w:val="hybridMultilevel"/>
    <w:tmpl w:val="6F36E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0697"/>
    <w:multiLevelType w:val="hybridMultilevel"/>
    <w:tmpl w:val="CCC2AA54"/>
    <w:lvl w:ilvl="0" w:tplc="C64E297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F2"/>
    <w:rsid w:val="00033BA3"/>
    <w:rsid w:val="000C43D9"/>
    <w:rsid w:val="000F6623"/>
    <w:rsid w:val="00153DF2"/>
    <w:rsid w:val="0019785E"/>
    <w:rsid w:val="00255C0C"/>
    <w:rsid w:val="002C3A38"/>
    <w:rsid w:val="00331EC6"/>
    <w:rsid w:val="00342C9C"/>
    <w:rsid w:val="003A2445"/>
    <w:rsid w:val="003A3E84"/>
    <w:rsid w:val="003A7B19"/>
    <w:rsid w:val="003E36F2"/>
    <w:rsid w:val="00404723"/>
    <w:rsid w:val="0042020F"/>
    <w:rsid w:val="0043220E"/>
    <w:rsid w:val="00433E94"/>
    <w:rsid w:val="00457EEB"/>
    <w:rsid w:val="004971BA"/>
    <w:rsid w:val="004B3CFF"/>
    <w:rsid w:val="004E069C"/>
    <w:rsid w:val="004F4C6C"/>
    <w:rsid w:val="00510C78"/>
    <w:rsid w:val="00523F89"/>
    <w:rsid w:val="006107CD"/>
    <w:rsid w:val="00653909"/>
    <w:rsid w:val="00675766"/>
    <w:rsid w:val="0067721D"/>
    <w:rsid w:val="006F1576"/>
    <w:rsid w:val="00732CA7"/>
    <w:rsid w:val="007E5219"/>
    <w:rsid w:val="007F19BC"/>
    <w:rsid w:val="00846FFC"/>
    <w:rsid w:val="008A6A74"/>
    <w:rsid w:val="008E23E1"/>
    <w:rsid w:val="008E2DD4"/>
    <w:rsid w:val="00970653"/>
    <w:rsid w:val="009B5A6B"/>
    <w:rsid w:val="00A35E20"/>
    <w:rsid w:val="00A47BC9"/>
    <w:rsid w:val="00A62EEF"/>
    <w:rsid w:val="00AB55A0"/>
    <w:rsid w:val="00B03D89"/>
    <w:rsid w:val="00B300A7"/>
    <w:rsid w:val="00B7147D"/>
    <w:rsid w:val="00B73ACC"/>
    <w:rsid w:val="00B84015"/>
    <w:rsid w:val="00B86E14"/>
    <w:rsid w:val="00C41BB5"/>
    <w:rsid w:val="00C56354"/>
    <w:rsid w:val="00C9396F"/>
    <w:rsid w:val="00C94D58"/>
    <w:rsid w:val="00CC318B"/>
    <w:rsid w:val="00CC7027"/>
    <w:rsid w:val="00D05FD1"/>
    <w:rsid w:val="00D566BB"/>
    <w:rsid w:val="00D9083F"/>
    <w:rsid w:val="00E33F77"/>
    <w:rsid w:val="00E47AEB"/>
    <w:rsid w:val="00E8104A"/>
    <w:rsid w:val="00EB57CA"/>
    <w:rsid w:val="00EE4C49"/>
    <w:rsid w:val="00F208FA"/>
    <w:rsid w:val="00F37481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4E4B693"/>
  <w15:chartTrackingRefBased/>
  <w15:docId w15:val="{1A8696BC-323F-4227-AC66-98108BC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153D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53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3D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153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3DF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53DF2"/>
    <w:rPr>
      <w:color w:val="0000FF"/>
      <w:u w:val="single"/>
    </w:rPr>
  </w:style>
  <w:style w:type="character" w:styleId="PageNumber">
    <w:name w:val="page number"/>
    <w:basedOn w:val="DefaultParagraphFont"/>
    <w:rsid w:val="00153DF2"/>
  </w:style>
  <w:style w:type="paragraph" w:customStyle="1" w:styleId="naisf">
    <w:name w:val="naisf"/>
    <w:basedOn w:val="Normal"/>
    <w:rsid w:val="00153D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153D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3D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153DF2"/>
    <w:pPr>
      <w:spacing w:before="100" w:beforeAutospacing="1" w:after="100" w:afterAutospacing="1"/>
    </w:pPr>
  </w:style>
  <w:style w:type="character" w:customStyle="1" w:styleId="spelle">
    <w:name w:val="spelle"/>
    <w:rsid w:val="00153DF2"/>
  </w:style>
  <w:style w:type="paragraph" w:styleId="ListParagraph">
    <w:name w:val="List Paragraph"/>
    <w:basedOn w:val="Normal"/>
    <w:link w:val="ListParagraphChar"/>
    <w:uiPriority w:val="34"/>
    <w:qFormat/>
    <w:rsid w:val="00B03D89"/>
    <w:pPr>
      <w:ind w:left="720"/>
      <w:contextualSpacing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03D89"/>
    <w:rPr>
      <w:rFonts w:ascii="Times New Roman" w:eastAsia="Calibri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E36F2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E36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E36F2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E36F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E36F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F2"/>
    <w:rPr>
      <w:rFonts w:ascii="Segoe UI" w:eastAsia="Times New Roman" w:hAnsi="Segoe UI" w:cs="Segoe UI"/>
      <w:sz w:val="18"/>
      <w:szCs w:val="1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4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4914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pamatbudžeta apropriācijas pārdali starp Satiksmes ministrijas apakšprogrammām” sākotnējās ietekmes novērtējuma ziņojums (anotācija)</vt:lpstr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apropriācijas pārdali" sākotnējās ietekmes novērtējuma ziņojums (anotācija)</dc:title>
  <dc:subject/>
  <dc:creator>Kristīne Grīviņa</dc:creator>
  <cp:keywords/>
  <dc:description/>
  <cp:lastModifiedBy>Dana Ziemele Adricka</cp:lastModifiedBy>
  <cp:revision>8</cp:revision>
  <dcterms:created xsi:type="dcterms:W3CDTF">2018-08-10T05:35:00Z</dcterms:created>
  <dcterms:modified xsi:type="dcterms:W3CDTF">2018-08-28T07:17:00Z</dcterms:modified>
</cp:coreProperties>
</file>