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040AA" w14:textId="77777777" w:rsidR="00103C97" w:rsidRPr="00DD2265" w:rsidRDefault="003E0A55" w:rsidP="00150B03">
      <w:pPr>
        <w:ind w:right="-1"/>
        <w:jc w:val="right"/>
        <w:rPr>
          <w:rFonts w:ascii="Times New Roman" w:hAnsi="Times New Roman"/>
          <w:sz w:val="28"/>
          <w:szCs w:val="28"/>
        </w:rPr>
      </w:pPr>
      <w:r w:rsidRPr="00DD2265">
        <w:rPr>
          <w:rFonts w:ascii="Times New Roman" w:hAnsi="Times New Roman"/>
          <w:sz w:val="28"/>
          <w:szCs w:val="28"/>
        </w:rPr>
        <w:t>Projekts</w:t>
      </w:r>
    </w:p>
    <w:p w14:paraId="679D94F2" w14:textId="77777777" w:rsidR="003E0A55" w:rsidRPr="00DD2265" w:rsidRDefault="00051E10" w:rsidP="00051E10">
      <w:pPr>
        <w:ind w:right="-1"/>
        <w:rPr>
          <w:rFonts w:ascii="Times New Roman" w:hAnsi="Times New Roman"/>
          <w:sz w:val="28"/>
          <w:szCs w:val="28"/>
          <w:lang w:val="de-DE"/>
        </w:rPr>
      </w:pPr>
      <w:r w:rsidRPr="00DD2265">
        <w:rPr>
          <w:rFonts w:ascii="Times New Roman" w:hAnsi="Times New Roman"/>
          <w:sz w:val="28"/>
          <w:szCs w:val="28"/>
          <w:lang w:val="de-DE"/>
        </w:rPr>
        <w:t xml:space="preserve">                 </w:t>
      </w:r>
      <w:r w:rsidR="003E0A55" w:rsidRPr="00DD2265">
        <w:rPr>
          <w:rFonts w:ascii="Times New Roman" w:hAnsi="Times New Roman"/>
          <w:sz w:val="28"/>
          <w:szCs w:val="28"/>
          <w:lang w:val="de-DE"/>
        </w:rPr>
        <w:t>L</w:t>
      </w:r>
      <w:r w:rsidRPr="00DD2265">
        <w:rPr>
          <w:rFonts w:ascii="Times New Roman" w:hAnsi="Times New Roman"/>
          <w:sz w:val="28"/>
          <w:szCs w:val="28"/>
          <w:lang w:val="de-DE"/>
        </w:rPr>
        <w:t>ATVIJAS REPUBLIKAS MINISTRU KABINETS</w:t>
      </w:r>
    </w:p>
    <w:p w14:paraId="2367E3EE" w14:textId="77777777" w:rsidR="00D520FD" w:rsidRPr="00DD2265" w:rsidRDefault="00D520FD" w:rsidP="00572D5C">
      <w:pPr>
        <w:spacing w:after="0" w:line="240" w:lineRule="auto"/>
        <w:ind w:right="-1"/>
        <w:jc w:val="center"/>
        <w:rPr>
          <w:rFonts w:ascii="Times New Roman" w:hAnsi="Times New Roman"/>
          <w:sz w:val="28"/>
          <w:szCs w:val="28"/>
          <w:lang w:val="de-DE"/>
        </w:rPr>
      </w:pPr>
    </w:p>
    <w:p w14:paraId="639FD708" w14:textId="77777777" w:rsidR="003E0A55" w:rsidRPr="00DD2265" w:rsidRDefault="003E0A55" w:rsidP="00327888">
      <w:pPr>
        <w:spacing w:after="0" w:line="240" w:lineRule="auto"/>
        <w:ind w:right="-1"/>
        <w:rPr>
          <w:rFonts w:ascii="Times New Roman" w:hAnsi="Times New Roman"/>
          <w:sz w:val="28"/>
          <w:szCs w:val="28"/>
          <w:lang w:val="de-DE"/>
        </w:rPr>
      </w:pPr>
      <w:r w:rsidRPr="00DD2265">
        <w:rPr>
          <w:rFonts w:ascii="Times New Roman" w:hAnsi="Times New Roman"/>
          <w:sz w:val="28"/>
          <w:szCs w:val="28"/>
          <w:lang w:val="de-DE"/>
        </w:rPr>
        <w:t>201</w:t>
      </w:r>
      <w:r w:rsidR="00856506" w:rsidRPr="00DD2265">
        <w:rPr>
          <w:rFonts w:ascii="Times New Roman" w:hAnsi="Times New Roman"/>
          <w:sz w:val="28"/>
          <w:szCs w:val="28"/>
          <w:lang w:val="de-DE"/>
        </w:rPr>
        <w:t>8</w:t>
      </w:r>
      <w:r w:rsidRPr="00DD2265">
        <w:rPr>
          <w:rFonts w:ascii="Times New Roman" w:hAnsi="Times New Roman"/>
          <w:sz w:val="28"/>
          <w:szCs w:val="28"/>
          <w:lang w:val="de-DE"/>
        </w:rPr>
        <w:t>.gada ___._______                                              </w:t>
      </w:r>
      <w:r w:rsidR="00327888" w:rsidRPr="00DD2265">
        <w:rPr>
          <w:rFonts w:ascii="Times New Roman" w:hAnsi="Times New Roman"/>
          <w:sz w:val="28"/>
          <w:szCs w:val="28"/>
          <w:lang w:val="de-DE"/>
        </w:rPr>
        <w:tab/>
      </w:r>
      <w:r w:rsidRPr="00DD2265">
        <w:rPr>
          <w:rFonts w:ascii="Times New Roman" w:hAnsi="Times New Roman"/>
          <w:sz w:val="28"/>
          <w:szCs w:val="28"/>
          <w:lang w:val="de-DE"/>
        </w:rPr>
        <w:t>Noteikumi Nr.__</w:t>
      </w:r>
    </w:p>
    <w:p w14:paraId="0609493E" w14:textId="77777777" w:rsidR="003E0A55" w:rsidRPr="00DD2265" w:rsidRDefault="003E0A55" w:rsidP="00327888">
      <w:pPr>
        <w:spacing w:after="0" w:line="240" w:lineRule="auto"/>
        <w:ind w:right="-1"/>
        <w:rPr>
          <w:rFonts w:ascii="Times New Roman" w:hAnsi="Times New Roman"/>
          <w:sz w:val="28"/>
          <w:szCs w:val="28"/>
        </w:rPr>
      </w:pPr>
      <w:r w:rsidRPr="00DD2265">
        <w:rPr>
          <w:rFonts w:ascii="Times New Roman" w:hAnsi="Times New Roman"/>
          <w:sz w:val="28"/>
          <w:szCs w:val="28"/>
        </w:rPr>
        <w:t xml:space="preserve">Rīgā                                                                               </w:t>
      </w:r>
      <w:r w:rsidR="00327888" w:rsidRPr="00DD2265">
        <w:rPr>
          <w:rFonts w:ascii="Times New Roman" w:hAnsi="Times New Roman"/>
          <w:sz w:val="28"/>
          <w:szCs w:val="28"/>
        </w:rPr>
        <w:tab/>
      </w:r>
      <w:r w:rsidRPr="00DD2265">
        <w:rPr>
          <w:rFonts w:ascii="Times New Roman" w:hAnsi="Times New Roman"/>
          <w:sz w:val="28"/>
          <w:szCs w:val="28"/>
        </w:rPr>
        <w:t>(prot. Nr.__  __.§)</w:t>
      </w:r>
    </w:p>
    <w:p w14:paraId="2D4B8240" w14:textId="77777777" w:rsidR="00D520FD" w:rsidRPr="00DD2265" w:rsidRDefault="00D520FD" w:rsidP="00327888">
      <w:pPr>
        <w:spacing w:after="0" w:line="240" w:lineRule="auto"/>
        <w:ind w:right="-1"/>
        <w:rPr>
          <w:rFonts w:ascii="Times New Roman" w:hAnsi="Times New Roman"/>
          <w:sz w:val="28"/>
          <w:szCs w:val="28"/>
        </w:rPr>
      </w:pPr>
    </w:p>
    <w:p w14:paraId="44D0A9F7" w14:textId="77777777" w:rsidR="00913DFE" w:rsidRPr="00DD2265" w:rsidRDefault="00913DFE" w:rsidP="00327888">
      <w:pPr>
        <w:spacing w:after="0" w:line="240" w:lineRule="auto"/>
        <w:jc w:val="center"/>
        <w:rPr>
          <w:rFonts w:ascii="Times New Roman" w:hAnsi="Times New Roman"/>
          <w:b/>
          <w:sz w:val="28"/>
          <w:szCs w:val="28"/>
        </w:rPr>
      </w:pPr>
    </w:p>
    <w:p w14:paraId="141544F8" w14:textId="77777777" w:rsidR="00103C97" w:rsidRPr="00DD2265" w:rsidRDefault="00103C97" w:rsidP="00327888">
      <w:pPr>
        <w:spacing w:after="0" w:line="240" w:lineRule="auto"/>
        <w:jc w:val="center"/>
        <w:rPr>
          <w:rFonts w:ascii="Times New Roman" w:hAnsi="Times New Roman"/>
          <w:b/>
          <w:sz w:val="28"/>
          <w:szCs w:val="28"/>
        </w:rPr>
      </w:pPr>
    </w:p>
    <w:p w14:paraId="0F03A893" w14:textId="77777777" w:rsidR="00087780" w:rsidRPr="00DD2265" w:rsidRDefault="00087780" w:rsidP="00913DFE">
      <w:pPr>
        <w:spacing w:line="240" w:lineRule="auto"/>
        <w:jc w:val="center"/>
        <w:rPr>
          <w:rFonts w:ascii="Times New Roman" w:hAnsi="Times New Roman"/>
          <w:b/>
          <w:sz w:val="28"/>
          <w:szCs w:val="28"/>
        </w:rPr>
      </w:pPr>
      <w:r w:rsidRPr="00DD2265">
        <w:rPr>
          <w:rFonts w:ascii="Times New Roman" w:hAnsi="Times New Roman"/>
          <w:b/>
          <w:sz w:val="28"/>
          <w:szCs w:val="28"/>
        </w:rPr>
        <w:t xml:space="preserve">Grozījumi Ministru kabineta 2009.gada 22.decembra noteikumos Nr.1494 </w:t>
      </w:r>
      <w:r w:rsidR="00C6219E" w:rsidRPr="00DD2265">
        <w:rPr>
          <w:rFonts w:ascii="Times New Roman" w:hAnsi="Times New Roman"/>
          <w:b/>
          <w:sz w:val="28"/>
          <w:szCs w:val="28"/>
        </w:rPr>
        <w:t>„</w:t>
      </w:r>
      <w:r w:rsidRPr="00DD2265">
        <w:rPr>
          <w:rFonts w:ascii="Times New Roman" w:hAnsi="Times New Roman"/>
          <w:b/>
          <w:sz w:val="28"/>
          <w:szCs w:val="28"/>
        </w:rPr>
        <w:t>Mopēdu, mehānisko transportlīdzekļu, to piekabju un sastāvdaļu atbilstības novēr</w:t>
      </w:r>
      <w:r w:rsidR="00C6219E" w:rsidRPr="00DD2265">
        <w:rPr>
          <w:rFonts w:ascii="Times New Roman" w:hAnsi="Times New Roman"/>
          <w:b/>
          <w:sz w:val="28"/>
          <w:szCs w:val="28"/>
        </w:rPr>
        <w:t>tēšanas noteikumi”</w:t>
      </w:r>
    </w:p>
    <w:p w14:paraId="1A66D803" w14:textId="77777777" w:rsidR="00D520FD" w:rsidRPr="00DD2265" w:rsidRDefault="00D520FD" w:rsidP="00913DFE">
      <w:pPr>
        <w:spacing w:line="240" w:lineRule="auto"/>
        <w:jc w:val="center"/>
        <w:rPr>
          <w:rFonts w:ascii="Times New Roman" w:hAnsi="Times New Roman"/>
          <w:b/>
          <w:sz w:val="28"/>
          <w:szCs w:val="28"/>
        </w:rPr>
      </w:pPr>
    </w:p>
    <w:p w14:paraId="76799EF0" w14:textId="77777777" w:rsidR="00087780" w:rsidRPr="00DD2265" w:rsidRDefault="00087780" w:rsidP="00913DFE">
      <w:pPr>
        <w:spacing w:after="0" w:line="240" w:lineRule="auto"/>
        <w:jc w:val="right"/>
        <w:rPr>
          <w:rFonts w:ascii="Times New Roman" w:hAnsi="Times New Roman"/>
          <w:sz w:val="28"/>
          <w:szCs w:val="28"/>
          <w:lang w:eastAsia="lv-LV"/>
        </w:rPr>
      </w:pPr>
      <w:r w:rsidRPr="00DD2265">
        <w:rPr>
          <w:rFonts w:ascii="Times New Roman" w:hAnsi="Times New Roman"/>
          <w:sz w:val="28"/>
          <w:szCs w:val="28"/>
          <w:lang w:eastAsia="lv-LV"/>
        </w:rPr>
        <w:t xml:space="preserve">Izdoti saskaņā ar </w:t>
      </w:r>
    </w:p>
    <w:p w14:paraId="32D351B4" w14:textId="77777777" w:rsidR="00087780" w:rsidRPr="00DD2265" w:rsidRDefault="00087780" w:rsidP="00913DFE">
      <w:pPr>
        <w:spacing w:after="0" w:line="240" w:lineRule="auto"/>
        <w:jc w:val="right"/>
        <w:rPr>
          <w:rFonts w:ascii="Times New Roman" w:hAnsi="Times New Roman"/>
          <w:sz w:val="28"/>
          <w:szCs w:val="28"/>
          <w:lang w:eastAsia="lv-LV"/>
        </w:rPr>
      </w:pPr>
      <w:r w:rsidRPr="00DD2265">
        <w:rPr>
          <w:rFonts w:ascii="Times New Roman" w:hAnsi="Times New Roman"/>
          <w:sz w:val="28"/>
          <w:szCs w:val="28"/>
          <w:lang w:eastAsia="lv-LV"/>
        </w:rPr>
        <w:t>Ceļu satiksmes likuma</w:t>
      </w:r>
    </w:p>
    <w:p w14:paraId="6FF22B3F" w14:textId="77777777" w:rsidR="00087780" w:rsidRPr="00DD2265" w:rsidRDefault="00087780" w:rsidP="00913DFE">
      <w:pPr>
        <w:spacing w:after="0" w:line="240" w:lineRule="auto"/>
        <w:jc w:val="right"/>
        <w:rPr>
          <w:rFonts w:ascii="Times New Roman" w:hAnsi="Times New Roman"/>
          <w:sz w:val="28"/>
          <w:szCs w:val="28"/>
        </w:rPr>
      </w:pPr>
      <w:r w:rsidRPr="00DD2265">
        <w:rPr>
          <w:rFonts w:ascii="Times New Roman" w:hAnsi="Times New Roman"/>
          <w:sz w:val="28"/>
          <w:szCs w:val="28"/>
          <w:lang w:eastAsia="lv-LV"/>
        </w:rPr>
        <w:t>15.</w:t>
      </w:r>
      <w:r w:rsidRPr="00DD2265">
        <w:rPr>
          <w:rFonts w:ascii="Times New Roman" w:hAnsi="Times New Roman"/>
          <w:sz w:val="28"/>
          <w:szCs w:val="28"/>
          <w:vertAlign w:val="superscript"/>
          <w:lang w:eastAsia="lv-LV"/>
        </w:rPr>
        <w:t>1 </w:t>
      </w:r>
      <w:r w:rsidRPr="00DD2265">
        <w:rPr>
          <w:rFonts w:ascii="Times New Roman" w:hAnsi="Times New Roman"/>
          <w:sz w:val="28"/>
          <w:szCs w:val="28"/>
          <w:lang w:eastAsia="lv-LV"/>
        </w:rPr>
        <w:t>panta ceturto daļu</w:t>
      </w:r>
    </w:p>
    <w:p w14:paraId="38720D51" w14:textId="77777777" w:rsidR="00103C97" w:rsidRPr="00DD2265" w:rsidRDefault="00103C97" w:rsidP="00913DFE">
      <w:pPr>
        <w:spacing w:line="240" w:lineRule="auto"/>
        <w:rPr>
          <w:rFonts w:ascii="Times New Roman" w:hAnsi="Times New Roman"/>
          <w:sz w:val="28"/>
          <w:szCs w:val="28"/>
        </w:rPr>
      </w:pPr>
    </w:p>
    <w:p w14:paraId="0A75B8F7" w14:textId="2437C4FF" w:rsidR="00087780" w:rsidRPr="00DD2265" w:rsidRDefault="00087780" w:rsidP="000D250F">
      <w:pPr>
        <w:spacing w:after="0" w:line="240" w:lineRule="auto"/>
        <w:ind w:firstLine="720"/>
        <w:jc w:val="both"/>
        <w:rPr>
          <w:rFonts w:ascii="Times New Roman" w:hAnsi="Times New Roman"/>
          <w:sz w:val="28"/>
          <w:szCs w:val="28"/>
        </w:rPr>
      </w:pPr>
      <w:r w:rsidRPr="00DD2265">
        <w:rPr>
          <w:rFonts w:ascii="Times New Roman" w:hAnsi="Times New Roman"/>
          <w:sz w:val="28"/>
          <w:szCs w:val="28"/>
        </w:rPr>
        <w:t>Izdarīt Ministru kabineta 2009.</w:t>
      </w:r>
      <w:r w:rsidR="006C21C7" w:rsidRPr="00DD2265">
        <w:rPr>
          <w:rFonts w:ascii="Times New Roman" w:hAnsi="Times New Roman"/>
          <w:sz w:val="28"/>
          <w:szCs w:val="28"/>
        </w:rPr>
        <w:t xml:space="preserve"> </w:t>
      </w:r>
      <w:r w:rsidRPr="00DD2265">
        <w:rPr>
          <w:rFonts w:ascii="Times New Roman" w:hAnsi="Times New Roman"/>
          <w:sz w:val="28"/>
          <w:szCs w:val="28"/>
        </w:rPr>
        <w:t>gada 22.</w:t>
      </w:r>
      <w:r w:rsidR="006C21C7" w:rsidRPr="00DD2265">
        <w:rPr>
          <w:rFonts w:ascii="Times New Roman" w:hAnsi="Times New Roman"/>
          <w:sz w:val="28"/>
          <w:szCs w:val="28"/>
        </w:rPr>
        <w:t xml:space="preserve"> </w:t>
      </w:r>
      <w:r w:rsidRPr="00DD2265">
        <w:rPr>
          <w:rFonts w:ascii="Times New Roman" w:hAnsi="Times New Roman"/>
          <w:sz w:val="28"/>
          <w:szCs w:val="28"/>
        </w:rPr>
        <w:t xml:space="preserve">decembra noteikumos Nr.1494 </w:t>
      </w:r>
      <w:r w:rsidR="004F6380" w:rsidRPr="00DD2265">
        <w:rPr>
          <w:rFonts w:ascii="Times New Roman" w:hAnsi="Times New Roman"/>
          <w:sz w:val="28"/>
          <w:szCs w:val="28"/>
        </w:rPr>
        <w:t>„</w:t>
      </w:r>
      <w:r w:rsidRPr="00DD2265">
        <w:rPr>
          <w:rFonts w:ascii="Times New Roman" w:hAnsi="Times New Roman"/>
          <w:sz w:val="28"/>
          <w:szCs w:val="28"/>
        </w:rPr>
        <w:t>Mopēdu, mehānisko transportlīdzekļu, to piekabju un sastāvdaļu atb</w:t>
      </w:r>
      <w:r w:rsidR="004F6380" w:rsidRPr="00DD2265">
        <w:rPr>
          <w:rFonts w:ascii="Times New Roman" w:hAnsi="Times New Roman"/>
          <w:sz w:val="28"/>
          <w:szCs w:val="28"/>
        </w:rPr>
        <w:t>ilstības novērtēšanas noteikumi”</w:t>
      </w:r>
      <w:r w:rsidRPr="00DD2265">
        <w:rPr>
          <w:rFonts w:ascii="Times New Roman" w:hAnsi="Times New Roman"/>
          <w:sz w:val="28"/>
          <w:szCs w:val="28"/>
        </w:rPr>
        <w:t xml:space="preserve"> (Latvijas Vēstnesis, 2009, 206.nr.; 2010, 174.nr.; 2011, 60.nr.</w:t>
      </w:r>
      <w:r w:rsidR="00832CE1" w:rsidRPr="00DD2265">
        <w:rPr>
          <w:rFonts w:ascii="Times New Roman" w:hAnsi="Times New Roman"/>
          <w:sz w:val="28"/>
          <w:szCs w:val="28"/>
        </w:rPr>
        <w:t xml:space="preserve">; 2012, 38., </w:t>
      </w:r>
      <w:r w:rsidR="00857028" w:rsidRPr="00DD2265">
        <w:rPr>
          <w:rFonts w:ascii="Times New Roman" w:hAnsi="Times New Roman"/>
          <w:sz w:val="28"/>
          <w:szCs w:val="28"/>
        </w:rPr>
        <w:t>125.nr.</w:t>
      </w:r>
      <w:r w:rsidR="008D4E58" w:rsidRPr="00DD2265">
        <w:rPr>
          <w:rFonts w:ascii="Times New Roman" w:hAnsi="Times New Roman"/>
          <w:sz w:val="28"/>
          <w:szCs w:val="28"/>
        </w:rPr>
        <w:t>; 2013, 173.nr.</w:t>
      </w:r>
      <w:r w:rsidR="006E6648" w:rsidRPr="00DD2265">
        <w:rPr>
          <w:rFonts w:ascii="Times New Roman" w:hAnsi="Times New Roman"/>
          <w:sz w:val="28"/>
          <w:szCs w:val="28"/>
        </w:rPr>
        <w:t>; 2014, 131.nr.</w:t>
      </w:r>
      <w:r w:rsidR="00BB493F" w:rsidRPr="00DD2265">
        <w:rPr>
          <w:rFonts w:ascii="Times New Roman" w:hAnsi="Times New Roman"/>
          <w:sz w:val="28"/>
          <w:szCs w:val="28"/>
        </w:rPr>
        <w:t>; 2015, 161.nr.</w:t>
      </w:r>
      <w:r w:rsidR="00856506" w:rsidRPr="00DD2265">
        <w:rPr>
          <w:rFonts w:ascii="Times New Roman" w:hAnsi="Times New Roman"/>
          <w:sz w:val="28"/>
          <w:szCs w:val="28"/>
        </w:rPr>
        <w:t>; 2016, 194.nr.</w:t>
      </w:r>
      <w:r w:rsidRPr="00DD2265">
        <w:rPr>
          <w:rFonts w:ascii="Times New Roman" w:hAnsi="Times New Roman"/>
          <w:sz w:val="28"/>
          <w:szCs w:val="28"/>
        </w:rPr>
        <w:t>) šādus grozījumus:</w:t>
      </w:r>
    </w:p>
    <w:p w14:paraId="4673C054" w14:textId="77777777" w:rsidR="00197DCE" w:rsidRPr="00DD2265" w:rsidRDefault="00197DCE" w:rsidP="00BB493F">
      <w:pPr>
        <w:spacing w:after="0" w:line="240" w:lineRule="auto"/>
        <w:ind w:firstLine="720"/>
        <w:jc w:val="both"/>
        <w:rPr>
          <w:rFonts w:ascii="Times New Roman" w:hAnsi="Times New Roman"/>
          <w:sz w:val="28"/>
          <w:szCs w:val="28"/>
        </w:rPr>
      </w:pPr>
    </w:p>
    <w:p w14:paraId="61A6323A" w14:textId="77777777" w:rsidR="00197DCE" w:rsidRPr="00DD2265" w:rsidRDefault="00197DCE" w:rsidP="006B1A12">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Izteikt </w:t>
      </w:r>
      <w:r w:rsidR="00515644" w:rsidRPr="00DD2265">
        <w:rPr>
          <w:rFonts w:ascii="Times New Roman" w:hAnsi="Times New Roman"/>
          <w:sz w:val="28"/>
          <w:szCs w:val="28"/>
        </w:rPr>
        <w:t>3</w:t>
      </w:r>
      <w:r w:rsidRPr="00DD2265">
        <w:rPr>
          <w:rFonts w:ascii="Times New Roman" w:hAnsi="Times New Roman"/>
          <w:sz w:val="28"/>
          <w:szCs w:val="28"/>
        </w:rPr>
        <w:t>.</w:t>
      </w:r>
      <w:r w:rsidR="00515644" w:rsidRPr="00DD2265">
        <w:rPr>
          <w:rFonts w:ascii="Times New Roman" w:hAnsi="Times New Roman"/>
          <w:sz w:val="28"/>
          <w:szCs w:val="28"/>
        </w:rPr>
        <w:t>3</w:t>
      </w:r>
      <w:r w:rsidRPr="00DD2265">
        <w:rPr>
          <w:rFonts w:ascii="Times New Roman" w:hAnsi="Times New Roman"/>
          <w:sz w:val="28"/>
          <w:szCs w:val="28"/>
        </w:rPr>
        <w:t>. apakšpunktu šādā redakcijā:</w:t>
      </w:r>
    </w:p>
    <w:p w14:paraId="3FE1C17F" w14:textId="51B193E7" w:rsidR="00515644" w:rsidRDefault="00515644" w:rsidP="00515644">
      <w:pPr>
        <w:spacing w:after="0" w:line="240" w:lineRule="auto"/>
        <w:ind w:firstLine="720"/>
        <w:jc w:val="both"/>
        <w:rPr>
          <w:rFonts w:ascii="Times New Roman" w:hAnsi="Times New Roman"/>
          <w:sz w:val="28"/>
          <w:szCs w:val="28"/>
        </w:rPr>
      </w:pPr>
      <w:bookmarkStart w:id="0" w:name="_Hlk511826502"/>
      <w:r w:rsidRPr="00DD2265">
        <w:rPr>
          <w:rFonts w:ascii="Times New Roman" w:hAnsi="Times New Roman"/>
          <w:sz w:val="28"/>
          <w:szCs w:val="28"/>
        </w:rPr>
        <w:t>"</w:t>
      </w:r>
      <w:bookmarkEnd w:id="0"/>
      <w:r w:rsidRPr="00DD2265">
        <w:rPr>
          <w:rFonts w:ascii="Times New Roman" w:hAnsi="Times New Roman"/>
          <w:sz w:val="28"/>
          <w:szCs w:val="28"/>
        </w:rPr>
        <w:t xml:space="preserve">3.3. vieglajiem sporta automobiļiem, kam veikta </w:t>
      </w:r>
      <w:proofErr w:type="spellStart"/>
      <w:r w:rsidRPr="00DD2265">
        <w:rPr>
          <w:rFonts w:ascii="Times New Roman" w:hAnsi="Times New Roman"/>
          <w:sz w:val="28"/>
          <w:szCs w:val="28"/>
        </w:rPr>
        <w:t>homologācija</w:t>
      </w:r>
      <w:proofErr w:type="spellEnd"/>
      <w:r w:rsidRPr="00DD2265">
        <w:rPr>
          <w:rFonts w:ascii="Times New Roman" w:hAnsi="Times New Roman"/>
          <w:sz w:val="28"/>
          <w:szCs w:val="28"/>
        </w:rPr>
        <w:t xml:space="preserve"> atbilstoši Starptautiskās automobiļu federācijas prasībām vai Latvijas Automobiļu federācijas tehniskajiem noteikumiem un kas reģistrēti uz Latvijas Automobiļu federācijas licencētu sportistu vai Latvijas Automobiļu federācijas biedru (piemēram, sporta kluba) vārda, kā arī minēto automobiļu sastāvdaļām;".</w:t>
      </w:r>
    </w:p>
    <w:p w14:paraId="2483EECB" w14:textId="2FE88E8E" w:rsidR="002A70B5" w:rsidRDefault="002A70B5" w:rsidP="00515644">
      <w:pPr>
        <w:spacing w:after="0" w:line="240" w:lineRule="auto"/>
        <w:ind w:firstLine="720"/>
        <w:jc w:val="both"/>
        <w:rPr>
          <w:rFonts w:ascii="Times New Roman" w:hAnsi="Times New Roman"/>
          <w:sz w:val="28"/>
          <w:szCs w:val="28"/>
        </w:rPr>
      </w:pPr>
    </w:p>
    <w:p w14:paraId="07B1BD59" w14:textId="01A668AB" w:rsidR="002A70B5" w:rsidRPr="00B62534" w:rsidRDefault="002A70B5" w:rsidP="00B62534">
      <w:pPr>
        <w:pStyle w:val="ListParagraph"/>
        <w:numPr>
          <w:ilvl w:val="0"/>
          <w:numId w:val="1"/>
        </w:numPr>
        <w:spacing w:after="0" w:line="240" w:lineRule="auto"/>
        <w:jc w:val="both"/>
        <w:rPr>
          <w:rFonts w:ascii="Times New Roman" w:hAnsi="Times New Roman"/>
          <w:sz w:val="28"/>
          <w:szCs w:val="28"/>
        </w:rPr>
      </w:pPr>
      <w:r w:rsidRPr="00B62534">
        <w:rPr>
          <w:rFonts w:ascii="Times New Roman" w:hAnsi="Times New Roman"/>
          <w:sz w:val="28"/>
          <w:szCs w:val="28"/>
        </w:rPr>
        <w:t>Izteikt 19. punktu šādā redakcijā:</w:t>
      </w:r>
    </w:p>
    <w:p w14:paraId="37A3A59F" w14:textId="694AA41A" w:rsidR="002A70B5" w:rsidRPr="00DD2265" w:rsidRDefault="002A70B5" w:rsidP="002A70B5">
      <w:pPr>
        <w:spacing w:after="0" w:line="240" w:lineRule="auto"/>
        <w:ind w:firstLine="720"/>
        <w:jc w:val="both"/>
        <w:rPr>
          <w:rFonts w:ascii="Times New Roman" w:hAnsi="Times New Roman"/>
          <w:sz w:val="28"/>
          <w:szCs w:val="28"/>
        </w:rPr>
      </w:pPr>
      <w:r w:rsidRPr="00B62534">
        <w:rPr>
          <w:rFonts w:ascii="Times New Roman" w:hAnsi="Times New Roman"/>
          <w:sz w:val="28"/>
          <w:szCs w:val="28"/>
        </w:rPr>
        <w:t>"19. Ja transportlīdzekļa vai tā sastāvdaļu tipam piešķirts apstiprinājums, CSDD apstiprinātajam tipam izsniedz tipa apstiprinājuma sertifikātu atbilstoši attiecīgo tehnisko normatīvu prasībām. Izsniedzot attiecīgi aizpildītu tipa apstiprināšanas sertifikātu, CSDD piešķir tipa apstiprinājuma numuru atbilstoši šo noteikumu 9.pielikuma prasībām. ".</w:t>
      </w:r>
    </w:p>
    <w:p w14:paraId="3D7E7B12" w14:textId="1930E40B" w:rsidR="00E02A88" w:rsidRPr="00DD2265" w:rsidRDefault="00E02A88" w:rsidP="00515644">
      <w:pPr>
        <w:spacing w:after="0" w:line="240" w:lineRule="auto"/>
        <w:ind w:firstLine="720"/>
        <w:jc w:val="both"/>
        <w:rPr>
          <w:rFonts w:ascii="Times New Roman" w:hAnsi="Times New Roman"/>
          <w:sz w:val="28"/>
          <w:szCs w:val="28"/>
        </w:rPr>
      </w:pPr>
    </w:p>
    <w:p w14:paraId="03A932F2" w14:textId="6513378D" w:rsidR="00E02A88" w:rsidRPr="00DD2265" w:rsidRDefault="00E02A88" w:rsidP="00E02A88">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Izteikt </w:t>
      </w:r>
      <w:r w:rsidR="00834BB6" w:rsidRPr="00DD2265">
        <w:rPr>
          <w:rFonts w:ascii="Times New Roman" w:hAnsi="Times New Roman"/>
          <w:sz w:val="28"/>
          <w:szCs w:val="28"/>
        </w:rPr>
        <w:t xml:space="preserve">V sadaļas nosaukumu </w:t>
      </w:r>
      <w:r w:rsidRPr="00DD2265">
        <w:rPr>
          <w:rFonts w:ascii="Times New Roman" w:hAnsi="Times New Roman"/>
          <w:sz w:val="28"/>
          <w:szCs w:val="28"/>
        </w:rPr>
        <w:t>šādā redakcijā:</w:t>
      </w:r>
    </w:p>
    <w:p w14:paraId="1C1D66C6" w14:textId="49F0D8EB" w:rsidR="00834BB6" w:rsidRPr="00DD2265" w:rsidRDefault="00834BB6" w:rsidP="00834BB6">
      <w:pPr>
        <w:ind w:firstLine="709"/>
        <w:jc w:val="both"/>
        <w:rPr>
          <w:rFonts w:ascii="Times New Roman" w:hAnsi="Times New Roman"/>
          <w:sz w:val="28"/>
          <w:szCs w:val="28"/>
        </w:rPr>
      </w:pPr>
      <w:bookmarkStart w:id="1" w:name="_Hlk511826849"/>
      <w:r w:rsidRPr="00DD2265">
        <w:rPr>
          <w:rFonts w:ascii="Times New Roman" w:hAnsi="Times New Roman"/>
          <w:sz w:val="28"/>
          <w:szCs w:val="28"/>
        </w:rPr>
        <w:t>"</w:t>
      </w:r>
      <w:bookmarkEnd w:id="1"/>
      <w:r w:rsidRPr="00DD2265">
        <w:rPr>
          <w:rFonts w:ascii="Times New Roman" w:hAnsi="Times New Roman"/>
          <w:sz w:val="28"/>
          <w:szCs w:val="28"/>
        </w:rPr>
        <w:t xml:space="preserve">V. </w:t>
      </w:r>
      <w:r w:rsidR="00F0103A" w:rsidRPr="00DD2265">
        <w:rPr>
          <w:rFonts w:ascii="Times New Roman" w:hAnsi="Times New Roman"/>
          <w:sz w:val="28"/>
          <w:szCs w:val="28"/>
        </w:rPr>
        <w:t>A</w:t>
      </w:r>
      <w:r w:rsidRPr="00DD2265">
        <w:rPr>
          <w:rFonts w:ascii="Times New Roman" w:hAnsi="Times New Roman"/>
          <w:sz w:val="28"/>
          <w:szCs w:val="28"/>
        </w:rPr>
        <w:t>pstiprinājumu atzīšana un reģistrēšanas kārtība".</w:t>
      </w:r>
    </w:p>
    <w:p w14:paraId="52C90A97" w14:textId="2C8799EE" w:rsidR="00515644" w:rsidRPr="00DD2265" w:rsidRDefault="00834BB6" w:rsidP="00834BB6">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37. punktu šādā redakcijā:</w:t>
      </w:r>
    </w:p>
    <w:p w14:paraId="215B31E9" w14:textId="0CE95226" w:rsidR="00834BB6" w:rsidRPr="00DD2265" w:rsidRDefault="00834BB6" w:rsidP="00834BB6">
      <w:pPr>
        <w:spacing w:after="0" w:line="240" w:lineRule="auto"/>
        <w:ind w:left="720"/>
        <w:jc w:val="both"/>
        <w:rPr>
          <w:rFonts w:ascii="Times New Roman" w:hAnsi="Times New Roman"/>
          <w:sz w:val="28"/>
          <w:szCs w:val="28"/>
        </w:rPr>
      </w:pPr>
      <w:r w:rsidRPr="00DD2265">
        <w:rPr>
          <w:rFonts w:ascii="Times New Roman" w:hAnsi="Times New Roman"/>
          <w:sz w:val="28"/>
          <w:szCs w:val="28"/>
        </w:rPr>
        <w:t xml:space="preserve">"37. Latvijā tiek atzīti dalībvalstu sertificēšanas institūciju piešķirtie: </w:t>
      </w:r>
    </w:p>
    <w:p w14:paraId="14C504CC" w14:textId="077F4EBE" w:rsidR="00834BB6" w:rsidRPr="00DD2265" w:rsidRDefault="00834BB6" w:rsidP="00834BB6">
      <w:pPr>
        <w:spacing w:after="0" w:line="240" w:lineRule="auto"/>
        <w:ind w:firstLine="709"/>
        <w:jc w:val="both"/>
        <w:rPr>
          <w:rFonts w:ascii="Times New Roman" w:hAnsi="Times New Roman"/>
          <w:sz w:val="28"/>
          <w:szCs w:val="28"/>
        </w:rPr>
      </w:pPr>
      <w:r w:rsidRPr="00DD2265">
        <w:rPr>
          <w:rFonts w:ascii="Times New Roman" w:hAnsi="Times New Roman"/>
          <w:sz w:val="28"/>
          <w:szCs w:val="28"/>
        </w:rPr>
        <w:lastRenderedPageBreak/>
        <w:t>37.1. tipa apstiprinājumi M1 kategorijas transportlīdzekļu tipiem, kas piešķirti atbilstoši Padomes 1970.</w:t>
      </w:r>
      <w:r w:rsidR="008333C5" w:rsidRPr="00DD2265">
        <w:rPr>
          <w:rFonts w:ascii="Times New Roman" w:hAnsi="Times New Roman"/>
          <w:sz w:val="28"/>
          <w:szCs w:val="28"/>
        </w:rPr>
        <w:t xml:space="preserve"> </w:t>
      </w:r>
      <w:r w:rsidRPr="00DD2265">
        <w:rPr>
          <w:rFonts w:ascii="Times New Roman" w:hAnsi="Times New Roman"/>
          <w:sz w:val="28"/>
          <w:szCs w:val="28"/>
        </w:rPr>
        <w:t>gada 6.</w:t>
      </w:r>
      <w:r w:rsidR="008333C5" w:rsidRPr="00DD2265">
        <w:rPr>
          <w:rFonts w:ascii="Times New Roman" w:hAnsi="Times New Roman"/>
          <w:sz w:val="28"/>
          <w:szCs w:val="28"/>
        </w:rPr>
        <w:t xml:space="preserve"> </w:t>
      </w:r>
      <w:r w:rsidRPr="00DD2265">
        <w:rPr>
          <w:rFonts w:ascii="Times New Roman" w:hAnsi="Times New Roman"/>
          <w:sz w:val="28"/>
          <w:szCs w:val="28"/>
        </w:rPr>
        <w:t>februāra Direktīvai 70/156/EEK par dalībvalstu tiesību aktu tuvināšanu attiecībā uz mehānisko transportlīdzekļu un to piekabju modeļa apstiprinājumu (turpmāk – Direktīva 70/156/EEK) (Eiropas Savienības Oficiālais Vēstnesis, 01.05.2004., L 042, 1.- 15.lpp.), ievērojot grozījumus, kas izdarīti ar Komisijas 1998.gada 6.februāra Direktīvu 98/14/EK, ar ko tehnikas attīstībai pielāgo Padomes Direktīvu 70/156/EEK par dalībvalstu tiesību aktu tuvināšanu attiecībā uz mehānisko transportlīdzekļu un to piekabju tipa apstiprinājumu (turpmāk – Direktīva 98/14/EK) (Eiropas Savienības Oficiālais Vēstnesis, 01.05.2004., L 091, 1.- 61.lpp.), un Komisijas 2001.gada 20.decembra Direktīvu 2001/116/EK, ar ko tehnikas attīstībai pielāgo Padomes Direktīvu 70/156/EEK par dalībvalstu tiesību aktu tuvināšanu attiecībā uz mehānisko transportlīdzekļu un to piekabju tipa apstiprinājumu (turpmāk – Direktīva 2001/116/EK) (Eiropas Savienības Oficiālais Vēstnesis, 01.05.2004., L 018, 1.- 115.lpp.);</w:t>
      </w:r>
    </w:p>
    <w:p w14:paraId="6555CDBD" w14:textId="77777777"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37.2. tipa apstiprinājumi M, N, O kategorijas transportlīdzekļu tipiem, kas piešķirti atbilstoši Eiropas Parlamenta un Padomes 2007.gada 5.septembra Direktīvai 2007/46/EK, ar ko izveido sistēmu mehānisko transportlīdzekļu un to piekabju, kā arī tādiem transportlīdzekļiem paredzētu sistēmu, sastāvdaļu un atsevišķu tehnisku vienību apstiprināšanai (pamatdirektīva) (turpmāk – Direktīva 2007/46/EK) (Eiropas Savienības Oficiālais Vēstnesis, 09.10.2007., L 263, 1.- 160.lpp.);</w:t>
      </w:r>
    </w:p>
    <w:p w14:paraId="27C2BE61" w14:textId="77777777"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 xml:space="preserve">37.3. tipa apstiprinājumi L kategorijas transportlīdzekļu tipiem, kas piešķirti atbilstoši Eiropas Parlamenta un Padomes 2002. gada 18. marta Direktīvai 2002/24/EK, kas attiecas uz divriteņu vai trīsriteņu mehānisko transportlīdzekļu tipa apstiprinājumu un ar ko atceļ Padomes Direktīvu 92/61/EEK (turpmāk – Direktīva 2002/24/EK) (Eiropas Savienības Oficiālais Vēstnesis, 01.05.2004., L 124, 1.–44. lpp.), vai Direktīvai 2002/24/EK, ievērojot grozījumus, kas izdarīti ar Komisijas 2005. gada 22. aprīļa Direktīvu 2005/30/EK, ar ko tehniskā progresa piemērošanas nolūkos groza Eiropas Parlamenta un Padomes Direktīvas 97/24/EK un 2002/24/EK par divriteņu vai trīsriteņu mehānisko transportlīdzekļu tipa apstiprinājumu (turpmāk – Direktīva 2005/30/EK) (Eiropas Savienības Oficiālais Vēstnesis, 27.04.2005., L 106, 17.–31. lpp.), vai Komisijas 2013. gada 27. novembra Direktīvu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(Eiropas Savienības </w:t>
      </w:r>
      <w:r w:rsidRPr="00DD2265">
        <w:rPr>
          <w:rFonts w:ascii="Times New Roman" w:hAnsi="Times New Roman"/>
          <w:sz w:val="28"/>
          <w:szCs w:val="28"/>
        </w:rPr>
        <w:lastRenderedPageBreak/>
        <w:t>Oficiālais Vēstnesis, 10.12.2013., L 329, 15.–38. lpp.), vai Eiropas Parlamenta un Padomes 2013. gada 15. janvāra Regulai (ES) Nr. 168/2013 par divu riteņu vai trīs riteņu transportlīdzekļu un kvadriciklu apstiprināšanu un tirgus uzraudzību (turpmāk – Regula Nr. 168/2013);</w:t>
      </w:r>
    </w:p>
    <w:p w14:paraId="750E463C" w14:textId="09C98508"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37.4. tipa apstiprinājumi sastāvdaļu tipiem, kas piešķirti atbilstoši šo noteikumu 11.</w:t>
      </w:r>
      <w:r w:rsidR="008333C5" w:rsidRPr="00DD2265">
        <w:rPr>
          <w:rFonts w:ascii="Times New Roman" w:hAnsi="Times New Roman"/>
          <w:sz w:val="28"/>
          <w:szCs w:val="28"/>
        </w:rPr>
        <w:t xml:space="preserve"> </w:t>
      </w:r>
      <w:r w:rsidRPr="00DD2265">
        <w:rPr>
          <w:rFonts w:ascii="Times New Roman" w:hAnsi="Times New Roman"/>
          <w:sz w:val="28"/>
          <w:szCs w:val="28"/>
        </w:rPr>
        <w:t>pielikumā noteikto tehnisko normatīvu prasībām;</w:t>
      </w:r>
    </w:p>
    <w:p w14:paraId="3FA95213" w14:textId="4A315AEA"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37.5. tipa apstiprinājumi transportlīdzekļu tipiem attiecībā uz apstiprināta tipa sastāvdaļu uzstādīšanu, kas piešķirti atbilstoši šo noteikumu 11.</w:t>
      </w:r>
      <w:r w:rsidR="008333C5" w:rsidRPr="00DD2265">
        <w:rPr>
          <w:rFonts w:ascii="Times New Roman" w:hAnsi="Times New Roman"/>
          <w:sz w:val="28"/>
          <w:szCs w:val="28"/>
        </w:rPr>
        <w:t xml:space="preserve"> </w:t>
      </w:r>
      <w:r w:rsidRPr="00DD2265">
        <w:rPr>
          <w:rFonts w:ascii="Times New Roman" w:hAnsi="Times New Roman"/>
          <w:sz w:val="28"/>
          <w:szCs w:val="28"/>
        </w:rPr>
        <w:t>pielikumā noteikto tehnisko normatīvu prasībām.</w:t>
      </w:r>
    </w:p>
    <w:p w14:paraId="0E2ABBFD" w14:textId="2EF44539"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37.6. individuālie EK apstiprinājumi, kas piešķirti saskaņā ar Direktīvas 2007/46/EK 24.</w:t>
      </w:r>
      <w:r w:rsidR="008333C5" w:rsidRPr="00DD2265">
        <w:rPr>
          <w:rFonts w:ascii="Times New Roman" w:hAnsi="Times New Roman"/>
          <w:sz w:val="28"/>
          <w:szCs w:val="28"/>
        </w:rPr>
        <w:t xml:space="preserve"> </w:t>
      </w:r>
      <w:r w:rsidRPr="00DD2265">
        <w:rPr>
          <w:rFonts w:ascii="Times New Roman" w:hAnsi="Times New Roman"/>
          <w:sz w:val="28"/>
          <w:szCs w:val="28"/>
        </w:rPr>
        <w:t>pantu, ja transportlīdzeklis atbilst Direktīvas 2007/46/EK IV vai XI pielikumā norādītajiem normatīvajiem aktiem vai šo noteikumu prasībām. "</w:t>
      </w:r>
    </w:p>
    <w:p w14:paraId="6C106668" w14:textId="5A3B2ADB" w:rsidR="008333C5" w:rsidRPr="00DD2265" w:rsidRDefault="008333C5" w:rsidP="00834BB6">
      <w:pPr>
        <w:spacing w:after="0" w:line="240" w:lineRule="auto"/>
        <w:ind w:firstLine="720"/>
        <w:jc w:val="both"/>
        <w:rPr>
          <w:rFonts w:ascii="Times New Roman" w:hAnsi="Times New Roman"/>
          <w:sz w:val="28"/>
          <w:szCs w:val="28"/>
        </w:rPr>
      </w:pPr>
    </w:p>
    <w:p w14:paraId="2AE7E6F5" w14:textId="56C6CE25"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38. punktu un 38.1. apakšpunktu šādā redakcijā:</w:t>
      </w:r>
    </w:p>
    <w:p w14:paraId="1733FCB1" w14:textId="5A45C9EF"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w:t>
      </w:r>
      <w:r w:rsidR="008C098F">
        <w:rPr>
          <w:rFonts w:ascii="Times New Roman" w:hAnsi="Times New Roman"/>
          <w:sz w:val="28"/>
          <w:szCs w:val="28"/>
        </w:rPr>
        <w:t>38.</w:t>
      </w:r>
      <w:r w:rsidRPr="00DD2265">
        <w:rPr>
          <w:rFonts w:ascii="Times New Roman" w:hAnsi="Times New Roman"/>
          <w:sz w:val="28"/>
          <w:szCs w:val="28"/>
        </w:rPr>
        <w:t>Atzītos transportlīdzekļa tipa apstiprinājumus un individuālos EK apstiprinājumus importētājs, izgatavotājs vai tā pārstāvis reģistrē CSDD. Importētājs, izgatavotājs vai tā pārstāvis iesniedz CSDD iesniegumu, kuram noteiktā secībā pievieno šādus dokumentus, ja tie nav pieejami vienotajā apstiprinātāju iestāžu elektroniskajā datu apmaiņas sistēmā:</w:t>
      </w:r>
    </w:p>
    <w:p w14:paraId="23DF3C55" w14:textId="5C3ACD06"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38.1. transportlīdzekļa, tā sastāvdaļu tipa apstiprinājuma vai individuālā EK apstiprinājuma sertifikātu, vai tā kopiju;".</w:t>
      </w:r>
    </w:p>
    <w:p w14:paraId="56D852CB" w14:textId="4EF56144" w:rsidR="008333C5" w:rsidRPr="00DD2265" w:rsidRDefault="008333C5" w:rsidP="008333C5">
      <w:pPr>
        <w:spacing w:after="0" w:line="240" w:lineRule="auto"/>
        <w:ind w:firstLine="709"/>
        <w:jc w:val="both"/>
        <w:rPr>
          <w:rFonts w:ascii="Times New Roman" w:hAnsi="Times New Roman"/>
          <w:sz w:val="28"/>
          <w:szCs w:val="28"/>
        </w:rPr>
      </w:pPr>
    </w:p>
    <w:p w14:paraId="36A15F38" w14:textId="74D8B4B6"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39. punktu šādā redakcijā:</w:t>
      </w:r>
    </w:p>
    <w:p w14:paraId="38998DC6" w14:textId="1EDC3B0D"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"39. Par katru transportlīdzekļu tipu vai individuālo EK apstiprinājumu persona, kura lūdz veikt tipa apstiprinājuma atzīšanu un reģistrēšanu, iesniedz atsevišķu iesniegumu.".</w:t>
      </w:r>
    </w:p>
    <w:p w14:paraId="01D21786" w14:textId="29004A3F" w:rsidR="008333C5" w:rsidRPr="00DD2265" w:rsidRDefault="008333C5" w:rsidP="008333C5">
      <w:pPr>
        <w:spacing w:after="0" w:line="240" w:lineRule="auto"/>
        <w:ind w:firstLine="709"/>
        <w:jc w:val="both"/>
        <w:rPr>
          <w:rFonts w:ascii="Times New Roman" w:hAnsi="Times New Roman"/>
          <w:sz w:val="28"/>
          <w:szCs w:val="28"/>
        </w:rPr>
      </w:pPr>
    </w:p>
    <w:p w14:paraId="0B2D0CA9" w14:textId="05540A34"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42., 43. un 44. punktu šādā redakcijā:</w:t>
      </w:r>
    </w:p>
    <w:p w14:paraId="39A13AA4" w14:textId="77777777"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"42. Tipa apstiprinājumu un individuālo EK apstiprinājumu reģistrēšanas izdevumus, kas atbilst normatīvajos aktos noteiktā kārtībā apstiprinātajām pakalpojuma izmaksām, sedz tā persona, kas CSDD iesniegusi iesniegumu transportlīdzekļu tipa apstiprinājuma reģistrēšanai.</w:t>
      </w:r>
    </w:p>
    <w:p w14:paraId="79537AB2" w14:textId="601089F0"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 xml:space="preserve">43. CSDD 10 darbdienu laikā izskata izgatavotāja vai tā pārstāvja iesniegtos dokumentus un pieņem lēmumu par transportlīdzekļu tipa apstiprinājuma vai individuālā EK apstiprinājuma reģistrēšanu vai atteikumu. </w:t>
      </w:r>
    </w:p>
    <w:p w14:paraId="408EA0C1" w14:textId="1296E5B2"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44. Ja izgatavotāja, tā pārstāvja vai importētāja iesniegtā dokumentācija neatbilst šo noteikumu 38.punktā noteiktajām prasībām, CSDD pieņem lēmumu neatzīt transportlīdzekļa vai tā sastāvdaļu tipu, vai individuālo EK apstiprinājumu un 15 darbdienu laikā pēc lēmuma pieņemšanas rakstiski informē iesniedzēju, norādot iesniegtās dokumentācijas nepilnības vai trūkumus.  "</w:t>
      </w:r>
    </w:p>
    <w:p w14:paraId="128DA234" w14:textId="77777777" w:rsidR="00834BB6" w:rsidRPr="00DD2265" w:rsidRDefault="00834BB6" w:rsidP="00834BB6">
      <w:pPr>
        <w:spacing w:after="0" w:line="240" w:lineRule="auto"/>
        <w:jc w:val="both"/>
        <w:rPr>
          <w:rFonts w:ascii="Times New Roman" w:hAnsi="Times New Roman"/>
          <w:sz w:val="28"/>
          <w:szCs w:val="28"/>
        </w:rPr>
      </w:pPr>
    </w:p>
    <w:p w14:paraId="05A81A73" w14:textId="77777777" w:rsidR="00515644" w:rsidRPr="00DD2265" w:rsidRDefault="00515644" w:rsidP="0051564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Izteikt 51.1. apakšpunktu šādā redakcijā:</w:t>
      </w:r>
    </w:p>
    <w:p w14:paraId="1D0B6E38" w14:textId="4AF3BECE" w:rsidR="00197DCE" w:rsidRDefault="00197DCE" w:rsidP="000B7C47">
      <w:pPr>
        <w:spacing w:after="0" w:line="240" w:lineRule="auto"/>
        <w:ind w:firstLine="709"/>
        <w:jc w:val="both"/>
        <w:rPr>
          <w:rFonts w:ascii="Times New Roman" w:hAnsi="Times New Roman"/>
          <w:sz w:val="28"/>
          <w:szCs w:val="28"/>
        </w:rPr>
      </w:pPr>
      <w:bookmarkStart w:id="2" w:name="_Hlk503340708"/>
      <w:r w:rsidRPr="00DD2265">
        <w:rPr>
          <w:rFonts w:ascii="Times New Roman" w:hAnsi="Times New Roman"/>
          <w:sz w:val="28"/>
          <w:szCs w:val="28"/>
        </w:rPr>
        <w:t>"</w:t>
      </w:r>
      <w:r w:rsidR="000B7C47" w:rsidRPr="00DD2265">
        <w:rPr>
          <w:rFonts w:ascii="Times New Roman" w:hAnsi="Times New Roman"/>
          <w:sz w:val="28"/>
          <w:szCs w:val="28"/>
        </w:rPr>
        <w:t>51.1. izgatavotājs vai tā pārstāvis līdz tipa apstiprinājuma derīguma termiņa beigām ir iesniedzis CSDD sarakstu, norādot sēriju beigu transportlīdzekļu marku, modeli, tipa apstiprinājuma numuru, transportlīdzekļa identifikācijas numuru;</w:t>
      </w:r>
      <w:r w:rsidRPr="00DD2265">
        <w:rPr>
          <w:rFonts w:ascii="Times New Roman" w:hAnsi="Times New Roman"/>
          <w:sz w:val="28"/>
          <w:szCs w:val="28"/>
        </w:rPr>
        <w:t>".</w:t>
      </w:r>
      <w:bookmarkEnd w:id="2"/>
    </w:p>
    <w:p w14:paraId="03EBCEA4" w14:textId="260A2FB0" w:rsidR="00CB14BA" w:rsidRDefault="00CB14BA" w:rsidP="000B7C47">
      <w:pPr>
        <w:spacing w:after="0" w:line="240" w:lineRule="auto"/>
        <w:ind w:firstLine="709"/>
        <w:jc w:val="both"/>
        <w:rPr>
          <w:rFonts w:ascii="Times New Roman" w:hAnsi="Times New Roman"/>
          <w:sz w:val="28"/>
          <w:szCs w:val="28"/>
        </w:rPr>
      </w:pPr>
    </w:p>
    <w:p w14:paraId="64A574FE" w14:textId="77777777" w:rsidR="00583DCF" w:rsidRPr="00DD2265" w:rsidRDefault="00583DCF" w:rsidP="006B1A12">
      <w:pPr>
        <w:pStyle w:val="ListParagraph"/>
        <w:numPr>
          <w:ilvl w:val="0"/>
          <w:numId w:val="1"/>
        </w:numPr>
        <w:spacing w:after="0" w:line="240" w:lineRule="auto"/>
        <w:jc w:val="both"/>
        <w:rPr>
          <w:rFonts w:ascii="Times New Roman" w:hAnsi="Times New Roman"/>
          <w:sz w:val="28"/>
          <w:szCs w:val="28"/>
        </w:rPr>
      </w:pPr>
      <w:bookmarkStart w:id="3" w:name="_Hlk519247072"/>
      <w:r w:rsidRPr="00DD2265">
        <w:rPr>
          <w:rFonts w:ascii="Times New Roman" w:hAnsi="Times New Roman"/>
          <w:sz w:val="28"/>
          <w:szCs w:val="28"/>
        </w:rPr>
        <w:t xml:space="preserve">Izteikt </w:t>
      </w:r>
      <w:r w:rsidR="00797648" w:rsidRPr="00DD2265">
        <w:rPr>
          <w:rFonts w:ascii="Times New Roman" w:hAnsi="Times New Roman"/>
          <w:sz w:val="28"/>
          <w:szCs w:val="28"/>
        </w:rPr>
        <w:t>51.5.2</w:t>
      </w:r>
      <w:r w:rsidRPr="00DD2265">
        <w:rPr>
          <w:rFonts w:ascii="Times New Roman" w:hAnsi="Times New Roman"/>
          <w:sz w:val="28"/>
          <w:szCs w:val="28"/>
        </w:rPr>
        <w:t xml:space="preserve">. </w:t>
      </w:r>
      <w:r w:rsidR="00797648" w:rsidRPr="00DD2265">
        <w:rPr>
          <w:rFonts w:ascii="Times New Roman" w:hAnsi="Times New Roman"/>
          <w:sz w:val="28"/>
          <w:szCs w:val="28"/>
        </w:rPr>
        <w:t>apakš</w:t>
      </w:r>
      <w:r w:rsidRPr="00DD2265">
        <w:rPr>
          <w:rFonts w:ascii="Times New Roman" w:hAnsi="Times New Roman"/>
          <w:sz w:val="28"/>
          <w:szCs w:val="28"/>
        </w:rPr>
        <w:t>punktu šādā redakcijā:</w:t>
      </w:r>
    </w:p>
    <w:p w14:paraId="3A861CF3" w14:textId="38545A72" w:rsidR="00797648" w:rsidRDefault="00797648" w:rsidP="00797648">
      <w:pPr>
        <w:pStyle w:val="ListParagraph"/>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"51.5.2. 18 mēnešu laikā pēc tipa apstiprinājuma termiņa beigām, ja tas ir </w:t>
      </w:r>
      <w:r w:rsidR="000B7C47" w:rsidRPr="00DD2265">
        <w:rPr>
          <w:rFonts w:ascii="Times New Roman" w:hAnsi="Times New Roman"/>
          <w:sz w:val="28"/>
          <w:szCs w:val="28"/>
        </w:rPr>
        <w:t xml:space="preserve">vairākos posmos </w:t>
      </w:r>
      <w:r w:rsidRPr="00DD2265">
        <w:rPr>
          <w:rFonts w:ascii="Times New Roman" w:hAnsi="Times New Roman"/>
          <w:sz w:val="28"/>
          <w:szCs w:val="28"/>
        </w:rPr>
        <w:t>pabeigts M, N vai O kategorijas transportlīdzeklis.".</w:t>
      </w:r>
      <w:bookmarkEnd w:id="3"/>
    </w:p>
    <w:p w14:paraId="171E8B9A" w14:textId="2C87B3DC" w:rsidR="006C2432" w:rsidRDefault="006C2432" w:rsidP="00797648">
      <w:pPr>
        <w:pStyle w:val="ListParagraph"/>
        <w:spacing w:after="0" w:line="240" w:lineRule="auto"/>
        <w:ind w:left="0" w:firstLine="720"/>
        <w:jc w:val="both"/>
        <w:rPr>
          <w:rFonts w:ascii="Times New Roman" w:hAnsi="Times New Roman"/>
          <w:sz w:val="28"/>
          <w:szCs w:val="28"/>
        </w:rPr>
      </w:pPr>
    </w:p>
    <w:p w14:paraId="0FE020CA" w14:textId="0D34F9DF" w:rsidR="006C2432" w:rsidRPr="006C2432" w:rsidRDefault="006C2432" w:rsidP="006C243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6C2432">
        <w:rPr>
          <w:rFonts w:ascii="Times New Roman" w:hAnsi="Times New Roman"/>
          <w:sz w:val="28"/>
          <w:szCs w:val="28"/>
        </w:rPr>
        <w:t xml:space="preserve">Izteikt </w:t>
      </w:r>
      <w:r>
        <w:rPr>
          <w:rFonts w:ascii="Times New Roman" w:hAnsi="Times New Roman"/>
          <w:sz w:val="28"/>
          <w:szCs w:val="28"/>
        </w:rPr>
        <w:t>8</w:t>
      </w:r>
      <w:r w:rsidRPr="006C2432">
        <w:rPr>
          <w:rFonts w:ascii="Times New Roman" w:hAnsi="Times New Roman"/>
          <w:sz w:val="28"/>
          <w:szCs w:val="28"/>
        </w:rPr>
        <w:t>1.2. apakšpunktu šādā redakcijā:</w:t>
      </w:r>
    </w:p>
    <w:p w14:paraId="6D0BC979" w14:textId="608BD1F9" w:rsidR="006C2432" w:rsidRDefault="006C2432" w:rsidP="006C2432">
      <w:pPr>
        <w:spacing w:after="0" w:line="240" w:lineRule="auto"/>
        <w:ind w:firstLine="720"/>
        <w:jc w:val="both"/>
        <w:rPr>
          <w:rFonts w:ascii="Times New Roman" w:hAnsi="Times New Roman"/>
          <w:sz w:val="28"/>
          <w:szCs w:val="28"/>
        </w:rPr>
      </w:pPr>
      <w:r w:rsidRPr="006C2432">
        <w:rPr>
          <w:rFonts w:ascii="Times New Roman" w:hAnsi="Times New Roman"/>
          <w:sz w:val="28"/>
          <w:szCs w:val="28"/>
        </w:rPr>
        <w:t>"</w:t>
      </w:r>
      <w:r w:rsidRPr="006C2432">
        <w:t xml:space="preserve"> </w:t>
      </w:r>
      <w:r w:rsidRPr="006C2432">
        <w:rPr>
          <w:rFonts w:ascii="Times New Roman" w:hAnsi="Times New Roman"/>
          <w:sz w:val="28"/>
          <w:szCs w:val="28"/>
        </w:rPr>
        <w:t>81.2. pēc 20</w:t>
      </w:r>
      <w:r>
        <w:rPr>
          <w:rFonts w:ascii="Times New Roman" w:hAnsi="Times New Roman"/>
          <w:sz w:val="28"/>
          <w:szCs w:val="28"/>
        </w:rPr>
        <w:t>0</w:t>
      </w:r>
      <w:r w:rsidRPr="006C2432">
        <w:rPr>
          <w:rFonts w:ascii="Times New Roman" w:hAnsi="Times New Roman"/>
          <w:sz w:val="28"/>
          <w:szCs w:val="28"/>
        </w:rPr>
        <w:t xml:space="preserve">1. gada 1. </w:t>
      </w:r>
      <w:r>
        <w:rPr>
          <w:rFonts w:ascii="Times New Roman" w:hAnsi="Times New Roman"/>
          <w:sz w:val="28"/>
          <w:szCs w:val="28"/>
        </w:rPr>
        <w:t>janvā</w:t>
      </w:r>
      <w:r w:rsidRPr="006C2432">
        <w:rPr>
          <w:rFonts w:ascii="Times New Roman" w:hAnsi="Times New Roman"/>
          <w:sz w:val="28"/>
          <w:szCs w:val="28"/>
        </w:rPr>
        <w:t>ra – Bulgārijā, Čehijā, Igaunijā, Kiprā, Lietuvā, Maltā, Polijā, Rumānijā, Slovākijā,</w:t>
      </w:r>
      <w:r>
        <w:rPr>
          <w:rFonts w:ascii="Times New Roman" w:hAnsi="Times New Roman"/>
          <w:sz w:val="28"/>
          <w:szCs w:val="28"/>
        </w:rPr>
        <w:t xml:space="preserve"> </w:t>
      </w:r>
      <w:r w:rsidRPr="006C2432">
        <w:rPr>
          <w:rFonts w:ascii="Times New Roman" w:hAnsi="Times New Roman"/>
          <w:sz w:val="28"/>
          <w:szCs w:val="28"/>
        </w:rPr>
        <w:t>Slovēnijā</w:t>
      </w:r>
      <w:r>
        <w:rPr>
          <w:rFonts w:ascii="Times New Roman" w:hAnsi="Times New Roman"/>
          <w:sz w:val="28"/>
          <w:szCs w:val="28"/>
        </w:rPr>
        <w:t xml:space="preserve">, Ungārijā vai </w:t>
      </w:r>
      <w:r w:rsidRPr="006C2432">
        <w:rPr>
          <w:rFonts w:ascii="Times New Roman" w:hAnsi="Times New Roman"/>
          <w:sz w:val="28"/>
          <w:szCs w:val="28"/>
        </w:rPr>
        <w:t>Horvātijā reģistrētam transportlīdzeklim, kam piešķirts</w:t>
      </w:r>
      <w:r>
        <w:rPr>
          <w:rFonts w:ascii="Times New Roman" w:hAnsi="Times New Roman"/>
          <w:sz w:val="28"/>
          <w:szCs w:val="28"/>
        </w:rPr>
        <w:t xml:space="preserve"> </w:t>
      </w:r>
      <w:r w:rsidRPr="006C2432">
        <w:rPr>
          <w:rFonts w:ascii="Times New Roman" w:hAnsi="Times New Roman"/>
          <w:sz w:val="28"/>
          <w:szCs w:val="28"/>
        </w:rPr>
        <w:t>EK tipa vai individuālais apstiprinājums, valsts tipa vai individuālais apstiprinājums. Piešķirto valsts tipa vai individuālo</w:t>
      </w:r>
      <w:r>
        <w:rPr>
          <w:rFonts w:ascii="Times New Roman" w:hAnsi="Times New Roman"/>
          <w:sz w:val="28"/>
          <w:szCs w:val="28"/>
        </w:rPr>
        <w:t xml:space="preserve"> </w:t>
      </w:r>
      <w:r w:rsidRPr="006C2432">
        <w:rPr>
          <w:rFonts w:ascii="Times New Roman" w:hAnsi="Times New Roman"/>
          <w:sz w:val="28"/>
          <w:szCs w:val="28"/>
        </w:rPr>
        <w:t>apstiprinājumu apliecina ar:".</w:t>
      </w:r>
    </w:p>
    <w:p w14:paraId="4D56751D" w14:textId="2412F7D8" w:rsidR="006C2432" w:rsidRDefault="006C2432" w:rsidP="006C2432">
      <w:pPr>
        <w:spacing w:after="0" w:line="240" w:lineRule="auto"/>
        <w:ind w:firstLine="720"/>
        <w:jc w:val="both"/>
        <w:rPr>
          <w:rFonts w:ascii="Times New Roman" w:hAnsi="Times New Roman"/>
          <w:sz w:val="28"/>
          <w:szCs w:val="28"/>
        </w:rPr>
      </w:pPr>
    </w:p>
    <w:p w14:paraId="6D4D2026" w14:textId="089F499D" w:rsidR="006C2432" w:rsidRPr="006C2432" w:rsidRDefault="006C2432" w:rsidP="006C2432">
      <w:pPr>
        <w:pStyle w:val="ListParagraph"/>
        <w:numPr>
          <w:ilvl w:val="0"/>
          <w:numId w:val="1"/>
        </w:numPr>
        <w:spacing w:after="0" w:line="240" w:lineRule="auto"/>
        <w:jc w:val="both"/>
        <w:rPr>
          <w:rFonts w:ascii="Times New Roman" w:hAnsi="Times New Roman"/>
          <w:sz w:val="28"/>
          <w:szCs w:val="28"/>
        </w:rPr>
      </w:pPr>
      <w:r w:rsidRPr="006C2432">
        <w:rPr>
          <w:rFonts w:ascii="Times New Roman" w:hAnsi="Times New Roman"/>
          <w:sz w:val="28"/>
          <w:szCs w:val="28"/>
        </w:rPr>
        <w:t xml:space="preserve">Izteikt </w:t>
      </w:r>
      <w:r>
        <w:rPr>
          <w:rFonts w:ascii="Times New Roman" w:hAnsi="Times New Roman"/>
          <w:sz w:val="28"/>
          <w:szCs w:val="28"/>
        </w:rPr>
        <w:t>8</w:t>
      </w:r>
      <w:r w:rsidRPr="006C2432">
        <w:rPr>
          <w:rFonts w:ascii="Times New Roman" w:hAnsi="Times New Roman"/>
          <w:sz w:val="28"/>
          <w:szCs w:val="28"/>
        </w:rPr>
        <w:t>2. punktu šādā redakcijā:</w:t>
      </w:r>
    </w:p>
    <w:p w14:paraId="06BACDB3" w14:textId="6108736F" w:rsidR="006C2432" w:rsidRPr="006C2432" w:rsidRDefault="006C2432" w:rsidP="006C2432">
      <w:pPr>
        <w:spacing w:after="0" w:line="240" w:lineRule="auto"/>
        <w:jc w:val="both"/>
        <w:rPr>
          <w:rFonts w:ascii="Times New Roman" w:hAnsi="Times New Roman"/>
          <w:sz w:val="28"/>
          <w:szCs w:val="28"/>
        </w:rPr>
      </w:pPr>
      <w:r>
        <w:rPr>
          <w:rFonts w:ascii="Times New Roman" w:hAnsi="Times New Roman"/>
          <w:sz w:val="28"/>
          <w:szCs w:val="28"/>
        </w:rPr>
        <w:t>" 8</w:t>
      </w:r>
      <w:r w:rsidRPr="006C2432">
        <w:rPr>
          <w:rFonts w:ascii="Times New Roman" w:hAnsi="Times New Roman"/>
          <w:sz w:val="28"/>
          <w:szCs w:val="28"/>
        </w:rPr>
        <w:t>2. Lietotam M2 un M3 kategorijas transportlīdzeklim, ja tā pastāvīgās reģistrācijas apliecība izsniegta kādā no šo</w:t>
      </w:r>
      <w:r>
        <w:rPr>
          <w:rFonts w:ascii="Times New Roman" w:hAnsi="Times New Roman"/>
          <w:sz w:val="28"/>
          <w:szCs w:val="28"/>
        </w:rPr>
        <w:t xml:space="preserve"> </w:t>
      </w:r>
      <w:r w:rsidRPr="006C2432">
        <w:rPr>
          <w:rFonts w:ascii="Times New Roman" w:hAnsi="Times New Roman"/>
          <w:sz w:val="28"/>
          <w:szCs w:val="28"/>
        </w:rPr>
        <w:t>noteikumu 81.1. apakšpunktā minētajām valstīm, kā arī kādā no šo noteikumu 81.2. apakšpunktā minētajām valstīm, ja tajā</w:t>
      </w:r>
      <w:r>
        <w:rPr>
          <w:rFonts w:ascii="Times New Roman" w:hAnsi="Times New Roman"/>
          <w:sz w:val="28"/>
          <w:szCs w:val="28"/>
        </w:rPr>
        <w:t xml:space="preserve"> </w:t>
      </w:r>
      <w:r w:rsidRPr="006C2432">
        <w:rPr>
          <w:rFonts w:ascii="Times New Roman" w:hAnsi="Times New Roman"/>
          <w:sz w:val="28"/>
          <w:szCs w:val="28"/>
        </w:rPr>
        <w:t>piešķirts valsts tipa vai individuālais apstiprinājums,</w:t>
      </w:r>
      <w:r w:rsidRPr="006C2432">
        <w:t xml:space="preserve"> </w:t>
      </w:r>
      <w:r w:rsidRPr="006C2432">
        <w:rPr>
          <w:rFonts w:ascii="Times New Roman" w:hAnsi="Times New Roman"/>
          <w:sz w:val="28"/>
          <w:szCs w:val="28"/>
        </w:rPr>
        <w:t>atbilstības novērtēšana tiek veikta individuāli saskaņā ar šo noteikumu X nodaļā minēto kārtību, piemērojot</w:t>
      </w:r>
      <w:r>
        <w:rPr>
          <w:rFonts w:ascii="Times New Roman" w:hAnsi="Times New Roman"/>
          <w:sz w:val="28"/>
          <w:szCs w:val="28"/>
        </w:rPr>
        <w:t xml:space="preserve"> </w:t>
      </w:r>
      <w:r w:rsidRPr="006C2432">
        <w:rPr>
          <w:rFonts w:ascii="Times New Roman" w:hAnsi="Times New Roman"/>
          <w:sz w:val="28"/>
          <w:szCs w:val="28"/>
        </w:rPr>
        <w:t>šādus atvieglojumus:".</w:t>
      </w:r>
    </w:p>
    <w:p w14:paraId="4611669A" w14:textId="77777777" w:rsidR="00797648" w:rsidRPr="00DD2265" w:rsidRDefault="00797648" w:rsidP="00797648">
      <w:pPr>
        <w:pStyle w:val="ListParagraph"/>
        <w:spacing w:after="0" w:line="240" w:lineRule="auto"/>
        <w:ind w:left="0" w:firstLine="720"/>
        <w:jc w:val="both"/>
        <w:rPr>
          <w:rFonts w:ascii="Times New Roman" w:hAnsi="Times New Roman"/>
          <w:sz w:val="28"/>
          <w:szCs w:val="28"/>
        </w:rPr>
      </w:pPr>
    </w:p>
    <w:p w14:paraId="2499F0FF" w14:textId="77777777" w:rsidR="00192B18" w:rsidRPr="00DD2265" w:rsidRDefault="00192B18" w:rsidP="00192B18">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Papildināt 3. pielikuma tabulu ar 45.punktu šādā redakcijā:</w:t>
      </w:r>
    </w:p>
    <w:p w14:paraId="40BF3251" w14:textId="77777777" w:rsidR="00192B18" w:rsidRPr="00DD2265" w:rsidRDefault="00192B18" w:rsidP="00192B18">
      <w:pPr>
        <w:pStyle w:val="ListParagraph"/>
        <w:spacing w:after="0" w:line="240" w:lineRule="auto"/>
        <w:ind w:left="1080"/>
        <w:jc w:val="both"/>
        <w:rPr>
          <w:rFonts w:ascii="Times New Roman" w:hAnsi="Times New Roman"/>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66"/>
        <w:gridCol w:w="1516"/>
        <w:gridCol w:w="709"/>
        <w:gridCol w:w="1417"/>
        <w:gridCol w:w="567"/>
      </w:tblGrid>
      <w:tr w:rsidR="00192B18" w:rsidRPr="00DD2265" w14:paraId="6DBE0B16" w14:textId="77777777" w:rsidTr="00712148">
        <w:trPr>
          <w:cantSplit/>
        </w:trPr>
        <w:tc>
          <w:tcPr>
            <w:tcW w:w="710" w:type="dxa"/>
            <w:vAlign w:val="center"/>
          </w:tcPr>
          <w:p w14:paraId="01FA1270" w14:textId="77777777" w:rsidR="00192B18" w:rsidRPr="00DD2265" w:rsidRDefault="00192B18" w:rsidP="008F6DD5">
            <w:pPr>
              <w:spacing w:after="0" w:line="240" w:lineRule="auto"/>
              <w:rPr>
                <w:rFonts w:ascii="Times New Roman" w:eastAsia="Times New Roman" w:hAnsi="Times New Roman"/>
                <w:sz w:val="24"/>
                <w:szCs w:val="20"/>
              </w:rPr>
            </w:pPr>
            <w:r w:rsidRPr="00DD2265">
              <w:rPr>
                <w:rFonts w:ascii="Times New Roman" w:eastAsia="Times New Roman" w:hAnsi="Times New Roman"/>
                <w:sz w:val="24"/>
                <w:szCs w:val="20"/>
              </w:rPr>
              <w:t>45.</w:t>
            </w:r>
          </w:p>
        </w:tc>
        <w:tc>
          <w:tcPr>
            <w:tcW w:w="4466" w:type="dxa"/>
            <w:vAlign w:val="center"/>
          </w:tcPr>
          <w:p w14:paraId="71A21153" w14:textId="77777777" w:rsidR="00192B18" w:rsidRPr="00DD2265" w:rsidRDefault="00192B18" w:rsidP="008F6DD5">
            <w:pPr>
              <w:spacing w:after="0" w:line="240" w:lineRule="auto"/>
              <w:rPr>
                <w:rFonts w:ascii="Times New Roman" w:eastAsia="Times New Roman" w:hAnsi="Times New Roman"/>
                <w:sz w:val="24"/>
                <w:szCs w:val="20"/>
              </w:rPr>
            </w:pPr>
            <w:r w:rsidRPr="00DD2265">
              <w:rPr>
                <w:rFonts w:ascii="Times New Roman" w:eastAsia="Times New Roman" w:hAnsi="Times New Roman"/>
                <w:sz w:val="24"/>
                <w:szCs w:val="20"/>
              </w:rPr>
              <w:t xml:space="preserve">Piesārņojuma kontroles </w:t>
            </w:r>
            <w:proofErr w:type="spellStart"/>
            <w:r w:rsidRPr="00DD2265">
              <w:rPr>
                <w:rFonts w:ascii="Times New Roman" w:eastAsia="Times New Roman" w:hAnsi="Times New Roman"/>
                <w:sz w:val="24"/>
                <w:szCs w:val="20"/>
              </w:rPr>
              <w:t>aizstājējiekārtas</w:t>
            </w:r>
            <w:proofErr w:type="spellEnd"/>
          </w:p>
        </w:tc>
        <w:tc>
          <w:tcPr>
            <w:tcW w:w="1516" w:type="dxa"/>
            <w:vAlign w:val="center"/>
          </w:tcPr>
          <w:p w14:paraId="717F97A9" w14:textId="77777777" w:rsidR="00192B18" w:rsidRPr="00DD2265" w:rsidRDefault="00192B18" w:rsidP="008F6DD5">
            <w:pPr>
              <w:spacing w:after="0" w:line="240" w:lineRule="auto"/>
              <w:ind w:right="-108"/>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709" w:type="dxa"/>
            <w:vAlign w:val="center"/>
          </w:tcPr>
          <w:p w14:paraId="46EA1E90" w14:textId="77777777" w:rsidR="00192B18" w:rsidRPr="00DD2265" w:rsidRDefault="00192B18" w:rsidP="008F6DD5">
            <w:pPr>
              <w:spacing w:after="0" w:line="240" w:lineRule="auto"/>
              <w:ind w:left="-108" w:right="-108"/>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1417" w:type="dxa"/>
            <w:vAlign w:val="center"/>
          </w:tcPr>
          <w:p w14:paraId="1EA35102" w14:textId="77777777" w:rsidR="00192B18" w:rsidRPr="00DD2265" w:rsidRDefault="00192B18" w:rsidP="008F6DD5">
            <w:pPr>
              <w:spacing w:after="0" w:line="240" w:lineRule="auto"/>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567" w:type="dxa"/>
            <w:vAlign w:val="center"/>
          </w:tcPr>
          <w:p w14:paraId="7A677345" w14:textId="77777777" w:rsidR="00192B18" w:rsidRPr="00DD2265" w:rsidRDefault="00192B18" w:rsidP="00192B18">
            <w:pPr>
              <w:spacing w:after="0" w:line="240" w:lineRule="auto"/>
              <w:ind w:left="-108" w:right="-108"/>
              <w:jc w:val="center"/>
              <w:rPr>
                <w:rFonts w:ascii="Times New Roman" w:eastAsia="Times New Roman" w:hAnsi="Times New Roman"/>
                <w:sz w:val="24"/>
                <w:szCs w:val="20"/>
              </w:rPr>
            </w:pPr>
            <w:r w:rsidRPr="00DD2265">
              <w:rPr>
                <w:rFonts w:ascii="Times New Roman" w:eastAsia="Times New Roman" w:hAnsi="Times New Roman"/>
                <w:sz w:val="24"/>
                <w:szCs w:val="20"/>
              </w:rPr>
              <w:t>103</w:t>
            </w:r>
          </w:p>
        </w:tc>
      </w:tr>
    </w:tbl>
    <w:p w14:paraId="2EBC2FEC" w14:textId="77777777" w:rsidR="00192B18" w:rsidRPr="00DD2265" w:rsidRDefault="00192B18" w:rsidP="00192B18">
      <w:pPr>
        <w:spacing w:after="0" w:line="240" w:lineRule="auto"/>
        <w:jc w:val="both"/>
        <w:rPr>
          <w:rFonts w:ascii="Times New Roman" w:hAnsi="Times New Roman"/>
          <w:sz w:val="28"/>
          <w:szCs w:val="28"/>
        </w:rPr>
      </w:pPr>
    </w:p>
    <w:p w14:paraId="04873DFD" w14:textId="77777777" w:rsidR="00D24356" w:rsidRPr="00DD2265" w:rsidRDefault="00D24356" w:rsidP="00316438">
      <w:pPr>
        <w:pStyle w:val="ListParagraph"/>
        <w:numPr>
          <w:ilvl w:val="0"/>
          <w:numId w:val="1"/>
        </w:numPr>
        <w:tabs>
          <w:tab w:val="left" w:pos="1134"/>
        </w:tabs>
        <w:spacing w:after="0" w:line="240" w:lineRule="auto"/>
        <w:ind w:left="0" w:firstLine="720"/>
        <w:jc w:val="both"/>
        <w:rPr>
          <w:rFonts w:ascii="Times New Roman" w:hAnsi="Times New Roman"/>
          <w:sz w:val="28"/>
          <w:szCs w:val="28"/>
        </w:rPr>
      </w:pPr>
      <w:r w:rsidRPr="00DD2265">
        <w:rPr>
          <w:rFonts w:ascii="Times New Roman" w:hAnsi="Times New Roman"/>
          <w:sz w:val="28"/>
          <w:szCs w:val="28"/>
        </w:rPr>
        <w:t>Svītrot 4.pielikuma III sadaļas 2.nodaļas 3.2.12.2.4.</w:t>
      </w:r>
      <w:r w:rsidR="00834B1E" w:rsidRPr="00DD2265">
        <w:rPr>
          <w:rFonts w:ascii="Times New Roman" w:hAnsi="Times New Roman"/>
          <w:sz w:val="28"/>
          <w:szCs w:val="28"/>
        </w:rPr>
        <w:t xml:space="preserve">, </w:t>
      </w:r>
      <w:r w:rsidRPr="00DD2265">
        <w:rPr>
          <w:rFonts w:ascii="Times New Roman" w:hAnsi="Times New Roman"/>
          <w:sz w:val="28"/>
          <w:szCs w:val="28"/>
        </w:rPr>
        <w:t>7.2.1. un 7.2.2. apakšpunktu.</w:t>
      </w:r>
      <w:r w:rsidR="00A11D6D" w:rsidRPr="00DD2265">
        <w:rPr>
          <w:rFonts w:ascii="Times New Roman" w:hAnsi="Times New Roman"/>
          <w:sz w:val="28"/>
          <w:szCs w:val="28"/>
        </w:rPr>
        <w:t xml:space="preserve"> </w:t>
      </w:r>
    </w:p>
    <w:p w14:paraId="5361D0CD" w14:textId="77777777" w:rsidR="00D24356" w:rsidRPr="00DD2265" w:rsidRDefault="00D24356" w:rsidP="00316438">
      <w:pPr>
        <w:pStyle w:val="ListParagraph"/>
        <w:spacing w:after="0" w:line="240" w:lineRule="auto"/>
        <w:ind w:left="1080"/>
        <w:jc w:val="both"/>
        <w:rPr>
          <w:rFonts w:ascii="Times New Roman" w:hAnsi="Times New Roman"/>
          <w:sz w:val="28"/>
          <w:szCs w:val="28"/>
        </w:rPr>
      </w:pPr>
    </w:p>
    <w:p w14:paraId="6A9423A8" w14:textId="77777777" w:rsidR="00A11D6D" w:rsidRPr="00DD2265" w:rsidRDefault="00D24356"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t xml:space="preserve">Svītrot 4.pielikuma III sadaļas 3. </w:t>
      </w:r>
      <w:r w:rsidR="006D15C3" w:rsidRPr="00DD2265">
        <w:rPr>
          <w:rFonts w:ascii="Times New Roman" w:hAnsi="Times New Roman"/>
          <w:sz w:val="28"/>
          <w:szCs w:val="28"/>
        </w:rPr>
        <w:t>nodaļas</w:t>
      </w:r>
      <w:r w:rsidR="00A11D6D" w:rsidRPr="00DD2265">
        <w:rPr>
          <w:rFonts w:ascii="Times New Roman" w:hAnsi="Times New Roman"/>
          <w:sz w:val="28"/>
          <w:szCs w:val="28"/>
        </w:rPr>
        <w:t xml:space="preserve"> 3.2.12.2.3., 3.2.12.2.4., 3.2.12.2.5., 3.2.12.2.6., 7.2.1. un 7.2.2. apakšpunktu</w:t>
      </w:r>
      <w:r w:rsidR="00834B1E" w:rsidRPr="00DD2265">
        <w:rPr>
          <w:rFonts w:ascii="Times New Roman" w:hAnsi="Times New Roman"/>
          <w:sz w:val="28"/>
          <w:szCs w:val="28"/>
        </w:rPr>
        <w:t>.</w:t>
      </w:r>
    </w:p>
    <w:p w14:paraId="5028E668" w14:textId="77777777" w:rsidR="00A11D6D" w:rsidRPr="00DD2265" w:rsidRDefault="00A11D6D" w:rsidP="00834B1E">
      <w:pPr>
        <w:pStyle w:val="ListParagraph"/>
        <w:tabs>
          <w:tab w:val="left" w:pos="1134"/>
        </w:tabs>
        <w:jc w:val="both"/>
        <w:rPr>
          <w:rFonts w:ascii="Times New Roman" w:hAnsi="Times New Roman"/>
          <w:sz w:val="28"/>
          <w:szCs w:val="28"/>
        </w:rPr>
      </w:pPr>
    </w:p>
    <w:p w14:paraId="4C1BFFB8" w14:textId="77777777" w:rsidR="00D24356" w:rsidRPr="00DD2265" w:rsidRDefault="006D15C3"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t xml:space="preserve">Svītrot 4.pielikuma III sadaļas </w:t>
      </w:r>
      <w:r w:rsidR="00D24356" w:rsidRPr="00DD2265">
        <w:rPr>
          <w:rFonts w:ascii="Times New Roman" w:hAnsi="Times New Roman"/>
          <w:sz w:val="28"/>
          <w:szCs w:val="28"/>
        </w:rPr>
        <w:t xml:space="preserve">4.nodaļas 3.2.12.2.3., 3.2.12.2.4., </w:t>
      </w:r>
      <w:r w:rsidR="00E76DC3" w:rsidRPr="00DD2265">
        <w:rPr>
          <w:rFonts w:ascii="Times New Roman" w:hAnsi="Times New Roman"/>
          <w:sz w:val="28"/>
          <w:szCs w:val="28"/>
        </w:rPr>
        <w:t xml:space="preserve">3.2.12.2.5., 3.2.12.2.6., </w:t>
      </w:r>
      <w:r w:rsidR="00D24356" w:rsidRPr="00DD2265">
        <w:rPr>
          <w:rFonts w:ascii="Times New Roman" w:hAnsi="Times New Roman"/>
          <w:sz w:val="28"/>
          <w:szCs w:val="28"/>
        </w:rPr>
        <w:t>7.2.1. un 7.2.2. apakšpunktu.</w:t>
      </w:r>
    </w:p>
    <w:p w14:paraId="0B432D63" w14:textId="77777777" w:rsidR="006D15C3" w:rsidRPr="00DD2265" w:rsidRDefault="006D15C3" w:rsidP="005B0CC4">
      <w:pPr>
        <w:pStyle w:val="ListParagraph"/>
        <w:tabs>
          <w:tab w:val="left" w:pos="1134"/>
        </w:tabs>
        <w:jc w:val="both"/>
        <w:rPr>
          <w:rFonts w:ascii="Times New Roman" w:hAnsi="Times New Roman"/>
          <w:sz w:val="28"/>
          <w:szCs w:val="28"/>
        </w:rPr>
      </w:pPr>
    </w:p>
    <w:p w14:paraId="2B30E4D7" w14:textId="4C75C9AE" w:rsidR="00316438" w:rsidRPr="00DD2265" w:rsidRDefault="006D15C3"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t xml:space="preserve">6.pielikuma III sadaļas </w:t>
      </w:r>
      <w:r w:rsidR="005B0CC4" w:rsidRPr="00DD2265">
        <w:rPr>
          <w:rFonts w:ascii="Times New Roman" w:hAnsi="Times New Roman"/>
          <w:sz w:val="28"/>
          <w:szCs w:val="28"/>
        </w:rPr>
        <w:t xml:space="preserve">Individuālā transportlīdzekļa apstiprināšanas sertifikāta paraugā izslēgt </w:t>
      </w:r>
      <w:r w:rsidR="00316438" w:rsidRPr="00DD2265">
        <w:rPr>
          <w:rFonts w:ascii="Times New Roman" w:hAnsi="Times New Roman"/>
          <w:sz w:val="28"/>
          <w:szCs w:val="28"/>
        </w:rPr>
        <w:t>3.2.12.2.4. un 7.2. apakšpunktu.</w:t>
      </w:r>
    </w:p>
    <w:p w14:paraId="0DC7D696" w14:textId="77777777" w:rsidR="00113FE3" w:rsidRPr="00DD2265" w:rsidRDefault="00113FE3" w:rsidP="00113FE3">
      <w:pPr>
        <w:pStyle w:val="ListParagraph"/>
        <w:rPr>
          <w:rFonts w:ascii="Times New Roman" w:hAnsi="Times New Roman"/>
          <w:sz w:val="28"/>
          <w:szCs w:val="28"/>
        </w:rPr>
      </w:pPr>
    </w:p>
    <w:p w14:paraId="46800119" w14:textId="77777777" w:rsidR="00113FE3" w:rsidRPr="00DD2265" w:rsidRDefault="00113FE3" w:rsidP="00316438">
      <w:pPr>
        <w:pStyle w:val="ListParagraph"/>
        <w:numPr>
          <w:ilvl w:val="0"/>
          <w:numId w:val="1"/>
        </w:numPr>
        <w:tabs>
          <w:tab w:val="left" w:pos="1134"/>
        </w:tabs>
        <w:ind w:left="0" w:firstLine="720"/>
        <w:jc w:val="both"/>
        <w:rPr>
          <w:rFonts w:ascii="Times New Roman" w:hAnsi="Times New Roman"/>
          <w:sz w:val="28"/>
          <w:szCs w:val="28"/>
        </w:rPr>
      </w:pPr>
      <w:bookmarkStart w:id="4" w:name="_Hlk507079560"/>
      <w:r w:rsidRPr="00DD2265">
        <w:rPr>
          <w:rFonts w:ascii="Times New Roman" w:hAnsi="Times New Roman"/>
          <w:sz w:val="28"/>
          <w:szCs w:val="28"/>
        </w:rPr>
        <w:t>Izteikt 7.pielikuma II sadaļas 7.5. apakšpunktu šādā redakcijā:</w:t>
      </w:r>
    </w:p>
    <w:p w14:paraId="37B6F64C" w14:textId="77777777" w:rsidR="0001383D" w:rsidRPr="00DD2265" w:rsidRDefault="00532D2F" w:rsidP="00532D2F">
      <w:pPr>
        <w:pStyle w:val="ListParagraph"/>
        <w:ind w:left="0" w:firstLine="720"/>
        <w:jc w:val="both"/>
        <w:rPr>
          <w:rFonts w:ascii="Times New Roman" w:hAnsi="Times New Roman"/>
          <w:sz w:val="28"/>
          <w:szCs w:val="28"/>
        </w:rPr>
      </w:pPr>
      <w:r w:rsidRPr="00DD2265">
        <w:rPr>
          <w:rFonts w:ascii="Times New Roman" w:hAnsi="Times New Roman"/>
          <w:sz w:val="28"/>
          <w:szCs w:val="28"/>
        </w:rPr>
        <w:t xml:space="preserve">"7.5. </w:t>
      </w:r>
      <w:r w:rsidR="003C5E06" w:rsidRPr="00DD2265">
        <w:rPr>
          <w:rFonts w:ascii="Times New Roman" w:hAnsi="Times New Roman"/>
          <w:sz w:val="28"/>
          <w:szCs w:val="28"/>
        </w:rPr>
        <w:t>Viens no zemāk norādītajiem CSDD noteiktas personas atzinumiem</w:t>
      </w:r>
      <w:r w:rsidRPr="00DD2265">
        <w:rPr>
          <w:rFonts w:ascii="Times New Roman" w:hAnsi="Times New Roman"/>
          <w:sz w:val="28"/>
          <w:szCs w:val="28"/>
        </w:rPr>
        <w:t>, kas apliecina, ka</w:t>
      </w:r>
      <w:r w:rsidR="0001383D" w:rsidRPr="00DD2265">
        <w:rPr>
          <w:rFonts w:ascii="Times New Roman" w:hAnsi="Times New Roman"/>
          <w:sz w:val="28"/>
          <w:szCs w:val="28"/>
        </w:rPr>
        <w:t>:</w:t>
      </w:r>
    </w:p>
    <w:p w14:paraId="01138FC4" w14:textId="09BD197A" w:rsidR="0001383D" w:rsidRPr="00DD2265" w:rsidRDefault="0001383D" w:rsidP="00532D2F">
      <w:pPr>
        <w:pStyle w:val="ListParagraph"/>
        <w:ind w:left="0" w:firstLine="720"/>
        <w:jc w:val="both"/>
        <w:rPr>
          <w:rFonts w:ascii="Times New Roman" w:hAnsi="Times New Roman"/>
          <w:sz w:val="28"/>
          <w:szCs w:val="28"/>
        </w:rPr>
      </w:pPr>
      <w:r w:rsidRPr="00DD2265">
        <w:rPr>
          <w:rFonts w:ascii="Times New Roman" w:hAnsi="Times New Roman"/>
          <w:sz w:val="28"/>
          <w:szCs w:val="28"/>
        </w:rPr>
        <w:t>7.5.1.</w:t>
      </w:r>
      <w:r w:rsidR="00532D2F" w:rsidRPr="00DD2265">
        <w:rPr>
          <w:rFonts w:ascii="Times New Roman" w:hAnsi="Times New Roman"/>
          <w:sz w:val="28"/>
          <w:szCs w:val="28"/>
        </w:rPr>
        <w:t xml:space="preserve"> konkrētais transportlīdzeklis ir identisks:</w:t>
      </w:r>
    </w:p>
    <w:p w14:paraId="667EF09F" w14:textId="77777777" w:rsidR="0001383D" w:rsidRPr="00DD2265" w:rsidRDefault="0001383D" w:rsidP="00532D2F">
      <w:pPr>
        <w:pStyle w:val="ListParagraph"/>
        <w:ind w:left="0" w:firstLine="720"/>
        <w:jc w:val="both"/>
        <w:rPr>
          <w:rFonts w:ascii="Times New Roman" w:hAnsi="Times New Roman"/>
          <w:color w:val="FF0000"/>
          <w:sz w:val="28"/>
          <w:szCs w:val="28"/>
        </w:rPr>
      </w:pPr>
      <w:r w:rsidRPr="00DD2265">
        <w:rPr>
          <w:rFonts w:ascii="Times New Roman" w:hAnsi="Times New Roman"/>
          <w:sz w:val="28"/>
          <w:szCs w:val="28"/>
        </w:rPr>
        <w:t>7.5.1.1. transportlīdzeklim, uz kura atbilstību pamatojoties izsniegts CSDD atzīta tehniskā dienesta apliecinājums</w:t>
      </w:r>
      <w:r w:rsidR="001230F1" w:rsidRPr="00DD2265">
        <w:rPr>
          <w:rFonts w:ascii="Times New Roman" w:hAnsi="Times New Roman"/>
          <w:sz w:val="28"/>
          <w:szCs w:val="28"/>
        </w:rPr>
        <w:t xml:space="preserve"> vai;</w:t>
      </w:r>
    </w:p>
    <w:p w14:paraId="2EE1FA3A" w14:textId="77777777" w:rsidR="0001383D" w:rsidRPr="00DD2265" w:rsidRDefault="0001383D" w:rsidP="0001383D">
      <w:pPr>
        <w:pStyle w:val="ListParagraph"/>
        <w:ind w:left="0" w:firstLine="709"/>
        <w:jc w:val="both"/>
        <w:rPr>
          <w:rFonts w:ascii="Times New Roman" w:hAnsi="Times New Roman"/>
          <w:sz w:val="28"/>
          <w:szCs w:val="28"/>
        </w:rPr>
      </w:pPr>
      <w:r w:rsidRPr="00DD2265">
        <w:rPr>
          <w:rFonts w:ascii="Times New Roman" w:hAnsi="Times New Roman"/>
          <w:sz w:val="28"/>
          <w:szCs w:val="28"/>
        </w:rPr>
        <w:t>7.5.1.2. transportlīdzeklim, kam Latvijā jau ir veikta atbilstības novērtēšana un CSDD ir iesniegti attiecīgi atbilstības apliecinājumi. Atzinumam pievienojama attiecīgā atbilstības apliecinājuma kopija, kuras autentiskumu apliecinājis transportlīdzekļa izgatavotājs, tā pārstāvis vai atbilstības apliecinājuma turētājs</w:t>
      </w:r>
      <w:r w:rsidR="002F1C16" w:rsidRPr="00DD2265">
        <w:rPr>
          <w:rFonts w:ascii="Times New Roman" w:hAnsi="Times New Roman"/>
          <w:sz w:val="28"/>
          <w:szCs w:val="28"/>
        </w:rPr>
        <w:t xml:space="preserve">; </w:t>
      </w:r>
    </w:p>
    <w:p w14:paraId="2E4948AE" w14:textId="77777777" w:rsidR="00E31CDD" w:rsidRPr="00DD2265" w:rsidRDefault="00964030" w:rsidP="007B7421">
      <w:pPr>
        <w:pStyle w:val="ListParagraph"/>
        <w:ind w:left="0" w:firstLine="709"/>
        <w:jc w:val="both"/>
        <w:rPr>
          <w:rFonts w:ascii="Times New Roman" w:hAnsi="Times New Roman"/>
          <w:sz w:val="28"/>
          <w:szCs w:val="28"/>
        </w:rPr>
      </w:pPr>
      <w:r w:rsidRPr="00DD2265">
        <w:rPr>
          <w:rFonts w:ascii="Times New Roman" w:hAnsi="Times New Roman"/>
          <w:sz w:val="28"/>
          <w:szCs w:val="28"/>
        </w:rPr>
        <w:t>7.5.2. konkrētais transportlīdzeklis atbilst Regulas Nr.183/2011 Pielikuma 4.punkta nosacījumiem.</w:t>
      </w:r>
      <w:r w:rsidR="00532D2F" w:rsidRPr="00DD2265">
        <w:rPr>
          <w:rFonts w:ascii="Times New Roman" w:hAnsi="Times New Roman"/>
          <w:sz w:val="28"/>
          <w:szCs w:val="28"/>
        </w:rPr>
        <w:t>".</w:t>
      </w:r>
    </w:p>
    <w:p w14:paraId="4C760B3C" w14:textId="77777777" w:rsidR="00D24356" w:rsidRPr="00DD2265" w:rsidRDefault="00D24356" w:rsidP="00D24356">
      <w:pPr>
        <w:pStyle w:val="ListParagraph"/>
        <w:spacing w:after="0" w:line="240" w:lineRule="auto"/>
        <w:ind w:left="1080"/>
        <w:jc w:val="both"/>
        <w:rPr>
          <w:rFonts w:ascii="Times New Roman" w:hAnsi="Times New Roman"/>
          <w:sz w:val="28"/>
          <w:szCs w:val="28"/>
        </w:rPr>
      </w:pPr>
    </w:p>
    <w:p w14:paraId="6799D656" w14:textId="77777777" w:rsidR="00282449" w:rsidRPr="00DD2265" w:rsidRDefault="008F6DD5" w:rsidP="008F6DD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7.pielikuma II sadaļas 7.</w:t>
      </w:r>
      <w:r w:rsidR="0093086F" w:rsidRPr="00DD2265">
        <w:rPr>
          <w:rFonts w:ascii="Times New Roman" w:hAnsi="Times New Roman"/>
          <w:sz w:val="28"/>
          <w:szCs w:val="28"/>
        </w:rPr>
        <w:t>7</w:t>
      </w:r>
      <w:r w:rsidRPr="00DD2265">
        <w:rPr>
          <w:rFonts w:ascii="Times New Roman" w:hAnsi="Times New Roman"/>
          <w:sz w:val="28"/>
          <w:szCs w:val="28"/>
        </w:rPr>
        <w:t>. apakšpunktu šādā redakcijā</w:t>
      </w:r>
      <w:r w:rsidR="00282449" w:rsidRPr="00DD2265">
        <w:rPr>
          <w:rFonts w:ascii="Times New Roman" w:hAnsi="Times New Roman"/>
          <w:sz w:val="28"/>
          <w:szCs w:val="28"/>
        </w:rPr>
        <w:t>:</w:t>
      </w:r>
    </w:p>
    <w:p w14:paraId="13C07D68" w14:textId="77777777" w:rsidR="00DB2289" w:rsidRPr="00DD2265" w:rsidRDefault="00282449" w:rsidP="00F719A9">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w:t>
      </w:r>
      <w:r w:rsidR="00F719A9" w:rsidRPr="00DD2265">
        <w:rPr>
          <w:rFonts w:ascii="Times New Roman" w:hAnsi="Times New Roman"/>
          <w:sz w:val="28"/>
          <w:szCs w:val="28"/>
        </w:rPr>
        <w:t>7.7. CSDD atzīta tehniskā dienesta izsniegts noteikta parauga apliecinājums konkrētam transportlīdzeklim kopā ar transportlīdzekļa izgatavotāja apliecinājumu</w:t>
      </w:r>
      <w:r w:rsidR="002F1C16" w:rsidRPr="00DD2265">
        <w:rPr>
          <w:rFonts w:ascii="Times New Roman" w:hAnsi="Times New Roman"/>
          <w:sz w:val="28"/>
          <w:szCs w:val="28"/>
        </w:rPr>
        <w:t xml:space="preserve"> par atsevišķu sastāvdaļu (parametru) atbilstību Eiropas Savienības direktīvu vai regulu, vai ANO noteikumu prasībām. Izgatavotāja apliecinājumā jābūt norādītam</w:t>
      </w:r>
      <w:r w:rsidR="00F719A9" w:rsidRPr="00DD2265">
        <w:rPr>
          <w:rFonts w:ascii="Times New Roman" w:hAnsi="Times New Roman"/>
          <w:sz w:val="28"/>
          <w:szCs w:val="28"/>
        </w:rPr>
        <w:t xml:space="preserve"> konkrēt</w:t>
      </w:r>
      <w:r w:rsidR="002F1C16" w:rsidRPr="00DD2265">
        <w:rPr>
          <w:rFonts w:ascii="Times New Roman" w:hAnsi="Times New Roman"/>
          <w:sz w:val="28"/>
          <w:szCs w:val="28"/>
        </w:rPr>
        <w:t>ajam</w:t>
      </w:r>
      <w:r w:rsidR="00F719A9" w:rsidRPr="00DD2265">
        <w:rPr>
          <w:rFonts w:ascii="Times New Roman" w:hAnsi="Times New Roman"/>
          <w:sz w:val="28"/>
          <w:szCs w:val="28"/>
        </w:rPr>
        <w:t xml:space="preserve"> </w:t>
      </w:r>
      <w:r w:rsidR="00E9020E" w:rsidRPr="00DD2265">
        <w:rPr>
          <w:rFonts w:ascii="Times New Roman" w:hAnsi="Times New Roman"/>
          <w:sz w:val="28"/>
          <w:szCs w:val="28"/>
        </w:rPr>
        <w:t xml:space="preserve">transportlīdzeklim </w:t>
      </w:r>
      <w:r w:rsidR="002F1C16" w:rsidRPr="00DD2265">
        <w:rPr>
          <w:rFonts w:ascii="Times New Roman" w:hAnsi="Times New Roman"/>
          <w:sz w:val="28"/>
          <w:szCs w:val="28"/>
        </w:rPr>
        <w:t xml:space="preserve">vai līdzvērtīgam </w:t>
      </w:r>
      <w:r w:rsidR="0057433A" w:rsidRPr="00DD2265">
        <w:rPr>
          <w:rFonts w:ascii="Times New Roman" w:hAnsi="Times New Roman"/>
          <w:sz w:val="28"/>
          <w:szCs w:val="28"/>
        </w:rPr>
        <w:t>transportlīdzek</w:t>
      </w:r>
      <w:r w:rsidR="00E9020E" w:rsidRPr="00DD2265">
        <w:rPr>
          <w:rFonts w:ascii="Times New Roman" w:hAnsi="Times New Roman"/>
          <w:sz w:val="28"/>
          <w:szCs w:val="28"/>
        </w:rPr>
        <w:t>ļa prototipam</w:t>
      </w:r>
      <w:r w:rsidR="002F1C16" w:rsidRPr="00DD2265">
        <w:rPr>
          <w:rFonts w:ascii="Times New Roman" w:hAnsi="Times New Roman"/>
          <w:sz w:val="28"/>
          <w:szCs w:val="28"/>
        </w:rPr>
        <w:t xml:space="preserve">, </w:t>
      </w:r>
      <w:r w:rsidR="00E9020E" w:rsidRPr="00DD2265">
        <w:rPr>
          <w:rFonts w:ascii="Times New Roman" w:hAnsi="Times New Roman"/>
          <w:sz w:val="28"/>
          <w:szCs w:val="28"/>
        </w:rPr>
        <w:t xml:space="preserve">ar </w:t>
      </w:r>
      <w:r w:rsidR="002F1C16" w:rsidRPr="00DD2265">
        <w:rPr>
          <w:rFonts w:ascii="Times New Roman" w:hAnsi="Times New Roman"/>
          <w:sz w:val="28"/>
          <w:szCs w:val="28"/>
        </w:rPr>
        <w:t>ku</w:t>
      </w:r>
      <w:r w:rsidR="00E9020E" w:rsidRPr="00DD2265">
        <w:rPr>
          <w:rFonts w:ascii="Times New Roman" w:hAnsi="Times New Roman"/>
          <w:sz w:val="28"/>
          <w:szCs w:val="28"/>
        </w:rPr>
        <w:t>ru var identificēt atbilstošo</w:t>
      </w:r>
      <w:r w:rsidR="002F1C16" w:rsidRPr="00DD2265">
        <w:rPr>
          <w:rFonts w:ascii="Times New Roman" w:hAnsi="Times New Roman"/>
          <w:sz w:val="28"/>
          <w:szCs w:val="28"/>
        </w:rPr>
        <w:t xml:space="preserve"> </w:t>
      </w:r>
      <w:r w:rsidR="00E9020E" w:rsidRPr="00DD2265">
        <w:rPr>
          <w:rFonts w:ascii="Times New Roman" w:hAnsi="Times New Roman"/>
          <w:sz w:val="28"/>
          <w:szCs w:val="28"/>
        </w:rPr>
        <w:t>transportlīdzekli</w:t>
      </w:r>
      <w:r w:rsidR="002F1C16" w:rsidRPr="00DD2265">
        <w:rPr>
          <w:rFonts w:ascii="Times New Roman" w:hAnsi="Times New Roman"/>
          <w:sz w:val="28"/>
          <w:szCs w:val="28"/>
        </w:rPr>
        <w:t>.</w:t>
      </w:r>
      <w:r w:rsidR="00F719A9" w:rsidRPr="00DD2265">
        <w:rPr>
          <w:rFonts w:ascii="Times New Roman" w:hAnsi="Times New Roman"/>
          <w:sz w:val="28"/>
          <w:szCs w:val="28"/>
        </w:rPr>
        <w:t xml:space="preserve"> </w:t>
      </w:r>
      <w:r w:rsidR="00F14987" w:rsidRPr="00DD2265">
        <w:rPr>
          <w:rFonts w:ascii="Times New Roman" w:hAnsi="Times New Roman"/>
          <w:sz w:val="28"/>
          <w:szCs w:val="28"/>
        </w:rPr>
        <w:t>".</w:t>
      </w:r>
    </w:p>
    <w:p w14:paraId="5A97C24A" w14:textId="77777777" w:rsidR="00532D2F" w:rsidRPr="00DD2265" w:rsidRDefault="00532D2F" w:rsidP="00F719A9">
      <w:pPr>
        <w:pStyle w:val="ListParagraph"/>
        <w:spacing w:after="0" w:line="240" w:lineRule="auto"/>
        <w:ind w:left="0" w:firstLine="709"/>
        <w:jc w:val="both"/>
        <w:rPr>
          <w:rFonts w:ascii="Times New Roman" w:hAnsi="Times New Roman"/>
          <w:sz w:val="28"/>
          <w:szCs w:val="28"/>
        </w:rPr>
      </w:pPr>
    </w:p>
    <w:p w14:paraId="0B0583FA" w14:textId="31E7DDEA" w:rsidR="00656770" w:rsidRPr="00DD2265" w:rsidRDefault="00DE3E92" w:rsidP="00782320">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 </w:t>
      </w:r>
      <w:r w:rsidR="00EE144E" w:rsidRPr="00DD2265">
        <w:rPr>
          <w:rFonts w:ascii="Times New Roman" w:hAnsi="Times New Roman"/>
          <w:sz w:val="28"/>
          <w:szCs w:val="28"/>
        </w:rPr>
        <w:t xml:space="preserve">Izteikt </w:t>
      </w:r>
      <w:r w:rsidRPr="00DD2265">
        <w:rPr>
          <w:rFonts w:ascii="Times New Roman" w:hAnsi="Times New Roman"/>
          <w:sz w:val="28"/>
          <w:szCs w:val="28"/>
        </w:rPr>
        <w:t>7. pielikuma II sadaļas 11.punkta tabul</w:t>
      </w:r>
      <w:r w:rsidR="00EE144E" w:rsidRPr="00DD2265">
        <w:rPr>
          <w:rFonts w:ascii="Times New Roman" w:hAnsi="Times New Roman"/>
          <w:sz w:val="28"/>
          <w:szCs w:val="28"/>
        </w:rPr>
        <w:t>as</w:t>
      </w:r>
      <w:r w:rsidRPr="00DD2265">
        <w:rPr>
          <w:rFonts w:ascii="Times New Roman" w:hAnsi="Times New Roman"/>
          <w:sz w:val="28"/>
          <w:szCs w:val="28"/>
        </w:rPr>
        <w:t xml:space="preserve"> </w:t>
      </w:r>
      <w:r w:rsidR="00782320" w:rsidRPr="00DD2265">
        <w:rPr>
          <w:rFonts w:ascii="Times New Roman" w:hAnsi="Times New Roman"/>
          <w:sz w:val="28"/>
          <w:szCs w:val="28"/>
        </w:rPr>
        <w:t>69. apakšpunktu šādā redakcijā</w:t>
      </w:r>
      <w:r w:rsidRPr="00DD2265">
        <w:rPr>
          <w:rFonts w:ascii="Times New Roman" w:hAnsi="Times New Roman"/>
          <w:sz w:val="28"/>
          <w:szCs w:val="28"/>
        </w:rPr>
        <w:t>:</w:t>
      </w:r>
    </w:p>
    <w:p w14:paraId="6DA4C14B" w14:textId="77777777" w:rsidR="00DE3E92" w:rsidRPr="00DD2265" w:rsidRDefault="00DE3E92" w:rsidP="00DE3E92">
      <w:pPr>
        <w:pStyle w:val="ListParagraph"/>
        <w:spacing w:after="0" w:line="240" w:lineRule="auto"/>
        <w:ind w:left="1080" w:hanging="371"/>
        <w:jc w:val="both"/>
        <w:rPr>
          <w:rFonts w:ascii="Times New Roman" w:hAnsi="Times New Roman"/>
          <w:sz w:val="28"/>
          <w:szCs w:val="28"/>
        </w:rPr>
      </w:pPr>
      <w:r w:rsidRPr="00DD2265">
        <w:rPr>
          <w:rFonts w:ascii="Times New Roman" w:hAnsi="Times New Roman"/>
          <w:sz w:val="28"/>
          <w:szCs w:val="28"/>
        </w:rPr>
        <w:t>"</w:t>
      </w:r>
    </w:p>
    <w:tbl>
      <w:tblPr>
        <w:tblW w:w="9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774"/>
        <w:gridCol w:w="528"/>
        <w:gridCol w:w="528"/>
        <w:gridCol w:w="528"/>
        <w:gridCol w:w="528"/>
        <w:gridCol w:w="528"/>
        <w:gridCol w:w="528"/>
        <w:gridCol w:w="528"/>
        <w:gridCol w:w="528"/>
        <w:gridCol w:w="528"/>
        <w:gridCol w:w="528"/>
      </w:tblGrid>
      <w:tr w:rsidR="00782320" w:rsidRPr="00DD2265" w14:paraId="7C64E8EA" w14:textId="77777777" w:rsidTr="00CE74A3">
        <w:trPr>
          <w:trHeight w:val="134"/>
        </w:trPr>
        <w:tc>
          <w:tcPr>
            <w:tcW w:w="852" w:type="dxa"/>
            <w:shd w:val="clear" w:color="auto" w:fill="auto"/>
          </w:tcPr>
          <w:p w14:paraId="0770F522" w14:textId="77777777" w:rsidR="00782320" w:rsidRPr="00DD2265" w:rsidRDefault="00782320" w:rsidP="00DE3E92">
            <w:pPr>
              <w:spacing w:after="0" w:line="240" w:lineRule="auto"/>
              <w:ind w:left="-108" w:right="-108"/>
              <w:jc w:val="center"/>
              <w:rPr>
                <w:rFonts w:ascii="Times New Roman" w:hAnsi="Times New Roman"/>
                <w:sz w:val="24"/>
              </w:rPr>
            </w:pPr>
            <w:r w:rsidRPr="00DD2265">
              <w:rPr>
                <w:rFonts w:ascii="Times New Roman" w:hAnsi="Times New Roman"/>
                <w:sz w:val="24"/>
              </w:rPr>
              <w:t>69.</w:t>
            </w:r>
          </w:p>
        </w:tc>
        <w:tc>
          <w:tcPr>
            <w:tcW w:w="3774" w:type="dxa"/>
            <w:shd w:val="clear" w:color="auto" w:fill="auto"/>
          </w:tcPr>
          <w:p w14:paraId="1378BEE5" w14:textId="77777777" w:rsidR="00782320" w:rsidRPr="00DD2265" w:rsidRDefault="00782320" w:rsidP="00DE3E92">
            <w:pPr>
              <w:spacing w:after="0" w:line="240" w:lineRule="auto"/>
              <w:rPr>
                <w:rFonts w:ascii="Times New Roman" w:hAnsi="Times New Roman"/>
                <w:sz w:val="24"/>
              </w:rPr>
            </w:pPr>
            <w:r w:rsidRPr="00DD2265">
              <w:rPr>
                <w:rFonts w:ascii="Times New Roman" w:hAnsi="Times New Roman"/>
                <w:sz w:val="24"/>
              </w:rPr>
              <w:t>Elektrodrošība</w:t>
            </w:r>
          </w:p>
        </w:tc>
        <w:tc>
          <w:tcPr>
            <w:tcW w:w="528" w:type="dxa"/>
            <w:vAlign w:val="center"/>
          </w:tcPr>
          <w:p w14:paraId="1A400ABF" w14:textId="77777777" w:rsidR="00782320" w:rsidRPr="00DD2265" w:rsidRDefault="00782320" w:rsidP="00DE3E92">
            <w:pPr>
              <w:spacing w:after="0" w:line="280" w:lineRule="exact"/>
              <w:ind w:left="-113" w:right="-57"/>
              <w:jc w:val="center"/>
              <w:rPr>
                <w:rFonts w:ascii="Times New Roman" w:eastAsia="Times New Roman" w:hAnsi="Times New Roman"/>
                <w:sz w:val="24"/>
                <w:szCs w:val="20"/>
              </w:rPr>
            </w:pPr>
            <w:r w:rsidRPr="00DD2265">
              <w:rPr>
                <w:rFonts w:ascii="Times New Roman" w:eastAsia="Times New Roman" w:hAnsi="Times New Roman"/>
                <w:sz w:val="24"/>
                <w:szCs w:val="20"/>
              </w:rPr>
              <w:t xml:space="preserve">5, 7 </w:t>
            </w:r>
          </w:p>
        </w:tc>
        <w:tc>
          <w:tcPr>
            <w:tcW w:w="528" w:type="dxa"/>
            <w:vAlign w:val="center"/>
          </w:tcPr>
          <w:p w14:paraId="25E8F3AA"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74D89606"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34005925" w14:textId="77777777" w:rsidR="00782320" w:rsidRPr="00DD2265" w:rsidRDefault="00782320" w:rsidP="00DE3E92">
            <w:pPr>
              <w:spacing w:after="0" w:line="280" w:lineRule="exact"/>
              <w:ind w:left="-113" w:right="-57"/>
              <w:jc w:val="center"/>
              <w:rPr>
                <w:rFonts w:ascii="Times New Roman" w:eastAsia="Times New Roman" w:hAnsi="Times New Roman"/>
                <w:sz w:val="24"/>
                <w:szCs w:val="20"/>
              </w:rPr>
            </w:pPr>
            <w:r w:rsidRPr="00DD2265">
              <w:rPr>
                <w:rFonts w:ascii="Times New Roman" w:eastAsia="Times New Roman" w:hAnsi="Times New Roman"/>
                <w:sz w:val="24"/>
                <w:szCs w:val="20"/>
              </w:rPr>
              <w:t>5, 7</w:t>
            </w:r>
          </w:p>
        </w:tc>
        <w:tc>
          <w:tcPr>
            <w:tcW w:w="528" w:type="dxa"/>
            <w:vAlign w:val="center"/>
          </w:tcPr>
          <w:p w14:paraId="0C68A8C0"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261E8C18"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7CF12CFD"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4B57CF8F"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02C27F4A"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7A99E14B"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r>
    </w:tbl>
    <w:p w14:paraId="464854B7" w14:textId="77777777" w:rsidR="00DE3E92" w:rsidRPr="00DD2265" w:rsidRDefault="00DE3E92" w:rsidP="00DE3E92">
      <w:pPr>
        <w:pStyle w:val="ListParagraph"/>
        <w:spacing w:after="0" w:line="240" w:lineRule="auto"/>
        <w:ind w:left="1080" w:hanging="371"/>
        <w:jc w:val="both"/>
        <w:rPr>
          <w:rFonts w:ascii="Times New Roman" w:hAnsi="Times New Roman"/>
          <w:sz w:val="28"/>
          <w:szCs w:val="28"/>
        </w:rPr>
      </w:pPr>
      <w:r w:rsidRPr="00DD2265">
        <w:rPr>
          <w:rFonts w:ascii="Times New Roman" w:hAnsi="Times New Roman"/>
          <w:sz w:val="28"/>
          <w:szCs w:val="28"/>
        </w:rPr>
        <w:t>".</w:t>
      </w:r>
    </w:p>
    <w:p w14:paraId="5FE6C61F" w14:textId="77777777" w:rsidR="00A631EA" w:rsidRPr="00DD2265" w:rsidRDefault="00A631EA" w:rsidP="00F719A9">
      <w:pPr>
        <w:pStyle w:val="ListParagraph"/>
        <w:spacing w:after="0" w:line="240" w:lineRule="auto"/>
        <w:ind w:left="0" w:firstLine="709"/>
        <w:jc w:val="both"/>
        <w:rPr>
          <w:rFonts w:ascii="Times New Roman" w:hAnsi="Times New Roman"/>
          <w:sz w:val="28"/>
          <w:szCs w:val="28"/>
        </w:rPr>
      </w:pPr>
    </w:p>
    <w:p w14:paraId="334B84B4" w14:textId="6BB2EA12" w:rsidR="00A631EA" w:rsidRPr="00DD2265" w:rsidRDefault="00BD3A5D" w:rsidP="00782320">
      <w:pPr>
        <w:pStyle w:val="ListParagraph"/>
        <w:numPr>
          <w:ilvl w:val="0"/>
          <w:numId w:val="1"/>
        </w:numPr>
        <w:spacing w:after="0" w:line="240" w:lineRule="auto"/>
        <w:ind w:left="0" w:firstLine="633"/>
        <w:jc w:val="both"/>
        <w:rPr>
          <w:rFonts w:ascii="Times New Roman" w:hAnsi="Times New Roman"/>
          <w:sz w:val="28"/>
          <w:szCs w:val="28"/>
        </w:rPr>
      </w:pPr>
      <w:bookmarkStart w:id="5" w:name="_Hlk505861560"/>
      <w:r w:rsidRPr="00DD2265">
        <w:rPr>
          <w:rFonts w:ascii="Times New Roman" w:hAnsi="Times New Roman"/>
          <w:sz w:val="28"/>
          <w:szCs w:val="28"/>
        </w:rPr>
        <w:t xml:space="preserve">Izteikt </w:t>
      </w:r>
      <w:r w:rsidR="00A631EA" w:rsidRPr="00DD2265">
        <w:rPr>
          <w:rFonts w:ascii="Times New Roman" w:hAnsi="Times New Roman"/>
          <w:sz w:val="28"/>
          <w:szCs w:val="28"/>
        </w:rPr>
        <w:t>7. pielikuma II sadaļas 11.punkta piezīmju daļas “</w:t>
      </w:r>
      <w:r w:rsidR="00607742" w:rsidRPr="00DD2265">
        <w:rPr>
          <w:rFonts w:ascii="Times New Roman" w:hAnsi="Times New Roman"/>
          <w:sz w:val="28"/>
          <w:szCs w:val="28"/>
        </w:rPr>
        <w:t>Cipar</w:t>
      </w:r>
      <w:r w:rsidR="00A631EA" w:rsidRPr="00DD2265">
        <w:rPr>
          <w:rFonts w:ascii="Times New Roman" w:hAnsi="Times New Roman"/>
          <w:sz w:val="28"/>
          <w:szCs w:val="28"/>
        </w:rPr>
        <w:t xml:space="preserve">u nozīme” </w:t>
      </w:r>
      <w:r w:rsidR="00BC3CB2" w:rsidRPr="00DD2265">
        <w:rPr>
          <w:rFonts w:ascii="Times New Roman" w:hAnsi="Times New Roman"/>
          <w:sz w:val="28"/>
          <w:szCs w:val="28"/>
        </w:rPr>
        <w:t>cipara “</w:t>
      </w:r>
      <w:r w:rsidRPr="00DD2265">
        <w:rPr>
          <w:rFonts w:ascii="Times New Roman" w:hAnsi="Times New Roman"/>
          <w:sz w:val="28"/>
          <w:szCs w:val="28"/>
        </w:rPr>
        <w:t>6</w:t>
      </w:r>
      <w:r w:rsidR="00BC3CB2" w:rsidRPr="00DD2265">
        <w:rPr>
          <w:rFonts w:ascii="Times New Roman" w:hAnsi="Times New Roman"/>
          <w:sz w:val="28"/>
          <w:szCs w:val="28"/>
        </w:rPr>
        <w:t xml:space="preserve">” nozīmi </w:t>
      </w:r>
      <w:r w:rsidR="00A631EA" w:rsidRPr="00DD2265">
        <w:rPr>
          <w:rFonts w:ascii="Times New Roman" w:hAnsi="Times New Roman"/>
          <w:sz w:val="28"/>
          <w:szCs w:val="28"/>
        </w:rPr>
        <w:t>šādā redakcijā:</w:t>
      </w:r>
      <w:bookmarkEnd w:id="5"/>
    </w:p>
    <w:p w14:paraId="732EC760" w14:textId="2EE6DE76" w:rsidR="00C121ED" w:rsidRPr="00DD2265" w:rsidRDefault="00CE74A3" w:rsidP="00BD3A5D">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w:t>
      </w:r>
      <w:r w:rsidR="00C121ED" w:rsidRPr="00DD2265">
        <w:rPr>
          <w:rFonts w:ascii="Times New Roman" w:hAnsi="Times New Roman"/>
          <w:sz w:val="28"/>
          <w:szCs w:val="28"/>
        </w:rPr>
        <w:t>6 Prasības attiecināmas tikai uz pilnībā elektriskiem un hibrīda transportlīdzekļiem. Pieļaujams CSDD atzīta tehniskā</w:t>
      </w:r>
      <w:r w:rsidR="00BD3A5D" w:rsidRPr="00DD2265">
        <w:rPr>
          <w:rFonts w:ascii="Times New Roman" w:hAnsi="Times New Roman"/>
          <w:sz w:val="28"/>
          <w:szCs w:val="28"/>
        </w:rPr>
        <w:t xml:space="preserve"> </w:t>
      </w:r>
      <w:r w:rsidR="00C121ED" w:rsidRPr="00DD2265">
        <w:rPr>
          <w:rFonts w:ascii="Times New Roman" w:hAnsi="Times New Roman"/>
          <w:sz w:val="28"/>
          <w:szCs w:val="28"/>
        </w:rPr>
        <w:t xml:space="preserve">dienesta </w:t>
      </w:r>
      <w:r w:rsidR="002F1C16" w:rsidRPr="00DD2265">
        <w:rPr>
          <w:rFonts w:ascii="Times New Roman" w:hAnsi="Times New Roman"/>
          <w:sz w:val="28"/>
          <w:szCs w:val="28"/>
        </w:rPr>
        <w:t>vai izgatavotāja</w:t>
      </w:r>
      <w:r w:rsidR="00C121ED" w:rsidRPr="00DD2265">
        <w:rPr>
          <w:rFonts w:ascii="Times New Roman" w:hAnsi="Times New Roman"/>
          <w:sz w:val="28"/>
          <w:szCs w:val="28"/>
        </w:rPr>
        <w:t xml:space="preserve"> apliecinājums</w:t>
      </w:r>
      <w:r w:rsidR="00BD3A5D" w:rsidRPr="00DD2265">
        <w:rPr>
          <w:rFonts w:ascii="Times New Roman" w:hAnsi="Times New Roman"/>
          <w:sz w:val="28"/>
          <w:szCs w:val="28"/>
        </w:rPr>
        <w:t xml:space="preserve"> par atbilstību</w:t>
      </w:r>
      <w:r w:rsidR="005643C8" w:rsidRPr="00DD2265">
        <w:t xml:space="preserve"> </w:t>
      </w:r>
      <w:r w:rsidR="005643C8" w:rsidRPr="00DD2265">
        <w:rPr>
          <w:rFonts w:ascii="Times New Roman" w:hAnsi="Times New Roman"/>
          <w:sz w:val="28"/>
          <w:szCs w:val="28"/>
        </w:rPr>
        <w:t>ANO 10. noteikumu vai Regulas Nr.183/2011 Pielikuma 4.punkta nosacījumiem</w:t>
      </w:r>
      <w:r w:rsidR="00BD3A5D" w:rsidRPr="00DD2265">
        <w:rPr>
          <w:rFonts w:ascii="Times New Roman" w:hAnsi="Times New Roman"/>
          <w:sz w:val="28"/>
          <w:szCs w:val="28"/>
        </w:rPr>
        <w:t>.</w:t>
      </w:r>
      <w:r w:rsidR="002A77E5" w:rsidRPr="00DD2265">
        <w:t xml:space="preserve"> </w:t>
      </w:r>
      <w:r w:rsidR="002A77E5" w:rsidRPr="00DD2265">
        <w:rPr>
          <w:rFonts w:ascii="Times New Roman" w:hAnsi="Times New Roman"/>
          <w:sz w:val="28"/>
          <w:szCs w:val="28"/>
        </w:rPr>
        <w:t>".</w:t>
      </w:r>
    </w:p>
    <w:p w14:paraId="7B06A51B" w14:textId="36B97D51" w:rsidR="00EE144E" w:rsidRPr="00DD2265" w:rsidRDefault="00EE144E" w:rsidP="00BD3A5D">
      <w:pPr>
        <w:pStyle w:val="ListParagraph"/>
        <w:spacing w:after="0" w:line="240" w:lineRule="auto"/>
        <w:ind w:left="0" w:firstLine="709"/>
        <w:jc w:val="both"/>
        <w:rPr>
          <w:rFonts w:ascii="Times New Roman" w:hAnsi="Times New Roman"/>
          <w:sz w:val="28"/>
          <w:szCs w:val="28"/>
        </w:rPr>
      </w:pPr>
    </w:p>
    <w:p w14:paraId="77375CFA" w14:textId="6CE63B5A" w:rsidR="00BC3CB2" w:rsidRPr="00DD2265" w:rsidRDefault="00BC3CB2" w:rsidP="00EE144E">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Papildināt 7. pielikuma II sadaļas 11.punkta piezīmju daļas “Ciparu nozīme” ar ciparu “7” ar šādu nozīmi:</w:t>
      </w:r>
    </w:p>
    <w:p w14:paraId="21F6D829" w14:textId="720D128C" w:rsidR="00CE74A3" w:rsidRPr="00DD2265" w:rsidRDefault="00E145D3" w:rsidP="000A2734">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lastRenderedPageBreak/>
        <w:t>"</w:t>
      </w:r>
      <w:r w:rsidR="00782320" w:rsidRPr="00DD2265">
        <w:rPr>
          <w:rFonts w:ascii="Times New Roman" w:hAnsi="Times New Roman"/>
          <w:sz w:val="28"/>
          <w:szCs w:val="28"/>
        </w:rPr>
        <w:t>7</w:t>
      </w:r>
      <w:r w:rsidR="00CE74A3" w:rsidRPr="00DD2265">
        <w:rPr>
          <w:rFonts w:ascii="Times New Roman" w:hAnsi="Times New Roman"/>
          <w:sz w:val="28"/>
          <w:szCs w:val="28"/>
        </w:rPr>
        <w:t xml:space="preserve"> Prasības attiecināmas tikai uz pilnībā elektriskiem un hibrīda transportlīdzekļiem, kur</w:t>
      </w:r>
      <w:r w:rsidR="0002165B" w:rsidRPr="00DD2265">
        <w:rPr>
          <w:rFonts w:ascii="Times New Roman" w:hAnsi="Times New Roman"/>
          <w:sz w:val="28"/>
          <w:szCs w:val="28"/>
        </w:rPr>
        <w:t>i</w:t>
      </w:r>
      <w:r w:rsidR="00CE74A3" w:rsidRPr="00DD2265">
        <w:rPr>
          <w:rFonts w:ascii="Times New Roman" w:hAnsi="Times New Roman"/>
          <w:sz w:val="28"/>
          <w:szCs w:val="28"/>
        </w:rPr>
        <w:t xml:space="preserve"> pirm</w:t>
      </w:r>
      <w:r w:rsidR="0002165B" w:rsidRPr="00DD2265">
        <w:rPr>
          <w:rFonts w:ascii="Times New Roman" w:hAnsi="Times New Roman"/>
          <w:sz w:val="28"/>
          <w:szCs w:val="28"/>
        </w:rPr>
        <w:t>o</w:t>
      </w:r>
      <w:r w:rsidR="00CE74A3" w:rsidRPr="00DD2265">
        <w:rPr>
          <w:rFonts w:ascii="Times New Roman" w:hAnsi="Times New Roman"/>
          <w:sz w:val="28"/>
          <w:szCs w:val="28"/>
        </w:rPr>
        <w:t xml:space="preserve"> </w:t>
      </w:r>
      <w:r w:rsidR="0002165B" w:rsidRPr="00DD2265">
        <w:rPr>
          <w:rFonts w:ascii="Times New Roman" w:hAnsi="Times New Roman"/>
          <w:sz w:val="28"/>
          <w:szCs w:val="28"/>
        </w:rPr>
        <w:t xml:space="preserve">reizi </w:t>
      </w:r>
      <w:r w:rsidR="00CE74A3" w:rsidRPr="00DD2265">
        <w:rPr>
          <w:rFonts w:ascii="Times New Roman" w:hAnsi="Times New Roman"/>
          <w:sz w:val="28"/>
          <w:szCs w:val="28"/>
        </w:rPr>
        <w:t>reģistr</w:t>
      </w:r>
      <w:r w:rsidR="0002165B" w:rsidRPr="00DD2265">
        <w:rPr>
          <w:rFonts w:ascii="Times New Roman" w:hAnsi="Times New Roman"/>
          <w:sz w:val="28"/>
          <w:szCs w:val="28"/>
        </w:rPr>
        <w:t xml:space="preserve">ēti pēc </w:t>
      </w:r>
      <w:r w:rsidR="000A2734" w:rsidRPr="00DD2265">
        <w:rPr>
          <w:rFonts w:ascii="Times New Roman" w:hAnsi="Times New Roman"/>
          <w:sz w:val="28"/>
          <w:szCs w:val="28"/>
        </w:rPr>
        <w:t>2012. gada 1. janvāra</w:t>
      </w:r>
      <w:r w:rsidR="00CE74A3" w:rsidRPr="00DD2265">
        <w:rPr>
          <w:rFonts w:ascii="Times New Roman" w:hAnsi="Times New Roman"/>
          <w:sz w:val="28"/>
          <w:szCs w:val="28"/>
        </w:rPr>
        <w:t xml:space="preserve">. </w:t>
      </w:r>
      <w:bookmarkStart w:id="6" w:name="_Hlk519247929"/>
      <w:r w:rsidR="00CE74A3" w:rsidRPr="00DD2265">
        <w:rPr>
          <w:rFonts w:ascii="Times New Roman" w:hAnsi="Times New Roman"/>
          <w:sz w:val="28"/>
          <w:szCs w:val="28"/>
        </w:rPr>
        <w:t>Pieļaujam</w:t>
      </w:r>
      <w:r w:rsidR="000A2734" w:rsidRPr="00DD2265">
        <w:rPr>
          <w:rFonts w:ascii="Times New Roman" w:hAnsi="Times New Roman"/>
          <w:sz w:val="28"/>
          <w:szCs w:val="28"/>
        </w:rPr>
        <w:t xml:space="preserve">a atbilstība </w:t>
      </w:r>
      <w:proofErr w:type="spellStart"/>
      <w:r w:rsidR="000A2734" w:rsidRPr="00DD2265">
        <w:rPr>
          <w:rFonts w:ascii="Times New Roman" w:hAnsi="Times New Roman"/>
          <w:sz w:val="28"/>
          <w:szCs w:val="28"/>
        </w:rPr>
        <w:t>izgatavotājvalsts</w:t>
      </w:r>
      <w:proofErr w:type="spellEnd"/>
      <w:r w:rsidR="000A2734" w:rsidRPr="00DD2265">
        <w:rPr>
          <w:rFonts w:ascii="Times New Roman" w:hAnsi="Times New Roman"/>
          <w:sz w:val="28"/>
          <w:szCs w:val="28"/>
        </w:rPr>
        <w:t xml:space="preserve"> standartiem, ja to prasības ir līdzvērtīgas šajos noteikumos iekļauto attiecīgo tehnisko normatīvu prasībām par</w:t>
      </w:r>
      <w:r w:rsidR="00CE74A3" w:rsidRPr="00DD2265">
        <w:rPr>
          <w:rFonts w:ascii="Times New Roman" w:hAnsi="Times New Roman"/>
          <w:sz w:val="28"/>
          <w:szCs w:val="28"/>
        </w:rPr>
        <w:t xml:space="preserve"> </w:t>
      </w:r>
      <w:r w:rsidR="000A2734" w:rsidRPr="00DD2265">
        <w:rPr>
          <w:rFonts w:ascii="Times New Roman" w:hAnsi="Times New Roman"/>
          <w:sz w:val="28"/>
          <w:szCs w:val="28"/>
        </w:rPr>
        <w:t>elektrodrošību</w:t>
      </w:r>
      <w:bookmarkEnd w:id="6"/>
      <w:r w:rsidR="000A2734" w:rsidRPr="00DD2265">
        <w:rPr>
          <w:rFonts w:ascii="Times New Roman" w:hAnsi="Times New Roman"/>
          <w:sz w:val="28"/>
          <w:szCs w:val="28"/>
        </w:rPr>
        <w:t xml:space="preserve"> vai </w:t>
      </w:r>
      <w:r w:rsidR="00CE74A3" w:rsidRPr="00DD2265">
        <w:rPr>
          <w:rFonts w:ascii="Times New Roman" w:hAnsi="Times New Roman"/>
          <w:sz w:val="28"/>
          <w:szCs w:val="28"/>
        </w:rPr>
        <w:t>CSDD atzīta tehniskā dienesta atbilstības</w:t>
      </w:r>
      <w:r w:rsidR="000A2734" w:rsidRPr="00DD2265">
        <w:rPr>
          <w:rFonts w:ascii="Times New Roman" w:hAnsi="Times New Roman"/>
          <w:sz w:val="28"/>
          <w:szCs w:val="28"/>
        </w:rPr>
        <w:t xml:space="preserve"> </w:t>
      </w:r>
      <w:r w:rsidR="00CE74A3" w:rsidRPr="00DD2265">
        <w:rPr>
          <w:rFonts w:ascii="Times New Roman" w:hAnsi="Times New Roman"/>
          <w:sz w:val="28"/>
          <w:szCs w:val="28"/>
        </w:rPr>
        <w:t>apliecinājums."</w:t>
      </w:r>
      <w:r w:rsidR="00513032" w:rsidRPr="00DD2265">
        <w:rPr>
          <w:rFonts w:ascii="Times New Roman" w:hAnsi="Times New Roman"/>
          <w:sz w:val="28"/>
          <w:szCs w:val="28"/>
        </w:rPr>
        <w:t>.</w:t>
      </w:r>
    </w:p>
    <w:p w14:paraId="15CF61C2" w14:textId="77777777" w:rsidR="00607742" w:rsidRPr="00DD2265" w:rsidRDefault="00607742" w:rsidP="00607742">
      <w:pPr>
        <w:spacing w:after="0" w:line="240" w:lineRule="auto"/>
        <w:jc w:val="both"/>
        <w:rPr>
          <w:rFonts w:ascii="Times New Roman" w:hAnsi="Times New Roman"/>
          <w:sz w:val="28"/>
          <w:szCs w:val="28"/>
        </w:rPr>
      </w:pPr>
    </w:p>
    <w:p w14:paraId="4FE6002E" w14:textId="2ACA47CF" w:rsidR="00607742" w:rsidRPr="00DD2265" w:rsidRDefault="00607742" w:rsidP="00607742">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 Izteikt 7. pielikuma II sadaļas 11.punkta piezīmju daļas “Burtu nozīme” </w:t>
      </w:r>
      <w:r w:rsidR="00604B28" w:rsidRPr="00DD2265">
        <w:rPr>
          <w:rFonts w:ascii="Times New Roman" w:hAnsi="Times New Roman"/>
          <w:sz w:val="28"/>
          <w:szCs w:val="28"/>
        </w:rPr>
        <w:t xml:space="preserve">burtu </w:t>
      </w:r>
      <w:bookmarkStart w:id="7" w:name="_Hlk519247873"/>
      <w:r w:rsidR="00604B28" w:rsidRPr="00DD2265">
        <w:rPr>
          <w:rFonts w:ascii="Times New Roman" w:hAnsi="Times New Roman"/>
          <w:sz w:val="28"/>
          <w:szCs w:val="28"/>
        </w:rPr>
        <w:t>“</w:t>
      </w:r>
      <w:r w:rsidRPr="00DD2265">
        <w:rPr>
          <w:rFonts w:ascii="Times New Roman" w:hAnsi="Times New Roman"/>
          <w:sz w:val="28"/>
          <w:szCs w:val="28"/>
        </w:rPr>
        <w:t>A</w:t>
      </w:r>
      <w:r w:rsidR="00604B28" w:rsidRPr="00DD2265">
        <w:rPr>
          <w:rFonts w:ascii="Times New Roman" w:hAnsi="Times New Roman"/>
          <w:sz w:val="28"/>
          <w:szCs w:val="28"/>
        </w:rPr>
        <w:t>”</w:t>
      </w:r>
      <w:bookmarkEnd w:id="7"/>
      <w:r w:rsidR="0094030B">
        <w:rPr>
          <w:rFonts w:ascii="Times New Roman" w:hAnsi="Times New Roman"/>
          <w:sz w:val="28"/>
          <w:szCs w:val="28"/>
        </w:rPr>
        <w:t xml:space="preserve">, </w:t>
      </w:r>
      <w:r w:rsidR="0094030B" w:rsidRPr="0094030B">
        <w:rPr>
          <w:rFonts w:ascii="Times New Roman" w:hAnsi="Times New Roman"/>
          <w:sz w:val="28"/>
          <w:szCs w:val="28"/>
        </w:rPr>
        <w:t>“</w:t>
      </w:r>
      <w:r w:rsidR="0094030B">
        <w:rPr>
          <w:rFonts w:ascii="Times New Roman" w:hAnsi="Times New Roman"/>
          <w:sz w:val="28"/>
          <w:szCs w:val="28"/>
        </w:rPr>
        <w:t>E</w:t>
      </w:r>
      <w:r w:rsidR="0094030B" w:rsidRPr="0094030B">
        <w:rPr>
          <w:rFonts w:ascii="Times New Roman" w:hAnsi="Times New Roman"/>
          <w:sz w:val="28"/>
          <w:szCs w:val="28"/>
        </w:rPr>
        <w:t>”</w:t>
      </w:r>
      <w:r w:rsidRPr="00DD2265">
        <w:rPr>
          <w:rFonts w:ascii="Times New Roman" w:hAnsi="Times New Roman"/>
          <w:sz w:val="28"/>
          <w:szCs w:val="28"/>
        </w:rPr>
        <w:t xml:space="preserve"> un </w:t>
      </w:r>
      <w:r w:rsidR="00604B28" w:rsidRPr="00DD2265">
        <w:rPr>
          <w:rFonts w:ascii="Times New Roman" w:hAnsi="Times New Roman"/>
          <w:sz w:val="28"/>
          <w:szCs w:val="28"/>
        </w:rPr>
        <w:t>“</w:t>
      </w:r>
      <w:r w:rsidRPr="00DD2265">
        <w:rPr>
          <w:rFonts w:ascii="Times New Roman" w:hAnsi="Times New Roman"/>
          <w:sz w:val="28"/>
          <w:szCs w:val="28"/>
        </w:rPr>
        <w:t>I</w:t>
      </w:r>
      <w:r w:rsidR="00604B28" w:rsidRPr="00DD2265">
        <w:rPr>
          <w:rFonts w:ascii="Times New Roman" w:hAnsi="Times New Roman"/>
          <w:sz w:val="28"/>
          <w:szCs w:val="28"/>
        </w:rPr>
        <w:t>”</w:t>
      </w:r>
      <w:r w:rsidRPr="00DD2265">
        <w:rPr>
          <w:rFonts w:ascii="Times New Roman" w:hAnsi="Times New Roman"/>
          <w:sz w:val="28"/>
          <w:szCs w:val="28"/>
        </w:rPr>
        <w:t xml:space="preserve"> šādā redakcijā:</w:t>
      </w:r>
    </w:p>
    <w:p w14:paraId="45A1C119" w14:textId="4B9154FF" w:rsidR="00C15808" w:rsidRDefault="005E29B2" w:rsidP="005E29B2">
      <w:pPr>
        <w:pStyle w:val="ListParagraph"/>
        <w:spacing w:after="0" w:line="240" w:lineRule="auto"/>
        <w:ind w:left="0" w:firstLine="709"/>
        <w:jc w:val="both"/>
        <w:rPr>
          <w:rFonts w:ascii="Times New Roman" w:hAnsi="Times New Roman"/>
          <w:sz w:val="28"/>
          <w:szCs w:val="28"/>
        </w:rPr>
      </w:pPr>
      <w:bookmarkStart w:id="8" w:name="_Hlk503424628"/>
      <w:r w:rsidRPr="00DD2265">
        <w:rPr>
          <w:rFonts w:ascii="Times New Roman" w:hAnsi="Times New Roman"/>
          <w:sz w:val="28"/>
          <w:szCs w:val="28"/>
        </w:rPr>
        <w:t>"</w:t>
      </w:r>
      <w:bookmarkEnd w:id="8"/>
      <w:r w:rsidRPr="00DD2265">
        <w:rPr>
          <w:rFonts w:ascii="Times New Roman" w:hAnsi="Times New Roman"/>
          <w:sz w:val="28"/>
          <w:szCs w:val="28"/>
        </w:rPr>
        <w:t xml:space="preserve">A Obligāti veicams I tipa tests, kas nosaka vidējās transportlīdzekļa atgāzu (CO, HC, NOX, HC+NOX un cieto daļiņu) robežvērtības, saskaņā ar 11.pielikuma II sadaļā noteiktajām prasībām. Pārējo tipu testu (II, III, IV, V, VI, un OBD) veikšana nav obligāta. Tests nav jāveic, ja transportlīdzeklis atbilst </w:t>
      </w:r>
      <w:r w:rsidR="00CB24EF" w:rsidRPr="00DD2265">
        <w:rPr>
          <w:rFonts w:ascii="Times New Roman" w:hAnsi="Times New Roman"/>
          <w:sz w:val="28"/>
          <w:szCs w:val="28"/>
        </w:rPr>
        <w:t>Regulas Nr.183/2011 Pielikuma 4.punkta nosacījumiem</w:t>
      </w:r>
      <w:r w:rsidR="00C15808" w:rsidRPr="00DD2265">
        <w:rPr>
          <w:rFonts w:ascii="Times New Roman" w:hAnsi="Times New Roman"/>
          <w:sz w:val="28"/>
          <w:szCs w:val="28"/>
        </w:rPr>
        <w:t>.</w:t>
      </w:r>
    </w:p>
    <w:p w14:paraId="2176A4BD" w14:textId="78FBB74A" w:rsidR="0094030B" w:rsidRPr="00DD2265" w:rsidRDefault="0094030B" w:rsidP="005E29B2">
      <w:pPr>
        <w:pStyle w:val="ListParagraph"/>
        <w:spacing w:after="0" w:line="240" w:lineRule="auto"/>
        <w:ind w:left="0" w:firstLine="709"/>
        <w:jc w:val="both"/>
        <w:rPr>
          <w:rFonts w:ascii="Times New Roman" w:hAnsi="Times New Roman"/>
          <w:sz w:val="28"/>
          <w:szCs w:val="28"/>
        </w:rPr>
      </w:pPr>
      <w:r w:rsidRPr="0094030B">
        <w:rPr>
          <w:rFonts w:ascii="Times New Roman" w:hAnsi="Times New Roman"/>
          <w:sz w:val="28"/>
          <w:szCs w:val="28"/>
        </w:rPr>
        <w:t>E Pārbaudes laikā nav obligāta stūres iekārtas pārbaude pie maksimālā transportlīdzekļa ātruma.</w:t>
      </w:r>
      <w:r>
        <w:rPr>
          <w:rFonts w:ascii="Times New Roman" w:hAnsi="Times New Roman"/>
          <w:sz w:val="28"/>
          <w:szCs w:val="28"/>
        </w:rPr>
        <w:t xml:space="preserve"> </w:t>
      </w:r>
      <w:r w:rsidRPr="0094030B">
        <w:rPr>
          <w:rFonts w:ascii="Times New Roman" w:hAnsi="Times New Roman"/>
          <w:sz w:val="28"/>
          <w:szCs w:val="28"/>
        </w:rPr>
        <w:t xml:space="preserve">Pieļaujama atbilstība </w:t>
      </w:r>
      <w:proofErr w:type="spellStart"/>
      <w:r w:rsidRPr="0094030B">
        <w:rPr>
          <w:rFonts w:ascii="Times New Roman" w:hAnsi="Times New Roman"/>
          <w:sz w:val="28"/>
          <w:szCs w:val="28"/>
        </w:rPr>
        <w:t>izgatavotājvalsts</w:t>
      </w:r>
      <w:proofErr w:type="spellEnd"/>
      <w:r w:rsidRPr="0094030B">
        <w:rPr>
          <w:rFonts w:ascii="Times New Roman" w:hAnsi="Times New Roman"/>
          <w:sz w:val="28"/>
          <w:szCs w:val="28"/>
        </w:rPr>
        <w:t xml:space="preserve"> standartiem, ja to prasības ir līdzvērtīgas šajos noteikumos iekļauto attiecīgo tehnisko normatīvu prasībām par </w:t>
      </w:r>
      <w:r>
        <w:rPr>
          <w:rFonts w:ascii="Times New Roman" w:hAnsi="Times New Roman"/>
          <w:sz w:val="28"/>
          <w:szCs w:val="28"/>
        </w:rPr>
        <w:t>stūres iekārtu.</w:t>
      </w:r>
    </w:p>
    <w:p w14:paraId="6979B47F" w14:textId="77777777" w:rsidR="005E29B2" w:rsidRPr="00DD2265" w:rsidRDefault="00C15808" w:rsidP="00C15808">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I Par atbilstības apliecinājumu var tikt atzīts jebkuras Eiropas Kopienas vai Eiropas Brīvās Tirdzniecības asociācijas dalībvalsts tehniskā dienesta protokols vai apliecinājums par transportlīdzekļa bremžu iekārtas atbilstību tādu nacionālo standartu prasībām, kuru attiecīgā dalībvalsts noteikusi kā līdzvērtīgu direktīvas 71/320/EEK, ietverot grozījumus, ko izdara direktīva 88/194/EEK, prasībām transportlīdzekļu individuālas atbilstības novērtēšanas gadījumos. Bremžu iekārtas tests nav jāveic, ja transportlīdzeklis atbilst Regulas Nr.183/2011 Pielikuma 4.punkta nosacījumiem.</w:t>
      </w:r>
      <w:r w:rsidR="005E29B2" w:rsidRPr="00DD2265">
        <w:rPr>
          <w:rFonts w:ascii="Times New Roman" w:hAnsi="Times New Roman"/>
          <w:sz w:val="28"/>
          <w:szCs w:val="28"/>
        </w:rPr>
        <w:t>".</w:t>
      </w:r>
    </w:p>
    <w:bookmarkEnd w:id="4"/>
    <w:p w14:paraId="298DC340" w14:textId="77777777" w:rsidR="00B81106" w:rsidRPr="00DD2265" w:rsidRDefault="00B81106" w:rsidP="00C15808">
      <w:pPr>
        <w:pStyle w:val="ListParagraph"/>
        <w:spacing w:after="0" w:line="240" w:lineRule="auto"/>
        <w:ind w:left="0" w:firstLine="709"/>
        <w:jc w:val="both"/>
        <w:rPr>
          <w:rFonts w:ascii="Times New Roman" w:hAnsi="Times New Roman"/>
          <w:sz w:val="28"/>
          <w:szCs w:val="28"/>
        </w:rPr>
        <w:sectPr w:rsidR="00B81106" w:rsidRPr="00DD2265" w:rsidSect="00B81106">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pPr>
    </w:p>
    <w:p w14:paraId="0A798C1B" w14:textId="305E360E" w:rsidR="00AC471D" w:rsidRDefault="00AC471D" w:rsidP="0044172D">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r w:rsidR="0044172D" w:rsidRPr="00DD2265">
        <w:rPr>
          <w:rFonts w:ascii="Times New Roman" w:hAnsi="Times New Roman"/>
          <w:sz w:val="28"/>
          <w:szCs w:val="28"/>
        </w:rPr>
        <w:t xml:space="preserve">Izteikt </w:t>
      </w:r>
      <w:r w:rsidRPr="00DD2265">
        <w:rPr>
          <w:rFonts w:ascii="Times New Roman" w:hAnsi="Times New Roman"/>
          <w:sz w:val="28"/>
          <w:szCs w:val="28"/>
        </w:rPr>
        <w:t>11.pielikuma I nodaļas tabul</w:t>
      </w:r>
      <w:r w:rsidR="0044172D" w:rsidRPr="00DD2265">
        <w:rPr>
          <w:rFonts w:ascii="Times New Roman" w:hAnsi="Times New Roman"/>
          <w:sz w:val="28"/>
          <w:szCs w:val="28"/>
        </w:rPr>
        <w:t xml:space="preserve">as </w:t>
      </w:r>
      <w:r w:rsidR="00B75A50">
        <w:rPr>
          <w:rFonts w:ascii="Times New Roman" w:hAnsi="Times New Roman"/>
          <w:sz w:val="28"/>
          <w:szCs w:val="28"/>
        </w:rPr>
        <w:t>3.</w:t>
      </w:r>
      <w:r w:rsidR="0044172D" w:rsidRPr="00DD2265">
        <w:rPr>
          <w:rFonts w:ascii="Times New Roman" w:hAnsi="Times New Roman"/>
          <w:sz w:val="28"/>
          <w:szCs w:val="28"/>
        </w:rPr>
        <w:t xml:space="preserve"> punktu</w:t>
      </w:r>
      <w:r w:rsidRPr="00DD2265">
        <w:rPr>
          <w:rFonts w:ascii="Times New Roman" w:hAnsi="Times New Roman"/>
          <w:sz w:val="28"/>
          <w:szCs w:val="28"/>
        </w:rPr>
        <w:t xml:space="preserve"> šādā redakcijā:</w:t>
      </w:r>
    </w:p>
    <w:p w14:paraId="38CAC56D" w14:textId="14FB3679" w:rsidR="00B75A50" w:rsidRDefault="00B75A50" w:rsidP="00B75A50">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64"/>
        <w:gridCol w:w="364"/>
        <w:gridCol w:w="364"/>
        <w:gridCol w:w="488"/>
        <w:gridCol w:w="420"/>
        <w:gridCol w:w="700"/>
      </w:tblGrid>
      <w:tr w:rsidR="00B75A50" w:rsidRPr="00EC2BEE" w14:paraId="32E89A1C" w14:textId="77777777" w:rsidTr="006C2432">
        <w:trPr>
          <w:trHeight w:val="1063"/>
        </w:trPr>
        <w:tc>
          <w:tcPr>
            <w:tcW w:w="816" w:type="dxa"/>
            <w:vMerge w:val="restart"/>
            <w:shd w:val="clear" w:color="auto" w:fill="auto"/>
          </w:tcPr>
          <w:p w14:paraId="2A7B78E5" w14:textId="77777777" w:rsidR="00B75A50" w:rsidRPr="00EC2BEE" w:rsidRDefault="00B75A50" w:rsidP="006C2432">
            <w:pPr>
              <w:spacing w:after="0" w:line="240" w:lineRule="auto"/>
              <w:ind w:left="-108" w:right="-108" w:hanging="4"/>
              <w:jc w:val="center"/>
              <w:rPr>
                <w:rFonts w:ascii="Times New Roman" w:hAnsi="Times New Roman"/>
                <w:sz w:val="24"/>
              </w:rPr>
            </w:pPr>
            <w:r w:rsidRPr="00EC2BEE">
              <w:rPr>
                <w:rFonts w:ascii="Times New Roman" w:hAnsi="Times New Roman"/>
                <w:sz w:val="24"/>
              </w:rPr>
              <w:t xml:space="preserve">3. </w:t>
            </w:r>
          </w:p>
        </w:tc>
        <w:tc>
          <w:tcPr>
            <w:tcW w:w="3444" w:type="dxa"/>
            <w:shd w:val="clear" w:color="auto" w:fill="auto"/>
          </w:tcPr>
          <w:p w14:paraId="5DD9B1DF" w14:textId="77777777" w:rsidR="00B75A50" w:rsidRPr="00EC2BEE" w:rsidRDefault="00B75A50" w:rsidP="006C2432">
            <w:pPr>
              <w:spacing w:after="0" w:line="240" w:lineRule="auto"/>
              <w:rPr>
                <w:rFonts w:ascii="Times New Roman" w:hAnsi="Times New Roman"/>
                <w:sz w:val="24"/>
              </w:rPr>
            </w:pPr>
            <w:r w:rsidRPr="00EC2BEE">
              <w:rPr>
                <w:rFonts w:ascii="Times New Roman" w:hAnsi="Times New Roman"/>
                <w:sz w:val="24"/>
              </w:rPr>
              <w:t>Degvielas tvertnes</w:t>
            </w:r>
            <w:r w:rsidRPr="00EC2BEE">
              <w:rPr>
                <w:rFonts w:ascii="Times New Roman" w:hAnsi="Times New Roman"/>
                <w:sz w:val="24"/>
                <w:vertAlign w:val="superscript"/>
              </w:rPr>
              <w:t>3</w:t>
            </w:r>
          </w:p>
        </w:tc>
        <w:tc>
          <w:tcPr>
            <w:tcW w:w="1440" w:type="dxa"/>
            <w:vMerge w:val="restart"/>
            <w:shd w:val="clear" w:color="auto" w:fill="auto"/>
          </w:tcPr>
          <w:p w14:paraId="03899933"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70/221/</w:t>
            </w:r>
            <w:smartTag w:uri="schemas-tilde-lv/tildestengine" w:element="currency2">
              <w:smartTagPr>
                <w:attr w:name="currency_text" w:val="EEK"/>
                <w:attr w:name="currency_value" w:val="1"/>
                <w:attr w:name="currency_key" w:val="EEK"/>
                <w:attr w:name="currency_id" w:val="14"/>
              </w:smartTagPr>
              <w:r w:rsidRPr="00EC2BEE">
                <w:rPr>
                  <w:rFonts w:ascii="Times New Roman" w:hAnsi="Times New Roman"/>
                  <w:sz w:val="24"/>
                </w:rPr>
                <w:t>EEK</w:t>
              </w:r>
            </w:smartTag>
          </w:p>
          <w:p w14:paraId="50C6DD31" w14:textId="77777777" w:rsidR="00B75A50" w:rsidRPr="00EC2BEE" w:rsidRDefault="00B75A50" w:rsidP="006C2432">
            <w:pPr>
              <w:spacing w:after="0" w:line="240" w:lineRule="auto"/>
              <w:ind w:left="-108" w:right="-125"/>
              <w:rPr>
                <w:rFonts w:ascii="Times New Roman" w:hAnsi="Times New Roman"/>
                <w:sz w:val="24"/>
              </w:rPr>
            </w:pPr>
          </w:p>
          <w:p w14:paraId="78208C52"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 xml:space="preserve"> </w:t>
            </w:r>
          </w:p>
          <w:p w14:paraId="13B418BB" w14:textId="77777777" w:rsidR="00B75A50" w:rsidRPr="00EC2BEE" w:rsidRDefault="00B75A50" w:rsidP="006C2432">
            <w:pPr>
              <w:spacing w:after="0" w:line="240" w:lineRule="auto"/>
              <w:ind w:left="-108" w:right="-125"/>
              <w:rPr>
                <w:rFonts w:ascii="Times New Roman" w:hAnsi="Times New Roman"/>
                <w:sz w:val="24"/>
              </w:rPr>
            </w:pPr>
          </w:p>
          <w:p w14:paraId="7F2589FB"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 xml:space="preserve"> </w:t>
            </w:r>
          </w:p>
        </w:tc>
        <w:tc>
          <w:tcPr>
            <w:tcW w:w="4561" w:type="dxa"/>
            <w:vMerge w:val="restart"/>
            <w:vAlign w:val="center"/>
          </w:tcPr>
          <w:p w14:paraId="5E2B7065" w14:textId="77777777" w:rsidR="00B75A50" w:rsidRPr="00EC2BEE" w:rsidRDefault="00B75A50" w:rsidP="006C2432">
            <w:pPr>
              <w:spacing w:after="0" w:line="240" w:lineRule="auto"/>
              <w:rPr>
                <w:rFonts w:ascii="Times New Roman" w:hAnsi="Times New Roman"/>
                <w:sz w:val="24"/>
              </w:rPr>
            </w:pPr>
            <w:r w:rsidRPr="00EC2BEE">
              <w:rPr>
                <w:rFonts w:ascii="Times New Roman" w:hAnsi="Times New Roman"/>
                <w:noProof/>
                <w:sz w:val="24"/>
              </w:rPr>
              <w:t>Padomes 1970.gada 20.marta Direktīva 70/221/EEK par dalībvalstu tiesību aktu tuvināšanu attiecībā uz mehānisko transportlīdzekļu un to piekabju šķidrās degvielas tvertnēm un pakaļējām drošības konstrukcijām (Eiropas Savienības Oficiālais Vēstnesis, 01.05.2004., L 076, 23.–24.lpp.)</w:t>
            </w:r>
          </w:p>
        </w:tc>
        <w:tc>
          <w:tcPr>
            <w:tcW w:w="483" w:type="dxa"/>
            <w:shd w:val="clear" w:color="auto" w:fill="auto"/>
            <w:vAlign w:val="center"/>
          </w:tcPr>
          <w:p w14:paraId="4383C99A" w14:textId="77777777" w:rsidR="00B75A50" w:rsidRPr="00EC2BEE" w:rsidRDefault="00B75A50" w:rsidP="006C2432">
            <w:pPr>
              <w:spacing w:after="0" w:line="240" w:lineRule="auto"/>
              <w:ind w:left="-125"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31D9FCE7"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2C7E93C"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A4B68EF"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A054CE6"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863F69D"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4DF89D75"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5BD62BA"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88" w:type="dxa"/>
            <w:shd w:val="clear" w:color="auto" w:fill="auto"/>
            <w:vAlign w:val="center"/>
          </w:tcPr>
          <w:p w14:paraId="5D814F83"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20" w:type="dxa"/>
            <w:shd w:val="clear" w:color="auto" w:fill="auto"/>
            <w:vAlign w:val="center"/>
          </w:tcPr>
          <w:p w14:paraId="44D43B8B"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700" w:type="dxa"/>
            <w:shd w:val="clear" w:color="auto" w:fill="auto"/>
            <w:vAlign w:val="center"/>
          </w:tcPr>
          <w:p w14:paraId="1CFD0D01" w14:textId="77777777" w:rsidR="00B75A50" w:rsidRPr="00EC2BEE" w:rsidRDefault="00B75A50" w:rsidP="006C2432">
            <w:pPr>
              <w:spacing w:after="0" w:line="240" w:lineRule="auto"/>
              <w:ind w:left="-108" w:right="-108"/>
              <w:jc w:val="center"/>
              <w:rPr>
                <w:rFonts w:ascii="Times New Roman" w:hAnsi="Times New Roman"/>
                <w:sz w:val="24"/>
              </w:rPr>
            </w:pPr>
            <w:r w:rsidRPr="00EC2BEE">
              <w:rPr>
                <w:rFonts w:ascii="Times New Roman" w:hAnsi="Times New Roman"/>
                <w:sz w:val="24"/>
              </w:rPr>
              <w:t>34</w:t>
            </w:r>
          </w:p>
        </w:tc>
      </w:tr>
      <w:tr w:rsidR="00B75A50" w:rsidRPr="00EC2BEE" w14:paraId="2B1555EA" w14:textId="77777777" w:rsidTr="006C2432">
        <w:trPr>
          <w:trHeight w:val="537"/>
        </w:trPr>
        <w:tc>
          <w:tcPr>
            <w:tcW w:w="816" w:type="dxa"/>
            <w:vMerge/>
            <w:shd w:val="clear" w:color="auto" w:fill="auto"/>
          </w:tcPr>
          <w:p w14:paraId="206CE73C" w14:textId="77777777" w:rsidR="00B75A50" w:rsidRPr="00EC2BEE" w:rsidRDefault="00B75A50" w:rsidP="006C2432">
            <w:pPr>
              <w:spacing w:after="0" w:line="240" w:lineRule="auto"/>
              <w:ind w:left="-108" w:right="-108" w:hanging="4"/>
              <w:jc w:val="center"/>
              <w:rPr>
                <w:rFonts w:ascii="Times New Roman" w:hAnsi="Times New Roman"/>
                <w:sz w:val="24"/>
              </w:rPr>
            </w:pPr>
          </w:p>
        </w:tc>
        <w:tc>
          <w:tcPr>
            <w:tcW w:w="3444" w:type="dxa"/>
            <w:shd w:val="clear" w:color="auto" w:fill="auto"/>
          </w:tcPr>
          <w:p w14:paraId="0CEFB215" w14:textId="76FEC35E" w:rsidR="00B75A50" w:rsidRPr="00EC2BEE" w:rsidRDefault="00B75A50" w:rsidP="006C2432">
            <w:pPr>
              <w:spacing w:after="0" w:line="240" w:lineRule="auto"/>
              <w:rPr>
                <w:rFonts w:ascii="Times New Roman" w:hAnsi="Times New Roman"/>
                <w:sz w:val="24"/>
              </w:rPr>
            </w:pPr>
            <w:r w:rsidRPr="00EC2BEE">
              <w:rPr>
                <w:rFonts w:ascii="Times New Roman" w:hAnsi="Times New Roman"/>
                <w:sz w:val="24"/>
              </w:rPr>
              <w:t>Aizmugurējās drošības konstrukcijas</w:t>
            </w:r>
            <w:r w:rsidRPr="00EC2BEE">
              <w:rPr>
                <w:rFonts w:ascii="Times New Roman" w:hAnsi="Times New Roman"/>
                <w:sz w:val="24"/>
                <w:vertAlign w:val="superscript"/>
              </w:rPr>
              <w:t>4</w:t>
            </w:r>
          </w:p>
        </w:tc>
        <w:tc>
          <w:tcPr>
            <w:tcW w:w="1440" w:type="dxa"/>
            <w:vMerge/>
            <w:shd w:val="clear" w:color="auto" w:fill="auto"/>
          </w:tcPr>
          <w:p w14:paraId="628F7577" w14:textId="77777777" w:rsidR="00B75A50" w:rsidRPr="00EC2BEE" w:rsidRDefault="00B75A50" w:rsidP="006C2432">
            <w:pPr>
              <w:spacing w:after="0" w:line="240" w:lineRule="auto"/>
              <w:ind w:left="-108" w:right="-125"/>
              <w:rPr>
                <w:rFonts w:ascii="Times New Roman" w:hAnsi="Times New Roman"/>
                <w:sz w:val="24"/>
              </w:rPr>
            </w:pPr>
          </w:p>
        </w:tc>
        <w:tc>
          <w:tcPr>
            <w:tcW w:w="4561" w:type="dxa"/>
            <w:vMerge/>
            <w:vAlign w:val="center"/>
          </w:tcPr>
          <w:p w14:paraId="349A4C05" w14:textId="77777777" w:rsidR="00B75A50" w:rsidRPr="00EC2BEE" w:rsidRDefault="00B75A50" w:rsidP="006C2432">
            <w:pPr>
              <w:spacing w:after="0" w:line="240" w:lineRule="auto"/>
              <w:ind w:left="-108" w:right="-108"/>
              <w:rPr>
                <w:rFonts w:ascii="Times New Roman" w:hAnsi="Times New Roman"/>
                <w:sz w:val="24"/>
              </w:rPr>
            </w:pPr>
          </w:p>
        </w:tc>
        <w:tc>
          <w:tcPr>
            <w:tcW w:w="483" w:type="dxa"/>
            <w:shd w:val="clear" w:color="auto" w:fill="auto"/>
            <w:vAlign w:val="center"/>
          </w:tcPr>
          <w:p w14:paraId="1E6323FA" w14:textId="32A337EC"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C67DE39" w14:textId="44E5F4BB"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7C51796" w14:textId="18976FBE"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7F269806" w14:textId="00A0E9B8"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06A329C6"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3C8653B1"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08458113" w14:textId="388C85CF"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6D756C39" w14:textId="20AD39EE"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88" w:type="dxa"/>
            <w:shd w:val="clear" w:color="auto" w:fill="auto"/>
            <w:vAlign w:val="center"/>
          </w:tcPr>
          <w:p w14:paraId="4CC5BAFF"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20" w:type="dxa"/>
            <w:shd w:val="clear" w:color="auto" w:fill="auto"/>
            <w:vAlign w:val="center"/>
          </w:tcPr>
          <w:p w14:paraId="58A39EE1"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700" w:type="dxa"/>
            <w:shd w:val="clear" w:color="auto" w:fill="auto"/>
            <w:vAlign w:val="center"/>
          </w:tcPr>
          <w:p w14:paraId="1812FA34" w14:textId="77777777" w:rsidR="00B75A50" w:rsidRPr="00EC2BEE" w:rsidRDefault="00B75A50" w:rsidP="006C2432">
            <w:pPr>
              <w:spacing w:after="0" w:line="240" w:lineRule="auto"/>
              <w:ind w:left="-108" w:right="-108"/>
              <w:jc w:val="center"/>
              <w:rPr>
                <w:rFonts w:ascii="Times New Roman" w:hAnsi="Times New Roman"/>
                <w:sz w:val="24"/>
              </w:rPr>
            </w:pPr>
            <w:r w:rsidRPr="00EC2BEE">
              <w:rPr>
                <w:rFonts w:ascii="Times New Roman" w:hAnsi="Times New Roman"/>
                <w:sz w:val="24"/>
              </w:rPr>
              <w:t>58</w:t>
            </w:r>
          </w:p>
        </w:tc>
      </w:tr>
    </w:tbl>
    <w:p w14:paraId="04657FCD" w14:textId="77777777" w:rsidR="00B75A50" w:rsidRDefault="00B75A50" w:rsidP="00B75A50">
      <w:pPr>
        <w:pStyle w:val="ListParagraph"/>
        <w:spacing w:after="0" w:line="240" w:lineRule="auto"/>
        <w:ind w:left="1080"/>
        <w:jc w:val="both"/>
        <w:rPr>
          <w:rFonts w:ascii="Times New Roman" w:hAnsi="Times New Roman"/>
          <w:sz w:val="28"/>
          <w:szCs w:val="28"/>
        </w:rPr>
      </w:pPr>
    </w:p>
    <w:p w14:paraId="05D63AB9" w14:textId="77777777" w:rsidR="00B75A50" w:rsidRDefault="00B75A50" w:rsidP="00B75A50">
      <w:pPr>
        <w:pStyle w:val="ListParagraph"/>
        <w:spacing w:after="0" w:line="240" w:lineRule="auto"/>
        <w:ind w:left="1080"/>
        <w:jc w:val="both"/>
        <w:rPr>
          <w:rFonts w:ascii="Times New Roman" w:hAnsi="Times New Roman"/>
          <w:sz w:val="28"/>
          <w:szCs w:val="28"/>
        </w:rPr>
      </w:pPr>
    </w:p>
    <w:p w14:paraId="42CF3924" w14:textId="4CA41F27" w:rsidR="00E31945" w:rsidRPr="00DD2265" w:rsidRDefault="00B75A50" w:rsidP="00B75A50">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B75A50">
        <w:rPr>
          <w:rFonts w:ascii="Times New Roman" w:hAnsi="Times New Roman"/>
          <w:sz w:val="28"/>
          <w:szCs w:val="28"/>
        </w:rPr>
        <w:t>Izteikt 11.pielikuma I nodaļas tabulas 41. un 41.a punktu šādā redakcijā:</w:t>
      </w:r>
    </w:p>
    <w:p w14:paraId="74008D0C" w14:textId="77777777" w:rsidR="00B81106" w:rsidRPr="00DD2265" w:rsidRDefault="00B81106" w:rsidP="00B81106">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3D62BC8E" w14:textId="77777777" w:rsidTr="005D08E5">
        <w:tc>
          <w:tcPr>
            <w:tcW w:w="816" w:type="dxa"/>
            <w:vMerge w:val="restart"/>
            <w:shd w:val="clear" w:color="auto" w:fill="auto"/>
          </w:tcPr>
          <w:p w14:paraId="542FE9C3"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41.</w:t>
            </w:r>
          </w:p>
        </w:tc>
        <w:tc>
          <w:tcPr>
            <w:tcW w:w="3444" w:type="dxa"/>
            <w:shd w:val="clear" w:color="auto" w:fill="auto"/>
          </w:tcPr>
          <w:p w14:paraId="4D27C6F7"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 xml:space="preserve">Dīzeļmotoru </w:t>
            </w:r>
            <w:proofErr w:type="spellStart"/>
            <w:r w:rsidRPr="00DD2265">
              <w:rPr>
                <w:rFonts w:ascii="Times New Roman" w:hAnsi="Times New Roman"/>
                <w:sz w:val="24"/>
              </w:rPr>
              <w:t>izmeši</w:t>
            </w:r>
            <w:proofErr w:type="spellEnd"/>
            <w:r w:rsidRPr="00DD2265">
              <w:rPr>
                <w:rFonts w:ascii="Times New Roman" w:hAnsi="Times New Roman"/>
                <w:sz w:val="24"/>
              </w:rPr>
              <w:t xml:space="preserve"> un cietās daļiņas</w:t>
            </w:r>
            <w:r w:rsidRPr="00DD2265">
              <w:rPr>
                <w:rFonts w:ascii="Times New Roman" w:hAnsi="Times New Roman"/>
                <w:sz w:val="24"/>
                <w:vertAlign w:val="superscript"/>
              </w:rPr>
              <w:t>20; 40</w:t>
            </w:r>
          </w:p>
        </w:tc>
        <w:tc>
          <w:tcPr>
            <w:tcW w:w="1440" w:type="dxa"/>
          </w:tcPr>
          <w:p w14:paraId="0A08C581"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88/77/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4561" w:type="dxa"/>
            <w:vAlign w:val="center"/>
          </w:tcPr>
          <w:p w14:paraId="0D8D9C31"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noProof/>
                <w:sz w:val="24"/>
              </w:rPr>
              <w:t xml:space="preserve">Padomes 1987.gada 3.decembra Direktīva 88/77/EEK par dalībvalstu tiesību aktu tuvināšanu attiecībā uz pasākumiem, kas jāveic, lai samazinātu gāzveida piesārņojuma emisiju no dīzeļmotoriem, kurus izmanto transportlīdzekļos (Eiropas Savienības Oficiālais Vēstnesis, 01.05.2004., L 036, </w:t>
            </w:r>
            <w:r w:rsidRPr="00DD2265">
              <w:rPr>
                <w:rFonts w:ascii="Times New Roman" w:hAnsi="Times New Roman"/>
                <w:noProof/>
                <w:sz w:val="24"/>
              </w:rPr>
              <w:br/>
              <w:t>33.–61.lpp.)</w:t>
            </w:r>
          </w:p>
        </w:tc>
        <w:tc>
          <w:tcPr>
            <w:tcW w:w="483" w:type="dxa"/>
            <w:shd w:val="clear" w:color="auto" w:fill="auto"/>
            <w:vAlign w:val="center"/>
          </w:tcPr>
          <w:p w14:paraId="0CADAB5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7D93E50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2DC61A0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23E077E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75647CB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2B120B6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6E4BE61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70C74710"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27FE25ED"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5C01CB57"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val="restart"/>
            <w:shd w:val="clear" w:color="auto" w:fill="auto"/>
            <w:vAlign w:val="center"/>
          </w:tcPr>
          <w:p w14:paraId="4BE2A511"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49</w:t>
            </w:r>
          </w:p>
          <w:p w14:paraId="50E35C8F" w14:textId="77777777" w:rsidR="00B81106" w:rsidRPr="00DD2265" w:rsidRDefault="00B81106" w:rsidP="005D08E5">
            <w:pPr>
              <w:spacing w:after="0" w:line="240" w:lineRule="auto"/>
              <w:ind w:left="-108" w:right="-108"/>
              <w:jc w:val="center"/>
              <w:rPr>
                <w:rFonts w:ascii="Times New Roman" w:hAnsi="Times New Roman"/>
                <w:sz w:val="24"/>
              </w:rPr>
            </w:pPr>
          </w:p>
        </w:tc>
      </w:tr>
      <w:tr w:rsidR="00B81106" w:rsidRPr="00DD2265" w14:paraId="0E73CEF6" w14:textId="77777777" w:rsidTr="005D08E5">
        <w:tc>
          <w:tcPr>
            <w:tcW w:w="816" w:type="dxa"/>
            <w:vMerge/>
            <w:shd w:val="clear" w:color="auto" w:fill="auto"/>
          </w:tcPr>
          <w:p w14:paraId="0FE86EED"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62F43DAE"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Lieljaudas transportlīdzekļu</w:t>
            </w:r>
          </w:p>
          <w:p w14:paraId="4EEF3645"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w:t>
            </w:r>
            <w:r w:rsidRPr="00DD2265">
              <w:rPr>
                <w:rFonts w:ascii="Times New Roman" w:hAnsi="Times New Roman"/>
                <w:sz w:val="24"/>
              </w:rPr>
              <w:t xml:space="preserve">IV un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w:t>
            </w:r>
            <w:r w:rsidRPr="00DD2265">
              <w:rPr>
                <w:rFonts w:ascii="Times New Roman" w:hAnsi="Times New Roman"/>
                <w:sz w:val="24"/>
              </w:rPr>
              <w:t>V)</w:t>
            </w:r>
            <w:r w:rsidRPr="00DD2265">
              <w:rPr>
                <w:rFonts w:ascii="Times New Roman" w:hAnsi="Times New Roman"/>
                <w:sz w:val="24"/>
                <w:vertAlign w:val="superscript"/>
              </w:rPr>
              <w:t>40</w:t>
            </w:r>
          </w:p>
        </w:tc>
        <w:tc>
          <w:tcPr>
            <w:tcW w:w="1440" w:type="dxa"/>
          </w:tcPr>
          <w:p w14:paraId="4A01CAC9"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2005/55/EK</w:t>
            </w:r>
          </w:p>
        </w:tc>
        <w:tc>
          <w:tcPr>
            <w:tcW w:w="4561" w:type="dxa"/>
            <w:vAlign w:val="center"/>
          </w:tcPr>
          <w:p w14:paraId="41CD5311"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 xml:space="preserve">Eiropas Parlamenta un Padomes 2005.gada 28.septembra Direktīva 2005/55/EK par dalībvalstu tiesību aktu tuvināšanu attiecībā uz pasākumiem, kas jāveic, lai samazinātu gāzveida un </w:t>
            </w:r>
            <w:proofErr w:type="spellStart"/>
            <w:r w:rsidRPr="00DD2265">
              <w:rPr>
                <w:rFonts w:ascii="Times New Roman" w:hAnsi="Times New Roman"/>
                <w:sz w:val="24"/>
              </w:rPr>
              <w:t>daļiņveida</w:t>
            </w:r>
            <w:proofErr w:type="spellEnd"/>
            <w:r w:rsidRPr="00DD2265">
              <w:rPr>
                <w:rFonts w:ascii="Times New Roman" w:hAnsi="Times New Roman"/>
                <w:sz w:val="24"/>
              </w:rPr>
              <w:t xml:space="preserve"> piesārņotāju emisiju no </w:t>
            </w:r>
            <w:proofErr w:type="spellStart"/>
            <w:r w:rsidRPr="00DD2265">
              <w:rPr>
                <w:rFonts w:ascii="Times New Roman" w:hAnsi="Times New Roman"/>
                <w:sz w:val="24"/>
              </w:rPr>
              <w:t>kompresijaizdedzes</w:t>
            </w:r>
            <w:proofErr w:type="spellEnd"/>
            <w:r w:rsidRPr="00DD2265">
              <w:rPr>
                <w:rFonts w:ascii="Times New Roman" w:hAnsi="Times New Roman"/>
                <w:sz w:val="24"/>
              </w:rPr>
              <w:t xml:space="preserve"> motoriem, kuri paredzēti transportlīdzekļiem, un gāzveida piesārņotāju emisiju no dzirksteļaizdedzes motoriem, ko darbina ar dabasgāzi vai sašķidrinātu naftas gāzi un kas paredzēti </w:t>
            </w:r>
            <w:r w:rsidRPr="00DD2265">
              <w:rPr>
                <w:rFonts w:ascii="Times New Roman" w:hAnsi="Times New Roman"/>
                <w:sz w:val="24"/>
              </w:rPr>
              <w:lastRenderedPageBreak/>
              <w:t>transportlīdzekļiem (Dokuments attiecas uz EEZ) (</w:t>
            </w:r>
            <w:r w:rsidRPr="00DD2265">
              <w:rPr>
                <w:rFonts w:ascii="Times New Roman" w:hAnsi="Times New Roman"/>
                <w:noProof/>
                <w:sz w:val="24"/>
              </w:rPr>
              <w:t>Eiropas Savienības Oficiālais Vēstnesis, 20.10.2005., L 275, 1.–32.lpp.)</w:t>
            </w:r>
          </w:p>
        </w:tc>
        <w:tc>
          <w:tcPr>
            <w:tcW w:w="483" w:type="dxa"/>
            <w:shd w:val="clear" w:color="auto" w:fill="auto"/>
            <w:vAlign w:val="center"/>
          </w:tcPr>
          <w:p w14:paraId="7CF8890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lastRenderedPageBreak/>
              <w:t>●</w:t>
            </w:r>
          </w:p>
        </w:tc>
        <w:tc>
          <w:tcPr>
            <w:tcW w:w="364" w:type="dxa"/>
            <w:shd w:val="clear" w:color="auto" w:fill="auto"/>
            <w:vAlign w:val="center"/>
          </w:tcPr>
          <w:p w14:paraId="65AE4AF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A7F4CE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0B561C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975DE4C"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79DDE7D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51151CD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31FF70CB"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2F96E0AE"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4A36513F"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20D7B628" w14:textId="77777777" w:rsidR="00B81106" w:rsidRPr="00DD2265" w:rsidRDefault="00B81106" w:rsidP="005D08E5">
            <w:pPr>
              <w:spacing w:after="0" w:line="240" w:lineRule="auto"/>
              <w:ind w:left="-108" w:right="-108"/>
              <w:jc w:val="center"/>
              <w:rPr>
                <w:rFonts w:ascii="Times New Roman" w:hAnsi="Times New Roman"/>
                <w:sz w:val="24"/>
              </w:rPr>
            </w:pPr>
          </w:p>
        </w:tc>
      </w:tr>
      <w:tr w:rsidR="00B81106" w:rsidRPr="00DD2265" w14:paraId="1D14B717" w14:textId="77777777" w:rsidTr="005D08E5">
        <w:tc>
          <w:tcPr>
            <w:tcW w:w="816" w:type="dxa"/>
            <w:shd w:val="clear" w:color="auto" w:fill="auto"/>
          </w:tcPr>
          <w:p w14:paraId="0BD77036"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41.a</w:t>
            </w:r>
          </w:p>
        </w:tc>
        <w:tc>
          <w:tcPr>
            <w:tcW w:w="3444" w:type="dxa"/>
            <w:shd w:val="clear" w:color="auto" w:fill="auto"/>
          </w:tcPr>
          <w:p w14:paraId="62F88DF9"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VI</w:t>
            </w:r>
            <w:r w:rsidRPr="00DD2265">
              <w:rPr>
                <w:rFonts w:ascii="Times New Roman" w:hAnsi="Times New Roman"/>
                <w:sz w:val="24"/>
              </w:rPr>
              <w:t>), ko rada lielas celtspējas/ kravnesības transportlīdzekļi/piekļuve informācijai</w:t>
            </w:r>
            <w:r w:rsidRPr="00DD2265">
              <w:rPr>
                <w:rFonts w:ascii="Times New Roman" w:hAnsi="Times New Roman"/>
                <w:sz w:val="24"/>
                <w:vertAlign w:val="superscript"/>
              </w:rPr>
              <w:t>49</w:t>
            </w:r>
          </w:p>
        </w:tc>
        <w:tc>
          <w:tcPr>
            <w:tcW w:w="1440" w:type="dxa"/>
          </w:tcPr>
          <w:p w14:paraId="746B78CC" w14:textId="77777777" w:rsidR="00B81106" w:rsidRPr="00DD2265" w:rsidRDefault="00B81106" w:rsidP="005D08E5">
            <w:pPr>
              <w:autoSpaceDE w:val="0"/>
              <w:autoSpaceDN w:val="0"/>
              <w:adjustRightInd w:val="0"/>
              <w:spacing w:after="0" w:line="240" w:lineRule="auto"/>
              <w:ind w:hanging="108"/>
              <w:rPr>
                <w:rFonts w:ascii="Times New Roman" w:hAnsi="Times New Roman"/>
                <w:sz w:val="24"/>
              </w:rPr>
            </w:pPr>
            <w:r w:rsidRPr="00DD2265">
              <w:rPr>
                <w:rFonts w:ascii="Times New Roman" w:hAnsi="Times New Roman"/>
                <w:sz w:val="24"/>
              </w:rPr>
              <w:t>Regula (EK)</w:t>
            </w:r>
          </w:p>
          <w:p w14:paraId="5A06272A"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Nr.595/2009</w:t>
            </w:r>
          </w:p>
        </w:tc>
        <w:tc>
          <w:tcPr>
            <w:tcW w:w="4561" w:type="dxa"/>
            <w:vAlign w:val="center"/>
          </w:tcPr>
          <w:p w14:paraId="3919563E"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Eiropas Parlamenta un Padomes 2009.gada 18.jūnija Regula (EK) Nr.595/2009 </w:t>
            </w:r>
          </w:p>
          <w:p w14:paraId="1C0E5627"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6D0BD089"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tc>
        <w:tc>
          <w:tcPr>
            <w:tcW w:w="483" w:type="dxa"/>
            <w:shd w:val="clear" w:color="auto" w:fill="auto"/>
            <w:vAlign w:val="center"/>
          </w:tcPr>
          <w:p w14:paraId="794C04B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745DBE8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B62A64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2926B1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622C45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5ED2406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42FD7540"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087FD2E"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4C089AE3"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012AD3C1"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630A4C0F" w14:textId="77777777" w:rsidR="00B81106" w:rsidRPr="00DD2265" w:rsidRDefault="00B81106" w:rsidP="005D08E5">
            <w:pPr>
              <w:spacing w:after="0" w:line="240" w:lineRule="auto"/>
              <w:ind w:left="-108" w:right="-108"/>
              <w:jc w:val="center"/>
              <w:rPr>
                <w:rFonts w:ascii="Times New Roman" w:hAnsi="Times New Roman"/>
                <w:sz w:val="24"/>
              </w:rPr>
            </w:pPr>
          </w:p>
        </w:tc>
      </w:tr>
    </w:tbl>
    <w:p w14:paraId="4DA73A92" w14:textId="4FD355FE" w:rsidR="001F26F8" w:rsidRDefault="001F26F8"/>
    <w:p w14:paraId="7996C63D" w14:textId="77777777" w:rsidR="001F26F8" w:rsidRDefault="001F26F8">
      <w:pPr>
        <w:spacing w:after="0" w:line="240" w:lineRule="auto"/>
      </w:pPr>
      <w:r>
        <w:br w:type="page"/>
      </w:r>
    </w:p>
    <w:p w14:paraId="05BBF250" w14:textId="27C28D07" w:rsidR="00E145D3" w:rsidRPr="00DD2265" w:rsidRDefault="001F26F8" w:rsidP="00E145D3">
      <w:pPr>
        <w:pStyle w:val="ListParagraph"/>
        <w:numPr>
          <w:ilvl w:val="0"/>
          <w:numId w:val="1"/>
        </w:numPr>
        <w:rPr>
          <w:rFonts w:ascii="Times New Roman" w:hAnsi="Times New Roman"/>
          <w:sz w:val="28"/>
          <w:szCs w:val="28"/>
        </w:rPr>
      </w:pPr>
      <w:r>
        <w:rPr>
          <w:rFonts w:ascii="Times New Roman" w:hAnsi="Times New Roman"/>
          <w:sz w:val="28"/>
          <w:szCs w:val="28"/>
        </w:rPr>
        <w:lastRenderedPageBreak/>
        <w:t xml:space="preserve"> </w:t>
      </w:r>
      <w:r w:rsidR="00E145D3" w:rsidRPr="00DD2265">
        <w:rPr>
          <w:rFonts w:ascii="Times New Roman" w:hAnsi="Times New Roman"/>
          <w:sz w:val="28"/>
          <w:szCs w:val="28"/>
        </w:rPr>
        <w:t>Papildināt 11.pielikuma I nodaļas tabulu ar 41.b punktu šādā redakcijā:</w:t>
      </w: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4D1B6F7B" w14:textId="77777777" w:rsidTr="005D08E5">
        <w:trPr>
          <w:trHeight w:val="3979"/>
        </w:trPr>
        <w:tc>
          <w:tcPr>
            <w:tcW w:w="816" w:type="dxa"/>
            <w:vMerge w:val="restart"/>
            <w:shd w:val="clear" w:color="auto" w:fill="auto"/>
          </w:tcPr>
          <w:p w14:paraId="3EC0B1EA" w14:textId="7B451911" w:rsidR="00B81106" w:rsidRPr="00DD2265" w:rsidRDefault="00E145D3" w:rsidP="005D08E5">
            <w:pPr>
              <w:spacing w:after="0" w:line="240" w:lineRule="auto"/>
              <w:ind w:left="-108" w:right="-108" w:hanging="4"/>
              <w:jc w:val="center"/>
              <w:rPr>
                <w:rFonts w:ascii="Times New Roman" w:hAnsi="Times New Roman"/>
                <w:sz w:val="24"/>
              </w:rPr>
            </w:pPr>
            <w:r w:rsidRPr="00DD2265">
              <w:rPr>
                <w:rFonts w:ascii="Times New Roman" w:hAnsi="Times New Roman"/>
                <w:sz w:val="28"/>
                <w:szCs w:val="28"/>
              </w:rPr>
              <w:br w:type="page"/>
            </w:r>
            <w:r w:rsidR="00B81106" w:rsidRPr="00DD2265">
              <w:rPr>
                <w:rFonts w:ascii="Times New Roman" w:hAnsi="Times New Roman"/>
                <w:sz w:val="24"/>
              </w:rPr>
              <w:t>41.b</w:t>
            </w:r>
          </w:p>
        </w:tc>
        <w:tc>
          <w:tcPr>
            <w:tcW w:w="3444" w:type="dxa"/>
            <w:vMerge w:val="restart"/>
            <w:shd w:val="clear" w:color="auto" w:fill="auto"/>
          </w:tcPr>
          <w:p w14:paraId="01763F92"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CO2 simulācijas rīka licence (lielas noslodzes transportlīdzekļi)</w:t>
            </w:r>
            <w:r w:rsidRPr="00DD2265">
              <w:rPr>
                <w:rFonts w:ascii="Times New Roman" w:hAnsi="Times New Roman"/>
                <w:sz w:val="24"/>
                <w:vertAlign w:val="superscript"/>
              </w:rPr>
              <w:t>55</w:t>
            </w:r>
          </w:p>
        </w:tc>
        <w:tc>
          <w:tcPr>
            <w:tcW w:w="1440" w:type="dxa"/>
          </w:tcPr>
          <w:p w14:paraId="3071642F"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 xml:space="preserve">Regula (EK) Nr. 595/2009 </w:t>
            </w:r>
          </w:p>
        </w:tc>
        <w:tc>
          <w:tcPr>
            <w:tcW w:w="4561" w:type="dxa"/>
          </w:tcPr>
          <w:p w14:paraId="091D35FF"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40AD2B3A"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(Dokuments attiecas uz EEZ) (Eiropas Savienības Oficiālais Vēstnesis, 18.07.2009., L 188, 1.–13.lpp.)</w:t>
            </w:r>
          </w:p>
        </w:tc>
        <w:tc>
          <w:tcPr>
            <w:tcW w:w="483" w:type="dxa"/>
            <w:vMerge w:val="restart"/>
            <w:shd w:val="clear" w:color="auto" w:fill="auto"/>
            <w:vAlign w:val="center"/>
          </w:tcPr>
          <w:p w14:paraId="4E60190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57AC6E7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0D15C38A"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16FB3A7C"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3EFF671C"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vMerge w:val="restart"/>
            <w:shd w:val="clear" w:color="auto" w:fill="auto"/>
            <w:vAlign w:val="center"/>
          </w:tcPr>
          <w:p w14:paraId="6723829F"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vMerge w:val="restart"/>
            <w:shd w:val="clear" w:color="auto" w:fill="auto"/>
            <w:vAlign w:val="center"/>
          </w:tcPr>
          <w:p w14:paraId="58570BB7"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1E695249"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vMerge w:val="restart"/>
            <w:shd w:val="clear" w:color="auto" w:fill="auto"/>
            <w:vAlign w:val="center"/>
          </w:tcPr>
          <w:p w14:paraId="49867616"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vMerge w:val="restart"/>
            <w:shd w:val="clear" w:color="auto" w:fill="auto"/>
            <w:vAlign w:val="center"/>
          </w:tcPr>
          <w:p w14:paraId="466D1357"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val="restart"/>
            <w:shd w:val="clear" w:color="auto" w:fill="auto"/>
            <w:vAlign w:val="center"/>
          </w:tcPr>
          <w:p w14:paraId="618BD947"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w:t>
            </w:r>
          </w:p>
        </w:tc>
      </w:tr>
      <w:tr w:rsidR="00B81106" w:rsidRPr="00DD2265" w14:paraId="140545F7" w14:textId="77777777" w:rsidTr="005D08E5">
        <w:trPr>
          <w:trHeight w:val="3117"/>
        </w:trPr>
        <w:tc>
          <w:tcPr>
            <w:tcW w:w="816" w:type="dxa"/>
            <w:vMerge/>
            <w:shd w:val="clear" w:color="auto" w:fill="auto"/>
          </w:tcPr>
          <w:p w14:paraId="309090BC"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shd w:val="clear" w:color="auto" w:fill="auto"/>
          </w:tcPr>
          <w:p w14:paraId="350D47FA" w14:textId="77777777" w:rsidR="00B81106" w:rsidRPr="00DD2265" w:rsidRDefault="00B81106" w:rsidP="005D08E5">
            <w:pPr>
              <w:spacing w:after="0" w:line="240" w:lineRule="auto"/>
              <w:rPr>
                <w:rFonts w:ascii="Times New Roman" w:hAnsi="Times New Roman"/>
                <w:sz w:val="24"/>
              </w:rPr>
            </w:pPr>
          </w:p>
        </w:tc>
        <w:tc>
          <w:tcPr>
            <w:tcW w:w="1440" w:type="dxa"/>
          </w:tcPr>
          <w:p w14:paraId="598F06D4"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4561" w:type="dxa"/>
          </w:tcPr>
          <w:p w14:paraId="5F05D804"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483" w:type="dxa"/>
            <w:vMerge/>
            <w:shd w:val="clear" w:color="auto" w:fill="auto"/>
            <w:vAlign w:val="center"/>
          </w:tcPr>
          <w:p w14:paraId="7E3D0BF5"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0700B58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4141023D"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5FFC436"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0173497"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40" w:type="dxa"/>
            <w:vMerge/>
            <w:shd w:val="clear" w:color="auto" w:fill="auto"/>
            <w:vAlign w:val="center"/>
          </w:tcPr>
          <w:p w14:paraId="45497120"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8" w:type="dxa"/>
            <w:vMerge/>
            <w:shd w:val="clear" w:color="auto" w:fill="auto"/>
            <w:vAlign w:val="center"/>
          </w:tcPr>
          <w:p w14:paraId="2D85C49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FD3F19A"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vMerge/>
            <w:shd w:val="clear" w:color="auto" w:fill="auto"/>
            <w:vAlign w:val="center"/>
          </w:tcPr>
          <w:p w14:paraId="00E8A0DA"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vMerge/>
            <w:shd w:val="clear" w:color="auto" w:fill="auto"/>
            <w:vAlign w:val="center"/>
          </w:tcPr>
          <w:p w14:paraId="776F8111"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0BB75A06" w14:textId="77777777" w:rsidR="00B81106" w:rsidRPr="00DD2265" w:rsidRDefault="00B81106" w:rsidP="005D08E5">
            <w:pPr>
              <w:spacing w:after="0" w:line="240" w:lineRule="auto"/>
              <w:ind w:left="-108" w:right="-108"/>
              <w:jc w:val="center"/>
              <w:rPr>
                <w:rFonts w:ascii="Times New Roman" w:hAnsi="Times New Roman"/>
                <w:sz w:val="24"/>
              </w:rPr>
            </w:pPr>
          </w:p>
        </w:tc>
      </w:tr>
    </w:tbl>
    <w:p w14:paraId="2959C789" w14:textId="7B28979A" w:rsidR="001F26F8" w:rsidRDefault="001F26F8" w:rsidP="00C15808">
      <w:pPr>
        <w:pStyle w:val="ListParagraph"/>
        <w:spacing w:after="0" w:line="240" w:lineRule="auto"/>
        <w:ind w:left="0" w:firstLine="709"/>
        <w:jc w:val="both"/>
        <w:rPr>
          <w:rFonts w:ascii="Times New Roman" w:hAnsi="Times New Roman"/>
          <w:sz w:val="28"/>
          <w:szCs w:val="28"/>
        </w:rPr>
      </w:pPr>
    </w:p>
    <w:p w14:paraId="5F4CDD77"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74488C16" w14:textId="77777777" w:rsidR="00AC471D" w:rsidRPr="00DD2265" w:rsidRDefault="00B81106" w:rsidP="00B81106">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 nodaļas tabul</w:t>
      </w:r>
      <w:r w:rsidR="005D08E5" w:rsidRPr="00DD2265">
        <w:rPr>
          <w:rFonts w:ascii="Times New Roman" w:hAnsi="Times New Roman"/>
          <w:sz w:val="28"/>
          <w:szCs w:val="28"/>
        </w:rPr>
        <w:t>as</w:t>
      </w:r>
      <w:r w:rsidRPr="00DD2265">
        <w:rPr>
          <w:rFonts w:ascii="Times New Roman" w:hAnsi="Times New Roman"/>
          <w:sz w:val="28"/>
          <w:szCs w:val="28"/>
        </w:rPr>
        <w:t xml:space="preserve"> 46. punktu šādā redakcijā:</w:t>
      </w:r>
    </w:p>
    <w:p w14:paraId="1E332679" w14:textId="77777777" w:rsidR="00B81106" w:rsidRPr="00DD2265" w:rsidRDefault="00B81106" w:rsidP="00B81106">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681E571E" w14:textId="77777777" w:rsidTr="005D08E5">
        <w:trPr>
          <w:trHeight w:val="546"/>
        </w:trPr>
        <w:tc>
          <w:tcPr>
            <w:tcW w:w="816" w:type="dxa"/>
            <w:vMerge w:val="restart"/>
            <w:shd w:val="clear" w:color="auto" w:fill="auto"/>
          </w:tcPr>
          <w:p w14:paraId="2B57BAD0"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46.</w:t>
            </w:r>
          </w:p>
        </w:tc>
        <w:tc>
          <w:tcPr>
            <w:tcW w:w="3444" w:type="dxa"/>
            <w:shd w:val="clear" w:color="auto" w:fill="auto"/>
          </w:tcPr>
          <w:p w14:paraId="5FA682A5" w14:textId="77777777" w:rsidR="00B81106" w:rsidRPr="00DD2265" w:rsidRDefault="00B81106" w:rsidP="005D08E5">
            <w:pPr>
              <w:spacing w:after="0" w:line="240" w:lineRule="auto"/>
              <w:ind w:right="-108"/>
              <w:rPr>
                <w:rFonts w:ascii="Times New Roman" w:hAnsi="Times New Roman"/>
                <w:sz w:val="24"/>
              </w:rPr>
            </w:pPr>
            <w:r w:rsidRPr="00DD2265">
              <w:rPr>
                <w:rFonts w:ascii="Times New Roman" w:hAnsi="Times New Roman"/>
                <w:sz w:val="24"/>
              </w:rPr>
              <w:t>Riepas mehāniskajiem transportlīdzekļiem un to piekabēm</w:t>
            </w:r>
            <w:r w:rsidRPr="00DD2265">
              <w:rPr>
                <w:rFonts w:ascii="Times New Roman" w:hAnsi="Times New Roman"/>
                <w:sz w:val="24"/>
                <w:vertAlign w:val="superscript"/>
              </w:rPr>
              <w:t>24</w:t>
            </w:r>
          </w:p>
        </w:tc>
        <w:tc>
          <w:tcPr>
            <w:tcW w:w="1440" w:type="dxa"/>
            <w:vMerge w:val="restart"/>
          </w:tcPr>
          <w:p w14:paraId="11EEDFEB"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92/23/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4561" w:type="dxa"/>
            <w:vMerge w:val="restart"/>
          </w:tcPr>
          <w:p w14:paraId="1410E409"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noProof/>
                <w:sz w:val="24"/>
              </w:rPr>
              <w:t>Padomes 1992.gada 31.marta Direktīva 92/23/EEK par mehānisko transportlīdzekļu un to piekabju riepām  un riepu montāžām (Eiropas Savienības Oficiālais Vēstnesis, 01.05.2004., L 129, 95.–153.lpp.)</w:t>
            </w:r>
          </w:p>
        </w:tc>
        <w:tc>
          <w:tcPr>
            <w:tcW w:w="483" w:type="dxa"/>
            <w:shd w:val="clear" w:color="auto" w:fill="auto"/>
            <w:vAlign w:val="center"/>
          </w:tcPr>
          <w:p w14:paraId="6708E07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5A97519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7A215E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D2A9684"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15DD462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64D93E4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7D370A2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438D44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488" w:type="dxa"/>
            <w:shd w:val="clear" w:color="auto" w:fill="auto"/>
            <w:vAlign w:val="center"/>
          </w:tcPr>
          <w:p w14:paraId="1D80FDA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0" w:type="dxa"/>
            <w:shd w:val="clear" w:color="auto" w:fill="auto"/>
            <w:vAlign w:val="center"/>
          </w:tcPr>
          <w:p w14:paraId="788EFF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740" w:type="dxa"/>
            <w:shd w:val="clear" w:color="auto" w:fill="auto"/>
            <w:vAlign w:val="center"/>
          </w:tcPr>
          <w:p w14:paraId="20E40EF3"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30</w:t>
            </w:r>
          </w:p>
        </w:tc>
      </w:tr>
      <w:tr w:rsidR="00B81106" w:rsidRPr="00DD2265" w14:paraId="2CE4B30A" w14:textId="77777777" w:rsidTr="005D08E5">
        <w:trPr>
          <w:trHeight w:val="546"/>
        </w:trPr>
        <w:tc>
          <w:tcPr>
            <w:tcW w:w="816" w:type="dxa"/>
            <w:vMerge/>
            <w:shd w:val="clear" w:color="auto" w:fill="auto"/>
          </w:tcPr>
          <w:p w14:paraId="6F0107BE"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1592E8CE" w14:textId="77777777" w:rsidR="00B81106" w:rsidRPr="00DD2265" w:rsidRDefault="00B81106" w:rsidP="005D08E5">
            <w:pPr>
              <w:spacing w:after="0" w:line="240" w:lineRule="auto"/>
              <w:ind w:right="-108"/>
              <w:rPr>
                <w:rFonts w:ascii="Times New Roman" w:hAnsi="Times New Roman"/>
                <w:sz w:val="24"/>
              </w:rPr>
            </w:pPr>
            <w:r w:rsidRPr="00DD2265">
              <w:rPr>
                <w:rFonts w:ascii="Times New Roman" w:hAnsi="Times New Roman"/>
                <w:sz w:val="24"/>
              </w:rPr>
              <w:t>Riepas komerciālajiem transportlīdzekļiem un to piekabēm</w:t>
            </w:r>
            <w:r w:rsidRPr="00DD2265">
              <w:rPr>
                <w:rFonts w:ascii="Times New Roman" w:hAnsi="Times New Roman"/>
                <w:sz w:val="24"/>
                <w:vertAlign w:val="superscript"/>
              </w:rPr>
              <w:t>24</w:t>
            </w:r>
          </w:p>
        </w:tc>
        <w:tc>
          <w:tcPr>
            <w:tcW w:w="1440" w:type="dxa"/>
            <w:vMerge/>
          </w:tcPr>
          <w:p w14:paraId="3FF9E627"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70FF2C4C"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0853606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1A67F4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B6D862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3C1862D"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12454E48"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07D8E32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268EC4C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E1EF07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488" w:type="dxa"/>
            <w:shd w:val="clear" w:color="auto" w:fill="auto"/>
            <w:vAlign w:val="center"/>
          </w:tcPr>
          <w:p w14:paraId="13FAC7BD"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0" w:type="dxa"/>
            <w:shd w:val="clear" w:color="auto" w:fill="auto"/>
            <w:vAlign w:val="center"/>
          </w:tcPr>
          <w:p w14:paraId="16CD695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740" w:type="dxa"/>
            <w:shd w:val="clear" w:color="auto" w:fill="auto"/>
            <w:vAlign w:val="center"/>
          </w:tcPr>
          <w:p w14:paraId="614EF39D"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54</w:t>
            </w:r>
          </w:p>
        </w:tc>
      </w:tr>
      <w:tr w:rsidR="00B81106" w:rsidRPr="00DD2265" w14:paraId="64BD2DD7" w14:textId="77777777" w:rsidTr="005D08E5">
        <w:trPr>
          <w:trHeight w:val="280"/>
        </w:trPr>
        <w:tc>
          <w:tcPr>
            <w:tcW w:w="816" w:type="dxa"/>
            <w:vMerge/>
            <w:shd w:val="clear" w:color="auto" w:fill="auto"/>
          </w:tcPr>
          <w:p w14:paraId="5CB55AC7"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34685D75"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Pagaidu lietošanas rezerves riteņi/riepas</w:t>
            </w:r>
          </w:p>
        </w:tc>
        <w:tc>
          <w:tcPr>
            <w:tcW w:w="1440" w:type="dxa"/>
            <w:vMerge/>
          </w:tcPr>
          <w:p w14:paraId="22D63130"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0E29D68E"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7618D07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101442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89FB87A"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4274D7EB"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78C23AC"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76413407"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3E75F9BD"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4EFA919D"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7DB11896"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0E09298E"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108BF831"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64</w:t>
            </w:r>
          </w:p>
        </w:tc>
      </w:tr>
      <w:tr w:rsidR="00B81106" w:rsidRPr="00DD2265" w14:paraId="509B44BA" w14:textId="77777777" w:rsidTr="005D08E5">
        <w:trPr>
          <w:trHeight w:val="280"/>
        </w:trPr>
        <w:tc>
          <w:tcPr>
            <w:tcW w:w="816" w:type="dxa"/>
            <w:vMerge/>
            <w:shd w:val="clear" w:color="auto" w:fill="auto"/>
          </w:tcPr>
          <w:p w14:paraId="48947A3B"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0321FD35"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Riepu spiediena kontroles sistēma</w:t>
            </w:r>
          </w:p>
        </w:tc>
        <w:tc>
          <w:tcPr>
            <w:tcW w:w="1440" w:type="dxa"/>
            <w:vMerge/>
          </w:tcPr>
          <w:p w14:paraId="49FB9094"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52E64BB1"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67F2B28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4B8784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3EA35D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B1F9BD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6A99BA9"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53C56A1A"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57843AC4"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06CF4A72"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5967B7B4"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7AFF4862"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2E88C932"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141</w:t>
            </w:r>
          </w:p>
        </w:tc>
      </w:tr>
      <w:tr w:rsidR="00B81106" w:rsidRPr="00DD2265" w14:paraId="710BB04F" w14:textId="77777777" w:rsidTr="005D08E5">
        <w:trPr>
          <w:trHeight w:val="280"/>
        </w:trPr>
        <w:tc>
          <w:tcPr>
            <w:tcW w:w="816" w:type="dxa"/>
            <w:vMerge/>
            <w:shd w:val="clear" w:color="auto" w:fill="auto"/>
          </w:tcPr>
          <w:p w14:paraId="6FA86AEF"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2B1B4B16"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Rites troksnis</w:t>
            </w:r>
            <w:r w:rsidRPr="00DD2265">
              <w:rPr>
                <w:rFonts w:ascii="Times New Roman" w:hAnsi="Times New Roman"/>
                <w:sz w:val="24"/>
                <w:vertAlign w:val="superscript"/>
              </w:rPr>
              <w:t>46</w:t>
            </w:r>
          </w:p>
          <w:p w14:paraId="511C52FF" w14:textId="77777777" w:rsidR="00B81106" w:rsidRPr="00DD2265" w:rsidRDefault="00B81106" w:rsidP="005D08E5">
            <w:pPr>
              <w:spacing w:after="0" w:line="240" w:lineRule="auto"/>
              <w:rPr>
                <w:rFonts w:ascii="Times New Roman" w:hAnsi="Times New Roman"/>
                <w:sz w:val="24"/>
              </w:rPr>
            </w:pPr>
          </w:p>
        </w:tc>
        <w:tc>
          <w:tcPr>
            <w:tcW w:w="1440" w:type="dxa"/>
            <w:vMerge/>
          </w:tcPr>
          <w:p w14:paraId="46A8EFD5"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5A058722"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211E0B8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18AC19C6"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D658677"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5AE44C4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34F6A2F"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18A94280"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3068EF8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4BA2CB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488" w:type="dxa"/>
            <w:shd w:val="clear" w:color="auto" w:fill="auto"/>
            <w:vAlign w:val="center"/>
          </w:tcPr>
          <w:p w14:paraId="355343ED"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566198D6"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79313D5A"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117</w:t>
            </w:r>
          </w:p>
        </w:tc>
      </w:tr>
      <w:tr w:rsidR="00B81106" w:rsidRPr="00DD2265" w14:paraId="7C27D0A6" w14:textId="77777777" w:rsidTr="005D08E5">
        <w:trPr>
          <w:trHeight w:val="280"/>
        </w:trPr>
        <w:tc>
          <w:tcPr>
            <w:tcW w:w="816" w:type="dxa"/>
            <w:vMerge/>
            <w:shd w:val="clear" w:color="auto" w:fill="auto"/>
          </w:tcPr>
          <w:p w14:paraId="6877C866"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val="restart"/>
            <w:shd w:val="clear" w:color="auto" w:fill="auto"/>
          </w:tcPr>
          <w:p w14:paraId="564FDB14"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Riepu uzstādīšana</w:t>
            </w:r>
          </w:p>
        </w:tc>
        <w:tc>
          <w:tcPr>
            <w:tcW w:w="1440" w:type="dxa"/>
          </w:tcPr>
          <w:p w14:paraId="509468EE" w14:textId="77777777" w:rsidR="00B81106" w:rsidRPr="00DD2265" w:rsidRDefault="00B81106" w:rsidP="005D08E5">
            <w:pPr>
              <w:spacing w:after="0" w:line="240" w:lineRule="auto"/>
              <w:ind w:hanging="202"/>
              <w:jc w:val="center"/>
              <w:rPr>
                <w:rFonts w:ascii="Times New Roman" w:hAnsi="Times New Roman"/>
                <w:bCs/>
                <w:sz w:val="24"/>
              </w:rPr>
            </w:pPr>
            <w:r w:rsidRPr="00DD2265">
              <w:rPr>
                <w:rFonts w:ascii="Times New Roman" w:hAnsi="Times New Roman"/>
                <w:bCs/>
                <w:sz w:val="24"/>
              </w:rPr>
              <w:t>Regula (ES)</w:t>
            </w:r>
          </w:p>
          <w:p w14:paraId="688A440E" w14:textId="77777777" w:rsidR="00B81106" w:rsidRPr="00DD2265" w:rsidRDefault="00B81106" w:rsidP="005D08E5">
            <w:pPr>
              <w:spacing w:after="0" w:line="240" w:lineRule="auto"/>
              <w:ind w:left="-60" w:right="-125"/>
              <w:rPr>
                <w:rFonts w:ascii="Times New Roman" w:hAnsi="Times New Roman"/>
                <w:sz w:val="24"/>
              </w:rPr>
            </w:pPr>
            <w:r w:rsidRPr="00DD2265">
              <w:rPr>
                <w:rFonts w:ascii="Times New Roman" w:hAnsi="Times New Roman"/>
                <w:bCs/>
                <w:sz w:val="24"/>
              </w:rPr>
              <w:t>Nr.458/2011</w:t>
            </w:r>
          </w:p>
        </w:tc>
        <w:tc>
          <w:tcPr>
            <w:tcW w:w="4561" w:type="dxa"/>
          </w:tcPr>
          <w:p w14:paraId="1B61C5DF" w14:textId="77777777" w:rsidR="00B81106" w:rsidRPr="00DD2265" w:rsidRDefault="00B81106" w:rsidP="005D08E5">
            <w:pPr>
              <w:spacing w:after="0" w:line="240" w:lineRule="auto"/>
              <w:ind w:left="-108" w:right="-108"/>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483" w:type="dxa"/>
            <w:shd w:val="clear" w:color="auto" w:fill="auto"/>
            <w:vAlign w:val="center"/>
          </w:tcPr>
          <w:p w14:paraId="10F0CE5C"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01296AC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CF309F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2D26496"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5C6986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5751215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5E789045"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52439177"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488" w:type="dxa"/>
            <w:shd w:val="clear" w:color="auto" w:fill="auto"/>
            <w:vAlign w:val="center"/>
          </w:tcPr>
          <w:p w14:paraId="0530596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0" w:type="dxa"/>
            <w:shd w:val="clear" w:color="auto" w:fill="auto"/>
            <w:vAlign w:val="center"/>
          </w:tcPr>
          <w:p w14:paraId="2AE174D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740" w:type="dxa"/>
            <w:shd w:val="clear" w:color="auto" w:fill="auto"/>
            <w:vAlign w:val="center"/>
          </w:tcPr>
          <w:p w14:paraId="264D3CF2"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w:t>
            </w:r>
          </w:p>
        </w:tc>
      </w:tr>
      <w:tr w:rsidR="00B81106" w:rsidRPr="00DD2265" w14:paraId="078A69C1" w14:textId="77777777" w:rsidTr="005D08E5">
        <w:trPr>
          <w:trHeight w:val="280"/>
        </w:trPr>
        <w:tc>
          <w:tcPr>
            <w:tcW w:w="816" w:type="dxa"/>
            <w:vMerge/>
            <w:shd w:val="clear" w:color="auto" w:fill="auto"/>
          </w:tcPr>
          <w:p w14:paraId="1E7C6E1D"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shd w:val="clear" w:color="auto" w:fill="auto"/>
          </w:tcPr>
          <w:p w14:paraId="2699011D" w14:textId="77777777" w:rsidR="00B81106" w:rsidRPr="00DD2265" w:rsidRDefault="00B81106" w:rsidP="005D08E5">
            <w:pPr>
              <w:autoSpaceDE w:val="0"/>
              <w:autoSpaceDN w:val="0"/>
              <w:adjustRightInd w:val="0"/>
              <w:spacing w:after="0" w:line="240" w:lineRule="auto"/>
              <w:rPr>
                <w:rFonts w:ascii="Times New Roman" w:hAnsi="Times New Roman"/>
                <w:sz w:val="24"/>
              </w:rPr>
            </w:pPr>
          </w:p>
        </w:tc>
        <w:tc>
          <w:tcPr>
            <w:tcW w:w="1440" w:type="dxa"/>
          </w:tcPr>
          <w:p w14:paraId="56CC8050" w14:textId="77777777" w:rsidR="00B81106" w:rsidRPr="00DD2265" w:rsidRDefault="00B81106" w:rsidP="005D08E5">
            <w:pPr>
              <w:spacing w:after="0" w:line="240" w:lineRule="auto"/>
              <w:ind w:hanging="202"/>
              <w:jc w:val="center"/>
              <w:rPr>
                <w:rFonts w:ascii="Times New Roman" w:hAnsi="Times New Roman"/>
                <w:bCs/>
                <w:sz w:val="24"/>
              </w:rPr>
            </w:pPr>
            <w:r w:rsidRPr="00DD2265">
              <w:rPr>
                <w:rFonts w:ascii="Times New Roman" w:hAnsi="Times New Roman"/>
                <w:bCs/>
                <w:sz w:val="24"/>
              </w:rPr>
              <w:t>-</w:t>
            </w:r>
          </w:p>
        </w:tc>
        <w:tc>
          <w:tcPr>
            <w:tcW w:w="4561" w:type="dxa"/>
          </w:tcPr>
          <w:p w14:paraId="7E63618A" w14:textId="77777777" w:rsidR="00B81106" w:rsidRPr="00DD2265" w:rsidRDefault="00B81106" w:rsidP="005D08E5">
            <w:pPr>
              <w:spacing w:after="0" w:line="240" w:lineRule="auto"/>
              <w:ind w:left="-108" w:right="-108"/>
              <w:rPr>
                <w:rFonts w:ascii="Times New Roman" w:hAnsi="Times New Roman"/>
                <w:bCs/>
                <w:sz w:val="24"/>
              </w:rPr>
            </w:pPr>
          </w:p>
        </w:tc>
        <w:tc>
          <w:tcPr>
            <w:tcW w:w="483" w:type="dxa"/>
            <w:shd w:val="clear" w:color="auto" w:fill="auto"/>
            <w:vAlign w:val="center"/>
          </w:tcPr>
          <w:p w14:paraId="45A1DB3A"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6D640FB7"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32BBE2E8"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6CFCA8D5"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33E5E951"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40" w:type="dxa"/>
            <w:shd w:val="clear" w:color="auto" w:fill="auto"/>
            <w:vAlign w:val="center"/>
          </w:tcPr>
          <w:p w14:paraId="16349EAC"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8" w:type="dxa"/>
            <w:shd w:val="clear" w:color="auto" w:fill="auto"/>
            <w:vAlign w:val="center"/>
          </w:tcPr>
          <w:p w14:paraId="7BB7E294"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587C4D83"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488" w:type="dxa"/>
            <w:shd w:val="clear" w:color="auto" w:fill="auto"/>
            <w:vAlign w:val="center"/>
          </w:tcPr>
          <w:p w14:paraId="33B67D45"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0" w:type="dxa"/>
            <w:shd w:val="clear" w:color="auto" w:fill="auto"/>
            <w:vAlign w:val="center"/>
          </w:tcPr>
          <w:p w14:paraId="7AF0A25E"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740" w:type="dxa"/>
            <w:shd w:val="clear" w:color="auto" w:fill="auto"/>
            <w:vAlign w:val="center"/>
          </w:tcPr>
          <w:p w14:paraId="7C91FC56"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142</w:t>
            </w:r>
          </w:p>
        </w:tc>
      </w:tr>
    </w:tbl>
    <w:p w14:paraId="6407C3FD" w14:textId="61A32395" w:rsidR="001F26F8" w:rsidRDefault="001F26F8" w:rsidP="00B81106">
      <w:pPr>
        <w:pStyle w:val="ListParagraph"/>
        <w:spacing w:after="0" w:line="240" w:lineRule="auto"/>
        <w:ind w:left="1080"/>
        <w:jc w:val="both"/>
        <w:rPr>
          <w:rFonts w:ascii="Times New Roman" w:hAnsi="Times New Roman"/>
          <w:sz w:val="28"/>
          <w:szCs w:val="28"/>
        </w:rPr>
      </w:pPr>
    </w:p>
    <w:p w14:paraId="4A98E857"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18F6A791" w14:textId="77777777" w:rsidR="00B66894" w:rsidRPr="00DD2265" w:rsidRDefault="00B66894" w:rsidP="00B6689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Papildināt 11.pielikuma I nodaļas tabulas piezīmes ar 55.piezīmi šādā redakcijā:</w:t>
      </w:r>
    </w:p>
    <w:p w14:paraId="4987134F"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r w:rsidRPr="00DD2265">
        <w:rPr>
          <w:rFonts w:ascii="Times New Roman" w:hAnsi="Times New Roman"/>
          <w:sz w:val="28"/>
          <w:szCs w:val="28"/>
        </w:rPr>
        <w:t>"</w:t>
      </w:r>
      <w:r w:rsidRPr="00DD2265">
        <w:rPr>
          <w:rFonts w:ascii="Times New Roman" w:hAnsi="Times New Roman"/>
          <w:sz w:val="28"/>
          <w:szCs w:val="28"/>
          <w:vertAlign w:val="superscript"/>
        </w:rPr>
        <w:t>55</w:t>
      </w:r>
      <w:r w:rsidRPr="00DD2265">
        <w:rPr>
          <w:rFonts w:ascii="Times New Roman" w:hAnsi="Times New Roman"/>
          <w:sz w:val="28"/>
          <w:szCs w:val="28"/>
        </w:rPr>
        <w:tab/>
      </w:r>
      <w:r w:rsidRPr="00DD2265">
        <w:rPr>
          <w:rFonts w:ascii="Times New Roman" w:hAnsi="Times New Roman"/>
          <w:sz w:val="28"/>
          <w:szCs w:val="28"/>
        </w:rPr>
        <w:tab/>
        <w:t>Regula (ES) Nr.2017/2400 attiecas uz N2 kategorijas transportlīdzekļiem, kuru tehniski pieļaujamā maksimālā masa pārsniedz 7 500 kg. Tās prasības piemērojamas, sākot ar 2019. gada 1. janvārī, atbilstoši 24.pantā norādītajiem nosacījumiem.".</w:t>
      </w:r>
    </w:p>
    <w:p w14:paraId="5DFC88ED"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p>
    <w:p w14:paraId="3C1DD406" w14:textId="77777777" w:rsidR="00B66894" w:rsidRPr="00DD2265" w:rsidRDefault="00B66894"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bookmarkStart w:id="9" w:name="_Hlk503425264"/>
      <w:r w:rsidR="00E32759" w:rsidRPr="00DD2265">
        <w:rPr>
          <w:rFonts w:ascii="Times New Roman" w:hAnsi="Times New Roman"/>
          <w:sz w:val="28"/>
          <w:szCs w:val="28"/>
        </w:rPr>
        <w:t>Izteikt 11.pielikuma II nodaļas tabulas 1.a punktu šādā redakcijā:</w:t>
      </w:r>
      <w:bookmarkEnd w:id="9"/>
    </w:p>
    <w:p w14:paraId="5F5BC18B"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798"/>
        <w:gridCol w:w="1780"/>
        <w:gridCol w:w="4500"/>
        <w:gridCol w:w="1100"/>
      </w:tblGrid>
      <w:tr w:rsidR="00E32759" w:rsidRPr="00DD2265" w14:paraId="70E8A450" w14:textId="77777777" w:rsidTr="00656770">
        <w:trPr>
          <w:cantSplit/>
          <w:trHeight w:val="550"/>
        </w:trPr>
        <w:tc>
          <w:tcPr>
            <w:tcW w:w="540" w:type="dxa"/>
            <w:vMerge w:val="restart"/>
          </w:tcPr>
          <w:p w14:paraId="5E1CE9C1"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1.a.</w:t>
            </w:r>
          </w:p>
        </w:tc>
        <w:tc>
          <w:tcPr>
            <w:tcW w:w="2100" w:type="dxa"/>
            <w:vMerge w:val="restart"/>
          </w:tcPr>
          <w:p w14:paraId="16407F6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Skaņas līmenis</w:t>
            </w:r>
          </w:p>
        </w:tc>
        <w:tc>
          <w:tcPr>
            <w:tcW w:w="1422" w:type="dxa"/>
            <w:vMerge w:val="restart"/>
          </w:tcPr>
          <w:p w14:paraId="4364A102" w14:textId="77777777" w:rsidR="00E32759" w:rsidRPr="00DD2265" w:rsidRDefault="00E32759" w:rsidP="00656770">
            <w:pPr>
              <w:spacing w:after="0" w:line="240" w:lineRule="auto"/>
              <w:ind w:right="-130"/>
              <w:rPr>
                <w:rFonts w:ascii="Times New Roman" w:hAnsi="Times New Roman"/>
                <w:sz w:val="24"/>
              </w:rPr>
            </w:pPr>
            <w:r w:rsidRPr="00DD2265">
              <w:rPr>
                <w:rFonts w:ascii="Times New Roman" w:hAnsi="Times New Roman"/>
                <w:sz w:val="24"/>
              </w:rPr>
              <w:t>Regula (ES) Nr. 540/2014</w:t>
            </w:r>
          </w:p>
        </w:tc>
        <w:tc>
          <w:tcPr>
            <w:tcW w:w="3798" w:type="dxa"/>
            <w:vMerge w:val="restart"/>
          </w:tcPr>
          <w:p w14:paraId="0681969B" w14:textId="77777777" w:rsidR="00E32759" w:rsidRPr="00DD2265" w:rsidRDefault="00E32759" w:rsidP="00656770">
            <w:pPr>
              <w:spacing w:after="0" w:line="240" w:lineRule="auto"/>
              <w:ind w:right="-125"/>
              <w:rPr>
                <w:rFonts w:ascii="Times New Roman" w:hAnsi="Times New Roman"/>
                <w:noProof/>
                <w:sz w:val="24"/>
              </w:rPr>
            </w:pPr>
            <w:r w:rsidRPr="00DD2265">
              <w:rPr>
                <w:rFonts w:ascii="Times New Roman" w:hAnsi="Times New Roman"/>
                <w:noProof/>
                <w:sz w:val="24"/>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 lpp.)</w:t>
            </w:r>
          </w:p>
        </w:tc>
        <w:tc>
          <w:tcPr>
            <w:tcW w:w="1780" w:type="dxa"/>
          </w:tcPr>
          <w:p w14:paraId="347B79B9" w14:textId="77777777" w:rsidR="00E32759" w:rsidRPr="00DD2265" w:rsidRDefault="00E32759" w:rsidP="00656770">
            <w:pPr>
              <w:spacing w:after="0" w:line="240" w:lineRule="auto"/>
              <w:rPr>
                <w:rFonts w:ascii="Times New Roman" w:hAnsi="Times New Roman"/>
                <w:bCs/>
                <w:sz w:val="24"/>
              </w:rPr>
            </w:pPr>
            <w:r w:rsidRPr="00DD2265">
              <w:rPr>
                <w:rFonts w:ascii="Times New Roman" w:hAnsi="Times New Roman"/>
                <w:bCs/>
                <w:sz w:val="24"/>
              </w:rPr>
              <w:t>Regula (ES) Nr. 540/2014</w:t>
            </w:r>
          </w:p>
        </w:tc>
        <w:tc>
          <w:tcPr>
            <w:tcW w:w="4500" w:type="dxa"/>
            <w:shd w:val="clear" w:color="auto" w:fill="auto"/>
          </w:tcPr>
          <w:p w14:paraId="7FF977A2"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 lpp.)</w:t>
            </w:r>
          </w:p>
        </w:tc>
        <w:tc>
          <w:tcPr>
            <w:tcW w:w="1100" w:type="dxa"/>
            <w:shd w:val="clear" w:color="auto" w:fill="auto"/>
          </w:tcPr>
          <w:p w14:paraId="206F825B" w14:textId="77777777" w:rsidR="00E32759" w:rsidRPr="00DD2265" w:rsidRDefault="00E3275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51.03</w:t>
            </w:r>
          </w:p>
        </w:tc>
      </w:tr>
      <w:tr w:rsidR="00E32759" w:rsidRPr="00DD2265" w14:paraId="24B7FCBD" w14:textId="77777777" w:rsidTr="00656770">
        <w:trPr>
          <w:cantSplit/>
          <w:trHeight w:val="550"/>
        </w:trPr>
        <w:tc>
          <w:tcPr>
            <w:tcW w:w="540" w:type="dxa"/>
            <w:vMerge/>
          </w:tcPr>
          <w:p w14:paraId="27F4874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6AF760B9" w14:textId="77777777" w:rsidR="00E32759" w:rsidRPr="00DD2265" w:rsidRDefault="00E32759" w:rsidP="00656770">
            <w:pPr>
              <w:spacing w:after="0" w:line="240" w:lineRule="auto"/>
              <w:rPr>
                <w:rFonts w:ascii="Times New Roman" w:hAnsi="Times New Roman"/>
                <w:sz w:val="24"/>
              </w:rPr>
            </w:pPr>
          </w:p>
        </w:tc>
        <w:tc>
          <w:tcPr>
            <w:tcW w:w="1422" w:type="dxa"/>
            <w:vMerge/>
          </w:tcPr>
          <w:p w14:paraId="2F468B8D" w14:textId="77777777" w:rsidR="00E32759" w:rsidRPr="00DD2265" w:rsidRDefault="00E32759" w:rsidP="00656770">
            <w:pPr>
              <w:spacing w:after="0" w:line="240" w:lineRule="auto"/>
              <w:ind w:right="-130"/>
              <w:rPr>
                <w:rFonts w:ascii="Times New Roman" w:hAnsi="Times New Roman"/>
                <w:sz w:val="24"/>
              </w:rPr>
            </w:pPr>
          </w:p>
        </w:tc>
        <w:tc>
          <w:tcPr>
            <w:tcW w:w="3798" w:type="dxa"/>
            <w:vMerge/>
          </w:tcPr>
          <w:p w14:paraId="40645AE4" w14:textId="77777777" w:rsidR="00E32759" w:rsidRPr="00DD2265" w:rsidRDefault="00E32759" w:rsidP="00656770">
            <w:pPr>
              <w:spacing w:after="0" w:line="240" w:lineRule="auto"/>
              <w:ind w:right="-125"/>
              <w:rPr>
                <w:rFonts w:ascii="Times New Roman" w:hAnsi="Times New Roman"/>
                <w:noProof/>
                <w:sz w:val="24"/>
              </w:rPr>
            </w:pPr>
          </w:p>
        </w:tc>
        <w:tc>
          <w:tcPr>
            <w:tcW w:w="1780" w:type="dxa"/>
          </w:tcPr>
          <w:p w14:paraId="64FFBF48" w14:textId="77777777" w:rsidR="00E32759" w:rsidRPr="00DD2265" w:rsidRDefault="00E32759" w:rsidP="00656770">
            <w:pPr>
              <w:spacing w:after="0" w:line="240" w:lineRule="auto"/>
              <w:rPr>
                <w:rFonts w:ascii="Times New Roman" w:hAnsi="Times New Roman"/>
                <w:bCs/>
                <w:sz w:val="24"/>
              </w:rPr>
            </w:pPr>
            <w:r w:rsidRPr="00DD2265">
              <w:rPr>
                <w:rFonts w:ascii="Times New Roman" w:hAnsi="Times New Roman"/>
                <w:bCs/>
                <w:sz w:val="24"/>
              </w:rPr>
              <w:t>Regula (ES) Nr. 2017/1576</w:t>
            </w:r>
          </w:p>
        </w:tc>
        <w:tc>
          <w:tcPr>
            <w:tcW w:w="4500" w:type="dxa"/>
            <w:shd w:val="clear" w:color="auto" w:fill="auto"/>
          </w:tcPr>
          <w:p w14:paraId="425A20EC"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Komisijas 2017. gada 26.jūnija deleģētā Regula (ES) 2017/1576, ar ko attiecībā uz transportlīdzekļu akustiskās brīdināšanas sistēmas prasībām transportlīdzekļa ES</w:t>
            </w:r>
          </w:p>
          <w:p w14:paraId="16ADC991"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tipa apstiprināšanai groza Eiropas Parlamenta un Padomes Regulu (ES) Nr. 540/2014 (Dokuments attiecas uz EEZ) (Eiropas Savienības Oficiālais Vēstnesis, 19.09.2017., L 239, 3.-7.lpp.)</w:t>
            </w:r>
          </w:p>
        </w:tc>
        <w:tc>
          <w:tcPr>
            <w:tcW w:w="1100" w:type="dxa"/>
          </w:tcPr>
          <w:p w14:paraId="241A6C43" w14:textId="77777777" w:rsidR="00E32759" w:rsidRPr="00DD2265" w:rsidRDefault="00E3275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138.01</w:t>
            </w:r>
          </w:p>
        </w:tc>
      </w:tr>
    </w:tbl>
    <w:p w14:paraId="4167B38E" w14:textId="04C38FB4" w:rsidR="001F26F8" w:rsidRDefault="001F26F8" w:rsidP="00B66894">
      <w:pPr>
        <w:pStyle w:val="ListParagraph"/>
        <w:spacing w:after="0" w:line="240" w:lineRule="auto"/>
        <w:ind w:left="0" w:firstLine="1080"/>
        <w:jc w:val="both"/>
        <w:rPr>
          <w:rFonts w:ascii="Times New Roman" w:hAnsi="Times New Roman"/>
          <w:sz w:val="28"/>
          <w:szCs w:val="28"/>
        </w:rPr>
      </w:pPr>
    </w:p>
    <w:p w14:paraId="5D6CA69C"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426020B5" w14:textId="77777777" w:rsidR="00B66894"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2.a punktu šādā redakcijā:</w:t>
      </w:r>
    </w:p>
    <w:p w14:paraId="7CD39C96" w14:textId="77777777" w:rsidR="00E32759" w:rsidRPr="00DD2265" w:rsidRDefault="00E32759" w:rsidP="00E32759">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E32759" w:rsidRPr="00DD2265" w14:paraId="18A7A080" w14:textId="77777777" w:rsidTr="00656770">
        <w:trPr>
          <w:cantSplit/>
          <w:trHeight w:val="830"/>
        </w:trPr>
        <w:tc>
          <w:tcPr>
            <w:tcW w:w="540" w:type="dxa"/>
            <w:vMerge w:val="restart"/>
          </w:tcPr>
          <w:p w14:paraId="5D2B28B7"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2.a</w:t>
            </w:r>
          </w:p>
        </w:tc>
        <w:tc>
          <w:tcPr>
            <w:tcW w:w="2100" w:type="dxa"/>
            <w:vMerge w:val="restart"/>
          </w:tcPr>
          <w:p w14:paraId="5BC5E8F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5 </w:t>
            </w:r>
            <w:r w:rsidRPr="00DD2265">
              <w:rPr>
                <w:rFonts w:ascii="Times New Roman" w:hAnsi="Times New Roman"/>
                <w:sz w:val="24"/>
              </w:rPr>
              <w:t xml:space="preserve">un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6</w:t>
            </w:r>
            <w:r w:rsidRPr="00DD2265">
              <w:rPr>
                <w:rFonts w:ascii="Times New Roman" w:hAnsi="Times New Roman"/>
                <w:sz w:val="24"/>
              </w:rPr>
              <w:t>) vieglajiem transportlīdzekļiem/informācijas pieejamība</w:t>
            </w:r>
          </w:p>
        </w:tc>
        <w:tc>
          <w:tcPr>
            <w:tcW w:w="1422" w:type="dxa"/>
            <w:vMerge w:val="restart"/>
          </w:tcPr>
          <w:p w14:paraId="5288436C" w14:textId="77777777" w:rsidR="00E32759" w:rsidRPr="00DD2265" w:rsidRDefault="00E32759" w:rsidP="00656770">
            <w:pPr>
              <w:spacing w:after="0" w:line="240" w:lineRule="auto"/>
              <w:ind w:left="-81"/>
              <w:rPr>
                <w:rFonts w:ascii="Times New Roman" w:hAnsi="Times New Roman"/>
                <w:sz w:val="24"/>
              </w:rPr>
            </w:pPr>
            <w:r w:rsidRPr="00DD2265">
              <w:rPr>
                <w:rFonts w:ascii="Times New Roman" w:hAnsi="Times New Roman"/>
                <w:sz w:val="24"/>
              </w:rPr>
              <w:t>Regula (EK) Nr.715/2007</w:t>
            </w:r>
          </w:p>
        </w:tc>
        <w:tc>
          <w:tcPr>
            <w:tcW w:w="3798" w:type="dxa"/>
            <w:vMerge w:val="restart"/>
          </w:tcPr>
          <w:p w14:paraId="508F5655" w14:textId="77777777" w:rsidR="00E32759" w:rsidRPr="00DD2265" w:rsidRDefault="00E32759" w:rsidP="00656770">
            <w:pPr>
              <w:spacing w:after="0" w:line="240" w:lineRule="auto"/>
              <w:ind w:left="10" w:right="-125"/>
              <w:rPr>
                <w:rFonts w:ascii="Times New Roman" w:hAnsi="Times New Roman"/>
                <w:noProof/>
                <w:sz w:val="24"/>
              </w:rPr>
            </w:pPr>
            <w:r w:rsidRPr="00DD2265">
              <w:rPr>
                <w:rFonts w:ascii="Times New Roman" w:hAnsi="Times New Roman"/>
                <w:bCs/>
                <w:sz w:val="24"/>
              </w:rPr>
              <w:t>Eiropas Parlamenta un Padomes 2007.gada 20.jūnija Regula (EK) Nr.715/2007 par tipa apstiprinājumu mehāniskiem transportlīdzekļiem attiecībā uz emisijām no vieglajiem pasažieru un komerciālajiem transportlīdzekļiem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5</w:t>
            </w:r>
            <w:r w:rsidRPr="00DD2265">
              <w:rPr>
                <w:rFonts w:ascii="Times New Roman" w:hAnsi="Times New Roman"/>
                <w:bCs/>
                <w:sz w:val="24"/>
              </w:rPr>
              <w:t xml:space="preserve"> un </w:t>
            </w:r>
            <w:proofErr w:type="spellStart"/>
            <w:r w:rsidRPr="00DD2265">
              <w:rPr>
                <w:rFonts w:ascii="Times New Roman" w:hAnsi="Times New Roman"/>
                <w:bCs/>
                <w:i/>
                <w:sz w:val="24"/>
              </w:rPr>
              <w:t>Euro</w:t>
            </w:r>
            <w:proofErr w:type="spellEnd"/>
            <w:r w:rsidRPr="00DD2265">
              <w:rPr>
                <w:rFonts w:ascii="Times New Roman" w:hAnsi="Times New Roman"/>
                <w:bCs/>
                <w:sz w:val="24"/>
              </w:rPr>
              <w:t> </w:t>
            </w:r>
            <w:r w:rsidRPr="00DD2265">
              <w:rPr>
                <w:rFonts w:ascii="Times New Roman" w:hAnsi="Times New Roman"/>
                <w:bCs/>
                <w:i/>
                <w:sz w:val="24"/>
              </w:rPr>
              <w:t>6</w:t>
            </w:r>
            <w:r w:rsidRPr="00DD2265">
              <w:rPr>
                <w:rFonts w:ascii="Times New Roman" w:hAnsi="Times New Roman"/>
                <w:bCs/>
                <w:sz w:val="24"/>
              </w:rPr>
              <w:t xml:space="preserve">) un par piekļuvi transportlīdzekļa remonta un tehniskās apkopes informācijai </w:t>
            </w:r>
            <w:r w:rsidRPr="00DD2265">
              <w:rPr>
                <w:rFonts w:ascii="Times New Roman" w:hAnsi="Times New Roman"/>
                <w:sz w:val="24"/>
              </w:rPr>
              <w:t>(Dokuments attiecas uz EEZ)</w:t>
            </w:r>
            <w:r w:rsidRPr="00DD2265">
              <w:rPr>
                <w:rFonts w:ascii="Times New Roman" w:hAnsi="Times New Roman"/>
                <w:noProof/>
                <w:sz w:val="24"/>
              </w:rPr>
              <w:t xml:space="preserve"> (Eiropas Savienības Oficiālais Vēstnesis, 29.06.2007.,</w:t>
            </w:r>
            <w:r w:rsidRPr="00DD2265">
              <w:rPr>
                <w:rFonts w:ascii="Times New Roman" w:hAnsi="Times New Roman"/>
                <w:bCs/>
                <w:sz w:val="24"/>
              </w:rPr>
              <w:t xml:space="preserve"> </w:t>
            </w:r>
            <w:r w:rsidRPr="00DD2265">
              <w:rPr>
                <w:rFonts w:ascii="Times New Roman" w:hAnsi="Times New Roman"/>
                <w:sz w:val="24"/>
              </w:rPr>
              <w:t>L 171, 1.–16.lpp.)</w:t>
            </w:r>
          </w:p>
        </w:tc>
        <w:tc>
          <w:tcPr>
            <w:tcW w:w="1780" w:type="dxa"/>
          </w:tcPr>
          <w:p w14:paraId="25EFDB6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(EK) Nr.715/2007</w:t>
            </w:r>
            <w:r w:rsidRPr="00DD2265">
              <w:rPr>
                <w:rFonts w:ascii="Times New Roman" w:hAnsi="Times New Roman"/>
                <w:sz w:val="24"/>
                <w:vertAlign w:val="superscript"/>
              </w:rPr>
              <w:t>4B</w:t>
            </w:r>
          </w:p>
        </w:tc>
        <w:tc>
          <w:tcPr>
            <w:tcW w:w="4500" w:type="dxa"/>
            <w:shd w:val="clear" w:color="auto" w:fill="auto"/>
          </w:tcPr>
          <w:p w14:paraId="7DC03D01" w14:textId="77777777" w:rsidR="00E32759" w:rsidRPr="00DD2265" w:rsidRDefault="00E32759" w:rsidP="00656770">
            <w:pPr>
              <w:spacing w:after="0" w:line="240" w:lineRule="auto"/>
              <w:rPr>
                <w:rFonts w:ascii="Times New Roman" w:hAnsi="Times New Roman"/>
                <w:noProof/>
                <w:sz w:val="24"/>
              </w:rPr>
            </w:pPr>
            <w:r w:rsidRPr="00DD2265">
              <w:rPr>
                <w:rFonts w:ascii="Times New Roman" w:hAnsi="Times New Roman"/>
                <w:noProof/>
                <w:sz w:val="24"/>
              </w:rPr>
              <w:t>Eiropas Parlamenta un Padomes 2007.gada 20.jūnija Regula (EK) Nr.715/2007 par tipa apstiprinājumu mehāniskiem transport</w:t>
            </w:r>
            <w:r w:rsidRPr="00DD2265">
              <w:rPr>
                <w:rFonts w:ascii="Times New Roman" w:hAnsi="Times New Roman"/>
                <w:noProof/>
                <w:sz w:val="24"/>
              </w:rPr>
              <w:softHyphen/>
              <w:t>līdzekļiem attiecībā uz emisijām no vieglajiem pasažieru un komerciālajiem transportlīdzekļiem (</w:t>
            </w:r>
            <w:r w:rsidRPr="00DD2265">
              <w:rPr>
                <w:rFonts w:ascii="Times New Roman" w:hAnsi="Times New Roman"/>
                <w:i/>
                <w:noProof/>
                <w:sz w:val="24"/>
              </w:rPr>
              <w:t>Euro 5</w:t>
            </w:r>
            <w:r w:rsidRPr="00DD2265">
              <w:rPr>
                <w:rFonts w:ascii="Times New Roman" w:hAnsi="Times New Roman"/>
                <w:noProof/>
                <w:sz w:val="24"/>
              </w:rPr>
              <w:t xml:space="preserve"> un </w:t>
            </w:r>
            <w:r w:rsidRPr="00DD2265">
              <w:rPr>
                <w:rFonts w:ascii="Times New Roman" w:hAnsi="Times New Roman"/>
                <w:i/>
                <w:noProof/>
                <w:sz w:val="24"/>
              </w:rPr>
              <w:t>Euro 6</w:t>
            </w:r>
            <w:r w:rsidRPr="00DD2265">
              <w:rPr>
                <w:rFonts w:ascii="Times New Roman" w:hAnsi="Times New Roman"/>
                <w:noProof/>
                <w:sz w:val="24"/>
              </w:rPr>
              <w:t>) un par piekļuvi transportlīdzekļa remonta un tehniskās apkopes informācijai (Dokuments attiecas uz EEZ) (Eiropas Savienības Oficiālais Vēstnesis, 29.06.2007., L 171, 1.–16.lpp.)</w:t>
            </w:r>
          </w:p>
        </w:tc>
        <w:tc>
          <w:tcPr>
            <w:tcW w:w="1100" w:type="dxa"/>
            <w:vMerge w:val="restart"/>
          </w:tcPr>
          <w:p w14:paraId="52F1399C"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83.06</w:t>
            </w:r>
          </w:p>
          <w:p w14:paraId="0B3C0565" w14:textId="77777777" w:rsidR="00E32759" w:rsidRPr="00DD2265" w:rsidRDefault="00E32759" w:rsidP="00656770">
            <w:pPr>
              <w:spacing w:after="0" w:line="240" w:lineRule="auto"/>
              <w:jc w:val="center"/>
              <w:rPr>
                <w:rFonts w:ascii="Times New Roman" w:hAnsi="Times New Roman"/>
                <w:b/>
                <w:sz w:val="24"/>
              </w:rPr>
            </w:pPr>
            <w:r w:rsidRPr="00DD2265">
              <w:rPr>
                <w:rFonts w:ascii="Times New Roman" w:hAnsi="Times New Roman"/>
                <w:sz w:val="24"/>
              </w:rPr>
              <w:t>83.07</w:t>
            </w:r>
          </w:p>
        </w:tc>
      </w:tr>
      <w:tr w:rsidR="00E32759" w:rsidRPr="00DD2265" w14:paraId="45C6EADE" w14:textId="77777777" w:rsidTr="00656770">
        <w:trPr>
          <w:cantSplit/>
          <w:trHeight w:val="3060"/>
        </w:trPr>
        <w:tc>
          <w:tcPr>
            <w:tcW w:w="540" w:type="dxa"/>
            <w:vMerge/>
          </w:tcPr>
          <w:p w14:paraId="71C519C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317BBC5E" w14:textId="77777777" w:rsidR="00E32759" w:rsidRPr="00DD2265" w:rsidRDefault="00E32759" w:rsidP="00656770">
            <w:pPr>
              <w:spacing w:after="0" w:line="240" w:lineRule="auto"/>
              <w:rPr>
                <w:rFonts w:ascii="Times New Roman" w:hAnsi="Times New Roman"/>
                <w:sz w:val="24"/>
              </w:rPr>
            </w:pPr>
          </w:p>
        </w:tc>
        <w:tc>
          <w:tcPr>
            <w:tcW w:w="1422" w:type="dxa"/>
            <w:vMerge/>
          </w:tcPr>
          <w:p w14:paraId="72F63564" w14:textId="77777777" w:rsidR="00E32759" w:rsidRPr="00DD2265" w:rsidRDefault="00E32759" w:rsidP="00656770">
            <w:pPr>
              <w:spacing w:after="0" w:line="240" w:lineRule="auto"/>
              <w:rPr>
                <w:rFonts w:ascii="Times New Roman" w:hAnsi="Times New Roman"/>
                <w:b/>
                <w:sz w:val="24"/>
              </w:rPr>
            </w:pPr>
          </w:p>
        </w:tc>
        <w:tc>
          <w:tcPr>
            <w:tcW w:w="3798" w:type="dxa"/>
            <w:vMerge/>
          </w:tcPr>
          <w:p w14:paraId="6A6B35F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2E02094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(EK) Nr.692/2008</w:t>
            </w:r>
            <w:r w:rsidRPr="00DD2265">
              <w:rPr>
                <w:rFonts w:ascii="Times New Roman" w:hAnsi="Times New Roman"/>
                <w:sz w:val="24"/>
                <w:vertAlign w:val="superscript"/>
              </w:rPr>
              <w:t>4C</w:t>
            </w:r>
          </w:p>
        </w:tc>
        <w:tc>
          <w:tcPr>
            <w:tcW w:w="4500" w:type="dxa"/>
            <w:shd w:val="clear" w:color="auto" w:fill="auto"/>
          </w:tcPr>
          <w:p w14:paraId="1F2B3D71" w14:textId="77777777" w:rsidR="00E32759" w:rsidRPr="00DD2265" w:rsidRDefault="00E32759" w:rsidP="00656770">
            <w:pPr>
              <w:spacing w:after="0" w:line="240" w:lineRule="auto"/>
              <w:rPr>
                <w:rFonts w:ascii="Times New Roman" w:hAnsi="Times New Roman"/>
                <w:noProof/>
                <w:sz w:val="24"/>
              </w:rPr>
            </w:pPr>
            <w:r w:rsidRPr="00DD2265">
              <w:rPr>
                <w:rFonts w:ascii="Times New Roman" w:hAnsi="Times New Roman"/>
                <w:sz w:val="24"/>
              </w:rPr>
              <w:t>Komisijas 2008.gada 18.jūlija Regula (EK) Nr.692/2008 ar kuru īsteno un groza Eiropas Parlamenta un Padomes Regulu (EK) Nr.715/2007 par tipa apstiprinājumu mehāniskiem transportlīdzekļiem attiecībā uz emisijām no vieglajiem pasažieru un komerciālajiem transportlīdzekļiem (</w:t>
            </w:r>
            <w:proofErr w:type="spellStart"/>
            <w:r w:rsidRPr="00DD2265">
              <w:rPr>
                <w:rFonts w:ascii="Times New Roman" w:hAnsi="Times New Roman"/>
                <w:i/>
                <w:sz w:val="24"/>
              </w:rPr>
              <w:t>Euro</w:t>
            </w:r>
            <w:proofErr w:type="spellEnd"/>
            <w:r w:rsidRPr="00DD2265">
              <w:rPr>
                <w:rFonts w:ascii="Times New Roman" w:hAnsi="Times New Roman"/>
                <w:i/>
                <w:sz w:val="24"/>
              </w:rPr>
              <w:t xml:space="preserve"> 5</w:t>
            </w:r>
            <w:r w:rsidRPr="00DD2265">
              <w:rPr>
                <w:rFonts w:ascii="Times New Roman" w:hAnsi="Times New Roman"/>
                <w:sz w:val="24"/>
              </w:rPr>
              <w:t xml:space="preserve"> un </w:t>
            </w:r>
            <w:proofErr w:type="spellStart"/>
            <w:r w:rsidRPr="00DD2265">
              <w:rPr>
                <w:rFonts w:ascii="Times New Roman" w:hAnsi="Times New Roman"/>
                <w:i/>
                <w:sz w:val="24"/>
              </w:rPr>
              <w:t>Euro</w:t>
            </w:r>
            <w:proofErr w:type="spellEnd"/>
            <w:r w:rsidRPr="00DD2265">
              <w:rPr>
                <w:rFonts w:ascii="Times New Roman" w:hAnsi="Times New Roman"/>
                <w:i/>
                <w:sz w:val="24"/>
              </w:rPr>
              <w:t xml:space="preserve"> 6</w:t>
            </w:r>
            <w:r w:rsidRPr="00DD2265">
              <w:rPr>
                <w:rFonts w:ascii="Times New Roman" w:hAnsi="Times New Roman"/>
                <w:sz w:val="24"/>
              </w:rPr>
              <w:t>) un par piekļuvi transportlīdzekļa remonta un tehniskās apkopes informācijai (Dokuments attiecas uz EEZ)</w:t>
            </w:r>
            <w:r w:rsidRPr="00DD2265">
              <w:rPr>
                <w:rFonts w:ascii="Times New Roman" w:hAnsi="Times New Roman"/>
                <w:noProof/>
                <w:sz w:val="24"/>
              </w:rPr>
              <w:t xml:space="preserve"> (Eiropas Savienības Oficiālais Vēstnesis, 28.07.2008., L 199, 1.– 136.lpp.)</w:t>
            </w:r>
          </w:p>
        </w:tc>
        <w:tc>
          <w:tcPr>
            <w:tcW w:w="1100" w:type="dxa"/>
            <w:vMerge/>
          </w:tcPr>
          <w:p w14:paraId="58E0DE8F"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664BBA13" w14:textId="77777777" w:rsidTr="00656770">
        <w:trPr>
          <w:cantSplit/>
          <w:trHeight w:val="3060"/>
        </w:trPr>
        <w:tc>
          <w:tcPr>
            <w:tcW w:w="540" w:type="dxa"/>
            <w:vMerge/>
          </w:tcPr>
          <w:p w14:paraId="7B2D1518"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0B8F40BE" w14:textId="77777777" w:rsidR="00E32759" w:rsidRPr="00DD2265" w:rsidRDefault="00E32759" w:rsidP="00656770">
            <w:pPr>
              <w:spacing w:after="0" w:line="240" w:lineRule="auto"/>
              <w:rPr>
                <w:rFonts w:ascii="Times New Roman" w:hAnsi="Times New Roman"/>
                <w:sz w:val="24"/>
              </w:rPr>
            </w:pPr>
          </w:p>
        </w:tc>
        <w:tc>
          <w:tcPr>
            <w:tcW w:w="1422" w:type="dxa"/>
            <w:vMerge/>
          </w:tcPr>
          <w:p w14:paraId="11B378CA" w14:textId="77777777" w:rsidR="00E32759" w:rsidRPr="00DD2265" w:rsidRDefault="00E32759" w:rsidP="00656770">
            <w:pPr>
              <w:spacing w:after="0" w:line="240" w:lineRule="auto"/>
              <w:rPr>
                <w:rFonts w:ascii="Times New Roman" w:hAnsi="Times New Roman"/>
                <w:b/>
                <w:sz w:val="24"/>
              </w:rPr>
            </w:pPr>
          </w:p>
        </w:tc>
        <w:tc>
          <w:tcPr>
            <w:tcW w:w="3798" w:type="dxa"/>
            <w:vMerge/>
          </w:tcPr>
          <w:p w14:paraId="2D2DA6F7"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B6B137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Nr.566/2011</w:t>
            </w:r>
          </w:p>
        </w:tc>
        <w:tc>
          <w:tcPr>
            <w:tcW w:w="4500" w:type="dxa"/>
            <w:shd w:val="clear" w:color="auto" w:fill="auto"/>
          </w:tcPr>
          <w:p w14:paraId="65D5BB5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2011.gada 8.jūnija Regula (ES) Nr.566/2011, ar ko attiecībā uz piekļuvi transportlīdzekļa remonta un tehniskās apkopes informācijai groza Eiropas Parlamenta un Padomes Regulu (EK) Nr.715/2007 un Komisijas Regulu (EK) Nr.692/2008 (Dokuments attiecas uz EEZ)</w:t>
            </w:r>
          </w:p>
          <w:p w14:paraId="53815BB6"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(Eiropas Savienības Oficiālais Vēstnesis, 16.06.2011., L 158, 1.–24.lpp.)</w:t>
            </w:r>
          </w:p>
        </w:tc>
        <w:tc>
          <w:tcPr>
            <w:tcW w:w="1100" w:type="dxa"/>
            <w:vMerge/>
          </w:tcPr>
          <w:p w14:paraId="24A8442A"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3E897505" w14:textId="77777777" w:rsidTr="00656770">
        <w:trPr>
          <w:cantSplit/>
          <w:trHeight w:val="3060"/>
        </w:trPr>
        <w:tc>
          <w:tcPr>
            <w:tcW w:w="540" w:type="dxa"/>
            <w:vMerge/>
          </w:tcPr>
          <w:p w14:paraId="022E5B4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477137C5" w14:textId="77777777" w:rsidR="00E32759" w:rsidRPr="00DD2265" w:rsidRDefault="00E32759" w:rsidP="00656770">
            <w:pPr>
              <w:spacing w:after="0" w:line="240" w:lineRule="auto"/>
              <w:rPr>
                <w:rFonts w:ascii="Times New Roman" w:hAnsi="Times New Roman"/>
                <w:sz w:val="24"/>
              </w:rPr>
            </w:pPr>
          </w:p>
        </w:tc>
        <w:tc>
          <w:tcPr>
            <w:tcW w:w="1422" w:type="dxa"/>
            <w:vMerge/>
          </w:tcPr>
          <w:p w14:paraId="5D754D25" w14:textId="77777777" w:rsidR="00E32759" w:rsidRPr="00DD2265" w:rsidRDefault="00E32759" w:rsidP="00656770">
            <w:pPr>
              <w:spacing w:after="0" w:line="240" w:lineRule="auto"/>
              <w:rPr>
                <w:rFonts w:ascii="Times New Roman" w:hAnsi="Times New Roman"/>
                <w:b/>
                <w:sz w:val="24"/>
              </w:rPr>
            </w:pPr>
          </w:p>
        </w:tc>
        <w:tc>
          <w:tcPr>
            <w:tcW w:w="3798" w:type="dxa"/>
            <w:vMerge/>
          </w:tcPr>
          <w:p w14:paraId="781D6758"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B12922F"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Nr.459/2012</w:t>
            </w:r>
          </w:p>
        </w:tc>
        <w:tc>
          <w:tcPr>
            <w:tcW w:w="4500" w:type="dxa"/>
            <w:shd w:val="clear" w:color="auto" w:fill="auto"/>
          </w:tcPr>
          <w:p w14:paraId="327EC840"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2012. gada 29. maija Regula (ES) Nr.459/2012, ar ko groza Eiropas Parlamenta un Padomes Regulu (EK) Nr. 715/2007 un Komisijas Regulu (EK) Nr. 692/2008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1.06.2012., L 142, 16.–24.lpp.)</w:t>
            </w:r>
          </w:p>
        </w:tc>
        <w:tc>
          <w:tcPr>
            <w:tcW w:w="1100" w:type="dxa"/>
            <w:vMerge/>
          </w:tcPr>
          <w:p w14:paraId="44D51B69"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2CEBFFA5" w14:textId="77777777" w:rsidTr="00656770">
        <w:trPr>
          <w:cantSplit/>
          <w:trHeight w:val="3060"/>
        </w:trPr>
        <w:tc>
          <w:tcPr>
            <w:tcW w:w="540" w:type="dxa"/>
            <w:vMerge/>
          </w:tcPr>
          <w:p w14:paraId="3A5B0D8B"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52236756" w14:textId="77777777" w:rsidR="00E32759" w:rsidRPr="00DD2265" w:rsidRDefault="00E32759" w:rsidP="00656770">
            <w:pPr>
              <w:spacing w:after="0" w:line="240" w:lineRule="auto"/>
              <w:rPr>
                <w:rFonts w:ascii="Times New Roman" w:hAnsi="Times New Roman"/>
                <w:sz w:val="24"/>
              </w:rPr>
            </w:pPr>
          </w:p>
        </w:tc>
        <w:tc>
          <w:tcPr>
            <w:tcW w:w="1422" w:type="dxa"/>
            <w:vMerge/>
          </w:tcPr>
          <w:p w14:paraId="33401FEA" w14:textId="77777777" w:rsidR="00E32759" w:rsidRPr="00DD2265" w:rsidRDefault="00E32759" w:rsidP="00656770">
            <w:pPr>
              <w:spacing w:after="0" w:line="240" w:lineRule="auto"/>
              <w:rPr>
                <w:rFonts w:ascii="Times New Roman" w:hAnsi="Times New Roman"/>
                <w:b/>
                <w:sz w:val="24"/>
              </w:rPr>
            </w:pPr>
          </w:p>
        </w:tc>
        <w:tc>
          <w:tcPr>
            <w:tcW w:w="3798" w:type="dxa"/>
            <w:vMerge/>
          </w:tcPr>
          <w:p w14:paraId="3E152D6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D7B704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Nr.630/2012</w:t>
            </w:r>
          </w:p>
        </w:tc>
        <w:tc>
          <w:tcPr>
            <w:tcW w:w="4500" w:type="dxa"/>
            <w:shd w:val="clear" w:color="auto" w:fill="auto"/>
          </w:tcPr>
          <w:p w14:paraId="138F45E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2012. gada 12. jūlija Regula (ES) Nr. 630/2012, ar ko groza Regulu (EK) Nr. 692/2008 attiecībā uz tipa apstiprinājuma prasībām mehāniskiem transportlīdzekļiem, kuros kā degvielu izmanto ūdeņradi un ūdeņraža un dabasgāzes maisījumus, saistībā ar emisijām un attiecībā uz konkrētas informācijas iekļaušanu saistībā ar transportlīdzekļiem, kas aprīkoti ar elektrisko spēka piedziņas bloku, informācijas dokumentā transportlīdzekļu EK tipa apstiprinājumam (Dokuments attiecas uz EEZ)</w:t>
            </w:r>
            <w:r w:rsidRPr="00DD2265">
              <w:rPr>
                <w:rFonts w:ascii="Times New Roman" w:hAnsi="Times New Roman"/>
              </w:rPr>
              <w:t xml:space="preserve"> </w:t>
            </w:r>
            <w:r w:rsidRPr="00DD2265">
              <w:rPr>
                <w:rFonts w:ascii="Times New Roman" w:hAnsi="Times New Roman"/>
                <w:sz w:val="24"/>
              </w:rPr>
              <w:t>(Eiropas Savienības Oficiālais Vēstnesis, 13.07.2012., L 182, 14.–26.lpp.)</w:t>
            </w:r>
          </w:p>
        </w:tc>
        <w:tc>
          <w:tcPr>
            <w:tcW w:w="1100" w:type="dxa"/>
            <w:vMerge/>
          </w:tcPr>
          <w:p w14:paraId="7A79C79E"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1AA4C748" w14:textId="77777777" w:rsidTr="00656770">
        <w:trPr>
          <w:cantSplit/>
          <w:trHeight w:val="3060"/>
        </w:trPr>
        <w:tc>
          <w:tcPr>
            <w:tcW w:w="540" w:type="dxa"/>
            <w:vMerge/>
          </w:tcPr>
          <w:p w14:paraId="74BB3188"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4C683161" w14:textId="77777777" w:rsidR="00E32759" w:rsidRPr="00DD2265" w:rsidRDefault="00E32759" w:rsidP="00656770">
            <w:pPr>
              <w:spacing w:after="0" w:line="240" w:lineRule="auto"/>
              <w:rPr>
                <w:rFonts w:ascii="Times New Roman" w:hAnsi="Times New Roman"/>
                <w:sz w:val="24"/>
              </w:rPr>
            </w:pPr>
          </w:p>
        </w:tc>
        <w:tc>
          <w:tcPr>
            <w:tcW w:w="1422" w:type="dxa"/>
            <w:vMerge/>
          </w:tcPr>
          <w:p w14:paraId="543B438F"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9B9F51"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6D3B9C26"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Nr.143/2013</w:t>
            </w:r>
          </w:p>
        </w:tc>
        <w:tc>
          <w:tcPr>
            <w:tcW w:w="4500" w:type="dxa"/>
            <w:shd w:val="clear" w:color="auto" w:fill="auto"/>
          </w:tcPr>
          <w:p w14:paraId="22E240B7"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2013. gada 19. februāra Regula (ES) Nr. 143/2013, ar ko Eiropas Parlamenta un Padomes Direktīvu 2007/46/EK un Komisijas Regulu (EK) Nr. 692/2008 groza attiecībā uz CO 2 emisiju noteikšanu tiem transportlīdzekļiem, kurus nodod vairākposmu tipa apstiprināšanai (Dokuments attiecas uz EEZ) (Eiropas Savienības Oficiālais Vēstnesis, 20.02.2013., L 47, 51.–55.lpp.)</w:t>
            </w:r>
          </w:p>
        </w:tc>
        <w:tc>
          <w:tcPr>
            <w:tcW w:w="1100" w:type="dxa"/>
            <w:vMerge/>
          </w:tcPr>
          <w:p w14:paraId="5CD96281"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1660B574" w14:textId="77777777" w:rsidTr="00656770">
        <w:trPr>
          <w:cantSplit/>
          <w:trHeight w:val="3060"/>
        </w:trPr>
        <w:tc>
          <w:tcPr>
            <w:tcW w:w="540" w:type="dxa"/>
            <w:vMerge/>
          </w:tcPr>
          <w:p w14:paraId="3E7DD585"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7C752A47" w14:textId="77777777" w:rsidR="00E32759" w:rsidRPr="00DD2265" w:rsidRDefault="00E32759" w:rsidP="00656770">
            <w:pPr>
              <w:spacing w:after="0" w:line="240" w:lineRule="auto"/>
              <w:rPr>
                <w:rFonts w:ascii="Times New Roman" w:hAnsi="Times New Roman"/>
                <w:sz w:val="24"/>
              </w:rPr>
            </w:pPr>
          </w:p>
        </w:tc>
        <w:tc>
          <w:tcPr>
            <w:tcW w:w="1422" w:type="dxa"/>
            <w:vMerge/>
          </w:tcPr>
          <w:p w14:paraId="35E3D344"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2C99B8"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A11DC4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w:t>
            </w:r>
          </w:p>
          <w:p w14:paraId="2A3D08C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Nr.195/2013</w:t>
            </w:r>
          </w:p>
        </w:tc>
        <w:tc>
          <w:tcPr>
            <w:tcW w:w="4500" w:type="dxa"/>
            <w:shd w:val="clear" w:color="auto" w:fill="auto"/>
          </w:tcPr>
          <w:p w14:paraId="0286B93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2013.gada 7.marta Regula (ES) Nr.195/2013, ar ko attiecībā uz inovatīvām tehnoloģijām CO2 emisiju samazināšanai no vieglajiem pasažieru un komerciālajiem transportlīdzekļiem groza Eiropas Parlamenta un Padomes Direktīvu 2007/46/EK un Komisijas Regulu (EK) Nr.692/2008 (Dokuments attiecas uz EEZ) (Eiropas Savienības Oficiālais Vēstnesis, 08.03.2013., L 65, 1.–12.lpp.)</w:t>
            </w:r>
          </w:p>
        </w:tc>
        <w:tc>
          <w:tcPr>
            <w:tcW w:w="1100" w:type="dxa"/>
            <w:vMerge/>
          </w:tcPr>
          <w:p w14:paraId="057C8E03"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49B3CB1F" w14:textId="77777777" w:rsidTr="00656770">
        <w:trPr>
          <w:cantSplit/>
          <w:trHeight w:val="237"/>
        </w:trPr>
        <w:tc>
          <w:tcPr>
            <w:tcW w:w="540" w:type="dxa"/>
            <w:vMerge/>
          </w:tcPr>
          <w:p w14:paraId="171DDBA1"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6F7F786E" w14:textId="77777777" w:rsidR="00E32759" w:rsidRPr="00DD2265" w:rsidRDefault="00E32759" w:rsidP="00656770">
            <w:pPr>
              <w:spacing w:after="0" w:line="240" w:lineRule="auto"/>
              <w:rPr>
                <w:rFonts w:ascii="Times New Roman" w:hAnsi="Times New Roman"/>
                <w:sz w:val="24"/>
              </w:rPr>
            </w:pPr>
          </w:p>
        </w:tc>
        <w:tc>
          <w:tcPr>
            <w:tcW w:w="1422" w:type="dxa"/>
            <w:vMerge/>
          </w:tcPr>
          <w:p w14:paraId="083BFA5B"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001D99"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F7C345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136/2014</w:t>
            </w:r>
          </w:p>
        </w:tc>
        <w:tc>
          <w:tcPr>
            <w:tcW w:w="4500" w:type="dxa"/>
            <w:shd w:val="clear" w:color="auto" w:fill="auto"/>
          </w:tcPr>
          <w:p w14:paraId="7AF02167"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Komisijas Regulu (ES) Nr. 582/2011 attiecībā uz lielas celtspējas/kravnesības transportlīdzekļu radītām emisijām (</w:t>
            </w:r>
            <w:proofErr w:type="spellStart"/>
            <w:r w:rsidRPr="00DD2265">
              <w:rPr>
                <w:rFonts w:ascii="Times New Roman" w:hAnsi="Times New Roman"/>
                <w:sz w:val="24"/>
              </w:rPr>
              <w:t>Euro</w:t>
            </w:r>
            <w:proofErr w:type="spellEnd"/>
            <w:r w:rsidRPr="00DD2265">
              <w:rPr>
                <w:rFonts w:ascii="Times New Roman" w:hAnsi="Times New Roman"/>
                <w:sz w:val="24"/>
              </w:rPr>
              <w:t xml:space="preserve"> VI) (Dokuments attiecas uz EEZ)</w:t>
            </w:r>
          </w:p>
          <w:p w14:paraId="693E5E7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(Eiropas Savienības Oficiālais Vēstnesis, 13.02.2014., L 43, 12.–46. lpp.)</w:t>
            </w:r>
          </w:p>
        </w:tc>
        <w:tc>
          <w:tcPr>
            <w:tcW w:w="1100" w:type="dxa"/>
            <w:vMerge/>
          </w:tcPr>
          <w:p w14:paraId="18BA9A07"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4F4F7778" w14:textId="77777777" w:rsidTr="00656770">
        <w:trPr>
          <w:cantSplit/>
          <w:trHeight w:val="237"/>
        </w:trPr>
        <w:tc>
          <w:tcPr>
            <w:tcW w:w="540" w:type="dxa"/>
            <w:vMerge/>
          </w:tcPr>
          <w:p w14:paraId="1184302B"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1738952D" w14:textId="77777777" w:rsidR="00E32759" w:rsidRPr="00DD2265" w:rsidRDefault="00E32759" w:rsidP="00656770">
            <w:pPr>
              <w:spacing w:after="0" w:line="240" w:lineRule="auto"/>
              <w:rPr>
                <w:rFonts w:ascii="Times New Roman" w:hAnsi="Times New Roman"/>
                <w:sz w:val="24"/>
              </w:rPr>
            </w:pPr>
          </w:p>
        </w:tc>
        <w:tc>
          <w:tcPr>
            <w:tcW w:w="1422" w:type="dxa"/>
            <w:vMerge/>
          </w:tcPr>
          <w:p w14:paraId="70BF919F"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427C6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1AAFD72"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2016/427</w:t>
            </w:r>
          </w:p>
        </w:tc>
        <w:tc>
          <w:tcPr>
            <w:tcW w:w="4500" w:type="dxa"/>
            <w:shd w:val="clear" w:color="auto" w:fill="auto"/>
          </w:tcPr>
          <w:p w14:paraId="67C9AE3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2016. gada 10. marta Regula (ES) 2016/427, ar ko groza Regulu (EK) Nr. 692/2008 attiecībā uz emisijām no vieglajiem pasažieru un vieglajiem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w:t>
            </w:r>
            <w:r w:rsidRPr="00DD2265">
              <w:rPr>
                <w:rFonts w:ascii="Times New Roman" w:hAnsi="Times New Roman"/>
              </w:rPr>
              <w:t xml:space="preserve"> </w:t>
            </w:r>
            <w:r w:rsidRPr="00DD2265">
              <w:rPr>
                <w:rFonts w:ascii="Times New Roman" w:hAnsi="Times New Roman"/>
                <w:sz w:val="24"/>
              </w:rPr>
              <w:t>(Eiropas Savienības Oficiālais Vēstnesis, 31.03.2016., L 82, 1.–98. lpp.)</w:t>
            </w:r>
          </w:p>
        </w:tc>
        <w:tc>
          <w:tcPr>
            <w:tcW w:w="1100" w:type="dxa"/>
            <w:vMerge/>
          </w:tcPr>
          <w:p w14:paraId="3F2D7E34"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3EBE45A9" w14:textId="77777777" w:rsidTr="00656770">
        <w:trPr>
          <w:cantSplit/>
          <w:trHeight w:val="1384"/>
        </w:trPr>
        <w:tc>
          <w:tcPr>
            <w:tcW w:w="539" w:type="dxa"/>
            <w:vMerge w:val="restart"/>
          </w:tcPr>
          <w:p w14:paraId="36A7039F"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val="restart"/>
          </w:tcPr>
          <w:p w14:paraId="4042BA1C" w14:textId="77777777" w:rsidR="00E32759" w:rsidRPr="00DD2265" w:rsidRDefault="00E32759" w:rsidP="00656770">
            <w:pPr>
              <w:spacing w:after="0" w:line="240" w:lineRule="auto"/>
              <w:rPr>
                <w:rFonts w:ascii="Times New Roman" w:hAnsi="Times New Roman"/>
                <w:sz w:val="24"/>
              </w:rPr>
            </w:pPr>
          </w:p>
        </w:tc>
        <w:tc>
          <w:tcPr>
            <w:tcW w:w="1422" w:type="dxa"/>
            <w:vMerge w:val="restart"/>
          </w:tcPr>
          <w:p w14:paraId="5AEAABB9" w14:textId="77777777" w:rsidR="00E32759" w:rsidRPr="00DD2265" w:rsidRDefault="00E32759" w:rsidP="00656770">
            <w:pPr>
              <w:spacing w:after="0" w:line="240" w:lineRule="auto"/>
              <w:rPr>
                <w:rFonts w:ascii="Times New Roman" w:hAnsi="Times New Roman"/>
                <w:b/>
                <w:sz w:val="24"/>
              </w:rPr>
            </w:pPr>
          </w:p>
        </w:tc>
        <w:tc>
          <w:tcPr>
            <w:tcW w:w="3798" w:type="dxa"/>
            <w:vMerge w:val="restart"/>
          </w:tcPr>
          <w:p w14:paraId="77CAB318"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3645863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2016/646</w:t>
            </w:r>
          </w:p>
        </w:tc>
        <w:tc>
          <w:tcPr>
            <w:tcW w:w="4500" w:type="dxa"/>
            <w:shd w:val="clear" w:color="auto" w:fill="auto"/>
          </w:tcPr>
          <w:p w14:paraId="243AFEC4"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2016. gada 20. aprīļa Regula (ES) 2016/646, ar ko groza Regulu (EK) Nr. 692/2008 attiecībā uz emisijām no vieglajiem pasažieru un vieglajiem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26.04.2016., L 109, 1.–22. lpp.)</w:t>
            </w:r>
          </w:p>
        </w:tc>
        <w:tc>
          <w:tcPr>
            <w:tcW w:w="1100" w:type="dxa"/>
            <w:vMerge w:val="restart"/>
          </w:tcPr>
          <w:p w14:paraId="064C78AD"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75A500A2" w14:textId="77777777" w:rsidTr="00656770">
        <w:trPr>
          <w:cantSplit/>
          <w:trHeight w:val="864"/>
        </w:trPr>
        <w:tc>
          <w:tcPr>
            <w:tcW w:w="539" w:type="dxa"/>
            <w:vMerge/>
          </w:tcPr>
          <w:p w14:paraId="248342CE"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5AA6AD94" w14:textId="77777777" w:rsidR="00E32759" w:rsidRPr="00DD2265" w:rsidRDefault="00E32759" w:rsidP="00656770">
            <w:pPr>
              <w:spacing w:after="0" w:line="240" w:lineRule="auto"/>
              <w:rPr>
                <w:rFonts w:ascii="Times New Roman" w:hAnsi="Times New Roman"/>
                <w:sz w:val="24"/>
              </w:rPr>
            </w:pPr>
          </w:p>
        </w:tc>
        <w:tc>
          <w:tcPr>
            <w:tcW w:w="1422" w:type="dxa"/>
            <w:vMerge/>
          </w:tcPr>
          <w:p w14:paraId="475DF150" w14:textId="77777777" w:rsidR="00E32759" w:rsidRPr="00DD2265" w:rsidRDefault="00E32759" w:rsidP="00656770">
            <w:pPr>
              <w:spacing w:after="0" w:line="240" w:lineRule="auto"/>
              <w:rPr>
                <w:rFonts w:ascii="Times New Roman" w:hAnsi="Times New Roman"/>
                <w:b/>
                <w:sz w:val="24"/>
              </w:rPr>
            </w:pPr>
          </w:p>
        </w:tc>
        <w:tc>
          <w:tcPr>
            <w:tcW w:w="3798" w:type="dxa"/>
            <w:vMerge/>
          </w:tcPr>
          <w:p w14:paraId="79FF6F23"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5757933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2017/1151</w:t>
            </w:r>
          </w:p>
        </w:tc>
        <w:tc>
          <w:tcPr>
            <w:tcW w:w="4500" w:type="dxa"/>
          </w:tcPr>
          <w:p w14:paraId="55B693D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1. jūnija Regula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Komisijas Regulu (EK) Nr. 692/2008 (Dokuments attiecas uz EEZ)</w:t>
            </w:r>
            <w:r w:rsidRPr="00DD2265">
              <w:t xml:space="preserve"> </w:t>
            </w:r>
            <w:r w:rsidRPr="00DD2265">
              <w:rPr>
                <w:rFonts w:ascii="Times New Roman" w:hAnsi="Times New Roman"/>
                <w:sz w:val="24"/>
              </w:rPr>
              <w:t>(Eiropas Savienības Oficiālais Vēstnesis, 07.07.2017., L 175, 1.–643. lpp.)</w:t>
            </w:r>
          </w:p>
        </w:tc>
        <w:tc>
          <w:tcPr>
            <w:tcW w:w="1100" w:type="dxa"/>
            <w:vMerge/>
          </w:tcPr>
          <w:p w14:paraId="5852A587"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67F551B5" w14:textId="77777777" w:rsidTr="00656770">
        <w:trPr>
          <w:cantSplit/>
          <w:trHeight w:val="3976"/>
        </w:trPr>
        <w:tc>
          <w:tcPr>
            <w:tcW w:w="539" w:type="dxa"/>
            <w:vMerge/>
          </w:tcPr>
          <w:p w14:paraId="561649D3"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301B10F9" w14:textId="77777777" w:rsidR="00E32759" w:rsidRPr="00DD2265" w:rsidRDefault="00E32759" w:rsidP="00656770">
            <w:pPr>
              <w:spacing w:after="0" w:line="240" w:lineRule="auto"/>
              <w:rPr>
                <w:rFonts w:ascii="Times New Roman" w:hAnsi="Times New Roman"/>
                <w:sz w:val="24"/>
              </w:rPr>
            </w:pPr>
          </w:p>
        </w:tc>
        <w:tc>
          <w:tcPr>
            <w:tcW w:w="1422" w:type="dxa"/>
            <w:vMerge/>
          </w:tcPr>
          <w:p w14:paraId="1966FAD3" w14:textId="77777777" w:rsidR="00E32759" w:rsidRPr="00DD2265" w:rsidRDefault="00E32759" w:rsidP="00656770">
            <w:pPr>
              <w:spacing w:after="0" w:line="240" w:lineRule="auto"/>
              <w:rPr>
                <w:rFonts w:ascii="Times New Roman" w:hAnsi="Times New Roman"/>
                <w:b/>
                <w:sz w:val="24"/>
              </w:rPr>
            </w:pPr>
          </w:p>
        </w:tc>
        <w:tc>
          <w:tcPr>
            <w:tcW w:w="3798" w:type="dxa"/>
            <w:vMerge/>
          </w:tcPr>
          <w:p w14:paraId="1EB12661"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0D1A13C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2017/1154</w:t>
            </w:r>
          </w:p>
        </w:tc>
        <w:tc>
          <w:tcPr>
            <w:tcW w:w="4500" w:type="dxa"/>
          </w:tcPr>
          <w:p w14:paraId="3C75B08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7. jūnija Regula (ES) 2017/1154, ar kuru groza Regulu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Regulu (EK) Nr. 692/2008 un Eiropas Parlamenta un Padomes Direktīvu 2007/46/EK attiecībā uz emisijām reālos braukšanas apstākļos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07.07.2017., L 175, 708.–732. lpp.)</w:t>
            </w:r>
          </w:p>
        </w:tc>
        <w:tc>
          <w:tcPr>
            <w:tcW w:w="1100" w:type="dxa"/>
            <w:vMerge/>
          </w:tcPr>
          <w:p w14:paraId="0A011E55"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74563430" w14:textId="77777777" w:rsidTr="00656770">
        <w:trPr>
          <w:cantSplit/>
          <w:trHeight w:val="3975"/>
        </w:trPr>
        <w:tc>
          <w:tcPr>
            <w:tcW w:w="539" w:type="dxa"/>
            <w:vMerge/>
          </w:tcPr>
          <w:p w14:paraId="494C7AC0"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160DE41B" w14:textId="77777777" w:rsidR="00E32759" w:rsidRPr="00DD2265" w:rsidRDefault="00E32759" w:rsidP="00656770">
            <w:pPr>
              <w:spacing w:after="0" w:line="240" w:lineRule="auto"/>
              <w:rPr>
                <w:rFonts w:ascii="Times New Roman" w:hAnsi="Times New Roman"/>
                <w:sz w:val="24"/>
              </w:rPr>
            </w:pPr>
          </w:p>
        </w:tc>
        <w:tc>
          <w:tcPr>
            <w:tcW w:w="1422" w:type="dxa"/>
            <w:vMerge/>
          </w:tcPr>
          <w:p w14:paraId="2DF496CF" w14:textId="77777777" w:rsidR="00E32759" w:rsidRPr="00DD2265" w:rsidRDefault="00E32759" w:rsidP="00656770">
            <w:pPr>
              <w:spacing w:after="0" w:line="240" w:lineRule="auto"/>
              <w:rPr>
                <w:rFonts w:ascii="Times New Roman" w:hAnsi="Times New Roman"/>
                <w:b/>
                <w:sz w:val="24"/>
              </w:rPr>
            </w:pPr>
          </w:p>
        </w:tc>
        <w:tc>
          <w:tcPr>
            <w:tcW w:w="3798" w:type="dxa"/>
            <w:vMerge/>
          </w:tcPr>
          <w:p w14:paraId="1B4A431E"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0AFD870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2017/1347</w:t>
            </w:r>
            <w:r w:rsidRPr="00DD2265">
              <w:rPr>
                <w:rFonts w:ascii="Times New Roman" w:hAnsi="Times New Roman"/>
                <w:sz w:val="24"/>
                <w:vertAlign w:val="superscript"/>
              </w:rPr>
              <w:t>37</w:t>
            </w:r>
          </w:p>
        </w:tc>
        <w:tc>
          <w:tcPr>
            <w:tcW w:w="4500" w:type="dxa"/>
          </w:tcPr>
          <w:p w14:paraId="3B32DD8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13. jūlija Regula (ES) 2017/1347, ar ko labo Eiropas Parlamenta un Padomes Direktīvu 2007/46/EK, Komisijas Regulu (ES) Nr. 582/2011 un Komisijas Regulu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Regulu (EK) Nr. 692/2008 (Dokuments attiecas uz EEZ) (Eiropas Savienības Oficiālais Vēstnesis, 24.07.2017., L 192, 1.–22. lpp.)</w:t>
            </w:r>
          </w:p>
        </w:tc>
        <w:tc>
          <w:tcPr>
            <w:tcW w:w="1100" w:type="dxa"/>
            <w:vMerge/>
          </w:tcPr>
          <w:p w14:paraId="296A76A4" w14:textId="77777777" w:rsidR="00E32759" w:rsidRPr="00DD2265" w:rsidRDefault="00E32759" w:rsidP="00656770">
            <w:pPr>
              <w:spacing w:after="0" w:line="240" w:lineRule="auto"/>
              <w:jc w:val="center"/>
              <w:rPr>
                <w:rFonts w:ascii="Times New Roman" w:hAnsi="Times New Roman"/>
                <w:sz w:val="24"/>
              </w:rPr>
            </w:pPr>
          </w:p>
        </w:tc>
      </w:tr>
    </w:tbl>
    <w:p w14:paraId="2A1D01A3" w14:textId="77777777" w:rsidR="00E32759" w:rsidRPr="00DD2265" w:rsidRDefault="00E32759" w:rsidP="00E32759">
      <w:pPr>
        <w:spacing w:after="0" w:line="240" w:lineRule="auto"/>
        <w:jc w:val="both"/>
        <w:rPr>
          <w:rFonts w:ascii="Times New Roman" w:hAnsi="Times New Roman"/>
          <w:sz w:val="28"/>
          <w:szCs w:val="28"/>
        </w:rPr>
      </w:pPr>
    </w:p>
    <w:p w14:paraId="35D488C8" w14:textId="77777777" w:rsidR="00E32759" w:rsidRPr="00DD2265" w:rsidRDefault="00E32759">
      <w:pPr>
        <w:spacing w:after="0" w:line="240" w:lineRule="auto"/>
        <w:rPr>
          <w:rFonts w:ascii="Times New Roman" w:hAnsi="Times New Roman"/>
          <w:sz w:val="28"/>
          <w:szCs w:val="28"/>
        </w:rPr>
      </w:pPr>
      <w:r w:rsidRPr="00DD2265">
        <w:rPr>
          <w:rFonts w:ascii="Times New Roman" w:hAnsi="Times New Roman"/>
          <w:sz w:val="28"/>
          <w:szCs w:val="28"/>
        </w:rPr>
        <w:br w:type="page"/>
      </w:r>
    </w:p>
    <w:p w14:paraId="773B21A9" w14:textId="77777777" w:rsidR="00E32759"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3. punktu šādā redakcijā:</w:t>
      </w:r>
    </w:p>
    <w:p w14:paraId="32875611" w14:textId="77777777" w:rsidR="00E32759" w:rsidRPr="00DD2265" w:rsidRDefault="00E32759" w:rsidP="00E32759">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E32759" w:rsidRPr="00DD2265" w14:paraId="6A389610" w14:textId="77777777" w:rsidTr="00656770">
        <w:trPr>
          <w:cantSplit/>
          <w:trHeight w:val="402"/>
        </w:trPr>
        <w:tc>
          <w:tcPr>
            <w:tcW w:w="539" w:type="dxa"/>
            <w:vMerge w:val="restart"/>
          </w:tcPr>
          <w:p w14:paraId="0CFDA5D1"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3.</w:t>
            </w:r>
          </w:p>
        </w:tc>
        <w:tc>
          <w:tcPr>
            <w:tcW w:w="2100" w:type="dxa"/>
          </w:tcPr>
          <w:p w14:paraId="79CEFC0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Degvielas tvertnes</w:t>
            </w:r>
          </w:p>
        </w:tc>
        <w:tc>
          <w:tcPr>
            <w:tcW w:w="1422" w:type="dxa"/>
            <w:vMerge w:val="restart"/>
          </w:tcPr>
          <w:p w14:paraId="14A7356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70/221/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6DB8149E" w14:textId="77777777" w:rsidR="00E32759" w:rsidRPr="00DD2265" w:rsidRDefault="00E32759" w:rsidP="00656770">
            <w:pPr>
              <w:spacing w:after="0" w:line="240" w:lineRule="auto"/>
              <w:ind w:right="-125"/>
              <w:rPr>
                <w:rFonts w:ascii="Times New Roman" w:hAnsi="Times New Roman"/>
                <w:sz w:val="24"/>
              </w:rPr>
            </w:pPr>
            <w:r w:rsidRPr="00DD2265">
              <w:rPr>
                <w:rFonts w:ascii="Times New Roman" w:hAnsi="Times New Roman"/>
                <w:noProof/>
                <w:sz w:val="24"/>
              </w:rPr>
              <w:t>Padomes 1970.gada 20.marta Direktīva 70/221/EEK par dalībvalstu tiesību aktu tuvināšanu attiecībā uz mehānisko transportlīdzekļu un to piekabju šķidrās degvielas tvertnēm un pakaļējām drošības konstrukcijām (Eiropas Savienības Oficiālais Vēstnesis, 01.05.2004., L 076, 23.–24.lpp.)</w:t>
            </w:r>
          </w:p>
        </w:tc>
        <w:tc>
          <w:tcPr>
            <w:tcW w:w="1781" w:type="dxa"/>
            <w:shd w:val="clear" w:color="auto" w:fill="auto"/>
          </w:tcPr>
          <w:p w14:paraId="49FBE2B1"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sz w:val="24"/>
              </w:rPr>
              <w:t>81/333/EEK</w:t>
            </w:r>
            <w:r w:rsidRPr="00DD2265">
              <w:rPr>
                <w:rFonts w:ascii="Times New Roman" w:hAnsi="Times New Roman"/>
                <w:sz w:val="24"/>
                <w:vertAlign w:val="superscript"/>
              </w:rPr>
              <w:t>1</w:t>
            </w:r>
          </w:p>
        </w:tc>
        <w:tc>
          <w:tcPr>
            <w:tcW w:w="4500" w:type="dxa"/>
            <w:shd w:val="clear" w:color="auto" w:fill="auto"/>
          </w:tcPr>
          <w:p w14:paraId="5F346C5A"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Komisijas 1981.gada 13.aprīļa Direktīva 81/333/EEK, ar ko  tehnikas attīstībai pielāgo Padomes Direktīvu 70/221/EEK par dalībvalstu tiesību aktu tuvināšanu attiecībā uz mehānisko transportlīdzekļu un to piekabju šķidrās degvielas tvertnēm un pakaļējām drošības konstrukcijām (Eiropas Savienības Oficiālais Vēstnesis, 01.05.2004., L 131, 4.–5.lpp.)</w:t>
            </w:r>
          </w:p>
        </w:tc>
        <w:tc>
          <w:tcPr>
            <w:tcW w:w="1100" w:type="dxa"/>
          </w:tcPr>
          <w:p w14:paraId="792DA08B"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34.01</w:t>
            </w:r>
          </w:p>
          <w:p w14:paraId="6674EB41"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34.02</w:t>
            </w:r>
          </w:p>
          <w:p w14:paraId="2E721912" w14:textId="77777777" w:rsidR="00E32759" w:rsidRPr="00DD2265" w:rsidRDefault="00E32759" w:rsidP="00656770">
            <w:pPr>
              <w:spacing w:after="0" w:line="240" w:lineRule="auto"/>
              <w:jc w:val="center"/>
              <w:rPr>
                <w:rFonts w:ascii="Times New Roman" w:hAnsi="Times New Roman"/>
                <w:b/>
                <w:sz w:val="24"/>
              </w:rPr>
            </w:pPr>
            <w:r w:rsidRPr="00DD2265">
              <w:rPr>
                <w:rFonts w:ascii="Times New Roman" w:hAnsi="Times New Roman"/>
                <w:sz w:val="24"/>
              </w:rPr>
              <w:t>34.03</w:t>
            </w:r>
          </w:p>
        </w:tc>
      </w:tr>
      <w:tr w:rsidR="00E32759" w:rsidRPr="00DD2265" w14:paraId="385B0EC5" w14:textId="77777777" w:rsidTr="00656770">
        <w:trPr>
          <w:cantSplit/>
          <w:trHeight w:val="455"/>
        </w:trPr>
        <w:tc>
          <w:tcPr>
            <w:tcW w:w="539" w:type="dxa"/>
            <w:vMerge/>
          </w:tcPr>
          <w:p w14:paraId="17E1CB71"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val="restart"/>
          </w:tcPr>
          <w:p w14:paraId="4C46698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Aizmugurējās drošības konstrukcijas</w:t>
            </w:r>
          </w:p>
        </w:tc>
        <w:tc>
          <w:tcPr>
            <w:tcW w:w="1422" w:type="dxa"/>
            <w:vMerge/>
          </w:tcPr>
          <w:p w14:paraId="444BDBE1" w14:textId="77777777" w:rsidR="00E32759" w:rsidRPr="00DD2265" w:rsidRDefault="00E32759" w:rsidP="00656770">
            <w:pPr>
              <w:spacing w:after="0" w:line="240" w:lineRule="auto"/>
              <w:rPr>
                <w:rFonts w:ascii="Times New Roman" w:hAnsi="Times New Roman"/>
                <w:sz w:val="24"/>
              </w:rPr>
            </w:pPr>
          </w:p>
        </w:tc>
        <w:tc>
          <w:tcPr>
            <w:tcW w:w="3798" w:type="dxa"/>
            <w:vMerge/>
          </w:tcPr>
          <w:p w14:paraId="2D3F0D2C"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66E920E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97/19/EK</w:t>
            </w:r>
            <w:r w:rsidRPr="00DD2265">
              <w:rPr>
                <w:rFonts w:ascii="Times New Roman" w:hAnsi="Times New Roman"/>
                <w:sz w:val="24"/>
                <w:vertAlign w:val="superscript"/>
              </w:rPr>
              <w:t>7; 23</w:t>
            </w:r>
          </w:p>
        </w:tc>
        <w:tc>
          <w:tcPr>
            <w:tcW w:w="4500" w:type="dxa"/>
            <w:shd w:val="clear" w:color="auto" w:fill="auto"/>
          </w:tcPr>
          <w:p w14:paraId="18A14366"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Komisijas 1997.gada 18.aprīļa Direktīva 97/19/EK,  ar ko tehnikas attīstībai pielāgo Padomes Direktīvu 70/221/EEK par dalībvalstu tiesību aktu tuvināšanu attiecībā uz mehānisko transportlīdzekļu un to piekabju šķidrās degvielas tvertnēm un pakaļējām drošības konstrukcijām (dokuments attiecas uz EEZ) (Eiropas Savienības Oficiālais Vēstnesis, 01.05.2004., L 125, 1.–20.lpp.)</w:t>
            </w:r>
          </w:p>
        </w:tc>
        <w:tc>
          <w:tcPr>
            <w:tcW w:w="1100" w:type="dxa"/>
            <w:vMerge w:val="restart"/>
          </w:tcPr>
          <w:p w14:paraId="7DA359F9" w14:textId="77777777" w:rsidR="00E32759" w:rsidRPr="00DD2265" w:rsidRDefault="00E32759" w:rsidP="00656770">
            <w:pPr>
              <w:spacing w:after="0" w:line="240" w:lineRule="auto"/>
              <w:ind w:left="34" w:right="34"/>
              <w:jc w:val="center"/>
              <w:rPr>
                <w:rFonts w:ascii="Times New Roman" w:hAnsi="Times New Roman"/>
                <w:sz w:val="24"/>
              </w:rPr>
            </w:pPr>
            <w:r w:rsidRPr="00DD2265">
              <w:rPr>
                <w:rFonts w:ascii="Times New Roman" w:hAnsi="Times New Roman"/>
                <w:sz w:val="24"/>
              </w:rPr>
              <w:t>58.01</w:t>
            </w:r>
          </w:p>
          <w:p w14:paraId="7EBF8EF4" w14:textId="77777777" w:rsidR="00E32759" w:rsidRPr="00DD2265" w:rsidRDefault="00E32759" w:rsidP="00656770">
            <w:pPr>
              <w:spacing w:after="0" w:line="240" w:lineRule="auto"/>
              <w:ind w:left="34" w:right="34"/>
              <w:jc w:val="center"/>
              <w:rPr>
                <w:rFonts w:ascii="Times New Roman" w:hAnsi="Times New Roman"/>
                <w:sz w:val="24"/>
              </w:rPr>
            </w:pPr>
            <w:r w:rsidRPr="00DD2265">
              <w:rPr>
                <w:rFonts w:ascii="Times New Roman" w:hAnsi="Times New Roman"/>
                <w:sz w:val="24"/>
              </w:rPr>
              <w:t>58.02</w:t>
            </w:r>
          </w:p>
          <w:p w14:paraId="15DC1D41" w14:textId="77777777" w:rsidR="00E32759" w:rsidRPr="00DD2265" w:rsidRDefault="00E32759" w:rsidP="00656770">
            <w:pPr>
              <w:spacing w:after="0" w:line="240" w:lineRule="auto"/>
              <w:ind w:left="34" w:right="34"/>
              <w:jc w:val="center"/>
              <w:rPr>
                <w:rFonts w:ascii="Times New Roman" w:hAnsi="Times New Roman"/>
                <w:b/>
                <w:bCs/>
                <w:sz w:val="24"/>
              </w:rPr>
            </w:pPr>
            <w:r w:rsidRPr="00DD2265">
              <w:rPr>
                <w:rFonts w:ascii="Times New Roman" w:hAnsi="Times New Roman"/>
                <w:sz w:val="24"/>
              </w:rPr>
              <w:t>58.03</w:t>
            </w:r>
          </w:p>
        </w:tc>
      </w:tr>
      <w:tr w:rsidR="00E32759" w:rsidRPr="00DD2265" w14:paraId="216C3518" w14:textId="77777777" w:rsidTr="00656770">
        <w:trPr>
          <w:cantSplit/>
          <w:trHeight w:val="455"/>
        </w:trPr>
        <w:tc>
          <w:tcPr>
            <w:tcW w:w="539" w:type="dxa"/>
            <w:vMerge/>
          </w:tcPr>
          <w:p w14:paraId="18527256"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2DF90DC2" w14:textId="77777777" w:rsidR="00E32759" w:rsidRPr="00DD2265" w:rsidRDefault="00E32759" w:rsidP="00656770">
            <w:pPr>
              <w:spacing w:after="0" w:line="240" w:lineRule="auto"/>
              <w:rPr>
                <w:rFonts w:ascii="Times New Roman" w:hAnsi="Times New Roman"/>
                <w:sz w:val="24"/>
              </w:rPr>
            </w:pPr>
          </w:p>
        </w:tc>
        <w:tc>
          <w:tcPr>
            <w:tcW w:w="1422" w:type="dxa"/>
            <w:vMerge/>
          </w:tcPr>
          <w:p w14:paraId="46918E03" w14:textId="77777777" w:rsidR="00E32759" w:rsidRPr="00DD2265" w:rsidRDefault="00E32759" w:rsidP="00656770">
            <w:pPr>
              <w:spacing w:after="0" w:line="240" w:lineRule="auto"/>
              <w:rPr>
                <w:rFonts w:ascii="Times New Roman" w:hAnsi="Times New Roman"/>
                <w:sz w:val="24"/>
              </w:rPr>
            </w:pPr>
          </w:p>
        </w:tc>
        <w:tc>
          <w:tcPr>
            <w:tcW w:w="3798" w:type="dxa"/>
            <w:vMerge/>
          </w:tcPr>
          <w:p w14:paraId="5901EE51"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3A20827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2000/8/EK</w:t>
            </w:r>
            <w:r w:rsidRPr="00DD2265">
              <w:rPr>
                <w:rFonts w:ascii="Times New Roman" w:hAnsi="Times New Roman"/>
                <w:bCs/>
                <w:sz w:val="24"/>
                <w:vertAlign w:val="superscript"/>
              </w:rPr>
              <w:t>23; 32</w:t>
            </w:r>
          </w:p>
        </w:tc>
        <w:tc>
          <w:tcPr>
            <w:tcW w:w="4500" w:type="dxa"/>
            <w:shd w:val="clear" w:color="auto" w:fill="auto"/>
          </w:tcPr>
          <w:p w14:paraId="0C3A4F20"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Eiropas Parlamenta un Padomes 2000.gada 20.marta Direktīva 2000/8/EK, ar ko groza  Padomes Direktīvu 70/221/EEK par dalībvalstu tiesību aktu tuvināšanu attiecībā uz mehānisko transportlīdzekļu un to piekabju šķidrās degvielas tvertnēm un pakaļējām drošības konstrukcijām (Eiropas Savienības Oficiālais Vēstnesis, 01.05.2004., L 106, 7.–20.lpp.)</w:t>
            </w:r>
          </w:p>
        </w:tc>
        <w:tc>
          <w:tcPr>
            <w:tcW w:w="1100" w:type="dxa"/>
            <w:vMerge/>
          </w:tcPr>
          <w:p w14:paraId="33FA3912" w14:textId="77777777" w:rsidR="00E32759" w:rsidRPr="00DD2265" w:rsidRDefault="00E32759" w:rsidP="00656770">
            <w:pPr>
              <w:spacing w:after="0" w:line="240" w:lineRule="auto"/>
              <w:ind w:left="34" w:right="34"/>
              <w:jc w:val="center"/>
              <w:rPr>
                <w:rFonts w:ascii="Times New Roman" w:hAnsi="Times New Roman"/>
                <w:b/>
                <w:sz w:val="24"/>
              </w:rPr>
            </w:pPr>
          </w:p>
        </w:tc>
      </w:tr>
      <w:tr w:rsidR="00E32759" w:rsidRPr="00DD2265" w14:paraId="28826375" w14:textId="77777777" w:rsidTr="00656770">
        <w:trPr>
          <w:cantSplit/>
          <w:trHeight w:val="455"/>
        </w:trPr>
        <w:tc>
          <w:tcPr>
            <w:tcW w:w="539" w:type="dxa"/>
            <w:vMerge/>
          </w:tcPr>
          <w:p w14:paraId="4F3D8D1E"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075BA8F8" w14:textId="77777777" w:rsidR="00E32759" w:rsidRPr="00DD2265" w:rsidRDefault="00E32759" w:rsidP="00656770">
            <w:pPr>
              <w:spacing w:after="0" w:line="240" w:lineRule="auto"/>
              <w:rPr>
                <w:rFonts w:ascii="Times New Roman" w:hAnsi="Times New Roman"/>
                <w:sz w:val="24"/>
              </w:rPr>
            </w:pPr>
          </w:p>
        </w:tc>
        <w:tc>
          <w:tcPr>
            <w:tcW w:w="1422" w:type="dxa"/>
            <w:vMerge/>
          </w:tcPr>
          <w:p w14:paraId="626DE93D" w14:textId="77777777" w:rsidR="00E32759" w:rsidRPr="00DD2265" w:rsidRDefault="00E32759" w:rsidP="00656770">
            <w:pPr>
              <w:spacing w:after="0" w:line="240" w:lineRule="auto"/>
              <w:rPr>
                <w:rFonts w:ascii="Times New Roman" w:hAnsi="Times New Roman"/>
                <w:sz w:val="24"/>
              </w:rPr>
            </w:pPr>
          </w:p>
        </w:tc>
        <w:tc>
          <w:tcPr>
            <w:tcW w:w="3798" w:type="dxa"/>
            <w:vMerge/>
          </w:tcPr>
          <w:p w14:paraId="2D99BD60"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7E02DB25" w14:textId="77777777" w:rsidR="00E32759" w:rsidRPr="00DD2265" w:rsidRDefault="00E32759" w:rsidP="00656770">
            <w:pPr>
              <w:spacing w:after="0" w:line="240" w:lineRule="auto"/>
              <w:rPr>
                <w:rFonts w:ascii="Times New Roman" w:hAnsi="Times New Roman"/>
                <w:sz w:val="24"/>
                <w:vertAlign w:val="superscript"/>
              </w:rPr>
            </w:pPr>
            <w:r w:rsidRPr="00DD2265">
              <w:rPr>
                <w:rFonts w:ascii="Times New Roman" w:hAnsi="Times New Roman"/>
                <w:sz w:val="24"/>
              </w:rPr>
              <w:t>2006/20/EK</w:t>
            </w:r>
            <w:r w:rsidRPr="00DD2265">
              <w:rPr>
                <w:rFonts w:ascii="Times New Roman" w:hAnsi="Times New Roman"/>
                <w:sz w:val="24"/>
                <w:vertAlign w:val="superscript"/>
              </w:rPr>
              <w:t>32</w:t>
            </w:r>
          </w:p>
        </w:tc>
        <w:tc>
          <w:tcPr>
            <w:tcW w:w="4500" w:type="dxa"/>
            <w:shd w:val="clear" w:color="auto" w:fill="auto"/>
          </w:tcPr>
          <w:p w14:paraId="4E9E216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bCs/>
                <w:sz w:val="24"/>
              </w:rPr>
              <w:t xml:space="preserve">Komisijas 2006.gada 17.februāra Direktīva 2006/20/EK, ar ko groza, pielāgojot tehnikas attīstībai, Padomes Direktīvu 70/221/EEK par mehānisko transportlīdzekļu un to piekabju degvielas tvertnēm un pakaļējām drošības konstrukcijām (Dokuments attiecas uz EEZ) </w:t>
            </w:r>
            <w:r w:rsidRPr="00DD2265">
              <w:rPr>
                <w:rFonts w:ascii="Times New Roman" w:hAnsi="Times New Roman"/>
                <w:noProof/>
                <w:sz w:val="24"/>
              </w:rPr>
              <w:t>(Eiropas Savienības Oficiālais Vēstnesis, 18.02.2006., L 048, 16.–18.lpp.)</w:t>
            </w:r>
          </w:p>
        </w:tc>
        <w:tc>
          <w:tcPr>
            <w:tcW w:w="1100" w:type="dxa"/>
            <w:vMerge/>
          </w:tcPr>
          <w:p w14:paraId="2373B20D" w14:textId="77777777" w:rsidR="00E32759" w:rsidRPr="00DD2265" w:rsidRDefault="00E32759" w:rsidP="00656770">
            <w:pPr>
              <w:spacing w:after="0" w:line="240" w:lineRule="auto"/>
              <w:ind w:left="34" w:right="34"/>
              <w:jc w:val="center"/>
              <w:rPr>
                <w:rFonts w:ascii="Times New Roman" w:hAnsi="Times New Roman"/>
                <w:b/>
                <w:sz w:val="24"/>
              </w:rPr>
            </w:pPr>
          </w:p>
        </w:tc>
      </w:tr>
    </w:tbl>
    <w:p w14:paraId="2D2E44F7" w14:textId="77777777" w:rsidR="00E32759" w:rsidRPr="00DD2265" w:rsidRDefault="00E32759" w:rsidP="00E32759">
      <w:pPr>
        <w:spacing w:after="0" w:line="240" w:lineRule="auto"/>
        <w:jc w:val="both"/>
        <w:rPr>
          <w:rFonts w:ascii="Times New Roman" w:hAnsi="Times New Roman"/>
          <w:sz w:val="28"/>
          <w:szCs w:val="28"/>
        </w:rPr>
      </w:pPr>
    </w:p>
    <w:p w14:paraId="631879D1" w14:textId="77777777" w:rsidR="00E32759"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813B1F" w:rsidRPr="00DD2265">
        <w:rPr>
          <w:rFonts w:ascii="Times New Roman" w:hAnsi="Times New Roman"/>
          <w:sz w:val="28"/>
          <w:szCs w:val="28"/>
        </w:rPr>
        <w:t>5.</w:t>
      </w:r>
      <w:r w:rsidRPr="00DD2265">
        <w:rPr>
          <w:rFonts w:ascii="Times New Roman" w:hAnsi="Times New Roman"/>
          <w:sz w:val="28"/>
          <w:szCs w:val="28"/>
        </w:rPr>
        <w:t xml:space="preserve"> punktu šādā redakcijā:</w:t>
      </w:r>
    </w:p>
    <w:p w14:paraId="3D0628B5" w14:textId="77777777" w:rsidR="00BC29D4" w:rsidRPr="00DD2265" w:rsidRDefault="00BC29D4" w:rsidP="00BC29D4">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54705B35" w14:textId="77777777" w:rsidTr="00656770">
        <w:trPr>
          <w:cantSplit/>
          <w:trHeight w:val="315"/>
        </w:trPr>
        <w:tc>
          <w:tcPr>
            <w:tcW w:w="539" w:type="dxa"/>
            <w:vMerge w:val="restart"/>
          </w:tcPr>
          <w:p w14:paraId="3054832B"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5.</w:t>
            </w:r>
          </w:p>
        </w:tc>
        <w:tc>
          <w:tcPr>
            <w:tcW w:w="2100" w:type="dxa"/>
            <w:vMerge w:val="restart"/>
          </w:tcPr>
          <w:p w14:paraId="3538D32D"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Stūres iekārtas</w:t>
            </w:r>
            <w:r w:rsidRPr="00DD2265" w:rsidDel="00D42C47">
              <w:rPr>
                <w:rFonts w:ascii="Times New Roman" w:hAnsi="Times New Roman"/>
                <w:sz w:val="24"/>
              </w:rPr>
              <w:t xml:space="preserve"> </w:t>
            </w:r>
          </w:p>
        </w:tc>
        <w:tc>
          <w:tcPr>
            <w:tcW w:w="1422" w:type="dxa"/>
            <w:vMerge w:val="restart"/>
          </w:tcPr>
          <w:p w14:paraId="600A34EB" w14:textId="77777777" w:rsidR="00813B1F" w:rsidRPr="00DD2265" w:rsidRDefault="00813B1F" w:rsidP="00656770">
            <w:pPr>
              <w:spacing w:after="0" w:line="240" w:lineRule="auto"/>
              <w:ind w:left="-108" w:right="-125"/>
              <w:rPr>
                <w:rFonts w:ascii="Times New Roman" w:hAnsi="Times New Roman"/>
                <w:sz w:val="24"/>
              </w:rPr>
            </w:pPr>
            <w:r w:rsidRPr="00DD2265">
              <w:rPr>
                <w:rFonts w:ascii="Times New Roman" w:hAnsi="Times New Roman"/>
                <w:sz w:val="24"/>
              </w:rPr>
              <w:t>70/311/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029D17D5"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Padomes 1970.gada 8.jūnija Direktīva 70/311/EEK par dalībvalstu tiesību aktu tuvināšanu attiecībā uz mehānisko transportlīdzekļu un to piekabju stūres iekārtu (Eiropas Savienības Oficiālais Vēstnesis, 01.05.2004., L 133, 10.–13.lpp.)</w:t>
            </w:r>
          </w:p>
        </w:tc>
        <w:tc>
          <w:tcPr>
            <w:tcW w:w="1781" w:type="dxa"/>
          </w:tcPr>
          <w:p w14:paraId="5FA7EE8A" w14:textId="77777777" w:rsidR="00813B1F" w:rsidRPr="00DD2265" w:rsidRDefault="00813B1F" w:rsidP="00656770">
            <w:pPr>
              <w:spacing w:after="0" w:line="240" w:lineRule="auto"/>
              <w:rPr>
                <w:rFonts w:ascii="Times New Roman" w:hAnsi="Times New Roman"/>
                <w:bCs/>
                <w:sz w:val="24"/>
              </w:rPr>
            </w:pPr>
            <w:r w:rsidRPr="00DD2265">
              <w:rPr>
                <w:rFonts w:ascii="Times New Roman" w:hAnsi="Times New Roman"/>
                <w:bCs/>
                <w:sz w:val="24"/>
              </w:rPr>
              <w:t>92/62/EEK</w:t>
            </w:r>
            <w:r w:rsidRPr="00DD2265">
              <w:rPr>
                <w:rFonts w:ascii="Times New Roman" w:hAnsi="Times New Roman"/>
                <w:bCs/>
                <w:sz w:val="24"/>
                <w:vertAlign w:val="superscript"/>
              </w:rPr>
              <w:t>8; 32</w:t>
            </w:r>
          </w:p>
        </w:tc>
        <w:tc>
          <w:tcPr>
            <w:tcW w:w="4500" w:type="dxa"/>
          </w:tcPr>
          <w:p w14:paraId="48770BC3"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Komisijas 1992.gada 2.jūlija Direktīva 92/62/EEK, ar ko  tehnikas attīstībai pielāgo Padomes Direktīvu 70/311/EEK par mehānisko transportlīdzekļu un to piekabju stūres iekārtu (Eiropas Savienības Oficiālais Vēstnesis, 01.05.2004., L 199, 33.–47.lpp.)</w:t>
            </w:r>
          </w:p>
        </w:tc>
        <w:tc>
          <w:tcPr>
            <w:tcW w:w="1100" w:type="dxa"/>
            <w:vMerge w:val="restart"/>
          </w:tcPr>
          <w:p w14:paraId="1A0B0A57" w14:textId="77777777" w:rsidR="00813B1F" w:rsidRPr="00DD2265" w:rsidRDefault="00813B1F" w:rsidP="00656770">
            <w:pPr>
              <w:spacing w:after="0" w:line="240" w:lineRule="auto"/>
              <w:ind w:left="34" w:right="34"/>
              <w:jc w:val="center"/>
              <w:rPr>
                <w:rFonts w:ascii="Times New Roman" w:hAnsi="Times New Roman"/>
                <w:bCs/>
                <w:sz w:val="24"/>
              </w:rPr>
            </w:pPr>
            <w:r w:rsidRPr="00DD2265">
              <w:rPr>
                <w:rFonts w:ascii="Times New Roman" w:hAnsi="Times New Roman"/>
                <w:bCs/>
                <w:sz w:val="24"/>
              </w:rPr>
              <w:t>79.01</w:t>
            </w:r>
          </w:p>
          <w:p w14:paraId="34985E8F" w14:textId="77777777" w:rsidR="00813B1F" w:rsidRPr="00DD2265" w:rsidRDefault="00813B1F" w:rsidP="00656770">
            <w:pPr>
              <w:spacing w:after="0" w:line="240" w:lineRule="auto"/>
              <w:ind w:left="34" w:right="34"/>
              <w:jc w:val="center"/>
              <w:rPr>
                <w:rFonts w:ascii="Times New Roman" w:hAnsi="Times New Roman"/>
                <w:bCs/>
                <w:sz w:val="24"/>
              </w:rPr>
            </w:pPr>
            <w:r w:rsidRPr="00DD2265">
              <w:rPr>
                <w:rFonts w:ascii="Times New Roman" w:hAnsi="Times New Roman"/>
                <w:bCs/>
                <w:sz w:val="24"/>
              </w:rPr>
              <w:t>79.02</w:t>
            </w:r>
          </w:p>
        </w:tc>
      </w:tr>
      <w:tr w:rsidR="00813B1F" w:rsidRPr="00DD2265" w14:paraId="234A4F67" w14:textId="77777777" w:rsidTr="00656770">
        <w:trPr>
          <w:cantSplit/>
          <w:trHeight w:val="225"/>
        </w:trPr>
        <w:tc>
          <w:tcPr>
            <w:tcW w:w="539" w:type="dxa"/>
            <w:vMerge/>
          </w:tcPr>
          <w:p w14:paraId="7567D020"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2AA84D98" w14:textId="77777777" w:rsidR="00813B1F" w:rsidRPr="00DD2265" w:rsidRDefault="00813B1F" w:rsidP="00656770">
            <w:pPr>
              <w:spacing w:after="0" w:line="240" w:lineRule="auto"/>
              <w:rPr>
                <w:rFonts w:ascii="Times New Roman" w:hAnsi="Times New Roman"/>
                <w:sz w:val="24"/>
              </w:rPr>
            </w:pPr>
          </w:p>
        </w:tc>
        <w:tc>
          <w:tcPr>
            <w:tcW w:w="1422" w:type="dxa"/>
            <w:vMerge/>
          </w:tcPr>
          <w:p w14:paraId="15B57E56" w14:textId="77777777" w:rsidR="00813B1F" w:rsidRPr="00DD2265" w:rsidRDefault="00813B1F" w:rsidP="00656770">
            <w:pPr>
              <w:spacing w:after="0" w:line="240" w:lineRule="auto"/>
              <w:ind w:left="-108" w:right="-125"/>
              <w:rPr>
                <w:rFonts w:ascii="Times New Roman" w:hAnsi="Times New Roman"/>
                <w:sz w:val="24"/>
              </w:rPr>
            </w:pPr>
          </w:p>
        </w:tc>
        <w:tc>
          <w:tcPr>
            <w:tcW w:w="3798" w:type="dxa"/>
            <w:vMerge/>
          </w:tcPr>
          <w:p w14:paraId="6EBC72F8" w14:textId="77777777" w:rsidR="00813B1F" w:rsidRPr="00DD2265" w:rsidRDefault="00813B1F" w:rsidP="00656770">
            <w:pPr>
              <w:spacing w:after="0" w:line="240" w:lineRule="auto"/>
              <w:ind w:left="-108" w:right="-125"/>
              <w:rPr>
                <w:rFonts w:ascii="Times New Roman" w:hAnsi="Times New Roman"/>
                <w:b/>
                <w:bCs/>
                <w:sz w:val="24"/>
              </w:rPr>
            </w:pPr>
          </w:p>
        </w:tc>
        <w:tc>
          <w:tcPr>
            <w:tcW w:w="1781" w:type="dxa"/>
          </w:tcPr>
          <w:p w14:paraId="4E938A1B" w14:textId="77777777" w:rsidR="00813B1F" w:rsidRPr="00DD2265" w:rsidRDefault="00813B1F" w:rsidP="00656770">
            <w:pPr>
              <w:spacing w:after="0" w:line="240" w:lineRule="auto"/>
              <w:rPr>
                <w:rFonts w:ascii="Times New Roman" w:hAnsi="Times New Roman"/>
                <w:bCs/>
                <w:sz w:val="24"/>
                <w:vertAlign w:val="superscript"/>
              </w:rPr>
            </w:pPr>
            <w:r w:rsidRPr="00DD2265">
              <w:rPr>
                <w:rFonts w:ascii="Times New Roman" w:hAnsi="Times New Roman"/>
                <w:bCs/>
                <w:sz w:val="24"/>
              </w:rPr>
              <w:t>1999/7/EK</w:t>
            </w:r>
            <w:r w:rsidRPr="00DD2265">
              <w:rPr>
                <w:rFonts w:ascii="Times New Roman" w:hAnsi="Times New Roman"/>
                <w:bCs/>
                <w:sz w:val="24"/>
                <w:vertAlign w:val="superscript"/>
              </w:rPr>
              <w:t>32</w:t>
            </w:r>
          </w:p>
        </w:tc>
        <w:tc>
          <w:tcPr>
            <w:tcW w:w="4500" w:type="dxa"/>
          </w:tcPr>
          <w:p w14:paraId="0D260AF3"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Komisijas 1999.gada 26.janvāra Direktīva 1999/7/EK, ar ko  tehnikas attīstībai pielāgo Padomes Direktīvu 70/311/EEK attiecībā uz mehānisko transportlīdzekļu un to piekabju stūres iekārtu (Dokuments attiecas uz EEZ) (Eiropas Savienības Oficiālais Vēstnesis, 01.05.2004., L 040, 36.–45lpp.)</w:t>
            </w:r>
          </w:p>
        </w:tc>
        <w:tc>
          <w:tcPr>
            <w:tcW w:w="1100" w:type="dxa"/>
            <w:vMerge/>
          </w:tcPr>
          <w:p w14:paraId="077EB74A" w14:textId="77777777" w:rsidR="00813B1F" w:rsidRPr="00DD2265" w:rsidRDefault="00813B1F" w:rsidP="00656770">
            <w:pPr>
              <w:spacing w:after="0" w:line="240" w:lineRule="auto"/>
              <w:ind w:left="34" w:right="34"/>
              <w:jc w:val="center"/>
              <w:rPr>
                <w:rFonts w:ascii="Times New Roman" w:hAnsi="Times New Roman"/>
                <w:bCs/>
                <w:sz w:val="24"/>
              </w:rPr>
            </w:pPr>
          </w:p>
        </w:tc>
      </w:tr>
    </w:tbl>
    <w:p w14:paraId="74D4DAC3" w14:textId="77777777" w:rsidR="00BC29D4" w:rsidRPr="00DD2265" w:rsidRDefault="00BC29D4" w:rsidP="00BC29D4">
      <w:pPr>
        <w:spacing w:after="0" w:line="240" w:lineRule="auto"/>
        <w:jc w:val="both"/>
        <w:rPr>
          <w:rFonts w:ascii="Times New Roman" w:hAnsi="Times New Roman"/>
          <w:sz w:val="28"/>
          <w:szCs w:val="28"/>
        </w:rPr>
      </w:pPr>
    </w:p>
    <w:p w14:paraId="24D95B76" w14:textId="77777777" w:rsidR="00813B1F" w:rsidRPr="00DD2265" w:rsidRDefault="00813B1F">
      <w:pPr>
        <w:spacing w:after="0" w:line="240" w:lineRule="auto"/>
        <w:rPr>
          <w:rFonts w:ascii="Times New Roman" w:hAnsi="Times New Roman"/>
          <w:sz w:val="28"/>
          <w:szCs w:val="28"/>
        </w:rPr>
      </w:pPr>
      <w:r w:rsidRPr="00DD2265">
        <w:rPr>
          <w:rFonts w:ascii="Times New Roman" w:hAnsi="Times New Roman"/>
          <w:sz w:val="28"/>
          <w:szCs w:val="28"/>
        </w:rPr>
        <w:br w:type="page"/>
      </w:r>
    </w:p>
    <w:p w14:paraId="43928E20" w14:textId="77777777" w:rsidR="00BC29D4" w:rsidRPr="00DD2265" w:rsidRDefault="00BC29D4" w:rsidP="00BC29D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bookmarkStart w:id="10" w:name="_Hlk503425833"/>
      <w:r w:rsidRPr="00DD2265">
        <w:rPr>
          <w:rFonts w:ascii="Times New Roman" w:hAnsi="Times New Roman"/>
          <w:sz w:val="28"/>
          <w:szCs w:val="28"/>
        </w:rPr>
        <w:t xml:space="preserve">Izteikt 11.pielikuma II nodaļas tabulas </w:t>
      </w:r>
      <w:r w:rsidR="00813B1F" w:rsidRPr="00DD2265">
        <w:rPr>
          <w:rFonts w:ascii="Times New Roman" w:hAnsi="Times New Roman"/>
          <w:sz w:val="28"/>
          <w:szCs w:val="28"/>
        </w:rPr>
        <w:t>9.</w:t>
      </w:r>
      <w:r w:rsidRPr="00DD2265">
        <w:rPr>
          <w:rFonts w:ascii="Times New Roman" w:hAnsi="Times New Roman"/>
          <w:sz w:val="28"/>
          <w:szCs w:val="28"/>
        </w:rPr>
        <w:t xml:space="preserve"> punktu šādā redakcijā:</w:t>
      </w:r>
      <w:bookmarkEnd w:id="10"/>
    </w:p>
    <w:p w14:paraId="68632A87"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0A4A08A1" w14:textId="77777777" w:rsidTr="00656770">
        <w:trPr>
          <w:cantSplit/>
          <w:trHeight w:val="210"/>
        </w:trPr>
        <w:tc>
          <w:tcPr>
            <w:tcW w:w="539" w:type="dxa"/>
            <w:vMerge w:val="restart"/>
          </w:tcPr>
          <w:p w14:paraId="3F637321"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9.</w:t>
            </w:r>
          </w:p>
        </w:tc>
        <w:tc>
          <w:tcPr>
            <w:tcW w:w="2100" w:type="dxa"/>
            <w:vMerge w:val="restart"/>
          </w:tcPr>
          <w:p w14:paraId="65449D04" w14:textId="77777777" w:rsidR="00813B1F" w:rsidRPr="00DD2265" w:rsidRDefault="00813B1F" w:rsidP="00656770">
            <w:pPr>
              <w:spacing w:after="0" w:line="240" w:lineRule="auto"/>
              <w:rPr>
                <w:rFonts w:ascii="Times New Roman" w:hAnsi="Times New Roman"/>
                <w:bCs/>
                <w:sz w:val="24"/>
              </w:rPr>
            </w:pPr>
            <w:r w:rsidRPr="00DD2265">
              <w:rPr>
                <w:rFonts w:ascii="Times New Roman" w:hAnsi="Times New Roman"/>
                <w:sz w:val="24"/>
              </w:rPr>
              <w:t>Bremžu iekārtas</w:t>
            </w:r>
          </w:p>
        </w:tc>
        <w:tc>
          <w:tcPr>
            <w:tcW w:w="1422" w:type="dxa"/>
            <w:vMerge w:val="restart"/>
          </w:tcPr>
          <w:p w14:paraId="14488F1A"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r w:rsidRPr="00DD2265">
              <w:rPr>
                <w:rFonts w:ascii="Times New Roman" w:hAnsi="Times New Roman"/>
                <w:sz w:val="24"/>
              </w:rPr>
              <w:t>71/320/</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3EA69A75"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 xml:space="preserve">Padomes 1971.gada 26.jūlija Direktīva 71/320/EEK par dalībvalstu tiesību aktu tuvināšanu attiecībā uz noteiktu kategoriju mehānisko transportlīdzekļu un to piekabju bremžu iekārtām (Eiropas Savienības Oficiālais Vēstnesis, 01.05.2004., </w:t>
            </w:r>
            <w:r w:rsidRPr="00DD2265">
              <w:rPr>
                <w:rFonts w:ascii="Times New Roman" w:hAnsi="Times New Roman"/>
                <w:noProof/>
                <w:sz w:val="24"/>
              </w:rPr>
              <w:br/>
              <w:t>L 202, 37.–74.lpp.)</w:t>
            </w:r>
          </w:p>
        </w:tc>
        <w:tc>
          <w:tcPr>
            <w:tcW w:w="1781" w:type="dxa"/>
          </w:tcPr>
          <w:p w14:paraId="18805552"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sz w:val="24"/>
              </w:rPr>
              <w:t>91/422/EEK</w:t>
            </w:r>
            <w:r w:rsidRPr="00DD2265">
              <w:rPr>
                <w:rFonts w:ascii="Times New Roman" w:hAnsi="Times New Roman"/>
                <w:sz w:val="24"/>
                <w:vertAlign w:val="superscript"/>
              </w:rPr>
              <w:t>1</w:t>
            </w:r>
          </w:p>
        </w:tc>
        <w:tc>
          <w:tcPr>
            <w:tcW w:w="4500" w:type="dxa"/>
          </w:tcPr>
          <w:p w14:paraId="0E55E3F6"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1991.gada 15.jūlija Direktīva 91/422/EEK, ar ko tehnikas attīstībai pielāgo Padomes Direktīvu 71/320/EEK par dalībvalstu tiesību aktu tuvināšanu attiecībā uz noteiktu kategoriju mehānisko transportlīdzekļu un to piekabju bremžu iekārtām (Eiropas Savienības Oficiālais Vēstnesis, 01.05.2004., L 233, 21.–29.lpp.)</w:t>
            </w:r>
          </w:p>
        </w:tc>
        <w:tc>
          <w:tcPr>
            <w:tcW w:w="1100" w:type="dxa"/>
            <w:vMerge w:val="restart"/>
          </w:tcPr>
          <w:p w14:paraId="10171E8D" w14:textId="77777777" w:rsidR="00813B1F" w:rsidRPr="00DD2265" w:rsidRDefault="00813B1F" w:rsidP="00656770">
            <w:pPr>
              <w:spacing w:after="0" w:line="240" w:lineRule="auto"/>
              <w:ind w:left="-113" w:right="-57"/>
              <w:jc w:val="center"/>
              <w:rPr>
                <w:rFonts w:ascii="Times New Roman" w:hAnsi="Times New Roman"/>
                <w:sz w:val="24"/>
              </w:rPr>
            </w:pPr>
            <w:r w:rsidRPr="00DD2265">
              <w:rPr>
                <w:rFonts w:ascii="Times New Roman" w:hAnsi="Times New Roman"/>
                <w:sz w:val="24"/>
              </w:rPr>
              <w:t>13.07</w:t>
            </w:r>
            <w:r w:rsidRPr="00DD2265">
              <w:rPr>
                <w:rFonts w:ascii="Times New Roman" w:hAnsi="Times New Roman"/>
                <w:sz w:val="24"/>
                <w:vertAlign w:val="superscript"/>
              </w:rPr>
              <w:t>1</w:t>
            </w:r>
          </w:p>
          <w:p w14:paraId="61FBB3F4" w14:textId="77777777" w:rsidR="00813B1F" w:rsidRPr="00DD2265" w:rsidRDefault="00813B1F" w:rsidP="00656770">
            <w:pPr>
              <w:spacing w:after="0" w:line="240" w:lineRule="auto"/>
              <w:ind w:left="-113" w:right="-57"/>
              <w:jc w:val="center"/>
              <w:rPr>
                <w:rFonts w:ascii="Times New Roman" w:hAnsi="Times New Roman"/>
                <w:sz w:val="24"/>
              </w:rPr>
            </w:pPr>
            <w:r w:rsidRPr="00DD2265">
              <w:rPr>
                <w:rFonts w:ascii="Times New Roman" w:hAnsi="Times New Roman"/>
                <w:sz w:val="24"/>
              </w:rPr>
              <w:t>13.08</w:t>
            </w:r>
            <w:r w:rsidRPr="00DD2265">
              <w:rPr>
                <w:rFonts w:ascii="Times New Roman" w:hAnsi="Times New Roman"/>
                <w:sz w:val="24"/>
                <w:vertAlign w:val="superscript"/>
              </w:rPr>
              <w:t>1</w:t>
            </w:r>
          </w:p>
          <w:p w14:paraId="10338257"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13.09</w:t>
            </w:r>
          </w:p>
          <w:p w14:paraId="231C1042"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13.10</w:t>
            </w:r>
          </w:p>
          <w:p w14:paraId="06A886DA"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13.11</w:t>
            </w:r>
          </w:p>
        </w:tc>
      </w:tr>
      <w:tr w:rsidR="00813B1F" w:rsidRPr="00DD2265" w14:paraId="79816383" w14:textId="77777777" w:rsidTr="00656770">
        <w:trPr>
          <w:cantSplit/>
          <w:trHeight w:val="285"/>
        </w:trPr>
        <w:tc>
          <w:tcPr>
            <w:tcW w:w="539" w:type="dxa"/>
            <w:vMerge/>
          </w:tcPr>
          <w:p w14:paraId="5539BB24"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22CD25D4" w14:textId="77777777" w:rsidR="00813B1F" w:rsidRPr="00DD2265" w:rsidRDefault="00813B1F" w:rsidP="00656770">
            <w:pPr>
              <w:spacing w:after="0" w:line="240" w:lineRule="auto"/>
              <w:rPr>
                <w:rFonts w:ascii="Times New Roman" w:hAnsi="Times New Roman"/>
                <w:sz w:val="24"/>
              </w:rPr>
            </w:pPr>
          </w:p>
        </w:tc>
        <w:tc>
          <w:tcPr>
            <w:tcW w:w="1422" w:type="dxa"/>
            <w:vMerge/>
          </w:tcPr>
          <w:p w14:paraId="3330F003"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p>
        </w:tc>
        <w:tc>
          <w:tcPr>
            <w:tcW w:w="3798" w:type="dxa"/>
            <w:vMerge/>
          </w:tcPr>
          <w:p w14:paraId="77746D31"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488DE34A" w14:textId="77777777" w:rsidR="00813B1F" w:rsidRPr="00DD2265" w:rsidRDefault="00813B1F" w:rsidP="00656770">
            <w:pPr>
              <w:spacing w:after="0" w:line="240" w:lineRule="auto"/>
              <w:rPr>
                <w:rFonts w:ascii="Times New Roman" w:hAnsi="Times New Roman"/>
                <w:sz w:val="24"/>
                <w:vertAlign w:val="superscript"/>
              </w:rPr>
            </w:pPr>
            <w:r w:rsidRPr="00DD2265">
              <w:rPr>
                <w:rFonts w:ascii="Times New Roman" w:hAnsi="Times New Roman"/>
                <w:bCs/>
                <w:sz w:val="24"/>
              </w:rPr>
              <w:t>98/12/EK</w:t>
            </w:r>
            <w:r w:rsidRPr="00DD2265">
              <w:rPr>
                <w:rFonts w:ascii="Times New Roman" w:hAnsi="Times New Roman"/>
                <w:bCs/>
                <w:sz w:val="24"/>
                <w:vertAlign w:val="superscript"/>
              </w:rPr>
              <w:t>32</w:t>
            </w:r>
          </w:p>
        </w:tc>
        <w:tc>
          <w:tcPr>
            <w:tcW w:w="4500" w:type="dxa"/>
          </w:tcPr>
          <w:p w14:paraId="06557CB5"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1998.gada 27.janvāra Direktīva 98/12/EK, ar ko tehnikas attīstībai pielāgo Padomes Direktīvu 71/320/EEK par dalībvalstu to tiesību aktu tuvināšanu attiecībā uz noteiktu kategoriju mehānisko transportlīdzekļu un to piekabju bremžu iekārtām (Dokuments attiecas uz EEZ) (Eiropas Savienības Oficiālais Vēstnesis, 01.05.2004., L 081, 1.–146.lpp.)</w:t>
            </w:r>
          </w:p>
        </w:tc>
        <w:tc>
          <w:tcPr>
            <w:tcW w:w="1100" w:type="dxa"/>
            <w:vMerge/>
          </w:tcPr>
          <w:p w14:paraId="189DD1AC" w14:textId="77777777" w:rsidR="00813B1F" w:rsidRPr="00DD2265" w:rsidRDefault="00813B1F" w:rsidP="00656770">
            <w:pPr>
              <w:spacing w:after="0" w:line="240" w:lineRule="auto"/>
              <w:ind w:left="-113" w:right="-57"/>
              <w:jc w:val="center"/>
              <w:rPr>
                <w:rFonts w:ascii="Times New Roman" w:hAnsi="Times New Roman"/>
                <w:sz w:val="24"/>
              </w:rPr>
            </w:pPr>
          </w:p>
        </w:tc>
      </w:tr>
      <w:tr w:rsidR="00813B1F" w:rsidRPr="00DD2265" w14:paraId="04870D58" w14:textId="77777777" w:rsidTr="00656770">
        <w:trPr>
          <w:cantSplit/>
          <w:trHeight w:val="315"/>
        </w:trPr>
        <w:tc>
          <w:tcPr>
            <w:tcW w:w="539" w:type="dxa"/>
            <w:vMerge/>
          </w:tcPr>
          <w:p w14:paraId="73D382FC"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1454FB0E" w14:textId="77777777" w:rsidR="00813B1F" w:rsidRPr="00DD2265" w:rsidRDefault="00813B1F" w:rsidP="00656770">
            <w:pPr>
              <w:spacing w:after="0" w:line="240" w:lineRule="auto"/>
              <w:rPr>
                <w:rFonts w:ascii="Times New Roman" w:hAnsi="Times New Roman"/>
                <w:sz w:val="24"/>
              </w:rPr>
            </w:pPr>
          </w:p>
        </w:tc>
        <w:tc>
          <w:tcPr>
            <w:tcW w:w="1422" w:type="dxa"/>
            <w:vMerge/>
          </w:tcPr>
          <w:p w14:paraId="1B300528"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p>
        </w:tc>
        <w:tc>
          <w:tcPr>
            <w:tcW w:w="3798" w:type="dxa"/>
            <w:vMerge/>
          </w:tcPr>
          <w:p w14:paraId="1C42846F"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3EDF52F1" w14:textId="77777777" w:rsidR="00813B1F" w:rsidRPr="00DD2265" w:rsidRDefault="00813B1F" w:rsidP="00656770">
            <w:pPr>
              <w:spacing w:after="0" w:line="240" w:lineRule="auto"/>
              <w:rPr>
                <w:rFonts w:ascii="Times New Roman" w:hAnsi="Times New Roman"/>
                <w:bCs/>
                <w:sz w:val="24"/>
                <w:vertAlign w:val="superscript"/>
              </w:rPr>
            </w:pPr>
            <w:r w:rsidRPr="00DD2265">
              <w:rPr>
                <w:rFonts w:ascii="Times New Roman" w:hAnsi="Times New Roman"/>
                <w:sz w:val="24"/>
              </w:rPr>
              <w:t>2002/78/EK</w:t>
            </w:r>
            <w:r w:rsidRPr="00DD2265">
              <w:rPr>
                <w:rFonts w:ascii="Times New Roman" w:hAnsi="Times New Roman"/>
                <w:sz w:val="24"/>
                <w:vertAlign w:val="superscript"/>
              </w:rPr>
              <w:t>32</w:t>
            </w:r>
          </w:p>
        </w:tc>
        <w:tc>
          <w:tcPr>
            <w:tcW w:w="4500" w:type="dxa"/>
          </w:tcPr>
          <w:p w14:paraId="187DBF5F"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2002.gada 1.oktobra Direktīva 2002/78/EK, ar ko tehnikas attīstībai pielāgo Padomes Direktīvu 71/320/EEK par  dalībvalstu tiesību aktu tuvināšanu attiecībā uz noteiktu kategoriju  mehānisko transportlīdzekļu  un to piekabju bremžu iekārtām (Eiropas Savienības Oficiālais Vēstnesis, 01.05.2004., L 267, 23.–26.lpp.)</w:t>
            </w:r>
          </w:p>
        </w:tc>
        <w:tc>
          <w:tcPr>
            <w:tcW w:w="1100" w:type="dxa"/>
            <w:vMerge/>
          </w:tcPr>
          <w:p w14:paraId="2B234E7E" w14:textId="77777777" w:rsidR="00813B1F" w:rsidRPr="00DD2265" w:rsidRDefault="00813B1F" w:rsidP="00656770">
            <w:pPr>
              <w:spacing w:after="0" w:line="240" w:lineRule="auto"/>
              <w:ind w:left="-113" w:right="-57"/>
              <w:jc w:val="center"/>
              <w:rPr>
                <w:rFonts w:ascii="Times New Roman" w:hAnsi="Times New Roman"/>
                <w:sz w:val="24"/>
              </w:rPr>
            </w:pPr>
          </w:p>
        </w:tc>
      </w:tr>
      <w:tr w:rsidR="00813B1F" w:rsidRPr="00DD2265" w14:paraId="78A85954" w14:textId="77777777" w:rsidTr="00656770">
        <w:trPr>
          <w:cantSplit/>
          <w:trHeight w:val="410"/>
        </w:trPr>
        <w:tc>
          <w:tcPr>
            <w:tcW w:w="539" w:type="dxa"/>
            <w:vMerge/>
          </w:tcPr>
          <w:p w14:paraId="4C17AD14"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4357B660" w14:textId="77777777" w:rsidR="00813B1F" w:rsidRPr="00DD2265" w:rsidRDefault="00813B1F" w:rsidP="00656770">
            <w:pPr>
              <w:spacing w:after="0" w:line="240" w:lineRule="auto"/>
              <w:rPr>
                <w:rFonts w:ascii="Times New Roman" w:hAnsi="Times New Roman"/>
                <w:sz w:val="24"/>
              </w:rPr>
            </w:pPr>
          </w:p>
        </w:tc>
        <w:tc>
          <w:tcPr>
            <w:tcW w:w="1422" w:type="dxa"/>
            <w:vMerge/>
          </w:tcPr>
          <w:p w14:paraId="16FC601D" w14:textId="77777777" w:rsidR="00813B1F" w:rsidRPr="00DD2265" w:rsidRDefault="00813B1F" w:rsidP="00656770">
            <w:pPr>
              <w:tabs>
                <w:tab w:val="right" w:pos="5670"/>
                <w:tab w:val="right" w:pos="9355"/>
              </w:tabs>
              <w:spacing w:after="0" w:line="240" w:lineRule="auto"/>
              <w:rPr>
                <w:rFonts w:ascii="Times New Roman" w:hAnsi="Times New Roman"/>
                <w:sz w:val="24"/>
              </w:rPr>
            </w:pPr>
          </w:p>
        </w:tc>
        <w:tc>
          <w:tcPr>
            <w:tcW w:w="3798" w:type="dxa"/>
            <w:vMerge/>
          </w:tcPr>
          <w:p w14:paraId="6AFFE6D7"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7647A9AF"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w:t>
            </w:r>
          </w:p>
        </w:tc>
        <w:tc>
          <w:tcPr>
            <w:tcW w:w="4500" w:type="dxa"/>
          </w:tcPr>
          <w:p w14:paraId="364587D9" w14:textId="77777777" w:rsidR="00813B1F" w:rsidRPr="00DD2265" w:rsidRDefault="00813B1F" w:rsidP="00656770">
            <w:pPr>
              <w:spacing w:after="0" w:line="240" w:lineRule="auto"/>
              <w:ind w:left="-108" w:right="-108"/>
              <w:rPr>
                <w:rFonts w:ascii="Times New Roman" w:hAnsi="Times New Roman"/>
                <w:sz w:val="24"/>
              </w:rPr>
            </w:pPr>
          </w:p>
        </w:tc>
        <w:tc>
          <w:tcPr>
            <w:tcW w:w="1100" w:type="dxa"/>
          </w:tcPr>
          <w:p w14:paraId="2479719E" w14:textId="77777777" w:rsidR="00813B1F" w:rsidRPr="00DD2265" w:rsidRDefault="00813B1F" w:rsidP="00656770">
            <w:pPr>
              <w:keepNext/>
              <w:spacing w:after="0" w:line="240" w:lineRule="auto"/>
              <w:jc w:val="center"/>
              <w:outlineLvl w:val="1"/>
              <w:rPr>
                <w:rFonts w:ascii="Times New Roman" w:hAnsi="Times New Roman"/>
                <w:sz w:val="24"/>
              </w:rPr>
            </w:pPr>
            <w:r w:rsidRPr="00DD2265">
              <w:rPr>
                <w:rFonts w:ascii="Times New Roman" w:hAnsi="Times New Roman"/>
                <w:sz w:val="24"/>
              </w:rPr>
              <w:t>13H.00</w:t>
            </w:r>
          </w:p>
          <w:p w14:paraId="62086F72" w14:textId="77777777" w:rsidR="00813B1F" w:rsidRPr="00DD2265" w:rsidRDefault="00813B1F" w:rsidP="00656770">
            <w:pPr>
              <w:keepNext/>
              <w:spacing w:after="0" w:line="240" w:lineRule="auto"/>
              <w:jc w:val="center"/>
              <w:outlineLvl w:val="1"/>
              <w:rPr>
                <w:rFonts w:ascii="Times New Roman" w:hAnsi="Times New Roman"/>
                <w:sz w:val="24"/>
              </w:rPr>
            </w:pPr>
            <w:r w:rsidRPr="00DD2265">
              <w:rPr>
                <w:rFonts w:ascii="Times New Roman" w:hAnsi="Times New Roman"/>
                <w:sz w:val="24"/>
              </w:rPr>
              <w:t>13H.01</w:t>
            </w:r>
          </w:p>
        </w:tc>
      </w:tr>
    </w:tbl>
    <w:p w14:paraId="110C4001" w14:textId="77777777" w:rsidR="001F26F8" w:rsidRDefault="001F26F8" w:rsidP="001F26F8">
      <w:pPr>
        <w:pStyle w:val="ListParagraph"/>
        <w:spacing w:after="0" w:line="240" w:lineRule="auto"/>
        <w:ind w:left="1080"/>
        <w:jc w:val="both"/>
        <w:rPr>
          <w:rFonts w:ascii="Times New Roman" w:hAnsi="Times New Roman"/>
          <w:sz w:val="28"/>
          <w:szCs w:val="28"/>
        </w:rPr>
      </w:pPr>
    </w:p>
    <w:p w14:paraId="0325F337"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6D77E173" w14:textId="1E000E01"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17. punktu šādā redakcijā:</w:t>
      </w:r>
    </w:p>
    <w:p w14:paraId="2B10F562"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7A6C7E36" w14:textId="77777777" w:rsidTr="00656770">
        <w:trPr>
          <w:cantSplit/>
          <w:trHeight w:val="270"/>
        </w:trPr>
        <w:tc>
          <w:tcPr>
            <w:tcW w:w="539" w:type="dxa"/>
            <w:vMerge w:val="restart"/>
          </w:tcPr>
          <w:p w14:paraId="44A28D23"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17.</w:t>
            </w:r>
          </w:p>
        </w:tc>
        <w:tc>
          <w:tcPr>
            <w:tcW w:w="2100" w:type="dxa"/>
            <w:vMerge w:val="restart"/>
          </w:tcPr>
          <w:p w14:paraId="2B0D5E12"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Spidometrs un atpakaļgaitas pārnesums</w:t>
            </w:r>
          </w:p>
        </w:tc>
        <w:tc>
          <w:tcPr>
            <w:tcW w:w="1422" w:type="dxa"/>
            <w:vMerge w:val="restart"/>
          </w:tcPr>
          <w:p w14:paraId="3ADE90A9"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75/443/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07607F1C" w14:textId="77777777" w:rsidR="00813B1F" w:rsidRPr="00DD2265" w:rsidRDefault="00813B1F" w:rsidP="00656770">
            <w:pPr>
              <w:spacing w:after="0" w:line="240" w:lineRule="auto"/>
              <w:rPr>
                <w:rFonts w:ascii="Times New Roman" w:hAnsi="Times New Roman"/>
                <w:b/>
                <w:spacing w:val="-2"/>
                <w:sz w:val="24"/>
              </w:rPr>
            </w:pPr>
            <w:r w:rsidRPr="00DD2265">
              <w:rPr>
                <w:rFonts w:ascii="Times New Roman" w:hAnsi="Times New Roman"/>
                <w:noProof/>
                <w:spacing w:val="-2"/>
                <w:sz w:val="24"/>
              </w:rPr>
              <w:t>Padomes 1975.gada 26.jūnija Direktīva 75/443/EEK par dalībvalstu tiesību aktu tuvināšanu attiecībā uz mehānisko transportlīdzekļu atpakaļgaitu un spidometra ierīci (Eiropas Savienības Oficiālais Vēstnesis, 01.05.2004., L 196, 1.–5.lpp.)</w:t>
            </w:r>
          </w:p>
        </w:tc>
        <w:tc>
          <w:tcPr>
            <w:tcW w:w="1781" w:type="dxa"/>
          </w:tcPr>
          <w:p w14:paraId="1BF9153D"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75/443/EEK</w:t>
            </w:r>
            <w:r w:rsidRPr="00DD2265">
              <w:rPr>
                <w:rFonts w:ascii="Times New Roman" w:hAnsi="Times New Roman"/>
                <w:sz w:val="24"/>
                <w:vertAlign w:val="superscript"/>
              </w:rPr>
              <w:t>17; 32</w:t>
            </w:r>
          </w:p>
        </w:tc>
        <w:tc>
          <w:tcPr>
            <w:tcW w:w="4500" w:type="dxa"/>
          </w:tcPr>
          <w:p w14:paraId="3DB08440"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noProof/>
                <w:sz w:val="24"/>
              </w:rPr>
              <w:t xml:space="preserve">Padomes 1975.gada 26.jūnija Direktīva 75/443/EEK par dalībvalstu tiesību aktu tuvināšanu attiecībā uz mehānisko transportlīdzekļu atpakaļgaitu un spidometra ierīci (Eiropas Savienības Oficiālais Vēstnesis, 01.05.2004., L 196, </w:t>
            </w:r>
            <w:r w:rsidRPr="00DD2265">
              <w:rPr>
                <w:rFonts w:ascii="Times New Roman" w:hAnsi="Times New Roman"/>
                <w:noProof/>
                <w:sz w:val="24"/>
              </w:rPr>
              <w:br/>
              <w:t>1.–5.lpp.)</w:t>
            </w:r>
          </w:p>
        </w:tc>
        <w:tc>
          <w:tcPr>
            <w:tcW w:w="1100" w:type="dxa"/>
            <w:vMerge w:val="restart"/>
          </w:tcPr>
          <w:p w14:paraId="37CE62D8"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39.00</w:t>
            </w:r>
          </w:p>
          <w:p w14:paraId="03B2B8E9"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39.01</w:t>
            </w:r>
          </w:p>
        </w:tc>
      </w:tr>
      <w:tr w:rsidR="00813B1F" w:rsidRPr="00DD2265" w14:paraId="7F0CA864" w14:textId="77777777" w:rsidTr="00656770">
        <w:trPr>
          <w:cantSplit/>
          <w:trHeight w:val="270"/>
        </w:trPr>
        <w:tc>
          <w:tcPr>
            <w:tcW w:w="539" w:type="dxa"/>
            <w:vMerge/>
          </w:tcPr>
          <w:p w14:paraId="2F32C6F8"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4A07DA8E" w14:textId="77777777" w:rsidR="00813B1F" w:rsidRPr="00DD2265" w:rsidRDefault="00813B1F" w:rsidP="00656770">
            <w:pPr>
              <w:spacing w:after="0" w:line="240" w:lineRule="auto"/>
              <w:rPr>
                <w:rFonts w:ascii="Times New Roman" w:hAnsi="Times New Roman"/>
                <w:sz w:val="24"/>
              </w:rPr>
            </w:pPr>
          </w:p>
        </w:tc>
        <w:tc>
          <w:tcPr>
            <w:tcW w:w="1422" w:type="dxa"/>
            <w:vMerge/>
          </w:tcPr>
          <w:p w14:paraId="2A5857D9" w14:textId="77777777" w:rsidR="00813B1F" w:rsidRPr="00DD2265" w:rsidRDefault="00813B1F" w:rsidP="00656770">
            <w:pPr>
              <w:spacing w:after="0" w:line="240" w:lineRule="auto"/>
              <w:rPr>
                <w:rFonts w:ascii="Times New Roman" w:hAnsi="Times New Roman"/>
                <w:sz w:val="24"/>
              </w:rPr>
            </w:pPr>
          </w:p>
        </w:tc>
        <w:tc>
          <w:tcPr>
            <w:tcW w:w="3798" w:type="dxa"/>
            <w:vMerge/>
          </w:tcPr>
          <w:p w14:paraId="1A2EE6A4" w14:textId="77777777" w:rsidR="00813B1F" w:rsidRPr="00DD2265" w:rsidRDefault="00813B1F" w:rsidP="00656770">
            <w:pPr>
              <w:spacing w:after="0" w:line="240" w:lineRule="auto"/>
              <w:ind w:left="-108" w:right="-125"/>
              <w:rPr>
                <w:rFonts w:ascii="Times New Roman" w:hAnsi="Times New Roman"/>
                <w:b/>
                <w:sz w:val="24"/>
              </w:rPr>
            </w:pPr>
          </w:p>
        </w:tc>
        <w:tc>
          <w:tcPr>
            <w:tcW w:w="1781" w:type="dxa"/>
          </w:tcPr>
          <w:p w14:paraId="1452EE02" w14:textId="77777777" w:rsidR="00813B1F" w:rsidRPr="00DD2265" w:rsidRDefault="00813B1F" w:rsidP="00656770">
            <w:pPr>
              <w:spacing w:after="0" w:line="240" w:lineRule="auto"/>
              <w:rPr>
                <w:rFonts w:ascii="Times New Roman" w:hAnsi="Times New Roman"/>
                <w:sz w:val="24"/>
                <w:vertAlign w:val="superscript"/>
              </w:rPr>
            </w:pPr>
            <w:r w:rsidRPr="00DD2265">
              <w:rPr>
                <w:rFonts w:ascii="Times New Roman" w:hAnsi="Times New Roman"/>
                <w:sz w:val="24"/>
              </w:rPr>
              <w:t>97/39/EK</w:t>
            </w:r>
            <w:r w:rsidRPr="00DD2265">
              <w:rPr>
                <w:rFonts w:ascii="Times New Roman" w:hAnsi="Times New Roman"/>
                <w:sz w:val="24"/>
                <w:vertAlign w:val="superscript"/>
              </w:rPr>
              <w:t>32</w:t>
            </w:r>
          </w:p>
        </w:tc>
        <w:tc>
          <w:tcPr>
            <w:tcW w:w="4500" w:type="dxa"/>
          </w:tcPr>
          <w:p w14:paraId="4C8180B1"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noProof/>
                <w:sz w:val="24"/>
              </w:rPr>
              <w:t>Komisijas 1997.gada 24.jūnija Direktīva 97/39/EK, ar ko  tehnikas attīstībai pielāgo Padomes 1975.gada 26.jūnija Direktīvu 75/443/EEK attiecībā uz mehānisko transportlīdzekļu atpakaļgaitu un spidometra ierīci (Dokuments attiecas uz EEZ) (Eiropas Savienības Oficiālais Vēstnesis, 01.05.2004., L 177, 15.–21.lpp.)</w:t>
            </w:r>
          </w:p>
        </w:tc>
        <w:tc>
          <w:tcPr>
            <w:tcW w:w="1100" w:type="dxa"/>
            <w:vMerge/>
          </w:tcPr>
          <w:p w14:paraId="1F32E876" w14:textId="77777777" w:rsidR="00813B1F" w:rsidRPr="00DD2265" w:rsidRDefault="00813B1F" w:rsidP="00656770">
            <w:pPr>
              <w:spacing w:after="0" w:line="240" w:lineRule="auto"/>
              <w:jc w:val="center"/>
              <w:rPr>
                <w:rFonts w:ascii="Times New Roman" w:hAnsi="Times New Roman"/>
                <w:b/>
                <w:sz w:val="24"/>
              </w:rPr>
            </w:pPr>
          </w:p>
        </w:tc>
      </w:tr>
      <w:tr w:rsidR="00813B1F" w:rsidRPr="00DD2265" w14:paraId="4E505125" w14:textId="77777777" w:rsidTr="00656770">
        <w:trPr>
          <w:cantSplit/>
          <w:trHeight w:val="270"/>
        </w:trPr>
        <w:tc>
          <w:tcPr>
            <w:tcW w:w="539" w:type="dxa"/>
            <w:vMerge/>
          </w:tcPr>
          <w:p w14:paraId="23A50701"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shd w:val="clear" w:color="auto" w:fill="auto"/>
          </w:tcPr>
          <w:p w14:paraId="0D0A82D0"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Transportlīdzekļa pieejamība un manevrējamība (atpakaļgaitas pārnesums)</w:t>
            </w:r>
          </w:p>
        </w:tc>
        <w:tc>
          <w:tcPr>
            <w:tcW w:w="1422" w:type="dxa"/>
          </w:tcPr>
          <w:p w14:paraId="67492A0B" w14:textId="77777777" w:rsidR="00813B1F" w:rsidRPr="00DD2265" w:rsidRDefault="00813B1F" w:rsidP="00656770">
            <w:pPr>
              <w:spacing w:after="0" w:line="240" w:lineRule="auto"/>
              <w:ind w:hanging="81"/>
              <w:jc w:val="center"/>
              <w:rPr>
                <w:rFonts w:ascii="Times New Roman" w:hAnsi="Times New Roman"/>
                <w:bCs/>
                <w:sz w:val="24"/>
              </w:rPr>
            </w:pPr>
            <w:r w:rsidRPr="00DD2265">
              <w:rPr>
                <w:rFonts w:ascii="Times New Roman" w:hAnsi="Times New Roman"/>
                <w:bCs/>
                <w:sz w:val="24"/>
              </w:rPr>
              <w:t>Regula (ES)</w:t>
            </w:r>
          </w:p>
          <w:p w14:paraId="7CDEE8F2" w14:textId="77777777" w:rsidR="00813B1F" w:rsidRPr="00DD2265" w:rsidRDefault="00813B1F" w:rsidP="00656770">
            <w:pPr>
              <w:spacing w:after="0" w:line="240" w:lineRule="auto"/>
              <w:ind w:hanging="81"/>
              <w:rPr>
                <w:rFonts w:ascii="Times New Roman" w:hAnsi="Times New Roman"/>
                <w:sz w:val="24"/>
              </w:rPr>
            </w:pPr>
            <w:r w:rsidRPr="00DD2265">
              <w:rPr>
                <w:rFonts w:ascii="Times New Roman" w:hAnsi="Times New Roman"/>
                <w:bCs/>
                <w:sz w:val="24"/>
              </w:rPr>
              <w:t>Nr.130/2012</w:t>
            </w:r>
          </w:p>
        </w:tc>
        <w:tc>
          <w:tcPr>
            <w:tcW w:w="3798" w:type="dxa"/>
          </w:tcPr>
          <w:p w14:paraId="0E9B7CE9" w14:textId="77777777" w:rsidR="00813B1F" w:rsidRPr="00DD2265" w:rsidRDefault="00813B1F" w:rsidP="00656770">
            <w:pPr>
              <w:spacing w:after="0" w:line="240" w:lineRule="auto"/>
              <w:ind w:right="-108"/>
              <w:rPr>
                <w:rFonts w:ascii="Times New Roman" w:hAnsi="Times New Roman"/>
                <w:bCs/>
                <w:sz w:val="24"/>
              </w:rPr>
            </w:pPr>
            <w:r w:rsidRPr="00DD2265">
              <w:rPr>
                <w:rFonts w:ascii="Times New Roman" w:hAnsi="Times New Roman"/>
                <w:bCs/>
                <w:sz w:val="24"/>
              </w:rPr>
              <w:t>Komisijas 2012.gada 15.februāra Regula (ES) Nr.130/2012, kas attiecas uz mehānisko transportlīdzekļu tipa apstiprināšanas prasībām pieejamības un manevrējamības ziņā un ar ko īsteno Eiropas Parlamenta un Padomes Regulu (EK) Nr.661/2009 par tipa apstiprināšanas prasībām attiecībā uz mehānisko transportlīdzekļu, to piekabju un tiem paredzēto sistēmu, sastāvdaļu un atsevišķu tehnisko vienību vispārējo drošību</w:t>
            </w:r>
          </w:p>
          <w:p w14:paraId="7E13A6D2" w14:textId="77777777" w:rsidR="00813B1F" w:rsidRPr="00DD2265" w:rsidRDefault="00813B1F" w:rsidP="00656770">
            <w:pPr>
              <w:spacing w:after="0" w:line="240" w:lineRule="auto"/>
              <w:ind w:right="-125"/>
              <w:rPr>
                <w:rFonts w:ascii="Times New Roman" w:hAnsi="Times New Roman"/>
                <w:b/>
                <w:sz w:val="24"/>
              </w:rPr>
            </w:pPr>
            <w:r w:rsidRPr="00DD2265">
              <w:rPr>
                <w:rFonts w:ascii="Times New Roman" w:hAnsi="Times New Roman"/>
                <w:bCs/>
                <w:sz w:val="24"/>
              </w:rPr>
              <w:t>(Dokuments attiecas uz EEZ)  (Eiropas Savienības Oficiālais Vēstnesis, 16.02.2012. , L 43, 6.–14.lpp.)</w:t>
            </w:r>
          </w:p>
        </w:tc>
        <w:tc>
          <w:tcPr>
            <w:tcW w:w="1781" w:type="dxa"/>
          </w:tcPr>
          <w:p w14:paraId="52F3BEA0" w14:textId="77777777" w:rsidR="00813B1F" w:rsidRPr="00DD2265" w:rsidRDefault="00813B1F" w:rsidP="00656770">
            <w:pPr>
              <w:spacing w:after="0" w:line="240" w:lineRule="auto"/>
              <w:ind w:left="-57" w:hanging="283"/>
              <w:jc w:val="center"/>
              <w:rPr>
                <w:rFonts w:ascii="Times New Roman" w:hAnsi="Times New Roman"/>
                <w:bCs/>
                <w:sz w:val="24"/>
              </w:rPr>
            </w:pPr>
            <w:r w:rsidRPr="00DD2265">
              <w:rPr>
                <w:rFonts w:ascii="Times New Roman" w:hAnsi="Times New Roman"/>
                <w:bCs/>
                <w:sz w:val="24"/>
              </w:rPr>
              <w:t>Regula (ES)</w:t>
            </w:r>
          </w:p>
          <w:p w14:paraId="6BE4CF2C"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bCs/>
                <w:sz w:val="24"/>
              </w:rPr>
              <w:t>Nr.130/2012</w:t>
            </w:r>
          </w:p>
        </w:tc>
        <w:tc>
          <w:tcPr>
            <w:tcW w:w="4500" w:type="dxa"/>
          </w:tcPr>
          <w:p w14:paraId="43ECBD06" w14:textId="77777777" w:rsidR="00813B1F" w:rsidRPr="00DD2265" w:rsidRDefault="00813B1F" w:rsidP="00656770">
            <w:pPr>
              <w:spacing w:after="0" w:line="240" w:lineRule="auto"/>
              <w:ind w:left="6" w:right="-108" w:hanging="6"/>
              <w:rPr>
                <w:rFonts w:ascii="Times New Roman" w:hAnsi="Times New Roman"/>
                <w:bCs/>
                <w:sz w:val="24"/>
              </w:rPr>
            </w:pPr>
            <w:r w:rsidRPr="00DD2265">
              <w:rPr>
                <w:rFonts w:ascii="Times New Roman" w:hAnsi="Times New Roman"/>
                <w:bCs/>
                <w:sz w:val="24"/>
              </w:rPr>
              <w:t>Komisijas 2012.gada 15.februāra Regula (ES) Nr.130/2012, kas attiecas uz mehānisko transportlīdzekļu tipa apstiprināšanas prasībām pieejamības un manevrējamības ziņā un ar ko īsteno Eiropas Parlamenta un Padomes Regulu (EK) Nr.661/2009 par tipa apstiprināšanas prasībām attiecībā uz mehānisko transportlīdzekļu, to piekabju un tiem paredzēto sistēmu, sastāvdaļu un atsevišķu tehnisko vienību vispārējo drošību</w:t>
            </w:r>
          </w:p>
          <w:p w14:paraId="6C1C7AB3" w14:textId="77777777" w:rsidR="00813B1F" w:rsidRPr="00DD2265" w:rsidRDefault="00813B1F" w:rsidP="00656770">
            <w:pPr>
              <w:spacing w:after="0" w:line="240" w:lineRule="auto"/>
              <w:rPr>
                <w:rFonts w:ascii="Times New Roman" w:hAnsi="Times New Roman"/>
                <w:noProof/>
                <w:sz w:val="24"/>
              </w:rPr>
            </w:pPr>
            <w:r w:rsidRPr="00DD2265">
              <w:rPr>
                <w:rFonts w:ascii="Times New Roman" w:hAnsi="Times New Roman"/>
                <w:bCs/>
                <w:sz w:val="24"/>
              </w:rPr>
              <w:t>(Dokuments attiecas uz EEZ)  (Eiropas Savienības Oficiālais Vēstnesis, 16.02.2012., L 43, 6.–14.lpp.)</w:t>
            </w:r>
          </w:p>
        </w:tc>
        <w:tc>
          <w:tcPr>
            <w:tcW w:w="1100" w:type="dxa"/>
          </w:tcPr>
          <w:p w14:paraId="1B9C17F8" w14:textId="77777777" w:rsidR="00813B1F" w:rsidRPr="00DD2265" w:rsidRDefault="00813B1F" w:rsidP="00656770">
            <w:pPr>
              <w:spacing w:after="0" w:line="240" w:lineRule="auto"/>
              <w:jc w:val="center"/>
              <w:rPr>
                <w:rFonts w:ascii="Times New Roman" w:hAnsi="Times New Roman"/>
                <w:b/>
                <w:sz w:val="24"/>
              </w:rPr>
            </w:pPr>
            <w:r w:rsidRPr="00DD2265">
              <w:rPr>
                <w:rFonts w:ascii="Times New Roman" w:hAnsi="Times New Roman"/>
                <w:b/>
                <w:sz w:val="24"/>
              </w:rPr>
              <w:t>-</w:t>
            </w:r>
          </w:p>
        </w:tc>
      </w:tr>
    </w:tbl>
    <w:p w14:paraId="7A45E04A" w14:textId="77777777" w:rsidR="00813B1F" w:rsidRPr="00DD2265" w:rsidRDefault="00813B1F" w:rsidP="00813B1F">
      <w:pPr>
        <w:spacing w:after="0" w:line="240" w:lineRule="auto"/>
        <w:jc w:val="both"/>
        <w:rPr>
          <w:rFonts w:ascii="Times New Roman" w:hAnsi="Times New Roman"/>
          <w:sz w:val="28"/>
          <w:szCs w:val="28"/>
        </w:rPr>
      </w:pPr>
    </w:p>
    <w:p w14:paraId="65BA6DA4" w14:textId="77777777" w:rsidR="00813B1F" w:rsidRPr="00DD2265" w:rsidRDefault="00813B1F" w:rsidP="00813B1F">
      <w:pPr>
        <w:spacing w:after="0" w:line="240" w:lineRule="auto"/>
        <w:jc w:val="both"/>
        <w:rPr>
          <w:rFonts w:ascii="Times New Roman" w:hAnsi="Times New Roman"/>
          <w:sz w:val="28"/>
          <w:szCs w:val="28"/>
        </w:rPr>
      </w:pPr>
    </w:p>
    <w:p w14:paraId="3C0D2909" w14:textId="77777777"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bookmarkStart w:id="11" w:name="_Hlk503426097"/>
      <w:r w:rsidRPr="00DD2265">
        <w:rPr>
          <w:rFonts w:ascii="Times New Roman" w:hAnsi="Times New Roman"/>
          <w:sz w:val="28"/>
          <w:szCs w:val="28"/>
        </w:rPr>
        <w:t xml:space="preserve">Izteikt 11.pielikuma II nodaļas tabulas </w:t>
      </w:r>
      <w:r w:rsidR="004B38EB" w:rsidRPr="00DD2265">
        <w:rPr>
          <w:rFonts w:ascii="Times New Roman" w:hAnsi="Times New Roman"/>
          <w:sz w:val="28"/>
          <w:szCs w:val="28"/>
        </w:rPr>
        <w:t>31.</w:t>
      </w:r>
      <w:r w:rsidRPr="00DD2265">
        <w:rPr>
          <w:rFonts w:ascii="Times New Roman" w:hAnsi="Times New Roman"/>
          <w:sz w:val="28"/>
          <w:szCs w:val="28"/>
        </w:rPr>
        <w:t xml:space="preserve"> punktu šādā redakcijā:</w:t>
      </w:r>
      <w:bookmarkEnd w:id="11"/>
    </w:p>
    <w:p w14:paraId="5FEC0CCB"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4B38EB" w:rsidRPr="00DD2265" w14:paraId="417924C0" w14:textId="77777777" w:rsidTr="00656770">
        <w:trPr>
          <w:cantSplit/>
          <w:trHeight w:val="240"/>
        </w:trPr>
        <w:tc>
          <w:tcPr>
            <w:tcW w:w="539" w:type="dxa"/>
            <w:vMerge w:val="restart"/>
          </w:tcPr>
          <w:p w14:paraId="7DB3AF5E" w14:textId="77777777" w:rsidR="004B38EB" w:rsidRPr="00DD2265" w:rsidRDefault="004B38EB" w:rsidP="00656770">
            <w:pPr>
              <w:spacing w:after="0" w:line="240" w:lineRule="auto"/>
              <w:ind w:left="-108" w:right="-108"/>
              <w:jc w:val="center"/>
              <w:rPr>
                <w:rFonts w:ascii="Times New Roman" w:hAnsi="Times New Roman"/>
                <w:sz w:val="24"/>
              </w:rPr>
            </w:pPr>
            <w:r w:rsidRPr="00DD2265">
              <w:rPr>
                <w:rFonts w:ascii="Times New Roman" w:hAnsi="Times New Roman"/>
                <w:sz w:val="24"/>
              </w:rPr>
              <w:t>31.</w:t>
            </w:r>
          </w:p>
        </w:tc>
        <w:tc>
          <w:tcPr>
            <w:tcW w:w="2100" w:type="dxa"/>
            <w:vMerge w:val="restart"/>
            <w:shd w:val="clear" w:color="auto" w:fill="auto"/>
          </w:tcPr>
          <w:p w14:paraId="715BB15E"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 xml:space="preserve">Drošības jostas un </w:t>
            </w:r>
            <w:proofErr w:type="spellStart"/>
            <w:r w:rsidRPr="00DD2265">
              <w:rPr>
                <w:rFonts w:ascii="Times New Roman" w:hAnsi="Times New Roman"/>
                <w:sz w:val="24"/>
              </w:rPr>
              <w:t>ierobežotāj</w:t>
            </w:r>
            <w:r w:rsidRPr="00DD2265">
              <w:rPr>
                <w:rFonts w:ascii="Times New Roman" w:hAnsi="Times New Roman"/>
                <w:sz w:val="24"/>
              </w:rPr>
              <w:softHyphen/>
              <w:t>sistēmas</w:t>
            </w:r>
            <w:proofErr w:type="spellEnd"/>
            <w:r w:rsidRPr="00DD2265">
              <w:rPr>
                <w:rFonts w:ascii="Times New Roman" w:hAnsi="Times New Roman"/>
                <w:sz w:val="24"/>
              </w:rPr>
              <w:t>, to uzstādīšana</w:t>
            </w:r>
            <w:r w:rsidRPr="00DD2265" w:rsidDel="0096552A">
              <w:rPr>
                <w:rFonts w:ascii="Times New Roman" w:hAnsi="Times New Roman"/>
                <w:sz w:val="24"/>
              </w:rPr>
              <w:t xml:space="preserve"> </w:t>
            </w:r>
          </w:p>
        </w:tc>
        <w:tc>
          <w:tcPr>
            <w:tcW w:w="1422" w:type="dxa"/>
            <w:vMerge w:val="restart"/>
          </w:tcPr>
          <w:p w14:paraId="65B045AD"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77/541/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366DF8A8"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Padomes 1977.gada 28.jūnija Direktīva 77/541/EEK  par dalībvalstu tiesību aktu tuvināšanu attiecībā uz mehānisko transportlīdzekļu drošības jostām un ierobežotājsistēmām (Eiropas Savienības Oficiālais Vēstnesis, 01.05.2004., L 220, 95.–143.lpp.)</w:t>
            </w:r>
          </w:p>
        </w:tc>
        <w:tc>
          <w:tcPr>
            <w:tcW w:w="1781" w:type="dxa"/>
          </w:tcPr>
          <w:p w14:paraId="33E913B5"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90/628/EEK</w:t>
            </w:r>
            <w:r w:rsidRPr="00DD2265">
              <w:rPr>
                <w:rFonts w:ascii="Times New Roman" w:hAnsi="Times New Roman"/>
                <w:sz w:val="24"/>
                <w:vertAlign w:val="superscript"/>
              </w:rPr>
              <w:t>1</w:t>
            </w:r>
          </w:p>
        </w:tc>
        <w:tc>
          <w:tcPr>
            <w:tcW w:w="4500" w:type="dxa"/>
          </w:tcPr>
          <w:p w14:paraId="0FA5D5F5"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 xml:space="preserve">Komisijas 1990.gada 30.oktobra Direktīva 90/628/EEK, ar ko tehnikas attīstībai pielāgo Padomes Direktīvu 77/541/EEK par dalībvalstu tiesību aktu tuvināšanu attiecībā uz mehānisko transportlīdzekļu drošības jostām un ierobežotājsistēmām (Eiropas Savienības Oficiālais Vēstnesis, 01.05.2004., L 341, 1.–13.lpp.) </w:t>
            </w:r>
          </w:p>
        </w:tc>
        <w:tc>
          <w:tcPr>
            <w:tcW w:w="1100" w:type="dxa"/>
            <w:vMerge w:val="restart"/>
          </w:tcPr>
          <w:p w14:paraId="680DCB41"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16.04</w:t>
            </w:r>
          </w:p>
          <w:p w14:paraId="743B5FBE"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16.05</w:t>
            </w:r>
          </w:p>
          <w:p w14:paraId="24D4E1C7"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16.06</w:t>
            </w:r>
          </w:p>
          <w:p w14:paraId="15E65C8C" w14:textId="77777777" w:rsidR="004B38EB" w:rsidRPr="00DD2265" w:rsidRDefault="004B38EB" w:rsidP="00656770">
            <w:pPr>
              <w:spacing w:after="0" w:line="240" w:lineRule="auto"/>
              <w:jc w:val="center"/>
              <w:rPr>
                <w:rFonts w:ascii="Times New Roman" w:hAnsi="Times New Roman"/>
                <w:b/>
                <w:sz w:val="24"/>
              </w:rPr>
            </w:pPr>
            <w:r w:rsidRPr="00DD2265">
              <w:rPr>
                <w:rFonts w:ascii="Times New Roman" w:hAnsi="Times New Roman"/>
                <w:sz w:val="24"/>
              </w:rPr>
              <w:t>16.07</w:t>
            </w:r>
          </w:p>
        </w:tc>
      </w:tr>
      <w:tr w:rsidR="004B38EB" w:rsidRPr="00DD2265" w14:paraId="040CF42D" w14:textId="77777777" w:rsidTr="00656770">
        <w:trPr>
          <w:cantSplit/>
          <w:trHeight w:val="330"/>
        </w:trPr>
        <w:tc>
          <w:tcPr>
            <w:tcW w:w="539" w:type="dxa"/>
            <w:vMerge/>
          </w:tcPr>
          <w:p w14:paraId="5F83B4F0"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tcPr>
          <w:p w14:paraId="5AC13733" w14:textId="77777777" w:rsidR="004B38EB" w:rsidRPr="00DD2265" w:rsidRDefault="004B38EB" w:rsidP="00656770">
            <w:pPr>
              <w:spacing w:after="0" w:line="240" w:lineRule="auto"/>
              <w:rPr>
                <w:rFonts w:ascii="Times New Roman" w:hAnsi="Times New Roman"/>
                <w:sz w:val="24"/>
              </w:rPr>
            </w:pPr>
          </w:p>
        </w:tc>
        <w:tc>
          <w:tcPr>
            <w:tcW w:w="1422" w:type="dxa"/>
            <w:vMerge/>
          </w:tcPr>
          <w:p w14:paraId="416F7B77" w14:textId="77777777" w:rsidR="004B38EB" w:rsidRPr="00DD2265" w:rsidRDefault="004B38EB" w:rsidP="00656770">
            <w:pPr>
              <w:spacing w:after="0" w:line="240" w:lineRule="auto"/>
              <w:rPr>
                <w:rFonts w:ascii="Times New Roman" w:hAnsi="Times New Roman"/>
                <w:sz w:val="24"/>
              </w:rPr>
            </w:pPr>
          </w:p>
        </w:tc>
        <w:tc>
          <w:tcPr>
            <w:tcW w:w="3798" w:type="dxa"/>
            <w:vMerge/>
          </w:tcPr>
          <w:p w14:paraId="6CE05932"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75CAD29D"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96/36/EK</w:t>
            </w:r>
            <w:r w:rsidRPr="00DD2265">
              <w:rPr>
                <w:rFonts w:ascii="Times New Roman" w:hAnsi="Times New Roman"/>
                <w:sz w:val="24"/>
                <w:vertAlign w:val="superscript"/>
              </w:rPr>
              <w:t>17</w:t>
            </w:r>
          </w:p>
        </w:tc>
        <w:tc>
          <w:tcPr>
            <w:tcW w:w="4500" w:type="dxa"/>
          </w:tcPr>
          <w:p w14:paraId="00FED031"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Komisijas 1996.gada 17.jūnija Direktīva 96/36/EK, ar ko tehnikas attīstībai pielāgo Padomes Direktīvu 77/541/EEK attiecībā uz mehānisko transportlīdzekļu drošības jostām un ierobežotājsistēmām (Dokuments attiecas uz EEZ) (Eiropas Savienības Oficiālais Vēstnesis, 01.05.2004., L 178, 15.–30.lpp.)</w:t>
            </w:r>
          </w:p>
        </w:tc>
        <w:tc>
          <w:tcPr>
            <w:tcW w:w="1100" w:type="dxa"/>
            <w:vMerge/>
          </w:tcPr>
          <w:p w14:paraId="4A85A4B8"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1C021761" w14:textId="77777777" w:rsidTr="00656770">
        <w:trPr>
          <w:cantSplit/>
          <w:trHeight w:val="225"/>
        </w:trPr>
        <w:tc>
          <w:tcPr>
            <w:tcW w:w="539" w:type="dxa"/>
            <w:vMerge/>
          </w:tcPr>
          <w:p w14:paraId="00000C50"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shd w:val="clear" w:color="auto" w:fill="auto"/>
          </w:tcPr>
          <w:p w14:paraId="1CE501C0" w14:textId="77777777" w:rsidR="004B38EB" w:rsidRPr="00DD2265" w:rsidRDefault="004B38EB" w:rsidP="00656770">
            <w:pPr>
              <w:autoSpaceDE w:val="0"/>
              <w:autoSpaceDN w:val="0"/>
              <w:adjustRightInd w:val="0"/>
              <w:spacing w:after="0" w:line="240" w:lineRule="auto"/>
              <w:rPr>
                <w:rFonts w:ascii="Times New Roman" w:hAnsi="Times New Roman"/>
                <w:sz w:val="24"/>
              </w:rPr>
            </w:pPr>
          </w:p>
        </w:tc>
        <w:tc>
          <w:tcPr>
            <w:tcW w:w="1422" w:type="dxa"/>
            <w:vMerge/>
          </w:tcPr>
          <w:p w14:paraId="1880EE6F" w14:textId="77777777" w:rsidR="004B38EB" w:rsidRPr="00DD2265" w:rsidRDefault="004B38EB" w:rsidP="00656770">
            <w:pPr>
              <w:spacing w:after="0" w:line="240" w:lineRule="auto"/>
              <w:rPr>
                <w:rFonts w:ascii="Times New Roman" w:hAnsi="Times New Roman"/>
                <w:sz w:val="24"/>
              </w:rPr>
            </w:pPr>
          </w:p>
        </w:tc>
        <w:tc>
          <w:tcPr>
            <w:tcW w:w="3798" w:type="dxa"/>
            <w:vMerge/>
          </w:tcPr>
          <w:p w14:paraId="2547C4C2"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4D54154D" w14:textId="77777777" w:rsidR="004B38EB" w:rsidRPr="00DD2265" w:rsidRDefault="004B38EB" w:rsidP="00656770">
            <w:pPr>
              <w:spacing w:after="0" w:line="240" w:lineRule="auto"/>
              <w:rPr>
                <w:rFonts w:ascii="Times New Roman" w:hAnsi="Times New Roman"/>
                <w:spacing w:val="-6"/>
                <w:sz w:val="24"/>
              </w:rPr>
            </w:pPr>
            <w:r w:rsidRPr="00DD2265">
              <w:rPr>
                <w:rFonts w:ascii="Times New Roman" w:hAnsi="Times New Roman"/>
                <w:spacing w:val="-6"/>
                <w:sz w:val="24"/>
              </w:rPr>
              <w:t>2000/3/EK</w:t>
            </w:r>
            <w:r w:rsidRPr="00DD2265">
              <w:rPr>
                <w:rFonts w:ascii="Times New Roman" w:hAnsi="Times New Roman"/>
                <w:spacing w:val="-6"/>
                <w:sz w:val="24"/>
                <w:vertAlign w:val="superscript"/>
              </w:rPr>
              <w:t>20; 21</w:t>
            </w:r>
          </w:p>
        </w:tc>
        <w:tc>
          <w:tcPr>
            <w:tcW w:w="4500" w:type="dxa"/>
          </w:tcPr>
          <w:p w14:paraId="2DC2081C"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Komisijas 2000.gada 22.februāra Direktīva 2000/3/EK, ar ko tehnikas attīstībai pielāgo Padomes Direktīvu 77/541/EEK attiecībā uz mehānisko transportlīdzekļu drošības jostām un ierobežotājsistēmām (Dokuments attiecas uz EEZ) (Eiropas Savienības Oficiālais Vēstnesis, 01.05.2004., L 053, 1.–76.lpp.)</w:t>
            </w:r>
          </w:p>
        </w:tc>
        <w:tc>
          <w:tcPr>
            <w:tcW w:w="1100" w:type="dxa"/>
            <w:vMerge/>
          </w:tcPr>
          <w:p w14:paraId="07BDEB8C"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141C0092" w14:textId="77777777" w:rsidTr="00656770">
        <w:trPr>
          <w:cantSplit/>
          <w:trHeight w:val="390"/>
        </w:trPr>
        <w:tc>
          <w:tcPr>
            <w:tcW w:w="539" w:type="dxa"/>
            <w:vMerge/>
          </w:tcPr>
          <w:p w14:paraId="17479C96"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tcPr>
          <w:p w14:paraId="314EF0BF" w14:textId="77777777" w:rsidR="004B38EB" w:rsidRPr="00DD2265" w:rsidRDefault="004B38EB" w:rsidP="00656770">
            <w:pPr>
              <w:spacing w:after="0" w:line="240" w:lineRule="auto"/>
              <w:rPr>
                <w:rFonts w:ascii="Times New Roman" w:hAnsi="Times New Roman"/>
                <w:sz w:val="24"/>
              </w:rPr>
            </w:pPr>
          </w:p>
        </w:tc>
        <w:tc>
          <w:tcPr>
            <w:tcW w:w="1422" w:type="dxa"/>
            <w:vMerge/>
          </w:tcPr>
          <w:p w14:paraId="3C76A973" w14:textId="77777777" w:rsidR="004B38EB" w:rsidRPr="00DD2265" w:rsidRDefault="004B38EB" w:rsidP="00656770">
            <w:pPr>
              <w:spacing w:after="0" w:line="240" w:lineRule="auto"/>
              <w:rPr>
                <w:rFonts w:ascii="Times New Roman" w:hAnsi="Times New Roman"/>
                <w:sz w:val="24"/>
              </w:rPr>
            </w:pPr>
          </w:p>
        </w:tc>
        <w:tc>
          <w:tcPr>
            <w:tcW w:w="3798" w:type="dxa"/>
            <w:vMerge/>
          </w:tcPr>
          <w:p w14:paraId="2F4F875B"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19087B16" w14:textId="77777777" w:rsidR="004B38EB" w:rsidRPr="00DD2265" w:rsidRDefault="004B38EB" w:rsidP="00656770">
            <w:pPr>
              <w:spacing w:after="0" w:line="240" w:lineRule="auto"/>
              <w:rPr>
                <w:rFonts w:ascii="Times New Roman" w:hAnsi="Times New Roman"/>
                <w:sz w:val="24"/>
                <w:vertAlign w:val="superscript"/>
              </w:rPr>
            </w:pPr>
            <w:r w:rsidRPr="00DD2265">
              <w:rPr>
                <w:rFonts w:ascii="Times New Roman" w:hAnsi="Times New Roman"/>
                <w:sz w:val="24"/>
              </w:rPr>
              <w:t>2005/40/EK</w:t>
            </w:r>
            <w:r w:rsidRPr="00DD2265">
              <w:rPr>
                <w:rFonts w:ascii="Times New Roman" w:hAnsi="Times New Roman"/>
                <w:sz w:val="24"/>
                <w:vertAlign w:val="superscript"/>
              </w:rPr>
              <w:t>32</w:t>
            </w:r>
          </w:p>
        </w:tc>
        <w:tc>
          <w:tcPr>
            <w:tcW w:w="4500" w:type="dxa"/>
            <w:vMerge w:val="restart"/>
          </w:tcPr>
          <w:p w14:paraId="7566CA57"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 xml:space="preserve">Eiropas Parlamenta un Padomes 2005.gada 7.septembra Direktīva 2005/40/EK, ar ko groza Padomes Direktīvu 77/541/EEK par dalībvalstu tiesību aktu tuvināšanu attiecībā uz mehānisko transportlīdzekļu drošības jostām un </w:t>
            </w:r>
            <w:proofErr w:type="spellStart"/>
            <w:r w:rsidRPr="00DD2265">
              <w:rPr>
                <w:rFonts w:ascii="Times New Roman" w:hAnsi="Times New Roman"/>
                <w:sz w:val="24"/>
              </w:rPr>
              <w:t>ierobežotājsistēmām</w:t>
            </w:r>
            <w:proofErr w:type="spellEnd"/>
            <w:r w:rsidRPr="00DD2265">
              <w:rPr>
                <w:rFonts w:ascii="Times New Roman" w:hAnsi="Times New Roman"/>
                <w:sz w:val="24"/>
              </w:rPr>
              <w:t xml:space="preserve"> (Dokuments attiecas uz EEZ) (</w:t>
            </w:r>
            <w:r w:rsidRPr="00DD2265">
              <w:rPr>
                <w:rFonts w:ascii="Times New Roman" w:hAnsi="Times New Roman"/>
                <w:noProof/>
                <w:sz w:val="24"/>
              </w:rPr>
              <w:t>Eiropas Savienības Oficiālais Vēstnesis, 30.09.2005., L 255, 146.–148.lpp.)</w:t>
            </w:r>
          </w:p>
        </w:tc>
        <w:tc>
          <w:tcPr>
            <w:tcW w:w="1100" w:type="dxa"/>
            <w:vMerge/>
          </w:tcPr>
          <w:p w14:paraId="036D5329"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047C35AC" w14:textId="77777777" w:rsidTr="00656770">
        <w:trPr>
          <w:cantSplit/>
          <w:trHeight w:val="390"/>
        </w:trPr>
        <w:tc>
          <w:tcPr>
            <w:tcW w:w="539" w:type="dxa"/>
            <w:vMerge/>
          </w:tcPr>
          <w:p w14:paraId="114EAF1E"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tcPr>
          <w:p w14:paraId="12A0CFB8" w14:textId="77777777" w:rsidR="004B38EB" w:rsidRPr="00DD2265" w:rsidRDefault="004B38E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 xml:space="preserve">Bērna </w:t>
            </w:r>
            <w:proofErr w:type="spellStart"/>
            <w:r w:rsidRPr="00DD2265">
              <w:rPr>
                <w:rFonts w:ascii="Times New Roman" w:hAnsi="Times New Roman"/>
                <w:sz w:val="24"/>
              </w:rPr>
              <w:t>aizsargsistēmas</w:t>
            </w:r>
            <w:proofErr w:type="spellEnd"/>
          </w:p>
          <w:p w14:paraId="3E4D73B3" w14:textId="77777777" w:rsidR="004B38EB" w:rsidRPr="00DD2265" w:rsidRDefault="004B38EB" w:rsidP="00656770">
            <w:pPr>
              <w:spacing w:after="0" w:line="240" w:lineRule="auto"/>
              <w:rPr>
                <w:rFonts w:ascii="Times New Roman" w:hAnsi="Times New Roman"/>
                <w:sz w:val="24"/>
              </w:rPr>
            </w:pPr>
          </w:p>
        </w:tc>
        <w:tc>
          <w:tcPr>
            <w:tcW w:w="1422" w:type="dxa"/>
            <w:vMerge/>
          </w:tcPr>
          <w:p w14:paraId="3C5C7A29" w14:textId="77777777" w:rsidR="004B38EB" w:rsidRPr="00DD2265" w:rsidRDefault="004B38EB" w:rsidP="00656770">
            <w:pPr>
              <w:spacing w:after="0" w:line="240" w:lineRule="auto"/>
              <w:rPr>
                <w:rFonts w:ascii="Times New Roman" w:hAnsi="Times New Roman"/>
                <w:sz w:val="24"/>
              </w:rPr>
            </w:pPr>
          </w:p>
        </w:tc>
        <w:tc>
          <w:tcPr>
            <w:tcW w:w="3798" w:type="dxa"/>
          </w:tcPr>
          <w:p w14:paraId="42C75275"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73B32AFE" w14:textId="77777777" w:rsidR="004B38EB" w:rsidRPr="00DD2265" w:rsidRDefault="004B38EB" w:rsidP="00656770">
            <w:pPr>
              <w:spacing w:after="0" w:line="240" w:lineRule="auto"/>
              <w:rPr>
                <w:rFonts w:ascii="Times New Roman" w:hAnsi="Times New Roman"/>
                <w:sz w:val="24"/>
              </w:rPr>
            </w:pPr>
          </w:p>
        </w:tc>
        <w:tc>
          <w:tcPr>
            <w:tcW w:w="4500" w:type="dxa"/>
            <w:vMerge/>
          </w:tcPr>
          <w:p w14:paraId="3B853FF8" w14:textId="77777777" w:rsidR="004B38EB" w:rsidRPr="00DD2265" w:rsidRDefault="004B38EB" w:rsidP="00656770">
            <w:pPr>
              <w:spacing w:after="0" w:line="240" w:lineRule="auto"/>
              <w:rPr>
                <w:rFonts w:ascii="Times New Roman" w:hAnsi="Times New Roman"/>
                <w:sz w:val="24"/>
              </w:rPr>
            </w:pPr>
          </w:p>
        </w:tc>
        <w:tc>
          <w:tcPr>
            <w:tcW w:w="1100" w:type="dxa"/>
          </w:tcPr>
          <w:p w14:paraId="01F3E3F1"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44.04</w:t>
            </w:r>
          </w:p>
        </w:tc>
      </w:tr>
    </w:tbl>
    <w:p w14:paraId="2C23C5E7" w14:textId="77777777" w:rsidR="00813B1F" w:rsidRPr="00DD2265" w:rsidRDefault="00813B1F" w:rsidP="00813B1F">
      <w:pPr>
        <w:spacing w:after="0" w:line="240" w:lineRule="auto"/>
        <w:jc w:val="both"/>
        <w:rPr>
          <w:rFonts w:ascii="Times New Roman" w:hAnsi="Times New Roman"/>
          <w:sz w:val="28"/>
          <w:szCs w:val="28"/>
        </w:rPr>
      </w:pPr>
    </w:p>
    <w:p w14:paraId="736C0526" w14:textId="77777777" w:rsidR="004B38EB" w:rsidRPr="00DD2265" w:rsidRDefault="004B38EB">
      <w:pPr>
        <w:spacing w:after="0" w:line="240" w:lineRule="auto"/>
        <w:rPr>
          <w:rFonts w:ascii="Times New Roman" w:hAnsi="Times New Roman"/>
          <w:sz w:val="28"/>
          <w:szCs w:val="28"/>
        </w:rPr>
      </w:pPr>
      <w:r w:rsidRPr="00DD2265">
        <w:rPr>
          <w:rFonts w:ascii="Times New Roman" w:hAnsi="Times New Roman"/>
          <w:sz w:val="28"/>
          <w:szCs w:val="28"/>
        </w:rPr>
        <w:br w:type="page"/>
      </w:r>
    </w:p>
    <w:p w14:paraId="120E7662" w14:textId="77777777"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w:t>
      </w:r>
      <w:r w:rsidR="00604D2A" w:rsidRPr="00DD2265">
        <w:rPr>
          <w:rFonts w:ascii="Times New Roman" w:hAnsi="Times New Roman"/>
          <w:sz w:val="28"/>
          <w:szCs w:val="28"/>
        </w:rPr>
        <w:t>4</w:t>
      </w:r>
      <w:r w:rsidRPr="00DD2265">
        <w:rPr>
          <w:rFonts w:ascii="Times New Roman" w:hAnsi="Times New Roman"/>
          <w:sz w:val="28"/>
          <w:szCs w:val="28"/>
        </w:rPr>
        <w:t xml:space="preserve">1.a punktu </w:t>
      </w:r>
      <w:r w:rsidR="00604D2A" w:rsidRPr="00DD2265">
        <w:rPr>
          <w:rFonts w:ascii="Times New Roman" w:hAnsi="Times New Roman"/>
          <w:sz w:val="28"/>
          <w:szCs w:val="28"/>
        </w:rPr>
        <w:t xml:space="preserve"> un papildināt ar 41.b punktu </w:t>
      </w:r>
      <w:r w:rsidRPr="00DD2265">
        <w:rPr>
          <w:rFonts w:ascii="Times New Roman" w:hAnsi="Times New Roman"/>
          <w:sz w:val="28"/>
          <w:szCs w:val="28"/>
        </w:rPr>
        <w:t>šādā redakcijā:</w:t>
      </w:r>
    </w:p>
    <w:p w14:paraId="4FE05B4D" w14:textId="77777777" w:rsidR="004B38EB" w:rsidRPr="00DD2265" w:rsidRDefault="004B38EB" w:rsidP="004B38E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514AB" w:rsidRPr="00DD2265" w14:paraId="455750A5" w14:textId="77777777" w:rsidTr="00656770">
        <w:trPr>
          <w:cantSplit/>
        </w:trPr>
        <w:tc>
          <w:tcPr>
            <w:tcW w:w="539" w:type="dxa"/>
            <w:vMerge w:val="restart"/>
          </w:tcPr>
          <w:p w14:paraId="6D1B80AC" w14:textId="77777777" w:rsidR="008514AB" w:rsidRPr="00DD2265" w:rsidRDefault="008514AB" w:rsidP="00656770">
            <w:pPr>
              <w:spacing w:after="0" w:line="240" w:lineRule="auto"/>
              <w:ind w:left="-108" w:right="-108"/>
              <w:jc w:val="center"/>
              <w:rPr>
                <w:rFonts w:ascii="Times New Roman" w:hAnsi="Times New Roman"/>
                <w:sz w:val="24"/>
              </w:rPr>
            </w:pPr>
            <w:r w:rsidRPr="00DD2265">
              <w:rPr>
                <w:rFonts w:ascii="Times New Roman" w:hAnsi="Times New Roman"/>
                <w:sz w:val="24"/>
              </w:rPr>
              <w:t>41.a</w:t>
            </w:r>
          </w:p>
        </w:tc>
        <w:tc>
          <w:tcPr>
            <w:tcW w:w="2100" w:type="dxa"/>
            <w:vMerge w:val="restart"/>
          </w:tcPr>
          <w:p w14:paraId="53242F4F" w14:textId="77777777" w:rsidR="008514AB" w:rsidRPr="00DD2265" w:rsidRDefault="008514AB" w:rsidP="00656770">
            <w:pPr>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sz w:val="24"/>
              </w:rPr>
              <w:t>Euro</w:t>
            </w:r>
            <w:proofErr w:type="spellEnd"/>
            <w:r w:rsidRPr="00DD2265">
              <w:rPr>
                <w:rFonts w:ascii="Times New Roman" w:hAnsi="Times New Roman"/>
                <w:sz w:val="24"/>
              </w:rPr>
              <w:t xml:space="preserve"> VI) lielas noslodzes transportlīdzekļi / piekļuve informācijai</w:t>
            </w:r>
          </w:p>
        </w:tc>
        <w:tc>
          <w:tcPr>
            <w:tcW w:w="1422" w:type="dxa"/>
            <w:vMerge w:val="restart"/>
          </w:tcPr>
          <w:p w14:paraId="2E37C809"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r w:rsidRPr="00DD2265">
              <w:rPr>
                <w:rFonts w:ascii="Times New Roman" w:hAnsi="Times New Roman"/>
                <w:sz w:val="24"/>
              </w:rPr>
              <w:t>Regula (EK)</w:t>
            </w:r>
          </w:p>
          <w:p w14:paraId="2D01CF0C"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Nr.595/2009</w:t>
            </w:r>
          </w:p>
          <w:p w14:paraId="3970C7AA" w14:textId="77777777" w:rsidR="008514AB" w:rsidRPr="00DD2265" w:rsidRDefault="008514AB" w:rsidP="00656770">
            <w:pPr>
              <w:spacing w:after="0" w:line="240" w:lineRule="auto"/>
              <w:ind w:left="-108" w:right="-125"/>
              <w:rPr>
                <w:rFonts w:ascii="Times New Roman" w:hAnsi="Times New Roman"/>
                <w:sz w:val="24"/>
              </w:rPr>
            </w:pPr>
          </w:p>
          <w:p w14:paraId="36A8A976" w14:textId="77777777" w:rsidR="008514AB" w:rsidRPr="00DD2265" w:rsidRDefault="008514AB" w:rsidP="00656770">
            <w:pPr>
              <w:spacing w:after="0" w:line="240" w:lineRule="auto"/>
              <w:ind w:left="-108" w:right="-125"/>
              <w:rPr>
                <w:rFonts w:ascii="Times New Roman" w:hAnsi="Times New Roman"/>
                <w:sz w:val="24"/>
              </w:rPr>
            </w:pPr>
          </w:p>
          <w:p w14:paraId="7F79F280" w14:textId="77777777" w:rsidR="008514AB" w:rsidRPr="00DD2265" w:rsidRDefault="008514AB" w:rsidP="00656770">
            <w:pPr>
              <w:spacing w:after="0" w:line="240" w:lineRule="auto"/>
              <w:ind w:left="-108" w:right="-125"/>
              <w:rPr>
                <w:rFonts w:ascii="Times New Roman" w:hAnsi="Times New Roman"/>
                <w:sz w:val="24"/>
              </w:rPr>
            </w:pPr>
          </w:p>
          <w:p w14:paraId="04590227" w14:textId="77777777" w:rsidR="008514AB" w:rsidRPr="00DD2265" w:rsidRDefault="008514AB" w:rsidP="00656770">
            <w:pPr>
              <w:spacing w:after="0" w:line="240" w:lineRule="auto"/>
              <w:ind w:left="-108" w:right="-125"/>
              <w:rPr>
                <w:rFonts w:ascii="Times New Roman" w:hAnsi="Times New Roman"/>
                <w:sz w:val="24"/>
              </w:rPr>
            </w:pPr>
          </w:p>
          <w:p w14:paraId="65B44A23" w14:textId="77777777" w:rsidR="008514AB" w:rsidRPr="00DD2265" w:rsidRDefault="008514AB" w:rsidP="00656770">
            <w:pPr>
              <w:spacing w:after="0" w:line="240" w:lineRule="auto"/>
              <w:ind w:left="-108" w:right="-125"/>
              <w:rPr>
                <w:rFonts w:ascii="Times New Roman" w:hAnsi="Times New Roman"/>
                <w:sz w:val="24"/>
              </w:rPr>
            </w:pPr>
          </w:p>
          <w:p w14:paraId="508D14DA" w14:textId="77777777" w:rsidR="008514AB" w:rsidRPr="00DD2265" w:rsidRDefault="008514AB" w:rsidP="00656770">
            <w:pPr>
              <w:spacing w:after="0" w:line="240" w:lineRule="auto"/>
              <w:ind w:left="-108" w:right="-125"/>
              <w:rPr>
                <w:rFonts w:ascii="Times New Roman" w:hAnsi="Times New Roman"/>
                <w:sz w:val="24"/>
              </w:rPr>
            </w:pPr>
          </w:p>
          <w:p w14:paraId="4F65DDDD" w14:textId="77777777" w:rsidR="008514AB" w:rsidRPr="00DD2265" w:rsidRDefault="008514AB" w:rsidP="00656770">
            <w:pPr>
              <w:spacing w:after="0" w:line="240" w:lineRule="auto"/>
              <w:ind w:left="-108" w:right="-125"/>
              <w:rPr>
                <w:rFonts w:ascii="Times New Roman" w:hAnsi="Times New Roman"/>
                <w:sz w:val="24"/>
              </w:rPr>
            </w:pPr>
          </w:p>
          <w:p w14:paraId="11FD4BFE" w14:textId="77777777" w:rsidR="008514AB" w:rsidRPr="00DD2265" w:rsidRDefault="008514AB" w:rsidP="00656770">
            <w:pPr>
              <w:spacing w:after="0" w:line="240" w:lineRule="auto"/>
              <w:ind w:left="-108" w:right="-125"/>
              <w:rPr>
                <w:rFonts w:ascii="Times New Roman" w:hAnsi="Times New Roman"/>
                <w:sz w:val="24"/>
              </w:rPr>
            </w:pPr>
          </w:p>
          <w:p w14:paraId="3D59078C" w14:textId="77777777" w:rsidR="008514AB" w:rsidRPr="00DD2265" w:rsidRDefault="008514AB" w:rsidP="00656770">
            <w:pPr>
              <w:spacing w:after="0" w:line="240" w:lineRule="auto"/>
              <w:ind w:left="-108" w:right="-125"/>
              <w:rPr>
                <w:rFonts w:ascii="Times New Roman" w:hAnsi="Times New Roman"/>
                <w:sz w:val="24"/>
              </w:rPr>
            </w:pPr>
          </w:p>
          <w:p w14:paraId="1B834926" w14:textId="77777777" w:rsidR="008514AB" w:rsidRPr="00DD2265" w:rsidRDefault="008514AB" w:rsidP="00656770">
            <w:pPr>
              <w:spacing w:after="0" w:line="240" w:lineRule="auto"/>
              <w:ind w:left="-108" w:right="-125"/>
              <w:rPr>
                <w:rFonts w:ascii="Times New Roman" w:hAnsi="Times New Roman"/>
                <w:sz w:val="24"/>
              </w:rPr>
            </w:pPr>
          </w:p>
          <w:p w14:paraId="1699EEA1" w14:textId="77777777" w:rsidR="008514AB" w:rsidRPr="00DD2265" w:rsidRDefault="008514AB" w:rsidP="00656770">
            <w:pPr>
              <w:spacing w:after="0" w:line="240" w:lineRule="auto"/>
              <w:ind w:left="-108" w:right="-125"/>
              <w:rPr>
                <w:rFonts w:ascii="Times New Roman" w:hAnsi="Times New Roman"/>
                <w:sz w:val="24"/>
              </w:rPr>
            </w:pPr>
          </w:p>
          <w:p w14:paraId="2A645654" w14:textId="77777777" w:rsidR="008514AB" w:rsidRPr="00DD2265" w:rsidRDefault="008514AB" w:rsidP="00656770">
            <w:pPr>
              <w:spacing w:after="0" w:line="240" w:lineRule="auto"/>
              <w:ind w:left="-108" w:right="-125"/>
              <w:rPr>
                <w:rFonts w:ascii="Times New Roman" w:hAnsi="Times New Roman"/>
                <w:sz w:val="24"/>
              </w:rPr>
            </w:pPr>
          </w:p>
          <w:p w14:paraId="6650A510" w14:textId="77777777" w:rsidR="008514AB" w:rsidRPr="00DD2265" w:rsidRDefault="008514AB" w:rsidP="00656770">
            <w:pPr>
              <w:spacing w:after="0" w:line="240" w:lineRule="auto"/>
              <w:ind w:left="-108" w:right="-125"/>
              <w:rPr>
                <w:rFonts w:ascii="Times New Roman" w:hAnsi="Times New Roman"/>
                <w:sz w:val="24"/>
              </w:rPr>
            </w:pPr>
          </w:p>
          <w:p w14:paraId="3ED93AC4" w14:textId="77777777" w:rsidR="008514AB" w:rsidRPr="00DD2265" w:rsidRDefault="008514AB" w:rsidP="00656770">
            <w:pPr>
              <w:spacing w:after="0" w:line="240" w:lineRule="auto"/>
              <w:ind w:left="-108" w:right="-125"/>
              <w:rPr>
                <w:rFonts w:ascii="Times New Roman" w:hAnsi="Times New Roman"/>
                <w:sz w:val="24"/>
              </w:rPr>
            </w:pPr>
          </w:p>
          <w:p w14:paraId="2EB056E2" w14:textId="77777777" w:rsidR="008514AB" w:rsidRPr="00DD2265" w:rsidRDefault="008514AB" w:rsidP="00656770">
            <w:pPr>
              <w:spacing w:after="0" w:line="240" w:lineRule="auto"/>
              <w:ind w:left="-108" w:right="-125"/>
              <w:rPr>
                <w:rFonts w:ascii="Times New Roman" w:hAnsi="Times New Roman"/>
                <w:sz w:val="24"/>
              </w:rPr>
            </w:pPr>
          </w:p>
          <w:p w14:paraId="3E01E23C" w14:textId="77777777" w:rsidR="008514AB" w:rsidRPr="00DD2265" w:rsidRDefault="008514AB" w:rsidP="00656770">
            <w:pPr>
              <w:spacing w:after="0" w:line="240" w:lineRule="auto"/>
              <w:ind w:left="-108" w:right="-125"/>
              <w:rPr>
                <w:rFonts w:ascii="Times New Roman" w:hAnsi="Times New Roman"/>
                <w:sz w:val="24"/>
              </w:rPr>
            </w:pPr>
          </w:p>
          <w:p w14:paraId="6950F23C" w14:textId="77777777" w:rsidR="008514AB" w:rsidRPr="00DD2265" w:rsidRDefault="008514AB" w:rsidP="00656770">
            <w:pPr>
              <w:spacing w:after="0" w:line="240" w:lineRule="auto"/>
              <w:ind w:left="-108" w:right="-125"/>
              <w:rPr>
                <w:rFonts w:ascii="Times New Roman" w:hAnsi="Times New Roman"/>
                <w:sz w:val="24"/>
              </w:rPr>
            </w:pPr>
          </w:p>
          <w:p w14:paraId="6169CADA" w14:textId="77777777" w:rsidR="008514AB" w:rsidRPr="00DD2265" w:rsidRDefault="008514AB" w:rsidP="00656770">
            <w:pPr>
              <w:spacing w:after="0" w:line="240" w:lineRule="auto"/>
              <w:ind w:left="-108" w:right="-125"/>
              <w:rPr>
                <w:rFonts w:ascii="Times New Roman" w:hAnsi="Times New Roman"/>
                <w:sz w:val="24"/>
              </w:rPr>
            </w:pPr>
          </w:p>
          <w:p w14:paraId="3297EBFB"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r w:rsidRPr="00DD2265">
              <w:rPr>
                <w:rFonts w:ascii="Times New Roman" w:hAnsi="Times New Roman"/>
                <w:sz w:val="24"/>
              </w:rPr>
              <w:t>Regula (ES)</w:t>
            </w:r>
          </w:p>
          <w:p w14:paraId="0944CD69"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r w:rsidRPr="00DD2265">
              <w:rPr>
                <w:rFonts w:ascii="Times New Roman" w:hAnsi="Times New Roman"/>
                <w:sz w:val="24"/>
              </w:rPr>
              <w:t>Nr.582/2011</w:t>
            </w:r>
          </w:p>
        </w:tc>
        <w:tc>
          <w:tcPr>
            <w:tcW w:w="3798" w:type="dxa"/>
            <w:vMerge w:val="restart"/>
          </w:tcPr>
          <w:p w14:paraId="2F88E4BA"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Eiropas Parlamenta un Padomes 2009.gada 18.jūnija Regula (EK) Nr.595/2009 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31BB7429"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p w14:paraId="7F641265" w14:textId="77777777" w:rsidR="008514AB" w:rsidRPr="00DD2265" w:rsidRDefault="008514AB" w:rsidP="00656770">
            <w:pPr>
              <w:spacing w:after="0" w:line="240" w:lineRule="auto"/>
              <w:rPr>
                <w:rFonts w:ascii="Times New Roman" w:hAnsi="Times New Roman"/>
                <w:noProof/>
                <w:sz w:val="24"/>
              </w:rPr>
            </w:pPr>
          </w:p>
          <w:p w14:paraId="3D22B42A"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 xml:space="preserve">Komisijas 2011.gada 25.maija Regula (ES) Nr.582/2011, ar ko īsteno un groza Eiropas Parlamenta un Padomes Regulu (EK) Nr.595/2009 attiecībā uz lielas </w:t>
            </w:r>
            <w:r w:rsidRPr="00DD2265">
              <w:rPr>
                <w:rFonts w:ascii="Times New Roman" w:hAnsi="Times New Roman"/>
                <w:bCs/>
                <w:sz w:val="24"/>
              </w:rPr>
              <w:lastRenderedPageBreak/>
              <w:t>celtspējas/kravnesības transportlīdzekļu radītām emisijām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VI) un groza Eiropas Parlamenta un Padomes Direktīvas 2007/46/EK I un III pielikumu</w:t>
            </w:r>
          </w:p>
          <w:p w14:paraId="77667251" w14:textId="77777777" w:rsidR="008514AB" w:rsidRPr="00DD2265" w:rsidRDefault="008514AB" w:rsidP="00656770">
            <w:pPr>
              <w:autoSpaceDE w:val="0"/>
              <w:autoSpaceDN w:val="0"/>
              <w:adjustRightInd w:val="0"/>
              <w:spacing w:after="0" w:line="240" w:lineRule="auto"/>
              <w:rPr>
                <w:rFonts w:ascii="Times New Roman" w:hAnsi="Times New Roman"/>
                <w:noProof/>
                <w:sz w:val="24"/>
              </w:rPr>
            </w:pPr>
            <w:r w:rsidRPr="00DD2265">
              <w:rPr>
                <w:rFonts w:ascii="Times New Roman" w:hAnsi="Times New Roman"/>
                <w:bCs/>
                <w:sz w:val="24"/>
              </w:rPr>
              <w:t>(Dokuments attiecas uz EEZ) (Eiropas Savienības Oficiālais Vēstnesis, 25.06.2011., L 167, 1.–168.lpp.)</w:t>
            </w:r>
          </w:p>
        </w:tc>
        <w:tc>
          <w:tcPr>
            <w:tcW w:w="1781" w:type="dxa"/>
          </w:tcPr>
          <w:p w14:paraId="303C7D12"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lastRenderedPageBreak/>
              <w:t>Regula (EK)</w:t>
            </w:r>
          </w:p>
          <w:p w14:paraId="1B96E7E5" w14:textId="77777777" w:rsidR="008514AB" w:rsidRPr="00DD2265" w:rsidRDefault="008514AB" w:rsidP="00656770">
            <w:pPr>
              <w:spacing w:after="0" w:line="240" w:lineRule="auto"/>
              <w:rPr>
                <w:rFonts w:ascii="Times New Roman" w:hAnsi="Times New Roman"/>
                <w:bCs/>
                <w:sz w:val="24"/>
              </w:rPr>
            </w:pPr>
            <w:r w:rsidRPr="00DD2265">
              <w:rPr>
                <w:rFonts w:ascii="Times New Roman" w:hAnsi="Times New Roman"/>
                <w:sz w:val="24"/>
              </w:rPr>
              <w:t>Nr.595/2009</w:t>
            </w:r>
            <w:r w:rsidRPr="00DD2265">
              <w:rPr>
                <w:rFonts w:ascii="Times New Roman" w:hAnsi="Times New Roman"/>
                <w:sz w:val="24"/>
                <w:vertAlign w:val="superscript"/>
              </w:rPr>
              <w:t>6B</w:t>
            </w:r>
          </w:p>
        </w:tc>
        <w:tc>
          <w:tcPr>
            <w:tcW w:w="4500" w:type="dxa"/>
          </w:tcPr>
          <w:p w14:paraId="074AF331"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Eiropas Parlamenta un Padomes 2009.gada 18.jūnija Regula (EK) Nr.595/2009 </w:t>
            </w:r>
          </w:p>
          <w:p w14:paraId="61605EB7"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491E69FF"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tc>
        <w:tc>
          <w:tcPr>
            <w:tcW w:w="1100" w:type="dxa"/>
            <w:vMerge w:val="restart"/>
          </w:tcPr>
          <w:p w14:paraId="2ED53B79" w14:textId="77777777" w:rsidR="008514AB" w:rsidRPr="00DD2265" w:rsidRDefault="008514AB" w:rsidP="00656770">
            <w:pPr>
              <w:spacing w:after="0" w:line="240" w:lineRule="auto"/>
              <w:ind w:left="-113" w:right="-57"/>
              <w:jc w:val="center"/>
              <w:rPr>
                <w:rFonts w:ascii="Times New Roman" w:hAnsi="Times New Roman"/>
                <w:bCs/>
                <w:sz w:val="24"/>
              </w:rPr>
            </w:pPr>
            <w:r w:rsidRPr="00DD2265">
              <w:rPr>
                <w:rFonts w:ascii="Times New Roman" w:hAnsi="Times New Roman"/>
                <w:sz w:val="24"/>
              </w:rPr>
              <w:t>49.06</w:t>
            </w:r>
            <w:r w:rsidRPr="00DD2265">
              <w:rPr>
                <w:rFonts w:ascii="Times New Roman" w:hAnsi="Times New Roman"/>
                <w:sz w:val="24"/>
                <w:vertAlign w:val="superscript"/>
              </w:rPr>
              <w:t>6B</w:t>
            </w:r>
          </w:p>
        </w:tc>
      </w:tr>
      <w:tr w:rsidR="008514AB" w:rsidRPr="00DD2265" w14:paraId="13FD655E" w14:textId="77777777" w:rsidTr="00656770">
        <w:trPr>
          <w:cantSplit/>
          <w:trHeight w:val="1890"/>
        </w:trPr>
        <w:tc>
          <w:tcPr>
            <w:tcW w:w="539" w:type="dxa"/>
            <w:vMerge/>
          </w:tcPr>
          <w:p w14:paraId="41BDB2EB"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2585A735" w14:textId="77777777" w:rsidR="008514AB" w:rsidRPr="00DD2265" w:rsidRDefault="008514AB" w:rsidP="00656770">
            <w:pPr>
              <w:spacing w:after="0" w:line="240" w:lineRule="auto"/>
              <w:rPr>
                <w:rFonts w:ascii="Times New Roman" w:hAnsi="Times New Roman"/>
                <w:sz w:val="24"/>
              </w:rPr>
            </w:pPr>
          </w:p>
        </w:tc>
        <w:tc>
          <w:tcPr>
            <w:tcW w:w="1422" w:type="dxa"/>
            <w:vMerge/>
          </w:tcPr>
          <w:p w14:paraId="136C5AD2"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vAlign w:val="center"/>
          </w:tcPr>
          <w:p w14:paraId="3EE4F777"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70F66D8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38D4404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Nr.582/2011</w:t>
            </w:r>
          </w:p>
        </w:tc>
        <w:tc>
          <w:tcPr>
            <w:tcW w:w="4500" w:type="dxa"/>
          </w:tcPr>
          <w:p w14:paraId="41B225FA"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2011.gada 25.maija Regula (ES) Nr.582/2011, ar ko īsteno un groza Eiropas Parlamenta un Padomes Regulu (EK) Nr.595/2009 attiecībā uz lielas celtspējas/kravnesības transportlīdzekļu radītām emisijām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VI</w:t>
            </w:r>
            <w:r w:rsidRPr="00DD2265">
              <w:rPr>
                <w:rFonts w:ascii="Times New Roman" w:hAnsi="Times New Roman"/>
                <w:bCs/>
                <w:sz w:val="24"/>
              </w:rPr>
              <w:t>) un groza Eiropas Parlamenta un Padomes Direktīvas2007/46/EK I un III pielikumu</w:t>
            </w:r>
          </w:p>
          <w:p w14:paraId="6A67C747"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(Dokuments attiecas uz EEZ) (Eiropas Savienības Oficiālais Vēstnesis, 25.06.2011., L 167, 1.–168.lpp.)</w:t>
            </w:r>
          </w:p>
        </w:tc>
        <w:tc>
          <w:tcPr>
            <w:tcW w:w="1100" w:type="dxa"/>
            <w:vMerge/>
          </w:tcPr>
          <w:p w14:paraId="2A54D85E"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4053DF08" w14:textId="77777777" w:rsidTr="00656770">
        <w:trPr>
          <w:cantSplit/>
          <w:trHeight w:val="1890"/>
        </w:trPr>
        <w:tc>
          <w:tcPr>
            <w:tcW w:w="539" w:type="dxa"/>
            <w:vMerge/>
          </w:tcPr>
          <w:p w14:paraId="7B268B1B"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10B38159" w14:textId="77777777" w:rsidR="008514AB" w:rsidRPr="00DD2265" w:rsidRDefault="008514AB" w:rsidP="00656770">
            <w:pPr>
              <w:spacing w:after="0" w:line="240" w:lineRule="auto"/>
              <w:rPr>
                <w:rFonts w:ascii="Times New Roman" w:hAnsi="Times New Roman"/>
                <w:sz w:val="24"/>
              </w:rPr>
            </w:pPr>
          </w:p>
        </w:tc>
        <w:tc>
          <w:tcPr>
            <w:tcW w:w="1422" w:type="dxa"/>
            <w:vMerge/>
          </w:tcPr>
          <w:p w14:paraId="5175F498"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vAlign w:val="center"/>
          </w:tcPr>
          <w:p w14:paraId="35354D13"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8DAB448"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59431AF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Nr.64/2012</w:t>
            </w:r>
          </w:p>
        </w:tc>
        <w:tc>
          <w:tcPr>
            <w:tcW w:w="4500" w:type="dxa"/>
          </w:tcPr>
          <w:p w14:paraId="7E6DD296"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 xml:space="preserve"> Komisijas 2012.gada 23.janvāra Regula (ES) Nr.64/2012, ar kuru groza Komisijas Regulu (ES) Nr.582/2011, ar ko īsteno un groza Eiropas Parlamenta un Padomes Regulu (EK) Nr.595/2009 attiecībā uz lielas celtspējas/kravnesības transportlīdzekļu radītām emisijām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VI</w:t>
            </w:r>
            <w:r w:rsidRPr="00DD2265">
              <w:rPr>
                <w:rFonts w:ascii="Times New Roman" w:hAnsi="Times New Roman"/>
                <w:bCs/>
                <w:sz w:val="24"/>
              </w:rPr>
              <w:t>) (Dokuments attiecas uz EEZ)</w:t>
            </w:r>
            <w:r w:rsidRPr="00DD2265">
              <w:rPr>
                <w:rFonts w:ascii="Times New Roman" w:hAnsi="Times New Roman"/>
              </w:rPr>
              <w:t xml:space="preserve"> </w:t>
            </w:r>
            <w:r w:rsidRPr="00DD2265">
              <w:rPr>
                <w:rFonts w:ascii="Times New Roman" w:hAnsi="Times New Roman"/>
                <w:bCs/>
                <w:sz w:val="24"/>
              </w:rPr>
              <w:t>(Eiropas Savienības Oficiālais Vēstnesis, 31.01.2012., L 28, 1.–23.lpp.)</w:t>
            </w:r>
          </w:p>
        </w:tc>
        <w:tc>
          <w:tcPr>
            <w:tcW w:w="1100" w:type="dxa"/>
            <w:vMerge/>
          </w:tcPr>
          <w:p w14:paraId="5634BD6D"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6F00DDF" w14:textId="77777777" w:rsidTr="00656770">
        <w:trPr>
          <w:cantSplit/>
          <w:trHeight w:val="1890"/>
        </w:trPr>
        <w:tc>
          <w:tcPr>
            <w:tcW w:w="539" w:type="dxa"/>
            <w:vMerge/>
          </w:tcPr>
          <w:p w14:paraId="6CA006FA"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52389330" w14:textId="77777777" w:rsidR="008514AB" w:rsidRPr="00DD2265" w:rsidRDefault="008514AB" w:rsidP="00656770">
            <w:pPr>
              <w:spacing w:after="0" w:line="240" w:lineRule="auto"/>
              <w:rPr>
                <w:rFonts w:ascii="Times New Roman" w:hAnsi="Times New Roman"/>
                <w:sz w:val="24"/>
              </w:rPr>
            </w:pPr>
          </w:p>
        </w:tc>
        <w:tc>
          <w:tcPr>
            <w:tcW w:w="1422" w:type="dxa"/>
            <w:vMerge/>
          </w:tcPr>
          <w:p w14:paraId="5F7387B4"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tcPr>
          <w:p w14:paraId="6E29FA7A"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B7AFE59"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Nr.133/2014</w:t>
            </w:r>
          </w:p>
        </w:tc>
        <w:tc>
          <w:tcPr>
            <w:tcW w:w="4500" w:type="dxa"/>
          </w:tcPr>
          <w:p w14:paraId="187C890E"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2014. gada 31. janvāra Regula (ES) Nr. 133/2014, ar ko groza Eiropas Parlamenta un Padomes Direktīvu 2007/46/EK, Eiropas Parlamenta un Padomes Regulu (EK) Nr. 595/2009 un Komisijas Regulu (ES) Nr. 582/2011, lai tās pielāgotu tehnikas attīstībai attiecībā uz emisiju robežvērtībām (Dokuments attiecas uz EEZ) (Eiropas Savienības Oficiālais Vēstnesis, 18.02.2014., L 47, 1.–57. lpp.)</w:t>
            </w:r>
          </w:p>
        </w:tc>
        <w:tc>
          <w:tcPr>
            <w:tcW w:w="1100" w:type="dxa"/>
            <w:vMerge/>
          </w:tcPr>
          <w:p w14:paraId="7CA2A710"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B96D15C" w14:textId="77777777" w:rsidTr="00656770">
        <w:trPr>
          <w:cantSplit/>
          <w:trHeight w:val="1890"/>
        </w:trPr>
        <w:tc>
          <w:tcPr>
            <w:tcW w:w="539" w:type="dxa"/>
            <w:vMerge/>
          </w:tcPr>
          <w:p w14:paraId="4250DDA2"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33535D7A" w14:textId="77777777" w:rsidR="008514AB" w:rsidRPr="00DD2265" w:rsidRDefault="008514AB" w:rsidP="00656770">
            <w:pPr>
              <w:spacing w:after="0" w:line="240" w:lineRule="auto"/>
              <w:rPr>
                <w:rFonts w:ascii="Times New Roman" w:hAnsi="Times New Roman"/>
                <w:sz w:val="24"/>
              </w:rPr>
            </w:pPr>
          </w:p>
        </w:tc>
        <w:tc>
          <w:tcPr>
            <w:tcW w:w="1422" w:type="dxa"/>
            <w:vMerge/>
          </w:tcPr>
          <w:p w14:paraId="2035F20E"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5093C9AB"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0AC8301"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Nr.136/2014</w:t>
            </w:r>
          </w:p>
        </w:tc>
        <w:tc>
          <w:tcPr>
            <w:tcW w:w="4500" w:type="dxa"/>
          </w:tcPr>
          <w:p w14:paraId="052AAE0F"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5 un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6) un Komisijas Regulu (ES) Nr. 582/2011 attiecībā uz lielas celtspējas/kravnesības transport-līdzekļu radītām emisijām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VI) (Dokuments attiecas uz EEZ) (Eiropas Savienības Oficiālais Vēstnesis, 13.02.2014., L 43, 12.–46. lpp.)</w:t>
            </w:r>
          </w:p>
        </w:tc>
        <w:tc>
          <w:tcPr>
            <w:tcW w:w="1100" w:type="dxa"/>
            <w:vMerge/>
          </w:tcPr>
          <w:p w14:paraId="5164301E"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FAEB60B" w14:textId="77777777" w:rsidTr="00656770">
        <w:trPr>
          <w:cantSplit/>
          <w:trHeight w:val="1384"/>
        </w:trPr>
        <w:tc>
          <w:tcPr>
            <w:tcW w:w="539" w:type="dxa"/>
            <w:vMerge/>
          </w:tcPr>
          <w:p w14:paraId="33EA5D76"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411043B2" w14:textId="77777777" w:rsidR="008514AB" w:rsidRPr="00DD2265" w:rsidRDefault="008514AB" w:rsidP="00656770">
            <w:pPr>
              <w:spacing w:after="0" w:line="240" w:lineRule="auto"/>
              <w:rPr>
                <w:rFonts w:ascii="Times New Roman" w:hAnsi="Times New Roman"/>
                <w:sz w:val="24"/>
              </w:rPr>
            </w:pPr>
          </w:p>
        </w:tc>
        <w:tc>
          <w:tcPr>
            <w:tcW w:w="1422" w:type="dxa"/>
            <w:vMerge/>
          </w:tcPr>
          <w:p w14:paraId="2801D69D"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6992FB6E"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46C4A638"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Nr.627/2014</w:t>
            </w:r>
          </w:p>
        </w:tc>
        <w:tc>
          <w:tcPr>
            <w:tcW w:w="4500" w:type="dxa"/>
          </w:tcPr>
          <w:p w14:paraId="01298478"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(ES) 2014. gada 12. jūnija Regula Nr. 627/2014, ar ko groza Regulu (ES) Nr. 582/2011, lai to pielāgotu tehnikas attīstībai attiecībā uz cieto daļiņu pārraudzību, ko veic iebūvētās diagnostikas sistēma (Dokuments attiecas uz EEZ) (Eiropas Savienības Oficiālais Vēstnesis, 13.06.2014., L 174, 28.–30. lpp.)</w:t>
            </w:r>
          </w:p>
        </w:tc>
        <w:tc>
          <w:tcPr>
            <w:tcW w:w="1100" w:type="dxa"/>
            <w:vMerge/>
          </w:tcPr>
          <w:p w14:paraId="30CBA611"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73B385AB" w14:textId="77777777" w:rsidTr="00656770">
        <w:trPr>
          <w:cantSplit/>
          <w:trHeight w:val="1383"/>
        </w:trPr>
        <w:tc>
          <w:tcPr>
            <w:tcW w:w="539" w:type="dxa"/>
            <w:vMerge/>
          </w:tcPr>
          <w:p w14:paraId="3C8A7723"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27093F36" w14:textId="77777777" w:rsidR="008514AB" w:rsidRPr="00DD2265" w:rsidRDefault="008514AB" w:rsidP="00656770">
            <w:pPr>
              <w:spacing w:after="0" w:line="240" w:lineRule="auto"/>
              <w:rPr>
                <w:rFonts w:ascii="Times New Roman" w:hAnsi="Times New Roman"/>
                <w:sz w:val="24"/>
              </w:rPr>
            </w:pPr>
          </w:p>
        </w:tc>
        <w:tc>
          <w:tcPr>
            <w:tcW w:w="1422" w:type="dxa"/>
            <w:vMerge/>
          </w:tcPr>
          <w:p w14:paraId="28CAD356"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081A401F"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721A8960"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Nr.2016/1718</w:t>
            </w:r>
          </w:p>
        </w:tc>
        <w:tc>
          <w:tcPr>
            <w:tcW w:w="4500" w:type="dxa"/>
          </w:tcPr>
          <w:p w14:paraId="7F1516D7"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2016. gada 20. septembra Regula (ES) 2016/1718, ar ko Regulu (ES) Nr. 582/2011 saistībā ar lieljaudas transportlīdzekļu radītām emisijām groza attiecībā uz noteikumiem par testēšanu, izmantojot pārnēsājamas emisijas mērīšanas sistēmas (PEMS), un piesārņojuma kontroles rezerves iekārtu ilgizturības testēšanas procedūru (Dokuments attiecas uz EEZ)</w:t>
            </w:r>
            <w:r w:rsidRPr="00DD2265">
              <w:t xml:space="preserve"> </w:t>
            </w:r>
            <w:r w:rsidRPr="00DD2265">
              <w:rPr>
                <w:rFonts w:ascii="Times New Roman" w:hAnsi="Times New Roman"/>
                <w:bCs/>
                <w:sz w:val="24"/>
              </w:rPr>
              <w:t>(Eiropas Savienības Oficiālais Vēstnesis, 27.09.2016., L 259, 1.–41. lpp.)</w:t>
            </w:r>
          </w:p>
        </w:tc>
        <w:tc>
          <w:tcPr>
            <w:tcW w:w="1100" w:type="dxa"/>
            <w:vMerge/>
          </w:tcPr>
          <w:p w14:paraId="671A36C1"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571B713E" w14:textId="77777777" w:rsidTr="00656770">
        <w:trPr>
          <w:cantSplit/>
          <w:trHeight w:val="3106"/>
        </w:trPr>
        <w:tc>
          <w:tcPr>
            <w:tcW w:w="539" w:type="dxa"/>
            <w:vMerge w:val="restart"/>
          </w:tcPr>
          <w:p w14:paraId="491BDF1E" w14:textId="77777777" w:rsidR="008514AB" w:rsidRPr="00DD2265" w:rsidRDefault="008514AB" w:rsidP="00656770">
            <w:pPr>
              <w:spacing w:after="0" w:line="240" w:lineRule="auto"/>
              <w:ind w:left="-108" w:right="-108"/>
              <w:jc w:val="center"/>
              <w:rPr>
                <w:rFonts w:ascii="Times New Roman" w:hAnsi="Times New Roman"/>
                <w:sz w:val="24"/>
              </w:rPr>
            </w:pPr>
            <w:r w:rsidRPr="00DD2265">
              <w:rPr>
                <w:rFonts w:ascii="Times New Roman" w:hAnsi="Times New Roman"/>
                <w:sz w:val="24"/>
              </w:rPr>
              <w:lastRenderedPageBreak/>
              <w:t>41.b</w:t>
            </w:r>
          </w:p>
        </w:tc>
        <w:tc>
          <w:tcPr>
            <w:tcW w:w="2100" w:type="dxa"/>
            <w:vMerge w:val="restart"/>
          </w:tcPr>
          <w:p w14:paraId="4D4B4E40" w14:textId="77777777" w:rsidR="008514AB" w:rsidRPr="00DD2265" w:rsidRDefault="008514AB" w:rsidP="00656770">
            <w:pPr>
              <w:spacing w:after="0" w:line="240" w:lineRule="auto"/>
              <w:rPr>
                <w:rFonts w:ascii="Times New Roman" w:hAnsi="Times New Roman"/>
                <w:sz w:val="24"/>
              </w:rPr>
            </w:pPr>
            <w:r w:rsidRPr="00DD2265">
              <w:rPr>
                <w:rFonts w:ascii="Times New Roman" w:hAnsi="Times New Roman"/>
                <w:sz w:val="24"/>
              </w:rPr>
              <w:t>CO2 simulācijas rīka licence (lielas noslodzes transportlīdzekļi)</w:t>
            </w:r>
          </w:p>
        </w:tc>
        <w:tc>
          <w:tcPr>
            <w:tcW w:w="1422" w:type="dxa"/>
            <w:vMerge w:val="restart"/>
          </w:tcPr>
          <w:p w14:paraId="5D05CA9C"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 xml:space="preserve">Regula (EK) Nr. 595/2009 </w:t>
            </w:r>
          </w:p>
          <w:p w14:paraId="423AA8F3" w14:textId="77777777" w:rsidR="008514AB" w:rsidRPr="00DD2265" w:rsidRDefault="008514AB" w:rsidP="00656770">
            <w:pPr>
              <w:spacing w:after="0" w:line="240" w:lineRule="auto"/>
              <w:ind w:left="-108" w:right="-125"/>
              <w:rPr>
                <w:rFonts w:ascii="Times New Roman" w:hAnsi="Times New Roman"/>
                <w:sz w:val="24"/>
              </w:rPr>
            </w:pPr>
          </w:p>
          <w:p w14:paraId="5F7049CB" w14:textId="77777777" w:rsidR="008514AB" w:rsidRPr="00DD2265" w:rsidRDefault="008514AB" w:rsidP="00656770">
            <w:pPr>
              <w:spacing w:after="0" w:line="240" w:lineRule="auto"/>
              <w:ind w:left="-108" w:right="-125"/>
              <w:rPr>
                <w:rFonts w:ascii="Times New Roman" w:hAnsi="Times New Roman"/>
                <w:sz w:val="24"/>
              </w:rPr>
            </w:pPr>
          </w:p>
          <w:p w14:paraId="71CBD094" w14:textId="77777777" w:rsidR="008514AB" w:rsidRPr="00DD2265" w:rsidRDefault="008514AB" w:rsidP="00656770">
            <w:pPr>
              <w:spacing w:after="0" w:line="240" w:lineRule="auto"/>
              <w:ind w:left="-108" w:right="-125"/>
              <w:rPr>
                <w:rFonts w:ascii="Times New Roman" w:hAnsi="Times New Roman"/>
                <w:sz w:val="24"/>
              </w:rPr>
            </w:pPr>
          </w:p>
          <w:p w14:paraId="330DA3D2" w14:textId="77777777" w:rsidR="008514AB" w:rsidRPr="00DD2265" w:rsidRDefault="008514AB" w:rsidP="00656770">
            <w:pPr>
              <w:spacing w:after="0" w:line="240" w:lineRule="auto"/>
              <w:ind w:left="-108" w:right="-125"/>
              <w:rPr>
                <w:rFonts w:ascii="Times New Roman" w:hAnsi="Times New Roman"/>
                <w:sz w:val="24"/>
              </w:rPr>
            </w:pPr>
          </w:p>
          <w:p w14:paraId="2D52720D" w14:textId="77777777" w:rsidR="008514AB" w:rsidRPr="00DD2265" w:rsidRDefault="008514AB" w:rsidP="00656770">
            <w:pPr>
              <w:spacing w:after="0" w:line="240" w:lineRule="auto"/>
              <w:ind w:left="-108" w:right="-125"/>
              <w:rPr>
                <w:rFonts w:ascii="Times New Roman" w:hAnsi="Times New Roman"/>
                <w:sz w:val="24"/>
              </w:rPr>
            </w:pPr>
          </w:p>
          <w:p w14:paraId="4EEE307E" w14:textId="77777777" w:rsidR="008514AB" w:rsidRPr="00DD2265" w:rsidRDefault="008514AB" w:rsidP="00656770">
            <w:pPr>
              <w:spacing w:after="0" w:line="240" w:lineRule="auto"/>
              <w:ind w:left="-108" w:right="-125"/>
              <w:rPr>
                <w:rFonts w:ascii="Times New Roman" w:hAnsi="Times New Roman"/>
                <w:sz w:val="24"/>
              </w:rPr>
            </w:pPr>
          </w:p>
          <w:p w14:paraId="22C72E76" w14:textId="77777777" w:rsidR="008514AB" w:rsidRPr="00DD2265" w:rsidRDefault="008514AB" w:rsidP="00656770">
            <w:pPr>
              <w:spacing w:after="0" w:line="240" w:lineRule="auto"/>
              <w:ind w:left="-108" w:right="-125"/>
              <w:rPr>
                <w:rFonts w:ascii="Times New Roman" w:hAnsi="Times New Roman"/>
                <w:sz w:val="24"/>
              </w:rPr>
            </w:pPr>
          </w:p>
          <w:p w14:paraId="4E4E32CB" w14:textId="77777777" w:rsidR="008514AB" w:rsidRPr="00DD2265" w:rsidRDefault="008514AB" w:rsidP="00656770">
            <w:pPr>
              <w:spacing w:after="0" w:line="240" w:lineRule="auto"/>
              <w:ind w:left="-108" w:right="-125"/>
              <w:rPr>
                <w:rFonts w:ascii="Times New Roman" w:hAnsi="Times New Roman"/>
                <w:sz w:val="24"/>
              </w:rPr>
            </w:pPr>
          </w:p>
          <w:p w14:paraId="28FF6BFE" w14:textId="77777777" w:rsidR="008514AB" w:rsidRPr="00DD2265" w:rsidRDefault="008514AB" w:rsidP="00656770">
            <w:pPr>
              <w:spacing w:after="0" w:line="240" w:lineRule="auto"/>
              <w:ind w:left="-108" w:right="-125"/>
              <w:rPr>
                <w:rFonts w:ascii="Times New Roman" w:hAnsi="Times New Roman"/>
                <w:sz w:val="24"/>
              </w:rPr>
            </w:pPr>
          </w:p>
          <w:p w14:paraId="69DEA55F" w14:textId="77777777" w:rsidR="008514AB" w:rsidRPr="00DD2265" w:rsidRDefault="008514AB" w:rsidP="00656770">
            <w:pPr>
              <w:spacing w:after="0" w:line="240" w:lineRule="auto"/>
              <w:ind w:left="-108" w:right="-125"/>
              <w:rPr>
                <w:rFonts w:ascii="Times New Roman" w:hAnsi="Times New Roman"/>
                <w:sz w:val="24"/>
              </w:rPr>
            </w:pPr>
          </w:p>
          <w:p w14:paraId="1D7B0CE6" w14:textId="77777777" w:rsidR="008514AB" w:rsidRPr="00DD2265" w:rsidRDefault="008514AB" w:rsidP="00656770">
            <w:pPr>
              <w:spacing w:after="0" w:line="240" w:lineRule="auto"/>
              <w:ind w:left="-108" w:right="-125"/>
              <w:rPr>
                <w:rFonts w:ascii="Times New Roman" w:hAnsi="Times New Roman"/>
                <w:sz w:val="24"/>
              </w:rPr>
            </w:pPr>
          </w:p>
          <w:p w14:paraId="14AA8FCD" w14:textId="77777777" w:rsidR="008514AB" w:rsidRPr="00DD2265" w:rsidRDefault="008514AB" w:rsidP="00656770">
            <w:pPr>
              <w:spacing w:after="0" w:line="240" w:lineRule="auto"/>
              <w:ind w:left="-108" w:right="-125"/>
              <w:rPr>
                <w:rFonts w:ascii="Times New Roman" w:hAnsi="Times New Roman"/>
                <w:sz w:val="24"/>
              </w:rPr>
            </w:pPr>
          </w:p>
          <w:p w14:paraId="6E5B6072" w14:textId="77777777" w:rsidR="008514AB" w:rsidRPr="00DD2265" w:rsidRDefault="008514AB" w:rsidP="00656770">
            <w:pPr>
              <w:spacing w:after="0" w:line="240" w:lineRule="auto"/>
              <w:ind w:left="-108" w:right="-125"/>
              <w:rPr>
                <w:rFonts w:ascii="Times New Roman" w:hAnsi="Times New Roman"/>
                <w:sz w:val="24"/>
              </w:rPr>
            </w:pPr>
          </w:p>
          <w:p w14:paraId="428FDF5D" w14:textId="77777777" w:rsidR="008514AB" w:rsidRPr="00DD2265" w:rsidRDefault="008514AB" w:rsidP="00656770">
            <w:pPr>
              <w:spacing w:after="0" w:line="240" w:lineRule="auto"/>
              <w:ind w:left="-108" w:right="-125"/>
              <w:rPr>
                <w:rFonts w:ascii="Times New Roman" w:hAnsi="Times New Roman"/>
                <w:sz w:val="24"/>
              </w:rPr>
            </w:pPr>
          </w:p>
          <w:p w14:paraId="2478C6A2" w14:textId="77777777" w:rsidR="008514AB" w:rsidRPr="00DD2265" w:rsidRDefault="008514AB" w:rsidP="00656770">
            <w:pPr>
              <w:spacing w:after="0" w:line="240" w:lineRule="auto"/>
              <w:ind w:left="-108" w:right="-125"/>
              <w:rPr>
                <w:rFonts w:ascii="Times New Roman" w:hAnsi="Times New Roman"/>
                <w:sz w:val="24"/>
              </w:rPr>
            </w:pPr>
          </w:p>
          <w:p w14:paraId="4868F225" w14:textId="77777777" w:rsidR="008514AB" w:rsidRPr="00DD2265" w:rsidRDefault="008514AB" w:rsidP="00656770">
            <w:pPr>
              <w:spacing w:after="0" w:line="240" w:lineRule="auto"/>
              <w:ind w:left="-108" w:right="-125"/>
              <w:rPr>
                <w:rFonts w:ascii="Times New Roman" w:hAnsi="Times New Roman"/>
                <w:sz w:val="24"/>
              </w:rPr>
            </w:pPr>
          </w:p>
          <w:p w14:paraId="7D1E3F3E" w14:textId="77777777" w:rsidR="008514AB" w:rsidRPr="00DD2265" w:rsidRDefault="008514AB" w:rsidP="00656770">
            <w:pPr>
              <w:spacing w:after="0" w:line="240" w:lineRule="auto"/>
              <w:ind w:left="-108" w:right="-125"/>
              <w:rPr>
                <w:rFonts w:ascii="Times New Roman" w:hAnsi="Times New Roman"/>
                <w:sz w:val="24"/>
              </w:rPr>
            </w:pPr>
          </w:p>
          <w:p w14:paraId="0C6D2A82" w14:textId="77777777" w:rsidR="008514AB" w:rsidRPr="00DD2265" w:rsidRDefault="008514AB" w:rsidP="00656770">
            <w:pPr>
              <w:spacing w:after="0" w:line="240" w:lineRule="auto"/>
              <w:ind w:left="-108" w:right="-125"/>
              <w:rPr>
                <w:rFonts w:ascii="Times New Roman" w:hAnsi="Times New Roman"/>
                <w:sz w:val="24"/>
              </w:rPr>
            </w:pPr>
          </w:p>
          <w:p w14:paraId="53046FCD" w14:textId="77777777" w:rsidR="008514AB" w:rsidRPr="00DD2265" w:rsidRDefault="008514AB" w:rsidP="00656770">
            <w:pPr>
              <w:spacing w:after="0" w:line="240" w:lineRule="auto"/>
              <w:ind w:left="-108" w:right="-125"/>
              <w:rPr>
                <w:rFonts w:ascii="Times New Roman" w:hAnsi="Times New Roman"/>
                <w:sz w:val="24"/>
              </w:rPr>
            </w:pPr>
          </w:p>
          <w:p w14:paraId="6C41FC9D"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3798" w:type="dxa"/>
            <w:vMerge w:val="restart"/>
          </w:tcPr>
          <w:p w14:paraId="3A84F784"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lastRenderedPageBreak/>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1A184CC3"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lastRenderedPageBreak/>
              <w:t>(Dokuments attiecas uz EEZ) (Eiropas Savienības Oficiālais Vēstnesis, 18.07.2009., L 188, 1.–13.lpp.)</w:t>
            </w:r>
          </w:p>
          <w:p w14:paraId="31458518" w14:textId="77777777" w:rsidR="008514AB" w:rsidRPr="00DD2265" w:rsidRDefault="008514AB" w:rsidP="00656770">
            <w:pPr>
              <w:spacing w:after="0" w:line="240" w:lineRule="auto"/>
              <w:rPr>
                <w:rFonts w:ascii="Times New Roman" w:hAnsi="Times New Roman"/>
                <w:noProof/>
                <w:sz w:val="24"/>
              </w:rPr>
            </w:pPr>
          </w:p>
          <w:p w14:paraId="530FC2A8"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1781" w:type="dxa"/>
          </w:tcPr>
          <w:p w14:paraId="1EAB982D"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lastRenderedPageBreak/>
              <w:t xml:space="preserve">Regula (EK) Nr. 595/2009 </w:t>
            </w:r>
          </w:p>
          <w:p w14:paraId="37F9B477" w14:textId="77777777" w:rsidR="008514AB" w:rsidRPr="00DD2265" w:rsidRDefault="008514AB" w:rsidP="00656770">
            <w:pPr>
              <w:spacing w:after="0" w:line="240" w:lineRule="auto"/>
              <w:ind w:left="-108" w:right="-125"/>
              <w:rPr>
                <w:rFonts w:ascii="Times New Roman" w:hAnsi="Times New Roman"/>
                <w:sz w:val="24"/>
              </w:rPr>
            </w:pPr>
          </w:p>
          <w:p w14:paraId="018D02F7" w14:textId="77777777" w:rsidR="008514AB" w:rsidRPr="00DD2265" w:rsidRDefault="008514AB" w:rsidP="00656770">
            <w:pPr>
              <w:spacing w:after="0" w:line="240" w:lineRule="auto"/>
              <w:ind w:left="-108" w:right="-125"/>
              <w:rPr>
                <w:rFonts w:ascii="Times New Roman" w:hAnsi="Times New Roman"/>
                <w:sz w:val="24"/>
              </w:rPr>
            </w:pPr>
          </w:p>
          <w:p w14:paraId="19B76705" w14:textId="77777777" w:rsidR="008514AB" w:rsidRPr="00DD2265" w:rsidRDefault="008514AB" w:rsidP="00656770">
            <w:pPr>
              <w:spacing w:after="0" w:line="240" w:lineRule="auto"/>
              <w:ind w:left="-108" w:right="-125"/>
              <w:rPr>
                <w:rFonts w:ascii="Times New Roman" w:hAnsi="Times New Roman"/>
                <w:sz w:val="24"/>
              </w:rPr>
            </w:pPr>
          </w:p>
          <w:p w14:paraId="2BF7E184" w14:textId="77777777" w:rsidR="008514AB" w:rsidRPr="00DD2265" w:rsidRDefault="008514AB" w:rsidP="00656770">
            <w:pPr>
              <w:spacing w:after="0" w:line="240" w:lineRule="auto"/>
              <w:ind w:left="-108" w:right="-125"/>
              <w:rPr>
                <w:rFonts w:ascii="Times New Roman" w:hAnsi="Times New Roman"/>
                <w:sz w:val="24"/>
              </w:rPr>
            </w:pPr>
          </w:p>
          <w:p w14:paraId="5F935ADB" w14:textId="77777777" w:rsidR="008514AB" w:rsidRPr="00DD2265" w:rsidRDefault="008514AB" w:rsidP="00656770">
            <w:pPr>
              <w:spacing w:after="0" w:line="240" w:lineRule="auto"/>
              <w:ind w:left="-108" w:right="-125"/>
              <w:rPr>
                <w:rFonts w:ascii="Times New Roman" w:hAnsi="Times New Roman"/>
                <w:sz w:val="24"/>
              </w:rPr>
            </w:pPr>
          </w:p>
          <w:p w14:paraId="33117A35" w14:textId="77777777" w:rsidR="008514AB" w:rsidRPr="00DD2265" w:rsidRDefault="008514AB" w:rsidP="00656770">
            <w:pPr>
              <w:spacing w:after="0" w:line="240" w:lineRule="auto"/>
              <w:ind w:left="-108" w:right="-125"/>
              <w:rPr>
                <w:rFonts w:ascii="Times New Roman" w:hAnsi="Times New Roman"/>
                <w:sz w:val="24"/>
              </w:rPr>
            </w:pPr>
          </w:p>
          <w:p w14:paraId="408A21F7" w14:textId="77777777" w:rsidR="008514AB" w:rsidRPr="00DD2265" w:rsidRDefault="008514AB" w:rsidP="00656770">
            <w:pPr>
              <w:spacing w:after="0" w:line="240" w:lineRule="auto"/>
              <w:ind w:left="-108" w:right="-125"/>
              <w:rPr>
                <w:rFonts w:ascii="Times New Roman" w:hAnsi="Times New Roman"/>
                <w:sz w:val="24"/>
              </w:rPr>
            </w:pPr>
          </w:p>
          <w:p w14:paraId="0E45CAFD" w14:textId="77777777" w:rsidR="008514AB" w:rsidRPr="00DD2265" w:rsidRDefault="008514AB" w:rsidP="00656770">
            <w:pPr>
              <w:spacing w:after="0" w:line="240" w:lineRule="auto"/>
              <w:ind w:left="-108" w:right="-125"/>
              <w:rPr>
                <w:rFonts w:ascii="Times New Roman" w:hAnsi="Times New Roman"/>
                <w:sz w:val="24"/>
              </w:rPr>
            </w:pPr>
          </w:p>
          <w:p w14:paraId="2688FF9D" w14:textId="77777777" w:rsidR="008514AB" w:rsidRPr="00DD2265" w:rsidRDefault="008514AB" w:rsidP="00656770">
            <w:pPr>
              <w:spacing w:after="0" w:line="240" w:lineRule="auto"/>
              <w:ind w:left="-108" w:right="-125"/>
              <w:rPr>
                <w:rFonts w:ascii="Times New Roman" w:hAnsi="Times New Roman"/>
                <w:sz w:val="24"/>
              </w:rPr>
            </w:pPr>
          </w:p>
          <w:p w14:paraId="70C2EA3F" w14:textId="77777777" w:rsidR="008514AB" w:rsidRPr="00DD2265" w:rsidRDefault="008514AB" w:rsidP="00656770">
            <w:pPr>
              <w:spacing w:after="0" w:line="240" w:lineRule="auto"/>
              <w:ind w:left="-108" w:right="-125"/>
              <w:rPr>
                <w:rFonts w:ascii="Times New Roman" w:hAnsi="Times New Roman"/>
                <w:sz w:val="24"/>
              </w:rPr>
            </w:pPr>
          </w:p>
          <w:p w14:paraId="00A16648" w14:textId="77777777" w:rsidR="008514AB" w:rsidRPr="00DD2265" w:rsidRDefault="008514AB" w:rsidP="00656770">
            <w:pPr>
              <w:spacing w:after="0" w:line="240" w:lineRule="auto"/>
              <w:ind w:left="-108" w:right="-125"/>
              <w:rPr>
                <w:rFonts w:ascii="Times New Roman" w:hAnsi="Times New Roman"/>
                <w:sz w:val="24"/>
              </w:rPr>
            </w:pPr>
          </w:p>
          <w:p w14:paraId="4ADD8124" w14:textId="77777777" w:rsidR="008514AB" w:rsidRPr="00DD2265" w:rsidRDefault="008514AB" w:rsidP="00656770">
            <w:pPr>
              <w:spacing w:after="0" w:line="240" w:lineRule="auto"/>
              <w:ind w:left="-108" w:right="-125"/>
              <w:rPr>
                <w:rFonts w:ascii="Times New Roman" w:hAnsi="Times New Roman"/>
                <w:sz w:val="24"/>
              </w:rPr>
            </w:pPr>
          </w:p>
          <w:p w14:paraId="2EB029A2" w14:textId="77777777" w:rsidR="008514AB" w:rsidRPr="00DD2265" w:rsidRDefault="008514AB" w:rsidP="00656770">
            <w:pPr>
              <w:spacing w:after="0" w:line="240" w:lineRule="auto"/>
              <w:ind w:left="-108" w:right="-125"/>
              <w:rPr>
                <w:rFonts w:ascii="Times New Roman" w:hAnsi="Times New Roman"/>
                <w:sz w:val="24"/>
              </w:rPr>
            </w:pPr>
          </w:p>
          <w:p w14:paraId="3739EBD7" w14:textId="77777777" w:rsidR="008514AB" w:rsidRPr="00DD2265" w:rsidRDefault="008514AB" w:rsidP="00656770">
            <w:pPr>
              <w:spacing w:after="0" w:line="240" w:lineRule="auto"/>
              <w:ind w:left="-108" w:right="-125"/>
              <w:rPr>
                <w:rFonts w:ascii="Times New Roman" w:hAnsi="Times New Roman"/>
                <w:sz w:val="24"/>
              </w:rPr>
            </w:pPr>
          </w:p>
        </w:tc>
        <w:tc>
          <w:tcPr>
            <w:tcW w:w="4500" w:type="dxa"/>
          </w:tcPr>
          <w:p w14:paraId="44197597"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1FC0FD92"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(Dokuments attiecas uz EEZ) (Eiropas Savienības Oficiālais Vēstnesis, 18.07.2009., L 188, 1.–13.lpp.)</w:t>
            </w:r>
          </w:p>
          <w:p w14:paraId="49CC8A1A" w14:textId="77777777" w:rsidR="008514AB" w:rsidRPr="00DD2265" w:rsidRDefault="008514AB" w:rsidP="00656770">
            <w:pPr>
              <w:spacing w:after="0" w:line="240" w:lineRule="auto"/>
              <w:rPr>
                <w:rFonts w:ascii="Times New Roman" w:hAnsi="Times New Roman"/>
                <w:noProof/>
                <w:sz w:val="24"/>
              </w:rPr>
            </w:pPr>
          </w:p>
          <w:p w14:paraId="46DAECE6" w14:textId="77777777" w:rsidR="008514AB" w:rsidRPr="00DD2265" w:rsidRDefault="008514AB" w:rsidP="00656770">
            <w:pPr>
              <w:spacing w:after="0" w:line="240" w:lineRule="auto"/>
              <w:rPr>
                <w:rFonts w:ascii="Times New Roman" w:hAnsi="Times New Roman"/>
                <w:noProof/>
                <w:sz w:val="24"/>
              </w:rPr>
            </w:pPr>
          </w:p>
        </w:tc>
        <w:tc>
          <w:tcPr>
            <w:tcW w:w="1100" w:type="dxa"/>
            <w:vMerge w:val="restart"/>
          </w:tcPr>
          <w:p w14:paraId="57BF0B25" w14:textId="77777777" w:rsidR="008514AB" w:rsidRPr="00DD2265" w:rsidRDefault="008514AB" w:rsidP="00656770">
            <w:pPr>
              <w:spacing w:after="0" w:line="240" w:lineRule="auto"/>
              <w:ind w:left="-113" w:right="-57"/>
              <w:jc w:val="center"/>
              <w:rPr>
                <w:rFonts w:ascii="Times New Roman" w:hAnsi="Times New Roman"/>
                <w:bCs/>
                <w:sz w:val="24"/>
              </w:rPr>
            </w:pPr>
          </w:p>
        </w:tc>
      </w:tr>
      <w:tr w:rsidR="008514AB" w:rsidRPr="00DD2265" w14:paraId="5EB6A078" w14:textId="77777777" w:rsidTr="00656770">
        <w:trPr>
          <w:cantSplit/>
          <w:trHeight w:val="8987"/>
        </w:trPr>
        <w:tc>
          <w:tcPr>
            <w:tcW w:w="539" w:type="dxa"/>
            <w:vMerge/>
          </w:tcPr>
          <w:p w14:paraId="52D43974"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32AD007E" w14:textId="77777777" w:rsidR="008514AB" w:rsidRPr="00DD2265" w:rsidRDefault="008514AB" w:rsidP="00656770">
            <w:pPr>
              <w:spacing w:after="0" w:line="240" w:lineRule="auto"/>
              <w:rPr>
                <w:rFonts w:ascii="Times New Roman" w:hAnsi="Times New Roman"/>
                <w:sz w:val="24"/>
              </w:rPr>
            </w:pPr>
          </w:p>
        </w:tc>
        <w:tc>
          <w:tcPr>
            <w:tcW w:w="1422" w:type="dxa"/>
            <w:vMerge/>
          </w:tcPr>
          <w:p w14:paraId="31F8A416" w14:textId="77777777" w:rsidR="008514AB" w:rsidRPr="00DD2265" w:rsidRDefault="008514AB" w:rsidP="00656770">
            <w:pPr>
              <w:spacing w:after="0" w:line="240" w:lineRule="auto"/>
              <w:ind w:left="-108" w:right="-125"/>
              <w:rPr>
                <w:rFonts w:ascii="Times New Roman" w:hAnsi="Times New Roman"/>
                <w:sz w:val="24"/>
              </w:rPr>
            </w:pPr>
          </w:p>
        </w:tc>
        <w:tc>
          <w:tcPr>
            <w:tcW w:w="3798" w:type="dxa"/>
            <w:vMerge/>
          </w:tcPr>
          <w:p w14:paraId="2ABBB051" w14:textId="77777777" w:rsidR="008514AB" w:rsidRPr="00DD2265" w:rsidRDefault="008514AB" w:rsidP="00656770">
            <w:pPr>
              <w:spacing w:after="0" w:line="240" w:lineRule="auto"/>
              <w:rPr>
                <w:rFonts w:ascii="Times New Roman" w:hAnsi="Times New Roman"/>
                <w:noProof/>
                <w:sz w:val="24"/>
              </w:rPr>
            </w:pPr>
          </w:p>
        </w:tc>
        <w:tc>
          <w:tcPr>
            <w:tcW w:w="1781" w:type="dxa"/>
          </w:tcPr>
          <w:p w14:paraId="7D67E279"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4500" w:type="dxa"/>
          </w:tcPr>
          <w:p w14:paraId="15682E00"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1100" w:type="dxa"/>
            <w:vMerge/>
          </w:tcPr>
          <w:p w14:paraId="58B97B28" w14:textId="77777777" w:rsidR="008514AB" w:rsidRPr="00DD2265" w:rsidRDefault="008514AB" w:rsidP="00656770">
            <w:pPr>
              <w:spacing w:after="0" w:line="240" w:lineRule="auto"/>
              <w:ind w:left="-113" w:right="-57"/>
              <w:jc w:val="center"/>
              <w:rPr>
                <w:rFonts w:ascii="Times New Roman" w:hAnsi="Times New Roman"/>
                <w:bCs/>
                <w:sz w:val="24"/>
              </w:rPr>
            </w:pPr>
          </w:p>
        </w:tc>
      </w:tr>
    </w:tbl>
    <w:p w14:paraId="1E1B8AD7" w14:textId="77777777" w:rsidR="004B38EB" w:rsidRPr="00DD2265" w:rsidRDefault="004B38EB" w:rsidP="004B38E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w:t>
      </w:r>
      <w:r w:rsidR="00604D2A" w:rsidRPr="00DD2265">
        <w:rPr>
          <w:rFonts w:ascii="Times New Roman" w:hAnsi="Times New Roman"/>
          <w:sz w:val="28"/>
          <w:szCs w:val="28"/>
        </w:rPr>
        <w:t>46.</w:t>
      </w:r>
      <w:r w:rsidRPr="00DD2265">
        <w:rPr>
          <w:rFonts w:ascii="Times New Roman" w:hAnsi="Times New Roman"/>
          <w:sz w:val="28"/>
          <w:szCs w:val="28"/>
        </w:rPr>
        <w:t xml:space="preserve"> punktu šādā redakcijā:</w:t>
      </w:r>
    </w:p>
    <w:p w14:paraId="21AA0C62" w14:textId="77777777" w:rsidR="00604D2A" w:rsidRPr="00DD2265" w:rsidRDefault="00604D2A" w:rsidP="00604D2A">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04D2A" w:rsidRPr="00DD2265" w14:paraId="38E810B7" w14:textId="77777777" w:rsidTr="00656770">
        <w:trPr>
          <w:cantSplit/>
          <w:trHeight w:val="195"/>
        </w:trPr>
        <w:tc>
          <w:tcPr>
            <w:tcW w:w="539" w:type="dxa"/>
            <w:vMerge w:val="restart"/>
          </w:tcPr>
          <w:p w14:paraId="13A9E0DF" w14:textId="77777777" w:rsidR="00604D2A" w:rsidRPr="00DD2265" w:rsidRDefault="00604D2A" w:rsidP="00656770">
            <w:pPr>
              <w:spacing w:after="0" w:line="240" w:lineRule="auto"/>
              <w:ind w:left="-108" w:right="-108"/>
              <w:jc w:val="center"/>
              <w:rPr>
                <w:rFonts w:ascii="Times New Roman" w:hAnsi="Times New Roman"/>
                <w:sz w:val="24"/>
              </w:rPr>
            </w:pPr>
            <w:r w:rsidRPr="00DD2265">
              <w:rPr>
                <w:rFonts w:ascii="Times New Roman" w:hAnsi="Times New Roman"/>
                <w:sz w:val="24"/>
              </w:rPr>
              <w:t>46.</w:t>
            </w:r>
          </w:p>
        </w:tc>
        <w:tc>
          <w:tcPr>
            <w:tcW w:w="2100" w:type="dxa"/>
            <w:vMerge w:val="restart"/>
          </w:tcPr>
          <w:p w14:paraId="7724999C" w14:textId="77777777" w:rsidR="00604D2A" w:rsidRPr="00DD2265" w:rsidRDefault="00604D2A" w:rsidP="00656770">
            <w:pPr>
              <w:spacing w:after="0" w:line="240" w:lineRule="auto"/>
              <w:ind w:right="-108"/>
              <w:rPr>
                <w:rFonts w:ascii="Times New Roman" w:hAnsi="Times New Roman"/>
                <w:sz w:val="24"/>
              </w:rPr>
            </w:pPr>
            <w:r w:rsidRPr="00DD2265">
              <w:rPr>
                <w:rFonts w:ascii="Times New Roman" w:hAnsi="Times New Roman"/>
                <w:sz w:val="24"/>
              </w:rPr>
              <w:t>Riepas mehāniskajiem transportlīdzekļiem un to piekabēm</w:t>
            </w:r>
          </w:p>
          <w:p w14:paraId="5225E444" w14:textId="77777777" w:rsidR="00604D2A" w:rsidRPr="00DD2265" w:rsidRDefault="00604D2A" w:rsidP="00656770">
            <w:pPr>
              <w:spacing w:after="0" w:line="240" w:lineRule="auto"/>
              <w:ind w:right="-108"/>
              <w:rPr>
                <w:rFonts w:ascii="Times New Roman" w:hAnsi="Times New Roman"/>
                <w:sz w:val="24"/>
              </w:rPr>
            </w:pPr>
          </w:p>
        </w:tc>
        <w:tc>
          <w:tcPr>
            <w:tcW w:w="1422" w:type="dxa"/>
            <w:vMerge w:val="restart"/>
          </w:tcPr>
          <w:p w14:paraId="12B2E271"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sz w:val="24"/>
              </w:rPr>
              <w:t>92/23/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73A5C571"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Padomes 1992.gada 31.marta Direktīva 92/23/EEK par mehānisko transportlīdzekļu un to piekabju riepām un riepu montāžām (Eiropas Savienības Oficiālais Vēstnesis, 01.05.2004., L 129, 95.–153.lpp.)</w:t>
            </w:r>
          </w:p>
        </w:tc>
        <w:tc>
          <w:tcPr>
            <w:tcW w:w="1891" w:type="dxa"/>
          </w:tcPr>
          <w:p w14:paraId="39946953"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bCs/>
                <w:sz w:val="24"/>
              </w:rPr>
              <w:t>92/23/EEK</w:t>
            </w:r>
            <w:r w:rsidRPr="00DD2265">
              <w:rPr>
                <w:rFonts w:ascii="Times New Roman" w:hAnsi="Times New Roman"/>
                <w:bCs/>
                <w:sz w:val="24"/>
                <w:vertAlign w:val="superscript"/>
              </w:rPr>
              <w:t>16</w:t>
            </w:r>
          </w:p>
        </w:tc>
        <w:tc>
          <w:tcPr>
            <w:tcW w:w="4390" w:type="dxa"/>
          </w:tcPr>
          <w:p w14:paraId="0D9976F0"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Padomes 1992.gada 31.marta Direktīva 92/23/EEK par mehānisko transport</w:t>
            </w:r>
            <w:r w:rsidRPr="00DD2265">
              <w:rPr>
                <w:rFonts w:ascii="Times New Roman" w:hAnsi="Times New Roman"/>
                <w:noProof/>
                <w:sz w:val="24"/>
              </w:rPr>
              <w:softHyphen/>
              <w:t>līdzekļu un to piekabju riepām un riepu montāžām (Eiropas Savienības Oficiālais Vēstnesis, 01.05.2004., L 129, 95.–153.lpp.)</w:t>
            </w:r>
          </w:p>
        </w:tc>
        <w:tc>
          <w:tcPr>
            <w:tcW w:w="1100" w:type="dxa"/>
            <w:vMerge w:val="restart"/>
          </w:tcPr>
          <w:p w14:paraId="53748A3C"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30.02</w:t>
            </w:r>
          </w:p>
        </w:tc>
      </w:tr>
      <w:tr w:rsidR="00604D2A" w:rsidRPr="00DD2265" w14:paraId="48FFC5AB" w14:textId="77777777" w:rsidTr="00656770">
        <w:trPr>
          <w:cantSplit/>
          <w:trHeight w:val="255"/>
        </w:trPr>
        <w:tc>
          <w:tcPr>
            <w:tcW w:w="539" w:type="dxa"/>
            <w:vMerge/>
          </w:tcPr>
          <w:p w14:paraId="39D60C0E"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63994B2D" w14:textId="77777777" w:rsidR="00604D2A" w:rsidRPr="00DD2265" w:rsidRDefault="00604D2A" w:rsidP="00656770">
            <w:pPr>
              <w:spacing w:after="0" w:line="240" w:lineRule="auto"/>
              <w:ind w:right="-108"/>
              <w:rPr>
                <w:rFonts w:ascii="Times New Roman" w:hAnsi="Times New Roman"/>
                <w:sz w:val="24"/>
              </w:rPr>
            </w:pPr>
          </w:p>
        </w:tc>
        <w:tc>
          <w:tcPr>
            <w:tcW w:w="1422" w:type="dxa"/>
            <w:vMerge/>
          </w:tcPr>
          <w:p w14:paraId="0AE5F23D"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28ACF6D" w14:textId="77777777" w:rsidR="00604D2A" w:rsidRPr="00DD2265" w:rsidRDefault="00604D2A" w:rsidP="00656770">
            <w:pPr>
              <w:spacing w:after="0" w:line="240" w:lineRule="auto"/>
              <w:ind w:left="-108" w:right="-125"/>
              <w:rPr>
                <w:rFonts w:ascii="Times New Roman" w:hAnsi="Times New Roman"/>
                <w:bCs/>
                <w:sz w:val="24"/>
              </w:rPr>
            </w:pPr>
          </w:p>
        </w:tc>
        <w:tc>
          <w:tcPr>
            <w:tcW w:w="1891" w:type="dxa"/>
          </w:tcPr>
          <w:p w14:paraId="12444418" w14:textId="77777777" w:rsidR="00604D2A" w:rsidRPr="00DD2265" w:rsidRDefault="00604D2A" w:rsidP="00656770">
            <w:pPr>
              <w:spacing w:after="0" w:line="240" w:lineRule="auto"/>
              <w:rPr>
                <w:rFonts w:ascii="Times New Roman" w:hAnsi="Times New Roman"/>
                <w:bCs/>
                <w:sz w:val="24"/>
                <w:vertAlign w:val="superscript"/>
              </w:rPr>
            </w:pPr>
            <w:r w:rsidRPr="00DD2265">
              <w:rPr>
                <w:rFonts w:ascii="Times New Roman" w:hAnsi="Times New Roman"/>
                <w:bCs/>
                <w:sz w:val="24"/>
              </w:rPr>
              <w:t>2001/43/EK</w:t>
            </w:r>
            <w:r w:rsidRPr="00DD2265">
              <w:rPr>
                <w:rFonts w:ascii="Times New Roman" w:hAnsi="Times New Roman"/>
                <w:bCs/>
                <w:sz w:val="24"/>
                <w:vertAlign w:val="superscript"/>
              </w:rPr>
              <w:t>34</w:t>
            </w:r>
          </w:p>
        </w:tc>
        <w:tc>
          <w:tcPr>
            <w:tcW w:w="4390" w:type="dxa"/>
          </w:tcPr>
          <w:p w14:paraId="5FF508BC"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Eiropas Parlamenta un Padomes 2001.gada 27.jūnija Direktīva 2001/43/EK, ar ko groza Padomes Direktīvu 92/23/EEK par mehānisko transportlīdzekļu un to piekabju riepām un riepu montāžu (Eiropas Savienības Oficiālais Vēstnesis, 01.05.2004., L 211, 25.–46.lpp.)</w:t>
            </w:r>
          </w:p>
        </w:tc>
        <w:tc>
          <w:tcPr>
            <w:tcW w:w="1100" w:type="dxa"/>
            <w:vMerge/>
          </w:tcPr>
          <w:p w14:paraId="565D0117" w14:textId="77777777" w:rsidR="00604D2A" w:rsidRPr="00DD2265" w:rsidRDefault="00604D2A" w:rsidP="00656770">
            <w:pPr>
              <w:spacing w:after="0" w:line="240" w:lineRule="auto"/>
              <w:ind w:left="-113" w:right="-57"/>
              <w:jc w:val="center"/>
              <w:rPr>
                <w:rFonts w:ascii="Times New Roman" w:hAnsi="Times New Roman"/>
                <w:bCs/>
                <w:sz w:val="24"/>
              </w:rPr>
            </w:pPr>
          </w:p>
        </w:tc>
      </w:tr>
      <w:tr w:rsidR="00604D2A" w:rsidRPr="00DD2265" w14:paraId="17DD780C" w14:textId="77777777" w:rsidTr="00656770">
        <w:trPr>
          <w:cantSplit/>
          <w:trHeight w:val="276"/>
        </w:trPr>
        <w:tc>
          <w:tcPr>
            <w:tcW w:w="539" w:type="dxa"/>
            <w:vMerge/>
          </w:tcPr>
          <w:p w14:paraId="174F03B2"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4D4D7D95" w14:textId="77777777" w:rsidR="00604D2A" w:rsidRPr="00DD2265" w:rsidRDefault="00604D2A" w:rsidP="00656770">
            <w:pPr>
              <w:spacing w:after="0" w:line="240" w:lineRule="auto"/>
              <w:ind w:right="-108"/>
              <w:rPr>
                <w:rFonts w:ascii="Times New Roman" w:hAnsi="Times New Roman"/>
                <w:sz w:val="24"/>
              </w:rPr>
            </w:pPr>
          </w:p>
        </w:tc>
        <w:tc>
          <w:tcPr>
            <w:tcW w:w="1422" w:type="dxa"/>
            <w:vMerge/>
          </w:tcPr>
          <w:p w14:paraId="30D7A6A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5C203EBC" w14:textId="77777777" w:rsidR="00604D2A" w:rsidRPr="00DD2265" w:rsidRDefault="00604D2A" w:rsidP="00656770">
            <w:pPr>
              <w:spacing w:after="0" w:line="240" w:lineRule="auto"/>
              <w:ind w:left="-108" w:right="-125"/>
              <w:rPr>
                <w:rFonts w:ascii="Times New Roman" w:hAnsi="Times New Roman"/>
                <w:bCs/>
                <w:sz w:val="24"/>
              </w:rPr>
            </w:pPr>
          </w:p>
        </w:tc>
        <w:tc>
          <w:tcPr>
            <w:tcW w:w="1891" w:type="dxa"/>
            <w:vMerge w:val="restart"/>
          </w:tcPr>
          <w:p w14:paraId="5C13A0BD" w14:textId="77777777" w:rsidR="00604D2A" w:rsidRPr="00DD2265" w:rsidRDefault="00604D2A" w:rsidP="00656770">
            <w:pPr>
              <w:spacing w:after="0" w:line="240" w:lineRule="auto"/>
              <w:rPr>
                <w:rFonts w:ascii="Times New Roman" w:hAnsi="Times New Roman"/>
                <w:bCs/>
                <w:sz w:val="24"/>
                <w:vertAlign w:val="superscript"/>
              </w:rPr>
            </w:pPr>
            <w:r w:rsidRPr="00DD2265">
              <w:rPr>
                <w:rFonts w:ascii="Times New Roman" w:hAnsi="Times New Roman"/>
                <w:bCs/>
                <w:sz w:val="24"/>
              </w:rPr>
              <w:t>2005/11/EK</w:t>
            </w:r>
            <w:r w:rsidRPr="00DD2265">
              <w:rPr>
                <w:rFonts w:ascii="Times New Roman" w:hAnsi="Times New Roman"/>
                <w:bCs/>
                <w:sz w:val="24"/>
                <w:vertAlign w:val="superscript"/>
              </w:rPr>
              <w:t>34</w:t>
            </w:r>
          </w:p>
        </w:tc>
        <w:tc>
          <w:tcPr>
            <w:tcW w:w="4390" w:type="dxa"/>
            <w:vMerge w:val="restart"/>
          </w:tcPr>
          <w:p w14:paraId="780A68D2"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sz w:val="24"/>
              </w:rPr>
              <w:t>Komisijas 2005.gada 16.februāra Direktīva 2005/11/EK, ar ko groza Padomes Direktīvu 92/23/EEK par mehānisko transportlīdzekļu un to piekabju riepām un riepu montāžu, lai to pielāgotu tehnikas attīstībai (Dokuments attiecas uz EEZ) (</w:t>
            </w:r>
            <w:r w:rsidRPr="00DD2265">
              <w:rPr>
                <w:rFonts w:ascii="Times New Roman" w:hAnsi="Times New Roman"/>
                <w:noProof/>
                <w:sz w:val="24"/>
              </w:rPr>
              <w:t>Eiropas Savienības Oficiālais Vēstnesis, 17.02.2005., L 046, 42.–43.lpp.)</w:t>
            </w:r>
          </w:p>
        </w:tc>
        <w:tc>
          <w:tcPr>
            <w:tcW w:w="1100" w:type="dxa"/>
            <w:vMerge/>
          </w:tcPr>
          <w:p w14:paraId="42642B49" w14:textId="77777777" w:rsidR="00604D2A" w:rsidRPr="00DD2265" w:rsidRDefault="00604D2A" w:rsidP="00656770">
            <w:pPr>
              <w:spacing w:after="0" w:line="240" w:lineRule="auto"/>
              <w:ind w:left="-113" w:right="-57"/>
              <w:jc w:val="center"/>
              <w:rPr>
                <w:rFonts w:ascii="Times New Roman" w:hAnsi="Times New Roman"/>
                <w:bCs/>
                <w:sz w:val="24"/>
              </w:rPr>
            </w:pPr>
          </w:p>
        </w:tc>
      </w:tr>
      <w:tr w:rsidR="00604D2A" w:rsidRPr="00DD2265" w14:paraId="309DA79A" w14:textId="77777777" w:rsidTr="00656770">
        <w:trPr>
          <w:cantSplit/>
        </w:trPr>
        <w:tc>
          <w:tcPr>
            <w:tcW w:w="539" w:type="dxa"/>
            <w:vMerge/>
          </w:tcPr>
          <w:p w14:paraId="265326BF"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5F0244AD" w14:textId="77777777" w:rsidR="00604D2A" w:rsidRPr="00DD2265" w:rsidRDefault="00604D2A" w:rsidP="00656770">
            <w:pPr>
              <w:spacing w:after="0" w:line="240" w:lineRule="auto"/>
              <w:ind w:right="-108"/>
              <w:rPr>
                <w:rFonts w:ascii="Times New Roman" w:hAnsi="Times New Roman"/>
                <w:sz w:val="24"/>
              </w:rPr>
            </w:pPr>
            <w:r w:rsidRPr="00DD2265">
              <w:rPr>
                <w:rFonts w:ascii="Times New Roman" w:hAnsi="Times New Roman"/>
                <w:sz w:val="24"/>
              </w:rPr>
              <w:t>Riepas komerciālajiem transportlīdzekļiem un to piekabēm</w:t>
            </w:r>
          </w:p>
        </w:tc>
        <w:tc>
          <w:tcPr>
            <w:tcW w:w="1422" w:type="dxa"/>
            <w:vMerge/>
          </w:tcPr>
          <w:p w14:paraId="75119223"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E203B21"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758948E9" w14:textId="77777777" w:rsidR="00604D2A" w:rsidRPr="00DD2265" w:rsidRDefault="00604D2A" w:rsidP="00656770">
            <w:pPr>
              <w:spacing w:after="0" w:line="240" w:lineRule="auto"/>
              <w:rPr>
                <w:rFonts w:ascii="Times New Roman" w:hAnsi="Times New Roman"/>
                <w:sz w:val="24"/>
              </w:rPr>
            </w:pPr>
          </w:p>
        </w:tc>
        <w:tc>
          <w:tcPr>
            <w:tcW w:w="4390" w:type="dxa"/>
            <w:vMerge/>
          </w:tcPr>
          <w:p w14:paraId="2EBF1060" w14:textId="77777777" w:rsidR="00604D2A" w:rsidRPr="00DD2265" w:rsidRDefault="00604D2A" w:rsidP="00656770">
            <w:pPr>
              <w:spacing w:after="0" w:line="240" w:lineRule="auto"/>
              <w:rPr>
                <w:rFonts w:ascii="Times New Roman" w:hAnsi="Times New Roman"/>
                <w:sz w:val="24"/>
              </w:rPr>
            </w:pPr>
          </w:p>
        </w:tc>
        <w:tc>
          <w:tcPr>
            <w:tcW w:w="1100" w:type="dxa"/>
          </w:tcPr>
          <w:p w14:paraId="72E404EB"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54.00</w:t>
            </w:r>
          </w:p>
        </w:tc>
      </w:tr>
      <w:tr w:rsidR="00604D2A" w:rsidRPr="00DD2265" w14:paraId="608FB32A" w14:textId="77777777" w:rsidTr="00656770">
        <w:trPr>
          <w:cantSplit/>
        </w:trPr>
        <w:tc>
          <w:tcPr>
            <w:tcW w:w="539" w:type="dxa"/>
            <w:vMerge/>
          </w:tcPr>
          <w:p w14:paraId="2B339F14"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766A9DD3"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Pagaidu lietošanas rezerves riteņi/riepas</w:t>
            </w:r>
          </w:p>
        </w:tc>
        <w:tc>
          <w:tcPr>
            <w:tcW w:w="1422" w:type="dxa"/>
            <w:vMerge/>
          </w:tcPr>
          <w:p w14:paraId="7335A68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6C4190A1"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2A5674BD" w14:textId="77777777" w:rsidR="00604D2A" w:rsidRPr="00DD2265" w:rsidRDefault="00604D2A" w:rsidP="00656770">
            <w:pPr>
              <w:spacing w:after="0" w:line="240" w:lineRule="auto"/>
              <w:rPr>
                <w:rFonts w:ascii="Times New Roman" w:hAnsi="Times New Roman"/>
                <w:sz w:val="24"/>
              </w:rPr>
            </w:pPr>
          </w:p>
        </w:tc>
        <w:tc>
          <w:tcPr>
            <w:tcW w:w="4390" w:type="dxa"/>
            <w:vMerge/>
          </w:tcPr>
          <w:p w14:paraId="51C94110" w14:textId="77777777" w:rsidR="00604D2A" w:rsidRPr="00DD2265" w:rsidRDefault="00604D2A" w:rsidP="00656770">
            <w:pPr>
              <w:spacing w:after="0" w:line="240" w:lineRule="auto"/>
              <w:rPr>
                <w:rFonts w:ascii="Times New Roman" w:hAnsi="Times New Roman"/>
                <w:sz w:val="24"/>
              </w:rPr>
            </w:pPr>
          </w:p>
        </w:tc>
        <w:tc>
          <w:tcPr>
            <w:tcW w:w="1100" w:type="dxa"/>
          </w:tcPr>
          <w:p w14:paraId="30D1EAD0"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64.00</w:t>
            </w:r>
          </w:p>
          <w:p w14:paraId="002A0BE7"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64.01</w:t>
            </w:r>
          </w:p>
          <w:p w14:paraId="68174454"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64.02</w:t>
            </w:r>
          </w:p>
          <w:p w14:paraId="5FA5392F"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64.03</w:t>
            </w:r>
          </w:p>
        </w:tc>
      </w:tr>
      <w:tr w:rsidR="00604D2A" w:rsidRPr="00DD2265" w14:paraId="3CDC8275" w14:textId="77777777" w:rsidTr="00656770">
        <w:trPr>
          <w:cantSplit/>
        </w:trPr>
        <w:tc>
          <w:tcPr>
            <w:tcW w:w="539" w:type="dxa"/>
            <w:vMerge/>
          </w:tcPr>
          <w:p w14:paraId="03D92C1A"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3D7D8CC1"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Riepu spiediena kontroles sistēma</w:t>
            </w:r>
          </w:p>
        </w:tc>
        <w:tc>
          <w:tcPr>
            <w:tcW w:w="1422" w:type="dxa"/>
            <w:vMerge/>
          </w:tcPr>
          <w:p w14:paraId="148DA18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1879A017"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0CFF5E1D" w14:textId="77777777" w:rsidR="00604D2A" w:rsidRPr="00DD2265" w:rsidRDefault="00604D2A" w:rsidP="00656770">
            <w:pPr>
              <w:spacing w:after="0" w:line="240" w:lineRule="auto"/>
              <w:rPr>
                <w:rFonts w:ascii="Times New Roman" w:hAnsi="Times New Roman"/>
                <w:sz w:val="24"/>
              </w:rPr>
            </w:pPr>
          </w:p>
        </w:tc>
        <w:tc>
          <w:tcPr>
            <w:tcW w:w="4390" w:type="dxa"/>
            <w:vMerge/>
          </w:tcPr>
          <w:p w14:paraId="3BCA2426" w14:textId="77777777" w:rsidR="00604D2A" w:rsidRPr="00DD2265" w:rsidRDefault="00604D2A" w:rsidP="00656770">
            <w:pPr>
              <w:spacing w:after="0" w:line="240" w:lineRule="auto"/>
              <w:rPr>
                <w:rFonts w:ascii="Times New Roman" w:hAnsi="Times New Roman"/>
                <w:sz w:val="24"/>
              </w:rPr>
            </w:pPr>
          </w:p>
        </w:tc>
        <w:tc>
          <w:tcPr>
            <w:tcW w:w="1100" w:type="dxa"/>
          </w:tcPr>
          <w:p w14:paraId="54D9A6B0"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141.00</w:t>
            </w:r>
          </w:p>
        </w:tc>
      </w:tr>
      <w:tr w:rsidR="00604D2A" w:rsidRPr="00DD2265" w14:paraId="546B9366" w14:textId="77777777" w:rsidTr="00656770">
        <w:trPr>
          <w:cantSplit/>
        </w:trPr>
        <w:tc>
          <w:tcPr>
            <w:tcW w:w="539" w:type="dxa"/>
            <w:vMerge/>
          </w:tcPr>
          <w:p w14:paraId="72859825"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0A2AB4E3"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Rites troksnis</w:t>
            </w:r>
          </w:p>
        </w:tc>
        <w:tc>
          <w:tcPr>
            <w:tcW w:w="1422" w:type="dxa"/>
            <w:vMerge/>
          </w:tcPr>
          <w:p w14:paraId="236A1C3E"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8CA3DB5"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41AE11A9" w14:textId="77777777" w:rsidR="00604D2A" w:rsidRPr="00DD2265" w:rsidRDefault="00604D2A" w:rsidP="00656770">
            <w:pPr>
              <w:spacing w:after="0" w:line="240" w:lineRule="auto"/>
              <w:rPr>
                <w:rFonts w:ascii="Times New Roman" w:hAnsi="Times New Roman"/>
                <w:sz w:val="24"/>
              </w:rPr>
            </w:pPr>
          </w:p>
        </w:tc>
        <w:tc>
          <w:tcPr>
            <w:tcW w:w="4390" w:type="dxa"/>
            <w:vMerge/>
          </w:tcPr>
          <w:p w14:paraId="4DE8501E" w14:textId="77777777" w:rsidR="00604D2A" w:rsidRPr="00DD2265" w:rsidRDefault="00604D2A" w:rsidP="00656770">
            <w:pPr>
              <w:spacing w:after="0" w:line="240" w:lineRule="auto"/>
              <w:rPr>
                <w:rFonts w:ascii="Times New Roman" w:hAnsi="Times New Roman"/>
                <w:sz w:val="24"/>
              </w:rPr>
            </w:pPr>
          </w:p>
        </w:tc>
        <w:tc>
          <w:tcPr>
            <w:tcW w:w="1100" w:type="dxa"/>
          </w:tcPr>
          <w:p w14:paraId="645672ED"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117.01</w:t>
            </w:r>
          </w:p>
          <w:p w14:paraId="6383DABE"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117.02</w:t>
            </w:r>
          </w:p>
        </w:tc>
      </w:tr>
      <w:tr w:rsidR="00604D2A" w:rsidRPr="00DD2265" w14:paraId="719E3FF2" w14:textId="77777777" w:rsidTr="00656770">
        <w:trPr>
          <w:cantSplit/>
        </w:trPr>
        <w:tc>
          <w:tcPr>
            <w:tcW w:w="539" w:type="dxa"/>
            <w:vMerge/>
          </w:tcPr>
          <w:p w14:paraId="3E028ADE"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val="restart"/>
          </w:tcPr>
          <w:p w14:paraId="02964630"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Riepu uzstādīšana</w:t>
            </w:r>
          </w:p>
        </w:tc>
        <w:tc>
          <w:tcPr>
            <w:tcW w:w="1422" w:type="dxa"/>
          </w:tcPr>
          <w:p w14:paraId="5A0F4341" w14:textId="77777777" w:rsidR="00604D2A" w:rsidRPr="00DD2265" w:rsidRDefault="00604D2A" w:rsidP="00656770">
            <w:pPr>
              <w:spacing w:after="0" w:line="240" w:lineRule="auto"/>
              <w:ind w:hanging="223"/>
              <w:jc w:val="center"/>
              <w:rPr>
                <w:rFonts w:ascii="Times New Roman" w:hAnsi="Times New Roman"/>
                <w:bCs/>
                <w:sz w:val="24"/>
              </w:rPr>
            </w:pPr>
            <w:r w:rsidRPr="00DD2265">
              <w:rPr>
                <w:rFonts w:ascii="Times New Roman" w:hAnsi="Times New Roman"/>
                <w:bCs/>
                <w:sz w:val="24"/>
              </w:rPr>
              <w:t>Regula (ES)</w:t>
            </w:r>
          </w:p>
          <w:p w14:paraId="1693E7B7"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bCs/>
                <w:sz w:val="24"/>
              </w:rPr>
              <w:t>Nr.458/2011</w:t>
            </w:r>
          </w:p>
        </w:tc>
        <w:tc>
          <w:tcPr>
            <w:tcW w:w="3798" w:type="dxa"/>
          </w:tcPr>
          <w:p w14:paraId="432D0C74"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1891" w:type="dxa"/>
          </w:tcPr>
          <w:p w14:paraId="3243A817" w14:textId="77777777" w:rsidR="00604D2A" w:rsidRPr="00DD2265" w:rsidRDefault="00604D2A" w:rsidP="00656770">
            <w:pPr>
              <w:spacing w:after="0" w:line="240" w:lineRule="auto"/>
              <w:ind w:hanging="482"/>
              <w:jc w:val="center"/>
              <w:rPr>
                <w:rFonts w:ascii="Times New Roman" w:hAnsi="Times New Roman"/>
                <w:bCs/>
                <w:sz w:val="24"/>
              </w:rPr>
            </w:pPr>
            <w:r w:rsidRPr="00DD2265">
              <w:rPr>
                <w:rFonts w:ascii="Times New Roman" w:hAnsi="Times New Roman"/>
                <w:bCs/>
                <w:sz w:val="24"/>
              </w:rPr>
              <w:t>Regula (ES)</w:t>
            </w:r>
          </w:p>
          <w:p w14:paraId="68944E0C" w14:textId="77777777" w:rsidR="00604D2A" w:rsidRPr="00DD2265" w:rsidRDefault="00604D2A" w:rsidP="00656770">
            <w:pPr>
              <w:spacing w:after="0" w:line="240" w:lineRule="auto"/>
              <w:rPr>
                <w:rFonts w:ascii="Times New Roman" w:hAnsi="Times New Roman"/>
                <w:sz w:val="24"/>
              </w:rPr>
            </w:pPr>
            <w:r w:rsidRPr="00DD2265">
              <w:rPr>
                <w:rFonts w:ascii="Times New Roman" w:hAnsi="Times New Roman"/>
                <w:bCs/>
                <w:sz w:val="24"/>
              </w:rPr>
              <w:t>Nr.458/2011</w:t>
            </w:r>
          </w:p>
        </w:tc>
        <w:tc>
          <w:tcPr>
            <w:tcW w:w="4390" w:type="dxa"/>
          </w:tcPr>
          <w:p w14:paraId="1C831E71" w14:textId="77777777" w:rsidR="00604D2A" w:rsidRPr="00DD2265" w:rsidRDefault="00604D2A" w:rsidP="00656770">
            <w:pPr>
              <w:spacing w:after="0" w:line="240" w:lineRule="auto"/>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1100" w:type="dxa"/>
          </w:tcPr>
          <w:p w14:paraId="6D33A718"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w:t>
            </w:r>
          </w:p>
        </w:tc>
      </w:tr>
      <w:tr w:rsidR="00604D2A" w:rsidRPr="00DD2265" w14:paraId="263372C4" w14:textId="77777777" w:rsidTr="00656770">
        <w:trPr>
          <w:cantSplit/>
        </w:trPr>
        <w:tc>
          <w:tcPr>
            <w:tcW w:w="539" w:type="dxa"/>
            <w:vMerge/>
          </w:tcPr>
          <w:p w14:paraId="5F082D69"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57C2F0C8" w14:textId="77777777" w:rsidR="00604D2A" w:rsidRPr="00DD2265" w:rsidRDefault="00604D2A" w:rsidP="00656770">
            <w:pPr>
              <w:spacing w:after="0" w:line="240" w:lineRule="auto"/>
              <w:ind w:right="-140"/>
              <w:rPr>
                <w:rFonts w:ascii="Times New Roman" w:hAnsi="Times New Roman"/>
                <w:sz w:val="24"/>
              </w:rPr>
            </w:pPr>
          </w:p>
        </w:tc>
        <w:tc>
          <w:tcPr>
            <w:tcW w:w="1422" w:type="dxa"/>
          </w:tcPr>
          <w:p w14:paraId="6C9C081D" w14:textId="77777777" w:rsidR="00604D2A" w:rsidRPr="00DD2265" w:rsidRDefault="00604D2A" w:rsidP="00656770">
            <w:pPr>
              <w:spacing w:after="0" w:line="240" w:lineRule="auto"/>
              <w:ind w:hanging="223"/>
              <w:jc w:val="center"/>
              <w:rPr>
                <w:rFonts w:ascii="Times New Roman" w:hAnsi="Times New Roman"/>
                <w:bCs/>
                <w:sz w:val="24"/>
              </w:rPr>
            </w:pPr>
            <w:r w:rsidRPr="00DD2265">
              <w:rPr>
                <w:rFonts w:ascii="Times New Roman" w:hAnsi="Times New Roman"/>
                <w:bCs/>
                <w:sz w:val="24"/>
              </w:rPr>
              <w:t>-</w:t>
            </w:r>
          </w:p>
        </w:tc>
        <w:tc>
          <w:tcPr>
            <w:tcW w:w="3798" w:type="dxa"/>
          </w:tcPr>
          <w:p w14:paraId="38F02A1C" w14:textId="77777777" w:rsidR="00604D2A" w:rsidRPr="00DD2265" w:rsidRDefault="00604D2A" w:rsidP="00656770">
            <w:pPr>
              <w:spacing w:after="0" w:line="240" w:lineRule="auto"/>
              <w:ind w:left="-108" w:right="-125"/>
              <w:rPr>
                <w:rFonts w:ascii="Times New Roman" w:hAnsi="Times New Roman"/>
                <w:bCs/>
                <w:sz w:val="24"/>
              </w:rPr>
            </w:pPr>
          </w:p>
        </w:tc>
        <w:tc>
          <w:tcPr>
            <w:tcW w:w="1891" w:type="dxa"/>
          </w:tcPr>
          <w:p w14:paraId="708C4B76" w14:textId="77777777" w:rsidR="00604D2A" w:rsidRPr="00DD2265" w:rsidRDefault="00604D2A" w:rsidP="00656770">
            <w:pPr>
              <w:spacing w:after="0" w:line="240" w:lineRule="auto"/>
              <w:ind w:hanging="482"/>
              <w:jc w:val="center"/>
              <w:rPr>
                <w:rFonts w:ascii="Times New Roman" w:hAnsi="Times New Roman"/>
                <w:bCs/>
                <w:sz w:val="24"/>
              </w:rPr>
            </w:pPr>
            <w:r w:rsidRPr="00DD2265">
              <w:rPr>
                <w:rFonts w:ascii="Times New Roman" w:hAnsi="Times New Roman"/>
                <w:bCs/>
                <w:sz w:val="24"/>
              </w:rPr>
              <w:t>-</w:t>
            </w:r>
          </w:p>
        </w:tc>
        <w:tc>
          <w:tcPr>
            <w:tcW w:w="4390" w:type="dxa"/>
          </w:tcPr>
          <w:p w14:paraId="5137DF28" w14:textId="77777777" w:rsidR="00604D2A" w:rsidRPr="00DD2265" w:rsidRDefault="00604D2A" w:rsidP="00656770">
            <w:pPr>
              <w:spacing w:after="0" w:line="240" w:lineRule="auto"/>
              <w:rPr>
                <w:rFonts w:ascii="Times New Roman" w:hAnsi="Times New Roman"/>
                <w:bCs/>
                <w:sz w:val="24"/>
              </w:rPr>
            </w:pPr>
          </w:p>
        </w:tc>
        <w:tc>
          <w:tcPr>
            <w:tcW w:w="1100" w:type="dxa"/>
          </w:tcPr>
          <w:p w14:paraId="6778F3F2"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142.00</w:t>
            </w:r>
          </w:p>
        </w:tc>
      </w:tr>
    </w:tbl>
    <w:p w14:paraId="1EC6999B" w14:textId="77777777" w:rsidR="00604D2A" w:rsidRPr="00DD2265" w:rsidRDefault="00604D2A" w:rsidP="00604D2A">
      <w:pPr>
        <w:spacing w:after="0" w:line="240" w:lineRule="auto"/>
        <w:jc w:val="both"/>
        <w:rPr>
          <w:rFonts w:ascii="Times New Roman" w:hAnsi="Times New Roman"/>
          <w:sz w:val="28"/>
          <w:szCs w:val="28"/>
        </w:rPr>
      </w:pPr>
    </w:p>
    <w:p w14:paraId="43FF7EF7" w14:textId="77777777" w:rsidR="00604D2A" w:rsidRPr="00DD2265" w:rsidRDefault="00604D2A" w:rsidP="00604D2A">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CB0E91" w:rsidRPr="00DD2265">
        <w:rPr>
          <w:rFonts w:ascii="Times New Roman" w:hAnsi="Times New Roman"/>
          <w:sz w:val="28"/>
          <w:szCs w:val="28"/>
        </w:rPr>
        <w:t>51., 52. un 53.</w:t>
      </w:r>
      <w:r w:rsidRPr="00DD2265">
        <w:rPr>
          <w:rFonts w:ascii="Times New Roman" w:hAnsi="Times New Roman"/>
          <w:sz w:val="28"/>
          <w:szCs w:val="28"/>
        </w:rPr>
        <w:t xml:space="preserve"> punktu šādā redakcijā:</w:t>
      </w:r>
    </w:p>
    <w:p w14:paraId="3BB6914A" w14:textId="77777777" w:rsidR="00604D2A" w:rsidRPr="00DD2265" w:rsidRDefault="00604D2A" w:rsidP="00604D2A">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450B9" w:rsidRPr="00DD2265" w14:paraId="4E809911" w14:textId="77777777" w:rsidTr="00656770">
        <w:trPr>
          <w:cantSplit/>
        </w:trPr>
        <w:tc>
          <w:tcPr>
            <w:tcW w:w="539" w:type="dxa"/>
          </w:tcPr>
          <w:p w14:paraId="65F08944"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t>51.</w:t>
            </w:r>
          </w:p>
        </w:tc>
        <w:tc>
          <w:tcPr>
            <w:tcW w:w="2100" w:type="dxa"/>
          </w:tcPr>
          <w:p w14:paraId="57CED72F" w14:textId="77777777" w:rsidR="006450B9" w:rsidRPr="00DD2265" w:rsidRDefault="006450B9"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 xml:space="preserve">Tālsatiksmes autobusu interjera materiālu </w:t>
            </w:r>
            <w:proofErr w:type="spellStart"/>
            <w:r w:rsidRPr="00DD2265">
              <w:rPr>
                <w:rFonts w:ascii="Times New Roman" w:hAnsi="Times New Roman"/>
                <w:sz w:val="24"/>
              </w:rPr>
              <w:t>uzliesmojamība</w:t>
            </w:r>
            <w:proofErr w:type="spellEnd"/>
          </w:p>
          <w:p w14:paraId="35220BFA" w14:textId="77777777" w:rsidR="006450B9" w:rsidRPr="00DD2265" w:rsidRDefault="006450B9" w:rsidP="00656770">
            <w:pPr>
              <w:spacing w:after="0" w:line="240" w:lineRule="auto"/>
              <w:rPr>
                <w:rFonts w:ascii="Times New Roman" w:hAnsi="Times New Roman"/>
                <w:sz w:val="24"/>
              </w:rPr>
            </w:pPr>
          </w:p>
        </w:tc>
        <w:tc>
          <w:tcPr>
            <w:tcW w:w="1422" w:type="dxa"/>
          </w:tcPr>
          <w:p w14:paraId="763250DB"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95/28/EK</w:t>
            </w:r>
          </w:p>
        </w:tc>
        <w:tc>
          <w:tcPr>
            <w:tcW w:w="3798" w:type="dxa"/>
          </w:tcPr>
          <w:p w14:paraId="0354D600"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1995.gada 24.oktobra Direktīva 95/28/EK par dažu kategoriju mehānisko transportlīdzekļu iekšējās apdares materiālu ugunsizturību (Eiropas Savienības Oficiālais Vēstnesis, 01.05.2004., L 281, 1.–30.lpp.)</w:t>
            </w:r>
          </w:p>
        </w:tc>
        <w:tc>
          <w:tcPr>
            <w:tcW w:w="1891" w:type="dxa"/>
          </w:tcPr>
          <w:p w14:paraId="68A27BF7"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t>95/28/EK</w:t>
            </w:r>
            <w:r w:rsidRPr="00DD2265">
              <w:rPr>
                <w:rFonts w:ascii="Times New Roman" w:hAnsi="Times New Roman"/>
                <w:bCs/>
                <w:sz w:val="24"/>
                <w:vertAlign w:val="superscript"/>
              </w:rPr>
              <w:t>32</w:t>
            </w:r>
          </w:p>
        </w:tc>
        <w:tc>
          <w:tcPr>
            <w:tcW w:w="4390" w:type="dxa"/>
          </w:tcPr>
          <w:p w14:paraId="3C7A94E4"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1995.gada 24.oktobra Direktīva 95/28/EK par dažu kategoriju mehānisko transportlīdzekļu iekšējās apdares materiālu ugunsizturību (Eiropas Savienības Oficiālais Vēstnesis, 01.05.2004., L 281, 1.–30.lpp.)</w:t>
            </w:r>
          </w:p>
        </w:tc>
        <w:tc>
          <w:tcPr>
            <w:tcW w:w="1100" w:type="dxa"/>
          </w:tcPr>
          <w:p w14:paraId="45AEB75C"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118.00</w:t>
            </w:r>
          </w:p>
          <w:p w14:paraId="5ABD17AA"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118.01</w:t>
            </w:r>
          </w:p>
          <w:p w14:paraId="2341CD65"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118.02</w:t>
            </w:r>
          </w:p>
          <w:p w14:paraId="2E71601A" w14:textId="77777777" w:rsidR="006450B9" w:rsidRPr="00DD2265" w:rsidRDefault="006450B9" w:rsidP="00656770">
            <w:pPr>
              <w:spacing w:after="0" w:line="240" w:lineRule="auto"/>
              <w:ind w:left="-113" w:right="-57"/>
              <w:jc w:val="center"/>
              <w:rPr>
                <w:rFonts w:ascii="Times New Roman" w:hAnsi="Times New Roman"/>
                <w:b/>
                <w:sz w:val="24"/>
              </w:rPr>
            </w:pPr>
            <w:r w:rsidRPr="00DD2265">
              <w:rPr>
                <w:rFonts w:ascii="Times New Roman" w:hAnsi="Times New Roman"/>
                <w:sz w:val="24"/>
              </w:rPr>
              <w:t>118.03</w:t>
            </w:r>
          </w:p>
        </w:tc>
      </w:tr>
      <w:tr w:rsidR="006450B9" w:rsidRPr="00DD2265" w14:paraId="19487243" w14:textId="77777777" w:rsidTr="00656770">
        <w:trPr>
          <w:cantSplit/>
        </w:trPr>
        <w:tc>
          <w:tcPr>
            <w:tcW w:w="539" w:type="dxa"/>
            <w:vMerge w:val="restart"/>
          </w:tcPr>
          <w:p w14:paraId="367CEFED"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lastRenderedPageBreak/>
              <w:t>52.</w:t>
            </w:r>
          </w:p>
        </w:tc>
        <w:tc>
          <w:tcPr>
            <w:tcW w:w="2100" w:type="dxa"/>
          </w:tcPr>
          <w:p w14:paraId="720D2D43"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Autobusi un tālsatiksmes autobusi</w:t>
            </w:r>
          </w:p>
        </w:tc>
        <w:tc>
          <w:tcPr>
            <w:tcW w:w="1422" w:type="dxa"/>
            <w:vMerge w:val="restart"/>
          </w:tcPr>
          <w:p w14:paraId="7E8E5F31"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2001/85/EK</w:t>
            </w:r>
          </w:p>
        </w:tc>
        <w:tc>
          <w:tcPr>
            <w:tcW w:w="3798" w:type="dxa"/>
            <w:vMerge w:val="restart"/>
          </w:tcPr>
          <w:p w14:paraId="36E6E4BF"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042, 1.–102.lpp.)</w:t>
            </w:r>
          </w:p>
        </w:tc>
        <w:tc>
          <w:tcPr>
            <w:tcW w:w="1891" w:type="dxa"/>
            <w:vMerge w:val="restart"/>
          </w:tcPr>
          <w:p w14:paraId="52E2364C" w14:textId="77777777" w:rsidR="006450B9" w:rsidRPr="00DD2265" w:rsidRDefault="006450B9" w:rsidP="00656770">
            <w:pPr>
              <w:spacing w:after="0" w:line="240" w:lineRule="auto"/>
              <w:rPr>
                <w:rFonts w:ascii="Times New Roman" w:hAnsi="Times New Roman"/>
                <w:sz w:val="24"/>
                <w:vertAlign w:val="superscript"/>
              </w:rPr>
            </w:pPr>
            <w:r w:rsidRPr="00DD2265">
              <w:rPr>
                <w:rFonts w:ascii="Times New Roman" w:hAnsi="Times New Roman"/>
                <w:bCs/>
                <w:sz w:val="24"/>
              </w:rPr>
              <w:t>2001/85/EK</w:t>
            </w:r>
            <w:r w:rsidRPr="00DD2265">
              <w:rPr>
                <w:rFonts w:ascii="Times New Roman" w:hAnsi="Times New Roman"/>
                <w:bCs/>
                <w:sz w:val="24"/>
                <w:vertAlign w:val="superscript"/>
              </w:rPr>
              <w:t>32</w:t>
            </w:r>
          </w:p>
        </w:tc>
        <w:tc>
          <w:tcPr>
            <w:tcW w:w="4390" w:type="dxa"/>
            <w:vMerge w:val="restart"/>
          </w:tcPr>
          <w:p w14:paraId="4B49E351"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042, 1.–102.lpp.)</w:t>
            </w:r>
          </w:p>
        </w:tc>
        <w:tc>
          <w:tcPr>
            <w:tcW w:w="1100" w:type="dxa"/>
          </w:tcPr>
          <w:p w14:paraId="6CA26EDE"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107.00</w:t>
            </w:r>
          </w:p>
          <w:p w14:paraId="2E842FB0"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107.01</w:t>
            </w:r>
          </w:p>
          <w:p w14:paraId="2026424A"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107.02</w:t>
            </w:r>
          </w:p>
          <w:p w14:paraId="76C9D211"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107.03</w:t>
            </w:r>
          </w:p>
          <w:p w14:paraId="378CD76E"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107.04</w:t>
            </w:r>
          </w:p>
          <w:p w14:paraId="3131572D"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107.05</w:t>
            </w:r>
          </w:p>
          <w:p w14:paraId="4CEA2660"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107.06</w:t>
            </w:r>
          </w:p>
          <w:p w14:paraId="4DCF0039"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107.07</w:t>
            </w:r>
          </w:p>
        </w:tc>
      </w:tr>
      <w:tr w:rsidR="006450B9" w:rsidRPr="00DD2265" w14:paraId="3F9A0C62" w14:textId="77777777" w:rsidTr="00656770">
        <w:trPr>
          <w:cantSplit/>
        </w:trPr>
        <w:tc>
          <w:tcPr>
            <w:tcW w:w="539" w:type="dxa"/>
            <w:vMerge/>
          </w:tcPr>
          <w:p w14:paraId="0B5428DE"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36B08CCA"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Virsbūves izturīgums (autobusi un tālsatiksmes autobusi)</w:t>
            </w:r>
          </w:p>
        </w:tc>
        <w:tc>
          <w:tcPr>
            <w:tcW w:w="1422" w:type="dxa"/>
            <w:vMerge/>
          </w:tcPr>
          <w:p w14:paraId="2E15E771"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195CAD86"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1379AE7F"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3E27F62F" w14:textId="77777777" w:rsidR="006450B9" w:rsidRPr="00DD2265" w:rsidRDefault="006450B9" w:rsidP="00656770">
            <w:pPr>
              <w:spacing w:after="0" w:line="240" w:lineRule="auto"/>
              <w:rPr>
                <w:rFonts w:ascii="Times New Roman" w:hAnsi="Times New Roman"/>
                <w:sz w:val="24"/>
              </w:rPr>
            </w:pPr>
          </w:p>
        </w:tc>
        <w:tc>
          <w:tcPr>
            <w:tcW w:w="1100" w:type="dxa"/>
          </w:tcPr>
          <w:p w14:paraId="1E1C3DD2"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66.00</w:t>
            </w:r>
          </w:p>
          <w:p w14:paraId="3C7C6579"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66.01</w:t>
            </w:r>
          </w:p>
          <w:p w14:paraId="0B4DB80A"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66.02</w:t>
            </w:r>
          </w:p>
        </w:tc>
      </w:tr>
      <w:tr w:rsidR="006450B9" w:rsidRPr="00DD2265" w14:paraId="4632A399" w14:textId="77777777" w:rsidTr="00656770">
        <w:trPr>
          <w:cantSplit/>
          <w:trHeight w:val="822"/>
        </w:trPr>
        <w:tc>
          <w:tcPr>
            <w:tcW w:w="539" w:type="dxa"/>
            <w:vMerge/>
          </w:tcPr>
          <w:p w14:paraId="13D9E0A6"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288BFA00"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Autobusu (&gt;22 pasažieru) konstrukcija</w:t>
            </w:r>
          </w:p>
        </w:tc>
        <w:tc>
          <w:tcPr>
            <w:tcW w:w="1422" w:type="dxa"/>
            <w:vMerge/>
          </w:tcPr>
          <w:p w14:paraId="1D02A699"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09BDF1D5"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56F33F56"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4CD1A09B" w14:textId="77777777" w:rsidR="006450B9" w:rsidRPr="00DD2265" w:rsidRDefault="006450B9" w:rsidP="00656770">
            <w:pPr>
              <w:spacing w:after="0" w:line="240" w:lineRule="auto"/>
              <w:rPr>
                <w:rFonts w:ascii="Times New Roman" w:hAnsi="Times New Roman"/>
                <w:sz w:val="24"/>
              </w:rPr>
            </w:pPr>
          </w:p>
        </w:tc>
        <w:tc>
          <w:tcPr>
            <w:tcW w:w="1100" w:type="dxa"/>
          </w:tcPr>
          <w:p w14:paraId="210B3666"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36.03</w:t>
            </w:r>
          </w:p>
        </w:tc>
      </w:tr>
      <w:tr w:rsidR="006450B9" w:rsidRPr="00DD2265" w14:paraId="7B715190" w14:textId="77777777" w:rsidTr="00656770">
        <w:trPr>
          <w:cantSplit/>
        </w:trPr>
        <w:tc>
          <w:tcPr>
            <w:tcW w:w="539" w:type="dxa"/>
            <w:vMerge/>
          </w:tcPr>
          <w:p w14:paraId="1FBAF56F"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6266566C" w14:textId="77777777" w:rsidR="006450B9" w:rsidRPr="00DD2265" w:rsidRDefault="006450B9" w:rsidP="00656770">
            <w:pPr>
              <w:spacing w:after="0" w:line="240" w:lineRule="auto"/>
              <w:ind w:right="-108" w:hanging="11"/>
              <w:rPr>
                <w:rFonts w:ascii="Times New Roman" w:hAnsi="Times New Roman"/>
                <w:sz w:val="24"/>
              </w:rPr>
            </w:pPr>
            <w:r w:rsidRPr="00DD2265">
              <w:rPr>
                <w:rFonts w:ascii="Times New Roman" w:hAnsi="Times New Roman"/>
                <w:sz w:val="24"/>
              </w:rPr>
              <w:t>Autobusu (≤22 pasažieru) konstrukcija</w:t>
            </w:r>
          </w:p>
        </w:tc>
        <w:tc>
          <w:tcPr>
            <w:tcW w:w="1422" w:type="dxa"/>
            <w:vMerge/>
          </w:tcPr>
          <w:p w14:paraId="0B0E68CB"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42D6FB61"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4C768497"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79C97237" w14:textId="77777777" w:rsidR="006450B9" w:rsidRPr="00DD2265" w:rsidRDefault="006450B9" w:rsidP="00656770">
            <w:pPr>
              <w:spacing w:after="0" w:line="240" w:lineRule="auto"/>
              <w:rPr>
                <w:rFonts w:ascii="Times New Roman" w:hAnsi="Times New Roman"/>
                <w:sz w:val="24"/>
              </w:rPr>
            </w:pPr>
          </w:p>
        </w:tc>
        <w:tc>
          <w:tcPr>
            <w:tcW w:w="1100" w:type="dxa"/>
          </w:tcPr>
          <w:p w14:paraId="402F8E42"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52.01</w:t>
            </w:r>
          </w:p>
        </w:tc>
      </w:tr>
      <w:tr w:rsidR="006450B9" w:rsidRPr="00DD2265" w14:paraId="601F83AF" w14:textId="77777777" w:rsidTr="00656770">
        <w:trPr>
          <w:cantSplit/>
          <w:trHeight w:val="180"/>
        </w:trPr>
        <w:tc>
          <w:tcPr>
            <w:tcW w:w="539" w:type="dxa"/>
            <w:vMerge w:val="restart"/>
          </w:tcPr>
          <w:p w14:paraId="45530E7A"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t>53.</w:t>
            </w:r>
          </w:p>
        </w:tc>
        <w:tc>
          <w:tcPr>
            <w:tcW w:w="2100" w:type="dxa"/>
            <w:vMerge w:val="restart"/>
          </w:tcPr>
          <w:p w14:paraId="1E5F4041"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Frontālā sadursme</w:t>
            </w:r>
          </w:p>
        </w:tc>
        <w:tc>
          <w:tcPr>
            <w:tcW w:w="1422" w:type="dxa"/>
            <w:vMerge w:val="restart"/>
          </w:tcPr>
          <w:p w14:paraId="4730C099"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96/79/EK</w:t>
            </w:r>
          </w:p>
        </w:tc>
        <w:tc>
          <w:tcPr>
            <w:tcW w:w="3798" w:type="dxa"/>
            <w:vMerge w:val="restart"/>
          </w:tcPr>
          <w:p w14:paraId="34599642"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1996.gada 16.decembra Direktīva 96/79/EK, kas attiecas uz mehāniskajā transportlīdzeklī esošo personu aizsardzību frontālas sadursmes gadījumā un ar ko groza Direktīvu 70/156/</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w:t>
            </w:r>
            <w:r w:rsidRPr="00DD2265">
              <w:rPr>
                <w:rFonts w:ascii="Times New Roman" w:hAnsi="Times New Roman"/>
                <w:noProof/>
                <w:sz w:val="24"/>
              </w:rPr>
              <w:lastRenderedPageBreak/>
              <w:t>Savienības Oficiālais Vēstnesis, 01.05.2004., L 018, 7.–50.lpp.)</w:t>
            </w:r>
          </w:p>
        </w:tc>
        <w:tc>
          <w:tcPr>
            <w:tcW w:w="1891" w:type="dxa"/>
          </w:tcPr>
          <w:p w14:paraId="6BE6324C"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lastRenderedPageBreak/>
              <w:t>96/79/EK</w:t>
            </w:r>
            <w:r w:rsidRPr="00DD2265">
              <w:rPr>
                <w:rFonts w:ascii="Times New Roman" w:hAnsi="Times New Roman"/>
                <w:bCs/>
                <w:sz w:val="24"/>
                <w:vertAlign w:val="superscript"/>
              </w:rPr>
              <w:t>32</w:t>
            </w:r>
          </w:p>
        </w:tc>
        <w:tc>
          <w:tcPr>
            <w:tcW w:w="4390" w:type="dxa"/>
          </w:tcPr>
          <w:p w14:paraId="79248305"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1996.gada 16.decembra Direktīva 96/79/EK, kas attiecas uz  mehāniskajā transportlīdzeklī esošo personu aizsardzību frontālas sadursmes gadījumā un ar ko groza Direktīvu 70/156/</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018, 7.–50.lpp.)</w:t>
            </w:r>
          </w:p>
        </w:tc>
        <w:tc>
          <w:tcPr>
            <w:tcW w:w="1100" w:type="dxa"/>
            <w:vMerge w:val="restart"/>
          </w:tcPr>
          <w:p w14:paraId="08C348F0"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94.00</w:t>
            </w:r>
          </w:p>
          <w:p w14:paraId="46D1C4E0"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94.01</w:t>
            </w:r>
          </w:p>
          <w:p w14:paraId="787AAD39"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94.02</w:t>
            </w:r>
          </w:p>
          <w:p w14:paraId="15545A79"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94.03</w:t>
            </w:r>
          </w:p>
        </w:tc>
      </w:tr>
      <w:tr w:rsidR="006450B9" w:rsidRPr="00DD2265" w14:paraId="4096B77E" w14:textId="77777777" w:rsidTr="00656770">
        <w:trPr>
          <w:cantSplit/>
          <w:trHeight w:val="375"/>
        </w:trPr>
        <w:tc>
          <w:tcPr>
            <w:tcW w:w="539" w:type="dxa"/>
            <w:vMerge/>
          </w:tcPr>
          <w:p w14:paraId="340BC577"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vMerge/>
          </w:tcPr>
          <w:p w14:paraId="42A3277E" w14:textId="77777777" w:rsidR="006450B9" w:rsidRPr="00DD2265" w:rsidRDefault="006450B9" w:rsidP="00656770">
            <w:pPr>
              <w:spacing w:after="0" w:line="240" w:lineRule="auto"/>
              <w:ind w:right="-108"/>
              <w:rPr>
                <w:rFonts w:ascii="Times New Roman" w:hAnsi="Times New Roman"/>
                <w:sz w:val="24"/>
              </w:rPr>
            </w:pPr>
          </w:p>
        </w:tc>
        <w:tc>
          <w:tcPr>
            <w:tcW w:w="1422" w:type="dxa"/>
            <w:vMerge/>
          </w:tcPr>
          <w:p w14:paraId="082EEEA2"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0B8578DF" w14:textId="77777777" w:rsidR="006450B9" w:rsidRPr="00DD2265" w:rsidRDefault="006450B9" w:rsidP="00656770">
            <w:pPr>
              <w:spacing w:after="0" w:line="240" w:lineRule="auto"/>
              <w:ind w:left="-108" w:right="-125"/>
              <w:rPr>
                <w:rFonts w:ascii="Times New Roman" w:hAnsi="Times New Roman"/>
                <w:b/>
                <w:bCs/>
                <w:sz w:val="24"/>
              </w:rPr>
            </w:pPr>
          </w:p>
        </w:tc>
        <w:tc>
          <w:tcPr>
            <w:tcW w:w="1891" w:type="dxa"/>
          </w:tcPr>
          <w:p w14:paraId="1A7AC972"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t>1999/98/EK</w:t>
            </w:r>
            <w:r w:rsidRPr="00DD2265">
              <w:rPr>
                <w:rFonts w:ascii="Times New Roman" w:hAnsi="Times New Roman"/>
                <w:bCs/>
                <w:sz w:val="24"/>
                <w:vertAlign w:val="superscript"/>
              </w:rPr>
              <w:t>32</w:t>
            </w:r>
          </w:p>
        </w:tc>
        <w:tc>
          <w:tcPr>
            <w:tcW w:w="4390" w:type="dxa"/>
          </w:tcPr>
          <w:p w14:paraId="738EEA5C"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Komisijas 1999.gada 15.decembra Direktīva 1999/98/EK, ar kuru tehnikas attīstībai pielāgo Eiropas Parlamenta un Padomes Direktīvu 96/79/EK, kas attiecas uz mehāniskajā transportlīdzeklī esošo personu aizsardzību frontālas sadursmes gadījumā (Dokuments attiecas uz EEZ) (Eiropas Savienības Oficiālais Vēstnesis, 01.05.2004., L 009, 14.–21.lpp.)</w:t>
            </w:r>
          </w:p>
        </w:tc>
        <w:tc>
          <w:tcPr>
            <w:tcW w:w="1100" w:type="dxa"/>
            <w:vMerge/>
          </w:tcPr>
          <w:p w14:paraId="4CC1C45B" w14:textId="77777777" w:rsidR="006450B9" w:rsidRPr="00DD2265" w:rsidRDefault="006450B9" w:rsidP="00656770">
            <w:pPr>
              <w:spacing w:after="0" w:line="240" w:lineRule="auto"/>
              <w:ind w:left="-113" w:right="-57"/>
              <w:jc w:val="center"/>
              <w:rPr>
                <w:rFonts w:ascii="Times New Roman" w:hAnsi="Times New Roman"/>
                <w:bCs/>
                <w:sz w:val="24"/>
              </w:rPr>
            </w:pPr>
          </w:p>
        </w:tc>
      </w:tr>
    </w:tbl>
    <w:p w14:paraId="710A2DD8" w14:textId="77777777" w:rsidR="00604D2A" w:rsidRPr="00DD2265" w:rsidRDefault="00604D2A" w:rsidP="00604D2A">
      <w:pPr>
        <w:spacing w:after="0" w:line="240" w:lineRule="auto"/>
        <w:jc w:val="both"/>
        <w:rPr>
          <w:rFonts w:ascii="Times New Roman" w:hAnsi="Times New Roman"/>
          <w:sz w:val="28"/>
          <w:szCs w:val="28"/>
        </w:rPr>
      </w:pPr>
    </w:p>
    <w:p w14:paraId="2E8DA5D7" w14:textId="77777777" w:rsidR="00604D2A" w:rsidRPr="00DD2265" w:rsidRDefault="00604D2A" w:rsidP="00604D2A">
      <w:pPr>
        <w:spacing w:after="0" w:line="240" w:lineRule="auto"/>
        <w:jc w:val="both"/>
        <w:rPr>
          <w:rFonts w:ascii="Times New Roman" w:hAnsi="Times New Roman"/>
          <w:sz w:val="28"/>
          <w:szCs w:val="28"/>
        </w:rPr>
      </w:pPr>
    </w:p>
    <w:p w14:paraId="0B1FF204" w14:textId="77777777" w:rsidR="00604D2A" w:rsidRPr="00DD2265" w:rsidRDefault="00604D2A" w:rsidP="00604D2A">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6615CB" w:rsidRPr="00DD2265">
        <w:rPr>
          <w:rFonts w:ascii="Times New Roman" w:hAnsi="Times New Roman"/>
          <w:sz w:val="28"/>
          <w:szCs w:val="28"/>
        </w:rPr>
        <w:t>56.</w:t>
      </w:r>
      <w:r w:rsidRPr="00DD2265">
        <w:rPr>
          <w:rFonts w:ascii="Times New Roman" w:hAnsi="Times New Roman"/>
          <w:sz w:val="28"/>
          <w:szCs w:val="28"/>
        </w:rPr>
        <w:t xml:space="preserve"> punktu šādā redakcijā:</w:t>
      </w:r>
    </w:p>
    <w:p w14:paraId="63942CD0"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6D036749" w14:textId="77777777" w:rsidTr="00656770">
        <w:trPr>
          <w:cantSplit/>
        </w:trPr>
        <w:tc>
          <w:tcPr>
            <w:tcW w:w="539" w:type="dxa"/>
          </w:tcPr>
          <w:p w14:paraId="46880B97"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56.</w:t>
            </w:r>
          </w:p>
        </w:tc>
        <w:tc>
          <w:tcPr>
            <w:tcW w:w="2100" w:type="dxa"/>
          </w:tcPr>
          <w:p w14:paraId="6C318C80"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Transportlīdzekļi, kas paredzēti bīstamu kravu pārvadāšanai (ADR)</w:t>
            </w:r>
          </w:p>
        </w:tc>
        <w:tc>
          <w:tcPr>
            <w:tcW w:w="1422" w:type="dxa"/>
          </w:tcPr>
          <w:p w14:paraId="43E7F2E0"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98/91/EK</w:t>
            </w:r>
          </w:p>
        </w:tc>
        <w:tc>
          <w:tcPr>
            <w:tcW w:w="3798" w:type="dxa"/>
          </w:tcPr>
          <w:p w14:paraId="345D5644" w14:textId="77777777" w:rsidR="006615CB" w:rsidRPr="00DD2265" w:rsidRDefault="006615CB"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1998.gada 14.decembra Direktīva 98/91/EK, kas attiecas uz mehāniskiem transportlīdzekļiem un to piekabēm, kuri paredzēti bīstamo kravu pārvadāšanai pa autoceļiem, un ar ko groza Direktīvu 70/156/EEK par mehānisko transportlīdzekļu un to piekabju tipa apstiprināšanu (Eiropas Savienības Oficiālais Vēstnesis, 01.05.2004., L 011, 25.–36.lpp.)</w:t>
            </w:r>
          </w:p>
        </w:tc>
        <w:tc>
          <w:tcPr>
            <w:tcW w:w="1891" w:type="dxa"/>
          </w:tcPr>
          <w:p w14:paraId="7BC32ED7" w14:textId="77777777" w:rsidR="006615CB" w:rsidRPr="00DD2265" w:rsidRDefault="006615CB" w:rsidP="00656770">
            <w:pPr>
              <w:spacing w:after="0" w:line="240" w:lineRule="auto"/>
              <w:rPr>
                <w:rFonts w:ascii="Times New Roman" w:hAnsi="Times New Roman"/>
                <w:bCs/>
                <w:sz w:val="24"/>
                <w:vertAlign w:val="superscript"/>
              </w:rPr>
            </w:pPr>
            <w:r w:rsidRPr="00DD2265">
              <w:rPr>
                <w:rFonts w:ascii="Times New Roman" w:hAnsi="Times New Roman"/>
                <w:bCs/>
                <w:sz w:val="24"/>
              </w:rPr>
              <w:t>98/91/EK</w:t>
            </w:r>
            <w:r w:rsidRPr="00DD2265">
              <w:rPr>
                <w:rFonts w:ascii="Times New Roman" w:hAnsi="Times New Roman"/>
                <w:bCs/>
                <w:sz w:val="24"/>
                <w:vertAlign w:val="superscript"/>
              </w:rPr>
              <w:t>32</w:t>
            </w:r>
          </w:p>
        </w:tc>
        <w:tc>
          <w:tcPr>
            <w:tcW w:w="4390" w:type="dxa"/>
          </w:tcPr>
          <w:p w14:paraId="09E8DA88" w14:textId="77777777" w:rsidR="006615CB" w:rsidRPr="00DD2265" w:rsidRDefault="006615CB"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1998.gada 14.decembra Direktīva 98/91/EK, kas attiecas uz mehāniskiem transportlīdzekļiem un to piekabēm, kuri paredzēti bīstamo kravu pārvadāšanai pa autoceļiem, un ar ko groza Direktīvu 70/156/EEK par mehānisko transportlīdzekļu un to piekabju tipa apstiprināšanu (Eiropas Savienības Oficiālais Vēstnesis, 01.05.2004., L 011, 25.–36.lpp.)</w:t>
            </w:r>
          </w:p>
        </w:tc>
        <w:tc>
          <w:tcPr>
            <w:tcW w:w="1100" w:type="dxa"/>
          </w:tcPr>
          <w:p w14:paraId="45144097"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105.01</w:t>
            </w:r>
          </w:p>
          <w:p w14:paraId="34FEA8A3"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105.02</w:t>
            </w:r>
          </w:p>
          <w:p w14:paraId="28984F81"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105.03</w:t>
            </w:r>
          </w:p>
          <w:p w14:paraId="762EDCFB"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105.04</w:t>
            </w:r>
          </w:p>
          <w:p w14:paraId="7EE07035"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105.05</w:t>
            </w:r>
          </w:p>
          <w:p w14:paraId="033D982B"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105.06</w:t>
            </w:r>
          </w:p>
        </w:tc>
      </w:tr>
    </w:tbl>
    <w:p w14:paraId="369E482B" w14:textId="77777777" w:rsidR="006615CB" w:rsidRPr="00DD2265" w:rsidRDefault="006615CB" w:rsidP="006615CB">
      <w:pPr>
        <w:spacing w:after="0" w:line="240" w:lineRule="auto"/>
        <w:jc w:val="both"/>
        <w:rPr>
          <w:rFonts w:ascii="Times New Roman" w:hAnsi="Times New Roman"/>
          <w:sz w:val="28"/>
          <w:szCs w:val="28"/>
        </w:rPr>
      </w:pPr>
    </w:p>
    <w:p w14:paraId="714372B5" w14:textId="77777777" w:rsidR="006615CB" w:rsidRPr="00DD2265" w:rsidRDefault="006615CB">
      <w:pPr>
        <w:spacing w:after="0" w:line="240" w:lineRule="auto"/>
        <w:rPr>
          <w:rFonts w:ascii="Times New Roman" w:hAnsi="Times New Roman"/>
          <w:sz w:val="28"/>
          <w:szCs w:val="28"/>
        </w:rPr>
      </w:pPr>
      <w:r w:rsidRPr="00DD2265">
        <w:rPr>
          <w:rFonts w:ascii="Times New Roman" w:hAnsi="Times New Roman"/>
          <w:sz w:val="28"/>
          <w:szCs w:val="28"/>
        </w:rPr>
        <w:br w:type="page"/>
      </w:r>
    </w:p>
    <w:p w14:paraId="439488D5" w14:textId="77777777" w:rsidR="006615CB" w:rsidRPr="00DD2265" w:rsidRDefault="006615CB" w:rsidP="006615C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58. punktu šādā redakcijā:</w:t>
      </w:r>
    </w:p>
    <w:p w14:paraId="34522F9E"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50CB987D" w14:textId="77777777" w:rsidTr="00656770">
        <w:trPr>
          <w:cantSplit/>
          <w:trHeight w:val="1380"/>
        </w:trPr>
        <w:tc>
          <w:tcPr>
            <w:tcW w:w="539" w:type="dxa"/>
            <w:vMerge w:val="restart"/>
          </w:tcPr>
          <w:p w14:paraId="4FF98AE0"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58.</w:t>
            </w:r>
          </w:p>
        </w:tc>
        <w:tc>
          <w:tcPr>
            <w:tcW w:w="2100" w:type="dxa"/>
            <w:vMerge w:val="restart"/>
          </w:tcPr>
          <w:p w14:paraId="3351A258"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Gājēju aizsardzība</w:t>
            </w:r>
          </w:p>
        </w:tc>
        <w:tc>
          <w:tcPr>
            <w:tcW w:w="1422" w:type="dxa"/>
          </w:tcPr>
          <w:p w14:paraId="5DCDE42E"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2003/102/EK</w:t>
            </w:r>
          </w:p>
        </w:tc>
        <w:tc>
          <w:tcPr>
            <w:tcW w:w="3798" w:type="dxa"/>
            <w:shd w:val="clear" w:color="auto" w:fill="auto"/>
          </w:tcPr>
          <w:p w14:paraId="3EB7AD3A"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noProof/>
                <w:sz w:val="24"/>
              </w:rPr>
              <w:t>Eiropas Parlamenta un Padomes 2003.gada 17.novembra Direktīva 2003/102/EK par gājēju un citu ievainojamu satiksmes dalībnieku aizsardzību pirms sadursmes ar transportlīdzekli un sadursmes gadījumā un par Padomes Direktīva 70/156/EEK grozījumiem(Eiropas Savienības Oficiālais Vēstnesis, 01.05.2004., L 321, 15.–25.lpp.)</w:t>
            </w:r>
          </w:p>
        </w:tc>
        <w:tc>
          <w:tcPr>
            <w:tcW w:w="1891" w:type="dxa"/>
            <w:shd w:val="clear" w:color="auto" w:fill="auto"/>
          </w:tcPr>
          <w:p w14:paraId="277D4EDB" w14:textId="77777777" w:rsidR="006615CB" w:rsidRPr="00DD2265" w:rsidRDefault="006615CB" w:rsidP="00656770">
            <w:pPr>
              <w:spacing w:after="0" w:line="240" w:lineRule="auto"/>
              <w:ind w:left="-78"/>
              <w:rPr>
                <w:rFonts w:ascii="Times New Roman" w:hAnsi="Times New Roman"/>
                <w:sz w:val="24"/>
              </w:rPr>
            </w:pPr>
            <w:r w:rsidRPr="00DD2265">
              <w:rPr>
                <w:rFonts w:ascii="Times New Roman" w:hAnsi="Times New Roman"/>
                <w:sz w:val="24"/>
              </w:rPr>
              <w:t>2003/102/EK</w:t>
            </w:r>
            <w:r w:rsidRPr="00DD2265">
              <w:rPr>
                <w:rFonts w:ascii="Times New Roman" w:hAnsi="Times New Roman"/>
                <w:sz w:val="24"/>
                <w:vertAlign w:val="superscript"/>
              </w:rPr>
              <w:t>31</w:t>
            </w:r>
          </w:p>
        </w:tc>
        <w:tc>
          <w:tcPr>
            <w:tcW w:w="4390" w:type="dxa"/>
            <w:shd w:val="clear" w:color="auto" w:fill="auto"/>
          </w:tcPr>
          <w:p w14:paraId="0D46F7A9"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noProof/>
                <w:sz w:val="24"/>
              </w:rPr>
              <w:t>Eiropas Parlamenta un Padomes 2003.gada 17.novembra Direktīva 2003/102/EK par gājēju un citu ievainojamu satiksmes dalībnieku aizsardzību pirms sadursmes ar transportlīdzekli un sadursmes gadījumā un par Padomes Direktīvas 70/156/EEK  grozījumiem (Eiropas Savienības Oficiālais Vēstnesis, 01.05.2004., L 321, 15.–25.lpp.)</w:t>
            </w:r>
          </w:p>
          <w:p w14:paraId="7697C889" w14:textId="77777777" w:rsidR="006615CB" w:rsidRPr="00DD2265" w:rsidRDefault="006615CB" w:rsidP="00656770">
            <w:pPr>
              <w:spacing w:after="0" w:line="240" w:lineRule="auto"/>
              <w:rPr>
                <w:rFonts w:ascii="Times New Roman" w:hAnsi="Times New Roman"/>
                <w:b/>
                <w:sz w:val="24"/>
              </w:rPr>
            </w:pPr>
          </w:p>
        </w:tc>
        <w:tc>
          <w:tcPr>
            <w:tcW w:w="1100" w:type="dxa"/>
            <w:vMerge w:val="restart"/>
          </w:tcPr>
          <w:p w14:paraId="37F52E2D"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127.00</w:t>
            </w:r>
          </w:p>
          <w:p w14:paraId="53F9384F"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127.01</w:t>
            </w:r>
          </w:p>
          <w:p w14:paraId="1AF1FEE0" w14:textId="77777777" w:rsidR="006615CB" w:rsidRPr="00DD2265" w:rsidRDefault="006615CB" w:rsidP="00656770">
            <w:pPr>
              <w:spacing w:after="0" w:line="240" w:lineRule="auto"/>
              <w:ind w:left="-108" w:right="-108"/>
              <w:jc w:val="center"/>
              <w:rPr>
                <w:rFonts w:ascii="Times New Roman" w:hAnsi="Times New Roman"/>
                <w:b/>
                <w:sz w:val="24"/>
              </w:rPr>
            </w:pPr>
            <w:r w:rsidRPr="00DD2265">
              <w:rPr>
                <w:rFonts w:ascii="Times New Roman" w:hAnsi="Times New Roman"/>
                <w:sz w:val="24"/>
              </w:rPr>
              <w:t>127.02</w:t>
            </w:r>
          </w:p>
        </w:tc>
      </w:tr>
      <w:tr w:rsidR="006615CB" w:rsidRPr="00DD2265" w14:paraId="23497618" w14:textId="77777777" w:rsidTr="00656770">
        <w:trPr>
          <w:cantSplit/>
          <w:trHeight w:val="1380"/>
        </w:trPr>
        <w:tc>
          <w:tcPr>
            <w:tcW w:w="539" w:type="dxa"/>
            <w:vMerge/>
          </w:tcPr>
          <w:p w14:paraId="2DA5C755"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4BDCCC23" w14:textId="77777777" w:rsidR="006615CB" w:rsidRPr="00DD2265" w:rsidRDefault="006615CB" w:rsidP="00656770">
            <w:pPr>
              <w:spacing w:after="0" w:line="240" w:lineRule="auto"/>
              <w:rPr>
                <w:rFonts w:ascii="Times New Roman" w:hAnsi="Times New Roman"/>
                <w:sz w:val="24"/>
              </w:rPr>
            </w:pPr>
          </w:p>
        </w:tc>
        <w:tc>
          <w:tcPr>
            <w:tcW w:w="1422" w:type="dxa"/>
            <w:vMerge w:val="restart"/>
          </w:tcPr>
          <w:p w14:paraId="709046C2"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r w:rsidRPr="00DD2265">
              <w:rPr>
                <w:rFonts w:ascii="Times New Roman" w:hAnsi="Times New Roman"/>
                <w:sz w:val="24"/>
              </w:rPr>
              <w:t>Regula (EK)</w:t>
            </w:r>
          </w:p>
          <w:p w14:paraId="69F77DD4"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Nr.78/2009</w:t>
            </w:r>
          </w:p>
        </w:tc>
        <w:tc>
          <w:tcPr>
            <w:tcW w:w="3798" w:type="dxa"/>
            <w:vMerge w:val="restart"/>
            <w:shd w:val="clear" w:color="auto" w:fill="auto"/>
          </w:tcPr>
          <w:p w14:paraId="56A329DF" w14:textId="77777777" w:rsidR="006615CB" w:rsidRPr="00DD2265" w:rsidRDefault="006615CB" w:rsidP="00656770">
            <w:pPr>
              <w:spacing w:after="0" w:line="240" w:lineRule="auto"/>
              <w:rPr>
                <w:rFonts w:ascii="Times New Roman" w:hAnsi="Times New Roman"/>
                <w:noProof/>
                <w:sz w:val="24"/>
              </w:rPr>
            </w:pPr>
            <w:r w:rsidRPr="00DD2265">
              <w:rPr>
                <w:rFonts w:ascii="Times New Roman" w:hAnsi="Times New Roman"/>
                <w:sz w:val="24"/>
              </w:rPr>
              <w:t xml:space="preserve">Eiropas Parlamenta un Padomes </w:t>
            </w:r>
            <w:r w:rsidRPr="00DD2265">
              <w:rPr>
                <w:rFonts w:ascii="Times New Roman" w:eastAsia="EUAlbertina-Bold-Identity-H" w:hAnsi="Times New Roman"/>
                <w:bCs/>
                <w:sz w:val="24"/>
              </w:rPr>
              <w:t>2009.gada 14.janvāra</w:t>
            </w:r>
            <w:r w:rsidRPr="00DD2265">
              <w:rPr>
                <w:rFonts w:ascii="Times New Roman" w:hAnsi="Times New Roman"/>
                <w:sz w:val="24"/>
              </w:rPr>
              <w:t xml:space="preserve"> Regula</w:t>
            </w:r>
            <w:r w:rsidRPr="00DD2265">
              <w:rPr>
                <w:rFonts w:ascii="Times New Roman" w:eastAsia="EUAlbertina-Bold-Identity-H" w:hAnsi="Times New Roman"/>
                <w:bCs/>
                <w:sz w:val="24"/>
              </w:rPr>
              <w:t xml:space="preserve"> (EK) Nr.78/2009 par mehānisko transportlīdzekļu tipu apstiprināšanu attiecībā uz gājēju un citu ievainojamu satiksmes dalībnieku aizsardzību, ar ko groza Direktīvu 2007/46/EK un atceļ Direktīvu 2003/102/EK un 2005/66/EK </w:t>
            </w:r>
            <w:r w:rsidRPr="00DD2265">
              <w:rPr>
                <w:rFonts w:ascii="Times New Roman" w:hAnsi="Times New Roman"/>
                <w:sz w:val="24"/>
              </w:rPr>
              <w:t xml:space="preserve">(Eiropas Savienības Oficiālais </w:t>
            </w:r>
            <w:r w:rsidRPr="00DD2265">
              <w:rPr>
                <w:rFonts w:ascii="Times New Roman" w:hAnsi="Times New Roman"/>
                <w:sz w:val="24"/>
              </w:rPr>
              <w:lastRenderedPageBreak/>
              <w:t>Vēstnesis, 4.02.2009., L 35, 1. – 31.lpp.)</w:t>
            </w:r>
          </w:p>
        </w:tc>
        <w:tc>
          <w:tcPr>
            <w:tcW w:w="1891" w:type="dxa"/>
            <w:shd w:val="clear" w:color="auto" w:fill="auto"/>
          </w:tcPr>
          <w:p w14:paraId="4C8A3384"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lastRenderedPageBreak/>
              <w:t>Regula (EK)</w:t>
            </w:r>
          </w:p>
          <w:p w14:paraId="6CE7312F"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sz w:val="24"/>
              </w:rPr>
              <w:t>Nr.78/2009</w:t>
            </w:r>
          </w:p>
        </w:tc>
        <w:tc>
          <w:tcPr>
            <w:tcW w:w="4390" w:type="dxa"/>
            <w:shd w:val="clear" w:color="auto" w:fill="auto"/>
          </w:tcPr>
          <w:p w14:paraId="7C56B6EE" w14:textId="77777777" w:rsidR="006615CB" w:rsidRPr="00DD2265" w:rsidRDefault="006615CB" w:rsidP="00656770">
            <w:pPr>
              <w:spacing w:after="0" w:line="240" w:lineRule="auto"/>
              <w:rPr>
                <w:rFonts w:ascii="Times New Roman" w:hAnsi="Times New Roman"/>
                <w:noProof/>
                <w:sz w:val="24"/>
              </w:rPr>
            </w:pPr>
            <w:r w:rsidRPr="00DD2265">
              <w:rPr>
                <w:rFonts w:ascii="Times New Roman" w:hAnsi="Times New Roman"/>
                <w:sz w:val="24"/>
              </w:rPr>
              <w:t xml:space="preserve">Eiropas Parlamenta un Padomes </w:t>
            </w:r>
            <w:r w:rsidRPr="00DD2265">
              <w:rPr>
                <w:rFonts w:ascii="Times New Roman" w:eastAsia="EUAlbertina-Bold-Identity-H" w:hAnsi="Times New Roman"/>
                <w:bCs/>
                <w:sz w:val="24"/>
              </w:rPr>
              <w:t>2009.gada 14.janvāra</w:t>
            </w:r>
            <w:r w:rsidRPr="00DD2265">
              <w:rPr>
                <w:rFonts w:ascii="Times New Roman" w:hAnsi="Times New Roman"/>
                <w:sz w:val="24"/>
              </w:rPr>
              <w:t xml:space="preserve"> Regula</w:t>
            </w:r>
            <w:r w:rsidRPr="00DD2265">
              <w:rPr>
                <w:rFonts w:ascii="Times New Roman" w:eastAsia="EUAlbertina-Bold-Identity-H" w:hAnsi="Times New Roman"/>
                <w:bCs/>
                <w:sz w:val="24"/>
              </w:rPr>
              <w:t xml:space="preserve"> (EK) Nr.78/2009 par mehānisko transportlīdzekļu tipu apstiprināšanu attiecībā uz gājēju un citu ievainojamu satiksmes dalībnieku aizsardzību, ar ko groza Direktīvu 2007/46/EK un atceļ Direktīvu 2003/102/EK un 2005/66/EK </w:t>
            </w:r>
            <w:r w:rsidRPr="00DD2265">
              <w:rPr>
                <w:rFonts w:ascii="Times New Roman" w:hAnsi="Times New Roman"/>
                <w:sz w:val="24"/>
              </w:rPr>
              <w:t>(Eiropas Savienības Oficiālais Vēstnesis, 4.02.2009., L 35, 1. – 31.lpp.)</w:t>
            </w:r>
          </w:p>
        </w:tc>
        <w:tc>
          <w:tcPr>
            <w:tcW w:w="1100" w:type="dxa"/>
            <w:vMerge/>
          </w:tcPr>
          <w:p w14:paraId="25B4C72B" w14:textId="77777777" w:rsidR="006615CB" w:rsidRPr="00DD2265" w:rsidRDefault="006615CB" w:rsidP="00656770">
            <w:pPr>
              <w:spacing w:after="0" w:line="240" w:lineRule="auto"/>
              <w:ind w:left="-108" w:right="-108"/>
              <w:jc w:val="center"/>
              <w:rPr>
                <w:rFonts w:ascii="Times New Roman" w:hAnsi="Times New Roman"/>
                <w:sz w:val="24"/>
              </w:rPr>
            </w:pPr>
          </w:p>
        </w:tc>
      </w:tr>
      <w:tr w:rsidR="006615CB" w:rsidRPr="00DD2265" w14:paraId="36F8F67D" w14:textId="77777777" w:rsidTr="00656770">
        <w:trPr>
          <w:cantSplit/>
          <w:trHeight w:val="3195"/>
        </w:trPr>
        <w:tc>
          <w:tcPr>
            <w:tcW w:w="539" w:type="dxa"/>
            <w:vMerge/>
          </w:tcPr>
          <w:p w14:paraId="54443668"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57E81CC1" w14:textId="77777777" w:rsidR="006615CB" w:rsidRPr="00DD2265" w:rsidRDefault="006615CB" w:rsidP="00656770">
            <w:pPr>
              <w:spacing w:after="0" w:line="240" w:lineRule="auto"/>
              <w:rPr>
                <w:rFonts w:ascii="Times New Roman" w:hAnsi="Times New Roman"/>
                <w:sz w:val="24"/>
              </w:rPr>
            </w:pPr>
          </w:p>
        </w:tc>
        <w:tc>
          <w:tcPr>
            <w:tcW w:w="1422" w:type="dxa"/>
            <w:vMerge/>
          </w:tcPr>
          <w:p w14:paraId="7EA4044E"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p>
        </w:tc>
        <w:tc>
          <w:tcPr>
            <w:tcW w:w="3798" w:type="dxa"/>
            <w:vMerge/>
            <w:shd w:val="clear" w:color="auto" w:fill="auto"/>
            <w:vAlign w:val="center"/>
          </w:tcPr>
          <w:p w14:paraId="75462FA0" w14:textId="77777777" w:rsidR="006615CB" w:rsidRPr="00DD2265" w:rsidRDefault="006615CB" w:rsidP="00656770">
            <w:pPr>
              <w:spacing w:after="0" w:line="240" w:lineRule="auto"/>
              <w:rPr>
                <w:rFonts w:ascii="Times New Roman" w:hAnsi="Times New Roman"/>
                <w:sz w:val="24"/>
              </w:rPr>
            </w:pPr>
          </w:p>
        </w:tc>
        <w:tc>
          <w:tcPr>
            <w:tcW w:w="1891" w:type="dxa"/>
            <w:tcBorders>
              <w:bottom w:val="single" w:sz="4" w:space="0" w:color="auto"/>
            </w:tcBorders>
            <w:shd w:val="clear" w:color="auto" w:fill="auto"/>
          </w:tcPr>
          <w:p w14:paraId="209E00BE"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(EK)</w:t>
            </w:r>
          </w:p>
          <w:p w14:paraId="688F36FD"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Nr.631/2009</w:t>
            </w:r>
          </w:p>
        </w:tc>
        <w:tc>
          <w:tcPr>
            <w:tcW w:w="4390" w:type="dxa"/>
            <w:tcBorders>
              <w:bottom w:val="single" w:sz="4" w:space="0" w:color="auto"/>
            </w:tcBorders>
            <w:shd w:val="clear" w:color="auto" w:fill="auto"/>
          </w:tcPr>
          <w:p w14:paraId="593D6A11"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Komisijas 2009.gada 22.jūlija Regula (EK) Nr.631/2009, ar ko nosaka detalizētus I pielikuma īstenošanas noteikumus Eiropas Parlamenta un Padomes Regulai (EK) Nr.78/2009 par mehānisko transportlīdzekļu tipa apstiprinājumu saistībā ar gājēju un citu ievainojamu satiksmes dalībnieku aizsardzību, groza Direktīvu 2007/46/EK un atceļ Direktīvu 2003/102/EK un 2005/66/EK </w:t>
            </w:r>
            <w:r w:rsidRPr="00DD2265">
              <w:rPr>
                <w:rFonts w:ascii="Times New Roman" w:hAnsi="Times New Roman"/>
                <w:sz w:val="24"/>
              </w:rPr>
              <w:t>(Eiropas Savienības Oficiālais Vēstnesis, 25.07.2009., L 195, 1. – 60.lpp.)</w:t>
            </w:r>
          </w:p>
        </w:tc>
        <w:tc>
          <w:tcPr>
            <w:tcW w:w="1100" w:type="dxa"/>
            <w:vMerge/>
          </w:tcPr>
          <w:p w14:paraId="241AE612" w14:textId="77777777" w:rsidR="006615CB" w:rsidRPr="00DD2265" w:rsidRDefault="006615CB" w:rsidP="00656770">
            <w:pPr>
              <w:spacing w:after="0" w:line="240" w:lineRule="auto"/>
              <w:ind w:left="-108" w:right="-108"/>
              <w:jc w:val="center"/>
              <w:rPr>
                <w:rFonts w:ascii="Times New Roman" w:hAnsi="Times New Roman"/>
                <w:sz w:val="24"/>
              </w:rPr>
            </w:pPr>
          </w:p>
        </w:tc>
      </w:tr>
      <w:tr w:rsidR="006615CB" w:rsidRPr="00DD2265" w14:paraId="59113652" w14:textId="77777777" w:rsidTr="00656770">
        <w:trPr>
          <w:cantSplit/>
          <w:trHeight w:val="1221"/>
        </w:trPr>
        <w:tc>
          <w:tcPr>
            <w:tcW w:w="539" w:type="dxa"/>
            <w:vMerge/>
          </w:tcPr>
          <w:p w14:paraId="0814EADC"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2582BE69" w14:textId="77777777" w:rsidR="006615CB" w:rsidRPr="00DD2265" w:rsidRDefault="006615CB" w:rsidP="00656770">
            <w:pPr>
              <w:spacing w:after="0" w:line="240" w:lineRule="auto"/>
              <w:rPr>
                <w:rFonts w:ascii="Times New Roman" w:hAnsi="Times New Roman"/>
                <w:sz w:val="24"/>
              </w:rPr>
            </w:pPr>
          </w:p>
        </w:tc>
        <w:tc>
          <w:tcPr>
            <w:tcW w:w="1422" w:type="dxa"/>
            <w:vMerge/>
          </w:tcPr>
          <w:p w14:paraId="23CF765F"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p>
        </w:tc>
        <w:tc>
          <w:tcPr>
            <w:tcW w:w="3798" w:type="dxa"/>
            <w:vMerge/>
            <w:shd w:val="clear" w:color="auto" w:fill="auto"/>
            <w:vAlign w:val="center"/>
          </w:tcPr>
          <w:p w14:paraId="68FCE523" w14:textId="77777777" w:rsidR="006615CB" w:rsidRPr="00DD2265" w:rsidRDefault="006615CB" w:rsidP="00656770">
            <w:pPr>
              <w:spacing w:after="0" w:line="240" w:lineRule="auto"/>
              <w:rPr>
                <w:rFonts w:ascii="Times New Roman" w:hAnsi="Times New Roman"/>
                <w:sz w:val="24"/>
              </w:rPr>
            </w:pPr>
          </w:p>
        </w:tc>
        <w:tc>
          <w:tcPr>
            <w:tcW w:w="1891" w:type="dxa"/>
            <w:tcBorders>
              <w:top w:val="single" w:sz="4" w:space="0" w:color="auto"/>
            </w:tcBorders>
            <w:shd w:val="clear" w:color="auto" w:fill="auto"/>
          </w:tcPr>
          <w:p w14:paraId="48EF6C9F"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2426E1BC"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Nr.459/2011</w:t>
            </w:r>
          </w:p>
        </w:tc>
        <w:tc>
          <w:tcPr>
            <w:tcW w:w="4390" w:type="dxa"/>
            <w:tcBorders>
              <w:top w:val="single" w:sz="4" w:space="0" w:color="auto"/>
            </w:tcBorders>
            <w:shd w:val="clear" w:color="auto" w:fill="auto"/>
          </w:tcPr>
          <w:p w14:paraId="02AEB833" w14:textId="77777777" w:rsidR="006615CB" w:rsidRPr="00DD2265" w:rsidRDefault="006615C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2011.gada 12.maija Regula (ES) Nr.459/2011, ar kuru groza pielikumu Regulā (EK) Nr.631/2009, ar ko nosaka detalizētus I pielikuma īstenošanas noteikumus Eiropas Parlamenta un Padomes Regulai (EK) Nr.78/2009 par mehānisko transportlīdzekļu tipa apstiprinājumu saistībā ar gājēju un citu ievainojamu satiksmes dalībnieku aizsardzību (Dokuments attiecas uz EEZ) (Eiropas Savienības Oficiālais Vēstnesis, 13.05.2011., L 124, 21.–22.lpp.)</w:t>
            </w:r>
          </w:p>
        </w:tc>
        <w:tc>
          <w:tcPr>
            <w:tcW w:w="1100" w:type="dxa"/>
            <w:vMerge/>
          </w:tcPr>
          <w:p w14:paraId="03DD3A46" w14:textId="77777777" w:rsidR="006615CB" w:rsidRPr="00DD2265" w:rsidRDefault="006615CB" w:rsidP="00656770">
            <w:pPr>
              <w:spacing w:after="0" w:line="240" w:lineRule="auto"/>
              <w:ind w:left="-108" w:right="-108"/>
              <w:jc w:val="center"/>
              <w:rPr>
                <w:rFonts w:ascii="Times New Roman" w:hAnsi="Times New Roman"/>
                <w:sz w:val="24"/>
              </w:rPr>
            </w:pPr>
          </w:p>
        </w:tc>
      </w:tr>
    </w:tbl>
    <w:p w14:paraId="045DBCAD" w14:textId="77777777" w:rsidR="006615CB" w:rsidRPr="00DD2265" w:rsidRDefault="006615CB" w:rsidP="006615CB">
      <w:pPr>
        <w:spacing w:after="0" w:line="240" w:lineRule="auto"/>
        <w:jc w:val="both"/>
        <w:rPr>
          <w:rFonts w:ascii="Times New Roman" w:hAnsi="Times New Roman"/>
          <w:sz w:val="28"/>
          <w:szCs w:val="28"/>
        </w:rPr>
      </w:pPr>
    </w:p>
    <w:p w14:paraId="1B1BFBB0" w14:textId="77777777" w:rsidR="006615CB" w:rsidRPr="00DD2265" w:rsidRDefault="006615CB" w:rsidP="006615CB">
      <w:pPr>
        <w:spacing w:after="0" w:line="240" w:lineRule="auto"/>
        <w:jc w:val="both"/>
        <w:rPr>
          <w:rFonts w:ascii="Times New Roman" w:hAnsi="Times New Roman"/>
          <w:sz w:val="28"/>
          <w:szCs w:val="28"/>
        </w:rPr>
      </w:pPr>
    </w:p>
    <w:p w14:paraId="1B934351" w14:textId="77777777" w:rsidR="006615CB" w:rsidRPr="00DD2265" w:rsidRDefault="006615CB">
      <w:pPr>
        <w:spacing w:after="0" w:line="240" w:lineRule="auto"/>
        <w:rPr>
          <w:rFonts w:ascii="Times New Roman" w:hAnsi="Times New Roman"/>
          <w:sz w:val="28"/>
          <w:szCs w:val="28"/>
        </w:rPr>
      </w:pPr>
      <w:r w:rsidRPr="00DD2265">
        <w:rPr>
          <w:rFonts w:ascii="Times New Roman" w:hAnsi="Times New Roman"/>
          <w:sz w:val="28"/>
          <w:szCs w:val="28"/>
        </w:rPr>
        <w:br w:type="page"/>
      </w:r>
    </w:p>
    <w:p w14:paraId="7EDEEAC9" w14:textId="77777777" w:rsidR="006615CB" w:rsidRPr="00DD2265" w:rsidRDefault="006615CB" w:rsidP="006615C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bookmarkStart w:id="12" w:name="_Hlk503431234"/>
      <w:r w:rsidRPr="00DD2265">
        <w:rPr>
          <w:rFonts w:ascii="Times New Roman" w:hAnsi="Times New Roman"/>
          <w:sz w:val="28"/>
          <w:szCs w:val="28"/>
        </w:rPr>
        <w:t>Izteikt 11.pielikuma II nodaļas tabulas 70. punktu šādā redakcijā:</w:t>
      </w:r>
    </w:p>
    <w:p w14:paraId="48E21A2E"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7F1D369D" w14:textId="77777777" w:rsidTr="00656770">
        <w:trPr>
          <w:cantSplit/>
          <w:trHeight w:val="357"/>
        </w:trPr>
        <w:tc>
          <w:tcPr>
            <w:tcW w:w="539" w:type="dxa"/>
          </w:tcPr>
          <w:p w14:paraId="2513259D"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70.</w:t>
            </w:r>
          </w:p>
        </w:tc>
        <w:tc>
          <w:tcPr>
            <w:tcW w:w="2100" w:type="dxa"/>
          </w:tcPr>
          <w:p w14:paraId="6A96B5C6"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Sastāvdaļas saspiestai dabasgāzei (SDG) un to uzstādīšana mehāniskajos transportlīdzekļos</w:t>
            </w:r>
          </w:p>
        </w:tc>
        <w:tc>
          <w:tcPr>
            <w:tcW w:w="1422" w:type="dxa"/>
          </w:tcPr>
          <w:p w14:paraId="32C8608C" w14:textId="77777777" w:rsidR="006615CB" w:rsidRPr="00DD2265" w:rsidRDefault="006615CB" w:rsidP="00656770">
            <w:pPr>
              <w:spacing w:after="0" w:line="240" w:lineRule="auto"/>
              <w:ind w:left="-108" w:right="-125"/>
              <w:jc w:val="center"/>
              <w:rPr>
                <w:rFonts w:ascii="Times New Roman" w:hAnsi="Times New Roman"/>
                <w:sz w:val="24"/>
              </w:rPr>
            </w:pPr>
            <w:r w:rsidRPr="00DD2265">
              <w:rPr>
                <w:rFonts w:ascii="Times New Roman" w:hAnsi="Times New Roman"/>
                <w:sz w:val="24"/>
              </w:rPr>
              <w:t>-</w:t>
            </w:r>
          </w:p>
        </w:tc>
        <w:tc>
          <w:tcPr>
            <w:tcW w:w="3798" w:type="dxa"/>
          </w:tcPr>
          <w:p w14:paraId="4C2C98C0" w14:textId="77777777" w:rsidR="006615CB" w:rsidRPr="00DD2265" w:rsidRDefault="006615CB" w:rsidP="00656770">
            <w:pPr>
              <w:spacing w:after="0" w:line="240" w:lineRule="auto"/>
              <w:ind w:left="-108" w:right="-125"/>
              <w:rPr>
                <w:rFonts w:ascii="Times New Roman" w:hAnsi="Times New Roman"/>
                <w:sz w:val="24"/>
              </w:rPr>
            </w:pPr>
          </w:p>
        </w:tc>
        <w:tc>
          <w:tcPr>
            <w:tcW w:w="1891" w:type="dxa"/>
          </w:tcPr>
          <w:p w14:paraId="65ECD8F0" w14:textId="77777777" w:rsidR="006615CB" w:rsidRPr="00DD2265" w:rsidRDefault="006615CB" w:rsidP="00656770">
            <w:pPr>
              <w:spacing w:after="0" w:line="240" w:lineRule="auto"/>
              <w:jc w:val="center"/>
              <w:rPr>
                <w:rFonts w:ascii="Times New Roman" w:hAnsi="Times New Roman"/>
                <w:sz w:val="24"/>
              </w:rPr>
            </w:pPr>
            <w:r w:rsidRPr="00DD2265">
              <w:rPr>
                <w:rFonts w:ascii="Times New Roman" w:hAnsi="Times New Roman"/>
                <w:sz w:val="24"/>
              </w:rPr>
              <w:t>-</w:t>
            </w:r>
          </w:p>
        </w:tc>
        <w:tc>
          <w:tcPr>
            <w:tcW w:w="4390" w:type="dxa"/>
          </w:tcPr>
          <w:p w14:paraId="4A4B4B33" w14:textId="77777777" w:rsidR="006615CB" w:rsidRPr="00DD2265" w:rsidRDefault="006615CB" w:rsidP="00656770">
            <w:pPr>
              <w:spacing w:after="0" w:line="240" w:lineRule="auto"/>
              <w:ind w:left="-108" w:right="-108"/>
              <w:rPr>
                <w:rFonts w:ascii="Times New Roman" w:hAnsi="Times New Roman"/>
                <w:sz w:val="24"/>
              </w:rPr>
            </w:pPr>
          </w:p>
        </w:tc>
        <w:tc>
          <w:tcPr>
            <w:tcW w:w="1100" w:type="dxa"/>
          </w:tcPr>
          <w:p w14:paraId="4590BF77" w14:textId="77777777" w:rsidR="006615CB" w:rsidRPr="00DD2265" w:rsidRDefault="006615CB" w:rsidP="00656770">
            <w:pPr>
              <w:spacing w:after="0" w:line="240" w:lineRule="auto"/>
              <w:ind w:left="-113" w:right="-57"/>
              <w:jc w:val="center"/>
              <w:rPr>
                <w:rFonts w:ascii="Times New Roman" w:hAnsi="Times New Roman"/>
                <w:sz w:val="24"/>
              </w:rPr>
            </w:pPr>
            <w:r w:rsidRPr="00DD2265">
              <w:rPr>
                <w:rFonts w:ascii="Times New Roman" w:hAnsi="Times New Roman"/>
                <w:sz w:val="24"/>
              </w:rPr>
              <w:t>110.00</w:t>
            </w:r>
          </w:p>
          <w:p w14:paraId="5D0E0D33" w14:textId="77777777" w:rsidR="006615CB" w:rsidRPr="00DD2265" w:rsidRDefault="006615CB" w:rsidP="00656770">
            <w:pPr>
              <w:spacing w:after="0" w:line="240" w:lineRule="auto"/>
              <w:ind w:left="-113" w:right="-57"/>
              <w:jc w:val="center"/>
              <w:rPr>
                <w:rFonts w:ascii="Times New Roman" w:hAnsi="Times New Roman"/>
                <w:color w:val="0000FF"/>
                <w:sz w:val="24"/>
                <w:u w:val="single"/>
              </w:rPr>
            </w:pPr>
            <w:r w:rsidRPr="00DD2265">
              <w:rPr>
                <w:rFonts w:ascii="Times New Roman" w:hAnsi="Times New Roman"/>
                <w:sz w:val="24"/>
              </w:rPr>
              <w:t>110.01</w:t>
            </w:r>
          </w:p>
        </w:tc>
      </w:tr>
    </w:tbl>
    <w:p w14:paraId="1EC5241E" w14:textId="77777777" w:rsidR="006615CB" w:rsidRPr="00DD2265" w:rsidRDefault="006615CB" w:rsidP="006615CB">
      <w:pPr>
        <w:spacing w:after="0" w:line="240" w:lineRule="auto"/>
        <w:jc w:val="both"/>
        <w:rPr>
          <w:rFonts w:ascii="Times New Roman" w:hAnsi="Times New Roman"/>
          <w:sz w:val="28"/>
          <w:szCs w:val="28"/>
        </w:rPr>
      </w:pPr>
    </w:p>
    <w:bookmarkEnd w:id="12"/>
    <w:p w14:paraId="0C0748C6" w14:textId="77777777" w:rsidR="006615CB" w:rsidRPr="00DD2265" w:rsidRDefault="006615CB" w:rsidP="006615CB">
      <w:pPr>
        <w:pStyle w:val="ListParagraph"/>
        <w:numPr>
          <w:ilvl w:val="0"/>
          <w:numId w:val="1"/>
        </w:numPr>
        <w:rPr>
          <w:rFonts w:ascii="Times New Roman" w:hAnsi="Times New Roman"/>
          <w:sz w:val="28"/>
          <w:szCs w:val="28"/>
        </w:rPr>
      </w:pPr>
      <w:r w:rsidRPr="00DD2265">
        <w:rPr>
          <w:rFonts w:ascii="Times New Roman" w:hAnsi="Times New Roman"/>
          <w:sz w:val="28"/>
          <w:szCs w:val="28"/>
        </w:rPr>
        <w:t xml:space="preserve"> Izteikt 11.pielikuma II nodaļas tabulas 72. punktu šādā redakcijā:</w:t>
      </w: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44FBC054" w14:textId="77777777" w:rsidTr="00656770">
        <w:trPr>
          <w:cantSplit/>
          <w:trHeight w:val="357"/>
        </w:trPr>
        <w:tc>
          <w:tcPr>
            <w:tcW w:w="539" w:type="dxa"/>
            <w:vMerge w:val="restart"/>
          </w:tcPr>
          <w:p w14:paraId="0E7F9E69"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72.</w:t>
            </w:r>
          </w:p>
        </w:tc>
        <w:tc>
          <w:tcPr>
            <w:tcW w:w="2100" w:type="dxa"/>
            <w:vMerge w:val="restart"/>
          </w:tcPr>
          <w:p w14:paraId="50ECEAC0" w14:textId="77777777" w:rsidR="006615CB" w:rsidRPr="00DD2265" w:rsidRDefault="006615CB" w:rsidP="00656770">
            <w:pPr>
              <w:spacing w:after="0" w:line="240" w:lineRule="auto"/>
              <w:rPr>
                <w:rFonts w:ascii="Times New Roman" w:hAnsi="Times New Roman"/>
                <w:sz w:val="24"/>
              </w:rPr>
            </w:pP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w:t>
            </w:r>
          </w:p>
        </w:tc>
        <w:tc>
          <w:tcPr>
            <w:tcW w:w="1422" w:type="dxa"/>
            <w:vMerge w:val="restart"/>
          </w:tcPr>
          <w:p w14:paraId="2BF6A1F7" w14:textId="77777777" w:rsidR="006615CB" w:rsidRPr="00DD2265" w:rsidRDefault="006615CB" w:rsidP="00656770">
            <w:pPr>
              <w:spacing w:after="0" w:line="240" w:lineRule="auto"/>
              <w:ind w:right="-125"/>
              <w:rPr>
                <w:rFonts w:ascii="Times New Roman" w:hAnsi="Times New Roman"/>
                <w:sz w:val="24"/>
              </w:rPr>
            </w:pPr>
            <w:r w:rsidRPr="00DD2265">
              <w:rPr>
                <w:rFonts w:ascii="Times New Roman" w:hAnsi="Times New Roman"/>
                <w:sz w:val="24"/>
              </w:rPr>
              <w:t>Regula (ES) Nr. 2015/758</w:t>
            </w:r>
          </w:p>
        </w:tc>
        <w:tc>
          <w:tcPr>
            <w:tcW w:w="3798" w:type="dxa"/>
            <w:vMerge w:val="restart"/>
          </w:tcPr>
          <w:p w14:paraId="2FB04EE2"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 xml:space="preserve">Eiropas Parlamenta un Padomes 2015. gada 29. aprīļa Regula (ES) 2015/758 par tipa apstiprinājuma prasībām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sistēmas izveidošanai uz pakalpojuma "112" bāzes un ar ko groza Direktīvu 2007/46/EK (Eiropas Savienības </w:t>
            </w:r>
            <w:r w:rsidRPr="00DD2265">
              <w:rPr>
                <w:rFonts w:ascii="Times New Roman" w:hAnsi="Times New Roman"/>
                <w:sz w:val="24"/>
              </w:rPr>
              <w:lastRenderedPageBreak/>
              <w:t>Oficiālais Vēstnesis, 19.05.2015., L 123, 77.–89. lpp.)</w:t>
            </w:r>
          </w:p>
        </w:tc>
        <w:tc>
          <w:tcPr>
            <w:tcW w:w="1891" w:type="dxa"/>
          </w:tcPr>
          <w:p w14:paraId="19CEF8E3"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lastRenderedPageBreak/>
              <w:t>Regula (ES) Nr. 2015/758</w:t>
            </w:r>
          </w:p>
        </w:tc>
        <w:tc>
          <w:tcPr>
            <w:tcW w:w="4390" w:type="dxa"/>
          </w:tcPr>
          <w:p w14:paraId="342EEC90"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 xml:space="preserve">Eiropas Parlamenta un Padomes 2015. gada 29. aprīļa Regula (ES) 2015/758 par tipa apstiprinājuma prasībām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sistēmas izveidošanai uz pakalpojuma "112" bāzes un ar ko groza Direktīvu 2007/46/EK (Eiropas Savienības Oficiālais Vēstnesis, 19.05.2015., L 123, 77.–89. lpp.)</w:t>
            </w:r>
          </w:p>
        </w:tc>
        <w:tc>
          <w:tcPr>
            <w:tcW w:w="1100" w:type="dxa"/>
          </w:tcPr>
          <w:p w14:paraId="073630D3" w14:textId="77777777" w:rsidR="006615CB" w:rsidRPr="00DD2265" w:rsidRDefault="006615CB" w:rsidP="00656770">
            <w:pPr>
              <w:spacing w:after="0" w:line="240" w:lineRule="auto"/>
              <w:ind w:left="-113" w:right="-57"/>
              <w:jc w:val="center"/>
              <w:rPr>
                <w:rFonts w:ascii="Times New Roman" w:hAnsi="Times New Roman"/>
                <w:b/>
                <w:color w:val="0000FF"/>
                <w:sz w:val="24"/>
                <w:u w:val="single"/>
              </w:rPr>
            </w:pPr>
            <w:r w:rsidRPr="00DD2265">
              <w:rPr>
                <w:rFonts w:ascii="Times New Roman" w:hAnsi="Times New Roman"/>
                <w:b/>
                <w:color w:val="0000FF"/>
                <w:sz w:val="24"/>
                <w:u w:val="single"/>
              </w:rPr>
              <w:t>-</w:t>
            </w:r>
          </w:p>
        </w:tc>
      </w:tr>
      <w:tr w:rsidR="006615CB" w:rsidRPr="00DD2265" w14:paraId="64735647" w14:textId="77777777" w:rsidTr="00656770">
        <w:trPr>
          <w:cantSplit/>
          <w:trHeight w:val="357"/>
        </w:trPr>
        <w:tc>
          <w:tcPr>
            <w:tcW w:w="539" w:type="dxa"/>
            <w:vMerge/>
          </w:tcPr>
          <w:p w14:paraId="090E40C5"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02D7686A" w14:textId="77777777" w:rsidR="006615CB" w:rsidRPr="00DD2265" w:rsidRDefault="006615CB" w:rsidP="00656770">
            <w:pPr>
              <w:spacing w:after="0" w:line="240" w:lineRule="auto"/>
              <w:rPr>
                <w:rFonts w:ascii="Times New Roman" w:hAnsi="Times New Roman"/>
                <w:sz w:val="24"/>
              </w:rPr>
            </w:pPr>
          </w:p>
        </w:tc>
        <w:tc>
          <w:tcPr>
            <w:tcW w:w="1422" w:type="dxa"/>
            <w:vMerge/>
          </w:tcPr>
          <w:p w14:paraId="1CCD4961" w14:textId="77777777" w:rsidR="006615CB" w:rsidRPr="00DD2265" w:rsidRDefault="006615CB" w:rsidP="00656770">
            <w:pPr>
              <w:spacing w:after="0" w:line="240" w:lineRule="auto"/>
              <w:ind w:left="-108" w:right="-125"/>
              <w:jc w:val="center"/>
              <w:rPr>
                <w:rFonts w:ascii="Times New Roman" w:hAnsi="Times New Roman"/>
                <w:sz w:val="24"/>
              </w:rPr>
            </w:pPr>
          </w:p>
        </w:tc>
        <w:tc>
          <w:tcPr>
            <w:tcW w:w="3798" w:type="dxa"/>
            <w:vMerge/>
          </w:tcPr>
          <w:p w14:paraId="0A84E1CA" w14:textId="77777777" w:rsidR="006615CB" w:rsidRPr="00DD2265" w:rsidRDefault="006615CB" w:rsidP="00656770">
            <w:pPr>
              <w:spacing w:after="0" w:line="240" w:lineRule="auto"/>
              <w:ind w:left="-108" w:right="-125"/>
              <w:jc w:val="center"/>
              <w:rPr>
                <w:rFonts w:ascii="Times New Roman" w:hAnsi="Times New Roman"/>
                <w:sz w:val="24"/>
              </w:rPr>
            </w:pPr>
          </w:p>
        </w:tc>
        <w:tc>
          <w:tcPr>
            <w:tcW w:w="1891" w:type="dxa"/>
          </w:tcPr>
          <w:p w14:paraId="26D6BACE" w14:textId="77777777" w:rsidR="006615CB" w:rsidRPr="00DD2265" w:rsidRDefault="006615CB" w:rsidP="00656770">
            <w:pPr>
              <w:spacing w:after="0" w:line="240" w:lineRule="auto"/>
              <w:rPr>
                <w:rFonts w:ascii="Times New Roman" w:hAnsi="Times New Roman"/>
                <w:bCs/>
                <w:sz w:val="24"/>
              </w:rPr>
            </w:pPr>
            <w:r w:rsidRPr="00DD2265">
              <w:rPr>
                <w:rFonts w:ascii="Times New Roman" w:hAnsi="Times New Roman"/>
                <w:bCs/>
                <w:sz w:val="24"/>
              </w:rPr>
              <w:t>Regula (ES) Nr. 2017/78</w:t>
            </w:r>
          </w:p>
        </w:tc>
        <w:tc>
          <w:tcPr>
            <w:tcW w:w="4390" w:type="dxa"/>
          </w:tcPr>
          <w:p w14:paraId="16C94210" w14:textId="77777777" w:rsidR="006615CB" w:rsidRPr="00DD2265" w:rsidRDefault="006615CB" w:rsidP="00656770">
            <w:pPr>
              <w:tabs>
                <w:tab w:val="left" w:pos="1027"/>
              </w:tabs>
              <w:spacing w:after="0" w:line="240" w:lineRule="auto"/>
              <w:ind w:left="-108" w:right="-108"/>
              <w:rPr>
                <w:rFonts w:ascii="Times New Roman" w:hAnsi="Times New Roman"/>
                <w:sz w:val="24"/>
              </w:rPr>
            </w:pPr>
            <w:r w:rsidRPr="00DD2265">
              <w:rPr>
                <w:rFonts w:ascii="Times New Roman" w:hAnsi="Times New Roman"/>
                <w:sz w:val="24"/>
              </w:rPr>
              <w:t xml:space="preserve">Komisijas 2016. gada 15. jūlija īstenošanas Regula (ES) 2017/78, ar ko izveido administratīvos noteikumus EK tipa apstiprinājumam mehāniskajiem transportlīdzekļiem attiecībā uz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sistēmām un vienotus nosacījumus Eiropas Parlamenta un Padomes Regulas (ES) 2015/758 īstenošanai attiecībā uz šādu sistēmu lietotāju privātumu un personas datu aizsardzību (Dokuments attiecas uz EEZ)</w:t>
            </w:r>
            <w:r w:rsidRPr="00DD2265">
              <w:t xml:space="preserve"> </w:t>
            </w:r>
            <w:r w:rsidRPr="00DD2265">
              <w:rPr>
                <w:rFonts w:ascii="Times New Roman" w:hAnsi="Times New Roman"/>
                <w:sz w:val="24"/>
              </w:rPr>
              <w:t>(Eiropas Savienības Oficiālais Vēstnesis, 17.01.2017., L 12, 26.–43. lpp.)</w:t>
            </w:r>
            <w:r w:rsidRPr="00DD2265">
              <w:rPr>
                <w:rFonts w:ascii="Times New Roman" w:hAnsi="Times New Roman"/>
                <w:sz w:val="24"/>
              </w:rPr>
              <w:tab/>
            </w:r>
          </w:p>
        </w:tc>
        <w:tc>
          <w:tcPr>
            <w:tcW w:w="1100" w:type="dxa"/>
          </w:tcPr>
          <w:p w14:paraId="41F80F64" w14:textId="77777777" w:rsidR="006615CB" w:rsidRPr="00DD2265" w:rsidRDefault="006615CB" w:rsidP="00656770">
            <w:pPr>
              <w:spacing w:after="0" w:line="240" w:lineRule="auto"/>
              <w:ind w:left="-113" w:right="-57"/>
              <w:jc w:val="center"/>
              <w:rPr>
                <w:rFonts w:ascii="Times New Roman" w:hAnsi="Times New Roman"/>
                <w:bCs/>
                <w:sz w:val="24"/>
              </w:rPr>
            </w:pPr>
          </w:p>
        </w:tc>
      </w:tr>
      <w:tr w:rsidR="006615CB" w:rsidRPr="00DD2265" w14:paraId="56760C9B" w14:textId="77777777" w:rsidTr="00656770">
        <w:trPr>
          <w:cantSplit/>
          <w:trHeight w:val="357"/>
        </w:trPr>
        <w:tc>
          <w:tcPr>
            <w:tcW w:w="539" w:type="dxa"/>
            <w:vMerge/>
          </w:tcPr>
          <w:p w14:paraId="37C1D1A9"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21952181" w14:textId="77777777" w:rsidR="006615CB" w:rsidRPr="00DD2265" w:rsidRDefault="006615CB" w:rsidP="00656770">
            <w:pPr>
              <w:spacing w:after="0" w:line="240" w:lineRule="auto"/>
              <w:rPr>
                <w:rFonts w:ascii="Times New Roman" w:hAnsi="Times New Roman"/>
                <w:sz w:val="24"/>
              </w:rPr>
            </w:pPr>
          </w:p>
        </w:tc>
        <w:tc>
          <w:tcPr>
            <w:tcW w:w="1422" w:type="dxa"/>
            <w:vMerge/>
          </w:tcPr>
          <w:p w14:paraId="713314EC" w14:textId="77777777" w:rsidR="006615CB" w:rsidRPr="00DD2265" w:rsidRDefault="006615CB" w:rsidP="00656770">
            <w:pPr>
              <w:spacing w:after="0" w:line="240" w:lineRule="auto"/>
              <w:ind w:left="-108" w:right="-125"/>
              <w:jc w:val="center"/>
              <w:rPr>
                <w:rFonts w:ascii="Times New Roman" w:hAnsi="Times New Roman"/>
                <w:sz w:val="24"/>
              </w:rPr>
            </w:pPr>
          </w:p>
        </w:tc>
        <w:tc>
          <w:tcPr>
            <w:tcW w:w="3798" w:type="dxa"/>
            <w:vMerge/>
          </w:tcPr>
          <w:p w14:paraId="4FB69160" w14:textId="77777777" w:rsidR="006615CB" w:rsidRPr="00DD2265" w:rsidRDefault="006615CB" w:rsidP="00656770">
            <w:pPr>
              <w:spacing w:after="0" w:line="240" w:lineRule="auto"/>
              <w:ind w:left="-108" w:right="-125"/>
              <w:jc w:val="center"/>
              <w:rPr>
                <w:rFonts w:ascii="Times New Roman" w:hAnsi="Times New Roman"/>
                <w:sz w:val="24"/>
              </w:rPr>
            </w:pPr>
          </w:p>
        </w:tc>
        <w:tc>
          <w:tcPr>
            <w:tcW w:w="1891" w:type="dxa"/>
          </w:tcPr>
          <w:p w14:paraId="29F40298" w14:textId="77777777" w:rsidR="006615CB" w:rsidRPr="00DD2265" w:rsidRDefault="006615CB" w:rsidP="00656770">
            <w:pPr>
              <w:spacing w:after="0" w:line="240" w:lineRule="auto"/>
              <w:rPr>
                <w:rFonts w:ascii="Times New Roman" w:hAnsi="Times New Roman"/>
                <w:bCs/>
                <w:sz w:val="24"/>
              </w:rPr>
            </w:pPr>
            <w:r w:rsidRPr="00DD2265">
              <w:rPr>
                <w:rFonts w:ascii="Times New Roman" w:hAnsi="Times New Roman"/>
                <w:bCs/>
                <w:sz w:val="24"/>
              </w:rPr>
              <w:t>Regula (ES) Nr. 2017/79</w:t>
            </w:r>
          </w:p>
        </w:tc>
        <w:tc>
          <w:tcPr>
            <w:tcW w:w="4390" w:type="dxa"/>
          </w:tcPr>
          <w:p w14:paraId="11143838"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Komisijas 2016. gada 12. septembra deleģētā Regula (ES) 2017/79, ar ko nosaka sīki izstrādātas tehniskās prasības un testa procedūras EK tipa apstiprinājumam</w:t>
            </w:r>
          </w:p>
          <w:p w14:paraId="4FBD7C42"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 xml:space="preserve">mehāniskajiem transportlīdzekļiem attiecībā uz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sistēmām,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atsevišķām tehniskām vienībām un sastāvdaļām un papildina un groza Eiropas Parlamenta un Padomes Regulu (ES) 2015/758 attiecībā uz atbrīvojumiem un piemērojamajiem standartiem (Dokuments attiecas uz EEZ)</w:t>
            </w:r>
            <w:r w:rsidRPr="00DD2265">
              <w:t xml:space="preserve"> </w:t>
            </w:r>
            <w:r w:rsidRPr="00DD2265">
              <w:rPr>
                <w:rFonts w:ascii="Times New Roman" w:hAnsi="Times New Roman"/>
                <w:sz w:val="24"/>
              </w:rPr>
              <w:t>(Eiropas Savienības Oficiālais Vēstnesis, 17.01.2017., L 12, 44.–85. lpp.)</w:t>
            </w:r>
          </w:p>
        </w:tc>
        <w:tc>
          <w:tcPr>
            <w:tcW w:w="1100" w:type="dxa"/>
          </w:tcPr>
          <w:p w14:paraId="3354C77E" w14:textId="77777777" w:rsidR="006615CB" w:rsidRPr="00DD2265" w:rsidRDefault="006615CB" w:rsidP="00656770">
            <w:pPr>
              <w:spacing w:after="0" w:line="240" w:lineRule="auto"/>
              <w:ind w:left="-113" w:right="-57"/>
              <w:jc w:val="center"/>
              <w:rPr>
                <w:rFonts w:ascii="Times New Roman" w:hAnsi="Times New Roman"/>
                <w:bCs/>
                <w:sz w:val="24"/>
              </w:rPr>
            </w:pPr>
          </w:p>
        </w:tc>
      </w:tr>
    </w:tbl>
    <w:p w14:paraId="09CE7C5D" w14:textId="77777777" w:rsidR="00781084" w:rsidRPr="00DD2265" w:rsidRDefault="00781084" w:rsidP="006615CB">
      <w:pPr>
        <w:rPr>
          <w:rFonts w:ascii="Times New Roman" w:hAnsi="Times New Roman"/>
          <w:sz w:val="28"/>
          <w:szCs w:val="28"/>
        </w:rPr>
      </w:pPr>
    </w:p>
    <w:p w14:paraId="5185BE65" w14:textId="626679FD" w:rsidR="00781084" w:rsidRPr="00DD2265" w:rsidRDefault="00781084">
      <w:pPr>
        <w:spacing w:after="0" w:line="240" w:lineRule="auto"/>
        <w:rPr>
          <w:rFonts w:ascii="Times New Roman" w:hAnsi="Times New Roman"/>
          <w:sz w:val="28"/>
          <w:szCs w:val="28"/>
        </w:rPr>
      </w:pPr>
    </w:p>
    <w:p w14:paraId="12E614E4" w14:textId="77777777" w:rsidR="006615CB" w:rsidRPr="00DD2265" w:rsidRDefault="006615CB" w:rsidP="006615CB">
      <w:pPr>
        <w:rPr>
          <w:rFonts w:ascii="Times New Roman" w:hAnsi="Times New Roman"/>
          <w:sz w:val="28"/>
          <w:szCs w:val="28"/>
        </w:rPr>
      </w:pPr>
    </w:p>
    <w:p w14:paraId="1FBC2D65" w14:textId="77777777" w:rsidR="006615CB" w:rsidRPr="00DD2265" w:rsidRDefault="006615CB" w:rsidP="00A550BE">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r w:rsidR="00A550BE" w:rsidRPr="00DD2265">
        <w:rPr>
          <w:rFonts w:ascii="Times New Roman" w:hAnsi="Times New Roman"/>
          <w:sz w:val="28"/>
          <w:szCs w:val="28"/>
        </w:rPr>
        <w:t>Papildināt 11.pielikuma II nodaļas tabulas piezīmes ar 37.piezīmi šādā redakcijā:</w:t>
      </w:r>
    </w:p>
    <w:p w14:paraId="112648DF" w14:textId="6A791D5B" w:rsidR="00BC29D4" w:rsidRPr="00DD2265" w:rsidRDefault="00A550BE" w:rsidP="00A550BE">
      <w:pPr>
        <w:spacing w:after="0" w:line="240" w:lineRule="auto"/>
        <w:ind w:firstLine="709"/>
        <w:jc w:val="both"/>
        <w:rPr>
          <w:rFonts w:ascii="Times New Roman" w:hAnsi="Times New Roman"/>
          <w:sz w:val="28"/>
          <w:szCs w:val="28"/>
        </w:rPr>
      </w:pPr>
      <w:r w:rsidRPr="00DD2265">
        <w:rPr>
          <w:rFonts w:ascii="Times New Roman" w:hAnsi="Times New Roman"/>
          <w:sz w:val="28"/>
          <w:szCs w:val="28"/>
        </w:rPr>
        <w:t>"</w:t>
      </w:r>
      <w:r w:rsidRPr="00DD2265">
        <w:rPr>
          <w:rFonts w:ascii="Times New Roman" w:hAnsi="Times New Roman"/>
          <w:sz w:val="28"/>
          <w:szCs w:val="28"/>
          <w:vertAlign w:val="superscript"/>
        </w:rPr>
        <w:t>37</w:t>
      </w:r>
      <w:r w:rsidRPr="00DD2265">
        <w:rPr>
          <w:rFonts w:ascii="Times New Roman" w:hAnsi="Times New Roman"/>
          <w:sz w:val="28"/>
          <w:szCs w:val="28"/>
        </w:rPr>
        <w:tab/>
        <w:t xml:space="preserve">Regulas (ES) Nr. 2017/1576 prasības </w:t>
      </w:r>
      <w:r w:rsidR="00040C02">
        <w:rPr>
          <w:rFonts w:ascii="Times New Roman" w:hAnsi="Times New Roman"/>
          <w:sz w:val="28"/>
          <w:szCs w:val="28"/>
        </w:rPr>
        <w:t>piemērojamas no 2019.gada 1.jūlija</w:t>
      </w:r>
      <w:bookmarkStart w:id="13" w:name="_GoBack"/>
      <w:bookmarkEnd w:id="13"/>
      <w:r w:rsidRPr="00DD2265">
        <w:rPr>
          <w:rFonts w:ascii="Times New Roman" w:hAnsi="Times New Roman"/>
          <w:sz w:val="28"/>
          <w:szCs w:val="28"/>
        </w:rPr>
        <w:t xml:space="preserve"> atbilstoši Pielikumā norādītajiem nosacījumiem.".</w:t>
      </w:r>
    </w:p>
    <w:p w14:paraId="04C649F0" w14:textId="77777777" w:rsidR="00BC29D4" w:rsidRPr="00DD2265" w:rsidRDefault="00BC29D4" w:rsidP="00BC29D4">
      <w:pPr>
        <w:spacing w:after="0" w:line="240" w:lineRule="auto"/>
        <w:jc w:val="both"/>
        <w:rPr>
          <w:rFonts w:ascii="Times New Roman" w:hAnsi="Times New Roman"/>
          <w:sz w:val="28"/>
          <w:szCs w:val="28"/>
        </w:rPr>
      </w:pPr>
    </w:p>
    <w:p w14:paraId="460F3522" w14:textId="77777777" w:rsidR="00FB1721" w:rsidRPr="00DD2265" w:rsidRDefault="00FB1721" w:rsidP="00743702">
      <w:pPr>
        <w:spacing w:after="0" w:line="240" w:lineRule="auto"/>
        <w:rPr>
          <w:rFonts w:ascii="Times New Roman" w:hAnsi="Times New Roman"/>
          <w:sz w:val="28"/>
          <w:szCs w:val="28"/>
        </w:rPr>
      </w:pPr>
    </w:p>
    <w:p w14:paraId="507634FD" w14:textId="77777777" w:rsidR="00520EE3" w:rsidRPr="00DD2265" w:rsidRDefault="00520EE3" w:rsidP="00743702">
      <w:pPr>
        <w:spacing w:after="0" w:line="240" w:lineRule="auto"/>
        <w:rPr>
          <w:rFonts w:ascii="Times New Roman" w:hAnsi="Times New Roman"/>
          <w:sz w:val="28"/>
          <w:szCs w:val="28"/>
        </w:rPr>
      </w:pPr>
    </w:p>
    <w:p w14:paraId="61DBAD5E" w14:textId="77777777" w:rsidR="00520EE3" w:rsidRPr="00DD2265" w:rsidRDefault="00520EE3" w:rsidP="00743702">
      <w:pPr>
        <w:spacing w:after="0" w:line="240" w:lineRule="auto"/>
        <w:rPr>
          <w:rFonts w:ascii="Times New Roman" w:hAnsi="Times New Roman"/>
          <w:sz w:val="28"/>
          <w:szCs w:val="28"/>
        </w:rPr>
      </w:pPr>
    </w:p>
    <w:p w14:paraId="4396D8B9" w14:textId="77777777" w:rsidR="00520EE3" w:rsidRPr="00DD2265" w:rsidRDefault="00520EE3" w:rsidP="00743702">
      <w:pPr>
        <w:spacing w:after="0" w:line="240" w:lineRule="auto"/>
        <w:rPr>
          <w:rFonts w:ascii="Times New Roman" w:hAnsi="Times New Roman"/>
          <w:sz w:val="28"/>
          <w:szCs w:val="28"/>
        </w:rPr>
      </w:pPr>
    </w:p>
    <w:p w14:paraId="0D05086D" w14:textId="77777777" w:rsidR="00520EE3" w:rsidRPr="00DD2265" w:rsidRDefault="00520EE3" w:rsidP="00743702">
      <w:pPr>
        <w:spacing w:after="0" w:line="240" w:lineRule="auto"/>
        <w:rPr>
          <w:rFonts w:ascii="Times New Roman" w:hAnsi="Times New Roman"/>
          <w:sz w:val="28"/>
          <w:szCs w:val="28"/>
        </w:rPr>
      </w:pPr>
    </w:p>
    <w:p w14:paraId="15210190" w14:textId="793C546A" w:rsidR="00672ED3" w:rsidRPr="00DD2265" w:rsidRDefault="00672ED3" w:rsidP="00743702">
      <w:pPr>
        <w:spacing w:after="0" w:line="240" w:lineRule="auto"/>
        <w:rPr>
          <w:rFonts w:ascii="Times New Roman" w:hAnsi="Times New Roman"/>
          <w:sz w:val="28"/>
          <w:szCs w:val="28"/>
        </w:rPr>
      </w:pPr>
      <w:r w:rsidRPr="00DD2265">
        <w:rPr>
          <w:rFonts w:ascii="Times New Roman" w:hAnsi="Times New Roman"/>
          <w:sz w:val="28"/>
          <w:szCs w:val="28"/>
        </w:rPr>
        <w:t>Ministru prezident</w:t>
      </w:r>
      <w:r w:rsidR="00866F90" w:rsidRPr="00DD2265">
        <w:rPr>
          <w:rFonts w:ascii="Times New Roman" w:hAnsi="Times New Roman"/>
          <w:sz w:val="28"/>
          <w:szCs w:val="28"/>
        </w:rPr>
        <w:t>s</w:t>
      </w:r>
      <w:r w:rsidRPr="00DD2265">
        <w:rPr>
          <w:rFonts w:ascii="Times New Roman" w:hAnsi="Times New Roman"/>
          <w:sz w:val="28"/>
          <w:szCs w:val="28"/>
        </w:rPr>
        <w:t xml:space="preserve"> </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103C97" w:rsidRPr="00DD2265">
        <w:rPr>
          <w:rFonts w:ascii="Times New Roman" w:hAnsi="Times New Roman"/>
          <w:sz w:val="28"/>
          <w:szCs w:val="28"/>
        </w:rPr>
        <w:t xml:space="preserve">        </w:t>
      </w:r>
      <w:r w:rsidR="00852120" w:rsidRPr="00DD2265">
        <w:rPr>
          <w:rFonts w:ascii="Times New Roman" w:hAnsi="Times New Roman"/>
          <w:sz w:val="28"/>
          <w:szCs w:val="28"/>
        </w:rPr>
        <w:tab/>
      </w:r>
      <w:proofErr w:type="spellStart"/>
      <w:r w:rsidR="00866F90" w:rsidRPr="00DD2265">
        <w:rPr>
          <w:rFonts w:ascii="Times New Roman" w:hAnsi="Times New Roman"/>
          <w:sz w:val="28"/>
          <w:szCs w:val="28"/>
        </w:rPr>
        <w:t>M</w:t>
      </w:r>
      <w:r w:rsidRPr="00DD2265">
        <w:rPr>
          <w:rFonts w:ascii="Times New Roman" w:hAnsi="Times New Roman"/>
          <w:sz w:val="28"/>
          <w:szCs w:val="28"/>
        </w:rPr>
        <w:t>.</w:t>
      </w:r>
      <w:r w:rsidR="00866F90" w:rsidRPr="00DD2265">
        <w:rPr>
          <w:rFonts w:ascii="Times New Roman" w:hAnsi="Times New Roman"/>
          <w:sz w:val="28"/>
          <w:szCs w:val="28"/>
        </w:rPr>
        <w:t>Kučinskis</w:t>
      </w:r>
      <w:proofErr w:type="spellEnd"/>
    </w:p>
    <w:p w14:paraId="2E459B20" w14:textId="77777777" w:rsidR="004947D0" w:rsidRPr="00DD2265" w:rsidRDefault="004947D0" w:rsidP="00743702">
      <w:pPr>
        <w:spacing w:after="0" w:line="240" w:lineRule="auto"/>
        <w:rPr>
          <w:rFonts w:ascii="Times New Roman" w:hAnsi="Times New Roman"/>
          <w:sz w:val="28"/>
          <w:szCs w:val="28"/>
        </w:rPr>
      </w:pPr>
    </w:p>
    <w:p w14:paraId="3F5CDBBD" w14:textId="77777777" w:rsidR="000D651D" w:rsidRPr="00DD2265" w:rsidRDefault="000D651D" w:rsidP="00743702">
      <w:pPr>
        <w:spacing w:after="0" w:line="240" w:lineRule="auto"/>
        <w:rPr>
          <w:rFonts w:ascii="Times New Roman" w:hAnsi="Times New Roman"/>
          <w:sz w:val="28"/>
          <w:szCs w:val="28"/>
        </w:rPr>
      </w:pPr>
    </w:p>
    <w:p w14:paraId="6866B594" w14:textId="38999F7E" w:rsidR="000D651D" w:rsidRPr="00DD2265" w:rsidRDefault="00026180" w:rsidP="00743702">
      <w:pPr>
        <w:spacing w:after="0" w:line="240" w:lineRule="auto"/>
        <w:rPr>
          <w:rFonts w:ascii="Times New Roman" w:hAnsi="Times New Roman"/>
          <w:sz w:val="28"/>
          <w:szCs w:val="28"/>
        </w:rPr>
      </w:pPr>
      <w:r w:rsidRPr="00DD2265">
        <w:rPr>
          <w:rFonts w:ascii="Times New Roman" w:hAnsi="Times New Roman"/>
          <w:sz w:val="28"/>
          <w:szCs w:val="28"/>
        </w:rPr>
        <w:t>Satiksmes ministrs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852120" w:rsidRPr="00DD2265">
        <w:rPr>
          <w:rFonts w:ascii="Times New Roman" w:hAnsi="Times New Roman"/>
          <w:sz w:val="28"/>
          <w:szCs w:val="28"/>
        </w:rPr>
        <w:tab/>
      </w:r>
      <w:proofErr w:type="spellStart"/>
      <w:r w:rsidR="00866F90" w:rsidRPr="00DD2265">
        <w:rPr>
          <w:rFonts w:ascii="Times New Roman" w:hAnsi="Times New Roman"/>
          <w:sz w:val="28"/>
          <w:szCs w:val="28"/>
        </w:rPr>
        <w:t>U</w:t>
      </w:r>
      <w:r w:rsidRPr="00DD2265">
        <w:rPr>
          <w:rFonts w:ascii="Times New Roman" w:hAnsi="Times New Roman"/>
          <w:sz w:val="28"/>
          <w:szCs w:val="28"/>
        </w:rPr>
        <w:t>.</w:t>
      </w:r>
      <w:r w:rsidR="00866F90" w:rsidRPr="00DD2265">
        <w:rPr>
          <w:rFonts w:ascii="Times New Roman" w:hAnsi="Times New Roman"/>
          <w:sz w:val="28"/>
          <w:szCs w:val="28"/>
        </w:rPr>
        <w:t>Auguli</w:t>
      </w:r>
      <w:r w:rsidRPr="00DD2265">
        <w:rPr>
          <w:rFonts w:ascii="Times New Roman" w:hAnsi="Times New Roman"/>
          <w:sz w:val="28"/>
          <w:szCs w:val="28"/>
        </w:rPr>
        <w:t>s</w:t>
      </w:r>
      <w:proofErr w:type="spellEnd"/>
    </w:p>
    <w:p w14:paraId="4750D963" w14:textId="77777777" w:rsidR="0022644C" w:rsidRPr="00DD2265" w:rsidRDefault="0022644C" w:rsidP="00743702">
      <w:pPr>
        <w:spacing w:after="0" w:line="240" w:lineRule="auto"/>
        <w:rPr>
          <w:rFonts w:ascii="Times New Roman" w:hAnsi="Times New Roman"/>
          <w:sz w:val="28"/>
          <w:szCs w:val="28"/>
        </w:rPr>
      </w:pPr>
    </w:p>
    <w:p w14:paraId="03B09704" w14:textId="77777777" w:rsidR="0022644C" w:rsidRPr="00DD2265" w:rsidRDefault="0022644C" w:rsidP="00743702">
      <w:pPr>
        <w:spacing w:after="0" w:line="240" w:lineRule="auto"/>
        <w:rPr>
          <w:rFonts w:ascii="Times New Roman" w:hAnsi="Times New Roman"/>
          <w:sz w:val="28"/>
          <w:szCs w:val="28"/>
        </w:rPr>
      </w:pPr>
    </w:p>
    <w:p w14:paraId="289E2515" w14:textId="599E2A94" w:rsidR="00852120" w:rsidRPr="00DD2265" w:rsidRDefault="00852120" w:rsidP="00743702">
      <w:pPr>
        <w:spacing w:after="0" w:line="240" w:lineRule="auto"/>
        <w:rPr>
          <w:rFonts w:ascii="Times New Roman" w:hAnsi="Times New Roman"/>
          <w:sz w:val="28"/>
          <w:szCs w:val="28"/>
        </w:rPr>
      </w:pPr>
      <w:r w:rsidRPr="00DD2265">
        <w:rPr>
          <w:rFonts w:ascii="Times New Roman" w:hAnsi="Times New Roman"/>
          <w:sz w:val="28"/>
          <w:szCs w:val="28"/>
        </w:rPr>
        <w:t>Iesniedzējs:</w:t>
      </w:r>
      <w:r w:rsidRPr="00DD2265">
        <w:rPr>
          <w:rFonts w:ascii="Times New Roman" w:hAnsi="Times New Roman"/>
          <w:sz w:val="28"/>
          <w:szCs w:val="28"/>
        </w:rPr>
        <w:tab/>
      </w:r>
      <w:r w:rsidR="00D94748" w:rsidRPr="00DD2265">
        <w:rPr>
          <w:rFonts w:ascii="Times New Roman" w:hAnsi="Times New Roman"/>
          <w:sz w:val="28"/>
          <w:szCs w:val="28"/>
        </w:rPr>
        <w:t xml:space="preserve">satiksmes </w:t>
      </w:r>
      <w:r w:rsidRPr="00DD2265">
        <w:rPr>
          <w:rFonts w:ascii="Times New Roman" w:hAnsi="Times New Roman"/>
          <w:sz w:val="28"/>
          <w:szCs w:val="28"/>
        </w:rPr>
        <w:t>ministrs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Pr="00DD2265">
        <w:rPr>
          <w:rFonts w:ascii="Times New Roman" w:hAnsi="Times New Roman"/>
          <w:sz w:val="28"/>
          <w:szCs w:val="28"/>
        </w:rPr>
        <w:tab/>
      </w:r>
      <w:proofErr w:type="spellStart"/>
      <w:r w:rsidR="00866F90" w:rsidRPr="00DD2265">
        <w:rPr>
          <w:rFonts w:ascii="Times New Roman" w:hAnsi="Times New Roman"/>
          <w:sz w:val="28"/>
          <w:szCs w:val="28"/>
        </w:rPr>
        <w:t>U.Augulis</w:t>
      </w:r>
      <w:proofErr w:type="spellEnd"/>
    </w:p>
    <w:p w14:paraId="56016C0C" w14:textId="78888906" w:rsidR="000D651D" w:rsidRPr="00DD2265" w:rsidRDefault="00D54E65" w:rsidP="00F527A5">
      <w:pPr>
        <w:spacing w:after="0" w:line="240" w:lineRule="auto"/>
        <w:rPr>
          <w:rFonts w:ascii="Times New Roman" w:hAnsi="Times New Roman"/>
          <w:sz w:val="28"/>
          <w:szCs w:val="28"/>
        </w:rPr>
      </w:pPr>
      <w:r>
        <w:rPr>
          <w:rFonts w:ascii="Times New Roman" w:hAnsi="Times New Roman"/>
          <w:sz w:val="28"/>
          <w:szCs w:val="28"/>
        </w:rPr>
        <w:tab/>
      </w:r>
    </w:p>
    <w:p w14:paraId="0F9AE4E6" w14:textId="0C879140" w:rsidR="0022644C" w:rsidRPr="00DD2265" w:rsidRDefault="00DD2265" w:rsidP="00DD2265">
      <w:pPr>
        <w:tabs>
          <w:tab w:val="left" w:pos="2692"/>
        </w:tabs>
        <w:spacing w:after="0" w:line="240" w:lineRule="auto"/>
        <w:rPr>
          <w:rFonts w:ascii="Times New Roman" w:hAnsi="Times New Roman"/>
          <w:sz w:val="28"/>
          <w:szCs w:val="28"/>
        </w:rPr>
      </w:pPr>
      <w:r>
        <w:rPr>
          <w:rFonts w:ascii="Times New Roman" w:hAnsi="Times New Roman"/>
          <w:sz w:val="28"/>
          <w:szCs w:val="28"/>
        </w:rPr>
        <w:tab/>
      </w:r>
    </w:p>
    <w:p w14:paraId="444C0B8B" w14:textId="14D5DAF3" w:rsidR="00F527A5" w:rsidRPr="00DD2265" w:rsidRDefault="00F527A5" w:rsidP="00A37C0F">
      <w:pPr>
        <w:spacing w:after="0" w:line="240" w:lineRule="auto"/>
        <w:rPr>
          <w:rFonts w:ascii="Times New Roman" w:hAnsi="Times New Roman"/>
          <w:sz w:val="28"/>
          <w:szCs w:val="28"/>
        </w:rPr>
      </w:pPr>
      <w:r w:rsidRPr="00DD2265">
        <w:rPr>
          <w:rFonts w:ascii="Times New Roman" w:hAnsi="Times New Roman"/>
          <w:sz w:val="28"/>
          <w:szCs w:val="28"/>
        </w:rPr>
        <w:t xml:space="preserve">Vīza: </w:t>
      </w:r>
      <w:r w:rsidR="00D94748" w:rsidRPr="00DD2265">
        <w:rPr>
          <w:rFonts w:ascii="Times New Roman" w:hAnsi="Times New Roman"/>
          <w:sz w:val="28"/>
          <w:szCs w:val="28"/>
        </w:rPr>
        <w:t xml:space="preserve">valsts </w:t>
      </w:r>
      <w:r w:rsidRPr="00DD2265">
        <w:rPr>
          <w:rFonts w:ascii="Times New Roman" w:hAnsi="Times New Roman"/>
          <w:sz w:val="28"/>
          <w:szCs w:val="28"/>
        </w:rPr>
        <w:t>sekretārs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Pr="00DD2265">
        <w:rPr>
          <w:rFonts w:ascii="Times New Roman" w:hAnsi="Times New Roman"/>
          <w:sz w:val="28"/>
          <w:szCs w:val="28"/>
        </w:rPr>
        <w:tab/>
      </w:r>
      <w:r w:rsidR="00A37C0F" w:rsidRPr="00DD2265">
        <w:rPr>
          <w:rFonts w:ascii="Times New Roman" w:hAnsi="Times New Roman"/>
          <w:sz w:val="28"/>
          <w:szCs w:val="28"/>
        </w:rPr>
        <w:tab/>
      </w:r>
      <w:proofErr w:type="spellStart"/>
      <w:r w:rsidR="00A37C0F" w:rsidRPr="00DD2265">
        <w:rPr>
          <w:rFonts w:ascii="Times New Roman" w:hAnsi="Times New Roman"/>
          <w:sz w:val="28"/>
          <w:szCs w:val="28"/>
        </w:rPr>
        <w:t>K.</w:t>
      </w:r>
      <w:r w:rsidR="00BD2109" w:rsidRPr="00DD2265">
        <w:rPr>
          <w:rFonts w:ascii="Times New Roman" w:hAnsi="Times New Roman"/>
          <w:sz w:val="28"/>
          <w:szCs w:val="28"/>
        </w:rPr>
        <w:t>Ozoliņš</w:t>
      </w:r>
      <w:proofErr w:type="spellEnd"/>
      <w:r w:rsidRPr="00DD2265">
        <w:rPr>
          <w:rFonts w:ascii="Times New Roman" w:hAnsi="Times New Roman"/>
          <w:sz w:val="28"/>
          <w:szCs w:val="28"/>
        </w:rPr>
        <w:t xml:space="preserve"> </w:t>
      </w:r>
    </w:p>
    <w:p w14:paraId="3463B1FB" w14:textId="77777777" w:rsidR="00852120" w:rsidRPr="00DD2265" w:rsidRDefault="00852120" w:rsidP="00743702">
      <w:pPr>
        <w:spacing w:after="0" w:line="240" w:lineRule="auto"/>
        <w:rPr>
          <w:rFonts w:ascii="Times New Roman" w:hAnsi="Times New Roman"/>
          <w:sz w:val="28"/>
          <w:szCs w:val="28"/>
        </w:rPr>
      </w:pPr>
    </w:p>
    <w:sectPr w:rsidR="00852120" w:rsidRPr="00DD2265" w:rsidSect="00B81106">
      <w:headerReference w:type="even" r:id="rId12"/>
      <w:headerReference w:type="default" r:id="rId13"/>
      <w:footerReference w:type="default" r:id="rId14"/>
      <w:headerReference w:type="first" r:id="rId15"/>
      <w:footerReference w:type="first" r:id="rId16"/>
      <w:pgSz w:w="16838" w:h="11906" w:orient="landscape"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9422" w14:textId="77777777" w:rsidR="00C6061F" w:rsidRDefault="00C6061F">
      <w:r>
        <w:separator/>
      </w:r>
    </w:p>
  </w:endnote>
  <w:endnote w:type="continuationSeparator" w:id="0">
    <w:p w14:paraId="56131CF1" w14:textId="77777777" w:rsidR="00C6061F" w:rsidRDefault="00C6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8589" w14:textId="77777777" w:rsidR="00C6061F" w:rsidRDefault="00C6061F">
    <w:pPr>
      <w:pStyle w:val="Footer"/>
      <w:jc w:val="center"/>
    </w:pPr>
  </w:p>
  <w:p w14:paraId="5BBEC17F" w14:textId="77777777" w:rsidR="00D54E65" w:rsidRPr="007504A5" w:rsidRDefault="00D54E65" w:rsidP="00D54E65">
    <w:pPr>
      <w:pStyle w:val="Footer"/>
      <w:jc w:val="both"/>
    </w:pPr>
    <w:r>
      <w:rPr>
        <w:rFonts w:ascii="Times New Roman" w:eastAsia="Times New Roman" w:hAnsi="Times New Roman"/>
        <w:sz w:val="20"/>
        <w:szCs w:val="20"/>
        <w:lang w:val="en-US"/>
      </w:rPr>
      <w:t>S</w:t>
    </w:r>
    <w:r w:rsidRPr="007504A5">
      <w:rPr>
        <w:rFonts w:ascii="Times New Roman" w:eastAsia="Times New Roman" w:hAnsi="Times New Roman"/>
        <w:sz w:val="20"/>
        <w:szCs w:val="20"/>
        <w:lang w:val="en-US"/>
      </w:rPr>
      <w:t>MNot_</w:t>
    </w:r>
    <w:r>
      <w:rPr>
        <w:rFonts w:ascii="Times New Roman" w:eastAsia="Times New Roman" w:hAnsi="Times New Roman"/>
        <w:sz w:val="20"/>
        <w:szCs w:val="20"/>
        <w:lang w:val="en-US"/>
      </w:rPr>
      <w:t>2908</w:t>
    </w:r>
    <w:r w:rsidRPr="007504A5">
      <w:rPr>
        <w:rFonts w:ascii="Times New Roman" w:eastAsia="Times New Roman" w:hAnsi="Times New Roman"/>
        <w:sz w:val="20"/>
        <w:szCs w:val="20"/>
        <w:lang w:val="en-US"/>
      </w:rPr>
      <w:t>1</w:t>
    </w:r>
    <w:r>
      <w:rPr>
        <w:rFonts w:ascii="Times New Roman" w:eastAsia="Times New Roman" w:hAnsi="Times New Roman"/>
        <w:sz w:val="20"/>
        <w:szCs w:val="20"/>
        <w:lang w:val="en-US"/>
      </w:rPr>
      <w:t>8</w:t>
    </w:r>
    <w:r w:rsidRPr="007504A5">
      <w:rPr>
        <w:rFonts w:ascii="Times New Roman" w:eastAsia="Times New Roman" w:hAnsi="Times New Roman"/>
        <w:sz w:val="20"/>
        <w:szCs w:val="20"/>
        <w:lang w:val="en-US"/>
      </w:rPr>
      <w:t xml:space="preserve">_sertifik; </w:t>
    </w:r>
  </w:p>
  <w:p w14:paraId="4B65BB86" w14:textId="4FA3D8BE" w:rsidR="00C6061F" w:rsidRDefault="00C6061F" w:rsidP="00D54E6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00F7" w14:textId="50264A9E" w:rsidR="00C6061F" w:rsidRPr="007504A5" w:rsidRDefault="00D54E65" w:rsidP="00235790">
    <w:pPr>
      <w:pStyle w:val="Footer"/>
      <w:jc w:val="both"/>
    </w:pPr>
    <w:r>
      <w:rPr>
        <w:rFonts w:ascii="Times New Roman" w:eastAsia="Times New Roman" w:hAnsi="Times New Roman"/>
        <w:sz w:val="20"/>
        <w:szCs w:val="20"/>
        <w:lang w:val="en-US"/>
      </w:rPr>
      <w:t>S</w:t>
    </w:r>
    <w:r w:rsidR="00C6061F" w:rsidRPr="007504A5">
      <w:rPr>
        <w:rFonts w:ascii="Times New Roman" w:eastAsia="Times New Roman" w:hAnsi="Times New Roman"/>
        <w:sz w:val="20"/>
        <w:szCs w:val="20"/>
        <w:lang w:val="en-US"/>
      </w:rPr>
      <w:t>MNot_</w:t>
    </w:r>
    <w:r>
      <w:rPr>
        <w:rFonts w:ascii="Times New Roman" w:eastAsia="Times New Roman" w:hAnsi="Times New Roman"/>
        <w:sz w:val="20"/>
        <w:szCs w:val="20"/>
        <w:lang w:val="en-US"/>
      </w:rPr>
      <w:t>290</w:t>
    </w:r>
    <w:r w:rsidR="004B5CA0">
      <w:rPr>
        <w:rFonts w:ascii="Times New Roman" w:eastAsia="Times New Roman" w:hAnsi="Times New Roman"/>
        <w:sz w:val="20"/>
        <w:szCs w:val="20"/>
        <w:lang w:val="en-US"/>
      </w:rPr>
      <w:t>8</w:t>
    </w:r>
    <w:r w:rsidR="00C6061F" w:rsidRPr="007504A5">
      <w:rPr>
        <w:rFonts w:ascii="Times New Roman" w:eastAsia="Times New Roman" w:hAnsi="Times New Roman"/>
        <w:sz w:val="20"/>
        <w:szCs w:val="20"/>
        <w:lang w:val="en-US"/>
      </w:rPr>
      <w:t>1</w:t>
    </w:r>
    <w:r w:rsidR="00C6061F">
      <w:rPr>
        <w:rFonts w:ascii="Times New Roman" w:eastAsia="Times New Roman" w:hAnsi="Times New Roman"/>
        <w:sz w:val="20"/>
        <w:szCs w:val="20"/>
        <w:lang w:val="en-US"/>
      </w:rPr>
      <w:t>8</w:t>
    </w:r>
    <w:r w:rsidR="00C6061F" w:rsidRPr="007504A5">
      <w:rPr>
        <w:rFonts w:ascii="Times New Roman" w:eastAsia="Times New Roman" w:hAnsi="Times New Roman"/>
        <w:sz w:val="20"/>
        <w:szCs w:val="20"/>
        <w:lang w:val="en-US"/>
      </w:rPr>
      <w:t xml:space="preserve">_sertifik;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4910" w14:textId="77777777" w:rsidR="00D54E65" w:rsidRPr="007504A5" w:rsidRDefault="00D54E65" w:rsidP="00D54E65">
    <w:pPr>
      <w:pStyle w:val="Footer"/>
      <w:jc w:val="both"/>
    </w:pPr>
    <w:r>
      <w:rPr>
        <w:rFonts w:ascii="Times New Roman" w:eastAsia="Times New Roman" w:hAnsi="Times New Roman"/>
        <w:sz w:val="20"/>
        <w:szCs w:val="20"/>
        <w:lang w:val="en-US"/>
      </w:rPr>
      <w:t>S</w:t>
    </w:r>
    <w:r w:rsidRPr="007504A5">
      <w:rPr>
        <w:rFonts w:ascii="Times New Roman" w:eastAsia="Times New Roman" w:hAnsi="Times New Roman"/>
        <w:sz w:val="20"/>
        <w:szCs w:val="20"/>
        <w:lang w:val="en-US"/>
      </w:rPr>
      <w:t>MNot_</w:t>
    </w:r>
    <w:r>
      <w:rPr>
        <w:rFonts w:ascii="Times New Roman" w:eastAsia="Times New Roman" w:hAnsi="Times New Roman"/>
        <w:sz w:val="20"/>
        <w:szCs w:val="20"/>
        <w:lang w:val="en-US"/>
      </w:rPr>
      <w:t>2908</w:t>
    </w:r>
    <w:r w:rsidRPr="007504A5">
      <w:rPr>
        <w:rFonts w:ascii="Times New Roman" w:eastAsia="Times New Roman" w:hAnsi="Times New Roman"/>
        <w:sz w:val="20"/>
        <w:szCs w:val="20"/>
        <w:lang w:val="en-US"/>
      </w:rPr>
      <w:t>1</w:t>
    </w:r>
    <w:r>
      <w:rPr>
        <w:rFonts w:ascii="Times New Roman" w:eastAsia="Times New Roman" w:hAnsi="Times New Roman"/>
        <w:sz w:val="20"/>
        <w:szCs w:val="20"/>
        <w:lang w:val="en-US"/>
      </w:rPr>
      <w:t>8</w:t>
    </w:r>
    <w:r w:rsidRPr="007504A5">
      <w:rPr>
        <w:rFonts w:ascii="Times New Roman" w:eastAsia="Times New Roman" w:hAnsi="Times New Roman"/>
        <w:sz w:val="20"/>
        <w:szCs w:val="20"/>
        <w:lang w:val="en-US"/>
      </w:rPr>
      <w:t xml:space="preserve">_sertifik; </w:t>
    </w:r>
  </w:p>
  <w:p w14:paraId="37F62271" w14:textId="40120220" w:rsidR="00C6061F" w:rsidRPr="00D54E65" w:rsidRDefault="00C6061F" w:rsidP="00D54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27BB" w14:textId="77777777" w:rsidR="00C6061F" w:rsidRPr="001600D8" w:rsidRDefault="00C6061F" w:rsidP="00235790">
    <w:pPr>
      <w:pStyle w:val="Footer"/>
      <w:jc w:val="both"/>
    </w:pPr>
    <w:r>
      <w:rPr>
        <w:rFonts w:ascii="Times New Roman" w:hAnsi="Times New Roman"/>
        <w:sz w:val="20"/>
        <w:szCs w:val="20"/>
      </w:rPr>
      <w:t>SAMNot_0106</w:t>
    </w:r>
    <w:r w:rsidRPr="007504A5">
      <w:rPr>
        <w:rFonts w:ascii="Times New Roman" w:hAnsi="Times New Roman"/>
        <w:sz w:val="20"/>
        <w:szCs w:val="20"/>
      </w:rPr>
      <w:t>16_sertifik; Ministru kabineta noteikumu projekts „Grozījumi Ministru kabineta 2009.gada 22.decembra noteikumos Nr.1494 „Mopēdu, mehānisko transportlīdzekļu, to piekabju un sastāvdaļu atbilstības novērtēšanas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871A" w14:textId="77777777" w:rsidR="00C6061F" w:rsidRDefault="00C6061F">
      <w:r>
        <w:separator/>
      </w:r>
    </w:p>
  </w:footnote>
  <w:footnote w:type="continuationSeparator" w:id="0">
    <w:p w14:paraId="23CCA4A7" w14:textId="77777777" w:rsidR="00C6061F" w:rsidRDefault="00C6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83443"/>
      <w:docPartObj>
        <w:docPartGallery w:val="Page Numbers (Top of Page)"/>
        <w:docPartUnique/>
      </w:docPartObj>
    </w:sdtPr>
    <w:sdtEndPr>
      <w:rPr>
        <w:noProof/>
      </w:rPr>
    </w:sdtEndPr>
    <w:sdtContent>
      <w:p w14:paraId="4B53C7EA" w14:textId="0E76E95B" w:rsidR="00040C02" w:rsidRDefault="00040C02">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7545DA8F" w14:textId="5B5AF41C" w:rsidR="00C6061F" w:rsidRDefault="00C606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2E59" w14:textId="77777777" w:rsidR="00C6061F" w:rsidRDefault="00C6061F" w:rsidP="00C42D6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8BEF" w14:textId="77777777" w:rsidR="00C6061F" w:rsidRDefault="00C6061F"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9B239ED" w14:textId="77777777" w:rsidR="00C6061F" w:rsidRDefault="00C6061F">
    <w:pPr>
      <w:pStyle w:val="Header"/>
    </w:pPr>
  </w:p>
  <w:p w14:paraId="65650B71" w14:textId="77777777" w:rsidR="00C6061F" w:rsidRDefault="00C6061F"/>
  <w:p w14:paraId="7074DFCA" w14:textId="77777777" w:rsidR="00C6061F" w:rsidRDefault="00C6061F"/>
  <w:p w14:paraId="4EBA3E3F" w14:textId="77777777" w:rsidR="00C6061F" w:rsidRDefault="00C606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78474"/>
      <w:docPartObj>
        <w:docPartGallery w:val="Page Numbers (Top of Page)"/>
        <w:docPartUnique/>
      </w:docPartObj>
    </w:sdtPr>
    <w:sdtEndPr>
      <w:rPr>
        <w:noProof/>
      </w:rPr>
    </w:sdtEndPr>
    <w:sdtContent>
      <w:p w14:paraId="19F03F7E" w14:textId="6347F29F" w:rsidR="00040C02" w:rsidRDefault="00040C02">
        <w:pPr>
          <w:pStyle w:val="Header"/>
          <w:jc w:val="center"/>
        </w:pPr>
        <w:r>
          <w:fldChar w:fldCharType="begin"/>
        </w:r>
        <w:r>
          <w:instrText xml:space="preserve"> PAGE   \* MERGEFORMAT </w:instrText>
        </w:r>
        <w:r>
          <w:fldChar w:fldCharType="separate"/>
        </w:r>
        <w:r>
          <w:rPr>
            <w:noProof/>
          </w:rPr>
          <w:t>38</w:t>
        </w:r>
        <w:r>
          <w:rPr>
            <w:noProof/>
          </w:rPr>
          <w:fldChar w:fldCharType="end"/>
        </w:r>
      </w:p>
    </w:sdtContent>
  </w:sdt>
  <w:p w14:paraId="51A6139B" w14:textId="77777777" w:rsidR="00C6061F" w:rsidRPr="00546122" w:rsidRDefault="00C6061F" w:rsidP="005461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6C3A" w14:textId="77777777" w:rsidR="00C6061F" w:rsidRDefault="00C6061F" w:rsidP="00BC23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34C"/>
    <w:multiLevelType w:val="hybridMultilevel"/>
    <w:tmpl w:val="50040F66"/>
    <w:lvl w:ilvl="0" w:tplc="920A20D8">
      <w:start w:val="2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9B503F4"/>
    <w:multiLevelType w:val="hybridMultilevel"/>
    <w:tmpl w:val="E7B2587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BE3AC2"/>
    <w:multiLevelType w:val="hybridMultilevel"/>
    <w:tmpl w:val="8B966BE6"/>
    <w:lvl w:ilvl="0" w:tplc="CF188B0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3" w15:restartNumberingAfterBreak="0">
    <w:nsid w:val="4C1A50AF"/>
    <w:multiLevelType w:val="hybridMultilevel"/>
    <w:tmpl w:val="2F8A0C82"/>
    <w:lvl w:ilvl="0" w:tplc="2D14A290">
      <w:start w:val="26"/>
      <w:numFmt w:val="decimal"/>
      <w:lvlText w:val="%1"/>
      <w:lvlJc w:val="left"/>
      <w:pPr>
        <w:tabs>
          <w:tab w:val="num" w:pos="1080"/>
        </w:tabs>
        <w:ind w:left="1080" w:hanging="360"/>
      </w:pPr>
      <w:rPr>
        <w:rFonts w:hint="default"/>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B14E39"/>
    <w:multiLevelType w:val="hybridMultilevel"/>
    <w:tmpl w:val="1CF2E9D2"/>
    <w:lvl w:ilvl="0" w:tplc="B348531E">
      <w:start w:val="1"/>
      <w:numFmt w:val="decimal"/>
      <w:lvlText w:val="%1"/>
      <w:lvlJc w:val="left"/>
      <w:pPr>
        <w:tabs>
          <w:tab w:val="num" w:pos="720"/>
        </w:tabs>
        <w:ind w:left="720" w:hanging="72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C262F6"/>
    <w:multiLevelType w:val="hybridMultilevel"/>
    <w:tmpl w:val="FF60CCBC"/>
    <w:lvl w:ilvl="0" w:tplc="1F509768">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F082B52"/>
    <w:multiLevelType w:val="hybridMultilevel"/>
    <w:tmpl w:val="0EEEFBC6"/>
    <w:lvl w:ilvl="0" w:tplc="4ECA18FE">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6D"/>
    <w:rsid w:val="00000F2B"/>
    <w:rsid w:val="000070FE"/>
    <w:rsid w:val="000116BB"/>
    <w:rsid w:val="000127EB"/>
    <w:rsid w:val="0001383D"/>
    <w:rsid w:val="000142BD"/>
    <w:rsid w:val="00014936"/>
    <w:rsid w:val="00014FFE"/>
    <w:rsid w:val="000154D9"/>
    <w:rsid w:val="00016012"/>
    <w:rsid w:val="00020045"/>
    <w:rsid w:val="0002165B"/>
    <w:rsid w:val="00023239"/>
    <w:rsid w:val="00023C01"/>
    <w:rsid w:val="00023F28"/>
    <w:rsid w:val="00025D5A"/>
    <w:rsid w:val="00026180"/>
    <w:rsid w:val="00026D2B"/>
    <w:rsid w:val="00027DCD"/>
    <w:rsid w:val="00031B39"/>
    <w:rsid w:val="00035974"/>
    <w:rsid w:val="000377C4"/>
    <w:rsid w:val="00040C02"/>
    <w:rsid w:val="00044221"/>
    <w:rsid w:val="00046888"/>
    <w:rsid w:val="00046F4D"/>
    <w:rsid w:val="0004729A"/>
    <w:rsid w:val="00051E10"/>
    <w:rsid w:val="00052371"/>
    <w:rsid w:val="00055281"/>
    <w:rsid w:val="000606BA"/>
    <w:rsid w:val="00060C27"/>
    <w:rsid w:val="000667EF"/>
    <w:rsid w:val="00067B07"/>
    <w:rsid w:val="00067DD6"/>
    <w:rsid w:val="00071238"/>
    <w:rsid w:val="00071BBF"/>
    <w:rsid w:val="000769D4"/>
    <w:rsid w:val="00082A2C"/>
    <w:rsid w:val="00087780"/>
    <w:rsid w:val="00094802"/>
    <w:rsid w:val="00094C8C"/>
    <w:rsid w:val="00096B90"/>
    <w:rsid w:val="00096F35"/>
    <w:rsid w:val="000A0782"/>
    <w:rsid w:val="000A2734"/>
    <w:rsid w:val="000B1337"/>
    <w:rsid w:val="000B1868"/>
    <w:rsid w:val="000B4F0C"/>
    <w:rsid w:val="000B668C"/>
    <w:rsid w:val="000B7C47"/>
    <w:rsid w:val="000C3D73"/>
    <w:rsid w:val="000C5474"/>
    <w:rsid w:val="000C63BD"/>
    <w:rsid w:val="000C6663"/>
    <w:rsid w:val="000C76E4"/>
    <w:rsid w:val="000C7A46"/>
    <w:rsid w:val="000D0EF4"/>
    <w:rsid w:val="000D250F"/>
    <w:rsid w:val="000D651D"/>
    <w:rsid w:val="000D6F3F"/>
    <w:rsid w:val="000E253F"/>
    <w:rsid w:val="000E3767"/>
    <w:rsid w:val="000E5815"/>
    <w:rsid w:val="000E5BAC"/>
    <w:rsid w:val="000E64FC"/>
    <w:rsid w:val="000F0AEC"/>
    <w:rsid w:val="000F5C56"/>
    <w:rsid w:val="00103C97"/>
    <w:rsid w:val="00104351"/>
    <w:rsid w:val="00105488"/>
    <w:rsid w:val="00105E95"/>
    <w:rsid w:val="00110839"/>
    <w:rsid w:val="001138B9"/>
    <w:rsid w:val="00113FE3"/>
    <w:rsid w:val="00114CBC"/>
    <w:rsid w:val="00120F72"/>
    <w:rsid w:val="001230F1"/>
    <w:rsid w:val="001236FB"/>
    <w:rsid w:val="00123A80"/>
    <w:rsid w:val="00124098"/>
    <w:rsid w:val="00125710"/>
    <w:rsid w:val="00125BCE"/>
    <w:rsid w:val="00126F9A"/>
    <w:rsid w:val="00133E0E"/>
    <w:rsid w:val="00135BDA"/>
    <w:rsid w:val="00141B86"/>
    <w:rsid w:val="001431C8"/>
    <w:rsid w:val="0014552C"/>
    <w:rsid w:val="0014611B"/>
    <w:rsid w:val="00146E4A"/>
    <w:rsid w:val="00150B03"/>
    <w:rsid w:val="00154596"/>
    <w:rsid w:val="00157A0B"/>
    <w:rsid w:val="001600D8"/>
    <w:rsid w:val="00162BFD"/>
    <w:rsid w:val="001637C5"/>
    <w:rsid w:val="00165EB9"/>
    <w:rsid w:val="00171D64"/>
    <w:rsid w:val="00172121"/>
    <w:rsid w:val="00173F0A"/>
    <w:rsid w:val="00175513"/>
    <w:rsid w:val="00190F43"/>
    <w:rsid w:val="00192B18"/>
    <w:rsid w:val="0019329E"/>
    <w:rsid w:val="00196D4C"/>
    <w:rsid w:val="00197DCE"/>
    <w:rsid w:val="001A1CDC"/>
    <w:rsid w:val="001A260B"/>
    <w:rsid w:val="001A2713"/>
    <w:rsid w:val="001A7A23"/>
    <w:rsid w:val="001B113D"/>
    <w:rsid w:val="001B149E"/>
    <w:rsid w:val="001B2CD9"/>
    <w:rsid w:val="001B379B"/>
    <w:rsid w:val="001B6AB1"/>
    <w:rsid w:val="001B6D6C"/>
    <w:rsid w:val="001C1060"/>
    <w:rsid w:val="001C40B3"/>
    <w:rsid w:val="001C432B"/>
    <w:rsid w:val="001C5FF5"/>
    <w:rsid w:val="001C77DD"/>
    <w:rsid w:val="001C78D5"/>
    <w:rsid w:val="001D5502"/>
    <w:rsid w:val="001E23D7"/>
    <w:rsid w:val="001E5426"/>
    <w:rsid w:val="001F016C"/>
    <w:rsid w:val="001F1733"/>
    <w:rsid w:val="001F18C0"/>
    <w:rsid w:val="001F26F8"/>
    <w:rsid w:val="001F2A4A"/>
    <w:rsid w:val="001F4563"/>
    <w:rsid w:val="001F697E"/>
    <w:rsid w:val="001F7AB4"/>
    <w:rsid w:val="0020118C"/>
    <w:rsid w:val="0020174A"/>
    <w:rsid w:val="0020317F"/>
    <w:rsid w:val="0020455D"/>
    <w:rsid w:val="0021452F"/>
    <w:rsid w:val="00216287"/>
    <w:rsid w:val="0022007E"/>
    <w:rsid w:val="002228DE"/>
    <w:rsid w:val="00222D53"/>
    <w:rsid w:val="00222F90"/>
    <w:rsid w:val="0022644C"/>
    <w:rsid w:val="002355F4"/>
    <w:rsid w:val="00235790"/>
    <w:rsid w:val="002364D0"/>
    <w:rsid w:val="00243C8E"/>
    <w:rsid w:val="002456C9"/>
    <w:rsid w:val="00246D18"/>
    <w:rsid w:val="00246EBB"/>
    <w:rsid w:val="0025081E"/>
    <w:rsid w:val="00254079"/>
    <w:rsid w:val="0026343A"/>
    <w:rsid w:val="002634DE"/>
    <w:rsid w:val="00265C79"/>
    <w:rsid w:val="00266922"/>
    <w:rsid w:val="00273175"/>
    <w:rsid w:val="002815CB"/>
    <w:rsid w:val="00282449"/>
    <w:rsid w:val="00286B0E"/>
    <w:rsid w:val="002A0558"/>
    <w:rsid w:val="002A70B5"/>
    <w:rsid w:val="002A77E5"/>
    <w:rsid w:val="002B1666"/>
    <w:rsid w:val="002B47F5"/>
    <w:rsid w:val="002B57E9"/>
    <w:rsid w:val="002B6B07"/>
    <w:rsid w:val="002B727E"/>
    <w:rsid w:val="002B7E69"/>
    <w:rsid w:val="002C5E50"/>
    <w:rsid w:val="002D0DE1"/>
    <w:rsid w:val="002D3134"/>
    <w:rsid w:val="002D43F3"/>
    <w:rsid w:val="002D5F3B"/>
    <w:rsid w:val="002E12AD"/>
    <w:rsid w:val="002E352E"/>
    <w:rsid w:val="002E41C7"/>
    <w:rsid w:val="002E46A4"/>
    <w:rsid w:val="002E5D6B"/>
    <w:rsid w:val="002F0296"/>
    <w:rsid w:val="002F1C16"/>
    <w:rsid w:val="002F3858"/>
    <w:rsid w:val="002F4202"/>
    <w:rsid w:val="002F4509"/>
    <w:rsid w:val="002F505A"/>
    <w:rsid w:val="002F64A0"/>
    <w:rsid w:val="002F6A15"/>
    <w:rsid w:val="00300BA8"/>
    <w:rsid w:val="003017F0"/>
    <w:rsid w:val="00301892"/>
    <w:rsid w:val="0030529E"/>
    <w:rsid w:val="003075DB"/>
    <w:rsid w:val="00307986"/>
    <w:rsid w:val="00307BE5"/>
    <w:rsid w:val="00313286"/>
    <w:rsid w:val="00313B14"/>
    <w:rsid w:val="0031403F"/>
    <w:rsid w:val="00314A88"/>
    <w:rsid w:val="00316438"/>
    <w:rsid w:val="00324405"/>
    <w:rsid w:val="00327638"/>
    <w:rsid w:val="00327888"/>
    <w:rsid w:val="00327AD3"/>
    <w:rsid w:val="00330F60"/>
    <w:rsid w:val="00331345"/>
    <w:rsid w:val="00331EDA"/>
    <w:rsid w:val="00332273"/>
    <w:rsid w:val="00332CA6"/>
    <w:rsid w:val="003337F4"/>
    <w:rsid w:val="003339D7"/>
    <w:rsid w:val="00335B54"/>
    <w:rsid w:val="003403C5"/>
    <w:rsid w:val="00341B58"/>
    <w:rsid w:val="00342302"/>
    <w:rsid w:val="003427AB"/>
    <w:rsid w:val="00351440"/>
    <w:rsid w:val="003520B0"/>
    <w:rsid w:val="00353B4A"/>
    <w:rsid w:val="00353F61"/>
    <w:rsid w:val="003557AA"/>
    <w:rsid w:val="00355CC3"/>
    <w:rsid w:val="00356C00"/>
    <w:rsid w:val="00356FF2"/>
    <w:rsid w:val="003611E2"/>
    <w:rsid w:val="00362A40"/>
    <w:rsid w:val="00363502"/>
    <w:rsid w:val="003655BB"/>
    <w:rsid w:val="003660E1"/>
    <w:rsid w:val="003674C0"/>
    <w:rsid w:val="00375EEA"/>
    <w:rsid w:val="0037665B"/>
    <w:rsid w:val="00384569"/>
    <w:rsid w:val="00396532"/>
    <w:rsid w:val="003A13A3"/>
    <w:rsid w:val="003A35C4"/>
    <w:rsid w:val="003A373E"/>
    <w:rsid w:val="003A377E"/>
    <w:rsid w:val="003A48AC"/>
    <w:rsid w:val="003A53E2"/>
    <w:rsid w:val="003B19C9"/>
    <w:rsid w:val="003B26FE"/>
    <w:rsid w:val="003B5B10"/>
    <w:rsid w:val="003C1037"/>
    <w:rsid w:val="003C5E06"/>
    <w:rsid w:val="003D3001"/>
    <w:rsid w:val="003D4C10"/>
    <w:rsid w:val="003E0A55"/>
    <w:rsid w:val="003E1DC1"/>
    <w:rsid w:val="003E2EED"/>
    <w:rsid w:val="003F28D4"/>
    <w:rsid w:val="003F2CCE"/>
    <w:rsid w:val="003F3810"/>
    <w:rsid w:val="003F6B0D"/>
    <w:rsid w:val="003F749E"/>
    <w:rsid w:val="0040609C"/>
    <w:rsid w:val="00411B93"/>
    <w:rsid w:val="00412572"/>
    <w:rsid w:val="0041390E"/>
    <w:rsid w:val="0041777A"/>
    <w:rsid w:val="004208D2"/>
    <w:rsid w:val="00420B8A"/>
    <w:rsid w:val="00423EFC"/>
    <w:rsid w:val="00425818"/>
    <w:rsid w:val="0042799A"/>
    <w:rsid w:val="00432B63"/>
    <w:rsid w:val="00432DDC"/>
    <w:rsid w:val="00433E96"/>
    <w:rsid w:val="0043740B"/>
    <w:rsid w:val="0044031E"/>
    <w:rsid w:val="0044172D"/>
    <w:rsid w:val="00441F92"/>
    <w:rsid w:val="00443411"/>
    <w:rsid w:val="00444471"/>
    <w:rsid w:val="00445880"/>
    <w:rsid w:val="004468D3"/>
    <w:rsid w:val="0045109E"/>
    <w:rsid w:val="00460BED"/>
    <w:rsid w:val="004612AF"/>
    <w:rsid w:val="004622FD"/>
    <w:rsid w:val="00464749"/>
    <w:rsid w:val="00465600"/>
    <w:rsid w:val="004736E0"/>
    <w:rsid w:val="004763F2"/>
    <w:rsid w:val="0047699B"/>
    <w:rsid w:val="00477F57"/>
    <w:rsid w:val="00480E21"/>
    <w:rsid w:val="00483872"/>
    <w:rsid w:val="00487127"/>
    <w:rsid w:val="004947D0"/>
    <w:rsid w:val="00495BDC"/>
    <w:rsid w:val="00496A82"/>
    <w:rsid w:val="004973A0"/>
    <w:rsid w:val="004A07DB"/>
    <w:rsid w:val="004A4630"/>
    <w:rsid w:val="004A54E3"/>
    <w:rsid w:val="004A5E36"/>
    <w:rsid w:val="004A6FBF"/>
    <w:rsid w:val="004B21C0"/>
    <w:rsid w:val="004B38EB"/>
    <w:rsid w:val="004B3A6D"/>
    <w:rsid w:val="004B5CA0"/>
    <w:rsid w:val="004B7D8D"/>
    <w:rsid w:val="004C1441"/>
    <w:rsid w:val="004C7FCD"/>
    <w:rsid w:val="004D11FC"/>
    <w:rsid w:val="004D6713"/>
    <w:rsid w:val="004E2A06"/>
    <w:rsid w:val="004E3C5B"/>
    <w:rsid w:val="004E4A1B"/>
    <w:rsid w:val="004E5D62"/>
    <w:rsid w:val="004E63D2"/>
    <w:rsid w:val="004F095F"/>
    <w:rsid w:val="004F4B73"/>
    <w:rsid w:val="004F6380"/>
    <w:rsid w:val="004F7ED0"/>
    <w:rsid w:val="00500804"/>
    <w:rsid w:val="0050625B"/>
    <w:rsid w:val="0051028F"/>
    <w:rsid w:val="00513032"/>
    <w:rsid w:val="005135CF"/>
    <w:rsid w:val="00515644"/>
    <w:rsid w:val="00515721"/>
    <w:rsid w:val="0052087F"/>
    <w:rsid w:val="00520EE3"/>
    <w:rsid w:val="005216CA"/>
    <w:rsid w:val="00522FEB"/>
    <w:rsid w:val="00523793"/>
    <w:rsid w:val="005248FF"/>
    <w:rsid w:val="00527E60"/>
    <w:rsid w:val="00530223"/>
    <w:rsid w:val="00532D2F"/>
    <w:rsid w:val="00534B36"/>
    <w:rsid w:val="00535788"/>
    <w:rsid w:val="00537A94"/>
    <w:rsid w:val="00546122"/>
    <w:rsid w:val="00547918"/>
    <w:rsid w:val="00552403"/>
    <w:rsid w:val="00552DA4"/>
    <w:rsid w:val="00555A51"/>
    <w:rsid w:val="00561016"/>
    <w:rsid w:val="0056165A"/>
    <w:rsid w:val="00563DA8"/>
    <w:rsid w:val="005643C8"/>
    <w:rsid w:val="005666E0"/>
    <w:rsid w:val="005668D8"/>
    <w:rsid w:val="00572086"/>
    <w:rsid w:val="00572D5C"/>
    <w:rsid w:val="00573964"/>
    <w:rsid w:val="0057433A"/>
    <w:rsid w:val="0058039A"/>
    <w:rsid w:val="0058332E"/>
    <w:rsid w:val="00583DCF"/>
    <w:rsid w:val="0058436F"/>
    <w:rsid w:val="00585852"/>
    <w:rsid w:val="005868A8"/>
    <w:rsid w:val="00587836"/>
    <w:rsid w:val="0059332E"/>
    <w:rsid w:val="00593614"/>
    <w:rsid w:val="005A3203"/>
    <w:rsid w:val="005A513C"/>
    <w:rsid w:val="005B0CC4"/>
    <w:rsid w:val="005B1B95"/>
    <w:rsid w:val="005B4C3A"/>
    <w:rsid w:val="005B7195"/>
    <w:rsid w:val="005C556F"/>
    <w:rsid w:val="005C6623"/>
    <w:rsid w:val="005D08E5"/>
    <w:rsid w:val="005D2FC5"/>
    <w:rsid w:val="005D47A5"/>
    <w:rsid w:val="005E1F7A"/>
    <w:rsid w:val="005E29B2"/>
    <w:rsid w:val="005F21F8"/>
    <w:rsid w:val="005F4C66"/>
    <w:rsid w:val="005F4D08"/>
    <w:rsid w:val="00602F8C"/>
    <w:rsid w:val="00603500"/>
    <w:rsid w:val="00604B28"/>
    <w:rsid w:val="00604D2A"/>
    <w:rsid w:val="006062FB"/>
    <w:rsid w:val="00607742"/>
    <w:rsid w:val="006159EC"/>
    <w:rsid w:val="00622784"/>
    <w:rsid w:val="006251CF"/>
    <w:rsid w:val="00626B6C"/>
    <w:rsid w:val="00627D8A"/>
    <w:rsid w:val="006416D0"/>
    <w:rsid w:val="0064390B"/>
    <w:rsid w:val="006450B9"/>
    <w:rsid w:val="00651742"/>
    <w:rsid w:val="00655272"/>
    <w:rsid w:val="00655F00"/>
    <w:rsid w:val="00656770"/>
    <w:rsid w:val="006578F3"/>
    <w:rsid w:val="006615CB"/>
    <w:rsid w:val="006622F8"/>
    <w:rsid w:val="00663A3D"/>
    <w:rsid w:val="00672ED3"/>
    <w:rsid w:val="00673C00"/>
    <w:rsid w:val="006747C6"/>
    <w:rsid w:val="0067496B"/>
    <w:rsid w:val="006750D4"/>
    <w:rsid w:val="00676657"/>
    <w:rsid w:val="0068169C"/>
    <w:rsid w:val="006834BC"/>
    <w:rsid w:val="006844AD"/>
    <w:rsid w:val="00687AAE"/>
    <w:rsid w:val="0069363F"/>
    <w:rsid w:val="006948CC"/>
    <w:rsid w:val="00694D01"/>
    <w:rsid w:val="00697A5E"/>
    <w:rsid w:val="006A176E"/>
    <w:rsid w:val="006B0530"/>
    <w:rsid w:val="006B1A12"/>
    <w:rsid w:val="006B1EAC"/>
    <w:rsid w:val="006B2A5E"/>
    <w:rsid w:val="006B5448"/>
    <w:rsid w:val="006B5523"/>
    <w:rsid w:val="006B5B75"/>
    <w:rsid w:val="006B61D6"/>
    <w:rsid w:val="006B70C7"/>
    <w:rsid w:val="006C21C7"/>
    <w:rsid w:val="006C2432"/>
    <w:rsid w:val="006C26D1"/>
    <w:rsid w:val="006C31D8"/>
    <w:rsid w:val="006C3B8A"/>
    <w:rsid w:val="006C64BE"/>
    <w:rsid w:val="006D0B86"/>
    <w:rsid w:val="006D15C3"/>
    <w:rsid w:val="006D16A5"/>
    <w:rsid w:val="006D3359"/>
    <w:rsid w:val="006D54DF"/>
    <w:rsid w:val="006E07C7"/>
    <w:rsid w:val="006E2A75"/>
    <w:rsid w:val="006E6648"/>
    <w:rsid w:val="006E6FF2"/>
    <w:rsid w:val="006F52E1"/>
    <w:rsid w:val="006F5976"/>
    <w:rsid w:val="006F6BEA"/>
    <w:rsid w:val="00702122"/>
    <w:rsid w:val="007024B3"/>
    <w:rsid w:val="00705D00"/>
    <w:rsid w:val="0070682C"/>
    <w:rsid w:val="00711038"/>
    <w:rsid w:val="00712148"/>
    <w:rsid w:val="0071288A"/>
    <w:rsid w:val="00715758"/>
    <w:rsid w:val="00715CA7"/>
    <w:rsid w:val="00721AAD"/>
    <w:rsid w:val="007228C3"/>
    <w:rsid w:val="00722D67"/>
    <w:rsid w:val="007231BD"/>
    <w:rsid w:val="0072790A"/>
    <w:rsid w:val="0073184B"/>
    <w:rsid w:val="0073321C"/>
    <w:rsid w:val="00734689"/>
    <w:rsid w:val="00743702"/>
    <w:rsid w:val="00746F85"/>
    <w:rsid w:val="007504A5"/>
    <w:rsid w:val="0075110C"/>
    <w:rsid w:val="00751E0E"/>
    <w:rsid w:val="00756CC2"/>
    <w:rsid w:val="00756EE1"/>
    <w:rsid w:val="00760B0A"/>
    <w:rsid w:val="00762BD4"/>
    <w:rsid w:val="00764DCC"/>
    <w:rsid w:val="0076594E"/>
    <w:rsid w:val="00765B1D"/>
    <w:rsid w:val="007734C3"/>
    <w:rsid w:val="00776C7F"/>
    <w:rsid w:val="00777E12"/>
    <w:rsid w:val="00780198"/>
    <w:rsid w:val="00781084"/>
    <w:rsid w:val="0078220F"/>
    <w:rsid w:val="00782320"/>
    <w:rsid w:val="00782404"/>
    <w:rsid w:val="0078769F"/>
    <w:rsid w:val="007921FA"/>
    <w:rsid w:val="00795ECA"/>
    <w:rsid w:val="00797648"/>
    <w:rsid w:val="007A13A7"/>
    <w:rsid w:val="007A236F"/>
    <w:rsid w:val="007A302B"/>
    <w:rsid w:val="007A5E9E"/>
    <w:rsid w:val="007A60CA"/>
    <w:rsid w:val="007A6AAF"/>
    <w:rsid w:val="007A74F7"/>
    <w:rsid w:val="007A7B09"/>
    <w:rsid w:val="007B2AA1"/>
    <w:rsid w:val="007B309F"/>
    <w:rsid w:val="007B4645"/>
    <w:rsid w:val="007B4D5C"/>
    <w:rsid w:val="007B7421"/>
    <w:rsid w:val="007C149F"/>
    <w:rsid w:val="007C7A9F"/>
    <w:rsid w:val="007D5573"/>
    <w:rsid w:val="007D6097"/>
    <w:rsid w:val="007E29C0"/>
    <w:rsid w:val="007E410C"/>
    <w:rsid w:val="007E6DC9"/>
    <w:rsid w:val="007E76D7"/>
    <w:rsid w:val="007F0A4D"/>
    <w:rsid w:val="007F1472"/>
    <w:rsid w:val="007F6915"/>
    <w:rsid w:val="00805362"/>
    <w:rsid w:val="0081129A"/>
    <w:rsid w:val="008130BD"/>
    <w:rsid w:val="00813B1F"/>
    <w:rsid w:val="00814FF9"/>
    <w:rsid w:val="008150B6"/>
    <w:rsid w:val="00824255"/>
    <w:rsid w:val="00831C08"/>
    <w:rsid w:val="00832CE1"/>
    <w:rsid w:val="008333C5"/>
    <w:rsid w:val="00833B10"/>
    <w:rsid w:val="00833D0F"/>
    <w:rsid w:val="00834B1E"/>
    <w:rsid w:val="00834BB6"/>
    <w:rsid w:val="00835DA5"/>
    <w:rsid w:val="00840F50"/>
    <w:rsid w:val="00841A5B"/>
    <w:rsid w:val="008435D0"/>
    <w:rsid w:val="0084492C"/>
    <w:rsid w:val="00845147"/>
    <w:rsid w:val="00845B44"/>
    <w:rsid w:val="008514AB"/>
    <w:rsid w:val="00852120"/>
    <w:rsid w:val="008523CB"/>
    <w:rsid w:val="00856506"/>
    <w:rsid w:val="00856609"/>
    <w:rsid w:val="00857028"/>
    <w:rsid w:val="00862936"/>
    <w:rsid w:val="008643E2"/>
    <w:rsid w:val="00866F90"/>
    <w:rsid w:val="0086758B"/>
    <w:rsid w:val="00871A4B"/>
    <w:rsid w:val="0087224E"/>
    <w:rsid w:val="00873BB3"/>
    <w:rsid w:val="00874561"/>
    <w:rsid w:val="0087480A"/>
    <w:rsid w:val="00874E40"/>
    <w:rsid w:val="00875459"/>
    <w:rsid w:val="008818D7"/>
    <w:rsid w:val="00882440"/>
    <w:rsid w:val="008836AF"/>
    <w:rsid w:val="008845E4"/>
    <w:rsid w:val="0088656C"/>
    <w:rsid w:val="00887A93"/>
    <w:rsid w:val="00887C5C"/>
    <w:rsid w:val="00890699"/>
    <w:rsid w:val="008946C7"/>
    <w:rsid w:val="008A0737"/>
    <w:rsid w:val="008A3DF9"/>
    <w:rsid w:val="008A3FE9"/>
    <w:rsid w:val="008A50D7"/>
    <w:rsid w:val="008A64FA"/>
    <w:rsid w:val="008A6721"/>
    <w:rsid w:val="008B079C"/>
    <w:rsid w:val="008B0BEC"/>
    <w:rsid w:val="008B267C"/>
    <w:rsid w:val="008B4A3A"/>
    <w:rsid w:val="008B679A"/>
    <w:rsid w:val="008B6C5E"/>
    <w:rsid w:val="008C03F9"/>
    <w:rsid w:val="008C098F"/>
    <w:rsid w:val="008C5840"/>
    <w:rsid w:val="008C6E74"/>
    <w:rsid w:val="008D4DD3"/>
    <w:rsid w:val="008D4E58"/>
    <w:rsid w:val="008D6CB1"/>
    <w:rsid w:val="008D77E9"/>
    <w:rsid w:val="008E588E"/>
    <w:rsid w:val="008E7343"/>
    <w:rsid w:val="008F0531"/>
    <w:rsid w:val="008F249C"/>
    <w:rsid w:val="008F40A4"/>
    <w:rsid w:val="008F672E"/>
    <w:rsid w:val="008F6DD5"/>
    <w:rsid w:val="00904FC2"/>
    <w:rsid w:val="00906B41"/>
    <w:rsid w:val="0091102C"/>
    <w:rsid w:val="00912968"/>
    <w:rsid w:val="00913DFE"/>
    <w:rsid w:val="00914B53"/>
    <w:rsid w:val="00915A04"/>
    <w:rsid w:val="009271DE"/>
    <w:rsid w:val="00927B4B"/>
    <w:rsid w:val="0093086F"/>
    <w:rsid w:val="00931F26"/>
    <w:rsid w:val="009323C9"/>
    <w:rsid w:val="0093732F"/>
    <w:rsid w:val="0094030B"/>
    <w:rsid w:val="009405A7"/>
    <w:rsid w:val="009422F2"/>
    <w:rsid w:val="00942EAB"/>
    <w:rsid w:val="009447DC"/>
    <w:rsid w:val="00944F30"/>
    <w:rsid w:val="0095127D"/>
    <w:rsid w:val="00956A70"/>
    <w:rsid w:val="0096092E"/>
    <w:rsid w:val="00964030"/>
    <w:rsid w:val="0096452E"/>
    <w:rsid w:val="0096657B"/>
    <w:rsid w:val="00966C2E"/>
    <w:rsid w:val="009711B8"/>
    <w:rsid w:val="009721FC"/>
    <w:rsid w:val="00975243"/>
    <w:rsid w:val="00976846"/>
    <w:rsid w:val="0097705B"/>
    <w:rsid w:val="009840BE"/>
    <w:rsid w:val="00984FBC"/>
    <w:rsid w:val="0098597A"/>
    <w:rsid w:val="00986B1C"/>
    <w:rsid w:val="009876A0"/>
    <w:rsid w:val="00987825"/>
    <w:rsid w:val="00990BE9"/>
    <w:rsid w:val="00991C78"/>
    <w:rsid w:val="009A42BE"/>
    <w:rsid w:val="009A4F13"/>
    <w:rsid w:val="009A6D58"/>
    <w:rsid w:val="009A6F58"/>
    <w:rsid w:val="009A7164"/>
    <w:rsid w:val="009B14E6"/>
    <w:rsid w:val="009B3AB6"/>
    <w:rsid w:val="009B47BD"/>
    <w:rsid w:val="009B5DF0"/>
    <w:rsid w:val="009B7D35"/>
    <w:rsid w:val="009C0080"/>
    <w:rsid w:val="009D2B0C"/>
    <w:rsid w:val="009D4B25"/>
    <w:rsid w:val="009E1B1E"/>
    <w:rsid w:val="009E26B7"/>
    <w:rsid w:val="009E4362"/>
    <w:rsid w:val="009E5666"/>
    <w:rsid w:val="009F1FD2"/>
    <w:rsid w:val="009F235F"/>
    <w:rsid w:val="009F6097"/>
    <w:rsid w:val="00A02894"/>
    <w:rsid w:val="00A07CBA"/>
    <w:rsid w:val="00A07F35"/>
    <w:rsid w:val="00A11AA4"/>
    <w:rsid w:val="00A11D6D"/>
    <w:rsid w:val="00A152B5"/>
    <w:rsid w:val="00A15782"/>
    <w:rsid w:val="00A15C73"/>
    <w:rsid w:val="00A17E43"/>
    <w:rsid w:val="00A209FF"/>
    <w:rsid w:val="00A2110F"/>
    <w:rsid w:val="00A259CE"/>
    <w:rsid w:val="00A32F22"/>
    <w:rsid w:val="00A33196"/>
    <w:rsid w:val="00A33C6E"/>
    <w:rsid w:val="00A37C0F"/>
    <w:rsid w:val="00A4025F"/>
    <w:rsid w:val="00A4172E"/>
    <w:rsid w:val="00A43298"/>
    <w:rsid w:val="00A45286"/>
    <w:rsid w:val="00A45352"/>
    <w:rsid w:val="00A46B6B"/>
    <w:rsid w:val="00A50DC5"/>
    <w:rsid w:val="00A51D89"/>
    <w:rsid w:val="00A54229"/>
    <w:rsid w:val="00A550BE"/>
    <w:rsid w:val="00A57A72"/>
    <w:rsid w:val="00A62234"/>
    <w:rsid w:val="00A62A3A"/>
    <w:rsid w:val="00A631EA"/>
    <w:rsid w:val="00A64BC9"/>
    <w:rsid w:val="00A66D0C"/>
    <w:rsid w:val="00A7213B"/>
    <w:rsid w:val="00A721DF"/>
    <w:rsid w:val="00A756F3"/>
    <w:rsid w:val="00A77C34"/>
    <w:rsid w:val="00A80BF1"/>
    <w:rsid w:val="00A82447"/>
    <w:rsid w:val="00A85758"/>
    <w:rsid w:val="00A85A8A"/>
    <w:rsid w:val="00A94099"/>
    <w:rsid w:val="00A94E77"/>
    <w:rsid w:val="00AA1F4B"/>
    <w:rsid w:val="00AA5AE7"/>
    <w:rsid w:val="00AA7CA4"/>
    <w:rsid w:val="00AB0F57"/>
    <w:rsid w:val="00AB5ACD"/>
    <w:rsid w:val="00AB6B3B"/>
    <w:rsid w:val="00AC3F3A"/>
    <w:rsid w:val="00AC471D"/>
    <w:rsid w:val="00AC68A4"/>
    <w:rsid w:val="00AC6AC0"/>
    <w:rsid w:val="00AC7712"/>
    <w:rsid w:val="00AD028D"/>
    <w:rsid w:val="00AD4E55"/>
    <w:rsid w:val="00AD7B9D"/>
    <w:rsid w:val="00AE03D1"/>
    <w:rsid w:val="00AE5EDF"/>
    <w:rsid w:val="00AE736A"/>
    <w:rsid w:val="00AF1DDD"/>
    <w:rsid w:val="00AF5CCC"/>
    <w:rsid w:val="00B05A6A"/>
    <w:rsid w:val="00B07EB3"/>
    <w:rsid w:val="00B120E7"/>
    <w:rsid w:val="00B12475"/>
    <w:rsid w:val="00B16C90"/>
    <w:rsid w:val="00B1754A"/>
    <w:rsid w:val="00B20794"/>
    <w:rsid w:val="00B263D4"/>
    <w:rsid w:val="00B27498"/>
    <w:rsid w:val="00B27AC0"/>
    <w:rsid w:val="00B3323C"/>
    <w:rsid w:val="00B35990"/>
    <w:rsid w:val="00B4401B"/>
    <w:rsid w:val="00B45F92"/>
    <w:rsid w:val="00B473CA"/>
    <w:rsid w:val="00B51144"/>
    <w:rsid w:val="00B52426"/>
    <w:rsid w:val="00B5546E"/>
    <w:rsid w:val="00B566DE"/>
    <w:rsid w:val="00B62534"/>
    <w:rsid w:val="00B64039"/>
    <w:rsid w:val="00B644DE"/>
    <w:rsid w:val="00B6514B"/>
    <w:rsid w:val="00B66894"/>
    <w:rsid w:val="00B72841"/>
    <w:rsid w:val="00B738BB"/>
    <w:rsid w:val="00B7567E"/>
    <w:rsid w:val="00B75A50"/>
    <w:rsid w:val="00B7783D"/>
    <w:rsid w:val="00B80B0B"/>
    <w:rsid w:val="00B81106"/>
    <w:rsid w:val="00B81977"/>
    <w:rsid w:val="00B828BC"/>
    <w:rsid w:val="00B90193"/>
    <w:rsid w:val="00B9089E"/>
    <w:rsid w:val="00B90AE2"/>
    <w:rsid w:val="00B91059"/>
    <w:rsid w:val="00B91E29"/>
    <w:rsid w:val="00B9228D"/>
    <w:rsid w:val="00B936B0"/>
    <w:rsid w:val="00B978E6"/>
    <w:rsid w:val="00BA0D76"/>
    <w:rsid w:val="00BA4054"/>
    <w:rsid w:val="00BA45A2"/>
    <w:rsid w:val="00BA53C2"/>
    <w:rsid w:val="00BB1907"/>
    <w:rsid w:val="00BB493F"/>
    <w:rsid w:val="00BB7950"/>
    <w:rsid w:val="00BC0B50"/>
    <w:rsid w:val="00BC0DEE"/>
    <w:rsid w:val="00BC23CD"/>
    <w:rsid w:val="00BC29D4"/>
    <w:rsid w:val="00BC3CB2"/>
    <w:rsid w:val="00BC49FA"/>
    <w:rsid w:val="00BC5435"/>
    <w:rsid w:val="00BC55AF"/>
    <w:rsid w:val="00BC5F5B"/>
    <w:rsid w:val="00BD2109"/>
    <w:rsid w:val="00BD3A5D"/>
    <w:rsid w:val="00BD7BD0"/>
    <w:rsid w:val="00BD7CD7"/>
    <w:rsid w:val="00BE2D9E"/>
    <w:rsid w:val="00BF3039"/>
    <w:rsid w:val="00BF6751"/>
    <w:rsid w:val="00BF684B"/>
    <w:rsid w:val="00C0386E"/>
    <w:rsid w:val="00C04AE2"/>
    <w:rsid w:val="00C062B5"/>
    <w:rsid w:val="00C121ED"/>
    <w:rsid w:val="00C14B84"/>
    <w:rsid w:val="00C15808"/>
    <w:rsid w:val="00C239DB"/>
    <w:rsid w:val="00C24CB3"/>
    <w:rsid w:val="00C27DF2"/>
    <w:rsid w:val="00C35914"/>
    <w:rsid w:val="00C35FF9"/>
    <w:rsid w:val="00C37E74"/>
    <w:rsid w:val="00C41B31"/>
    <w:rsid w:val="00C42D64"/>
    <w:rsid w:val="00C54046"/>
    <w:rsid w:val="00C5433B"/>
    <w:rsid w:val="00C5567F"/>
    <w:rsid w:val="00C55E72"/>
    <w:rsid w:val="00C601B0"/>
    <w:rsid w:val="00C6061F"/>
    <w:rsid w:val="00C616A9"/>
    <w:rsid w:val="00C6219E"/>
    <w:rsid w:val="00C6396F"/>
    <w:rsid w:val="00C67D3D"/>
    <w:rsid w:val="00C74AA3"/>
    <w:rsid w:val="00C7507A"/>
    <w:rsid w:val="00C838E4"/>
    <w:rsid w:val="00C85F03"/>
    <w:rsid w:val="00C908DE"/>
    <w:rsid w:val="00C92795"/>
    <w:rsid w:val="00C96400"/>
    <w:rsid w:val="00C97377"/>
    <w:rsid w:val="00CA05F0"/>
    <w:rsid w:val="00CA06A0"/>
    <w:rsid w:val="00CA29A3"/>
    <w:rsid w:val="00CA2BBE"/>
    <w:rsid w:val="00CA4F26"/>
    <w:rsid w:val="00CA7962"/>
    <w:rsid w:val="00CB0B83"/>
    <w:rsid w:val="00CB0E91"/>
    <w:rsid w:val="00CB14BA"/>
    <w:rsid w:val="00CB16F4"/>
    <w:rsid w:val="00CB24EF"/>
    <w:rsid w:val="00CB289B"/>
    <w:rsid w:val="00CB5356"/>
    <w:rsid w:val="00CB61EA"/>
    <w:rsid w:val="00CC0A00"/>
    <w:rsid w:val="00CC55CD"/>
    <w:rsid w:val="00CC6748"/>
    <w:rsid w:val="00CD181E"/>
    <w:rsid w:val="00CD5816"/>
    <w:rsid w:val="00CD5874"/>
    <w:rsid w:val="00CD7E1C"/>
    <w:rsid w:val="00CE536D"/>
    <w:rsid w:val="00CE65D9"/>
    <w:rsid w:val="00CE74A3"/>
    <w:rsid w:val="00CF206D"/>
    <w:rsid w:val="00CF54BB"/>
    <w:rsid w:val="00CF6DF1"/>
    <w:rsid w:val="00D00C4A"/>
    <w:rsid w:val="00D025E6"/>
    <w:rsid w:val="00D02FAA"/>
    <w:rsid w:val="00D0539A"/>
    <w:rsid w:val="00D13E53"/>
    <w:rsid w:val="00D161FE"/>
    <w:rsid w:val="00D16A38"/>
    <w:rsid w:val="00D22383"/>
    <w:rsid w:val="00D2364F"/>
    <w:rsid w:val="00D24356"/>
    <w:rsid w:val="00D269FA"/>
    <w:rsid w:val="00D30B6E"/>
    <w:rsid w:val="00D415D8"/>
    <w:rsid w:val="00D41CCE"/>
    <w:rsid w:val="00D447DF"/>
    <w:rsid w:val="00D44D13"/>
    <w:rsid w:val="00D44E7E"/>
    <w:rsid w:val="00D463B9"/>
    <w:rsid w:val="00D479FF"/>
    <w:rsid w:val="00D51CE6"/>
    <w:rsid w:val="00D520FD"/>
    <w:rsid w:val="00D53087"/>
    <w:rsid w:val="00D54E65"/>
    <w:rsid w:val="00D56EE8"/>
    <w:rsid w:val="00D57ABB"/>
    <w:rsid w:val="00D65423"/>
    <w:rsid w:val="00D707EA"/>
    <w:rsid w:val="00D7221D"/>
    <w:rsid w:val="00D72722"/>
    <w:rsid w:val="00D81369"/>
    <w:rsid w:val="00D85460"/>
    <w:rsid w:val="00D85BA1"/>
    <w:rsid w:val="00D869EB"/>
    <w:rsid w:val="00D86CFA"/>
    <w:rsid w:val="00D94748"/>
    <w:rsid w:val="00DA12AB"/>
    <w:rsid w:val="00DA44D3"/>
    <w:rsid w:val="00DA678B"/>
    <w:rsid w:val="00DA6F3C"/>
    <w:rsid w:val="00DB06F1"/>
    <w:rsid w:val="00DB2289"/>
    <w:rsid w:val="00DB4C9F"/>
    <w:rsid w:val="00DB7190"/>
    <w:rsid w:val="00DC43A9"/>
    <w:rsid w:val="00DC4703"/>
    <w:rsid w:val="00DC57ED"/>
    <w:rsid w:val="00DC7BB8"/>
    <w:rsid w:val="00DD0606"/>
    <w:rsid w:val="00DD21CF"/>
    <w:rsid w:val="00DD2265"/>
    <w:rsid w:val="00DD34F0"/>
    <w:rsid w:val="00DD3AB4"/>
    <w:rsid w:val="00DD425A"/>
    <w:rsid w:val="00DD45C3"/>
    <w:rsid w:val="00DD4614"/>
    <w:rsid w:val="00DD5501"/>
    <w:rsid w:val="00DD65C6"/>
    <w:rsid w:val="00DD7311"/>
    <w:rsid w:val="00DE0215"/>
    <w:rsid w:val="00DE3A1E"/>
    <w:rsid w:val="00DE3E92"/>
    <w:rsid w:val="00DE4B15"/>
    <w:rsid w:val="00DF53FF"/>
    <w:rsid w:val="00DF58E4"/>
    <w:rsid w:val="00E01485"/>
    <w:rsid w:val="00E02741"/>
    <w:rsid w:val="00E02A88"/>
    <w:rsid w:val="00E07054"/>
    <w:rsid w:val="00E10B57"/>
    <w:rsid w:val="00E12B4C"/>
    <w:rsid w:val="00E145D3"/>
    <w:rsid w:val="00E14CB5"/>
    <w:rsid w:val="00E15799"/>
    <w:rsid w:val="00E17F08"/>
    <w:rsid w:val="00E224C7"/>
    <w:rsid w:val="00E23EE5"/>
    <w:rsid w:val="00E31945"/>
    <w:rsid w:val="00E31CDD"/>
    <w:rsid w:val="00E32759"/>
    <w:rsid w:val="00E367D5"/>
    <w:rsid w:val="00E410AF"/>
    <w:rsid w:val="00E42509"/>
    <w:rsid w:val="00E431AD"/>
    <w:rsid w:val="00E4641E"/>
    <w:rsid w:val="00E50082"/>
    <w:rsid w:val="00E54A8E"/>
    <w:rsid w:val="00E55F4C"/>
    <w:rsid w:val="00E56749"/>
    <w:rsid w:val="00E56B74"/>
    <w:rsid w:val="00E57A51"/>
    <w:rsid w:val="00E62572"/>
    <w:rsid w:val="00E73D23"/>
    <w:rsid w:val="00E76DC3"/>
    <w:rsid w:val="00E80304"/>
    <w:rsid w:val="00E82C2D"/>
    <w:rsid w:val="00E835F1"/>
    <w:rsid w:val="00E8470E"/>
    <w:rsid w:val="00E84AB1"/>
    <w:rsid w:val="00E87A40"/>
    <w:rsid w:val="00E9020E"/>
    <w:rsid w:val="00E92B12"/>
    <w:rsid w:val="00E931E4"/>
    <w:rsid w:val="00EA03E5"/>
    <w:rsid w:val="00EA05B1"/>
    <w:rsid w:val="00EA2465"/>
    <w:rsid w:val="00EB1AB6"/>
    <w:rsid w:val="00EB2925"/>
    <w:rsid w:val="00EB3EE8"/>
    <w:rsid w:val="00EB6EDC"/>
    <w:rsid w:val="00EC13C9"/>
    <w:rsid w:val="00EC2B5E"/>
    <w:rsid w:val="00EC2BEE"/>
    <w:rsid w:val="00ED08D8"/>
    <w:rsid w:val="00EE0317"/>
    <w:rsid w:val="00EE144E"/>
    <w:rsid w:val="00EE153A"/>
    <w:rsid w:val="00EE2227"/>
    <w:rsid w:val="00EE2948"/>
    <w:rsid w:val="00EE4917"/>
    <w:rsid w:val="00EE56B3"/>
    <w:rsid w:val="00EE7798"/>
    <w:rsid w:val="00EE7CAC"/>
    <w:rsid w:val="00EF7F24"/>
    <w:rsid w:val="00F0103A"/>
    <w:rsid w:val="00F05A86"/>
    <w:rsid w:val="00F14987"/>
    <w:rsid w:val="00F17350"/>
    <w:rsid w:val="00F21360"/>
    <w:rsid w:val="00F224F1"/>
    <w:rsid w:val="00F22ABA"/>
    <w:rsid w:val="00F22ECB"/>
    <w:rsid w:val="00F25EF7"/>
    <w:rsid w:val="00F26DDB"/>
    <w:rsid w:val="00F30A9A"/>
    <w:rsid w:val="00F30B6D"/>
    <w:rsid w:val="00F31415"/>
    <w:rsid w:val="00F31CCE"/>
    <w:rsid w:val="00F36221"/>
    <w:rsid w:val="00F36987"/>
    <w:rsid w:val="00F370E3"/>
    <w:rsid w:val="00F3763E"/>
    <w:rsid w:val="00F43CAA"/>
    <w:rsid w:val="00F45C1A"/>
    <w:rsid w:val="00F45C4F"/>
    <w:rsid w:val="00F47C71"/>
    <w:rsid w:val="00F512B9"/>
    <w:rsid w:val="00F52322"/>
    <w:rsid w:val="00F527A5"/>
    <w:rsid w:val="00F56105"/>
    <w:rsid w:val="00F56FE0"/>
    <w:rsid w:val="00F626DC"/>
    <w:rsid w:val="00F62735"/>
    <w:rsid w:val="00F64114"/>
    <w:rsid w:val="00F64DD0"/>
    <w:rsid w:val="00F657C9"/>
    <w:rsid w:val="00F67E02"/>
    <w:rsid w:val="00F719A9"/>
    <w:rsid w:val="00F71D03"/>
    <w:rsid w:val="00F72BF4"/>
    <w:rsid w:val="00F73BDB"/>
    <w:rsid w:val="00F74C6A"/>
    <w:rsid w:val="00F74D4D"/>
    <w:rsid w:val="00F75956"/>
    <w:rsid w:val="00F75B6D"/>
    <w:rsid w:val="00F76073"/>
    <w:rsid w:val="00F766B1"/>
    <w:rsid w:val="00F76717"/>
    <w:rsid w:val="00F80221"/>
    <w:rsid w:val="00F803CE"/>
    <w:rsid w:val="00F81D3B"/>
    <w:rsid w:val="00F83D34"/>
    <w:rsid w:val="00F934E6"/>
    <w:rsid w:val="00FA2E6B"/>
    <w:rsid w:val="00FA6BEB"/>
    <w:rsid w:val="00FB00BA"/>
    <w:rsid w:val="00FB0A49"/>
    <w:rsid w:val="00FB1573"/>
    <w:rsid w:val="00FB1721"/>
    <w:rsid w:val="00FB1E77"/>
    <w:rsid w:val="00FB2541"/>
    <w:rsid w:val="00FB3DE1"/>
    <w:rsid w:val="00FB53BC"/>
    <w:rsid w:val="00FB5DA8"/>
    <w:rsid w:val="00FB6B0D"/>
    <w:rsid w:val="00FC1819"/>
    <w:rsid w:val="00FC1F3A"/>
    <w:rsid w:val="00FC240C"/>
    <w:rsid w:val="00FC4289"/>
    <w:rsid w:val="00FD28E2"/>
    <w:rsid w:val="00FD3E72"/>
    <w:rsid w:val="00FD5632"/>
    <w:rsid w:val="00FD7F26"/>
    <w:rsid w:val="00FE2D10"/>
    <w:rsid w:val="00FF1E83"/>
    <w:rsid w:val="00FF648A"/>
    <w:rsid w:val="00FF73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22529"/>
    <o:shapelayout v:ext="edit">
      <o:idmap v:ext="edit" data="1"/>
    </o:shapelayout>
  </w:shapeDefaults>
  <w:decimalSymbol w:val="."/>
  <w:listSeparator w:val=";"/>
  <w14:docId w14:val="10A46DCC"/>
  <w15:docId w15:val="{CE6BAA23-F373-4293-BAE1-77C0B44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E9F1-0FE9-4168-B2D2-6F9273ED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33046</Words>
  <Characters>18837</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51780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Jānis Kalniņš</cp:lastModifiedBy>
  <cp:revision>8</cp:revision>
  <cp:lastPrinted>2018-09-25T05:50:00Z</cp:lastPrinted>
  <dcterms:created xsi:type="dcterms:W3CDTF">2018-08-27T14:10:00Z</dcterms:created>
  <dcterms:modified xsi:type="dcterms:W3CDTF">2018-09-25T05:53:00Z</dcterms:modified>
</cp:coreProperties>
</file>