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A731" w14:textId="77777777" w:rsidR="00CE1128" w:rsidRPr="00B55292" w:rsidRDefault="00CE1128" w:rsidP="00330B8E">
      <w:pPr>
        <w:pStyle w:val="Footer"/>
        <w:tabs>
          <w:tab w:val="left" w:pos="720"/>
        </w:tabs>
        <w:jc w:val="right"/>
        <w:rPr>
          <w:rFonts w:eastAsia="Times New Roman"/>
          <w:bCs/>
          <w:sz w:val="28"/>
          <w:szCs w:val="28"/>
          <w:lang w:eastAsia="lv-LV"/>
        </w:rPr>
      </w:pPr>
      <w:r w:rsidRPr="00B55292">
        <w:rPr>
          <w:rFonts w:eastAsia="Times New Roman"/>
          <w:bCs/>
          <w:sz w:val="28"/>
          <w:szCs w:val="28"/>
          <w:lang w:eastAsia="lv-LV"/>
        </w:rPr>
        <w:t>Projekts</w:t>
      </w:r>
    </w:p>
    <w:p w14:paraId="7791E999" w14:textId="77777777" w:rsidR="00CE1128" w:rsidRPr="005400CF" w:rsidRDefault="00CE1128" w:rsidP="00330B8E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33BB9AE1" w14:textId="77777777" w:rsidR="00CE1128" w:rsidRPr="005400CF" w:rsidRDefault="00CE1128" w:rsidP="00330B8E">
      <w:pPr>
        <w:pStyle w:val="Footer"/>
        <w:tabs>
          <w:tab w:val="left" w:pos="720"/>
        </w:tabs>
        <w:jc w:val="center"/>
        <w:rPr>
          <w:rFonts w:eastAsia="Times New Roman"/>
          <w:bCs/>
          <w:sz w:val="28"/>
          <w:szCs w:val="28"/>
          <w:lang w:eastAsia="lv-LV"/>
        </w:rPr>
      </w:pPr>
      <w:r w:rsidRPr="005400CF">
        <w:rPr>
          <w:rFonts w:eastAsia="Times New Roman"/>
          <w:bCs/>
          <w:sz w:val="28"/>
          <w:szCs w:val="28"/>
          <w:lang w:eastAsia="lv-LV"/>
        </w:rPr>
        <w:t>LATVIJAS REPUBLIKAS MINISTRU KABINETS</w:t>
      </w:r>
    </w:p>
    <w:p w14:paraId="3F316CCD" w14:textId="77777777" w:rsidR="00CB58BC" w:rsidRDefault="00CB58BC" w:rsidP="00330B8E">
      <w:pPr>
        <w:pStyle w:val="Footer"/>
        <w:tabs>
          <w:tab w:val="left" w:pos="720"/>
        </w:tabs>
        <w:rPr>
          <w:rFonts w:eastAsia="Times New Roman"/>
          <w:bCs/>
          <w:i/>
          <w:sz w:val="28"/>
          <w:szCs w:val="28"/>
          <w:lang w:eastAsia="lv-LV"/>
        </w:rPr>
      </w:pPr>
    </w:p>
    <w:p w14:paraId="6627BDC0" w14:textId="77777777" w:rsidR="009934D3" w:rsidRPr="005400CF" w:rsidRDefault="009934D3" w:rsidP="00330B8E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1DA76151" w14:textId="77777777" w:rsidR="00CE1128" w:rsidRPr="005400CF" w:rsidRDefault="00CE1128" w:rsidP="00330B8E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201</w:t>
      </w:r>
      <w:r w:rsidR="001537C8">
        <w:rPr>
          <w:sz w:val="28"/>
          <w:szCs w:val="28"/>
        </w:rPr>
        <w:t>8</w:t>
      </w:r>
      <w:r w:rsidRPr="005400CF">
        <w:rPr>
          <w:sz w:val="28"/>
          <w:szCs w:val="28"/>
        </w:rPr>
        <w:t>.</w:t>
      </w:r>
      <w:r w:rsidR="003E295D">
        <w:rPr>
          <w:sz w:val="28"/>
          <w:szCs w:val="28"/>
        </w:rPr>
        <w:t xml:space="preserve"> </w:t>
      </w:r>
      <w:r w:rsidRPr="005400CF">
        <w:rPr>
          <w:sz w:val="28"/>
          <w:szCs w:val="28"/>
        </w:rPr>
        <w:t>gada___._________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="005D6AD2">
        <w:rPr>
          <w:sz w:val="28"/>
          <w:szCs w:val="28"/>
        </w:rPr>
        <w:t xml:space="preserve">    </w:t>
      </w:r>
      <w:r w:rsidRPr="005400CF">
        <w:rPr>
          <w:sz w:val="28"/>
          <w:szCs w:val="28"/>
        </w:rPr>
        <w:tab/>
      </w:r>
      <w:r w:rsidR="005D6AD2">
        <w:rPr>
          <w:sz w:val="28"/>
          <w:szCs w:val="28"/>
        </w:rPr>
        <w:t xml:space="preserve">          </w:t>
      </w:r>
      <w:r w:rsidRPr="005400CF">
        <w:rPr>
          <w:sz w:val="28"/>
          <w:szCs w:val="28"/>
        </w:rPr>
        <w:t>Noteikumi Nr.____</w:t>
      </w:r>
    </w:p>
    <w:p w14:paraId="394D2FDA" w14:textId="77777777" w:rsidR="00CE1128" w:rsidRPr="005400CF" w:rsidRDefault="00CE1128" w:rsidP="00330B8E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Rīgā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="005D6AD2">
        <w:rPr>
          <w:sz w:val="28"/>
          <w:szCs w:val="28"/>
        </w:rPr>
        <w:t xml:space="preserve">          </w:t>
      </w:r>
      <w:r w:rsidRPr="005400CF">
        <w:rPr>
          <w:sz w:val="28"/>
          <w:szCs w:val="28"/>
        </w:rPr>
        <w:t>(prot. Nr.___ ___.§)</w:t>
      </w:r>
    </w:p>
    <w:p w14:paraId="61318659" w14:textId="77777777" w:rsidR="00330B8E" w:rsidRDefault="00330B8E" w:rsidP="00330B8E">
      <w:pPr>
        <w:rPr>
          <w:rFonts w:eastAsia="Times New Roman"/>
          <w:b/>
          <w:sz w:val="28"/>
          <w:szCs w:val="28"/>
          <w:lang w:eastAsia="lv-LV"/>
        </w:rPr>
      </w:pPr>
    </w:p>
    <w:p w14:paraId="43FC0176" w14:textId="77777777" w:rsidR="00FB5B70" w:rsidRDefault="00FB5B70" w:rsidP="00330B8E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35D0F2BF" w14:textId="77777777" w:rsidR="009934D3" w:rsidRPr="00CB58BC" w:rsidRDefault="00FF4B10" w:rsidP="00330B8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FF4B10">
        <w:rPr>
          <w:rFonts w:eastAsia="Times New Roman"/>
          <w:b/>
          <w:sz w:val="28"/>
          <w:szCs w:val="28"/>
          <w:lang w:eastAsia="lv-LV"/>
        </w:rPr>
        <w:t>Grozījumi Ministru kabineta 2011.gada 24.maija noteikumos Nr.411 “Autopārvadājumu kontroles organizēšanas un īstenošanas kārtība”</w:t>
      </w:r>
    </w:p>
    <w:p w14:paraId="2BFD4BED" w14:textId="77777777" w:rsidR="00330B8E" w:rsidRDefault="00330B8E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2F5681F7" w14:textId="77777777" w:rsidR="008848EE" w:rsidRDefault="008848EE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  <w:hyperlink r:id="rId8" w:tgtFrame="_blank" w:history="1">
        <w:r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14:paraId="24C4A36B" w14:textId="77777777" w:rsidR="00FF4B10" w:rsidRDefault="00962C94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9" w:anchor="p6" w:tgtFrame="_blank" w:history="1">
        <w:r w:rsidR="00FF4B10">
          <w:rPr>
            <w:rFonts w:eastAsia="Times New Roman"/>
            <w:iCs/>
            <w:sz w:val="28"/>
            <w:szCs w:val="28"/>
            <w:lang w:eastAsia="lv-LV"/>
          </w:rPr>
          <w:t>4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.panta</w:t>
        </w:r>
      </w:hyperlink>
      <w:r w:rsidR="00FF4B10">
        <w:rPr>
          <w:rFonts w:eastAsia="Times New Roman"/>
          <w:iCs/>
          <w:sz w:val="28"/>
          <w:szCs w:val="28"/>
          <w:lang w:eastAsia="lv-LV"/>
        </w:rPr>
        <w:t xml:space="preserve"> ceturto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daļu</w:t>
      </w:r>
      <w:r w:rsidR="00FF4B10">
        <w:rPr>
          <w:rFonts w:eastAsia="Times New Roman"/>
          <w:iCs/>
          <w:sz w:val="28"/>
          <w:szCs w:val="28"/>
          <w:lang w:eastAsia="lv-LV"/>
        </w:rPr>
        <w:t xml:space="preserve"> un Autoceļu lietošanas</w:t>
      </w:r>
    </w:p>
    <w:p w14:paraId="26BE0CAD" w14:textId="77777777" w:rsidR="00CE1128" w:rsidRPr="005400CF" w:rsidRDefault="00FF4B10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nodevas likuma 8.panta pirmo daļu</w:t>
      </w:r>
    </w:p>
    <w:p w14:paraId="63F9034A" w14:textId="77777777" w:rsidR="00330B8E" w:rsidRDefault="00330B8E" w:rsidP="00330B8E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bookmarkStart w:id="0" w:name="p1"/>
      <w:bookmarkEnd w:id="0"/>
    </w:p>
    <w:p w14:paraId="630021CC" w14:textId="77777777" w:rsidR="00330B8E" w:rsidRPr="00203557" w:rsidRDefault="00330B8E" w:rsidP="00330B8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171D68E0" w14:textId="77777777" w:rsidR="00CE1128" w:rsidRPr="00203557" w:rsidRDefault="00CE1128" w:rsidP="005C79E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203557">
        <w:rPr>
          <w:rFonts w:ascii="Times New Roman" w:hAnsi="Times New Roman"/>
          <w:b w:val="0"/>
        </w:rPr>
        <w:t xml:space="preserve">Izdarīt Ministru kabineta </w:t>
      </w:r>
      <w:r w:rsidR="00131B45" w:rsidRPr="00203557">
        <w:rPr>
          <w:rFonts w:ascii="Times New Roman" w:hAnsi="Times New Roman"/>
          <w:b w:val="0"/>
          <w:bCs w:val="0"/>
        </w:rPr>
        <w:t>2011.</w:t>
      </w:r>
      <w:r w:rsidR="00131B45" w:rsidRPr="00203557">
        <w:rPr>
          <w:rFonts w:ascii="Times New Roman" w:hAnsi="Times New Roman"/>
          <w:b w:val="0"/>
        </w:rPr>
        <w:t>gada 24</w:t>
      </w:r>
      <w:r w:rsidR="008848EE" w:rsidRPr="00203557">
        <w:rPr>
          <w:rFonts w:ascii="Times New Roman" w:hAnsi="Times New Roman"/>
          <w:b w:val="0"/>
        </w:rPr>
        <w:t>.maija</w:t>
      </w:r>
      <w:r w:rsidRPr="00203557">
        <w:rPr>
          <w:rFonts w:ascii="Times New Roman" w:hAnsi="Times New Roman"/>
          <w:b w:val="0"/>
        </w:rPr>
        <w:t xml:space="preserve"> noteikumos </w:t>
      </w:r>
      <w:r w:rsidR="008848EE" w:rsidRPr="00203557">
        <w:rPr>
          <w:rFonts w:ascii="Times New Roman" w:hAnsi="Times New Roman"/>
          <w:b w:val="0"/>
        </w:rPr>
        <w:t>Nr.</w:t>
      </w:r>
      <w:r w:rsidR="00131B45" w:rsidRPr="00203557">
        <w:rPr>
          <w:rFonts w:ascii="Times New Roman" w:hAnsi="Times New Roman"/>
          <w:b w:val="0"/>
        </w:rPr>
        <w:t>411</w:t>
      </w:r>
      <w:r w:rsidR="008848EE" w:rsidRPr="00203557">
        <w:rPr>
          <w:rFonts w:ascii="Times New Roman" w:hAnsi="Times New Roman"/>
          <w:b w:val="0"/>
        </w:rPr>
        <w:t xml:space="preserve"> „</w:t>
      </w:r>
      <w:r w:rsidR="00131B45" w:rsidRPr="00203557">
        <w:rPr>
          <w:rFonts w:ascii="Times New Roman" w:hAnsi="Times New Roman"/>
          <w:b w:val="0"/>
        </w:rPr>
        <w:t>Autopārvadājumu kontroles organizēšanas un īstenošanas kārtība</w:t>
      </w:r>
      <w:r w:rsidR="008848EE" w:rsidRPr="00203557">
        <w:rPr>
          <w:rFonts w:ascii="Times New Roman" w:hAnsi="Times New Roman"/>
          <w:b w:val="0"/>
        </w:rPr>
        <w:t>”</w:t>
      </w:r>
      <w:r w:rsidRPr="00203557">
        <w:rPr>
          <w:rFonts w:ascii="Times New Roman" w:hAnsi="Times New Roman"/>
          <w:b w:val="0"/>
        </w:rPr>
        <w:t xml:space="preserve"> (Latvijas Vēstnesis,</w:t>
      </w:r>
      <w:r w:rsidR="008848EE" w:rsidRPr="00203557">
        <w:rPr>
          <w:rFonts w:ascii="Times New Roman" w:hAnsi="Times New Roman"/>
          <w:b w:val="0"/>
        </w:rPr>
        <w:t xml:space="preserve"> </w:t>
      </w:r>
      <w:r w:rsidRPr="00203557">
        <w:rPr>
          <w:rFonts w:ascii="Times New Roman" w:hAnsi="Times New Roman"/>
          <w:b w:val="0"/>
        </w:rPr>
        <w:t>20</w:t>
      </w:r>
      <w:r w:rsidR="00131B45" w:rsidRPr="00203557">
        <w:rPr>
          <w:rFonts w:ascii="Times New Roman" w:hAnsi="Times New Roman"/>
          <w:b w:val="0"/>
        </w:rPr>
        <w:t>11, 89</w:t>
      </w:r>
      <w:r w:rsidRPr="00203557">
        <w:rPr>
          <w:rFonts w:ascii="Times New Roman" w:hAnsi="Times New Roman"/>
          <w:b w:val="0"/>
        </w:rPr>
        <w:t>.nr.</w:t>
      </w:r>
      <w:r w:rsidR="00056409" w:rsidRPr="00203557">
        <w:rPr>
          <w:rFonts w:ascii="Times New Roman" w:hAnsi="Times New Roman"/>
          <w:b w:val="0"/>
        </w:rPr>
        <w:t>; 2011, 190.nr.; 2014, 133.nr.</w:t>
      </w:r>
      <w:r w:rsidR="00AA103A" w:rsidRPr="00203557">
        <w:rPr>
          <w:rFonts w:ascii="Times New Roman" w:hAnsi="Times New Roman"/>
          <w:b w:val="0"/>
        </w:rPr>
        <w:t>; 2017</w:t>
      </w:r>
      <w:r w:rsidR="00A71A08" w:rsidRPr="00203557">
        <w:rPr>
          <w:rFonts w:ascii="Times New Roman" w:hAnsi="Times New Roman"/>
          <w:b w:val="0"/>
        </w:rPr>
        <w:t>, 56.nr., 128.nr,</w:t>
      </w:r>
      <w:r w:rsidR="00AA103A" w:rsidRPr="00203557">
        <w:rPr>
          <w:rFonts w:ascii="Times New Roman" w:hAnsi="Times New Roman"/>
          <w:b w:val="0"/>
        </w:rPr>
        <w:t xml:space="preserve"> 248</w:t>
      </w:r>
      <w:r w:rsidR="00A71A08" w:rsidRPr="00203557">
        <w:rPr>
          <w:rFonts w:ascii="Times New Roman" w:hAnsi="Times New Roman"/>
          <w:b w:val="0"/>
        </w:rPr>
        <w:t>.nr</w:t>
      </w:r>
      <w:r w:rsidRPr="00203557">
        <w:rPr>
          <w:rFonts w:ascii="Times New Roman" w:hAnsi="Times New Roman"/>
          <w:b w:val="0"/>
        </w:rPr>
        <w:t xml:space="preserve">) </w:t>
      </w:r>
      <w:r w:rsidR="00131B45" w:rsidRPr="00203557">
        <w:rPr>
          <w:rFonts w:ascii="Times New Roman" w:hAnsi="Times New Roman"/>
          <w:b w:val="0"/>
        </w:rPr>
        <w:t>šādus grozījumus:</w:t>
      </w:r>
    </w:p>
    <w:p w14:paraId="5E4D2414" w14:textId="77777777" w:rsidR="00AD6B85" w:rsidRPr="005C79ED" w:rsidRDefault="00AD6B85" w:rsidP="005C79E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506DF0C7" w14:textId="77777777" w:rsidR="005C79ED" w:rsidRPr="005C79ED" w:rsidRDefault="005C79ED" w:rsidP="005C79ED">
      <w:pPr>
        <w:pStyle w:val="ListParagraph"/>
        <w:numPr>
          <w:ilvl w:val="0"/>
          <w:numId w:val="5"/>
        </w:numPr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5C79ED">
        <w:rPr>
          <w:rFonts w:eastAsia="Times New Roman" w:cs="Times New Roman"/>
          <w:bCs/>
          <w:color w:val="auto"/>
          <w:sz w:val="28"/>
          <w:szCs w:val="28"/>
          <w:lang w:eastAsia="lv-LV"/>
        </w:rPr>
        <w:t>Papildināt noteikumus ar 3.5 apakšpunktu šādā redakcijā:</w:t>
      </w:r>
    </w:p>
    <w:p w14:paraId="24BAD025" w14:textId="1FFFF107" w:rsidR="005C79ED" w:rsidRPr="005C79ED" w:rsidRDefault="005C79ED" w:rsidP="000379D7">
      <w:pPr>
        <w:spacing w:before="120"/>
        <w:ind w:firstLine="301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C79E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“3.5. Pašvaldības </w:t>
      </w:r>
      <w:r w:rsidRPr="005C79ED">
        <w:rPr>
          <w:rFonts w:eastAsia="Times New Roman" w:cs="Times New Roman"/>
          <w:color w:val="auto"/>
          <w:sz w:val="28"/>
          <w:szCs w:val="28"/>
          <w:lang w:eastAsia="lv-LV"/>
        </w:rPr>
        <w:t>policija</w:t>
      </w:r>
      <w:r w:rsidR="000379D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5C79ED">
        <w:rPr>
          <w:rFonts w:eastAsia="Times New Roman" w:cs="Times New Roman"/>
          <w:color w:val="auto"/>
          <w:sz w:val="28"/>
          <w:szCs w:val="28"/>
          <w:lang w:eastAsia="lv-LV"/>
        </w:rPr>
        <w:t>– atbilstoši šiem noteikumiem un citiem autopārvadājumus reglamentējošajiem normatīvajiem aktiem.</w:t>
      </w:r>
      <w:r w:rsidR="00ED50B3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2DCFEAB8" w14:textId="77777777" w:rsidR="005C79ED" w:rsidRDefault="005C79ED" w:rsidP="005C79ED">
      <w:pPr>
        <w:ind w:firstLine="30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C6C4F11" w14:textId="77777777" w:rsidR="00ED50B3" w:rsidRPr="00ED50B3" w:rsidRDefault="00ED50B3" w:rsidP="00ED50B3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Izteikt 6.2.apakšpunktu šādā redakcijā:</w:t>
      </w:r>
    </w:p>
    <w:p w14:paraId="0221F7D3" w14:textId="443886C1" w:rsidR="00ED50B3" w:rsidRDefault="00ED50B3" w:rsidP="00CC7DD1">
      <w:pPr>
        <w:spacing w:before="120"/>
        <w:ind w:firstLine="284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“</w:t>
      </w:r>
      <w:r w:rsidRPr="00ED50B3">
        <w:rPr>
          <w:rFonts w:cs="Times New Roman"/>
          <w:sz w:val="28"/>
          <w:szCs w:val="28"/>
        </w:rPr>
        <w:t xml:space="preserve">6.2. iekāpt un atrasties transportlīdzekļa kabīnē, kā arī, nemaksājot par braucienu, atrasties transportlīdzekļa salonā tā kustības laikā </w:t>
      </w:r>
      <w:bookmarkStart w:id="1" w:name="_Hlk519165446"/>
      <w:r w:rsidRPr="00ED50B3">
        <w:rPr>
          <w:rFonts w:cs="Times New Roman"/>
          <w:sz w:val="28"/>
          <w:szCs w:val="28"/>
        </w:rPr>
        <w:t>(izņemot taksometrus</w:t>
      </w:r>
      <w:r>
        <w:rPr>
          <w:rFonts w:cs="Times New Roman"/>
          <w:sz w:val="28"/>
          <w:szCs w:val="28"/>
        </w:rPr>
        <w:t xml:space="preserve"> un vieglos automobiļus</w:t>
      </w:r>
      <w:r w:rsidRPr="00ED50B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.”</w:t>
      </w:r>
    </w:p>
    <w:p w14:paraId="47967A79" w14:textId="6561B117" w:rsidR="003A283E" w:rsidRDefault="003A283E" w:rsidP="00CC7DD1">
      <w:pPr>
        <w:pStyle w:val="ListParagraph"/>
        <w:numPr>
          <w:ilvl w:val="0"/>
          <w:numId w:val="5"/>
        </w:numPr>
        <w:spacing w:before="120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Papildināt noteikumus ar 6.</w:t>
      </w:r>
      <w:r w:rsidRPr="00CC7DD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Pr="00CC7DD1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punktu šādā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r</w:t>
      </w:r>
      <w:r w:rsidRPr="00CC7DD1">
        <w:rPr>
          <w:rFonts w:eastAsia="Times New Roman" w:cs="Times New Roman"/>
          <w:color w:val="auto"/>
          <w:sz w:val="28"/>
          <w:szCs w:val="28"/>
          <w:lang w:eastAsia="lv-LV"/>
        </w:rPr>
        <w:t>edakcijā:</w:t>
      </w:r>
    </w:p>
    <w:p w14:paraId="6FD3A51B" w14:textId="0AF6B3D0" w:rsidR="003A283E" w:rsidRPr="00CC7DD1" w:rsidRDefault="003A283E" w:rsidP="00CC7DD1">
      <w:pPr>
        <w:pStyle w:val="ListParagraph"/>
        <w:spacing w:before="120"/>
        <w:ind w:left="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“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>6.</w:t>
      </w:r>
      <w:r w:rsidR="00CC7DD1" w:rsidRPr="00CC7DD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C7DD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>P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ašvaldības policijai</w:t>
      </w:r>
      <w:r w:rsidR="009E282F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>veicot autopārvadājumu kontroli</w:t>
      </w:r>
      <w:r w:rsidR="009E282F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ir tiesības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 xml:space="preserve"> veikt šo noteikumu 6.1., 6.2. un 6.4.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C7DD1">
        <w:rPr>
          <w:rFonts w:eastAsia="Times New Roman" w:cs="Times New Roman"/>
          <w:color w:val="auto"/>
          <w:sz w:val="28"/>
          <w:szCs w:val="28"/>
          <w:lang w:eastAsia="lv-LV"/>
        </w:rPr>
        <w:t>apakšpunktos noteiktās darbības.”</w:t>
      </w:r>
    </w:p>
    <w:bookmarkEnd w:id="1"/>
    <w:p w14:paraId="6C2D196A" w14:textId="77777777" w:rsidR="00ED50B3" w:rsidRPr="005C79ED" w:rsidRDefault="00ED50B3" w:rsidP="00CC7DD1">
      <w:pPr>
        <w:ind w:firstLine="30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934E775" w14:textId="5C36EBA0" w:rsidR="000379D7" w:rsidRPr="000379D7" w:rsidRDefault="000379D7" w:rsidP="000379D7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19.2 apakšpunktu šādā redakcijā:</w:t>
      </w:r>
    </w:p>
    <w:p w14:paraId="1DA025EF" w14:textId="09782AD7" w:rsidR="000379D7" w:rsidRDefault="000379D7" w:rsidP="00B55292">
      <w:pPr>
        <w:spacing w:before="120"/>
        <w:ind w:firstLine="284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“19.2. pasažieru komercpārvadājumu ar taksometru un vieglo automobili  noteikumu ievērošanu”.</w:t>
      </w:r>
    </w:p>
    <w:p w14:paraId="62102DCE" w14:textId="7009A418" w:rsidR="002D1326" w:rsidRDefault="002D1326" w:rsidP="002D1326">
      <w:pPr>
        <w:pStyle w:val="ListParagraph"/>
        <w:numPr>
          <w:ilvl w:val="0"/>
          <w:numId w:val="5"/>
        </w:numPr>
        <w:spacing w:before="1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19.3.apakšpunktu šādā redakcijā:</w:t>
      </w:r>
    </w:p>
    <w:p w14:paraId="281D1407" w14:textId="157C14E6" w:rsidR="002D1326" w:rsidRPr="00345D97" w:rsidRDefault="002D1326" w:rsidP="002D1326">
      <w:pPr>
        <w:spacing w:before="120"/>
        <w:ind w:firstLine="30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CA1910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“19.3. </w:t>
      </w:r>
      <w:proofErr w:type="spellStart"/>
      <w:r w:rsidRPr="00CA1910">
        <w:rPr>
          <w:rFonts w:eastAsia="Times New Roman" w:cs="Times New Roman"/>
          <w:color w:val="auto"/>
          <w:sz w:val="28"/>
          <w:szCs w:val="28"/>
          <w:lang w:eastAsia="lv-LV"/>
        </w:rPr>
        <w:t>līnijbūvju</w:t>
      </w:r>
      <w:proofErr w:type="spellEnd"/>
      <w:r w:rsidRPr="00CA1910">
        <w:rPr>
          <w:rFonts w:eastAsia="Times New Roman" w:cs="Times New Roman"/>
          <w:color w:val="auto"/>
          <w:sz w:val="28"/>
          <w:szCs w:val="28"/>
          <w:lang w:eastAsia="lv-LV"/>
        </w:rPr>
        <w:t xml:space="preserve"> stāvokli un darbības atbilstību pasažieru pārvadājumu prasībām.</w:t>
      </w:r>
      <w:r w:rsidR="009E282F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088E5F14" w14:textId="41FA42D9" w:rsidR="002D1326" w:rsidRPr="00345D97" w:rsidRDefault="002D1326" w:rsidP="002D1326">
      <w:pPr>
        <w:spacing w:before="120"/>
        <w:ind w:firstLine="30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8A89D69" w14:textId="77777777" w:rsidR="00303FCF" w:rsidRPr="00345D97" w:rsidRDefault="00303FCF" w:rsidP="002D1326">
      <w:pPr>
        <w:spacing w:before="120"/>
        <w:ind w:firstLine="30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5508BE3" w14:textId="3B0EB580" w:rsidR="002D1326" w:rsidRPr="006343AD" w:rsidRDefault="00203557" w:rsidP="00203557">
      <w:pPr>
        <w:spacing w:before="120"/>
        <w:ind w:firstLine="567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2D1326" w:rsidRPr="006343AD">
        <w:rPr>
          <w:rFonts w:eastAsia="Times New Roman" w:cs="Times New Roman"/>
          <w:color w:val="auto"/>
          <w:sz w:val="28"/>
          <w:szCs w:val="28"/>
          <w:lang w:eastAsia="lv-LV"/>
        </w:rPr>
        <w:t>. Svītrot  21.punktu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3DBFEAB" w14:textId="77777777" w:rsidR="005C79ED" w:rsidRPr="006343AD" w:rsidRDefault="005C79ED" w:rsidP="005C79ED">
      <w:pPr>
        <w:ind w:firstLine="301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9C5AC7A" w14:textId="34FA00EA" w:rsidR="005C79ED" w:rsidRPr="006343AD" w:rsidRDefault="00E41456" w:rsidP="00203557">
      <w:pPr>
        <w:pStyle w:val="ListParagraph"/>
        <w:numPr>
          <w:ilvl w:val="0"/>
          <w:numId w:val="7"/>
        </w:numPr>
        <w:spacing w:line="360" w:lineRule="auto"/>
        <w:ind w:left="1134" w:hanging="567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6343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Papildināt noteikumus ar  </w:t>
      </w:r>
      <w:r w:rsidR="009E282F">
        <w:rPr>
          <w:rFonts w:eastAsia="Times New Roman" w:cs="Times New Roman"/>
          <w:bCs/>
          <w:color w:val="auto"/>
          <w:sz w:val="28"/>
          <w:szCs w:val="28"/>
          <w:lang w:eastAsia="lv-LV"/>
        </w:rPr>
        <w:t>21</w:t>
      </w:r>
      <w:r w:rsidR="007637D5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="009E282F" w:rsidRPr="007637D5">
        <w:rPr>
          <w:rFonts w:eastAsia="Times New Roman" w:cs="Times New Roman"/>
          <w:bCs/>
          <w:color w:val="auto"/>
          <w:sz w:val="28"/>
          <w:szCs w:val="28"/>
          <w:vertAlign w:val="superscript"/>
          <w:lang w:eastAsia="lv-LV"/>
        </w:rPr>
        <w:t>1</w:t>
      </w:r>
      <w:r w:rsidR="009E282F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un 21</w:t>
      </w:r>
      <w:r w:rsidR="007637D5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="007637D5" w:rsidRPr="007637D5">
        <w:rPr>
          <w:rFonts w:eastAsia="Times New Roman" w:cs="Times New Roman"/>
          <w:bCs/>
          <w:color w:val="auto"/>
          <w:sz w:val="28"/>
          <w:szCs w:val="28"/>
          <w:vertAlign w:val="superscript"/>
          <w:lang w:eastAsia="lv-LV"/>
        </w:rPr>
        <w:t>2</w:t>
      </w:r>
      <w:r w:rsidR="009E282F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 punktiem </w:t>
      </w:r>
      <w:r w:rsidRPr="006343AD">
        <w:rPr>
          <w:rFonts w:eastAsia="Times New Roman" w:cs="Times New Roman"/>
          <w:bCs/>
          <w:color w:val="auto"/>
          <w:sz w:val="28"/>
          <w:szCs w:val="28"/>
          <w:lang w:eastAsia="lv-LV"/>
        </w:rPr>
        <w:t>šādā redakcijā:</w:t>
      </w:r>
    </w:p>
    <w:p w14:paraId="47D75773" w14:textId="5DD8E6A6" w:rsidR="00E41456" w:rsidRPr="006343AD" w:rsidRDefault="00E41456" w:rsidP="00CE34E8">
      <w:pPr>
        <w:spacing w:before="120"/>
        <w:ind w:firstLine="284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2" w:name="p-396376"/>
      <w:bookmarkStart w:id="3" w:name="p17"/>
      <w:bookmarkEnd w:id="2"/>
      <w:bookmarkEnd w:id="3"/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>21.</w:t>
      </w:r>
      <w:r w:rsidRPr="006343AD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bookmarkStart w:id="4" w:name="_Hlk522198379"/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>Pašvaldības</w:t>
      </w:r>
      <w:r w:rsidR="00CC7DD1"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ir tiesīgas pilnvarot pašvaldības 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>policij</w:t>
      </w:r>
      <w:r w:rsidR="00CC7DD1" w:rsidRPr="006343AD">
        <w:rPr>
          <w:rFonts w:eastAsia="Times New Roman" w:cs="Times New Roman"/>
          <w:color w:val="auto"/>
          <w:sz w:val="28"/>
          <w:szCs w:val="28"/>
          <w:lang w:eastAsia="lv-LV"/>
        </w:rPr>
        <w:t>u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vei</w:t>
      </w:r>
      <w:r w:rsidR="00CC7DD1" w:rsidRPr="006343AD">
        <w:rPr>
          <w:rFonts w:eastAsia="Times New Roman" w:cs="Times New Roman"/>
          <w:color w:val="auto"/>
          <w:sz w:val="28"/>
          <w:szCs w:val="28"/>
          <w:lang w:eastAsia="lv-LV"/>
        </w:rPr>
        <w:t>kt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pasažieru komercpārvadājumu ar taksometriem un vieglajiem automobiļiem kontroli savā administratīvajā teritorijā, kā arī </w:t>
      </w:r>
      <w:r w:rsidR="00CC7DD1"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citā administratīvajā teritorijā, 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slēdzot vienošanos ar institūcijām, kas izsniedz </w:t>
      </w:r>
      <w:r w:rsidR="00014F52" w:rsidRPr="006343AD">
        <w:rPr>
          <w:rFonts w:eastAsia="Times New Roman" w:cs="Times New Roman"/>
          <w:color w:val="auto"/>
          <w:sz w:val="28"/>
          <w:szCs w:val="28"/>
          <w:lang w:eastAsia="lv-LV"/>
        </w:rPr>
        <w:t>speciālās atļaujas (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>licences</w:t>
      </w:r>
      <w:r w:rsidR="00014F52" w:rsidRPr="006343AD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pasažieru komercpārvadājumiem ar taksometriem un vieglajiem automobiļiem.</w:t>
      </w:r>
    </w:p>
    <w:bookmarkEnd w:id="4"/>
    <w:p w14:paraId="2B42B6B0" w14:textId="77777777" w:rsidR="00E41456" w:rsidRPr="006343AD" w:rsidRDefault="00E41456" w:rsidP="00203557">
      <w:pPr>
        <w:pStyle w:val="ListParagraph"/>
        <w:numPr>
          <w:ilvl w:val="0"/>
          <w:numId w:val="7"/>
        </w:numPr>
        <w:ind w:left="1077"/>
        <w:jc w:val="both"/>
        <w:rPr>
          <w:rFonts w:eastAsia="Times New Roman" w:cs="Times New Roman"/>
          <w:vanish/>
          <w:color w:val="auto"/>
          <w:sz w:val="28"/>
          <w:szCs w:val="28"/>
          <w:lang w:eastAsia="lv-LV"/>
        </w:rPr>
      </w:pPr>
      <w:r w:rsidRPr="006343AD">
        <w:rPr>
          <w:rFonts w:eastAsia="Times New Roman" w:cs="Times New Roman"/>
          <w:vanish/>
          <w:color w:val="auto"/>
          <w:sz w:val="28"/>
          <w:szCs w:val="28"/>
          <w:lang w:eastAsia="lv-LV"/>
        </w:rPr>
        <w:t>20</w:t>
      </w:r>
    </w:p>
    <w:p w14:paraId="39674498" w14:textId="77777777" w:rsidR="00E41456" w:rsidRPr="006343AD" w:rsidRDefault="00E41456" w:rsidP="00203557">
      <w:pPr>
        <w:pStyle w:val="ListParagraph"/>
        <w:numPr>
          <w:ilvl w:val="0"/>
          <w:numId w:val="7"/>
        </w:numPr>
        <w:ind w:left="1077"/>
        <w:jc w:val="both"/>
        <w:rPr>
          <w:rFonts w:eastAsia="Times New Roman" w:cs="Times New Roman"/>
          <w:vanish/>
          <w:color w:val="auto"/>
          <w:sz w:val="28"/>
          <w:szCs w:val="28"/>
          <w:lang w:eastAsia="lv-LV"/>
        </w:rPr>
      </w:pPr>
      <w:bookmarkStart w:id="5" w:name="p-396377"/>
      <w:bookmarkStart w:id="6" w:name="p18"/>
      <w:bookmarkEnd w:id="5"/>
      <w:bookmarkEnd w:id="6"/>
      <w:r w:rsidRPr="006343AD">
        <w:rPr>
          <w:rFonts w:eastAsia="Times New Roman" w:cs="Times New Roman"/>
          <w:vanish/>
          <w:color w:val="auto"/>
          <w:sz w:val="28"/>
          <w:szCs w:val="28"/>
          <w:lang w:eastAsia="lv-LV"/>
        </w:rPr>
        <w:t>21</w:t>
      </w:r>
    </w:p>
    <w:p w14:paraId="3CB015A5" w14:textId="71FF2942" w:rsidR="002D1326" w:rsidRPr="006343AD" w:rsidRDefault="000379D7" w:rsidP="002D1326">
      <w:pPr>
        <w:spacing w:before="120"/>
        <w:ind w:firstLine="30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7" w:name="p-396378"/>
      <w:bookmarkStart w:id="8" w:name="p19"/>
      <w:bookmarkEnd w:id="7"/>
      <w:bookmarkEnd w:id="8"/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>21.</w:t>
      </w:r>
      <w:r w:rsidRPr="006343AD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bookmarkStart w:id="9" w:name="_GoBack"/>
      <w:bookmarkEnd w:id="9"/>
      <w:r w:rsidR="00E41456"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Pašvaldīb</w:t>
      </w:r>
      <w:r w:rsidRPr="006343AD">
        <w:rPr>
          <w:rFonts w:eastAsia="Times New Roman" w:cs="Times New Roman"/>
          <w:color w:val="auto"/>
          <w:sz w:val="28"/>
          <w:szCs w:val="28"/>
          <w:lang w:eastAsia="lv-LV"/>
        </w:rPr>
        <w:t>as</w:t>
      </w:r>
      <w:r w:rsidR="00E41456"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policijas  darbiniekiem ir tiesības kontrolēt pasažieru komer</w:t>
      </w:r>
      <w:r w:rsidR="00962C94">
        <w:rPr>
          <w:rFonts w:eastAsia="Times New Roman" w:cs="Times New Roman"/>
          <w:color w:val="auto"/>
          <w:sz w:val="28"/>
          <w:szCs w:val="28"/>
          <w:lang w:eastAsia="lv-LV"/>
        </w:rPr>
        <w:t>c</w:t>
      </w:r>
      <w:r w:rsidR="00E41456" w:rsidRPr="006343AD">
        <w:rPr>
          <w:rFonts w:eastAsia="Times New Roman" w:cs="Times New Roman"/>
          <w:color w:val="auto"/>
          <w:sz w:val="28"/>
          <w:szCs w:val="28"/>
          <w:lang w:eastAsia="lv-LV"/>
        </w:rPr>
        <w:t>pārvadājumu ar  taksometru un vieglo automobili   noteikumu ievērošanu</w:t>
      </w:r>
      <w:r w:rsidR="002D1326"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,  </w:t>
      </w:r>
      <w:proofErr w:type="spellStart"/>
      <w:r w:rsidR="002D1326" w:rsidRPr="006343AD">
        <w:rPr>
          <w:rFonts w:eastAsia="Times New Roman" w:cs="Times New Roman"/>
          <w:color w:val="auto"/>
          <w:sz w:val="28"/>
          <w:szCs w:val="28"/>
          <w:lang w:eastAsia="lv-LV"/>
        </w:rPr>
        <w:t>līnijbūvju</w:t>
      </w:r>
      <w:proofErr w:type="spellEnd"/>
      <w:r w:rsidR="002D1326" w:rsidRPr="006343AD">
        <w:rPr>
          <w:rFonts w:eastAsia="Times New Roman" w:cs="Times New Roman"/>
          <w:color w:val="auto"/>
          <w:sz w:val="28"/>
          <w:szCs w:val="28"/>
          <w:lang w:eastAsia="lv-LV"/>
        </w:rPr>
        <w:t xml:space="preserve"> stāvokli un darbības atbilstību pasažieru </w:t>
      </w:r>
      <w:r w:rsidR="00303FCF" w:rsidRPr="006343AD">
        <w:rPr>
          <w:rFonts w:eastAsia="Times New Roman" w:cs="Times New Roman"/>
          <w:color w:val="auto"/>
          <w:sz w:val="28"/>
          <w:szCs w:val="28"/>
          <w:lang w:eastAsia="lv-LV"/>
        </w:rPr>
        <w:t>komerc</w:t>
      </w:r>
      <w:r w:rsidR="002D1326" w:rsidRPr="006343AD">
        <w:rPr>
          <w:rFonts w:eastAsia="Times New Roman" w:cs="Times New Roman"/>
          <w:color w:val="auto"/>
          <w:sz w:val="28"/>
          <w:szCs w:val="28"/>
          <w:lang w:eastAsia="lv-LV"/>
        </w:rPr>
        <w:t>pārvadājumu prasībām.</w:t>
      </w:r>
      <w:r w:rsidR="009E282F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4DD57F1C" w14:textId="6D6E6C63" w:rsidR="00E41456" w:rsidRPr="00CC7DD1" w:rsidRDefault="00E41456" w:rsidP="00E41456">
      <w:pPr>
        <w:pStyle w:val="ListParagraph"/>
        <w:ind w:left="1077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4040F3BF" w14:textId="14D238AF" w:rsidR="00CC7DD1" w:rsidRPr="00CC7DD1" w:rsidRDefault="00CC7DD1" w:rsidP="00E41456">
      <w:pPr>
        <w:pStyle w:val="ListParagraph"/>
        <w:ind w:left="1077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6DA3132" w14:textId="77777777" w:rsidR="00CC7DD1" w:rsidRPr="00CC7DD1" w:rsidRDefault="00CC7DD1" w:rsidP="00CC7DD1">
      <w:pPr>
        <w:jc w:val="both"/>
        <w:rPr>
          <w:sz w:val="28"/>
          <w:szCs w:val="28"/>
        </w:rPr>
      </w:pPr>
      <w:r w:rsidRPr="00CC7DD1">
        <w:rPr>
          <w:sz w:val="28"/>
          <w:szCs w:val="28"/>
        </w:rPr>
        <w:t>Ministru prezidents</w:t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proofErr w:type="spellStart"/>
      <w:r w:rsidRPr="00CC7DD1">
        <w:rPr>
          <w:sz w:val="28"/>
          <w:szCs w:val="28"/>
        </w:rPr>
        <w:t>M.Kučinskis</w:t>
      </w:r>
      <w:proofErr w:type="spellEnd"/>
    </w:p>
    <w:p w14:paraId="1B9E162B" w14:textId="77777777" w:rsidR="00CC7DD1" w:rsidRPr="00CC7DD1" w:rsidRDefault="00CC7DD1" w:rsidP="00CC7DD1">
      <w:pPr>
        <w:jc w:val="both"/>
        <w:rPr>
          <w:sz w:val="28"/>
          <w:szCs w:val="28"/>
        </w:rPr>
      </w:pPr>
    </w:p>
    <w:p w14:paraId="1AC542A5" w14:textId="77777777" w:rsidR="00CC7DD1" w:rsidRPr="00CC7DD1" w:rsidRDefault="00CC7DD1" w:rsidP="00CC7DD1">
      <w:pPr>
        <w:jc w:val="both"/>
        <w:rPr>
          <w:sz w:val="28"/>
          <w:szCs w:val="28"/>
        </w:rPr>
      </w:pPr>
    </w:p>
    <w:p w14:paraId="1C9A714F" w14:textId="77777777" w:rsidR="00CC7DD1" w:rsidRPr="00CC7DD1" w:rsidRDefault="00CC7DD1" w:rsidP="00CC7DD1">
      <w:pPr>
        <w:jc w:val="both"/>
        <w:rPr>
          <w:sz w:val="28"/>
          <w:szCs w:val="28"/>
        </w:rPr>
      </w:pPr>
      <w:r w:rsidRPr="00CC7DD1">
        <w:rPr>
          <w:sz w:val="28"/>
          <w:szCs w:val="28"/>
        </w:rPr>
        <w:t>Satiksmes ministrs</w:t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proofErr w:type="spellStart"/>
      <w:r w:rsidRPr="00CC7DD1">
        <w:rPr>
          <w:sz w:val="28"/>
          <w:szCs w:val="28"/>
        </w:rPr>
        <w:t>U.Augulis</w:t>
      </w:r>
      <w:proofErr w:type="spellEnd"/>
    </w:p>
    <w:p w14:paraId="6BF9B478" w14:textId="77777777" w:rsidR="00CC7DD1" w:rsidRPr="00CC7DD1" w:rsidRDefault="00CC7DD1" w:rsidP="00CC7DD1">
      <w:pPr>
        <w:jc w:val="both"/>
        <w:rPr>
          <w:sz w:val="28"/>
          <w:szCs w:val="28"/>
        </w:rPr>
      </w:pPr>
    </w:p>
    <w:p w14:paraId="658D5873" w14:textId="77777777" w:rsidR="00CC7DD1" w:rsidRPr="00CC7DD1" w:rsidRDefault="00CC7DD1" w:rsidP="00CC7DD1">
      <w:pPr>
        <w:jc w:val="both"/>
        <w:rPr>
          <w:sz w:val="28"/>
          <w:szCs w:val="28"/>
        </w:rPr>
      </w:pPr>
    </w:p>
    <w:p w14:paraId="7A873387" w14:textId="77777777" w:rsidR="00CC7DD1" w:rsidRPr="00CC7DD1" w:rsidRDefault="00CC7DD1" w:rsidP="00CC7DD1">
      <w:pPr>
        <w:jc w:val="both"/>
        <w:rPr>
          <w:sz w:val="28"/>
          <w:szCs w:val="28"/>
        </w:rPr>
      </w:pPr>
      <w:r w:rsidRPr="00CC7DD1">
        <w:rPr>
          <w:sz w:val="28"/>
          <w:szCs w:val="28"/>
        </w:rPr>
        <w:t xml:space="preserve">Iesniedzējs: </w:t>
      </w:r>
    </w:p>
    <w:p w14:paraId="2FD0B6A2" w14:textId="77777777" w:rsidR="00CC7DD1" w:rsidRPr="00CC7DD1" w:rsidRDefault="00CC7DD1" w:rsidP="00CC7DD1">
      <w:pPr>
        <w:jc w:val="both"/>
        <w:rPr>
          <w:sz w:val="28"/>
          <w:szCs w:val="28"/>
        </w:rPr>
      </w:pPr>
      <w:r w:rsidRPr="00CC7DD1">
        <w:rPr>
          <w:sz w:val="28"/>
          <w:szCs w:val="28"/>
        </w:rPr>
        <w:t>Satiksmes ministrs</w:t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proofErr w:type="spellStart"/>
      <w:r w:rsidRPr="00CC7DD1">
        <w:rPr>
          <w:sz w:val="28"/>
          <w:szCs w:val="28"/>
        </w:rPr>
        <w:t>U.Augulis</w:t>
      </w:r>
      <w:proofErr w:type="spellEnd"/>
    </w:p>
    <w:p w14:paraId="74FB309A" w14:textId="77777777" w:rsidR="00CC7DD1" w:rsidRPr="00CC7DD1" w:rsidRDefault="00CC7DD1" w:rsidP="00CC7DD1">
      <w:pPr>
        <w:tabs>
          <w:tab w:val="left" w:pos="1770"/>
        </w:tabs>
        <w:jc w:val="both"/>
        <w:rPr>
          <w:sz w:val="28"/>
          <w:szCs w:val="28"/>
        </w:rPr>
      </w:pPr>
      <w:r w:rsidRPr="00CC7DD1">
        <w:rPr>
          <w:sz w:val="28"/>
          <w:szCs w:val="28"/>
        </w:rPr>
        <w:tab/>
      </w:r>
    </w:p>
    <w:p w14:paraId="63847649" w14:textId="77777777" w:rsidR="00CC7DD1" w:rsidRPr="00CC7DD1" w:rsidRDefault="00CC7DD1" w:rsidP="00CC7DD1">
      <w:pPr>
        <w:jc w:val="both"/>
        <w:rPr>
          <w:sz w:val="28"/>
          <w:szCs w:val="28"/>
        </w:rPr>
      </w:pPr>
    </w:p>
    <w:p w14:paraId="6BBAAF8D" w14:textId="77777777" w:rsidR="00CC7DD1" w:rsidRPr="00CC7DD1" w:rsidRDefault="00CC7DD1" w:rsidP="00CC7DD1">
      <w:pPr>
        <w:jc w:val="both"/>
        <w:rPr>
          <w:bCs/>
          <w:sz w:val="28"/>
          <w:szCs w:val="28"/>
        </w:rPr>
      </w:pPr>
      <w:r w:rsidRPr="00CC7DD1">
        <w:rPr>
          <w:bCs/>
          <w:sz w:val="28"/>
          <w:szCs w:val="28"/>
        </w:rPr>
        <w:t xml:space="preserve">Vīza: </w:t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</w:p>
    <w:p w14:paraId="73ED96AD" w14:textId="77777777" w:rsidR="00CC7DD1" w:rsidRPr="00CC7DD1" w:rsidRDefault="00CC7DD1" w:rsidP="00CC7DD1">
      <w:pPr>
        <w:jc w:val="both"/>
        <w:rPr>
          <w:bCs/>
          <w:sz w:val="28"/>
          <w:szCs w:val="28"/>
        </w:rPr>
      </w:pPr>
      <w:r w:rsidRPr="00CC7DD1">
        <w:rPr>
          <w:bCs/>
          <w:sz w:val="28"/>
          <w:szCs w:val="28"/>
        </w:rPr>
        <w:t>Valsts sekretārs</w:t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r w:rsidRPr="00CC7DD1">
        <w:rPr>
          <w:bCs/>
          <w:sz w:val="28"/>
          <w:szCs w:val="28"/>
        </w:rPr>
        <w:tab/>
      </w:r>
      <w:proofErr w:type="spellStart"/>
      <w:r w:rsidRPr="00CC7DD1">
        <w:rPr>
          <w:bCs/>
          <w:sz w:val="28"/>
          <w:szCs w:val="28"/>
        </w:rPr>
        <w:t>K.Ozoliņš</w:t>
      </w:r>
      <w:proofErr w:type="spellEnd"/>
    </w:p>
    <w:p w14:paraId="7CBA5EC2" w14:textId="77777777" w:rsidR="00CC7DD1" w:rsidRPr="00CC7DD1" w:rsidRDefault="00CC7DD1" w:rsidP="00CC7DD1">
      <w:pPr>
        <w:jc w:val="both"/>
        <w:rPr>
          <w:sz w:val="28"/>
          <w:szCs w:val="28"/>
        </w:rPr>
      </w:pPr>
    </w:p>
    <w:p w14:paraId="1E546603" w14:textId="77777777" w:rsidR="00CC7DD1" w:rsidRPr="00CC7DD1" w:rsidRDefault="00CC7DD1" w:rsidP="00E41456">
      <w:pPr>
        <w:pStyle w:val="ListParagraph"/>
        <w:ind w:left="1077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sectPr w:rsidR="00CC7DD1" w:rsidRPr="00CC7DD1" w:rsidSect="00CB58BC">
      <w:headerReference w:type="default" r:id="rId10"/>
      <w:footerReference w:type="default" r:id="rId11"/>
      <w:footerReference w:type="first" r:id="rId12"/>
      <w:pgSz w:w="12240" w:h="15840"/>
      <w:pgMar w:top="851" w:right="1134" w:bottom="993" w:left="1560" w:header="720" w:footer="49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1E52" w14:textId="77777777" w:rsidR="00C93F92" w:rsidRDefault="00C93F92" w:rsidP="007B6CA4">
      <w:r>
        <w:separator/>
      </w:r>
    </w:p>
  </w:endnote>
  <w:endnote w:type="continuationSeparator" w:id="0">
    <w:p w14:paraId="43C6BCDA" w14:textId="77777777" w:rsidR="00C93F92" w:rsidRDefault="00C93F92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9B3F" w14:textId="196349C5" w:rsidR="00C93F92" w:rsidRPr="00AD6B85" w:rsidRDefault="00C93F92" w:rsidP="002850F5">
    <w:pPr>
      <w:jc w:val="both"/>
      <w:rPr>
        <w:sz w:val="20"/>
      </w:rPr>
    </w:pPr>
    <w:r w:rsidRPr="00440ABD">
      <w:rPr>
        <w:sz w:val="20"/>
      </w:rPr>
      <w:t>SMNot</w:t>
    </w:r>
    <w:r>
      <w:rPr>
        <w:sz w:val="20"/>
      </w:rPr>
      <w:t>_</w:t>
    </w:r>
    <w:r w:rsidR="006343AD">
      <w:rPr>
        <w:sz w:val="20"/>
      </w:rPr>
      <w:t>1309</w:t>
    </w:r>
    <w:r w:rsidR="00014F52">
      <w:rPr>
        <w:sz w:val="20"/>
      </w:rPr>
      <w:t>18</w:t>
    </w:r>
    <w:r>
      <w:rPr>
        <w:sz w:val="20"/>
      </w:rPr>
      <w:t>_411</w:t>
    </w:r>
    <w:r w:rsidRPr="00440ABD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57E4" w14:textId="0BE37328" w:rsidR="00C93F92" w:rsidRPr="00AD6B85" w:rsidRDefault="00C93F92" w:rsidP="00AD6B85">
    <w:pPr>
      <w:jc w:val="both"/>
      <w:rPr>
        <w:sz w:val="20"/>
      </w:rPr>
    </w:pPr>
    <w:r w:rsidRPr="00440ABD">
      <w:rPr>
        <w:sz w:val="20"/>
      </w:rPr>
      <w:t>SM</w:t>
    </w:r>
    <w:r w:rsidR="00710B60">
      <w:rPr>
        <w:sz w:val="20"/>
      </w:rPr>
      <w:t>n</w:t>
    </w:r>
    <w:r w:rsidRPr="00440ABD">
      <w:rPr>
        <w:sz w:val="20"/>
      </w:rPr>
      <w:t>ot</w:t>
    </w:r>
    <w:r>
      <w:rPr>
        <w:sz w:val="20"/>
      </w:rPr>
      <w:t>_</w:t>
    </w:r>
    <w:r w:rsidR="006343AD">
      <w:rPr>
        <w:sz w:val="20"/>
      </w:rPr>
      <w:t>1</w:t>
    </w:r>
    <w:r w:rsidR="00CA1910">
      <w:rPr>
        <w:sz w:val="20"/>
      </w:rPr>
      <w:t>3</w:t>
    </w:r>
    <w:r w:rsidR="001537C8">
      <w:rPr>
        <w:sz w:val="20"/>
      </w:rPr>
      <w:t>0</w:t>
    </w:r>
    <w:r w:rsidR="006343AD">
      <w:rPr>
        <w:sz w:val="20"/>
      </w:rPr>
      <w:t>9</w:t>
    </w:r>
    <w:r w:rsidR="001537C8">
      <w:rPr>
        <w:sz w:val="20"/>
      </w:rPr>
      <w:t>18</w:t>
    </w:r>
    <w:r>
      <w:rPr>
        <w:sz w:val="20"/>
      </w:rPr>
      <w:t>_411;</w:t>
    </w:r>
    <w:r w:rsidRPr="00440AB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72FA" w14:textId="77777777" w:rsidR="00C93F92" w:rsidRDefault="00C93F92" w:rsidP="007B6CA4">
      <w:r>
        <w:separator/>
      </w:r>
    </w:p>
  </w:footnote>
  <w:footnote w:type="continuationSeparator" w:id="0">
    <w:p w14:paraId="4603123A" w14:textId="77777777" w:rsidR="00C93F92" w:rsidRDefault="00C93F92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6E876AD2" w14:textId="77777777" w:rsidR="00C93F92" w:rsidRPr="000701AD" w:rsidRDefault="00C93F9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D40950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CFC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972DF"/>
    <w:multiLevelType w:val="hybridMultilevel"/>
    <w:tmpl w:val="BD6C5198"/>
    <w:lvl w:ilvl="0" w:tplc="F68623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46254"/>
    <w:multiLevelType w:val="hybridMultilevel"/>
    <w:tmpl w:val="A5CAE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0B5C00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632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8"/>
    <w:rsid w:val="00004996"/>
    <w:rsid w:val="00014F52"/>
    <w:rsid w:val="000379D7"/>
    <w:rsid w:val="000408A9"/>
    <w:rsid w:val="00056409"/>
    <w:rsid w:val="00065BAC"/>
    <w:rsid w:val="0009727D"/>
    <w:rsid w:val="000E1E3E"/>
    <w:rsid w:val="0010022C"/>
    <w:rsid w:val="001221A4"/>
    <w:rsid w:val="00131B45"/>
    <w:rsid w:val="001507D6"/>
    <w:rsid w:val="001537C8"/>
    <w:rsid w:val="00154C53"/>
    <w:rsid w:val="001B2D29"/>
    <w:rsid w:val="001B528E"/>
    <w:rsid w:val="001F4CA3"/>
    <w:rsid w:val="00203557"/>
    <w:rsid w:val="00252A8A"/>
    <w:rsid w:val="00264AAD"/>
    <w:rsid w:val="002850F5"/>
    <w:rsid w:val="002B0A42"/>
    <w:rsid w:val="002D1326"/>
    <w:rsid w:val="002F29D3"/>
    <w:rsid w:val="00303FCF"/>
    <w:rsid w:val="003150C1"/>
    <w:rsid w:val="00330B8E"/>
    <w:rsid w:val="00345D97"/>
    <w:rsid w:val="003755F0"/>
    <w:rsid w:val="003A283E"/>
    <w:rsid w:val="003B6FDF"/>
    <w:rsid w:val="003C3041"/>
    <w:rsid w:val="003C4AF4"/>
    <w:rsid w:val="003E295D"/>
    <w:rsid w:val="003E7EE4"/>
    <w:rsid w:val="00406142"/>
    <w:rsid w:val="00415FD7"/>
    <w:rsid w:val="00440ABD"/>
    <w:rsid w:val="00463DE3"/>
    <w:rsid w:val="00485FA5"/>
    <w:rsid w:val="004B706E"/>
    <w:rsid w:val="004E31D5"/>
    <w:rsid w:val="005168A2"/>
    <w:rsid w:val="005272CF"/>
    <w:rsid w:val="005C79ED"/>
    <w:rsid w:val="005D6AD2"/>
    <w:rsid w:val="005F0147"/>
    <w:rsid w:val="006343AD"/>
    <w:rsid w:val="00685C62"/>
    <w:rsid w:val="006C36BE"/>
    <w:rsid w:val="00710B60"/>
    <w:rsid w:val="007637D5"/>
    <w:rsid w:val="00765559"/>
    <w:rsid w:val="007743A2"/>
    <w:rsid w:val="007767FC"/>
    <w:rsid w:val="00793738"/>
    <w:rsid w:val="007941F0"/>
    <w:rsid w:val="007B5893"/>
    <w:rsid w:val="007B6CA4"/>
    <w:rsid w:val="007B76EA"/>
    <w:rsid w:val="007E37EB"/>
    <w:rsid w:val="008156ED"/>
    <w:rsid w:val="00834DAC"/>
    <w:rsid w:val="00855503"/>
    <w:rsid w:val="00881619"/>
    <w:rsid w:val="008848EE"/>
    <w:rsid w:val="008A2D68"/>
    <w:rsid w:val="009248EE"/>
    <w:rsid w:val="0092685A"/>
    <w:rsid w:val="00932B82"/>
    <w:rsid w:val="0094318E"/>
    <w:rsid w:val="00962C94"/>
    <w:rsid w:val="00977F27"/>
    <w:rsid w:val="009934D3"/>
    <w:rsid w:val="009C161F"/>
    <w:rsid w:val="009D0BAC"/>
    <w:rsid w:val="009D7462"/>
    <w:rsid w:val="009E282F"/>
    <w:rsid w:val="009E4ADB"/>
    <w:rsid w:val="009F1D54"/>
    <w:rsid w:val="00A13924"/>
    <w:rsid w:val="00A211D8"/>
    <w:rsid w:val="00A304FC"/>
    <w:rsid w:val="00A42ACF"/>
    <w:rsid w:val="00A54644"/>
    <w:rsid w:val="00A56A85"/>
    <w:rsid w:val="00A71A08"/>
    <w:rsid w:val="00A9621D"/>
    <w:rsid w:val="00AA103A"/>
    <w:rsid w:val="00AD6B85"/>
    <w:rsid w:val="00AF5EDC"/>
    <w:rsid w:val="00B00B7E"/>
    <w:rsid w:val="00B14C74"/>
    <w:rsid w:val="00B41FE9"/>
    <w:rsid w:val="00B55292"/>
    <w:rsid w:val="00B855F7"/>
    <w:rsid w:val="00BD183F"/>
    <w:rsid w:val="00BE67C4"/>
    <w:rsid w:val="00BE78A4"/>
    <w:rsid w:val="00C12DB4"/>
    <w:rsid w:val="00C14C69"/>
    <w:rsid w:val="00C25CE9"/>
    <w:rsid w:val="00C5636F"/>
    <w:rsid w:val="00C71AA4"/>
    <w:rsid w:val="00C832D6"/>
    <w:rsid w:val="00C932C3"/>
    <w:rsid w:val="00C93F92"/>
    <w:rsid w:val="00CA1910"/>
    <w:rsid w:val="00CA3A5E"/>
    <w:rsid w:val="00CB58BC"/>
    <w:rsid w:val="00CC7DD1"/>
    <w:rsid w:val="00CE1128"/>
    <w:rsid w:val="00CE34E8"/>
    <w:rsid w:val="00D16D44"/>
    <w:rsid w:val="00D40950"/>
    <w:rsid w:val="00D448B8"/>
    <w:rsid w:val="00D83CAC"/>
    <w:rsid w:val="00DA7134"/>
    <w:rsid w:val="00DD318F"/>
    <w:rsid w:val="00DE4325"/>
    <w:rsid w:val="00DE6F96"/>
    <w:rsid w:val="00E04A81"/>
    <w:rsid w:val="00E41456"/>
    <w:rsid w:val="00E67E50"/>
    <w:rsid w:val="00EA7822"/>
    <w:rsid w:val="00EC7114"/>
    <w:rsid w:val="00ED50B3"/>
    <w:rsid w:val="00F057E4"/>
    <w:rsid w:val="00FB35CA"/>
    <w:rsid w:val="00FB5B70"/>
    <w:rsid w:val="00FB71D5"/>
    <w:rsid w:val="00FC5F8D"/>
    <w:rsid w:val="00FD0BD1"/>
    <w:rsid w:val="00FF4B1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1229E0F8"/>
  <w15:docId w15:val="{597D842F-A81C-4386-B1D9-6EE5C0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56"/>
    <w:pPr>
      <w:spacing w:after="160"/>
    </w:pPr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97"/>
    <w:pPr>
      <w:spacing w:after="0"/>
    </w:pPr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D97"/>
    <w:rPr>
      <w:rFonts w:ascii="Times New Roman" w:hAnsi="Times New Roman" w:cs="Helv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6720-autoparvadajum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45D1-C88D-40BA-8C79-CFD3A971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24.maija noteikumos Nr.411 “Autopārvadājumu kontroles organizēšanas un īstenošanas kārtība”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“Autopārvadājumu kontroles organizēšanas un īstenošanas kārtība”</dc:title>
  <dc:creator>Dana.Ziemele-Adricka@sam.gov.lv</dc:creator>
  <cp:lastModifiedBy>Dana Ziemele Adricka</cp:lastModifiedBy>
  <cp:revision>7</cp:revision>
  <cp:lastPrinted>2017-01-24T08:53:00Z</cp:lastPrinted>
  <dcterms:created xsi:type="dcterms:W3CDTF">2018-08-23T12:10:00Z</dcterms:created>
  <dcterms:modified xsi:type="dcterms:W3CDTF">2018-09-18T06:33:00Z</dcterms:modified>
</cp:coreProperties>
</file>