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96AF" w14:textId="77777777" w:rsidR="003E5CF7" w:rsidRPr="004839C5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521493314"/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51C68"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pielikums </w:t>
      </w:r>
    </w:p>
    <w:p w14:paraId="2323AFC3" w14:textId="0899A739" w:rsidR="0086529B" w:rsidRPr="004839C5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Informatīvajam ziņojumam </w:t>
      </w:r>
      <w:r w:rsidR="002B2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 valsts </w:t>
      </w:r>
    </w:p>
    <w:p w14:paraId="2B1A8CCE" w14:textId="77777777" w:rsidR="0086529B" w:rsidRPr="004839C5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garantēto uzturlīdzekļu izmaksu no </w:t>
      </w:r>
    </w:p>
    <w:p w14:paraId="349880D2" w14:textId="09B0E630" w:rsidR="0086529B" w:rsidRPr="004839C5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Uzturlīdzekļu garantiju fonda</w:t>
      </w:r>
      <w:r w:rsidR="002B23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</w:p>
    <w:p w14:paraId="5992C4CA" w14:textId="77777777" w:rsidR="0086529B" w:rsidRPr="004839C5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9464AD" w14:textId="77777777" w:rsidR="0086529B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p w14:paraId="4DE7453F" w14:textId="77777777" w:rsidR="0086529B" w:rsidRPr="0086529B" w:rsidRDefault="0086529B" w:rsidP="0086529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bookmarkEnd w:id="0"/>
    <w:p w14:paraId="3C585A3A" w14:textId="2175CA57" w:rsidR="003E5CF7" w:rsidRPr="004839C5" w:rsidRDefault="003E5CF7" w:rsidP="003E5CF7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Fonda administrācijas statistikas dati par laika periodu no 2015. </w:t>
      </w:r>
      <w:r w:rsidR="002B23D6" w:rsidRPr="0048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līdz</w:t>
      </w:r>
      <w:r w:rsidRPr="00483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2017. gadam</w:t>
      </w:r>
    </w:p>
    <w:p w14:paraId="248A42D5" w14:textId="77777777" w:rsidR="003E5CF7" w:rsidRPr="00E3213C" w:rsidRDefault="003E5CF7" w:rsidP="003E5CF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29E19" w14:textId="77777777" w:rsidR="003E5CF7" w:rsidRPr="004839C5" w:rsidRDefault="003E5CF7" w:rsidP="003E5CF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8122E" w14:textId="77777777" w:rsidR="00354BDB" w:rsidRPr="00E3213C" w:rsidRDefault="00354BDB" w:rsidP="003E5CF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E342C" w14:textId="77777777" w:rsidR="003E5CF7" w:rsidRPr="00E3213C" w:rsidRDefault="003E5CF7" w:rsidP="003E5CF7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1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18607161" wp14:editId="46EA49A4">
            <wp:extent cx="5380355" cy="3838575"/>
            <wp:effectExtent l="0" t="0" r="10795" b="9525"/>
            <wp:docPr id="9" name="Diagram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8F43E13" w14:textId="77777777" w:rsidR="003E5CF7" w:rsidRDefault="003E5CF7" w:rsidP="003E5C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E1A53" w14:textId="77777777" w:rsidR="003E5CF7" w:rsidRDefault="00354BDB" w:rsidP="004839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1.attēls</w:t>
      </w:r>
    </w:p>
    <w:p w14:paraId="5B449733" w14:textId="77777777" w:rsidR="003E5CF7" w:rsidRDefault="003E5CF7" w:rsidP="003E5C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97071" w14:textId="77777777" w:rsidR="003E5CF7" w:rsidRPr="00CF4D7C" w:rsidRDefault="003E5CF7" w:rsidP="003E5CF7">
      <w:r>
        <w:rPr>
          <w:noProof/>
          <w:lang w:eastAsia="lv-LV"/>
        </w:rPr>
        <w:lastRenderedPageBreak/>
        <w:drawing>
          <wp:inline distT="0" distB="0" distL="0" distR="0" wp14:anchorId="2517E349" wp14:editId="20771EAB">
            <wp:extent cx="5486400" cy="3257550"/>
            <wp:effectExtent l="0" t="0" r="0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0B94FC" w14:textId="77777777" w:rsidR="003E5CF7" w:rsidRPr="004839C5" w:rsidRDefault="00354BDB" w:rsidP="003E5CF7">
      <w:pPr>
        <w:rPr>
          <w:rFonts w:ascii="Times New Roman" w:hAnsi="Times New Roman" w:cs="Times New Roman"/>
          <w:sz w:val="24"/>
          <w:szCs w:val="24"/>
        </w:rPr>
      </w:pPr>
      <w:r w:rsidRPr="004839C5">
        <w:rPr>
          <w:rFonts w:ascii="Times New Roman" w:hAnsi="Times New Roman" w:cs="Times New Roman"/>
          <w:sz w:val="24"/>
          <w:szCs w:val="24"/>
        </w:rPr>
        <w:t>2.attēls</w:t>
      </w:r>
    </w:p>
    <w:p w14:paraId="585F8427" w14:textId="77777777" w:rsidR="00354BDB" w:rsidRDefault="00354BDB" w:rsidP="003E5CF7"/>
    <w:p w14:paraId="635DA8B4" w14:textId="77777777" w:rsidR="00354BDB" w:rsidRDefault="00354BDB" w:rsidP="003E5CF7"/>
    <w:p w14:paraId="1B1DE7BF" w14:textId="77777777" w:rsidR="003E5CF7" w:rsidRDefault="003E5CF7" w:rsidP="003E5CF7">
      <w:r>
        <w:rPr>
          <w:noProof/>
          <w:lang w:eastAsia="lv-LV"/>
        </w:rPr>
        <w:drawing>
          <wp:inline distT="0" distB="0" distL="0" distR="0" wp14:anchorId="14E053F9" wp14:editId="3DB00BFF">
            <wp:extent cx="5486400" cy="3486150"/>
            <wp:effectExtent l="0" t="0" r="0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504282" w14:textId="77777777" w:rsidR="003E5CF7" w:rsidRPr="004839C5" w:rsidRDefault="00354BDB" w:rsidP="004839C5">
      <w:pPr>
        <w:rPr>
          <w:rFonts w:ascii="Times New Roman" w:hAnsi="Times New Roman" w:cs="Times New Roman"/>
          <w:sz w:val="24"/>
          <w:szCs w:val="24"/>
        </w:rPr>
      </w:pPr>
      <w:r w:rsidRPr="004839C5">
        <w:rPr>
          <w:rFonts w:ascii="Times New Roman" w:hAnsi="Times New Roman" w:cs="Times New Roman"/>
          <w:sz w:val="24"/>
          <w:szCs w:val="24"/>
        </w:rPr>
        <w:t>3.attēls</w:t>
      </w:r>
    </w:p>
    <w:p w14:paraId="531450F0" w14:textId="77777777" w:rsidR="003E5CF7" w:rsidRDefault="003E5CF7" w:rsidP="003E5CF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D71ED9D" w14:textId="77777777" w:rsidR="003E5CF7" w:rsidRDefault="003E5CF7" w:rsidP="003E5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lastRenderedPageBreak/>
        <w:drawing>
          <wp:inline distT="0" distB="0" distL="0" distR="0" wp14:anchorId="5B605484" wp14:editId="19972B0A">
            <wp:extent cx="5448300" cy="2962275"/>
            <wp:effectExtent l="0" t="0" r="0" b="9525"/>
            <wp:docPr id="14" name="Diagram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B5857D" w14:textId="77777777" w:rsidR="003E5CF7" w:rsidRPr="004839C5" w:rsidRDefault="00354BDB" w:rsidP="00354BDB">
      <w:pPr>
        <w:rPr>
          <w:rFonts w:ascii="Times New Roman" w:hAnsi="Times New Roman" w:cs="Times New Roman"/>
          <w:sz w:val="24"/>
          <w:szCs w:val="24"/>
        </w:rPr>
      </w:pPr>
      <w:r w:rsidRPr="004839C5">
        <w:rPr>
          <w:rFonts w:ascii="Times New Roman" w:hAnsi="Times New Roman" w:cs="Times New Roman"/>
          <w:sz w:val="24"/>
          <w:szCs w:val="24"/>
        </w:rPr>
        <w:t>4.attēls</w:t>
      </w:r>
    </w:p>
    <w:p w14:paraId="1CCEE401" w14:textId="77777777" w:rsidR="00354BDB" w:rsidRDefault="00354BDB" w:rsidP="004839C5">
      <w:pPr>
        <w:rPr>
          <w:rFonts w:ascii="Times New Roman" w:hAnsi="Times New Roman" w:cs="Times New Roman"/>
          <w:b/>
          <w:sz w:val="24"/>
          <w:szCs w:val="24"/>
        </w:rPr>
      </w:pPr>
    </w:p>
    <w:p w14:paraId="480DBACD" w14:textId="77777777" w:rsidR="003E5CF7" w:rsidRPr="00B857CB" w:rsidRDefault="003E5CF7" w:rsidP="003E5CF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1C42C67" w14:textId="77777777" w:rsidR="003E5CF7" w:rsidRDefault="003E5CF7" w:rsidP="003E5CF7">
      <w:r>
        <w:rPr>
          <w:noProof/>
          <w:lang w:eastAsia="lv-LV"/>
        </w:rPr>
        <w:drawing>
          <wp:inline distT="0" distB="0" distL="0" distR="0" wp14:anchorId="575AE55D" wp14:editId="2E38436C">
            <wp:extent cx="5486400" cy="3486150"/>
            <wp:effectExtent l="0" t="0" r="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E854C4" w14:textId="77777777" w:rsidR="003E5CF7" w:rsidRDefault="00354BDB" w:rsidP="0048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5.attēls</w:t>
      </w:r>
    </w:p>
    <w:p w14:paraId="0508CBE2" w14:textId="77777777" w:rsidR="003E5CF7" w:rsidRDefault="003E5CF7" w:rsidP="003E5CF7">
      <w:pPr>
        <w:ind w:left="-284" w:right="56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CD67EC1" wp14:editId="4BC9BA42">
            <wp:extent cx="5715000" cy="3248025"/>
            <wp:effectExtent l="0" t="0" r="0" b="9525"/>
            <wp:docPr id="16" name="Diagram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824723" w14:textId="77777777" w:rsidR="003E5CF7" w:rsidRDefault="00354BDB" w:rsidP="0048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6.attēls</w:t>
      </w:r>
    </w:p>
    <w:p w14:paraId="49EFDFBB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266F6DB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4FB5178" wp14:editId="087113C2">
            <wp:extent cx="5486400" cy="3486150"/>
            <wp:effectExtent l="0" t="0" r="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18F4F2" w14:textId="77777777" w:rsidR="003E5CF7" w:rsidRDefault="00354BDB" w:rsidP="0048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7.attēls</w:t>
      </w:r>
    </w:p>
    <w:p w14:paraId="3F79A308" w14:textId="77777777" w:rsidR="003E5CF7" w:rsidRPr="00FD6C4A" w:rsidRDefault="003E5CF7" w:rsidP="003E5CF7">
      <w:pPr>
        <w:rPr>
          <w:rFonts w:ascii="Times New Roman" w:hAnsi="Times New Roman" w:cs="Times New Roman"/>
          <w:sz w:val="24"/>
          <w:szCs w:val="24"/>
        </w:rPr>
      </w:pPr>
    </w:p>
    <w:p w14:paraId="38704FCF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50F9E90" wp14:editId="7342F724">
            <wp:extent cx="5486400" cy="3486150"/>
            <wp:effectExtent l="0" t="0" r="0" b="0"/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B2933D" w14:textId="77777777" w:rsidR="003E5CF7" w:rsidRDefault="00354BDB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8.attēls</w:t>
      </w:r>
    </w:p>
    <w:p w14:paraId="28C7593D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2B736FB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B101198" wp14:editId="627FD540">
            <wp:extent cx="5486400" cy="3486150"/>
            <wp:effectExtent l="0" t="0" r="0" b="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C4E90A" w14:textId="77777777" w:rsidR="003E5CF7" w:rsidRDefault="00354BDB" w:rsidP="003E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9.attēls</w:t>
      </w:r>
    </w:p>
    <w:p w14:paraId="222D04C5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5D24DAC7" wp14:editId="69E9FF06">
            <wp:extent cx="5562600" cy="3429000"/>
            <wp:effectExtent l="0" t="0" r="0" b="0"/>
            <wp:docPr id="2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1CC5C5" w14:textId="77777777" w:rsidR="003E5CF7" w:rsidRDefault="00354BDB" w:rsidP="0048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10.attēls</w:t>
      </w:r>
    </w:p>
    <w:p w14:paraId="4EDBE5FD" w14:textId="77777777" w:rsidR="00354BDB" w:rsidRDefault="00354BDB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513096D" w14:textId="77777777" w:rsidR="003E5CF7" w:rsidRDefault="003E5CF7" w:rsidP="003E5CF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0E97740" wp14:editId="2790A592">
            <wp:extent cx="5562600" cy="3162300"/>
            <wp:effectExtent l="0" t="0" r="0" b="0"/>
            <wp:docPr id="2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5D97BB" w14:textId="77777777" w:rsidR="003E5CF7" w:rsidRDefault="00354BDB" w:rsidP="003E5C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11.attēls</w:t>
      </w:r>
    </w:p>
    <w:p w14:paraId="6F92A172" w14:textId="77777777" w:rsidR="00354BDB" w:rsidRPr="002B23D6" w:rsidRDefault="00354BDB" w:rsidP="003E5C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87B50" w14:textId="77777777" w:rsidR="003E5CF7" w:rsidRPr="002B23D6" w:rsidRDefault="003E5CF7" w:rsidP="003E5C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F914A" w14:textId="77777777" w:rsidR="003E5CF7" w:rsidRDefault="002B23D6" w:rsidP="002B23D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3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Tieslietu ministrs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54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Dzintars Rasnačs</w:t>
      </w:r>
    </w:p>
    <w:p w14:paraId="0465ACF0" w14:textId="77777777" w:rsidR="00354BDB" w:rsidRDefault="00354BDB" w:rsidP="002B23D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A819A0" w14:textId="7EC62CEF" w:rsidR="00354BDB" w:rsidRPr="004839C5" w:rsidRDefault="004839C5" w:rsidP="004839C5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839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L.Šlisere 670336839</w:t>
      </w:r>
    </w:p>
    <w:p w14:paraId="0AEBEFF0" w14:textId="77777777" w:rsidR="00D8301E" w:rsidRPr="004839C5" w:rsidRDefault="00D8301E" w:rsidP="003E5CF7">
      <w:pPr>
        <w:rPr>
          <w:sz w:val="24"/>
          <w:szCs w:val="24"/>
        </w:rPr>
      </w:pPr>
    </w:p>
    <w:sectPr w:rsidR="00D8301E" w:rsidRPr="004839C5" w:rsidSect="004839C5">
      <w:headerReference w:type="default" r:id="rId17"/>
      <w:footerReference w:type="defaul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DB4ED" w14:textId="77777777" w:rsidR="008726DD" w:rsidRDefault="008726DD" w:rsidP="008726DD">
      <w:pPr>
        <w:spacing w:after="0" w:line="240" w:lineRule="auto"/>
      </w:pPr>
      <w:r>
        <w:separator/>
      </w:r>
    </w:p>
  </w:endnote>
  <w:endnote w:type="continuationSeparator" w:id="0">
    <w:p w14:paraId="0A60FA9D" w14:textId="77777777" w:rsidR="008726DD" w:rsidRDefault="008726DD" w:rsidP="008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461F" w14:textId="519F68AE" w:rsidR="002B23D6" w:rsidRDefault="002B23D6" w:rsidP="002B23D6">
    <w:pPr>
      <w:pStyle w:val="Kjene"/>
    </w:pPr>
    <w:r w:rsidRPr="00E930A2">
      <w:rPr>
        <w:rFonts w:ascii="Times New Roman" w:hAnsi="Times New Roman" w:cs="Times New Roman"/>
        <w:sz w:val="20"/>
        <w:szCs w:val="20"/>
      </w:rPr>
      <w:fldChar w:fldCharType="begin"/>
    </w:r>
    <w:r w:rsidRPr="00E930A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930A2">
      <w:rPr>
        <w:rFonts w:ascii="Times New Roman" w:hAnsi="Times New Roman" w:cs="Times New Roman"/>
        <w:sz w:val="20"/>
        <w:szCs w:val="20"/>
      </w:rPr>
      <w:fldChar w:fldCharType="separate"/>
    </w:r>
    <w:r w:rsidR="00716C57">
      <w:rPr>
        <w:rFonts w:ascii="Times New Roman" w:hAnsi="Times New Roman" w:cs="Times New Roman"/>
        <w:noProof/>
        <w:sz w:val="20"/>
        <w:szCs w:val="20"/>
      </w:rPr>
      <w:t>TMzinp1_270818_UGFA</w:t>
    </w:r>
    <w:r w:rsidRPr="00E930A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54C6" w14:textId="6D7D4886" w:rsidR="002B23D6" w:rsidRPr="004839C5" w:rsidRDefault="004839C5" w:rsidP="004839C5">
    <w:pPr>
      <w:pStyle w:val="Kjene"/>
      <w:rPr>
        <w:rFonts w:ascii="Times New Roman" w:hAnsi="Times New Roman" w:cs="Times New Roman"/>
        <w:sz w:val="20"/>
        <w:szCs w:val="20"/>
      </w:rPr>
    </w:pPr>
    <w:r w:rsidRPr="004839C5">
      <w:rPr>
        <w:rFonts w:ascii="Times New Roman" w:hAnsi="Times New Roman" w:cs="Times New Roman"/>
        <w:sz w:val="20"/>
        <w:szCs w:val="20"/>
      </w:rPr>
      <w:fldChar w:fldCharType="begin"/>
    </w:r>
    <w:r w:rsidRPr="004839C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839C5">
      <w:rPr>
        <w:rFonts w:ascii="Times New Roman" w:hAnsi="Times New Roman" w:cs="Times New Roman"/>
        <w:sz w:val="20"/>
        <w:szCs w:val="20"/>
      </w:rPr>
      <w:fldChar w:fldCharType="separate"/>
    </w:r>
    <w:r w:rsidRPr="004839C5">
      <w:rPr>
        <w:rFonts w:ascii="Times New Roman" w:hAnsi="Times New Roman" w:cs="Times New Roman"/>
        <w:noProof/>
        <w:sz w:val="20"/>
        <w:szCs w:val="20"/>
      </w:rPr>
      <w:t>TMzinp1_270818_UGFA</w:t>
    </w:r>
    <w:r w:rsidRPr="004839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8D5A" w14:textId="77777777" w:rsidR="008726DD" w:rsidRDefault="008726DD" w:rsidP="008726DD">
      <w:pPr>
        <w:spacing w:after="0" w:line="240" w:lineRule="auto"/>
      </w:pPr>
      <w:r>
        <w:separator/>
      </w:r>
    </w:p>
  </w:footnote>
  <w:footnote w:type="continuationSeparator" w:id="0">
    <w:p w14:paraId="7163B2FA" w14:textId="77777777" w:rsidR="008726DD" w:rsidRDefault="008726DD" w:rsidP="0087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0212165"/>
      <w:docPartObj>
        <w:docPartGallery w:val="Page Numbers (Top of Page)"/>
        <w:docPartUnique/>
      </w:docPartObj>
    </w:sdtPr>
    <w:sdtEndPr/>
    <w:sdtContent>
      <w:p w14:paraId="1A8DC6EE" w14:textId="77777777" w:rsidR="002B23D6" w:rsidRPr="004839C5" w:rsidRDefault="002B23D6">
        <w:pPr>
          <w:pStyle w:val="Galvene"/>
          <w:jc w:val="center"/>
          <w:rPr>
            <w:rFonts w:ascii="Times New Roman" w:hAnsi="Times New Roman" w:cs="Times New Roman"/>
          </w:rPr>
        </w:pPr>
        <w:r w:rsidRPr="004839C5">
          <w:rPr>
            <w:rFonts w:ascii="Times New Roman" w:hAnsi="Times New Roman" w:cs="Times New Roman"/>
          </w:rPr>
          <w:fldChar w:fldCharType="begin"/>
        </w:r>
        <w:r w:rsidRPr="004839C5">
          <w:rPr>
            <w:rFonts w:ascii="Times New Roman" w:hAnsi="Times New Roman" w:cs="Times New Roman"/>
          </w:rPr>
          <w:instrText>PAGE   \* MERGEFORMAT</w:instrText>
        </w:r>
        <w:r w:rsidRPr="004839C5">
          <w:rPr>
            <w:rFonts w:ascii="Times New Roman" w:hAnsi="Times New Roman" w:cs="Times New Roman"/>
          </w:rPr>
          <w:fldChar w:fldCharType="separate"/>
        </w:r>
        <w:r w:rsidRPr="004839C5">
          <w:rPr>
            <w:rFonts w:ascii="Times New Roman" w:hAnsi="Times New Roman" w:cs="Times New Roman"/>
          </w:rPr>
          <w:t>2</w:t>
        </w:r>
        <w:r w:rsidRPr="004839C5">
          <w:rPr>
            <w:rFonts w:ascii="Times New Roman" w:hAnsi="Times New Roman" w:cs="Times New Roman"/>
          </w:rPr>
          <w:fldChar w:fldCharType="end"/>
        </w:r>
      </w:p>
    </w:sdtContent>
  </w:sdt>
  <w:p w14:paraId="4C1564BD" w14:textId="77777777" w:rsidR="008726DD" w:rsidRDefault="008726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F7"/>
    <w:rsid w:val="000854F7"/>
    <w:rsid w:val="002B23D6"/>
    <w:rsid w:val="00354BDB"/>
    <w:rsid w:val="003E5CF7"/>
    <w:rsid w:val="004839C5"/>
    <w:rsid w:val="004F0D84"/>
    <w:rsid w:val="00553E56"/>
    <w:rsid w:val="00716C57"/>
    <w:rsid w:val="007D3DF8"/>
    <w:rsid w:val="0086529B"/>
    <w:rsid w:val="008726DD"/>
    <w:rsid w:val="00D8301E"/>
    <w:rsid w:val="00E46AE9"/>
    <w:rsid w:val="00E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4FF4904"/>
  <w15:chartTrackingRefBased/>
  <w15:docId w15:val="{ED84B1FB-2FDB-4521-860C-B9567CB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5C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3E5CF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72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26DD"/>
  </w:style>
  <w:style w:type="paragraph" w:styleId="Kjene">
    <w:name w:val="footer"/>
    <w:basedOn w:val="Parasts"/>
    <w:link w:val="KjeneRakstz"/>
    <w:uiPriority w:val="99"/>
    <w:unhideWhenUsed/>
    <w:rsid w:val="00872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26DD"/>
  </w:style>
  <w:style w:type="paragraph" w:styleId="Balonteksts">
    <w:name w:val="Balloon Text"/>
    <w:basedOn w:val="Parasts"/>
    <w:link w:val="BalontekstsRakstz"/>
    <w:uiPriority w:val="99"/>
    <w:semiHidden/>
    <w:unhideWhenUsed/>
    <w:rsid w:val="002B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23D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B23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B23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B23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B23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B23D6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B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Minimālo</a:t>
            </a:r>
            <a:r>
              <a:rPr lang="lv-LV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v-LV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uzturlīdzekļu</a:t>
            </a:r>
            <a:r>
              <a:rPr lang="lv-LV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lv-LV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apmērs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6.7341281383849205E-2"/>
          <c:y val="0.10462450258233848"/>
          <c:w val="0.90669388915787152"/>
          <c:h val="0.72604234644366727"/>
        </c:manualLayout>
      </c:layout>
      <c:lineChart>
        <c:grouping val="standar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līdz 7 gadiem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Lapa1!$A$2:$A$14</c:f>
              <c:strCache>
                <c:ptCount val="11"/>
                <c:pt idx="0">
                  <c:v>2004. -2005.</c:v>
                </c:pt>
                <c:pt idx="1">
                  <c:v>2006.</c:v>
                </c:pt>
                <c:pt idx="2">
                  <c:v>2007.</c:v>
                </c:pt>
                <c:pt idx="3">
                  <c:v>2008. </c:v>
                </c:pt>
                <c:pt idx="4">
                  <c:v>2009. 2010.</c:v>
                </c:pt>
                <c:pt idx="5">
                  <c:v>2011. 2013.</c:v>
                </c:pt>
                <c:pt idx="6">
                  <c:v>2014. </c:v>
                </c:pt>
                <c:pt idx="7">
                  <c:v>2015. </c:v>
                </c:pt>
                <c:pt idx="8">
                  <c:v>2016.</c:v>
                </c:pt>
                <c:pt idx="9">
                  <c:v>2017. </c:v>
                </c:pt>
                <c:pt idx="10">
                  <c:v>2018.</c:v>
                </c:pt>
              </c:strCache>
            </c:strRef>
          </c:cat>
          <c:val>
            <c:numRef>
              <c:f>Lapa1!$B$2:$B$14</c:f>
              <c:numCache>
                <c:formatCode>General</c:formatCode>
                <c:ptCount val="11"/>
                <c:pt idx="0">
                  <c:v>28.45</c:v>
                </c:pt>
                <c:pt idx="1">
                  <c:v>32.01</c:v>
                </c:pt>
                <c:pt idx="2">
                  <c:v>42.68</c:v>
                </c:pt>
                <c:pt idx="3">
                  <c:v>56.91</c:v>
                </c:pt>
                <c:pt idx="4">
                  <c:v>64.02</c:v>
                </c:pt>
                <c:pt idx="5">
                  <c:v>71.14</c:v>
                </c:pt>
                <c:pt idx="6">
                  <c:v>80</c:v>
                </c:pt>
                <c:pt idx="7">
                  <c:v>90</c:v>
                </c:pt>
                <c:pt idx="8">
                  <c:v>92.5</c:v>
                </c:pt>
                <c:pt idx="9">
                  <c:v>95</c:v>
                </c:pt>
                <c:pt idx="10">
                  <c:v>98.9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3B-4824-9A2A-3A44FBFB3612}"/>
            </c:ext>
          </c:extLst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Pēc 7 gadiem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Lapa1!$A$2:$A$14</c:f>
              <c:strCache>
                <c:ptCount val="11"/>
                <c:pt idx="0">
                  <c:v>2004. -2005.</c:v>
                </c:pt>
                <c:pt idx="1">
                  <c:v>2006.</c:v>
                </c:pt>
                <c:pt idx="2">
                  <c:v>2007.</c:v>
                </c:pt>
                <c:pt idx="3">
                  <c:v>2008. </c:v>
                </c:pt>
                <c:pt idx="4">
                  <c:v>2009. 2010.</c:v>
                </c:pt>
                <c:pt idx="5">
                  <c:v>2011. 2013.</c:v>
                </c:pt>
                <c:pt idx="6">
                  <c:v>2014. </c:v>
                </c:pt>
                <c:pt idx="7">
                  <c:v>2015. </c:v>
                </c:pt>
                <c:pt idx="8">
                  <c:v>2016.</c:v>
                </c:pt>
                <c:pt idx="9">
                  <c:v>2017. </c:v>
                </c:pt>
                <c:pt idx="10">
                  <c:v>2018.</c:v>
                </c:pt>
              </c:strCache>
            </c:strRef>
          </c:cat>
          <c:val>
            <c:numRef>
              <c:f>Lapa1!$C$2:$C$14</c:f>
              <c:numCache>
                <c:formatCode>General</c:formatCode>
                <c:ptCount val="11"/>
                <c:pt idx="0">
                  <c:v>34.14</c:v>
                </c:pt>
                <c:pt idx="1">
                  <c:v>38.409999999999997</c:v>
                </c:pt>
                <c:pt idx="2">
                  <c:v>51.22</c:v>
                </c:pt>
                <c:pt idx="3">
                  <c:v>68.290000000000006</c:v>
                </c:pt>
                <c:pt idx="4">
                  <c:v>76.83</c:v>
                </c:pt>
                <c:pt idx="5">
                  <c:v>85.37</c:v>
                </c:pt>
                <c:pt idx="6">
                  <c:v>96</c:v>
                </c:pt>
                <c:pt idx="7">
                  <c:v>108</c:v>
                </c:pt>
                <c:pt idx="8">
                  <c:v>111</c:v>
                </c:pt>
                <c:pt idx="9">
                  <c:v>114</c:v>
                </c:pt>
                <c:pt idx="10">
                  <c:v>118.25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3B-4824-9A2A-3A44FBFB3612}"/>
            </c:ext>
          </c:extLst>
        </c:ser>
        <c:ser>
          <c:idx val="2"/>
          <c:order val="2"/>
          <c:tx>
            <c:strRef>
              <c:f>Lapa1!$D$1</c:f>
              <c:strCache>
                <c:ptCount val="1"/>
                <c:pt idx="0">
                  <c:v>Kolonna1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Lapa1!$A$2:$A$14</c:f>
              <c:strCache>
                <c:ptCount val="11"/>
                <c:pt idx="0">
                  <c:v>2004. -2005.</c:v>
                </c:pt>
                <c:pt idx="1">
                  <c:v>2006.</c:v>
                </c:pt>
                <c:pt idx="2">
                  <c:v>2007.</c:v>
                </c:pt>
                <c:pt idx="3">
                  <c:v>2008. </c:v>
                </c:pt>
                <c:pt idx="4">
                  <c:v>2009. 2010.</c:v>
                </c:pt>
                <c:pt idx="5">
                  <c:v>2011. 2013.</c:v>
                </c:pt>
                <c:pt idx="6">
                  <c:v>2014. </c:v>
                </c:pt>
                <c:pt idx="7">
                  <c:v>2015. </c:v>
                </c:pt>
                <c:pt idx="8">
                  <c:v>2016.</c:v>
                </c:pt>
                <c:pt idx="9">
                  <c:v>2017. </c:v>
                </c:pt>
                <c:pt idx="10">
                  <c:v>2018.</c:v>
                </c:pt>
              </c:strCache>
            </c:strRef>
          </c:cat>
          <c:val>
            <c:numRef>
              <c:f>Lapa1!$D$2:$D$14</c:f>
            </c:numRef>
          </c:val>
          <c:smooth val="0"/>
          <c:extLst>
            <c:ext xmlns:c16="http://schemas.microsoft.com/office/drawing/2014/chart" uri="{C3380CC4-5D6E-409C-BE32-E72D297353CC}">
              <c16:uniqueId val="{00000002-CB3B-4824-9A2A-3A44FBFB36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5196392"/>
        <c:axId val="1"/>
      </c:lineChart>
      <c:catAx>
        <c:axId val="14519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"/>
        <c:crossesAt val="10"/>
        <c:auto val="1"/>
        <c:lblAlgn val="ctr"/>
        <c:lblOffset val="100"/>
        <c:noMultiLvlLbl val="0"/>
      </c:catAx>
      <c:valAx>
        <c:axId val="1"/>
        <c:scaling>
          <c:logBase val="4"/>
          <c:orientation val="minMax"/>
          <c:max val="120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5196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Izmaksātie uzturlīdzekļi, </a:t>
            </a:r>
            <a:r>
              <a:rPr lang="lv-LV" sz="1200" b="1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euro</a:t>
            </a:r>
            <a:endParaRPr lang="lv-LV" sz="12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4506361184018663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31986779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63-42C3-8AA2-B52603F713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36412238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63-42C3-8AA2-B52603F713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41213047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63-42C3-8AA2-B52603F71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420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600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Regresa kārtībā atgūtie uzturlīdzekļi, </a:t>
            </a:r>
            <a:r>
              <a:rPr lang="lv-LV" sz="1200" b="1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euro</a:t>
            </a:r>
            <a:endParaRPr lang="lv-LV" sz="1200" b="1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36747229512977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3513413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25-4D02-B9F1-B87FCB056B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4295638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25-4D02-B9F1-B87FCB056B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8.4875562720133283E-17"/>
                  <c:y val="1.092896174863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25-4D02-B9F1-B87FCB056B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5598378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25-4D02-B9F1-B87FCB056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60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100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Saņemto iesniegumu par uzturlīdzekļu izmaksu skaits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8.4851450860309124E-2"/>
          <c:y val="0.1368421052631579"/>
          <c:w val="0.88968558617672788"/>
          <c:h val="0.72862089607220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D8-4865-AC37-6A4C82225F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D8-4865-AC37-6A4C82225F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169590643274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D8-4865-AC37-6A4C82225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11134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D8-4865-AC37-6A4C82225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1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Iesniedzēju</a:t>
            </a:r>
            <a:r>
              <a:rPr lang="lv-LV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skaits</a:t>
            </a:r>
            <a:r>
              <a:rPr lang="lv-LV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pamatojoties uz tiesas spriedumu vai vienošanos par uzturlīdzekļiem (Fonda likuma 12.pants)</a:t>
            </a:r>
          </a:p>
        </c:rich>
      </c:tx>
      <c:layout>
        <c:manualLayout>
          <c:xMode val="edge"/>
          <c:yMode val="edge"/>
          <c:x val="0.1436747229512977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20484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9-416D-9BB2-D1741555029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21899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9-416D-9BB2-D1741555029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6.9444444444444441E-3"/>
                  <c:y val="-1.0928961748633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19-416D-9BB2-D174155502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22076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19-416D-9BB2-D17415550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esniedzēju skaits 2017.gadā</a:t>
            </a: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- 25 590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Lapa1!$B$1</c:f>
              <c:strCache>
                <c:ptCount val="1"/>
                <c:pt idx="0">
                  <c:v>esniedzēju skaits 2017.gadā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80-4100-B2EA-DED8B187EB86}"/>
              </c:ext>
            </c:extLst>
          </c:dPt>
          <c:dPt>
            <c:idx val="1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80-4100-B2EA-DED8B187EB86}"/>
              </c:ext>
            </c:extLst>
          </c:dPt>
          <c:dLbls>
            <c:dLbl>
              <c:idx val="0"/>
              <c:layout>
                <c:manualLayout>
                  <c:x val="-7.3295785943423744E-2"/>
                  <c:y val="-0.259190101237345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80-4100-B2EA-DED8B187EB86}"/>
                </c:ext>
              </c:extLst>
            </c:dLbl>
            <c:dLbl>
              <c:idx val="1"/>
              <c:layout>
                <c:manualLayout>
                  <c:x val="3.2285287255759694E-2"/>
                  <c:y val="-6.4498187726534182E-3"/>
                </c:manualLayout>
              </c:layout>
              <c:tx>
                <c:rich>
                  <a:bodyPr/>
                  <a:lstStyle/>
                  <a:p>
                    <a:fld id="{EACB3E20-5A83-460A-BDF0-0D115595825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[VĒRTĪBA]</a:t>
                    </a:fld>
                    <a:endParaRPr lang="lv-L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480-4100-B2EA-DED8B187EB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Lapa1!$A$2:$A$3</c:f>
              <c:strCache>
                <c:ptCount val="2"/>
                <c:pt idx="0">
                  <c:v>Iesniedzēju skaits, pamatojoties uz tiesas spriedumu vai vienošanos par uzturlīdzekļiem</c:v>
                </c:pt>
                <c:pt idx="1">
                  <c:v>Iesniedēju skaits administratīvā procesa ietvaros</c:v>
                </c:pt>
              </c:strCache>
            </c:strRef>
          </c:cat>
          <c:val>
            <c:numRef>
              <c:f>Lapa1!$B$2:$B$3</c:f>
              <c:numCache>
                <c:formatCode>General</c:formatCode>
                <c:ptCount val="2"/>
                <c:pt idx="0">
                  <c:v>22076</c:v>
                </c:pt>
                <c:pt idx="1">
                  <c:v>3514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80-4100-B2EA-DED8B187E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Parādnieku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skaits</a:t>
            </a: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pamatojoties uz tiesas spriedumu vai vienošanos par uzturlīdzekļiem (Fonda likuma 12. pants) </a:t>
            </a:r>
          </a:p>
        </c:rich>
      </c:tx>
      <c:layout>
        <c:manualLayout>
          <c:xMode val="edge"/>
          <c:yMode val="edge"/>
          <c:x val="0.1413599081364829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30972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2-4CCE-BC01-CE5C14AA0A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33010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72-4CCE-BC01-CE5C14AA0A8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32956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72-4CCE-BC01-CE5C14AA0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Parādnieku skaits 2017.gadā</a:t>
            </a: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- 36 470 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Lapa1!$B$1</c:f>
              <c:strCache>
                <c:ptCount val="1"/>
                <c:pt idx="0">
                  <c:v>Parādnieku skaits 2017.gadā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32-43C2-9594-29DBD76A448A}"/>
              </c:ext>
            </c:extLst>
          </c:dPt>
          <c:dPt>
            <c:idx val="1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E32-43C2-9594-29DBD76A448A}"/>
              </c:ext>
            </c:extLst>
          </c:dPt>
          <c:dLbls>
            <c:dLbl>
              <c:idx val="0"/>
              <c:layout>
                <c:manualLayout>
                  <c:x val="-3.2193059200933218E-2"/>
                  <c:y val="-0.262439070116235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32-43C2-9594-29DBD76A448A}"/>
                </c:ext>
              </c:extLst>
            </c:dLbl>
            <c:dLbl>
              <c:idx val="1"/>
              <c:layout>
                <c:manualLayout>
                  <c:x val="1.9300269757946922E-2"/>
                  <c:y val="-1.2097237845269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32-43C2-9594-29DBD76A44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Lapa1!$A$2:$A$3</c:f>
              <c:strCache>
                <c:ptCount val="2"/>
                <c:pt idx="0">
                  <c:v>Parādneiku skaits, pamatojoties uz tiesas spriedumu vai vienošanos par uzturlīdzeļiem</c:v>
                </c:pt>
                <c:pt idx="1">
                  <c:v>Parādnieku skaits administratīvā procesa ietvaros</c:v>
                </c:pt>
              </c:strCache>
            </c:strRef>
          </c:cat>
          <c:val>
            <c:numRef>
              <c:f>Lapa1!$B$2:$B$3</c:f>
              <c:numCache>
                <c:formatCode>General</c:formatCode>
                <c:ptCount val="2"/>
                <c:pt idx="0">
                  <c:v>32956</c:v>
                </c:pt>
                <c:pt idx="1">
                  <c:v>3514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32-43C2-9594-29DBD76A4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Ar uzturlīdzekļiem nodrošināto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b</a:t>
            </a: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ērnu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skaits</a:t>
            </a:r>
            <a:endPara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36747229512977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32079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54-4DBD-BDE1-A92DDEC590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33934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54-4DBD-BDE1-A92DDEC590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39652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54-4DBD-BDE1-A92DDEC59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4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Lēmumi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par atteikumu izmaksāt uzturlīdzekļus</a:t>
            </a:r>
            <a:endPara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36747229512977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F-4181-BBA2-D75524739E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CF-4181-BBA2-D75524739E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CF-4181-BBA2-D75524739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Lēmumi</a:t>
            </a:r>
            <a:r>
              <a:rPr lang="lv-LV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par izmaksas izbeigšanu (pamatojoties uz tiesas spriedumu vai vienošanos par uzturlīdzekļiem), jo no parādnieka ir iespējams piedzīt uzturlīdzekļus</a:t>
            </a:r>
            <a:endPara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367472295129777"/>
          <c:y val="7.28597449908925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5-4F14-ABE1-CD71B6F2D3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05-4F14-ABE1-CD71B6F2D3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05-4F14-ABE1-CD71B6F2D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087200"/>
        <c:axId val="308088184"/>
      </c:barChart>
      <c:catAx>
        <c:axId val="3080872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088184"/>
        <c:crosses val="autoZero"/>
        <c:auto val="1"/>
        <c:lblAlgn val="ctr"/>
        <c:lblOffset val="100"/>
        <c:noMultiLvlLbl val="0"/>
      </c:catAx>
      <c:valAx>
        <c:axId val="308088184"/>
        <c:scaling>
          <c:orientation val="minMax"/>
          <c:max val="7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0808720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Fonda administrācijas statistikas dati par laika periodu no 2015. līdz 2017. gadam</vt:lpstr>
    </vt:vector>
  </TitlesOfParts>
  <Company>Tieslietu ministrija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 administrācijas statistikas dati par laika periodu no 2015. līdz 2017. gadam</dc:title>
  <dc:subject>1.pielikums informatīvajam ziņojumam</dc:subject>
  <dc:creator>Inita Ilgaža</dc:creator>
  <cp:keywords/>
  <dc:description>Lelde.Slisere@tm.gov.lv</dc:description>
  <cp:lastModifiedBy>Ilze Brazauska</cp:lastModifiedBy>
  <cp:revision>2</cp:revision>
  <dcterms:created xsi:type="dcterms:W3CDTF">2018-08-28T09:07:00Z</dcterms:created>
  <dcterms:modified xsi:type="dcterms:W3CDTF">2018-08-28T09:07:00Z</dcterms:modified>
</cp:coreProperties>
</file>