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259CE" w:rsidP="00BD5588" w14:paraId="51CF5695" w14:textId="77777777">
      <w:pPr>
        <w:shd w:val="clear" w:color="auto" w:fill="FFFFFF"/>
        <w:spacing w:before="130" w:line="260" w:lineRule="exact"/>
        <w:jc w:val="center"/>
        <w:rPr>
          <w:b/>
          <w:bCs/>
        </w:rPr>
      </w:pPr>
    </w:p>
    <w:p w:rsidR="00BD5588" w:rsidRPr="00C828DB" w:rsidP="00BD5588" w14:paraId="3A2FB4D2" w14:textId="30ECDEF4">
      <w:pPr>
        <w:shd w:val="clear" w:color="auto" w:fill="FFFFFF"/>
        <w:spacing w:before="130" w:line="260" w:lineRule="exact"/>
        <w:jc w:val="center"/>
        <w:rPr>
          <w:b/>
          <w:bCs/>
        </w:rPr>
      </w:pPr>
      <w:r w:rsidRPr="00C828DB">
        <w:rPr>
          <w:b/>
          <w:bCs/>
        </w:rPr>
        <w:t>Ministru kabineta noteikumu projekta  “Otrreizējo izejvielu uzskaites kārtība”</w:t>
      </w:r>
      <w:r w:rsidRPr="00C828DB">
        <w:rPr>
          <w:b/>
          <w:bCs/>
        </w:rPr>
        <w:t xml:space="preserve"> sākotnējās ietekmes novērtējuma ziņojums (anotācija)</w:t>
      </w:r>
    </w:p>
    <w:p w:rsidR="00E259CE" w:rsidRPr="00C828DB" w:rsidP="00BD5588" w14:paraId="71688551" w14:textId="77777777">
      <w:pPr>
        <w:shd w:val="clear" w:color="auto" w:fill="FFFFFF"/>
        <w:spacing w:before="130" w:line="260" w:lineRule="exact"/>
        <w:jc w:val="center"/>
        <w:rPr>
          <w:b/>
          <w:bCs/>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2123"/>
        <w:gridCol w:w="6909"/>
      </w:tblGrid>
      <w:tr w14:paraId="48A41DC0" w14:textId="77777777" w:rsidTr="0004424F">
        <w:tblPrEx>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5000" w:type="pct"/>
            <w:gridSpan w:val="2"/>
            <w:vAlign w:val="center"/>
            <w:hideMark/>
          </w:tcPr>
          <w:p w:rsidR="00FA7915" w:rsidRPr="00C828DB" w:rsidP="001957D4" w14:paraId="4C35D7C9" w14:textId="77777777">
            <w:pPr>
              <w:jc w:val="center"/>
              <w:rPr>
                <w:b/>
                <w:bCs/>
              </w:rPr>
            </w:pPr>
            <w:r w:rsidRPr="00C828DB">
              <w:rPr>
                <w:b/>
                <w:bCs/>
              </w:rPr>
              <w:t>Tiesību akta projekta anotācijas kopsavilkums</w:t>
            </w:r>
          </w:p>
        </w:tc>
      </w:tr>
      <w:tr w14:paraId="7AC42A2C" w14:textId="77777777" w:rsidTr="0004424F">
        <w:tblPrEx>
          <w:tblW w:w="4984" w:type="pct"/>
          <w:tblLayout w:type="fixed"/>
          <w:tblCellMar>
            <w:top w:w="30" w:type="dxa"/>
            <w:left w:w="30" w:type="dxa"/>
            <w:bottom w:w="30" w:type="dxa"/>
            <w:right w:w="30" w:type="dxa"/>
          </w:tblCellMar>
          <w:tblLook w:val="04A0"/>
        </w:tblPrEx>
        <w:trPr>
          <w:cantSplit/>
          <w:trHeight w:val="325"/>
        </w:trPr>
        <w:tc>
          <w:tcPr>
            <w:tcW w:w="1175" w:type="pct"/>
          </w:tcPr>
          <w:p w:rsidR="00DF1FFA" w:rsidRPr="00C828DB" w:rsidP="00681267" w14:paraId="1FC63E11" w14:textId="4EFE1BFB">
            <w:pPr>
              <w:jc w:val="both"/>
            </w:pPr>
            <w:r>
              <w:t>Mērķis, risinājums un projekta spēkā stāšanās laiks (500 zīmes bez atstarpēm)</w:t>
            </w:r>
          </w:p>
        </w:tc>
        <w:tc>
          <w:tcPr>
            <w:tcW w:w="3825" w:type="pct"/>
          </w:tcPr>
          <w:p w:rsidR="00DF1FFA" w:rsidRPr="00C828DB" w:rsidP="00DF1FFA" w14:paraId="1347CDBF" w14:textId="77777777">
            <w:pPr>
              <w:jc w:val="both"/>
            </w:pPr>
            <w:r w:rsidRPr="00C828DB">
              <w:t xml:space="preserve">2018. gada 1. janvārī ir stājušies spēkā </w:t>
            </w:r>
            <w:r>
              <w:t>Atkritumu apsaimniekošanas likuma</w:t>
            </w:r>
            <w:r w:rsidRPr="00C828DB">
              <w:t xml:space="preserve"> grozījumi, kas paredz, ka otrreizējās izejvielas</w:t>
            </w:r>
            <w:r>
              <w:t xml:space="preserve">, kas </w:t>
            </w:r>
            <w:r w:rsidRPr="00C828DB">
              <w:t>tiek uzglabātas ilgāk par vienu gadu no saražošanas brīž</w:t>
            </w:r>
            <w:r>
              <w:t>a ir uzskatāmas par atkritumiem.</w:t>
            </w:r>
          </w:p>
          <w:p w:rsidR="00DF1FFA" w:rsidP="00DF1FFA" w14:paraId="44ACDB5F" w14:textId="77777777">
            <w:pPr>
              <w:jc w:val="both"/>
            </w:pPr>
          </w:p>
          <w:p w:rsidR="00DF1FFA" w:rsidRPr="00C828DB" w:rsidP="00DF1FFA" w14:paraId="3668B430" w14:textId="45EBA92A">
            <w:pPr>
              <w:jc w:val="both"/>
            </w:pPr>
            <w:r w:rsidRPr="00C828DB">
              <w:t xml:space="preserve">Ministru kabineta noteikumu projekts </w:t>
            </w:r>
            <w:r>
              <w:t xml:space="preserve">“Otrreizējo izejvielu uzskaites kārtība” </w:t>
            </w:r>
            <w:r w:rsidRPr="00C828DB">
              <w:t>(</w:t>
            </w:r>
            <w:r w:rsidRPr="00977185">
              <w:t>turpmāk – noteikumu projekts)</w:t>
            </w:r>
            <w:r>
              <w:t xml:space="preserve"> </w:t>
            </w:r>
            <w:r w:rsidRPr="00C828DB">
              <w:t>uzli</w:t>
            </w:r>
            <w:r>
              <w:t>ek</w:t>
            </w:r>
            <w:r w:rsidRPr="00C828DB">
              <w:t xml:space="preserve"> par pienākumu </w:t>
            </w:r>
            <w:r>
              <w:t>atkritumu apsaimniekotājiem</w:t>
            </w:r>
            <w:r w:rsidRPr="00C828DB">
              <w:t>, kuri no atkritumiem ražo otrreizējās izej</w:t>
            </w:r>
            <w:r>
              <w:t>vielas, nodrošināt to uzskaiti.</w:t>
            </w:r>
          </w:p>
          <w:p w:rsidR="00DF1FFA" w:rsidP="00DF1FFA" w14:paraId="69D565C2" w14:textId="77777777">
            <w:pPr>
              <w:jc w:val="both"/>
            </w:pPr>
          </w:p>
          <w:p w:rsidR="00DF1FFA" w:rsidRPr="00C828DB" w:rsidP="00681267" w14:paraId="5B161F85" w14:textId="3AA2A54A">
            <w:pPr>
              <w:jc w:val="both"/>
            </w:pPr>
            <w:r>
              <w:t>Noteikumu projekts paredz otrreizējo izejvielu uzglabāšanas un realizācijas uzskaites žurnāla ieviešanu, vienreizējas otrreizējo izejvielu inventarizācijas veikšanu, kā arī informācijas sniegšanas pienākumu atkritumu apsaimniekošanas jomas kontrolējošai institūcijai.</w:t>
            </w:r>
          </w:p>
        </w:tc>
      </w:tr>
    </w:tbl>
    <w:p w:rsidR="00FA7915" w:rsidRPr="00C828DB" w:rsidP="00FA7915" w14:paraId="0689B0C3" w14:textId="77777777">
      <w:pPr>
        <w:shd w:val="clear" w:color="auto" w:fill="FFFFFF"/>
        <w:spacing w:before="130" w:line="260" w:lineRule="exact"/>
        <w:rPr>
          <w:b/>
          <w:bCs/>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5"/>
        <w:gridCol w:w="2681"/>
        <w:gridCol w:w="5786"/>
      </w:tblGrid>
      <w:tr w14:paraId="2E9B0484" w14:textId="77777777" w:rsidTr="00144D04">
        <w:tblPrEx>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828DB" w:rsidP="001957D4" w14:paraId="14CD9A09" w14:textId="77777777">
            <w:pPr>
              <w:jc w:val="center"/>
              <w:rPr>
                <w:b/>
                <w:bCs/>
              </w:rPr>
            </w:pPr>
            <w:r w:rsidRPr="00C828DB">
              <w:rPr>
                <w:b/>
                <w:bCs/>
              </w:rPr>
              <w:t>I. Tiesību akta projekta izstrādes nepieciešamība</w:t>
            </w:r>
          </w:p>
        </w:tc>
      </w:tr>
      <w:tr w14:paraId="41822FA0" w14:textId="77777777" w:rsidTr="00144D04">
        <w:tblPrEx>
          <w:tblW w:w="4984" w:type="pct"/>
          <w:tblCellMar>
            <w:top w:w="30" w:type="dxa"/>
            <w:left w:w="30" w:type="dxa"/>
            <w:bottom w:w="30" w:type="dxa"/>
            <w:right w:w="30" w:type="dxa"/>
          </w:tblCellMar>
          <w:tblLook w:val="04A0"/>
        </w:tblPrEx>
        <w:tc>
          <w:tcPr>
            <w:tcW w:w="313" w:type="pct"/>
            <w:hideMark/>
          </w:tcPr>
          <w:p w:rsidR="00BD5588" w:rsidRPr="00C828DB" w:rsidP="001957D4" w14:paraId="0C090D1B" w14:textId="77777777">
            <w:pPr>
              <w:jc w:val="center"/>
            </w:pPr>
            <w:r w:rsidRPr="00C828DB">
              <w:t>1.</w:t>
            </w:r>
          </w:p>
        </w:tc>
        <w:tc>
          <w:tcPr>
            <w:tcW w:w="1484" w:type="pct"/>
            <w:hideMark/>
          </w:tcPr>
          <w:p w:rsidR="00BD5588" w:rsidRPr="00C828DB" w:rsidP="001957D4" w14:paraId="52486D6B" w14:textId="77777777">
            <w:r w:rsidRPr="00C828DB">
              <w:t>Pamatojums</w:t>
            </w:r>
          </w:p>
        </w:tc>
        <w:tc>
          <w:tcPr>
            <w:tcW w:w="3204" w:type="pct"/>
            <w:hideMark/>
          </w:tcPr>
          <w:p w:rsidR="002144C2" w:rsidRPr="00C828DB" w:rsidP="00616FD4" w14:paraId="271DE90C" w14:textId="0FA199F7">
            <w:pPr>
              <w:jc w:val="both"/>
              <w:rPr>
                <w:szCs w:val="28"/>
              </w:rPr>
            </w:pPr>
            <w:r w:rsidRPr="00C828DB">
              <w:rPr>
                <w:szCs w:val="28"/>
              </w:rPr>
              <w:t xml:space="preserve">Atkritumu apsaimniekošanas likuma </w:t>
            </w:r>
            <w:r w:rsidRPr="00C828DB" w:rsidR="00F71B63">
              <w:rPr>
                <w:szCs w:val="28"/>
              </w:rPr>
              <w:t xml:space="preserve">(turpmāk – AAL) </w:t>
            </w:r>
            <w:r w:rsidRPr="00C828DB">
              <w:rPr>
                <w:szCs w:val="28"/>
              </w:rPr>
              <w:t>4.</w:t>
            </w:r>
            <w:r w:rsidRPr="00C828DB" w:rsidR="008617F0">
              <w:rPr>
                <w:szCs w:val="28"/>
              </w:rPr>
              <w:t> </w:t>
            </w:r>
            <w:r w:rsidRPr="00C828DB">
              <w:rPr>
                <w:szCs w:val="28"/>
              </w:rPr>
              <w:t>panta ceturtā daļa</w:t>
            </w:r>
          </w:p>
        </w:tc>
      </w:tr>
      <w:tr w14:paraId="09947061" w14:textId="77777777" w:rsidTr="00144D04">
        <w:tblPrEx>
          <w:tblW w:w="4984" w:type="pct"/>
          <w:tblCellMar>
            <w:top w:w="30" w:type="dxa"/>
            <w:left w:w="30" w:type="dxa"/>
            <w:bottom w:w="30" w:type="dxa"/>
            <w:right w:w="30" w:type="dxa"/>
          </w:tblCellMar>
          <w:tblLook w:val="04A0"/>
        </w:tblPrEx>
        <w:tc>
          <w:tcPr>
            <w:tcW w:w="313" w:type="pct"/>
          </w:tcPr>
          <w:p w:rsidR="00144D04" w:rsidRPr="00C828DB" w:rsidP="001957D4" w14:paraId="5F82AB85" w14:textId="1EA7DD5B">
            <w:pPr>
              <w:jc w:val="center"/>
            </w:pPr>
            <w:r w:rsidRPr="00C828DB">
              <w:t>2</w:t>
            </w:r>
          </w:p>
        </w:tc>
        <w:tc>
          <w:tcPr>
            <w:tcW w:w="1484" w:type="pct"/>
          </w:tcPr>
          <w:p w:rsidR="00144D04" w:rsidRPr="00C828DB" w:rsidP="001957D4" w14:paraId="32FAE668" w14:textId="2B1C999C">
            <w:r w:rsidRPr="00C828DB">
              <w:t>Pašreizējā situācija un problēmas, kuru risināšanai tiesību akta projekts izstrādāts, tiesiskā regulējuma mērķis un būtība</w:t>
            </w:r>
          </w:p>
        </w:tc>
        <w:tc>
          <w:tcPr>
            <w:tcW w:w="3204" w:type="pct"/>
          </w:tcPr>
          <w:p w:rsidR="00144D04" w:rsidRPr="00C828DB" w:rsidP="00144D04" w14:paraId="478CD3C1" w14:textId="10B0CA65">
            <w:pPr>
              <w:jc w:val="both"/>
            </w:pPr>
            <w:r w:rsidRPr="00C828DB">
              <w:t xml:space="preserve">2018. gada 1. janvārī ir stājušies spēkā AAL grozījumi, kas paredz, ka otrreizējās izejvielas, ja tās bez tālākas realizācijas tiek uzglabātas ilgāk par vienu gadu no </w:t>
            </w:r>
            <w:r w:rsidRPr="00C828DB" w:rsidR="00BB5BA1">
              <w:t>saražošanas</w:t>
            </w:r>
            <w:r w:rsidRPr="00C828DB">
              <w:t xml:space="preserve"> brīža</w:t>
            </w:r>
            <w:r w:rsidR="00E05CC1">
              <w:t>,</w:t>
            </w:r>
            <w:r w:rsidRPr="00C828DB">
              <w:t xml:space="preserve"> ir uzskatāmas par atkritumiem un apsaimniekojamas atbilstoši AAL prasībām.</w:t>
            </w:r>
          </w:p>
          <w:p w:rsidR="00144D04" w:rsidRPr="00C828DB" w:rsidP="00144D04" w14:paraId="00A47041" w14:textId="77777777">
            <w:pPr>
              <w:jc w:val="both"/>
            </w:pPr>
          </w:p>
          <w:p w:rsidR="00144D04" w:rsidRPr="00977185" w:rsidP="00144D04" w14:paraId="3F73189F" w14:textId="7259E77F">
            <w:pPr>
              <w:jc w:val="both"/>
            </w:pPr>
            <w:r>
              <w:t>Noteikumu projekts</w:t>
            </w:r>
            <w:r w:rsidRPr="00977185">
              <w:t xml:space="preserve"> nosaka vienotu kārtību, kādā Latvijā tiek veikta no atkritumiem </w:t>
            </w:r>
            <w:r w:rsidRPr="00977185" w:rsidR="00BB5BA1">
              <w:t>saražotu</w:t>
            </w:r>
            <w:r w:rsidRPr="00977185">
              <w:t xml:space="preserve"> otrreizējo izejvielu uzskaite. Tādējādi tiks nodrošināta iespēja kontrolēt </w:t>
            </w:r>
            <w:r w:rsidRPr="00977185" w:rsidR="00DE4721">
              <w:t>materiālu, kas tiek dēvēti par otrreizējām izejvielām,</w:t>
            </w:r>
            <w:r w:rsidRPr="00977185">
              <w:t xml:space="preserve"> pre</w:t>
            </w:r>
            <w:r w:rsidRPr="00977185" w:rsidR="00BB5BA1">
              <w:t>tlikumīgi ilgu</w:t>
            </w:r>
            <w:r w:rsidRPr="00977185">
              <w:t xml:space="preserve"> uzglabāšanu</w:t>
            </w:r>
            <w:r w:rsidRPr="00977185" w:rsidR="00BB5BA1">
              <w:t>.</w:t>
            </w:r>
          </w:p>
          <w:p w:rsidR="00144D04" w:rsidRPr="00977185" w:rsidP="00144D04" w14:paraId="3D846FA5" w14:textId="77777777">
            <w:pPr>
              <w:jc w:val="both"/>
            </w:pPr>
          </w:p>
          <w:p w:rsidR="00144D04" w:rsidRPr="00977185" w:rsidP="00144D04" w14:paraId="1CBBD0C1" w14:textId="77777777">
            <w:pPr>
              <w:jc w:val="both"/>
            </w:pPr>
            <w:r w:rsidRPr="00977185">
              <w:t>Noteikumu projekts pilnveidos atkritumu apsaimniekošanas sistēmu, nosakot kārtību AAL ietverto prasību īstenošanai, otrreizējo izejvielu plūsmas izsekojamībai, kā arī ļaus kontrolēt neatbilstoši ilglaicīgu otrreizējo izejvielu uzglabāšanu.</w:t>
            </w:r>
          </w:p>
          <w:p w:rsidR="00144D04" w:rsidRPr="00977185" w:rsidP="00144D04" w14:paraId="6C443E59" w14:textId="77777777">
            <w:pPr>
              <w:jc w:val="both"/>
            </w:pPr>
          </w:p>
          <w:p w:rsidR="00144D04" w:rsidRPr="00977185" w:rsidP="00144D04" w14:paraId="1118CC0E" w14:textId="1F74C163">
            <w:pPr>
              <w:jc w:val="both"/>
            </w:pPr>
            <w:r w:rsidRPr="00977185">
              <w:t xml:space="preserve">Noteikumu projekta būtība ir uzlikt par pienākumu </w:t>
            </w:r>
            <w:r w:rsidRPr="00977185" w:rsidR="00E05CC1">
              <w:t>atkritumu apsaimniekotājiem</w:t>
            </w:r>
            <w:r w:rsidRPr="00977185">
              <w:t xml:space="preserve">, kuri no atkritumiem </w:t>
            </w:r>
            <w:r w:rsidRPr="00977185" w:rsidR="00BB5BA1">
              <w:t>ražo</w:t>
            </w:r>
            <w:r w:rsidRPr="00977185">
              <w:t xml:space="preserve"> otrreizējās izejvielas</w:t>
            </w:r>
            <w:r w:rsidRPr="00977185" w:rsidR="00E05CC1">
              <w:t xml:space="preserve"> (turpmāk – apsaimniekotājs)</w:t>
            </w:r>
            <w:r w:rsidRPr="00977185">
              <w:t xml:space="preserve">, nodrošināt to uzskaiti, ar mērķi </w:t>
            </w:r>
            <w:r w:rsidRPr="00977185" w:rsidR="00BB5BA1">
              <w:t>veikt</w:t>
            </w:r>
            <w:r w:rsidRPr="00977185">
              <w:t xml:space="preserve"> otrreizējo izejvielu uzglabāšanas ilguma kontroli. </w:t>
            </w:r>
          </w:p>
          <w:p w:rsidR="00144D04" w:rsidRPr="00977185" w:rsidP="00144D04" w14:paraId="7F58E1F7" w14:textId="77777777">
            <w:pPr>
              <w:jc w:val="both"/>
            </w:pPr>
          </w:p>
          <w:p w:rsidR="00144D04" w:rsidRPr="00977185" w:rsidP="00144D04" w14:paraId="0FE1B95E" w14:textId="5D2BAAB6">
            <w:pPr>
              <w:jc w:val="both"/>
            </w:pPr>
            <w:r w:rsidRPr="00977185">
              <w:t xml:space="preserve">Šobrīd ir konstatētas situācijas, kad </w:t>
            </w:r>
            <w:r w:rsidRPr="00977185" w:rsidR="00E05CC1">
              <w:t xml:space="preserve">atkritumu apsaimniekotāji </w:t>
            </w:r>
            <w:r w:rsidRPr="00977185">
              <w:t xml:space="preserve">ilgstoši </w:t>
            </w:r>
            <w:r w:rsidRPr="00977185" w:rsidR="008C34F0">
              <w:t xml:space="preserve">uzglabā no atkritumiem saražotus </w:t>
            </w:r>
            <w:r w:rsidRPr="00977185" w:rsidR="008C34F0">
              <w:t>materiālus dēvējot tos par otrreizējām izejvielām, šos materiālus</w:t>
            </w:r>
            <w:r w:rsidRPr="00977185">
              <w:t xml:space="preserve"> tā arī nerealizē</w:t>
            </w:r>
            <w:r w:rsidRPr="00977185" w:rsidR="008C34F0">
              <w:t>jot, bet arī neapsaimniekojot to</w:t>
            </w:r>
            <w:r w:rsidRPr="00977185">
              <w:t xml:space="preserve">s kā atkritumus. </w:t>
            </w:r>
          </w:p>
          <w:p w:rsidR="00144D04" w:rsidRPr="00977185" w:rsidP="00144D04" w14:paraId="61910FB5" w14:textId="77777777">
            <w:pPr>
              <w:jc w:val="both"/>
            </w:pPr>
          </w:p>
          <w:p w:rsidR="008C34F0" w:rsidRPr="00977185" w:rsidP="00616FD4" w14:paraId="0CBEF8D5" w14:textId="640A689D">
            <w:pPr>
              <w:jc w:val="both"/>
              <w:rPr>
                <w:color w:val="000000"/>
                <w:shd w:val="clear" w:color="auto" w:fill="FFFFFF"/>
              </w:rPr>
            </w:pPr>
            <w:r w:rsidRPr="00977185">
              <w:rPr>
                <w:color w:val="000000"/>
                <w:shd w:val="clear" w:color="auto" w:fill="FFFFFF"/>
              </w:rPr>
              <w:t xml:space="preserve">Noteikumu projektā minēto prasību rezultātā </w:t>
            </w:r>
            <w:r w:rsidRPr="00977185" w:rsidR="00E05CC1">
              <w:rPr>
                <w:color w:val="000000"/>
                <w:shd w:val="clear" w:color="auto" w:fill="FFFFFF"/>
              </w:rPr>
              <w:t>atkritumu apsaimniekotājiem tiek noteikts</w:t>
            </w:r>
            <w:r w:rsidRPr="00977185">
              <w:rPr>
                <w:color w:val="000000"/>
                <w:shd w:val="clear" w:color="auto" w:fill="FFFFFF"/>
              </w:rPr>
              <w:t xml:space="preserve"> pienākums reģistrēt saražotās otrreizējās izejvielas</w:t>
            </w:r>
            <w:r w:rsidRPr="00977185" w:rsidR="00125DEB">
              <w:rPr>
                <w:color w:val="000000"/>
                <w:shd w:val="clear" w:color="auto" w:fill="FFFFFF"/>
              </w:rPr>
              <w:t xml:space="preserve"> otrreizējo izejvielu uzglabāšanas un realizācijas uzskaites žurnālā (turpmāk – žurnāls)</w:t>
            </w:r>
            <w:r w:rsidRPr="00977185">
              <w:rPr>
                <w:color w:val="000000"/>
                <w:shd w:val="clear" w:color="auto" w:fill="FFFFFF"/>
              </w:rPr>
              <w:t xml:space="preserve"> – datumu, kad tās tikušas novietotas uzglabāšanai pirms realizācijas, kā arī realizācijas datumu. </w:t>
            </w:r>
            <w:r w:rsidRPr="00977185" w:rsidR="00125DEB">
              <w:rPr>
                <w:color w:val="000000"/>
                <w:shd w:val="clear" w:color="auto" w:fill="FFFFFF"/>
              </w:rPr>
              <w:t xml:space="preserve">Tāpat, lai nodrošinātu konkrēto izejvielu </w:t>
            </w:r>
            <w:r w:rsidRPr="00977185" w:rsidR="008874BA">
              <w:rPr>
                <w:color w:val="000000"/>
                <w:shd w:val="clear" w:color="auto" w:fill="FFFFFF"/>
              </w:rPr>
              <w:t xml:space="preserve">uzglabāšanas un realizācijas </w:t>
            </w:r>
            <w:r w:rsidRPr="00977185" w:rsidR="00125DEB">
              <w:rPr>
                <w:color w:val="000000"/>
                <w:shd w:val="clear" w:color="auto" w:fill="FFFFFF"/>
              </w:rPr>
              <w:t>izsekojamību, komersantam būs nepieciešams nodrošināt otrreizējo izejvielu identificēšanas iespējas, piešķirot k</w:t>
            </w:r>
            <w:r w:rsidRPr="00977185" w:rsidR="00DE4721">
              <w:rPr>
                <w:color w:val="000000"/>
                <w:shd w:val="clear" w:color="auto" w:fill="FFFFFF"/>
              </w:rPr>
              <w:t>atrai uzglabāšanā novietotai un</w:t>
            </w:r>
            <w:r w:rsidRPr="00977185" w:rsidR="00125DEB">
              <w:rPr>
                <w:color w:val="000000"/>
                <w:shd w:val="clear" w:color="auto" w:fill="FFFFFF"/>
              </w:rPr>
              <w:t xml:space="preserve"> realizētai partijai identifikācijas numuru, kurš tiks ievadīts arī žurnālā. Identifikācijas veidu komersants var izvēlēties brīvi – tas var būt gan svītru kods, gan kvadrātkods (QR kods), gan brīvi piešķirts identifikācijas numurs</w:t>
            </w:r>
            <w:r w:rsidRPr="00977185" w:rsidR="00E05CC1">
              <w:rPr>
                <w:color w:val="000000"/>
                <w:shd w:val="clear" w:color="auto" w:fill="FFFFFF"/>
              </w:rPr>
              <w:t>, ar nosacījumu, ka konkrētā izejvielu partija ir identificējama</w:t>
            </w:r>
            <w:r w:rsidRPr="00977185" w:rsidR="00AA5BFE">
              <w:rPr>
                <w:color w:val="000000"/>
                <w:shd w:val="clear" w:color="auto" w:fill="FFFFFF"/>
              </w:rPr>
              <w:t>, kas ļaus atkritumu jomas kontrolējošai institūcijai, Valsts vides dienestam (turpmāk – VVD) veikt nepieciešamos kontroles pasākumus</w:t>
            </w:r>
            <w:r w:rsidRPr="00977185" w:rsidR="008874BA">
              <w:rPr>
                <w:color w:val="000000"/>
                <w:shd w:val="clear" w:color="auto" w:fill="FFFFFF"/>
              </w:rPr>
              <w:t xml:space="preserve">. </w:t>
            </w:r>
            <w:r w:rsidRPr="00977185">
              <w:rPr>
                <w:color w:val="000000"/>
                <w:shd w:val="clear" w:color="auto" w:fill="FFFFFF"/>
              </w:rPr>
              <w:t xml:space="preserve">Piemēram, </w:t>
            </w:r>
            <w:r w:rsidRPr="00977185">
              <w:t>šobrīd praksē konstatētas situācijas, kad komersanti lielā apjomā</w:t>
            </w:r>
            <w:r w:rsidRPr="00977185" w:rsidR="00AA5BFE">
              <w:t>, neatbilstošos apstākļos</w:t>
            </w:r>
            <w:r w:rsidRPr="00977185">
              <w:t xml:space="preserve"> ilgstoši uzglabā sasmalcinātas</w:t>
            </w:r>
            <w:r w:rsidRPr="00977185" w:rsidR="00894D46">
              <w:t xml:space="preserve">, presētas </w:t>
            </w:r>
            <w:r w:rsidRPr="00977185">
              <w:t>vai vesel</w:t>
            </w:r>
            <w:r w:rsidRPr="00977185" w:rsidR="002336EB">
              <w:t>a</w:t>
            </w:r>
            <w:r w:rsidRPr="00977185">
              <w:t xml:space="preserve">s nolietotas riepas, </w:t>
            </w:r>
            <w:r w:rsidRPr="00977185" w:rsidR="00DE4721">
              <w:t xml:space="preserve">nepamatoti </w:t>
            </w:r>
            <w:r w:rsidRPr="00977185">
              <w:t>dēvējot tās par otrreizējām izejvielām, tādējādi radot draudus ne tikai videi, bet arī cilvēku veselībai un drošībai, piemēram, šo riepu aizdegšanās gadījumā.</w:t>
            </w:r>
            <w:r w:rsidRPr="00977185">
              <w:rPr>
                <w:color w:val="000000"/>
                <w:shd w:val="clear" w:color="auto" w:fill="FFFFFF"/>
              </w:rPr>
              <w:t xml:space="preserve"> </w:t>
            </w:r>
            <w:r w:rsidRPr="00977185" w:rsidR="00AA5BFE">
              <w:rPr>
                <w:color w:val="000000"/>
                <w:shd w:val="clear" w:color="auto" w:fill="FFFFFF"/>
              </w:rPr>
              <w:t xml:space="preserve">Noteikumu projekts kompleksā ar </w:t>
            </w:r>
            <w:r w:rsidRPr="00C357E5" w:rsidR="00AA5BFE">
              <w:rPr>
                <w:color w:val="000000"/>
                <w:shd w:val="clear" w:color="auto" w:fill="FFFFFF"/>
              </w:rPr>
              <w:t>Vides aizsardzības un reģionālās attīstības ministrijas</w:t>
            </w:r>
            <w:r w:rsidRPr="00977185" w:rsidR="00AA5BFE">
              <w:rPr>
                <w:color w:val="000000"/>
                <w:shd w:val="clear" w:color="auto" w:fill="FFFFFF"/>
              </w:rPr>
              <w:t xml:space="preserve"> </w:t>
            </w:r>
            <w:r w:rsidR="00C357E5">
              <w:rPr>
                <w:color w:val="000000"/>
                <w:shd w:val="clear" w:color="auto" w:fill="FFFFFF"/>
              </w:rPr>
              <w:t xml:space="preserve">(turpmāk – VARAM) </w:t>
            </w:r>
            <w:r w:rsidRPr="00977185" w:rsidR="00AA5BFE">
              <w:rPr>
                <w:color w:val="000000"/>
                <w:shd w:val="clear" w:color="auto" w:fill="FFFFFF"/>
              </w:rPr>
              <w:t>izstrādāto Ministru kabineta noteikumu projektu “Kārtība atkritumu statusa piemērošanas izbeigšanai gumijas materiāliem, kas iegūti no nolietotām riepām”, kurā noteikti kritēriji tam, kādus no nolietotām riepām iegūtus materiālus ir pamatoti uzskatīt par otrreizējām izejvielām, risinās šo problēmu. T</w:t>
            </w:r>
            <w:r w:rsidRPr="00977185" w:rsidR="0044232B">
              <w:rPr>
                <w:color w:val="000000"/>
                <w:shd w:val="clear" w:color="auto" w:fill="FFFFFF"/>
              </w:rPr>
              <w:t xml:space="preserve">āpat </w:t>
            </w:r>
            <w:r w:rsidRPr="00977185" w:rsidR="00AA5BFE">
              <w:rPr>
                <w:color w:val="000000"/>
                <w:shd w:val="clear" w:color="auto" w:fill="FFFFFF"/>
              </w:rPr>
              <w:t>šobrīd tiek gatavots arī Ministru kabineta noteikumu projekts, kurā noteikti kritēriji otrreizējām izejvielām, kas iegūtas no koksnes iepakojuma, tāpat iespēju robežās īsākā laikā plānots izstrādāt arī citiem atkritumu veidiem atkritumu statusa izbeigšanas kritērijus, kas būs par pamatu rīkoties ar no atkritumiem iegūtiem materiāliem kā ar otrreizējām izejvielām.</w:t>
            </w:r>
          </w:p>
          <w:p w:rsidR="008C34F0" w:rsidRPr="00977185" w:rsidP="00616FD4" w14:paraId="1EDA5883" w14:textId="77777777">
            <w:pPr>
              <w:jc w:val="both"/>
              <w:rPr>
                <w:color w:val="000000"/>
                <w:shd w:val="clear" w:color="auto" w:fill="FFFFFF"/>
              </w:rPr>
            </w:pPr>
          </w:p>
          <w:p w:rsidR="00144D04" w:rsidRPr="00977185" w:rsidP="00616FD4" w14:paraId="69790916" w14:textId="79309F83">
            <w:pPr>
              <w:jc w:val="both"/>
            </w:pPr>
            <w:r w:rsidRPr="00977185">
              <w:rPr>
                <w:color w:val="000000"/>
                <w:shd w:val="clear" w:color="auto" w:fill="FFFFFF"/>
              </w:rPr>
              <w:t xml:space="preserve">Tāpat arī, veicot atbilstošus kontroles pasākumus, tiks būtiski ierobežota to </w:t>
            </w:r>
            <w:r w:rsidRPr="00977185" w:rsidR="00AA5BFE">
              <w:rPr>
                <w:color w:val="000000"/>
                <w:shd w:val="clear" w:color="auto" w:fill="FFFFFF"/>
              </w:rPr>
              <w:t xml:space="preserve">apsaimniekotāju </w:t>
            </w:r>
            <w:r w:rsidRPr="00977185">
              <w:rPr>
                <w:color w:val="000000"/>
                <w:shd w:val="clear" w:color="auto" w:fill="FFFFFF"/>
              </w:rPr>
              <w:t xml:space="preserve">darbība, kas šobrīd darbojas atkritumu apsaimniekošanas “pelēkajā zonā”, kā arī liegta iespēja </w:t>
            </w:r>
            <w:r w:rsidRPr="00977185" w:rsidR="00AA5BFE">
              <w:rPr>
                <w:color w:val="000000"/>
                <w:shd w:val="clear" w:color="auto" w:fill="FFFFFF"/>
              </w:rPr>
              <w:t xml:space="preserve">apsaimniekotājiem </w:t>
            </w:r>
            <w:r w:rsidRPr="00977185">
              <w:rPr>
                <w:color w:val="000000"/>
                <w:shd w:val="clear" w:color="auto" w:fill="FFFFFF"/>
              </w:rPr>
              <w:t>spekulēt ar terminu “otrreizējās izejvielas”, kas kopumā uzlabos atkritumu apsaimniekošanas sistēmu un sekmēs vides kvalitāti.</w:t>
            </w:r>
            <w:r w:rsidRPr="00977185" w:rsidR="00BB5BA1">
              <w:rPr>
                <w:color w:val="000000"/>
                <w:shd w:val="clear" w:color="auto" w:fill="FFFFFF"/>
              </w:rPr>
              <w:t xml:space="preserve"> </w:t>
            </w:r>
          </w:p>
          <w:p w:rsidR="00BB5BA1" w:rsidRPr="00977185" w:rsidP="00616FD4" w14:paraId="4CE60F4F" w14:textId="77777777">
            <w:pPr>
              <w:jc w:val="both"/>
            </w:pPr>
          </w:p>
          <w:p w:rsidR="00BB5BA1" w:rsidRPr="00977185" w:rsidP="008C34F0" w14:paraId="27231213" w14:textId="0CABDDFB">
            <w:pPr>
              <w:jc w:val="both"/>
              <w:rPr>
                <w:szCs w:val="28"/>
              </w:rPr>
            </w:pPr>
            <w:r w:rsidRPr="00977185">
              <w:t>Lai nodrošinātu atkritumu apsaimniekošanas jomas kontrolējošo institūciju</w:t>
            </w:r>
            <w:r w:rsidRPr="00977185" w:rsidR="00470466">
              <w:t xml:space="preserve"> VVD </w:t>
            </w:r>
            <w:r w:rsidRPr="00977185">
              <w:t xml:space="preserve">ar pilnīgu informāciju par </w:t>
            </w:r>
            <w:r w:rsidRPr="00977185" w:rsidR="00AA5BFE">
              <w:t xml:space="preserve">apsaimniekotājam </w:t>
            </w:r>
            <w:r w:rsidRPr="00977185">
              <w:t>esošajiem materiāliem, kuri</w:t>
            </w:r>
            <w:r w:rsidRPr="00977185" w:rsidR="00DD7257">
              <w:t xml:space="preserve">em </w:t>
            </w:r>
            <w:r w:rsidRPr="00977185" w:rsidR="00DE4721">
              <w:t xml:space="preserve">saskaņā </w:t>
            </w:r>
            <w:r w:rsidRPr="00977185" w:rsidR="00DE4721">
              <w:t xml:space="preserve">ar AAL </w:t>
            </w:r>
            <w:r w:rsidRPr="00977185" w:rsidR="00DD7257">
              <w:t xml:space="preserve">piemērojama </w:t>
            </w:r>
            <w:r w:rsidRPr="00977185" w:rsidR="00C828DB">
              <w:t xml:space="preserve">otrreizējo izejvielu </w:t>
            </w:r>
            <w:r w:rsidRPr="00977185" w:rsidR="00DD7257">
              <w:t>definīcija</w:t>
            </w:r>
            <w:r w:rsidRPr="00977185">
              <w:t>, n</w:t>
            </w:r>
            <w:r w:rsidRPr="00977185">
              <w:t xml:space="preserve">oteikumu projekts paredz, ka </w:t>
            </w:r>
            <w:r w:rsidRPr="00977185" w:rsidR="00AA5BFE">
              <w:rPr>
                <w:szCs w:val="28"/>
              </w:rPr>
              <w:t>apsaimniekotājs</w:t>
            </w:r>
            <w:r w:rsidRPr="00977185">
              <w:rPr>
                <w:szCs w:val="28"/>
              </w:rPr>
              <w:t xml:space="preserve">, kurš no atkritumiem ražo otrreizējās izejvielas, trīs mēnešu laikā pēc noteikumu projekta spēkā stāšanās dienas veic to </w:t>
            </w:r>
            <w:r w:rsidRPr="00977185">
              <w:rPr>
                <w:szCs w:val="28"/>
              </w:rPr>
              <w:t>materiālu (</w:t>
            </w:r>
            <w:r w:rsidRPr="00977185">
              <w:rPr>
                <w:szCs w:val="28"/>
              </w:rPr>
              <w:t>otrreizējo izejvielu</w:t>
            </w:r>
            <w:r w:rsidRPr="00977185">
              <w:rPr>
                <w:szCs w:val="28"/>
              </w:rPr>
              <w:t>) inventarizāciju, kuri saražoti</w:t>
            </w:r>
            <w:r w:rsidRPr="00977185">
              <w:rPr>
                <w:szCs w:val="28"/>
              </w:rPr>
              <w:t xml:space="preserve"> pirms šo noteikum</w:t>
            </w:r>
            <w:r w:rsidRPr="00977185">
              <w:rPr>
                <w:szCs w:val="28"/>
              </w:rPr>
              <w:t>u spēkā stāšanās dienas un kuri nav realizēti</w:t>
            </w:r>
            <w:r w:rsidRPr="00977185">
              <w:rPr>
                <w:szCs w:val="28"/>
              </w:rPr>
              <w:t xml:space="preserve"> uz i</w:t>
            </w:r>
            <w:r w:rsidRPr="00977185">
              <w:rPr>
                <w:szCs w:val="28"/>
              </w:rPr>
              <w:t>nventarizācijas veikšanas brīdi.</w:t>
            </w:r>
            <w:r w:rsidRPr="00977185" w:rsidR="00894D46">
              <w:rPr>
                <w:szCs w:val="28"/>
              </w:rPr>
              <w:t xml:space="preserve"> Inventarizācijai jāietver visi materiāli, kurus komersant</w:t>
            </w:r>
            <w:r w:rsidRPr="00977185" w:rsidR="000A0C73">
              <w:rPr>
                <w:szCs w:val="28"/>
              </w:rPr>
              <w:t>s ir saražojis no atkritumiem iegūstot</w:t>
            </w:r>
            <w:r w:rsidRPr="00977185" w:rsidR="00894D46">
              <w:rPr>
                <w:szCs w:val="28"/>
              </w:rPr>
              <w:t xml:space="preserve"> otrreizējās izejvielas</w:t>
            </w:r>
            <w:r w:rsidRPr="00977185" w:rsidR="000A0C73">
              <w:rPr>
                <w:szCs w:val="28"/>
              </w:rPr>
              <w:t>, un kuri vēl nav realizēti</w:t>
            </w:r>
            <w:r w:rsidRPr="00977185" w:rsidR="00894D46">
              <w:rPr>
                <w:szCs w:val="28"/>
              </w:rPr>
              <w:t xml:space="preserve">.  </w:t>
            </w:r>
            <w:r w:rsidRPr="00977185" w:rsidR="000A0C73">
              <w:rPr>
                <w:szCs w:val="28"/>
              </w:rPr>
              <w:t xml:space="preserve">Atbilstoši AAL 4. panta </w:t>
            </w:r>
            <w:r w:rsidR="00C357E5">
              <w:rPr>
                <w:szCs w:val="28"/>
              </w:rPr>
              <w:t>ceturtajai</w:t>
            </w:r>
            <w:r w:rsidRPr="00977185" w:rsidR="000A0C73">
              <w:rPr>
                <w:szCs w:val="28"/>
              </w:rPr>
              <w:t xml:space="preserve"> daļai, visas otrreizējās izejvielas, kuras nerealizē un uzglabā ilgāk par vienu gadu no saražošanas brīža, tiek uzskatītas par atkritumiem. Ņemot vērā, ka precīzs otrreizējo izejvielu ražošanas datums ne vienmēr varētu būt </w:t>
            </w:r>
            <w:r w:rsidRPr="00977185" w:rsidR="00AA5BFE">
              <w:rPr>
                <w:szCs w:val="28"/>
              </w:rPr>
              <w:t>dokumentēts</w:t>
            </w:r>
            <w:r w:rsidRPr="00977185" w:rsidR="000A0C73">
              <w:rPr>
                <w:szCs w:val="28"/>
              </w:rPr>
              <w:t xml:space="preserve">, noteikumu projekts paredz, ka tās izejvielas, kuras atkritumu apsaimniekotājs jau ir saražojis pirms noteikumu projekta spēkā stāšanās dienas, vienu gadu </w:t>
            </w:r>
            <w:r w:rsidRPr="00977185" w:rsidR="00894D46">
              <w:rPr>
                <w:szCs w:val="28"/>
              </w:rPr>
              <w:t>no inventarizācijas veikšanas brīža tiek uzskat</w:t>
            </w:r>
            <w:r w:rsidRPr="00977185" w:rsidR="000A0C73">
              <w:rPr>
                <w:szCs w:val="28"/>
              </w:rPr>
              <w:t>ītas</w:t>
            </w:r>
            <w:r w:rsidRPr="00977185" w:rsidR="00894D46">
              <w:rPr>
                <w:szCs w:val="28"/>
              </w:rPr>
              <w:t xml:space="preserve"> par otrreizējām izejvielām, </w:t>
            </w:r>
            <w:r w:rsidRPr="00977185" w:rsidR="000A0C73">
              <w:rPr>
                <w:szCs w:val="28"/>
              </w:rPr>
              <w:t>bet, ja tās netiek realizētas</w:t>
            </w:r>
            <w:r w:rsidRPr="00977185" w:rsidR="00E259CE">
              <w:rPr>
                <w:szCs w:val="28"/>
              </w:rPr>
              <w:t xml:space="preserve"> gada laikā</w:t>
            </w:r>
            <w:r w:rsidRPr="00977185" w:rsidR="000A0C73">
              <w:rPr>
                <w:szCs w:val="28"/>
              </w:rPr>
              <w:t xml:space="preserve">, tad </w:t>
            </w:r>
            <w:r w:rsidRPr="00977185" w:rsidR="00894D46">
              <w:rPr>
                <w:szCs w:val="28"/>
              </w:rPr>
              <w:t>zaudē šo statusu un kļūst par atkritumiem atbilstoši AAL</w:t>
            </w:r>
            <w:r w:rsidR="0004424F">
              <w:rPr>
                <w:szCs w:val="28"/>
              </w:rPr>
              <w:t xml:space="preserve"> 4. panta ceturtajai daļai</w:t>
            </w:r>
            <w:r w:rsidRPr="00977185" w:rsidR="000A0C73">
              <w:rPr>
                <w:szCs w:val="28"/>
              </w:rPr>
              <w:t xml:space="preserve">. </w:t>
            </w:r>
            <w:r w:rsidRPr="00977185">
              <w:rPr>
                <w:szCs w:val="28"/>
              </w:rPr>
              <w:t xml:space="preserve">Par inventarizācijas rezultātiem </w:t>
            </w:r>
            <w:r w:rsidRPr="00977185" w:rsidR="00AA5BFE">
              <w:rPr>
                <w:szCs w:val="28"/>
              </w:rPr>
              <w:t xml:space="preserve">apsaimniekotājs </w:t>
            </w:r>
            <w:r w:rsidRPr="00977185">
              <w:rPr>
                <w:szCs w:val="28"/>
              </w:rPr>
              <w:t>sastāda inventarizācijas akt</w:t>
            </w:r>
            <w:r w:rsidRPr="00977185" w:rsidR="00DD7257">
              <w:rPr>
                <w:szCs w:val="28"/>
              </w:rPr>
              <w:t>u</w:t>
            </w:r>
            <w:r w:rsidRPr="00977185">
              <w:rPr>
                <w:szCs w:val="28"/>
              </w:rPr>
              <w:t xml:space="preserve">. </w:t>
            </w:r>
            <w:r w:rsidRPr="00977185" w:rsidR="00B01424">
              <w:rPr>
                <w:szCs w:val="28"/>
              </w:rPr>
              <w:t xml:space="preserve">Aktā tiek iekļauta informācija par inventarizācijas veikšanas datumu, otrreizējo izejvielu saražošanas datumu, otrreizējo izejvielu identifikācijas datiem un apjomu. </w:t>
            </w:r>
            <w:r w:rsidRPr="00977185">
              <w:rPr>
                <w:szCs w:val="28"/>
              </w:rPr>
              <w:t xml:space="preserve">Aktu par inventarizācijas rezultātiem komersants 10 darba dienu laikā pēc sastādīšanas nosūta uz </w:t>
            </w:r>
            <w:r w:rsidRPr="00977185" w:rsidR="00470466">
              <w:rPr>
                <w:szCs w:val="28"/>
              </w:rPr>
              <w:t>VVD</w:t>
            </w:r>
            <w:r w:rsidRPr="00977185">
              <w:rPr>
                <w:szCs w:val="28"/>
              </w:rPr>
              <w:t xml:space="preserve"> oficiālo elektroniskā pasta adresi.</w:t>
            </w:r>
          </w:p>
          <w:p w:rsidR="008C34F0" w:rsidRPr="00977185" w:rsidP="008C34F0" w14:paraId="07792452" w14:textId="77777777">
            <w:pPr>
              <w:jc w:val="both"/>
              <w:rPr>
                <w:szCs w:val="28"/>
              </w:rPr>
            </w:pPr>
          </w:p>
          <w:p w:rsidR="008C34F0" w:rsidRPr="00977185" w:rsidP="00DE4721" w14:paraId="69B02291" w14:textId="17C53BC8">
            <w:pPr>
              <w:jc w:val="both"/>
              <w:rPr>
                <w:szCs w:val="28"/>
              </w:rPr>
            </w:pPr>
            <w:r w:rsidRPr="00977185">
              <w:rPr>
                <w:szCs w:val="28"/>
              </w:rPr>
              <w:t xml:space="preserve">Tāpat arī noteikumu projekts paredz par pienākumu </w:t>
            </w:r>
            <w:r w:rsidRPr="00977185" w:rsidR="006D0809">
              <w:rPr>
                <w:szCs w:val="28"/>
              </w:rPr>
              <w:t xml:space="preserve">apsaimniekotājam </w:t>
            </w:r>
            <w:r w:rsidRPr="00977185">
              <w:rPr>
                <w:szCs w:val="28"/>
              </w:rPr>
              <w:t xml:space="preserve">reizi ceturksnī, </w:t>
            </w:r>
            <w:r w:rsidRPr="00977185" w:rsidR="00DE4721">
              <w:rPr>
                <w:szCs w:val="28"/>
              </w:rPr>
              <w:t xml:space="preserve">t.i. </w:t>
            </w:r>
            <w:r w:rsidRPr="00977185" w:rsidR="00470466">
              <w:rPr>
                <w:szCs w:val="28"/>
              </w:rPr>
              <w:t xml:space="preserve">līdz kārtējā gada 20. janvārim, 20. aprīlim, 20. jūlijam un 20. oktobrim nosūtīt uz VVD oficiālo elektroniskā pasta adresi izrakstu ar visiem iepriekšējā ceturkšņa otrreizējo izejvielu uzglabāšanas un realizācijas uzskaites žurnāla ierakstiem, tādējādi pārbaudes </w:t>
            </w:r>
            <w:r w:rsidRPr="00977185" w:rsidR="00DD7257">
              <w:rPr>
                <w:szCs w:val="28"/>
              </w:rPr>
              <w:t xml:space="preserve">laikā </w:t>
            </w:r>
            <w:r w:rsidRPr="00977185" w:rsidR="00470466">
              <w:rPr>
                <w:szCs w:val="28"/>
              </w:rPr>
              <w:t xml:space="preserve">nodrošinot VVD iespēju </w:t>
            </w:r>
            <w:r w:rsidRPr="00977185" w:rsidR="00DD7257">
              <w:rPr>
                <w:szCs w:val="28"/>
              </w:rPr>
              <w:t xml:space="preserve">izsekot </w:t>
            </w:r>
            <w:r w:rsidRPr="00977185" w:rsidR="00470466">
              <w:rPr>
                <w:szCs w:val="28"/>
              </w:rPr>
              <w:t>un salīdzināt žurnāla ierakstus</w:t>
            </w:r>
            <w:r w:rsidRPr="00977185" w:rsidR="00DD7257">
              <w:rPr>
                <w:szCs w:val="28"/>
              </w:rPr>
              <w:t xml:space="preserve"> ar </w:t>
            </w:r>
            <w:r w:rsidRPr="00977185" w:rsidR="00DE4721">
              <w:rPr>
                <w:szCs w:val="28"/>
              </w:rPr>
              <w:t>faktisko</w:t>
            </w:r>
            <w:r w:rsidRPr="00977185" w:rsidR="00DD7257">
              <w:rPr>
                <w:szCs w:val="28"/>
              </w:rPr>
              <w:t xml:space="preserve"> situāciju</w:t>
            </w:r>
            <w:r w:rsidRPr="00977185" w:rsidR="00470466">
              <w:rPr>
                <w:szCs w:val="28"/>
              </w:rPr>
              <w:t>.</w:t>
            </w:r>
            <w:r w:rsidRPr="00977185" w:rsidR="00DE4721">
              <w:rPr>
                <w:szCs w:val="28"/>
              </w:rPr>
              <w:t xml:space="preserve"> VVD pieņem zināšanai iesniegto informāciju un pārbaudes gadījumā salīdzina žurnāla ierakstus ar iepriekš </w:t>
            </w:r>
            <w:r w:rsidRPr="00977185" w:rsidR="006D0809">
              <w:rPr>
                <w:szCs w:val="28"/>
              </w:rPr>
              <w:t xml:space="preserve">apsaimniekotāja </w:t>
            </w:r>
            <w:r w:rsidRPr="00977185" w:rsidR="00DE4721">
              <w:rPr>
                <w:szCs w:val="28"/>
              </w:rPr>
              <w:t>sniegto informāciju, tādējādi pārliecinoties par to, ka ieraksti žurnālā nav tikuši grozīti.</w:t>
            </w:r>
          </w:p>
          <w:p w:rsidR="001D7205" w:rsidRPr="00977185" w:rsidP="00DE4721" w14:paraId="252AF2B6" w14:textId="77777777">
            <w:pPr>
              <w:jc w:val="both"/>
              <w:rPr>
                <w:szCs w:val="28"/>
              </w:rPr>
            </w:pPr>
          </w:p>
          <w:p w:rsidR="001D7205" w:rsidRPr="00977185" w:rsidP="006D0809" w14:paraId="71780E37" w14:textId="77777777">
            <w:pPr>
              <w:jc w:val="both"/>
              <w:rPr>
                <w:szCs w:val="28"/>
              </w:rPr>
            </w:pPr>
            <w:r w:rsidRPr="00977185">
              <w:rPr>
                <w:szCs w:val="28"/>
              </w:rPr>
              <w:t xml:space="preserve">Tāpat tiek paredzēts, ka </w:t>
            </w:r>
            <w:r w:rsidRPr="00977185" w:rsidR="006D0809">
              <w:rPr>
                <w:szCs w:val="28"/>
              </w:rPr>
              <w:t>apsaimniekotājs</w:t>
            </w:r>
            <w:r w:rsidRPr="00977185">
              <w:rPr>
                <w:szCs w:val="28"/>
              </w:rPr>
              <w:t xml:space="preserve"> uzrāda žurnālu un inventarizācijas aktu pēc pieprasījuma 10 darba dienu laikā atkritumu jomas kompetentajām institūcijām, t.i. VVD un VARAM.</w:t>
            </w:r>
          </w:p>
          <w:p w:rsidR="00603E9D" w:rsidRPr="00977185" w:rsidP="006D0809" w14:paraId="25C64CC4" w14:textId="77777777">
            <w:pPr>
              <w:jc w:val="both"/>
              <w:rPr>
                <w:szCs w:val="28"/>
              </w:rPr>
            </w:pPr>
          </w:p>
          <w:p w:rsidR="00DF40F7" w:rsidRPr="00977185" w:rsidP="00DF40F7" w14:paraId="33F71452" w14:textId="683B7531">
            <w:pPr>
              <w:jc w:val="both"/>
              <w:rPr>
                <w:szCs w:val="28"/>
              </w:rPr>
            </w:pPr>
            <w:r w:rsidRPr="00977185">
              <w:rPr>
                <w:szCs w:val="28"/>
              </w:rPr>
              <w:t xml:space="preserve">Papildus skaidrojam, ka, atbilstoši praksē konstatētajam, problēmas ar ilgstošu, neatbilstošu otrreizējo izejvielu uzglabāšanu ir konstatētas to apsaimniekotāju vidū, kuri paši ražo otrreizējās izejvielas, piemēram, riepu mehāniskas pārstrādes ceļā vai kuri iegūst atkritumus, šajā gadījumā nolietotas riepas, un nepamatoti dēvē tās par otrreizējām </w:t>
            </w:r>
            <w:r w:rsidRPr="00977185">
              <w:rPr>
                <w:szCs w:val="28"/>
              </w:rPr>
              <w:t>izejvielām, lai gan nekādas pārstrādes darbības ar tām nav tikušas veiktas. Noteikumu projekta mērķis ir dokumentēt otrreizējo izejvielu uzglabāšanas ilgumu</w:t>
            </w:r>
            <w:r w:rsidR="0004424F">
              <w:rPr>
                <w:szCs w:val="28"/>
              </w:rPr>
              <w:t>.</w:t>
            </w:r>
            <w:r w:rsidRPr="00977185">
              <w:rPr>
                <w:szCs w:val="28"/>
              </w:rPr>
              <w:t xml:space="preserve"> </w:t>
            </w:r>
            <w:r w:rsidR="0004424F">
              <w:rPr>
                <w:szCs w:val="28"/>
              </w:rPr>
              <w:t>T</w:t>
            </w:r>
            <w:r w:rsidRPr="00977185">
              <w:rPr>
                <w:szCs w:val="28"/>
              </w:rPr>
              <w:t xml:space="preserve">as </w:t>
            </w:r>
            <w:r w:rsidR="0004424F">
              <w:rPr>
                <w:szCs w:val="28"/>
              </w:rPr>
              <w:t xml:space="preserve">kalpos par apliecinājumu </w:t>
            </w:r>
            <w:r w:rsidRPr="00977185">
              <w:rPr>
                <w:szCs w:val="28"/>
              </w:rPr>
              <w:t>AAL 4. panta ceturtās daļas nosacījuma</w:t>
            </w:r>
            <w:r w:rsidR="0004424F">
              <w:rPr>
                <w:szCs w:val="28"/>
              </w:rPr>
              <w:t xml:space="preserve"> izpildei.</w:t>
            </w:r>
            <w:r w:rsidRPr="00977185">
              <w:rPr>
                <w:szCs w:val="28"/>
              </w:rPr>
              <w:t xml:space="preserve"> </w:t>
            </w:r>
            <w:r w:rsidR="0004424F">
              <w:rPr>
                <w:szCs w:val="28"/>
              </w:rPr>
              <w:t>Minētais pants ietver sekojošu nosacījumu:</w:t>
            </w:r>
            <w:r w:rsidRPr="00977185">
              <w:rPr>
                <w:szCs w:val="28"/>
              </w:rPr>
              <w:t xml:space="preserve"> ja otrreizējās izejvielas nerealizē un uzglabā ilgāk par vienu gadu no saražošanas brīža, tās uzskatāmas par atkritumiem.</w:t>
            </w:r>
          </w:p>
          <w:p w:rsidR="00DF40F7" w:rsidRPr="00977185" w:rsidP="00DF40F7" w14:paraId="4EB77A21" w14:textId="77777777">
            <w:pPr>
              <w:jc w:val="both"/>
              <w:rPr>
                <w:szCs w:val="28"/>
              </w:rPr>
            </w:pPr>
          </w:p>
          <w:p w:rsidR="00DF40F7" w:rsidRPr="00603E9D" w:rsidP="00BE6EE9" w14:paraId="5E65FC7F" w14:textId="338D764A">
            <w:pPr>
              <w:jc w:val="both"/>
              <w:rPr>
                <w:b/>
                <w:szCs w:val="28"/>
              </w:rPr>
            </w:pPr>
            <w:r w:rsidRPr="00977185">
              <w:rPr>
                <w:szCs w:val="28"/>
              </w:rPr>
              <w:t xml:space="preserve">Papildus vēršam uzmanību, ka VARAM šobrīd izstrādā </w:t>
            </w:r>
            <w:r w:rsidR="00BE6EE9">
              <w:rPr>
                <w:szCs w:val="28"/>
              </w:rPr>
              <w:t>M</w:t>
            </w:r>
            <w:bookmarkStart w:id="0" w:name="_GoBack"/>
            <w:bookmarkEnd w:id="0"/>
            <w:r w:rsidRPr="00977185">
              <w:rPr>
                <w:szCs w:val="28"/>
              </w:rPr>
              <w:t xml:space="preserve">inistru kabineta noteikumu projektu “Grozījumi Ministru kabineta 2011. gada 13. septembra noteikumos Nr. 703 “Noteikumi par atkritumu apsaimniekošanas atļaujas izsniegšanas un anulēšanas kārtību, atkritumu tirgotāju un atkritumu apsaimniekošanas starpnieku reģistrācijas kārtību, kā arī par valsts nodevu un tās maksāšanas kārtību””, kas noteiks, ka </w:t>
            </w:r>
            <w:r w:rsidRPr="00977185" w:rsidR="00E259CE">
              <w:rPr>
                <w:szCs w:val="28"/>
              </w:rPr>
              <w:t>komersanti, kuri nodarbojas ar otrreizējo izejvielu iegādi vai pārdošanu,</w:t>
            </w:r>
            <w:r w:rsidRPr="00977185" w:rsidR="002C0DD3">
              <w:rPr>
                <w:szCs w:val="28"/>
              </w:rPr>
              <w:t xml:space="preserve"> </w:t>
            </w:r>
            <w:r w:rsidRPr="00977185">
              <w:rPr>
                <w:szCs w:val="28"/>
              </w:rPr>
              <w:t>ik ceturksni iesniedz atkritumu jomas kontrolējošai institūcijai VVD pārskatu par noslēgtajiem līgumiem un veiktajiem darījumiem par iepriekšējo ceturksni, norādot realizēto otrreizējo izejvielu veidu, apjomu un saņēmēju, līdz ar to šis noteikumu projekts nosaka informācijas sniegšanas un uzskaites pienākumu komersantiem, kuri otrreizējās izejvielas iegādājas, nevis ražo.</w:t>
            </w:r>
          </w:p>
        </w:tc>
      </w:tr>
      <w:tr w14:paraId="2B2583B9" w14:textId="77777777" w:rsidTr="00144D04">
        <w:tblPrEx>
          <w:tblW w:w="4984" w:type="pct"/>
          <w:tblCellMar>
            <w:top w:w="30" w:type="dxa"/>
            <w:left w:w="30" w:type="dxa"/>
            <w:bottom w:w="30" w:type="dxa"/>
            <w:right w:w="30" w:type="dxa"/>
          </w:tblCellMar>
          <w:tblLook w:val="04A0"/>
        </w:tblPrEx>
        <w:trPr>
          <w:cantSplit/>
        </w:trPr>
        <w:tc>
          <w:tcPr>
            <w:tcW w:w="313" w:type="pct"/>
            <w:hideMark/>
          </w:tcPr>
          <w:p w:rsidR="00BD5588" w:rsidRPr="00C828DB" w:rsidP="001957D4" w14:paraId="77DE65A0" w14:textId="39D63EC7">
            <w:pPr>
              <w:jc w:val="center"/>
            </w:pPr>
            <w:r w:rsidRPr="00C828DB">
              <w:t>3.</w:t>
            </w:r>
          </w:p>
        </w:tc>
        <w:tc>
          <w:tcPr>
            <w:tcW w:w="1484" w:type="pct"/>
            <w:hideMark/>
          </w:tcPr>
          <w:p w:rsidR="00BD5588" w:rsidRPr="00C828DB" w:rsidP="001957D4" w14:paraId="29ED997F" w14:textId="77777777">
            <w:r w:rsidRPr="00C828DB">
              <w:t>Projekta izstrādē iesaistītās institūcijas un publiskas personas kapitālsabiedrības</w:t>
            </w:r>
          </w:p>
        </w:tc>
        <w:tc>
          <w:tcPr>
            <w:tcW w:w="3204" w:type="pct"/>
            <w:hideMark/>
          </w:tcPr>
          <w:p w:rsidR="00BD5588" w:rsidRPr="00C828DB" w:rsidP="00470466" w14:paraId="1B26660B" w14:textId="1B9C5B51">
            <w:r>
              <w:t>VARAM</w:t>
            </w:r>
            <w:r w:rsidRPr="00C828DB" w:rsidR="00616FD4">
              <w:t xml:space="preserve">, </w:t>
            </w:r>
            <w:r w:rsidRPr="00C828DB" w:rsidR="00470466">
              <w:t>VVD</w:t>
            </w:r>
            <w:r w:rsidRPr="00C828DB" w:rsidR="00C66CBC">
              <w:t>.</w:t>
            </w:r>
          </w:p>
        </w:tc>
      </w:tr>
      <w:tr w14:paraId="2CFCA199" w14:textId="77777777" w:rsidTr="00144D04">
        <w:tblPrEx>
          <w:tblW w:w="4984" w:type="pct"/>
          <w:tblCellMar>
            <w:top w:w="30" w:type="dxa"/>
            <w:left w:w="30" w:type="dxa"/>
            <w:bottom w:w="30" w:type="dxa"/>
            <w:right w:w="30" w:type="dxa"/>
          </w:tblCellMar>
          <w:tblLook w:val="04A0"/>
        </w:tblPrEx>
        <w:trPr>
          <w:cantSplit/>
        </w:trPr>
        <w:tc>
          <w:tcPr>
            <w:tcW w:w="313" w:type="pct"/>
            <w:hideMark/>
          </w:tcPr>
          <w:p w:rsidR="00BD5588" w:rsidRPr="00C828DB" w:rsidP="001957D4" w14:paraId="593B0DDF" w14:textId="77777777">
            <w:pPr>
              <w:jc w:val="center"/>
            </w:pPr>
            <w:r w:rsidRPr="00C828DB">
              <w:t>4.</w:t>
            </w:r>
          </w:p>
        </w:tc>
        <w:tc>
          <w:tcPr>
            <w:tcW w:w="1484" w:type="pct"/>
            <w:hideMark/>
          </w:tcPr>
          <w:p w:rsidR="00BD5588" w:rsidRPr="00C828DB" w:rsidP="001957D4" w14:paraId="499010A8" w14:textId="77777777">
            <w:r w:rsidRPr="00C828DB">
              <w:t>Cita informācija</w:t>
            </w:r>
          </w:p>
        </w:tc>
        <w:tc>
          <w:tcPr>
            <w:tcW w:w="3204" w:type="pct"/>
            <w:hideMark/>
          </w:tcPr>
          <w:p w:rsidR="00BD5588" w:rsidRPr="00C828DB" w:rsidP="001957D4" w14:paraId="36DBE568" w14:textId="6FAC68C6">
            <w:r w:rsidRPr="00C828DB">
              <w:t>Nav</w:t>
            </w:r>
            <w:r w:rsidRPr="00C828DB" w:rsidR="00C66CBC">
              <w:t>.</w:t>
            </w:r>
          </w:p>
        </w:tc>
      </w:tr>
    </w:tbl>
    <w:p w:rsidR="00BD5588" w:rsidP="00BD5588" w14:paraId="72D023C0" w14:textId="77777777">
      <w:pPr>
        <w:pStyle w:val="Title"/>
        <w:spacing w:before="130" w:line="260" w:lineRule="exact"/>
        <w:ind w:firstLine="539"/>
        <w:jc w:val="both"/>
        <w:rPr>
          <w:sz w:val="24"/>
          <w:szCs w:val="24"/>
        </w:rPr>
      </w:pPr>
    </w:p>
    <w:p w:rsidR="00E259CE" w:rsidRPr="00C828DB" w:rsidP="00BD5588" w14:paraId="45087B21" w14:textId="77777777">
      <w:pPr>
        <w:pStyle w:val="Title"/>
        <w:spacing w:before="130" w:line="260" w:lineRule="exact"/>
        <w:ind w:firstLine="539"/>
        <w:jc w:val="both"/>
        <w:rPr>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5"/>
        <w:gridCol w:w="2681"/>
        <w:gridCol w:w="5786"/>
      </w:tblGrid>
      <w:tr w14:paraId="1685A97F" w14:textId="77777777" w:rsidTr="00144D04">
        <w:tblPrEx>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828DB" w:rsidP="001957D4" w14:paraId="35F86D4B" w14:textId="77777777">
            <w:pPr>
              <w:jc w:val="center"/>
              <w:rPr>
                <w:b/>
                <w:bCs/>
              </w:rPr>
            </w:pPr>
            <w:r w:rsidRPr="00C828DB">
              <w:rPr>
                <w:b/>
                <w:bCs/>
              </w:rPr>
              <w:t>II. Tiesību akta projekta ietekme uz sabiedrību, tautsaimniecības attīstību un administratīvo slogu</w:t>
            </w:r>
          </w:p>
        </w:tc>
      </w:tr>
      <w:tr w14:paraId="23C7E230" w14:textId="77777777" w:rsidTr="00F26FF0">
        <w:tblPrEx>
          <w:tblW w:w="4984" w:type="pct"/>
          <w:tblCellMar>
            <w:top w:w="30" w:type="dxa"/>
            <w:left w:w="30" w:type="dxa"/>
            <w:bottom w:w="30" w:type="dxa"/>
            <w:right w:w="30" w:type="dxa"/>
          </w:tblCellMar>
          <w:tblLook w:val="04A0"/>
        </w:tblPrEx>
        <w:tc>
          <w:tcPr>
            <w:tcW w:w="313" w:type="pct"/>
            <w:hideMark/>
          </w:tcPr>
          <w:p w:rsidR="00BD5588" w:rsidRPr="00C828DB" w:rsidP="001957D4" w14:paraId="20C4190C" w14:textId="77777777">
            <w:pPr>
              <w:jc w:val="center"/>
            </w:pPr>
            <w:r w:rsidRPr="00C828DB">
              <w:t>1.</w:t>
            </w:r>
          </w:p>
        </w:tc>
        <w:tc>
          <w:tcPr>
            <w:tcW w:w="1484" w:type="pct"/>
            <w:hideMark/>
          </w:tcPr>
          <w:p w:rsidR="00BD5588" w:rsidRPr="00C828DB" w:rsidP="001957D4" w14:paraId="1E01A5C5" w14:textId="21BA4F2C">
            <w:r w:rsidRPr="00C828DB">
              <w:t>Sabiedrības mērķ</w:t>
            </w:r>
            <w:r w:rsidR="006D0809">
              <w:t xml:space="preserve">a </w:t>
            </w:r>
            <w:r w:rsidRPr="00C828DB">
              <w:t>grupas, kuras tiesiskais regulējums ietekmē vai varētu ietekmēt</w:t>
            </w:r>
          </w:p>
        </w:tc>
        <w:tc>
          <w:tcPr>
            <w:tcW w:w="3204" w:type="pct"/>
            <w:hideMark/>
          </w:tcPr>
          <w:p w:rsidR="00BD5588" w:rsidRPr="00977185" w:rsidP="00F72919" w14:paraId="40414A30" w14:textId="049323AE">
            <w:pPr>
              <w:jc w:val="both"/>
            </w:pPr>
            <w:r w:rsidRPr="00977185">
              <w:t>Atkritumu apsaimniekotāji</w:t>
            </w:r>
            <w:r w:rsidRPr="00977185" w:rsidR="002144C2">
              <w:t xml:space="preserve">, kuri nodarbojas ar </w:t>
            </w:r>
            <w:r w:rsidRPr="00977185" w:rsidR="0038382A">
              <w:t xml:space="preserve">otrreizējo izejvielu </w:t>
            </w:r>
            <w:r w:rsidRPr="00977185" w:rsidR="00F72919">
              <w:t>ražošanu</w:t>
            </w:r>
            <w:r w:rsidRPr="00977185" w:rsidR="002D3447">
              <w:t xml:space="preserve"> </w:t>
            </w:r>
            <w:r w:rsidRPr="00977185" w:rsidR="002144C2">
              <w:t>no atkritumiem, sabiedrība</w:t>
            </w:r>
            <w:r w:rsidRPr="00977185" w:rsidR="002D3447">
              <w:t xml:space="preserve"> kopumā</w:t>
            </w:r>
            <w:r w:rsidRPr="00977185" w:rsidR="00C66CBC">
              <w:t>.</w:t>
            </w:r>
          </w:p>
        </w:tc>
      </w:tr>
      <w:tr w14:paraId="1FF50C00" w14:textId="77777777" w:rsidTr="00F26FF0">
        <w:tblPrEx>
          <w:tblW w:w="4984" w:type="pct"/>
          <w:tblCellMar>
            <w:top w:w="30" w:type="dxa"/>
            <w:left w:w="30" w:type="dxa"/>
            <w:bottom w:w="30" w:type="dxa"/>
            <w:right w:w="30" w:type="dxa"/>
          </w:tblCellMar>
          <w:tblLook w:val="04A0"/>
        </w:tblPrEx>
        <w:tc>
          <w:tcPr>
            <w:tcW w:w="313" w:type="pct"/>
            <w:hideMark/>
          </w:tcPr>
          <w:p w:rsidR="00BD5588" w:rsidRPr="00C828DB" w:rsidP="001957D4" w14:paraId="463D219B" w14:textId="77777777">
            <w:pPr>
              <w:jc w:val="center"/>
            </w:pPr>
            <w:r w:rsidRPr="00C828DB">
              <w:t>2.</w:t>
            </w:r>
          </w:p>
        </w:tc>
        <w:tc>
          <w:tcPr>
            <w:tcW w:w="1484" w:type="pct"/>
            <w:hideMark/>
          </w:tcPr>
          <w:p w:rsidR="00BD5588" w:rsidRPr="00C828DB" w:rsidP="001957D4" w14:paraId="323F0CCE" w14:textId="77777777">
            <w:r w:rsidRPr="00C828DB">
              <w:t>Tiesiskā regulējuma ietekme uz tautsaimniecību un administratīvo slogu</w:t>
            </w:r>
          </w:p>
        </w:tc>
        <w:tc>
          <w:tcPr>
            <w:tcW w:w="3204" w:type="pct"/>
            <w:hideMark/>
          </w:tcPr>
          <w:p w:rsidR="00A6400F" w:rsidRPr="00977185" w:rsidP="00F72919" w14:paraId="3F4B44EE" w14:textId="0C161C1C">
            <w:pPr>
              <w:jc w:val="both"/>
              <w:rPr>
                <w:szCs w:val="28"/>
              </w:rPr>
            </w:pPr>
            <w:r w:rsidRPr="00977185">
              <w:t xml:space="preserve">Lai nodrošinātu otrreizējo izejvielu apsaimniekošanu saskaņā ar </w:t>
            </w:r>
            <w:r w:rsidRPr="00977185" w:rsidR="00F71B63">
              <w:t>noteikumu projektu</w:t>
            </w:r>
            <w:r w:rsidRPr="00977185">
              <w:t xml:space="preserve">, </w:t>
            </w:r>
            <w:r w:rsidRPr="00977185" w:rsidR="006D0809">
              <w:t xml:space="preserve">apsaimniekotājiem </w:t>
            </w:r>
            <w:r w:rsidRPr="00977185">
              <w:t xml:space="preserve">būs nepieciešams veikt </w:t>
            </w:r>
            <w:r w:rsidRPr="00977185" w:rsidR="00F72919">
              <w:t>saražoto</w:t>
            </w:r>
            <w:r w:rsidRPr="00977185">
              <w:t xml:space="preserve"> otrreizējo izejvielu uzskaiti </w:t>
            </w:r>
            <w:r w:rsidRPr="00977185">
              <w:rPr>
                <w:szCs w:val="28"/>
              </w:rPr>
              <w:t>otrreizējo izejvielu žurnā</w:t>
            </w:r>
            <w:r w:rsidRPr="00977185" w:rsidR="002443DF">
              <w:rPr>
                <w:szCs w:val="28"/>
              </w:rPr>
              <w:t>lā papīra vai elektroniskā formā</w:t>
            </w:r>
            <w:r w:rsidRPr="00977185" w:rsidR="002D3CEE">
              <w:rPr>
                <w:szCs w:val="28"/>
              </w:rPr>
              <w:t xml:space="preserve">, kā arī reizi ceturksnī ziņot par iepriekšējā ceturksnī saražotajām otrreizējām izejvielām </w:t>
            </w:r>
            <w:r w:rsidRPr="00977185" w:rsidR="00470466">
              <w:rPr>
                <w:szCs w:val="28"/>
              </w:rPr>
              <w:t>VVD</w:t>
            </w:r>
            <w:r w:rsidRPr="00977185" w:rsidR="002D3CEE">
              <w:rPr>
                <w:szCs w:val="28"/>
              </w:rPr>
              <w:t>. Saražoto o</w:t>
            </w:r>
            <w:r w:rsidRPr="00977185">
              <w:rPr>
                <w:szCs w:val="28"/>
              </w:rPr>
              <w:t xml:space="preserve">trreizējo izejvielu uzskaite </w:t>
            </w:r>
            <w:r w:rsidRPr="00977185" w:rsidR="006D0809">
              <w:rPr>
                <w:szCs w:val="28"/>
              </w:rPr>
              <w:t>apsaimniekotājiem</w:t>
            </w:r>
            <w:r w:rsidRPr="00977185" w:rsidR="0038382A">
              <w:rPr>
                <w:szCs w:val="28"/>
              </w:rPr>
              <w:t xml:space="preserve"> </w:t>
            </w:r>
            <w:r w:rsidRPr="00977185" w:rsidR="00F71B63">
              <w:rPr>
                <w:szCs w:val="28"/>
              </w:rPr>
              <w:t>ne</w:t>
            </w:r>
            <w:r w:rsidRPr="00977185">
              <w:rPr>
                <w:szCs w:val="28"/>
              </w:rPr>
              <w:t>radīs būtisku administratīvo slogu.</w:t>
            </w:r>
          </w:p>
          <w:p w:rsidR="00470466" w:rsidRPr="00977185" w:rsidP="00F72919" w14:paraId="518A3F51" w14:textId="77777777">
            <w:pPr>
              <w:jc w:val="both"/>
              <w:rPr>
                <w:szCs w:val="28"/>
              </w:rPr>
            </w:pPr>
          </w:p>
          <w:p w:rsidR="000C22AB" w:rsidRPr="00977185" w:rsidP="00F72919" w14:paraId="6F10A366" w14:textId="25380B86">
            <w:pPr>
              <w:jc w:val="both"/>
              <w:rPr>
                <w:szCs w:val="28"/>
              </w:rPr>
            </w:pPr>
            <w:r w:rsidRPr="00977185">
              <w:rPr>
                <w:szCs w:val="28"/>
              </w:rPr>
              <w:t>Apsaimniekotājam</w:t>
            </w:r>
            <w:r w:rsidRPr="00977185" w:rsidR="00470466">
              <w:rPr>
                <w:szCs w:val="28"/>
              </w:rPr>
              <w:t xml:space="preserve">, kurš no atkritumiem ražo otrreizējās izejvielas, </w:t>
            </w:r>
            <w:r w:rsidRPr="00977185">
              <w:rPr>
                <w:szCs w:val="28"/>
              </w:rPr>
              <w:t xml:space="preserve">noteikumu projekts </w:t>
            </w:r>
            <w:r w:rsidRPr="00977185" w:rsidR="00470466">
              <w:rPr>
                <w:szCs w:val="28"/>
              </w:rPr>
              <w:t>uzl</w:t>
            </w:r>
            <w:r w:rsidRPr="00977185">
              <w:rPr>
                <w:szCs w:val="28"/>
              </w:rPr>
              <w:t>iek</w:t>
            </w:r>
            <w:r w:rsidRPr="00977185" w:rsidR="00470466">
              <w:rPr>
                <w:szCs w:val="28"/>
              </w:rPr>
              <w:t xml:space="preserve"> par pienākumu veikt vienreizēju sākotnējo otrreizējo izejvielu inventarizāciju, kas </w:t>
            </w:r>
            <w:r w:rsidRPr="00977185">
              <w:rPr>
                <w:szCs w:val="28"/>
              </w:rPr>
              <w:t xml:space="preserve">kopumā </w:t>
            </w:r>
            <w:r w:rsidRPr="00977185" w:rsidR="00470466">
              <w:rPr>
                <w:szCs w:val="28"/>
              </w:rPr>
              <w:t xml:space="preserve">neradīs būtisku administratīvo slogu, jo </w:t>
            </w:r>
            <w:r w:rsidRPr="00977185">
              <w:rPr>
                <w:szCs w:val="28"/>
              </w:rPr>
              <w:t xml:space="preserve">vairumā gadījumu </w:t>
            </w:r>
            <w:r w:rsidRPr="00977185">
              <w:rPr>
                <w:szCs w:val="28"/>
              </w:rPr>
              <w:t xml:space="preserve">apsaimniekotāji </w:t>
            </w:r>
            <w:r w:rsidRPr="00977185">
              <w:rPr>
                <w:szCs w:val="28"/>
              </w:rPr>
              <w:t xml:space="preserve">neuzglabā </w:t>
            </w:r>
            <w:r w:rsidRPr="00977185" w:rsidR="00DD7257">
              <w:rPr>
                <w:szCs w:val="28"/>
              </w:rPr>
              <w:t xml:space="preserve">ilgtermiņā </w:t>
            </w:r>
            <w:r w:rsidRPr="00977185">
              <w:rPr>
                <w:szCs w:val="28"/>
              </w:rPr>
              <w:t>lielus otrreizējo izejvielu krājumus.</w:t>
            </w:r>
          </w:p>
          <w:p w:rsidR="000C22AB" w:rsidRPr="00977185" w:rsidP="00F72919" w14:paraId="3F97815D" w14:textId="77777777">
            <w:pPr>
              <w:jc w:val="both"/>
              <w:rPr>
                <w:szCs w:val="28"/>
              </w:rPr>
            </w:pPr>
          </w:p>
          <w:p w:rsidR="00470466" w:rsidRPr="00977185" w:rsidP="00F72919" w14:paraId="3FABF399" w14:textId="21A2A96E">
            <w:pPr>
              <w:jc w:val="both"/>
              <w:rPr>
                <w:szCs w:val="28"/>
              </w:rPr>
            </w:pPr>
            <w:r w:rsidRPr="00977185">
              <w:rPr>
                <w:szCs w:val="28"/>
              </w:rPr>
              <w:t>Tāpat arī noteikumu projekts paredz ieviest otrreizējo izejvielu uzglabāšanas un realizācijas uzskaites žurnālu, kas nodrošinās gan otrreizējo izejvielu uzglabāšanas kontroles iespējas, gan arī ļaus pā</w:t>
            </w:r>
            <w:r w:rsidRPr="00977185" w:rsidR="00C828DB">
              <w:rPr>
                <w:szCs w:val="28"/>
              </w:rPr>
              <w:t>rliecināties,  par to, kam, kad un</w:t>
            </w:r>
            <w:r w:rsidRPr="00977185">
              <w:rPr>
                <w:szCs w:val="28"/>
              </w:rPr>
              <w:t xml:space="preserve"> kādos apj</w:t>
            </w:r>
            <w:r w:rsidRPr="00977185" w:rsidR="00DE4721">
              <w:rPr>
                <w:szCs w:val="28"/>
              </w:rPr>
              <w:t>omos otrreizējās izejvielas tikušas</w:t>
            </w:r>
            <w:r w:rsidRPr="00977185">
              <w:rPr>
                <w:szCs w:val="28"/>
              </w:rPr>
              <w:t xml:space="preserve"> pārdotas. Ņemot vērā</w:t>
            </w:r>
            <w:r w:rsidRPr="00977185" w:rsidR="00DD7257">
              <w:rPr>
                <w:szCs w:val="28"/>
              </w:rPr>
              <w:t xml:space="preserve"> 2017.</w:t>
            </w:r>
            <w:r w:rsidRPr="00977185" w:rsidR="00C828DB">
              <w:rPr>
                <w:szCs w:val="28"/>
              </w:rPr>
              <w:t> </w:t>
            </w:r>
            <w:r w:rsidRPr="00977185" w:rsidR="00DD7257">
              <w:rPr>
                <w:szCs w:val="28"/>
              </w:rPr>
              <w:t xml:space="preserve">gadā identificētās problēmas ar atkritumu nelegālajiem pārvadājumiem, uzglabāšanu un to dēvēšanu par otrreizējām izejvielām, </w:t>
            </w:r>
            <w:r w:rsidRPr="00977185" w:rsidR="006D0809">
              <w:rPr>
                <w:szCs w:val="28"/>
              </w:rPr>
              <w:t xml:space="preserve">VARAM </w:t>
            </w:r>
            <w:r w:rsidRPr="00977185" w:rsidR="00DD7257">
              <w:rPr>
                <w:szCs w:val="28"/>
              </w:rPr>
              <w:t xml:space="preserve">ieskatā noteikumu projekts ieviesīs pārskatāmu un vieglāk kontrolējamu sistēmu un administratīvais slogs uzņēmējiem un kontrolējošai </w:t>
            </w:r>
            <w:r w:rsidRPr="00977185" w:rsidR="00C828DB">
              <w:rPr>
                <w:szCs w:val="28"/>
              </w:rPr>
              <w:t>institūcijai</w:t>
            </w:r>
            <w:r w:rsidRPr="00977185" w:rsidR="00DD7257">
              <w:rPr>
                <w:szCs w:val="28"/>
              </w:rPr>
              <w:t xml:space="preserve"> ir vērtējams kā </w:t>
            </w:r>
            <w:r w:rsidRPr="00977185">
              <w:rPr>
                <w:szCs w:val="28"/>
              </w:rPr>
              <w:t>samērīgs.</w:t>
            </w:r>
          </w:p>
          <w:p w:rsidR="000C22AB" w:rsidRPr="00977185" w:rsidP="00F72919" w14:paraId="372750E9" w14:textId="77777777">
            <w:pPr>
              <w:jc w:val="both"/>
              <w:rPr>
                <w:szCs w:val="28"/>
              </w:rPr>
            </w:pPr>
          </w:p>
          <w:p w:rsidR="000C22AB" w:rsidRPr="00977185" w:rsidP="00F72919" w14:paraId="4D2A5D2F" w14:textId="0F45F9AA">
            <w:pPr>
              <w:jc w:val="both"/>
              <w:rPr>
                <w:szCs w:val="28"/>
              </w:rPr>
            </w:pPr>
            <w:r w:rsidRPr="00977185">
              <w:rPr>
                <w:szCs w:val="28"/>
              </w:rPr>
              <w:t>Noteikumu projekts paredz arī informācijas sniegšanas pienākumu – reizi ceturksnī par iepriekšējā ceturksnī saražotajām otrreizējām izejvielām un vienu reizi – veicot inventarizāciju. Informācijas sniegšanas pienākums neradīs būtisku administratīvo slogu ņemot vērā, ka visus dokumentus iespējams iesniegt elektroniskā veidā</w:t>
            </w:r>
            <w:r w:rsidRPr="00977185" w:rsidR="00DD7257">
              <w:rPr>
                <w:szCs w:val="28"/>
              </w:rPr>
              <w:t xml:space="preserve">, </w:t>
            </w:r>
            <w:r w:rsidRPr="00977185" w:rsidR="00C828DB">
              <w:rPr>
                <w:szCs w:val="28"/>
              </w:rPr>
              <w:t>tāpat</w:t>
            </w:r>
            <w:r w:rsidRPr="00977185" w:rsidR="00DD7257">
              <w:rPr>
                <w:szCs w:val="28"/>
              </w:rPr>
              <w:t xml:space="preserve"> arī iesniedzamo informāciju nebūs nepieciešams gatavot atsevišķi, bet būs jānodrošina izraksta veikšana</w:t>
            </w:r>
            <w:r w:rsidRPr="00977185">
              <w:rPr>
                <w:szCs w:val="28"/>
              </w:rPr>
              <w:t>.</w:t>
            </w:r>
          </w:p>
          <w:p w:rsidR="002D3CEE" w:rsidRPr="00977185" w:rsidP="00F72919" w14:paraId="45A03E25" w14:textId="77777777">
            <w:pPr>
              <w:jc w:val="both"/>
              <w:rPr>
                <w:szCs w:val="28"/>
              </w:rPr>
            </w:pPr>
          </w:p>
          <w:p w:rsidR="002D3CEE" w:rsidRPr="00977185" w:rsidP="003C37B2" w14:paraId="794E450A" w14:textId="47CA4952">
            <w:pPr>
              <w:jc w:val="both"/>
              <w:rPr>
                <w:szCs w:val="28"/>
              </w:rPr>
            </w:pPr>
            <w:r w:rsidRPr="00977185">
              <w:rPr>
                <w:szCs w:val="28"/>
              </w:rPr>
              <w:t xml:space="preserve">Kopumā noteikumu projektam būs pozitīva ietekme uz tautsaimniecību, jo noteikumu projekts ierobežos negodprātīgu </w:t>
            </w:r>
            <w:r w:rsidRPr="00977185" w:rsidR="006D0809">
              <w:rPr>
                <w:szCs w:val="28"/>
              </w:rPr>
              <w:t xml:space="preserve">apsaimniekotāju </w:t>
            </w:r>
            <w:r w:rsidRPr="00977185">
              <w:rPr>
                <w:szCs w:val="28"/>
              </w:rPr>
              <w:t>darbības ar atkritumiem un otrreizējām izejvielām, kas neatbilst spēkā esošajam regul</w:t>
            </w:r>
            <w:r w:rsidRPr="00977185" w:rsidR="003C37B2">
              <w:rPr>
                <w:szCs w:val="28"/>
              </w:rPr>
              <w:t xml:space="preserve">ējumam atkritumu apsaimniekošanas </w:t>
            </w:r>
            <w:r w:rsidRPr="00977185" w:rsidR="00DE4721">
              <w:rPr>
                <w:szCs w:val="28"/>
              </w:rPr>
              <w:t>jomā, tai skaitā AAL 4. panta ceturtajā</w:t>
            </w:r>
            <w:r w:rsidRPr="00977185" w:rsidR="003C37B2">
              <w:rPr>
                <w:szCs w:val="28"/>
              </w:rPr>
              <w:t xml:space="preserve"> daļā </w:t>
            </w:r>
            <w:r w:rsidRPr="00977185" w:rsidR="00DD7257">
              <w:rPr>
                <w:szCs w:val="28"/>
              </w:rPr>
              <w:t>minētajam</w:t>
            </w:r>
            <w:r w:rsidRPr="00977185" w:rsidR="003C37B2">
              <w:rPr>
                <w:szCs w:val="28"/>
              </w:rPr>
              <w:t xml:space="preserve">, ka </w:t>
            </w:r>
            <w:r w:rsidRPr="00977185" w:rsidR="00DD7257">
              <w:rPr>
                <w:szCs w:val="28"/>
              </w:rPr>
              <w:t>gadījumā</w:t>
            </w:r>
            <w:r w:rsidR="00C42B85">
              <w:rPr>
                <w:szCs w:val="28"/>
              </w:rPr>
              <w:t>,</w:t>
            </w:r>
            <w:r w:rsidRPr="00977185" w:rsidR="00DD7257">
              <w:rPr>
                <w:szCs w:val="28"/>
              </w:rPr>
              <w:t xml:space="preserve"> ja </w:t>
            </w:r>
            <w:r w:rsidRPr="00977185" w:rsidR="003C37B2">
              <w:rPr>
                <w:szCs w:val="28"/>
              </w:rPr>
              <w:t>otrreizējās izejvielas tiek uzglabātas ilgāk par vienu gadu no saražošanas brīža, tās uzskatāmas par atkritumiem un apsaimniekojamas atbilstoši šā likuma prasībām.</w:t>
            </w:r>
          </w:p>
          <w:p w:rsidR="003C37B2" w:rsidRPr="00977185" w:rsidP="003C37B2" w14:paraId="4ABB9B8D" w14:textId="77777777">
            <w:pPr>
              <w:jc w:val="both"/>
              <w:rPr>
                <w:szCs w:val="28"/>
              </w:rPr>
            </w:pPr>
          </w:p>
          <w:p w:rsidR="00470466" w:rsidRPr="00977185" w:rsidP="006D0809" w14:paraId="18FF949D" w14:textId="0F5BE682">
            <w:pPr>
              <w:jc w:val="both"/>
              <w:rPr>
                <w:szCs w:val="28"/>
              </w:rPr>
            </w:pPr>
            <w:r w:rsidRPr="00977185">
              <w:rPr>
                <w:szCs w:val="28"/>
              </w:rPr>
              <w:t xml:space="preserve">Kopā ar citiem saistītiem normatīvajiem aktiem, kurus VARAM pašlaik izstrādā vai izstrādās tuvākajā laikā par atkritumu statusa piemērošanas izbeigšanas kritērijiem, noteikumu projekts ļaus </w:t>
            </w:r>
            <w:r w:rsidRPr="00977185">
              <w:rPr>
                <w:szCs w:val="28"/>
              </w:rPr>
              <w:t>VVD</w:t>
            </w:r>
            <w:r w:rsidRPr="00977185">
              <w:rPr>
                <w:szCs w:val="28"/>
              </w:rPr>
              <w:t xml:space="preserve"> viennozīmīgi vērtēt </w:t>
            </w:r>
            <w:r w:rsidRPr="00977185" w:rsidR="006D0809">
              <w:rPr>
                <w:szCs w:val="28"/>
              </w:rPr>
              <w:t xml:space="preserve">apsaimniekotāju </w:t>
            </w:r>
            <w:r w:rsidRPr="00977185">
              <w:rPr>
                <w:szCs w:val="28"/>
              </w:rPr>
              <w:t xml:space="preserve">darbības ar atkritumiem un no atkritumiem saražotām otrreizējām izejvielām un liegs iespēju </w:t>
            </w:r>
            <w:r w:rsidRPr="00977185" w:rsidR="006D0809">
              <w:rPr>
                <w:szCs w:val="28"/>
              </w:rPr>
              <w:t xml:space="preserve">apsaimniekotājiem </w:t>
            </w:r>
            <w:r w:rsidRPr="00977185">
              <w:rPr>
                <w:szCs w:val="28"/>
              </w:rPr>
              <w:t>spekulēt ar terminu “otrreizējās izejvielas”.</w:t>
            </w:r>
          </w:p>
        </w:tc>
      </w:tr>
      <w:tr w14:paraId="4CB63B11" w14:textId="77777777" w:rsidTr="00F26FF0">
        <w:tblPrEx>
          <w:tblW w:w="4984" w:type="pct"/>
          <w:tblCellMar>
            <w:top w:w="30" w:type="dxa"/>
            <w:left w:w="30" w:type="dxa"/>
            <w:bottom w:w="30" w:type="dxa"/>
            <w:right w:w="30" w:type="dxa"/>
          </w:tblCellMar>
          <w:tblLook w:val="04A0"/>
        </w:tblPrEx>
        <w:tc>
          <w:tcPr>
            <w:tcW w:w="313" w:type="pct"/>
            <w:hideMark/>
          </w:tcPr>
          <w:p w:rsidR="00BD5588" w:rsidRPr="00C828DB" w:rsidP="001957D4" w14:paraId="16DA21FC" w14:textId="6D45A0A6">
            <w:pPr>
              <w:jc w:val="center"/>
            </w:pPr>
            <w:r w:rsidRPr="00C828DB">
              <w:t>3.</w:t>
            </w:r>
          </w:p>
        </w:tc>
        <w:tc>
          <w:tcPr>
            <w:tcW w:w="1484" w:type="pct"/>
            <w:hideMark/>
          </w:tcPr>
          <w:p w:rsidR="00BD5588" w:rsidRPr="00C828DB" w:rsidP="001957D4" w14:paraId="49568D0C" w14:textId="77777777">
            <w:r w:rsidRPr="00C828DB">
              <w:t>Administratīvo izmaksu monetārs novērtējums</w:t>
            </w:r>
          </w:p>
        </w:tc>
        <w:tc>
          <w:tcPr>
            <w:tcW w:w="3204" w:type="pct"/>
            <w:hideMark/>
          </w:tcPr>
          <w:p w:rsidR="00AF6227" w:rsidRPr="00977185" w:rsidP="00704918" w14:paraId="56C1FB7A" w14:textId="3DFD2B06">
            <w:pPr>
              <w:jc w:val="both"/>
            </w:pPr>
            <w:r w:rsidRPr="00977185">
              <w:t>Administratīvo izmaksu novērtējumā iekļautas informācijas sniegšanas izmaksas.</w:t>
            </w:r>
          </w:p>
          <w:p w:rsidR="00617941" w:rsidRPr="00977185" w:rsidP="00704918" w14:paraId="2E784F7F" w14:textId="77777777">
            <w:pPr>
              <w:jc w:val="both"/>
            </w:pPr>
          </w:p>
          <w:p w:rsidR="00C828DB" w:rsidRPr="00977185" w:rsidP="00C828DB" w14:paraId="0A87AC6D" w14:textId="1A7080AA">
            <w:pPr>
              <w:jc w:val="center"/>
            </w:pPr>
            <w:r w:rsidRPr="00977185">
              <w:t>INFORMĀCIJAS SNIEGŠANAS IZMAKSAS PAR OTRREIZĒJO IZEJVIELU INVENTARIZĀCIJU</w:t>
            </w:r>
          </w:p>
          <w:p w:rsidR="00C828DB" w:rsidRPr="00977185" w:rsidP="00C828DB" w14:paraId="6904CCA0" w14:textId="77777777">
            <w:pPr>
              <w:jc w:val="center"/>
            </w:pPr>
          </w:p>
          <w:p w:rsidR="009629A0" w:rsidRPr="00977185" w:rsidP="009629A0" w14:paraId="331F0726" w14:textId="27692D2C">
            <w:pPr>
              <w:ind w:left="110" w:right="108"/>
              <w:jc w:val="center"/>
            </w:pPr>
            <w:r w:rsidRPr="00977185">
              <w:t>C</w:t>
            </w:r>
            <w:r w:rsidRPr="00977185" w:rsidR="00C828DB">
              <w:rPr>
                <w:vertAlign w:val="subscript"/>
              </w:rPr>
              <w:t>1</w:t>
            </w:r>
            <w:r w:rsidRPr="00977185">
              <w:t xml:space="preserve"> = (f x l) x (n x 1), kur</w:t>
            </w:r>
          </w:p>
          <w:p w:rsidR="009629A0" w:rsidRPr="00977185" w:rsidP="009629A0" w14:paraId="486216A5" w14:textId="7D99604A">
            <w:pPr>
              <w:ind w:left="110" w:right="108"/>
              <w:jc w:val="both"/>
            </w:pPr>
            <w:r w:rsidRPr="00977185">
              <w:t>C</w:t>
            </w:r>
            <w:r w:rsidRPr="00977185" w:rsidR="00C828DB">
              <w:rPr>
                <w:vertAlign w:val="subscript"/>
              </w:rPr>
              <w:t>1</w:t>
            </w:r>
            <w:r w:rsidRPr="00977185">
              <w:t xml:space="preserve"> – informācijas sniegšanas izmaksas par otrreizējo izejvielu inventarizāciju;</w:t>
            </w:r>
          </w:p>
          <w:p w:rsidR="009629A0" w:rsidRPr="00977185" w:rsidP="009629A0" w14:paraId="760B899C" w14:textId="69032B5B">
            <w:pPr>
              <w:pStyle w:val="tv213"/>
              <w:spacing w:before="0" w:beforeAutospacing="0" w:after="0" w:afterAutospacing="0"/>
              <w:ind w:left="110" w:right="108"/>
              <w:jc w:val="both"/>
            </w:pPr>
            <w:r w:rsidRPr="00977185">
              <w:t xml:space="preserve">f – stundas samaksas likme privātajā sektorā </w:t>
            </w:r>
            <w:r w:rsidRPr="00977185" w:rsidR="002336EB">
              <w:t xml:space="preserve">– aprēķināta, dalot vidējo mēneša algu privātajā sektorā (pēc Centrālās statistikas pārvaldes tīmekļvietnes </w:t>
            </w:r>
            <w:r>
              <w:fldChar w:fldCharType="begin"/>
            </w:r>
            <w:r>
              <w:instrText xml:space="preserve"> HYPERLINK "http://www.csb.gov.lv" </w:instrText>
            </w:r>
            <w:r>
              <w:fldChar w:fldCharType="separate"/>
            </w:r>
            <w:r w:rsidRPr="00977185" w:rsidR="002336EB">
              <w:rPr>
                <w:rStyle w:val="Hyperlink"/>
              </w:rPr>
              <w:t>www.csb.gov.lv</w:t>
            </w:r>
            <w:r>
              <w:fldChar w:fldCharType="end"/>
            </w:r>
            <w:r w:rsidRPr="00977185" w:rsidR="002336EB">
              <w:t xml:space="preserve"> datiem 2016. gadā tā bija 845,00 </w:t>
            </w:r>
            <w:r w:rsidRPr="00977185" w:rsidR="002336EB">
              <w:rPr>
                <w:i/>
              </w:rPr>
              <w:t>euro/</w:t>
            </w:r>
            <w:r w:rsidRPr="00977185" w:rsidR="002336EB">
              <w:t xml:space="preserve">mēnesī) ar Darba likuma 131. panta pirmajā daļā minēto normālo darba laiku (40 stundas nedēļā x 4 = 160 stundas mēnesī) = </w:t>
            </w:r>
            <w:r w:rsidRPr="00977185">
              <w:t>5,28 </w:t>
            </w:r>
            <w:r w:rsidRPr="00977185">
              <w:rPr>
                <w:i/>
              </w:rPr>
              <w:t>euro</w:t>
            </w:r>
            <w:r w:rsidRPr="00977185">
              <w:t>/stundā;</w:t>
            </w:r>
          </w:p>
          <w:p w:rsidR="009629A0" w:rsidRPr="00977185" w:rsidP="009629A0" w14:paraId="33AB256D" w14:textId="7D72CDFA">
            <w:pPr>
              <w:pStyle w:val="tv213"/>
              <w:spacing w:before="0" w:beforeAutospacing="0" w:after="0" w:afterAutospacing="0"/>
              <w:ind w:left="110" w:right="108"/>
              <w:jc w:val="both"/>
            </w:pPr>
            <w:r w:rsidRPr="00977185">
              <w:t>l – laika patēriņš, kas nepieciešams, lai veiktu vienu ierakstu noteikumu projektā paredzētajā otrreizējo izejvielu uzglabāšanas un realizācijas uzskaites žurnālā –  30 minūtes jeb 0,</w:t>
            </w:r>
            <w:r w:rsidRPr="00977185" w:rsidR="00C828DB">
              <w:t>5</w:t>
            </w:r>
            <w:r w:rsidRPr="00977185">
              <w:t xml:space="preserve"> stundas;</w:t>
            </w:r>
          </w:p>
          <w:p w:rsidR="009629A0" w:rsidRPr="00977185" w:rsidP="009629A0" w14:paraId="47C794E6" w14:textId="53A6B9A1">
            <w:pPr>
              <w:pStyle w:val="tv213"/>
              <w:spacing w:before="0" w:beforeAutospacing="0" w:after="0" w:afterAutospacing="0"/>
              <w:ind w:left="110" w:right="108"/>
              <w:jc w:val="both"/>
            </w:pPr>
            <w:r w:rsidRPr="00977185">
              <w:t xml:space="preserve">n – </w:t>
            </w:r>
            <w:r w:rsidRPr="00977185" w:rsidR="006D0809">
              <w:t>apsaimniekotāju</w:t>
            </w:r>
            <w:r w:rsidRPr="00977185">
              <w:t xml:space="preserve"> skaits, uz kuriem potenciāli attieksies projektā paredzētās prasības – 115;</w:t>
            </w:r>
          </w:p>
          <w:p w:rsidR="009629A0" w:rsidRPr="00977185" w:rsidP="009629A0" w14:paraId="4EA80E46" w14:textId="77777777">
            <w:pPr>
              <w:pStyle w:val="tv213"/>
              <w:spacing w:before="0" w:beforeAutospacing="0" w:after="0" w:afterAutospacing="0"/>
              <w:ind w:left="110" w:right="108"/>
              <w:jc w:val="both"/>
            </w:pPr>
            <w:r w:rsidRPr="00977185">
              <w:t>b – informācijas sniegšanas reižu skaits gadā – 1.</w:t>
            </w:r>
          </w:p>
          <w:p w:rsidR="009629A0" w:rsidRPr="00977185" w:rsidP="009629A0" w14:paraId="203881A7" w14:textId="77777777">
            <w:pPr>
              <w:pStyle w:val="tv213"/>
              <w:spacing w:before="0" w:beforeAutospacing="0" w:after="0" w:afterAutospacing="0"/>
              <w:ind w:right="108"/>
              <w:jc w:val="both"/>
            </w:pPr>
          </w:p>
          <w:p w:rsidR="009629A0" w:rsidRPr="00977185" w:rsidP="009629A0" w14:paraId="32D29E90" w14:textId="77777777">
            <w:pPr>
              <w:pStyle w:val="tv213"/>
              <w:spacing w:before="0" w:beforeAutospacing="0" w:after="0" w:afterAutospacing="0"/>
              <w:ind w:right="108"/>
              <w:jc w:val="both"/>
            </w:pPr>
            <w:r w:rsidRPr="00977185">
              <w:t>Aprēķins:</w:t>
            </w:r>
          </w:p>
          <w:p w:rsidR="009629A0" w:rsidRPr="00977185" w:rsidP="009629A0" w14:paraId="5519CB4F" w14:textId="77777777">
            <w:pPr>
              <w:pStyle w:val="tv213"/>
              <w:spacing w:before="0" w:beforeAutospacing="0" w:after="0" w:afterAutospacing="0"/>
              <w:ind w:right="108"/>
              <w:jc w:val="both"/>
            </w:pPr>
          </w:p>
          <w:p w:rsidR="009629A0" w:rsidRPr="00977185" w:rsidP="009629A0" w14:paraId="59997D19" w14:textId="1897548E">
            <w:pPr>
              <w:pStyle w:val="tv213"/>
              <w:spacing w:before="0" w:beforeAutospacing="0" w:after="0" w:afterAutospacing="0"/>
              <w:ind w:right="108"/>
              <w:rPr>
                <w:i/>
              </w:rPr>
            </w:pPr>
            <w:r w:rsidRPr="00977185">
              <w:t>C</w:t>
            </w:r>
            <w:r w:rsidRPr="00977185">
              <w:rPr>
                <w:vertAlign w:val="subscript"/>
              </w:rPr>
              <w:t>1</w:t>
            </w:r>
            <w:r w:rsidRPr="00977185">
              <w:t xml:space="preserve"> = (5,28 x 0,</w:t>
            </w:r>
            <w:r w:rsidRPr="00977185" w:rsidR="00C828DB">
              <w:t>5</w:t>
            </w:r>
            <w:r w:rsidRPr="00977185">
              <w:t xml:space="preserve">) x (115 x 1) = </w:t>
            </w:r>
            <w:r w:rsidRPr="00977185" w:rsidR="00C828DB">
              <w:t xml:space="preserve">303,60 </w:t>
            </w:r>
            <w:r w:rsidRPr="00977185">
              <w:rPr>
                <w:i/>
              </w:rPr>
              <w:t>euro</w:t>
            </w:r>
          </w:p>
          <w:p w:rsidR="009629A0" w:rsidRPr="00977185" w:rsidP="00617941" w14:paraId="70611B65" w14:textId="77777777">
            <w:pPr>
              <w:ind w:left="110" w:right="108"/>
              <w:jc w:val="center"/>
            </w:pPr>
          </w:p>
          <w:p w:rsidR="00C828DB" w:rsidRPr="00977185" w:rsidP="00617941" w14:paraId="667F0DC2" w14:textId="77777777">
            <w:pPr>
              <w:ind w:left="110" w:right="108"/>
              <w:jc w:val="center"/>
            </w:pPr>
          </w:p>
          <w:p w:rsidR="00C828DB" w:rsidRPr="00977185" w:rsidP="00617941" w14:paraId="333FB3DA" w14:textId="0351126A">
            <w:pPr>
              <w:ind w:left="110" w:right="108"/>
              <w:jc w:val="center"/>
            </w:pPr>
            <w:r w:rsidRPr="00977185">
              <w:t>INFORMĀCIJAS SNIEGŠANAS IZMAKSAS PAR SARAŽOTAJĀM OTRREIZĒJĀM IZEJVIELĀM</w:t>
            </w:r>
          </w:p>
          <w:p w:rsidR="00C828DB" w:rsidRPr="00977185" w:rsidP="00617941" w14:paraId="0DA56543" w14:textId="77777777">
            <w:pPr>
              <w:ind w:left="110" w:right="108"/>
              <w:jc w:val="center"/>
            </w:pPr>
          </w:p>
          <w:p w:rsidR="00617941" w:rsidRPr="00977185" w:rsidP="00617941" w14:paraId="352F5E74" w14:textId="182A9B20">
            <w:pPr>
              <w:ind w:left="110" w:right="108"/>
              <w:jc w:val="center"/>
            </w:pPr>
            <w:r w:rsidRPr="00977185">
              <w:t>C</w:t>
            </w:r>
            <w:r w:rsidRPr="00977185" w:rsidR="00C828DB">
              <w:rPr>
                <w:vertAlign w:val="subscript"/>
              </w:rPr>
              <w:t>2</w:t>
            </w:r>
            <w:r w:rsidRPr="00977185">
              <w:t xml:space="preserve"> = (f x l) x (n x b), kur</w:t>
            </w:r>
          </w:p>
          <w:p w:rsidR="00617941" w:rsidRPr="00977185" w:rsidP="00617941" w14:paraId="754750AC" w14:textId="1E8FB172">
            <w:pPr>
              <w:ind w:left="110" w:right="108"/>
              <w:jc w:val="both"/>
            </w:pPr>
            <w:r w:rsidRPr="00977185">
              <w:t>C</w:t>
            </w:r>
            <w:r w:rsidRPr="00977185" w:rsidR="00C828DB">
              <w:rPr>
                <w:vertAlign w:val="subscript"/>
              </w:rPr>
              <w:t>2</w:t>
            </w:r>
            <w:r w:rsidRPr="00977185">
              <w:t xml:space="preserve"> – informācijas sniegšanas izmaksas par saražotajām otrreizējām izejvielām;</w:t>
            </w:r>
          </w:p>
          <w:p w:rsidR="00617941" w:rsidRPr="00977185" w:rsidP="00617941" w14:paraId="4BEEC0BB" w14:textId="009FBF34">
            <w:pPr>
              <w:pStyle w:val="tv213"/>
              <w:spacing w:before="0" w:beforeAutospacing="0" w:after="0" w:afterAutospacing="0"/>
              <w:ind w:left="110" w:right="108"/>
              <w:jc w:val="both"/>
            </w:pPr>
            <w:r w:rsidRPr="00977185">
              <w:t>f – stundas samaksas likme privātajā sektorā 5,28 </w:t>
            </w:r>
            <w:r w:rsidRPr="00977185">
              <w:rPr>
                <w:i/>
              </w:rPr>
              <w:t>euro</w:t>
            </w:r>
            <w:r w:rsidRPr="00977185">
              <w:t>/stundā;</w:t>
            </w:r>
          </w:p>
          <w:p w:rsidR="00617941" w:rsidRPr="00977185" w:rsidP="00617941" w14:paraId="2164B5A7" w14:textId="4D793E35">
            <w:pPr>
              <w:pStyle w:val="tv213"/>
              <w:spacing w:before="0" w:beforeAutospacing="0" w:after="0" w:afterAutospacing="0"/>
              <w:ind w:left="110" w:right="108"/>
              <w:jc w:val="both"/>
            </w:pPr>
            <w:r w:rsidRPr="00977185">
              <w:t xml:space="preserve">l – laika patēriņš, kas nepieciešams, lai veiktu vienu ierakstu noteikumu projektā paredzētajā otrreizējo izejvielu uzglabāšanas un realizācijas uzskaites žurnālā –  </w:t>
            </w:r>
            <w:r w:rsidRPr="00977185" w:rsidR="009629A0">
              <w:t xml:space="preserve">30 </w:t>
            </w:r>
            <w:r w:rsidRPr="00977185" w:rsidR="00C828DB">
              <w:t>minūtes jeb 0,5</w:t>
            </w:r>
            <w:r w:rsidRPr="00977185">
              <w:t xml:space="preserve"> stundas;</w:t>
            </w:r>
          </w:p>
          <w:p w:rsidR="00617941" w:rsidRPr="00977185" w:rsidP="00617941" w14:paraId="355EDB9C" w14:textId="3E2C3C5E">
            <w:pPr>
              <w:pStyle w:val="tv213"/>
              <w:spacing w:before="0" w:beforeAutospacing="0" w:after="0" w:afterAutospacing="0"/>
              <w:ind w:left="110" w:right="108"/>
              <w:jc w:val="both"/>
            </w:pPr>
            <w:r w:rsidRPr="00977185">
              <w:t xml:space="preserve">n – </w:t>
            </w:r>
            <w:r w:rsidRPr="00977185" w:rsidR="006D0809">
              <w:t>apsaimniekotāju</w:t>
            </w:r>
            <w:r w:rsidRPr="00977185">
              <w:t xml:space="preserve"> skaits, uz kuriem potenciāli attieksies projektā paredzētās prasības – 115;</w:t>
            </w:r>
          </w:p>
          <w:p w:rsidR="00617941" w:rsidRPr="00977185" w:rsidP="00617941" w14:paraId="2F999AD7" w14:textId="0B76E378">
            <w:pPr>
              <w:pStyle w:val="tv213"/>
              <w:spacing w:before="0" w:beforeAutospacing="0" w:after="0" w:afterAutospacing="0"/>
              <w:ind w:left="110" w:right="108"/>
              <w:jc w:val="both"/>
            </w:pPr>
            <w:r w:rsidRPr="00977185">
              <w:t xml:space="preserve">b – informācijas sniegšanas reižu skaits gadā – </w:t>
            </w:r>
            <w:r w:rsidRPr="00977185" w:rsidR="0028793E">
              <w:t>4</w:t>
            </w:r>
            <w:r w:rsidRPr="00977185">
              <w:t>.</w:t>
            </w:r>
          </w:p>
          <w:p w:rsidR="00617941" w:rsidRPr="00977185" w:rsidP="00617941" w14:paraId="32D5F569" w14:textId="77777777">
            <w:pPr>
              <w:pStyle w:val="tv213"/>
              <w:spacing w:before="0" w:beforeAutospacing="0" w:after="0" w:afterAutospacing="0"/>
              <w:ind w:right="108"/>
              <w:jc w:val="both"/>
            </w:pPr>
          </w:p>
          <w:p w:rsidR="00617941" w:rsidRPr="00977185" w:rsidP="00617941" w14:paraId="553485AD" w14:textId="7B20EF35">
            <w:pPr>
              <w:pStyle w:val="tv213"/>
              <w:spacing w:before="0" w:beforeAutospacing="0" w:after="0" w:afterAutospacing="0"/>
              <w:ind w:right="108"/>
              <w:jc w:val="both"/>
            </w:pPr>
            <w:r w:rsidRPr="00977185">
              <w:t>Aprēķins:</w:t>
            </w:r>
          </w:p>
          <w:p w:rsidR="00617941" w:rsidRPr="00977185" w:rsidP="00617941" w14:paraId="3985B014" w14:textId="77777777">
            <w:pPr>
              <w:pStyle w:val="tv213"/>
              <w:spacing w:before="0" w:beforeAutospacing="0" w:after="0" w:afterAutospacing="0"/>
              <w:ind w:right="108"/>
              <w:jc w:val="both"/>
            </w:pPr>
          </w:p>
          <w:p w:rsidR="00617941" w:rsidRPr="00977185" w:rsidP="00617941" w14:paraId="4CE5AC9F" w14:textId="1D68B70D">
            <w:pPr>
              <w:pStyle w:val="tv213"/>
              <w:spacing w:before="0" w:beforeAutospacing="0" w:after="0" w:afterAutospacing="0"/>
              <w:ind w:right="108"/>
              <w:rPr>
                <w:i/>
              </w:rPr>
            </w:pPr>
            <w:r w:rsidRPr="00977185">
              <w:t>C</w:t>
            </w:r>
            <w:r w:rsidRPr="00977185">
              <w:rPr>
                <w:vertAlign w:val="subscript"/>
              </w:rPr>
              <w:t>1</w:t>
            </w:r>
            <w:r w:rsidRPr="00977185">
              <w:t xml:space="preserve"> = (</w:t>
            </w:r>
            <w:r w:rsidRPr="00977185" w:rsidR="00C828DB">
              <w:t>5,28 x 0,5</w:t>
            </w:r>
            <w:r w:rsidRPr="00977185">
              <w:t xml:space="preserve">) x (115 x 4) = </w:t>
            </w:r>
            <w:r w:rsidRPr="00977185" w:rsidR="00C828DB">
              <w:t>1</w:t>
            </w:r>
            <w:r w:rsidRPr="00977185" w:rsidR="00753E92">
              <w:t xml:space="preserve"> </w:t>
            </w:r>
            <w:r w:rsidRPr="00977185" w:rsidR="00C828DB">
              <w:t>214,40</w:t>
            </w:r>
            <w:r w:rsidRPr="00977185">
              <w:t> </w:t>
            </w:r>
            <w:r w:rsidRPr="00977185">
              <w:rPr>
                <w:i/>
              </w:rPr>
              <w:t>euro</w:t>
            </w:r>
          </w:p>
          <w:p w:rsidR="00C828DB" w:rsidRPr="00977185" w:rsidP="00617941" w14:paraId="4AE1C43A" w14:textId="77777777">
            <w:pPr>
              <w:pStyle w:val="tv213"/>
              <w:spacing w:before="0" w:beforeAutospacing="0" w:after="0" w:afterAutospacing="0"/>
              <w:ind w:right="108"/>
            </w:pPr>
          </w:p>
          <w:p w:rsidR="00C828DB" w:rsidRPr="00977185" w:rsidP="00C828DB" w14:paraId="5231CFB1" w14:textId="5BF337C3">
            <w:pPr>
              <w:pStyle w:val="tv213"/>
              <w:spacing w:before="0" w:beforeAutospacing="0" w:after="0" w:afterAutospacing="0"/>
              <w:ind w:right="108"/>
              <w:jc w:val="center"/>
            </w:pPr>
            <w:r w:rsidRPr="00977185">
              <w:t>KOPĒJĀS INFORMĀCIJAS SNIEGŠANAS IZMAKSAS</w:t>
            </w:r>
          </w:p>
          <w:p w:rsidR="00C828DB" w:rsidRPr="00977185" w:rsidP="00C828DB" w14:paraId="2FAF435A" w14:textId="77777777">
            <w:pPr>
              <w:pStyle w:val="tv213"/>
              <w:spacing w:before="0" w:beforeAutospacing="0" w:after="0" w:afterAutospacing="0"/>
              <w:ind w:right="108"/>
            </w:pPr>
          </w:p>
          <w:p w:rsidR="00C828DB" w:rsidRPr="00977185" w:rsidP="00C828DB" w14:paraId="218613B8" w14:textId="554327DE">
            <w:pPr>
              <w:pStyle w:val="tv213"/>
              <w:spacing w:before="0" w:beforeAutospacing="0" w:after="0" w:afterAutospacing="0"/>
              <w:ind w:right="108"/>
              <w:rPr>
                <w:i/>
              </w:rPr>
            </w:pPr>
            <w:r w:rsidRPr="00977185">
              <w:t>C</w:t>
            </w:r>
            <w:r w:rsidRPr="00977185">
              <w:rPr>
                <w:vertAlign w:val="subscript"/>
              </w:rPr>
              <w:t xml:space="preserve">sum1 </w:t>
            </w:r>
            <w:r w:rsidRPr="00977185">
              <w:t>= C</w:t>
            </w:r>
            <w:r w:rsidRPr="00977185">
              <w:rPr>
                <w:vertAlign w:val="subscript"/>
              </w:rPr>
              <w:t>1</w:t>
            </w:r>
            <w:r w:rsidRPr="00977185">
              <w:t xml:space="preserve"> + C</w:t>
            </w:r>
            <w:r w:rsidRPr="00977185">
              <w:rPr>
                <w:vertAlign w:val="subscript"/>
              </w:rPr>
              <w:t>2</w:t>
            </w:r>
            <w:r w:rsidRPr="00977185">
              <w:t xml:space="preserve"> = 303,60 + 1214,40 = 1</w:t>
            </w:r>
            <w:r w:rsidRPr="00977185" w:rsidR="00753E92">
              <w:t xml:space="preserve"> </w:t>
            </w:r>
            <w:r w:rsidRPr="00977185">
              <w:t xml:space="preserve">518,00 </w:t>
            </w:r>
            <w:r w:rsidRPr="00977185">
              <w:rPr>
                <w:i/>
              </w:rPr>
              <w:t>euro</w:t>
            </w:r>
          </w:p>
          <w:p w:rsidR="00AF6227" w:rsidRPr="00977185" w:rsidP="00AF6227" w14:paraId="1CCD21D9" w14:textId="7AFE4B9F">
            <w:pPr>
              <w:jc w:val="both"/>
            </w:pPr>
          </w:p>
          <w:p w:rsidR="00AF6227" w:rsidRPr="00977185" w:rsidP="00470466" w14:paraId="186DF0A9" w14:textId="7BC0C3D7">
            <w:pPr>
              <w:jc w:val="both"/>
            </w:pPr>
            <w:r w:rsidRPr="00977185">
              <w:t xml:space="preserve">Papildus skaidrojam, ka noteikumu projekts neradīs papildu administratīvo slogu atkritumu jomas kontrolējošai institūcijai </w:t>
            </w:r>
            <w:r w:rsidRPr="00977185" w:rsidR="00470466">
              <w:t>VVD</w:t>
            </w:r>
            <w:r w:rsidRPr="00977185">
              <w:t>, jo pieejamo resursu ietvaros nav iespēju palielināt pārbaužu skaitu, kas nozīmē, ka pārbaudes ar mērķi pārliecināties par noteikumu projekta nosacījumu ievērošanu, tiks organizētas esošo integrēto pārbaužu ietvaros.</w:t>
            </w:r>
            <w:r w:rsidRPr="00977185" w:rsidR="003C37B2">
              <w:t xml:space="preserve"> Noteikumu projekts atvieglos pārbaužu veikšanu </w:t>
            </w:r>
            <w:r w:rsidRPr="00977185" w:rsidR="00470466">
              <w:t>VVD</w:t>
            </w:r>
            <w:r w:rsidRPr="00977185" w:rsidR="003C37B2">
              <w:t>, jo ziņošanas pienākums reizi ceturksnī par visām komersanta saražotajām otrreizējām izejvielām, ļaus pārliecināties par to, vai ieraksti žurnālā nav tikuši mainīti vai laboti.</w:t>
            </w:r>
          </w:p>
        </w:tc>
      </w:tr>
      <w:tr w14:paraId="37B9F06C" w14:textId="77777777" w:rsidTr="00F26FF0">
        <w:tblPrEx>
          <w:tblW w:w="4984" w:type="pct"/>
          <w:tblCellMar>
            <w:top w:w="30" w:type="dxa"/>
            <w:left w:w="30" w:type="dxa"/>
            <w:bottom w:w="30" w:type="dxa"/>
            <w:right w:w="30" w:type="dxa"/>
          </w:tblCellMar>
          <w:tblLook w:val="04A0"/>
        </w:tblPrEx>
        <w:tc>
          <w:tcPr>
            <w:tcW w:w="313" w:type="pct"/>
            <w:hideMark/>
          </w:tcPr>
          <w:p w:rsidR="00BD5588" w:rsidRPr="00C828DB" w:rsidP="001957D4" w14:paraId="0604D372" w14:textId="1A22EA74">
            <w:pPr>
              <w:jc w:val="center"/>
            </w:pPr>
            <w:r w:rsidRPr="00C828DB">
              <w:t>4.</w:t>
            </w:r>
          </w:p>
        </w:tc>
        <w:tc>
          <w:tcPr>
            <w:tcW w:w="1484" w:type="pct"/>
            <w:hideMark/>
          </w:tcPr>
          <w:p w:rsidR="00BD5588" w:rsidRPr="00C828DB" w:rsidP="001957D4" w14:paraId="02306ED8" w14:textId="77777777">
            <w:r w:rsidRPr="00C828DB">
              <w:t>Atbilstības izmaksu monetārs novērtējums</w:t>
            </w:r>
          </w:p>
        </w:tc>
        <w:tc>
          <w:tcPr>
            <w:tcW w:w="3204" w:type="pct"/>
            <w:hideMark/>
          </w:tcPr>
          <w:p w:rsidR="00617941" w:rsidRPr="00977185" w:rsidP="00617941" w14:paraId="74DB04AF" w14:textId="47E81B9E">
            <w:pPr>
              <w:jc w:val="both"/>
            </w:pPr>
            <w:r w:rsidRPr="00977185">
              <w:t xml:space="preserve">Atbilstības izmaksu novērtējumā iekļauts aprēķins par noteikumu projektā paredzētā viena ieraksta veikšanas izmaksām otrreizējo izejvielu uzglabāšanas un realizācijas uzskaites žurnālā. </w:t>
            </w:r>
          </w:p>
          <w:p w:rsidR="00617941" w:rsidRPr="00977185" w:rsidP="00617941" w14:paraId="114FA10B" w14:textId="77777777">
            <w:pPr>
              <w:pStyle w:val="tv213"/>
              <w:spacing w:before="0" w:beforeAutospacing="0" w:after="0" w:afterAutospacing="0"/>
              <w:ind w:right="108"/>
              <w:jc w:val="both"/>
            </w:pPr>
          </w:p>
          <w:p w:rsidR="00753E92" w:rsidRPr="00977185" w:rsidP="00753E92" w14:paraId="7F80C4C4" w14:textId="549C874C">
            <w:pPr>
              <w:pStyle w:val="tv213"/>
              <w:spacing w:before="0" w:beforeAutospacing="0" w:after="0" w:afterAutospacing="0"/>
              <w:ind w:right="108"/>
              <w:jc w:val="center"/>
            </w:pPr>
            <w:r w:rsidRPr="00977185">
              <w:t>VIENA IERAKSTA VEIKŠANAS IZMAKSAS OTRREIZĒJO IZEJVIELU UZGLABĀŠANAS UN REALIZĀCIJAS UZSKAITES ŽURNĀLĀ</w:t>
            </w:r>
          </w:p>
          <w:p w:rsidR="00753E92" w:rsidRPr="00977185" w:rsidP="00617941" w14:paraId="2AAE2272" w14:textId="77777777">
            <w:pPr>
              <w:pStyle w:val="tv213"/>
              <w:spacing w:before="0" w:beforeAutospacing="0" w:after="0" w:afterAutospacing="0"/>
              <w:ind w:right="108"/>
              <w:jc w:val="both"/>
            </w:pPr>
          </w:p>
          <w:p w:rsidR="00617941" w:rsidRPr="00977185" w:rsidP="00617941" w14:paraId="36E1D307" w14:textId="447DAA8F">
            <w:pPr>
              <w:ind w:left="110" w:right="108"/>
              <w:jc w:val="center"/>
            </w:pPr>
            <w:r w:rsidRPr="00977185">
              <w:t>C</w:t>
            </w:r>
            <w:r w:rsidRPr="00977185" w:rsidR="000C461F">
              <w:rPr>
                <w:vertAlign w:val="subscript"/>
              </w:rPr>
              <w:t>3</w:t>
            </w:r>
            <w:r w:rsidRPr="00977185">
              <w:t xml:space="preserve"> = </w:t>
            </w:r>
            <w:r w:rsidRPr="00977185" w:rsidR="00753E92">
              <w:t>(</w:t>
            </w:r>
            <w:r w:rsidRPr="00977185">
              <w:t>f x l</w:t>
            </w:r>
            <w:r w:rsidRPr="00977185" w:rsidR="00753E92">
              <w:t>)</w:t>
            </w:r>
            <w:r w:rsidRPr="00977185">
              <w:t xml:space="preserve"> x </w:t>
            </w:r>
            <w:r w:rsidRPr="00977185" w:rsidR="00753E92">
              <w:t>(</w:t>
            </w:r>
            <w:r w:rsidRPr="00977185">
              <w:t>n</w:t>
            </w:r>
            <w:r w:rsidRPr="00977185" w:rsidR="00753E92">
              <w:t xml:space="preserve"> x b)</w:t>
            </w:r>
            <w:r w:rsidRPr="00977185">
              <w:t>, kur</w:t>
            </w:r>
          </w:p>
          <w:p w:rsidR="00617941" w:rsidRPr="00977185" w:rsidP="00617941" w14:paraId="10697795" w14:textId="6A99A0F8">
            <w:pPr>
              <w:ind w:left="110" w:right="108"/>
              <w:jc w:val="both"/>
            </w:pPr>
            <w:r w:rsidRPr="00977185">
              <w:t>C</w:t>
            </w:r>
            <w:r w:rsidRPr="00977185" w:rsidR="000C461F">
              <w:rPr>
                <w:vertAlign w:val="subscript"/>
              </w:rPr>
              <w:t>3</w:t>
            </w:r>
            <w:r w:rsidRPr="00977185">
              <w:t xml:space="preserve"> – viena ieraksta veikšanas izmaksas otrreizējo izejvielu uzglabāšanas un realizācijas uzskaites žurnālā;</w:t>
            </w:r>
          </w:p>
          <w:p w:rsidR="00617941" w:rsidRPr="00977185" w:rsidP="00617941" w14:paraId="391D3FE8" w14:textId="6E1BE95D">
            <w:pPr>
              <w:pStyle w:val="tv213"/>
              <w:spacing w:before="0" w:beforeAutospacing="0" w:after="0" w:afterAutospacing="0"/>
              <w:ind w:left="110" w:right="108"/>
              <w:jc w:val="both"/>
            </w:pPr>
            <w:r w:rsidRPr="00977185">
              <w:t xml:space="preserve">f – </w:t>
            </w:r>
            <w:r w:rsidRPr="00977185" w:rsidR="000C461F">
              <w:t>stundas samaksas likme privātajā sektorā 5,28 </w:t>
            </w:r>
            <w:r w:rsidRPr="00977185" w:rsidR="000C461F">
              <w:rPr>
                <w:i/>
              </w:rPr>
              <w:t>euro</w:t>
            </w:r>
            <w:r w:rsidRPr="00977185" w:rsidR="000C461F">
              <w:t>/stundā</w:t>
            </w:r>
            <w:r w:rsidRPr="00977185">
              <w:t>;</w:t>
            </w:r>
          </w:p>
          <w:p w:rsidR="00617941" w:rsidRPr="00977185" w:rsidP="00617941" w14:paraId="32298AA3" w14:textId="77777777">
            <w:pPr>
              <w:pStyle w:val="tv213"/>
              <w:spacing w:before="0" w:beforeAutospacing="0" w:after="0" w:afterAutospacing="0"/>
              <w:ind w:left="110" w:right="108"/>
              <w:jc w:val="both"/>
            </w:pPr>
            <w:r w:rsidRPr="00977185">
              <w:t>l – laika patēriņš, kas nepieciešams, lai veiktu vienu ierakstu noteikumu projektā paredzētajā otrreizējo izejvielu uzglabāšanas un realizācijas uzskaites žurnālā –  5 minūtes jeb 0,08 stundas;</w:t>
            </w:r>
          </w:p>
          <w:p w:rsidR="000C461F" w:rsidRPr="00977185" w:rsidP="00617941" w14:paraId="453A9458" w14:textId="4214A4AF">
            <w:pPr>
              <w:pStyle w:val="tv213"/>
              <w:spacing w:before="0" w:beforeAutospacing="0" w:after="0" w:afterAutospacing="0"/>
              <w:ind w:left="110" w:right="108"/>
              <w:jc w:val="both"/>
            </w:pPr>
            <w:r w:rsidRPr="00977185">
              <w:t xml:space="preserve">n – </w:t>
            </w:r>
            <w:r w:rsidRPr="00977185" w:rsidR="006D0809">
              <w:t>apsaimniekotāju</w:t>
            </w:r>
            <w:r w:rsidRPr="00977185">
              <w:t xml:space="preserve"> skaits, uz kuriem potenciāli attieksies projektā paredzētās prasības – 115</w:t>
            </w:r>
            <w:r w:rsidRPr="00977185">
              <w:t>;</w:t>
            </w:r>
          </w:p>
          <w:p w:rsidR="00617941" w:rsidRPr="00977185" w:rsidP="00617941" w14:paraId="7EB86381" w14:textId="22C13A90">
            <w:pPr>
              <w:pStyle w:val="tv213"/>
              <w:spacing w:before="0" w:beforeAutospacing="0" w:after="0" w:afterAutospacing="0"/>
              <w:ind w:left="110" w:right="108"/>
              <w:jc w:val="both"/>
            </w:pPr>
            <w:r w:rsidRPr="00977185">
              <w:t>b – informācijas sniegšanas reižu skaits gadā – nav nosakāms*</w:t>
            </w:r>
            <w:r w:rsidRPr="00977185">
              <w:t>.</w:t>
            </w:r>
          </w:p>
          <w:p w:rsidR="000C461F" w:rsidRPr="00977185" w:rsidP="00617941" w14:paraId="4D799F2F" w14:textId="77777777">
            <w:pPr>
              <w:pStyle w:val="tv213"/>
              <w:spacing w:before="0" w:beforeAutospacing="0" w:after="0" w:afterAutospacing="0"/>
              <w:ind w:left="110" w:right="108"/>
              <w:jc w:val="both"/>
            </w:pPr>
          </w:p>
          <w:p w:rsidR="00617941" w:rsidRPr="00977185" w:rsidP="000C461F" w14:paraId="02CE5955" w14:textId="421E4B86">
            <w:pPr>
              <w:pStyle w:val="tv213"/>
              <w:spacing w:before="0" w:beforeAutospacing="0" w:after="0" w:afterAutospacing="0"/>
              <w:ind w:right="108"/>
              <w:jc w:val="both"/>
              <w:rPr>
                <w:i/>
              </w:rPr>
            </w:pPr>
            <w:r w:rsidRPr="00977185">
              <w:rPr>
                <w:i/>
              </w:rPr>
              <w:t xml:space="preserve">* Piezīme: ņemot vērā, ka </w:t>
            </w:r>
            <w:r w:rsidRPr="00977185" w:rsidR="006D0809">
              <w:rPr>
                <w:i/>
              </w:rPr>
              <w:t xml:space="preserve">apsaimniekotāji </w:t>
            </w:r>
            <w:r w:rsidRPr="00977185">
              <w:rPr>
                <w:i/>
              </w:rPr>
              <w:t xml:space="preserve">krasi atšķiras pēc savas jaudas un darbības specifikas, kā arī pieprasījums pēc otrreizējām izejvielām ir atšķirīgs gan pa otrreizējo izejvielu veidiem, gan arī ir svārstīgs laikā, tādēļ nav iespējams noteikt ticamu vidējo skaitli tam, cik bieži </w:t>
            </w:r>
            <w:r w:rsidRPr="00977185" w:rsidR="006D0809">
              <w:rPr>
                <w:i/>
              </w:rPr>
              <w:t xml:space="preserve">apsaimniekotājam </w:t>
            </w:r>
            <w:r w:rsidRPr="00977185">
              <w:rPr>
                <w:i/>
              </w:rPr>
              <w:t>būs nepieciešams veikt ierakstus žurnālā.</w:t>
            </w:r>
          </w:p>
          <w:p w:rsidR="000C461F" w:rsidRPr="00977185" w:rsidP="000C461F" w14:paraId="76E13C99" w14:textId="77777777">
            <w:pPr>
              <w:pStyle w:val="tv213"/>
              <w:spacing w:before="0" w:beforeAutospacing="0" w:after="0" w:afterAutospacing="0"/>
              <w:ind w:right="108"/>
              <w:jc w:val="both"/>
            </w:pPr>
          </w:p>
          <w:p w:rsidR="00617941" w:rsidRPr="00977185" w:rsidP="00617941" w14:paraId="4145C2F5" w14:textId="77777777">
            <w:pPr>
              <w:pStyle w:val="tv213"/>
              <w:spacing w:before="0" w:beforeAutospacing="0" w:after="0" w:afterAutospacing="0"/>
              <w:ind w:right="108"/>
              <w:jc w:val="both"/>
            </w:pPr>
            <w:r w:rsidRPr="00977185">
              <w:t xml:space="preserve">Aprēķins: </w:t>
            </w:r>
          </w:p>
          <w:p w:rsidR="00617941" w:rsidRPr="00977185" w:rsidP="00617941" w14:paraId="2C5509DF" w14:textId="7BEA3AED">
            <w:pPr>
              <w:pStyle w:val="tv213"/>
              <w:spacing w:before="0" w:beforeAutospacing="0" w:after="0" w:afterAutospacing="0"/>
              <w:ind w:right="108"/>
            </w:pPr>
            <w:r w:rsidRPr="00977185">
              <w:t>C</w:t>
            </w:r>
            <w:r w:rsidRPr="00977185" w:rsidR="000C461F">
              <w:rPr>
                <w:vertAlign w:val="subscript"/>
              </w:rPr>
              <w:t>3</w:t>
            </w:r>
            <w:r w:rsidRPr="00977185">
              <w:t xml:space="preserve"> = </w:t>
            </w:r>
            <w:r w:rsidRPr="00977185" w:rsidR="00753E92">
              <w:t>(</w:t>
            </w:r>
            <w:r w:rsidRPr="00977185">
              <w:t>5,28 x 0,08</w:t>
            </w:r>
            <w:r w:rsidRPr="00977185" w:rsidR="00753E92">
              <w:t>)</w:t>
            </w:r>
            <w:r w:rsidRPr="00977185">
              <w:t xml:space="preserve"> x </w:t>
            </w:r>
            <w:r w:rsidRPr="00977185" w:rsidR="00753E92">
              <w:t>(</w:t>
            </w:r>
            <w:r w:rsidRPr="00977185">
              <w:t xml:space="preserve">115 </w:t>
            </w:r>
            <w:r w:rsidRPr="00977185" w:rsidR="00753E92">
              <w:t xml:space="preserve">x b) </w:t>
            </w:r>
            <w:r w:rsidRPr="00977185">
              <w:t>= 48,58 </w:t>
            </w:r>
            <w:r w:rsidRPr="00977185">
              <w:rPr>
                <w:i/>
              </w:rPr>
              <w:t>euro</w:t>
            </w:r>
            <w:r w:rsidRPr="00977185" w:rsidR="009629A0">
              <w:rPr>
                <w:i/>
              </w:rPr>
              <w:t xml:space="preserve"> </w:t>
            </w:r>
            <w:r w:rsidRPr="00977185" w:rsidR="00753E92">
              <w:t>x b</w:t>
            </w:r>
          </w:p>
          <w:p w:rsidR="000C461F" w:rsidRPr="00977185" w:rsidP="00617941" w14:paraId="026554A8" w14:textId="77777777">
            <w:pPr>
              <w:pStyle w:val="tv213"/>
              <w:spacing w:before="0" w:beforeAutospacing="0" w:after="0" w:afterAutospacing="0"/>
              <w:ind w:right="108"/>
            </w:pPr>
          </w:p>
          <w:p w:rsidR="00753E92" w:rsidRPr="00977185" w:rsidP="00753E92" w14:paraId="74EE3A50" w14:textId="0B1BBC2C">
            <w:pPr>
              <w:pStyle w:val="tv213"/>
              <w:spacing w:before="0" w:beforeAutospacing="0" w:after="0" w:afterAutospacing="0"/>
              <w:ind w:right="108"/>
              <w:jc w:val="center"/>
            </w:pPr>
            <w:r w:rsidRPr="00977185">
              <w:t>VIENREIZĒJAS OTRREIZĒJO IZEJVIELU INVENTARIZĀCIJAS VEIKŠANAS IZMAKSAS</w:t>
            </w:r>
          </w:p>
          <w:p w:rsidR="002D3CEE" w:rsidRPr="00977185" w:rsidP="002D3CEE" w14:paraId="5AAD8F3E" w14:textId="77777777">
            <w:pPr>
              <w:pStyle w:val="tv213"/>
              <w:spacing w:before="0" w:beforeAutospacing="0" w:after="0" w:afterAutospacing="0"/>
              <w:ind w:right="108"/>
              <w:rPr>
                <w:i/>
              </w:rPr>
            </w:pPr>
          </w:p>
          <w:p w:rsidR="002D3CEE" w:rsidRPr="00977185" w:rsidP="002D3CEE" w14:paraId="4F5D193C" w14:textId="2E728CAA">
            <w:pPr>
              <w:ind w:left="110" w:right="108"/>
              <w:jc w:val="center"/>
            </w:pPr>
            <w:r w:rsidRPr="00977185">
              <w:t>C</w:t>
            </w:r>
            <w:r w:rsidRPr="00977185" w:rsidR="000C461F">
              <w:rPr>
                <w:vertAlign w:val="subscript"/>
              </w:rPr>
              <w:t>4</w:t>
            </w:r>
            <w:r w:rsidRPr="00977185">
              <w:t xml:space="preserve"> = (f x l) x </w:t>
            </w:r>
            <w:r w:rsidRPr="00977185" w:rsidR="000C461F">
              <w:t>(</w:t>
            </w:r>
            <w:r w:rsidRPr="00977185">
              <w:t>n</w:t>
            </w:r>
            <w:r w:rsidRPr="00977185" w:rsidR="000C461F">
              <w:t xml:space="preserve"> x b)</w:t>
            </w:r>
            <w:r w:rsidRPr="00977185">
              <w:t>, kur</w:t>
            </w:r>
          </w:p>
          <w:p w:rsidR="002D3CEE" w:rsidRPr="00977185" w:rsidP="002D3CEE" w14:paraId="419DF939" w14:textId="24A83E06">
            <w:pPr>
              <w:ind w:left="110" w:right="108"/>
              <w:jc w:val="both"/>
            </w:pPr>
            <w:r w:rsidRPr="00977185">
              <w:t>C</w:t>
            </w:r>
            <w:r w:rsidRPr="00977185" w:rsidR="000C461F">
              <w:rPr>
                <w:vertAlign w:val="subscript"/>
              </w:rPr>
              <w:t>4</w:t>
            </w:r>
            <w:r w:rsidRPr="00977185">
              <w:t xml:space="preserve"> – vienreizējas otrreizējo izejvielu inventarizācijas veikšanas izmaksas;</w:t>
            </w:r>
          </w:p>
          <w:p w:rsidR="002D3CEE" w:rsidRPr="00977185" w:rsidP="002D3CEE" w14:paraId="646EE528" w14:textId="77777777">
            <w:pPr>
              <w:pStyle w:val="tv213"/>
              <w:spacing w:before="0" w:beforeAutospacing="0" w:after="0" w:afterAutospacing="0"/>
              <w:ind w:left="110" w:right="108"/>
              <w:jc w:val="both"/>
            </w:pPr>
            <w:r w:rsidRPr="00977185">
              <w:t>f – stundas samaksas likme privātajā sektorā 5,28 </w:t>
            </w:r>
            <w:r w:rsidRPr="00977185">
              <w:rPr>
                <w:i/>
              </w:rPr>
              <w:t>euro</w:t>
            </w:r>
            <w:r w:rsidRPr="00977185">
              <w:t>/stundā;</w:t>
            </w:r>
          </w:p>
          <w:p w:rsidR="002D3CEE" w:rsidRPr="00977185" w:rsidP="002D3CEE" w14:paraId="0D5A2D7D" w14:textId="3F5456A3">
            <w:pPr>
              <w:pStyle w:val="tv213"/>
              <w:spacing w:before="0" w:beforeAutospacing="0" w:after="0" w:afterAutospacing="0"/>
              <w:ind w:left="110" w:right="108"/>
              <w:jc w:val="both"/>
            </w:pPr>
            <w:r w:rsidRPr="00977185">
              <w:t xml:space="preserve">l – vidējais laika patēriņš, kas komersantam nepieciešams, lai veiktu otrreizējo izejvielu inventarizāciju –  </w:t>
            </w:r>
            <w:r w:rsidRPr="00977185" w:rsidR="009629A0">
              <w:t>8</w:t>
            </w:r>
            <w:r w:rsidRPr="00977185">
              <w:t xml:space="preserve"> stundas;</w:t>
            </w:r>
          </w:p>
          <w:p w:rsidR="000C461F" w:rsidRPr="00977185" w:rsidP="002D3CEE" w14:paraId="75289E1B" w14:textId="1F44207C">
            <w:pPr>
              <w:pStyle w:val="tv213"/>
              <w:spacing w:before="0" w:beforeAutospacing="0" w:after="0" w:afterAutospacing="0"/>
              <w:ind w:left="110" w:right="108"/>
              <w:jc w:val="both"/>
            </w:pPr>
            <w:r w:rsidRPr="00977185">
              <w:t xml:space="preserve">n – </w:t>
            </w:r>
            <w:r w:rsidRPr="00977185" w:rsidR="006D0809">
              <w:t xml:space="preserve">apsaimniekotāju </w:t>
            </w:r>
            <w:r w:rsidRPr="00977185">
              <w:t xml:space="preserve">skaits, uz ko attiecas projektā paredzētās prasības – 115 (saskaņā ar </w:t>
            </w:r>
            <w:r w:rsidRPr="00977185" w:rsidR="00470466">
              <w:t>VVD</w:t>
            </w:r>
            <w:r w:rsidRPr="00977185">
              <w:t xml:space="preserve"> aplēsēm)</w:t>
            </w:r>
            <w:r w:rsidRPr="00977185">
              <w:t>;</w:t>
            </w:r>
          </w:p>
          <w:p w:rsidR="002D3CEE" w:rsidRPr="00977185" w:rsidP="000C461F" w14:paraId="578FD4D9" w14:textId="76CA61BB">
            <w:pPr>
              <w:pStyle w:val="tv213"/>
              <w:spacing w:before="0" w:beforeAutospacing="0" w:after="0" w:afterAutospacing="0"/>
              <w:ind w:left="110" w:right="108"/>
              <w:jc w:val="both"/>
            </w:pPr>
            <w:r w:rsidRPr="00977185">
              <w:t xml:space="preserve">b – </w:t>
            </w:r>
            <w:r w:rsidRPr="00977185" w:rsidR="00753E92">
              <w:t>inventarizācijas veikšanas</w:t>
            </w:r>
            <w:r w:rsidRPr="00977185">
              <w:t xml:space="preserve"> reižu skaits gadā – 1 (inventarizācija ir jāveic tikai vienu reizi un katru gadu nav jāatkārto)</w:t>
            </w:r>
            <w:r w:rsidRPr="00977185">
              <w:t>.</w:t>
            </w:r>
          </w:p>
          <w:p w:rsidR="002D3CEE" w:rsidRPr="00977185" w:rsidP="002D3CEE" w14:paraId="43E56AC3" w14:textId="77777777">
            <w:pPr>
              <w:pStyle w:val="tv213"/>
              <w:spacing w:before="0" w:beforeAutospacing="0" w:after="0" w:afterAutospacing="0"/>
              <w:ind w:right="108"/>
              <w:jc w:val="both"/>
            </w:pPr>
          </w:p>
          <w:p w:rsidR="002D3CEE" w:rsidRPr="00977185" w:rsidP="002D3CEE" w14:paraId="533DA430" w14:textId="77777777">
            <w:pPr>
              <w:pStyle w:val="tv213"/>
              <w:spacing w:before="0" w:beforeAutospacing="0" w:after="0" w:afterAutospacing="0"/>
              <w:ind w:right="108"/>
              <w:jc w:val="both"/>
            </w:pPr>
            <w:r w:rsidRPr="00977185">
              <w:t xml:space="preserve">Aprēķins: </w:t>
            </w:r>
          </w:p>
          <w:p w:rsidR="002D3CEE" w:rsidRPr="00977185" w:rsidP="002D3CEE" w14:paraId="7ED0AE1C" w14:textId="71C54B80">
            <w:pPr>
              <w:pStyle w:val="tv213"/>
              <w:spacing w:before="0" w:beforeAutospacing="0" w:after="0" w:afterAutospacing="0"/>
              <w:ind w:right="108"/>
              <w:rPr>
                <w:i/>
              </w:rPr>
            </w:pPr>
            <w:r w:rsidRPr="00977185">
              <w:t>C</w:t>
            </w:r>
            <w:r w:rsidRPr="00977185" w:rsidR="00753E92">
              <w:rPr>
                <w:vertAlign w:val="subscript"/>
              </w:rPr>
              <w:t>4</w:t>
            </w:r>
            <w:r w:rsidRPr="00977185">
              <w:t xml:space="preserve"> = </w:t>
            </w:r>
            <w:r w:rsidRPr="00977185" w:rsidR="000C461F">
              <w:t>(</w:t>
            </w:r>
            <w:r w:rsidRPr="00977185" w:rsidR="00753E92">
              <w:t>5,28 x 8</w:t>
            </w:r>
            <w:r w:rsidRPr="00977185" w:rsidR="000C461F">
              <w:t>)</w:t>
            </w:r>
            <w:r w:rsidRPr="00977185">
              <w:t xml:space="preserve"> x </w:t>
            </w:r>
            <w:r w:rsidRPr="00977185" w:rsidR="000C461F">
              <w:t>(</w:t>
            </w:r>
            <w:r w:rsidRPr="00977185">
              <w:t>115</w:t>
            </w:r>
            <w:r w:rsidRPr="00977185" w:rsidR="000C461F">
              <w:t xml:space="preserve"> x 1)</w:t>
            </w:r>
            <w:r w:rsidRPr="00977185" w:rsidR="00753E92">
              <w:t xml:space="preserve"> = 4 857,60</w:t>
            </w:r>
            <w:r w:rsidRPr="00977185">
              <w:t> </w:t>
            </w:r>
            <w:r w:rsidRPr="00977185">
              <w:rPr>
                <w:i/>
              </w:rPr>
              <w:t>euro</w:t>
            </w:r>
          </w:p>
          <w:p w:rsidR="000C461F" w:rsidRPr="00977185" w:rsidP="000C461F" w14:paraId="0C0DDC83" w14:textId="77777777">
            <w:pPr>
              <w:jc w:val="both"/>
            </w:pPr>
          </w:p>
          <w:p w:rsidR="000C461F" w:rsidRPr="00977185" w:rsidP="00753E92" w14:paraId="17191150" w14:textId="28298CA1">
            <w:pPr>
              <w:jc w:val="both"/>
            </w:pPr>
            <w:r w:rsidRPr="00977185">
              <w:t xml:space="preserve">Papildus skaidrojam, ka akts par veiktās otrreizējo izejvielu inventarizācijas rezultātiem komersantam ir jāglabā trīs gadus un jāuzrāda pēc </w:t>
            </w:r>
            <w:r w:rsidRPr="00977185" w:rsidR="00470466">
              <w:t>VVD</w:t>
            </w:r>
            <w:r w:rsidRPr="00977185">
              <w:t xml:space="preserve"> pieprasījuma, taču </w:t>
            </w:r>
            <w:r w:rsidRPr="00977185" w:rsidR="00753E92">
              <w:t>šīs informācijas uzglabāšana komersantam</w:t>
            </w:r>
            <w:r w:rsidRPr="00977185">
              <w:t xml:space="preserve"> </w:t>
            </w:r>
            <w:r w:rsidRPr="00977185" w:rsidR="00753E92">
              <w:t xml:space="preserve">neradīs </w:t>
            </w:r>
            <w:r w:rsidRPr="00977185" w:rsidR="009629A0">
              <w:t xml:space="preserve">papildu </w:t>
            </w:r>
            <w:r w:rsidRPr="00977185">
              <w:t>izmaksas.</w:t>
            </w:r>
          </w:p>
        </w:tc>
      </w:tr>
      <w:tr w14:paraId="484CE199" w14:textId="77777777" w:rsidTr="00F26FF0">
        <w:tblPrEx>
          <w:tblW w:w="4984" w:type="pct"/>
          <w:tblCellMar>
            <w:top w:w="30" w:type="dxa"/>
            <w:left w:w="30" w:type="dxa"/>
            <w:bottom w:w="30" w:type="dxa"/>
            <w:right w:w="30" w:type="dxa"/>
          </w:tblCellMar>
          <w:tblLook w:val="04A0"/>
        </w:tblPrEx>
        <w:tc>
          <w:tcPr>
            <w:tcW w:w="313" w:type="pct"/>
            <w:hideMark/>
          </w:tcPr>
          <w:p w:rsidR="00BD5588" w:rsidRPr="00C828DB" w:rsidP="001957D4" w14:paraId="73493F37" w14:textId="32465B62">
            <w:pPr>
              <w:jc w:val="center"/>
            </w:pPr>
            <w:r w:rsidRPr="00C828DB">
              <w:t>5.</w:t>
            </w:r>
          </w:p>
        </w:tc>
        <w:tc>
          <w:tcPr>
            <w:tcW w:w="1484" w:type="pct"/>
            <w:hideMark/>
          </w:tcPr>
          <w:p w:rsidR="00BD5588" w:rsidRPr="00C828DB" w:rsidP="001957D4" w14:paraId="5C0B14F8" w14:textId="77777777">
            <w:r w:rsidRPr="00C828DB">
              <w:t>Cita informācija</w:t>
            </w:r>
          </w:p>
        </w:tc>
        <w:tc>
          <w:tcPr>
            <w:tcW w:w="3204" w:type="pct"/>
            <w:hideMark/>
          </w:tcPr>
          <w:p w:rsidR="00BD5588" w:rsidRPr="00C828DB" w:rsidP="001957D4" w14:paraId="30304ED4" w14:textId="2BD40859">
            <w:r w:rsidRPr="00C828DB">
              <w:t>Nav</w:t>
            </w:r>
            <w:r w:rsidRPr="00C828DB" w:rsidR="00C66CBC">
              <w:t>.</w:t>
            </w:r>
          </w:p>
        </w:tc>
      </w:tr>
    </w:tbl>
    <w:p w:rsidR="00E259CE" w:rsidRPr="00C828DB" w:rsidP="00BD5588" w14:paraId="5BE39643" w14:textId="77777777">
      <w:pPr>
        <w:pStyle w:val="Title"/>
        <w:spacing w:before="130" w:line="260" w:lineRule="exact"/>
        <w:ind w:firstLine="539"/>
        <w:jc w:val="both"/>
        <w:rPr>
          <w:sz w:val="24"/>
          <w:szCs w:val="24"/>
        </w:rPr>
      </w:pPr>
    </w:p>
    <w:tbl>
      <w:tblPr>
        <w:tblStyle w:val="TableGrid"/>
        <w:tblW w:w="0" w:type="auto"/>
        <w:tblInd w:w="108" w:type="dxa"/>
        <w:tblLook w:val="04A0"/>
      </w:tblPr>
      <w:tblGrid>
        <w:gridCol w:w="8953"/>
      </w:tblGrid>
      <w:tr w14:paraId="6A2A129B" w14:textId="77777777" w:rsidTr="00144D04">
        <w:tblPrEx>
          <w:tblW w:w="0" w:type="auto"/>
          <w:tblInd w:w="108" w:type="dxa"/>
          <w:tblLook w:val="04A0"/>
        </w:tblPrEx>
        <w:tc>
          <w:tcPr>
            <w:tcW w:w="9072" w:type="dxa"/>
          </w:tcPr>
          <w:p w:rsidR="00616FD4" w:rsidRPr="00C828DB" w:rsidP="001957D4" w14:paraId="38031ADB" w14:textId="77777777">
            <w:pPr>
              <w:jc w:val="center"/>
              <w:rPr>
                <w:b/>
              </w:rPr>
            </w:pPr>
            <w:r w:rsidRPr="00C828DB">
              <w:rPr>
                <w:b/>
              </w:rPr>
              <w:t>III. Tiesību akta projekta ietekme uz valsts budžetu un pašvaldību budžetiem</w:t>
            </w:r>
          </w:p>
        </w:tc>
      </w:tr>
      <w:tr w14:paraId="2E185FB5" w14:textId="77777777" w:rsidTr="00144D04">
        <w:tblPrEx>
          <w:tblW w:w="0" w:type="auto"/>
          <w:tblInd w:w="108" w:type="dxa"/>
          <w:tblLook w:val="04A0"/>
        </w:tblPrEx>
        <w:tc>
          <w:tcPr>
            <w:tcW w:w="9072" w:type="dxa"/>
          </w:tcPr>
          <w:p w:rsidR="00616FD4" w:rsidRPr="00C828DB" w:rsidP="001957D4" w14:paraId="6B18B659" w14:textId="77777777">
            <w:pPr>
              <w:jc w:val="center"/>
            </w:pPr>
            <w:r w:rsidRPr="00C828DB">
              <w:t>Projekts šo jomu neskar.</w:t>
            </w:r>
          </w:p>
        </w:tc>
      </w:tr>
    </w:tbl>
    <w:p w:rsidR="00616FD4" w:rsidP="00616FD4" w14:paraId="781C6177" w14:textId="77777777">
      <w:pPr>
        <w:shd w:val="clear" w:color="auto" w:fill="FFFFFF"/>
      </w:pPr>
    </w:p>
    <w:p w:rsidR="00E259CE" w:rsidRPr="00C828DB" w:rsidP="00616FD4" w14:paraId="43818BF9" w14:textId="77777777">
      <w:pPr>
        <w:shd w:val="clear" w:color="auto" w:fill="FFFFFF"/>
      </w:pPr>
    </w:p>
    <w:tbl>
      <w:tblPr>
        <w:tblStyle w:val="TableGrid"/>
        <w:tblW w:w="0" w:type="auto"/>
        <w:tblInd w:w="108" w:type="dxa"/>
        <w:tblLook w:val="04A0"/>
      </w:tblPr>
      <w:tblGrid>
        <w:gridCol w:w="8953"/>
      </w:tblGrid>
      <w:tr w14:paraId="57980B98" w14:textId="77777777" w:rsidTr="00144D04">
        <w:tblPrEx>
          <w:tblW w:w="0" w:type="auto"/>
          <w:tblInd w:w="108" w:type="dxa"/>
          <w:tblLook w:val="04A0"/>
        </w:tblPrEx>
        <w:tc>
          <w:tcPr>
            <w:tcW w:w="9072" w:type="dxa"/>
          </w:tcPr>
          <w:p w:rsidR="002D3447" w:rsidRPr="00C828DB" w:rsidP="001957D4" w14:paraId="3BC6E04F" w14:textId="77777777">
            <w:pPr>
              <w:jc w:val="center"/>
              <w:rPr>
                <w:b/>
              </w:rPr>
            </w:pPr>
            <w:r w:rsidRPr="00C828DB">
              <w:rPr>
                <w:b/>
              </w:rPr>
              <w:t>IV. Tiesību akta projekta ietekme uz spēkā esošo tiesību normu sistēmu</w:t>
            </w:r>
          </w:p>
        </w:tc>
      </w:tr>
      <w:tr w14:paraId="7B3E1E70" w14:textId="77777777" w:rsidTr="00144D04">
        <w:tblPrEx>
          <w:tblW w:w="0" w:type="auto"/>
          <w:tblInd w:w="108" w:type="dxa"/>
          <w:tblLook w:val="04A0"/>
        </w:tblPrEx>
        <w:tc>
          <w:tcPr>
            <w:tcW w:w="9072" w:type="dxa"/>
          </w:tcPr>
          <w:p w:rsidR="002D3447" w:rsidRPr="00C828DB" w:rsidP="001957D4" w14:paraId="7F019856" w14:textId="77777777">
            <w:pPr>
              <w:jc w:val="center"/>
            </w:pPr>
            <w:r w:rsidRPr="00C828DB">
              <w:t>Projekts šo jomu neskar.</w:t>
            </w:r>
          </w:p>
        </w:tc>
      </w:tr>
    </w:tbl>
    <w:p w:rsidR="002D3447" w:rsidP="002D3447" w14:paraId="1922B0FE" w14:textId="77777777">
      <w:pPr>
        <w:shd w:val="clear" w:color="auto" w:fill="FFFFFF"/>
      </w:pPr>
    </w:p>
    <w:p w:rsidR="00E259CE" w:rsidRPr="00C828DB" w:rsidP="002D3447" w14:paraId="7D6C6C3E" w14:textId="77777777">
      <w:pPr>
        <w:shd w:val="clear" w:color="auto" w:fill="FFFFFF"/>
      </w:pPr>
    </w:p>
    <w:tbl>
      <w:tblPr>
        <w:tblStyle w:val="TableGrid"/>
        <w:tblW w:w="0" w:type="auto"/>
        <w:tblInd w:w="108" w:type="dxa"/>
        <w:tblLook w:val="04A0"/>
      </w:tblPr>
      <w:tblGrid>
        <w:gridCol w:w="454"/>
        <w:gridCol w:w="1843"/>
        <w:gridCol w:w="6656"/>
      </w:tblGrid>
      <w:tr w14:paraId="2D00A6B3" w14:textId="77777777" w:rsidTr="001957D4">
        <w:tblPrEx>
          <w:tblW w:w="0" w:type="auto"/>
          <w:tblInd w:w="108" w:type="dxa"/>
          <w:tblLook w:val="04A0"/>
        </w:tblPrEx>
        <w:tc>
          <w:tcPr>
            <w:tcW w:w="8953" w:type="dxa"/>
            <w:gridSpan w:val="3"/>
          </w:tcPr>
          <w:p w:rsidR="000907FE" w:rsidRPr="00C828DB" w:rsidP="001957D4" w14:paraId="62ECAEF4" w14:textId="0A076FDA">
            <w:pPr>
              <w:jc w:val="center"/>
              <w:rPr>
                <w:b/>
              </w:rPr>
            </w:pPr>
            <w:r w:rsidRPr="00C828DB">
              <w:rPr>
                <w:b/>
              </w:rPr>
              <w:t>V. Tiesību akta projekta atbilstība Latvijas Republikas starptautiskajām saistībām</w:t>
            </w:r>
          </w:p>
        </w:tc>
      </w:tr>
      <w:tr w14:paraId="0566B161" w14:textId="54FFD874" w:rsidTr="0004424F">
        <w:tblPrEx>
          <w:tblW w:w="0" w:type="auto"/>
          <w:tblInd w:w="108" w:type="dxa"/>
          <w:tblLook w:val="04A0"/>
        </w:tblPrEx>
        <w:tc>
          <w:tcPr>
            <w:tcW w:w="454" w:type="dxa"/>
          </w:tcPr>
          <w:p w:rsidR="000907FE" w:rsidRPr="0004424F" w:rsidP="00566E96" w14:paraId="200D95C6" w14:textId="783FAB76">
            <w:r w:rsidRPr="0004424F">
              <w:t>1.</w:t>
            </w:r>
          </w:p>
        </w:tc>
        <w:tc>
          <w:tcPr>
            <w:tcW w:w="1843" w:type="dxa"/>
          </w:tcPr>
          <w:p w:rsidR="000907FE" w:rsidRPr="0004424F" w:rsidP="00566E96" w14:paraId="0D07F5A0" w14:textId="6206202F">
            <w:r w:rsidRPr="0004424F">
              <w:t>Saistības pret Eiropas Savienību</w:t>
            </w:r>
          </w:p>
        </w:tc>
        <w:tc>
          <w:tcPr>
            <w:tcW w:w="6656" w:type="dxa"/>
          </w:tcPr>
          <w:p w:rsidR="000907FE" w:rsidRPr="00977185" w:rsidP="00566E96" w14:paraId="6038AAB2" w14:textId="139EEF7E">
            <w:pPr>
              <w:jc w:val="both"/>
              <w:rPr>
                <w:u w:val="single"/>
              </w:rPr>
            </w:pPr>
            <w:r w:rsidRPr="00977185">
              <w:t>Eiropas Parlamenta un Padomes 2006. gada 14. jūnija Regulu (EK) Nr. 1013/2006 par atkritumu sūtījumiem.</w:t>
            </w:r>
          </w:p>
          <w:p w:rsidR="000907FE" w:rsidRPr="00977185" w:rsidP="00566E96" w14:paraId="3CABE096" w14:textId="77777777">
            <w:pPr>
              <w:jc w:val="both"/>
              <w:rPr>
                <w:shd w:val="clear" w:color="auto" w:fill="FFFFFF"/>
              </w:rPr>
            </w:pPr>
          </w:p>
          <w:p w:rsidR="000907FE" w:rsidRPr="00C828DB" w:rsidP="00566E96" w14:paraId="761FB387" w14:textId="024ACAEB">
            <w:pPr>
              <w:jc w:val="both"/>
              <w:rPr>
                <w:b/>
              </w:rPr>
            </w:pPr>
            <w:r w:rsidRPr="00977185">
              <w:t xml:space="preserve">Gadījumos, kad, veicot starptautiskus otrreizējo izejvielu sūtījumus, kompetentās nosūtīšanas un galamērķa iestādes nevar vienoties par otrreizējo izejvielu pārrobežu sūtījuma klasifikāciju, tiek piemēroti </w:t>
            </w:r>
            <w:r w:rsidRPr="00977185">
              <w:rPr>
                <w:szCs w:val="28"/>
              </w:rPr>
              <w:t>Eiropas Parlamenta un Padomes 2006. gada 14. jūnija Regulas (EK) Nr. 1013/2006 par atkritumu sūtījumiem 28. panta nosacījumi.</w:t>
            </w:r>
          </w:p>
        </w:tc>
      </w:tr>
      <w:tr w14:paraId="4CE60066" w14:textId="77777777" w:rsidTr="0004424F">
        <w:tblPrEx>
          <w:tblW w:w="0" w:type="auto"/>
          <w:tblInd w:w="108" w:type="dxa"/>
          <w:tblLook w:val="04A0"/>
        </w:tblPrEx>
        <w:tc>
          <w:tcPr>
            <w:tcW w:w="454" w:type="dxa"/>
          </w:tcPr>
          <w:p w:rsidR="000907FE" w:rsidRPr="0004424F" w:rsidP="00566E96" w14:paraId="240BBC00" w14:textId="35181739">
            <w:r w:rsidRPr="0004424F">
              <w:t>2.</w:t>
            </w:r>
          </w:p>
        </w:tc>
        <w:tc>
          <w:tcPr>
            <w:tcW w:w="1843" w:type="dxa"/>
          </w:tcPr>
          <w:p w:rsidR="000907FE" w:rsidRPr="0004424F" w:rsidP="00566E96" w14:paraId="5804E8E4" w14:textId="1BD76BC9">
            <w:r>
              <w:t>Citas starptautiskās saistības</w:t>
            </w:r>
          </w:p>
        </w:tc>
        <w:tc>
          <w:tcPr>
            <w:tcW w:w="6656" w:type="dxa"/>
          </w:tcPr>
          <w:p w:rsidR="000907FE" w:rsidRPr="00977185" w:rsidP="00566E96" w14:paraId="4F6766F7" w14:textId="0E2D370D">
            <w:pPr>
              <w:jc w:val="both"/>
            </w:pPr>
            <w:r>
              <w:t>Nav.</w:t>
            </w:r>
          </w:p>
        </w:tc>
      </w:tr>
      <w:tr w14:paraId="357EEB29" w14:textId="77777777" w:rsidTr="0004424F">
        <w:tblPrEx>
          <w:tblW w:w="0" w:type="auto"/>
          <w:tblInd w:w="108" w:type="dxa"/>
          <w:tblLook w:val="04A0"/>
        </w:tblPrEx>
        <w:tc>
          <w:tcPr>
            <w:tcW w:w="454" w:type="dxa"/>
          </w:tcPr>
          <w:p w:rsidR="000907FE" w:rsidRPr="0004424F" w:rsidP="00566E96" w14:paraId="117541C4" w14:textId="5788C5C6">
            <w:r w:rsidRPr="0004424F">
              <w:t>3.</w:t>
            </w:r>
          </w:p>
        </w:tc>
        <w:tc>
          <w:tcPr>
            <w:tcW w:w="1843" w:type="dxa"/>
          </w:tcPr>
          <w:p w:rsidR="000907FE" w:rsidRPr="0004424F" w:rsidP="00566E96" w14:paraId="0CE9FDD3" w14:textId="1368DF5E">
            <w:r>
              <w:t>Cita informācija</w:t>
            </w:r>
          </w:p>
        </w:tc>
        <w:tc>
          <w:tcPr>
            <w:tcW w:w="6656" w:type="dxa"/>
          </w:tcPr>
          <w:p w:rsidR="000907FE" w:rsidRPr="00977185" w:rsidP="00566E96" w14:paraId="07BB3F7A" w14:textId="77A5A22B">
            <w:pPr>
              <w:jc w:val="both"/>
            </w:pPr>
            <w:r>
              <w:t>Nav.</w:t>
            </w:r>
          </w:p>
        </w:tc>
      </w:tr>
    </w:tbl>
    <w:p w:rsidR="002D3447" w:rsidP="002D3447" w14:paraId="4FAF76D5" w14:textId="77777777">
      <w:r w:rsidRPr="00C828DB">
        <w:t xml:space="preserve">  </w:t>
      </w:r>
    </w:p>
    <w:p w:rsidR="00E259CE" w:rsidRPr="00C828DB" w:rsidP="002D3447" w14:paraId="7F6C6BB1" w14:textId="77777777"/>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05"/>
        <w:gridCol w:w="1559"/>
        <w:gridCol w:w="2268"/>
        <w:gridCol w:w="2868"/>
      </w:tblGrid>
      <w:tr w14:paraId="214EED8A" w14:textId="77777777" w:rsidTr="00144D04">
        <w:tblPrEx>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523"/>
        </w:trPr>
        <w:tc>
          <w:tcPr>
            <w:tcW w:w="9100" w:type="dxa"/>
            <w:gridSpan w:val="4"/>
            <w:vAlign w:val="center"/>
          </w:tcPr>
          <w:p w:rsidR="00566E96" w:rsidRPr="00C828DB" w:rsidP="001957D4" w14:paraId="699BBF10" w14:textId="77777777">
            <w:pPr>
              <w:jc w:val="center"/>
              <w:rPr>
                <w:b/>
                <w:bCs/>
              </w:rPr>
            </w:pPr>
            <w:r w:rsidRPr="00C828DB">
              <w:rPr>
                <w:b/>
                <w:bCs/>
              </w:rPr>
              <w:t>1.tabula</w:t>
            </w:r>
          </w:p>
          <w:p w:rsidR="00566E96" w:rsidRPr="00C828DB" w:rsidP="001957D4" w14:paraId="16FDCA84" w14:textId="77777777">
            <w:pPr>
              <w:jc w:val="center"/>
              <w:rPr>
                <w:b/>
                <w:bCs/>
                <w:i/>
              </w:rPr>
            </w:pPr>
            <w:r w:rsidRPr="00C828DB">
              <w:rPr>
                <w:b/>
                <w:bCs/>
              </w:rPr>
              <w:t>Tiesību akta projekta atbilstība ES tiesību aktiem</w:t>
            </w:r>
          </w:p>
        </w:tc>
      </w:tr>
      <w:tr w14:paraId="11036933" w14:textId="77777777" w:rsidTr="0004424F">
        <w:tblPrEx>
          <w:tblW w:w="9100" w:type="dxa"/>
          <w:tblLayout w:type="fixed"/>
          <w:tblCellMar>
            <w:left w:w="28" w:type="dxa"/>
            <w:right w:w="28" w:type="dxa"/>
          </w:tblCellMar>
          <w:tblLook w:val="0000"/>
        </w:tblPrEx>
        <w:trPr>
          <w:trHeight w:val="1252"/>
        </w:trPr>
        <w:tc>
          <w:tcPr>
            <w:tcW w:w="2405" w:type="dxa"/>
            <w:vAlign w:val="center"/>
          </w:tcPr>
          <w:p w:rsidR="00566E96" w:rsidRPr="0004424F" w:rsidP="001957D4" w14:paraId="6BFB9AD3" w14:textId="77777777">
            <w:pPr>
              <w:ind w:hanging="10"/>
              <w:jc w:val="both"/>
            </w:pPr>
            <w:r w:rsidRPr="0004424F">
              <w:t>Attiecīgā ES tiesību akta datums, numurs un nosaukums</w:t>
            </w:r>
          </w:p>
        </w:tc>
        <w:tc>
          <w:tcPr>
            <w:tcW w:w="6695" w:type="dxa"/>
            <w:gridSpan w:val="3"/>
            <w:vAlign w:val="center"/>
          </w:tcPr>
          <w:p w:rsidR="00566E96" w:rsidRPr="00977185" w:rsidP="00704918" w14:paraId="5AA1ECB9" w14:textId="37AAE12E">
            <w:pPr>
              <w:jc w:val="both"/>
              <w:rPr>
                <w:shd w:val="clear" w:color="auto" w:fill="FFFFFF"/>
              </w:rPr>
            </w:pPr>
            <w:r w:rsidRPr="00977185">
              <w:t>Eiropas Parlamenta un Padomes 2006. gada 14. jūnija Regul</w:t>
            </w:r>
            <w:r w:rsidRPr="00977185" w:rsidR="00015A7A">
              <w:t>a</w:t>
            </w:r>
            <w:r w:rsidRPr="00977185">
              <w:t xml:space="preserve"> (EK) Nr. 1013/2006 par atkritumu sūtījumiem</w:t>
            </w:r>
            <w:r w:rsidRPr="00977185" w:rsidR="00015A7A">
              <w:t>.</w:t>
            </w:r>
          </w:p>
        </w:tc>
      </w:tr>
      <w:tr w14:paraId="050A2977" w14:textId="77777777" w:rsidTr="0004424F">
        <w:tblPrEx>
          <w:tblW w:w="9100" w:type="dxa"/>
          <w:tblLayout w:type="fixed"/>
          <w:tblCellMar>
            <w:left w:w="28" w:type="dxa"/>
            <w:right w:w="28" w:type="dxa"/>
          </w:tblCellMar>
          <w:tblLook w:val="0000"/>
        </w:tblPrEx>
        <w:trPr>
          <w:trHeight w:val="165"/>
        </w:trPr>
        <w:tc>
          <w:tcPr>
            <w:tcW w:w="2405" w:type="dxa"/>
            <w:vAlign w:val="center"/>
          </w:tcPr>
          <w:p w:rsidR="00566E96" w:rsidRPr="00C828DB" w:rsidP="001957D4" w14:paraId="4AE783E5" w14:textId="77777777">
            <w:pPr>
              <w:jc w:val="both"/>
              <w:rPr>
                <w:b/>
              </w:rPr>
            </w:pPr>
            <w:r w:rsidRPr="00C828DB">
              <w:rPr>
                <w:b/>
              </w:rPr>
              <w:t>A</w:t>
            </w:r>
          </w:p>
        </w:tc>
        <w:tc>
          <w:tcPr>
            <w:tcW w:w="1559" w:type="dxa"/>
            <w:vAlign w:val="center"/>
          </w:tcPr>
          <w:p w:rsidR="00566E96" w:rsidRPr="00C828DB" w:rsidP="001957D4" w14:paraId="2EBBD523" w14:textId="77777777">
            <w:pPr>
              <w:jc w:val="both"/>
              <w:rPr>
                <w:b/>
              </w:rPr>
            </w:pPr>
            <w:r w:rsidRPr="00C828DB">
              <w:rPr>
                <w:b/>
              </w:rPr>
              <w:t>B</w:t>
            </w:r>
          </w:p>
        </w:tc>
        <w:tc>
          <w:tcPr>
            <w:tcW w:w="2268" w:type="dxa"/>
            <w:vAlign w:val="center"/>
          </w:tcPr>
          <w:p w:rsidR="00566E96" w:rsidRPr="00C828DB" w:rsidP="001957D4" w14:paraId="76EC7D99" w14:textId="77777777">
            <w:pPr>
              <w:jc w:val="both"/>
              <w:rPr>
                <w:b/>
              </w:rPr>
            </w:pPr>
            <w:r w:rsidRPr="00C828DB">
              <w:rPr>
                <w:b/>
              </w:rPr>
              <w:t>C</w:t>
            </w:r>
          </w:p>
        </w:tc>
        <w:tc>
          <w:tcPr>
            <w:tcW w:w="2868" w:type="dxa"/>
            <w:vAlign w:val="center"/>
          </w:tcPr>
          <w:p w:rsidR="00566E96" w:rsidRPr="00C828DB" w:rsidP="001957D4" w14:paraId="699B4746" w14:textId="77777777">
            <w:pPr>
              <w:jc w:val="both"/>
              <w:rPr>
                <w:b/>
              </w:rPr>
            </w:pPr>
            <w:r w:rsidRPr="00C828DB">
              <w:rPr>
                <w:b/>
              </w:rPr>
              <w:t>D</w:t>
            </w:r>
          </w:p>
        </w:tc>
      </w:tr>
      <w:tr w14:paraId="4BA17179" w14:textId="77777777" w:rsidTr="0004424F">
        <w:tblPrEx>
          <w:tblW w:w="9100" w:type="dxa"/>
          <w:tblLayout w:type="fixed"/>
          <w:tblCellMar>
            <w:left w:w="28" w:type="dxa"/>
            <w:right w:w="28" w:type="dxa"/>
          </w:tblCellMar>
          <w:tblLook w:val="0000"/>
        </w:tblPrEx>
        <w:trPr>
          <w:trHeight w:val="165"/>
        </w:trPr>
        <w:tc>
          <w:tcPr>
            <w:tcW w:w="2405" w:type="dxa"/>
            <w:vAlign w:val="center"/>
          </w:tcPr>
          <w:p w:rsidR="00C42B85" w:rsidRPr="00C828DB" w:rsidP="001957D4" w14:paraId="336F956E" w14:textId="6B3747AD">
            <w:pPr>
              <w:jc w:val="both"/>
              <w:rPr>
                <w:b/>
              </w:rPr>
            </w:pPr>
            <w:r>
              <w:t>Attiecīgā ES tiesību akta panta numurs (uzskaitot katru tiesību akta vienību – pantu, daļu, punktu, apakšpunktu)</w:t>
            </w:r>
          </w:p>
        </w:tc>
        <w:tc>
          <w:tcPr>
            <w:tcW w:w="1559" w:type="dxa"/>
            <w:vAlign w:val="center"/>
          </w:tcPr>
          <w:p w:rsidR="00C42B85" w:rsidRPr="00C828DB" w:rsidP="001957D4" w14:paraId="5AC45D9F" w14:textId="389C1A22">
            <w:pPr>
              <w:jc w:val="both"/>
              <w:rPr>
                <w:b/>
              </w:rPr>
            </w:pPr>
            <w:r>
              <w:t>Projekta vienība, kas pārņem vai ievieš katru šīs tabulas A ailē minēto ES tiesību akta vienību, vai tiesību akts, kur attiecīgā ES tiesību akta vienība pārņemta vai ieviesta</w:t>
            </w:r>
          </w:p>
        </w:tc>
        <w:tc>
          <w:tcPr>
            <w:tcW w:w="2268" w:type="dxa"/>
            <w:vAlign w:val="center"/>
          </w:tcPr>
          <w:p w:rsidR="00C42B85" w:rsidRPr="00C828DB" w:rsidP="001957D4" w14:paraId="3A489399" w14:textId="24152AD3">
            <w:pPr>
              <w:jc w:val="both"/>
              <w:rPr>
                <w:b/>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868" w:type="dxa"/>
            <w:vAlign w:val="center"/>
          </w:tcPr>
          <w:p w:rsidR="00C42B85" w:rsidRPr="00C828DB" w:rsidP="001957D4" w14:paraId="0D533192" w14:textId="5A04A315">
            <w:pPr>
              <w:jc w:val="both"/>
              <w:rPr>
                <w:b/>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14:paraId="369BE5A7" w14:textId="77777777" w:rsidTr="0004424F">
        <w:tblPrEx>
          <w:tblW w:w="9100" w:type="dxa"/>
          <w:tblLayout w:type="fixed"/>
          <w:tblCellMar>
            <w:left w:w="28" w:type="dxa"/>
            <w:right w:w="28" w:type="dxa"/>
          </w:tblCellMar>
          <w:tblLook w:val="0000"/>
        </w:tblPrEx>
        <w:trPr>
          <w:trHeight w:val="313"/>
        </w:trPr>
        <w:tc>
          <w:tcPr>
            <w:tcW w:w="2405" w:type="dxa"/>
          </w:tcPr>
          <w:p w:rsidR="00566E96" w:rsidRPr="00977185" w:rsidP="001957D4" w14:paraId="5A95D003" w14:textId="1648240E">
            <w:pPr>
              <w:jc w:val="both"/>
            </w:pPr>
            <w:r w:rsidRPr="00977185">
              <w:t>Regulas Nr. 1013/2006</w:t>
            </w:r>
            <w:r w:rsidRPr="00977185">
              <w:rPr>
                <w:u w:val="single"/>
              </w:rPr>
              <w:t xml:space="preserve"> </w:t>
            </w:r>
            <w:r w:rsidRPr="00977185">
              <w:t>28. pants</w:t>
            </w:r>
          </w:p>
        </w:tc>
        <w:tc>
          <w:tcPr>
            <w:tcW w:w="1559" w:type="dxa"/>
          </w:tcPr>
          <w:p w:rsidR="00566E96" w:rsidRPr="00977185" w:rsidP="001957D4" w14:paraId="4059F80E" w14:textId="4CEDE4DC">
            <w:pPr>
              <w:jc w:val="both"/>
            </w:pPr>
            <w:r w:rsidRPr="00977185">
              <w:t>5</w:t>
            </w:r>
            <w:r w:rsidRPr="00977185">
              <w:t>. punkts</w:t>
            </w:r>
          </w:p>
        </w:tc>
        <w:tc>
          <w:tcPr>
            <w:tcW w:w="2268" w:type="dxa"/>
          </w:tcPr>
          <w:p w:rsidR="00566E96" w:rsidRPr="00977185" w:rsidP="001957D4" w14:paraId="568DF951" w14:textId="77777777">
            <w:pPr>
              <w:jc w:val="both"/>
            </w:pPr>
            <w:r w:rsidRPr="00977185">
              <w:t>Atbilst pilnībā</w:t>
            </w:r>
          </w:p>
        </w:tc>
        <w:tc>
          <w:tcPr>
            <w:tcW w:w="2868" w:type="dxa"/>
          </w:tcPr>
          <w:p w:rsidR="00566E96" w:rsidRPr="00977185" w:rsidP="00015A7A" w14:paraId="1FA2762A" w14:textId="28C4BEEB">
            <w:pPr>
              <w:jc w:val="both"/>
            </w:pPr>
            <w:r w:rsidRPr="00977185">
              <w:t xml:space="preserve">Netiek noteiktas stingrākas prasības nekā </w:t>
            </w:r>
            <w:r w:rsidRPr="00977185" w:rsidR="00015A7A">
              <w:t>regulā</w:t>
            </w:r>
            <w:r w:rsidRPr="00977185">
              <w:t>.</w:t>
            </w:r>
          </w:p>
        </w:tc>
      </w:tr>
      <w:tr w14:paraId="6B197FA8" w14:textId="77777777" w:rsidTr="0004424F">
        <w:tblPrEx>
          <w:tblW w:w="9100" w:type="dxa"/>
          <w:tblLayout w:type="fixed"/>
          <w:tblCellMar>
            <w:left w:w="28" w:type="dxa"/>
            <w:right w:w="28" w:type="dxa"/>
          </w:tblCellMar>
          <w:tblLook w:val="0000"/>
        </w:tblPrEx>
        <w:trPr>
          <w:trHeight w:val="313"/>
        </w:trPr>
        <w:tc>
          <w:tcPr>
            <w:tcW w:w="2405" w:type="dxa"/>
          </w:tcPr>
          <w:p w:rsidR="00566E96" w:rsidRPr="0004424F" w:rsidP="001957D4" w14:paraId="085771CD" w14:textId="77777777">
            <w:pPr>
              <w:ind w:left="57"/>
              <w:jc w:val="both"/>
              <w:rPr>
                <w:spacing w:val="-3"/>
              </w:rPr>
            </w:pPr>
            <w:r w:rsidRPr="0004424F">
              <w:rPr>
                <w:spacing w:val="-3"/>
              </w:rPr>
              <w:t>Kā ir izmantota ES tiesību aktā paredzētā rīcības brīvība dalīb</w:t>
            </w:r>
            <w:r w:rsidRPr="0004424F">
              <w:rPr>
                <w:spacing w:val="-3"/>
              </w:rPr>
              <w:softHyphen/>
              <w:t>valstij pārņemt vai ieviest noteiktas ES tiesību akta normas?</w:t>
            </w:r>
          </w:p>
          <w:p w:rsidR="00566E96" w:rsidRPr="0004424F" w:rsidP="001957D4" w14:paraId="1DB56A91" w14:textId="77777777">
            <w:pPr>
              <w:jc w:val="both"/>
            </w:pPr>
            <w:r w:rsidRPr="0004424F">
              <w:rPr>
                <w:spacing w:val="-3"/>
              </w:rPr>
              <w:t>Kādēļ?</w:t>
            </w:r>
          </w:p>
        </w:tc>
        <w:tc>
          <w:tcPr>
            <w:tcW w:w="6695" w:type="dxa"/>
            <w:gridSpan w:val="3"/>
          </w:tcPr>
          <w:p w:rsidR="00566E96" w:rsidRPr="00C42B85" w:rsidP="001957D4" w14:paraId="53C5ECC7" w14:textId="705818C5">
            <w:pPr>
              <w:jc w:val="both"/>
            </w:pPr>
            <w:r w:rsidRPr="00C42B85">
              <w:rPr>
                <w:shd w:val="clear" w:color="auto" w:fill="FFFFFF"/>
              </w:rPr>
              <w:t>Nav</w:t>
            </w:r>
            <w:r w:rsidR="00C42B85">
              <w:rPr>
                <w:shd w:val="clear" w:color="auto" w:fill="FFFFFF"/>
              </w:rPr>
              <w:t>.</w:t>
            </w:r>
          </w:p>
        </w:tc>
      </w:tr>
      <w:tr w14:paraId="3EA733EF" w14:textId="77777777" w:rsidTr="0004424F">
        <w:tblPrEx>
          <w:tblW w:w="9100" w:type="dxa"/>
          <w:tblLayout w:type="fixed"/>
          <w:tblCellMar>
            <w:left w:w="28" w:type="dxa"/>
            <w:right w:w="28" w:type="dxa"/>
          </w:tblCellMar>
          <w:tblLook w:val="0000"/>
        </w:tblPrEx>
        <w:trPr>
          <w:trHeight w:val="313"/>
        </w:trPr>
        <w:tc>
          <w:tcPr>
            <w:tcW w:w="2405" w:type="dxa"/>
          </w:tcPr>
          <w:p w:rsidR="00566E96" w:rsidRPr="0004424F" w:rsidP="001957D4" w14:paraId="4C43496A" w14:textId="77777777">
            <w:pPr>
              <w:ind w:left="57"/>
              <w:jc w:val="both"/>
            </w:pPr>
            <w:r w:rsidRPr="0004424F">
              <w:rPr>
                <w:spacing w:val="-3"/>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95" w:type="dxa"/>
            <w:gridSpan w:val="3"/>
          </w:tcPr>
          <w:p w:rsidR="00566E96" w:rsidRPr="00C42B85" w:rsidP="001957D4" w14:paraId="4C644B3D" w14:textId="7EBB2C28">
            <w:pPr>
              <w:jc w:val="both"/>
            </w:pPr>
            <w:r w:rsidRPr="00C42B85">
              <w:rPr>
                <w:shd w:val="clear" w:color="auto" w:fill="FFFFFF"/>
              </w:rPr>
              <w:t>Nav</w:t>
            </w:r>
            <w:r w:rsidR="00C42B85">
              <w:rPr>
                <w:shd w:val="clear" w:color="auto" w:fill="FFFFFF"/>
              </w:rPr>
              <w:t>.</w:t>
            </w:r>
          </w:p>
        </w:tc>
      </w:tr>
      <w:tr w14:paraId="6F078410" w14:textId="77777777" w:rsidTr="0004424F">
        <w:tblPrEx>
          <w:tblW w:w="9100" w:type="dxa"/>
          <w:tblLayout w:type="fixed"/>
          <w:tblCellMar>
            <w:left w:w="28" w:type="dxa"/>
            <w:right w:w="28" w:type="dxa"/>
          </w:tblCellMar>
          <w:tblLook w:val="0000"/>
        </w:tblPrEx>
        <w:trPr>
          <w:trHeight w:val="313"/>
        </w:trPr>
        <w:tc>
          <w:tcPr>
            <w:tcW w:w="2405" w:type="dxa"/>
          </w:tcPr>
          <w:p w:rsidR="00566E96" w:rsidRPr="0004424F" w:rsidP="001957D4" w14:paraId="2F802A52" w14:textId="77777777">
            <w:pPr>
              <w:ind w:left="57"/>
              <w:jc w:val="both"/>
            </w:pPr>
            <w:r w:rsidRPr="0004424F">
              <w:rPr>
                <w:spacing w:val="-3"/>
              </w:rPr>
              <w:t>Cita informācija</w:t>
            </w:r>
          </w:p>
        </w:tc>
        <w:tc>
          <w:tcPr>
            <w:tcW w:w="6695" w:type="dxa"/>
            <w:gridSpan w:val="3"/>
          </w:tcPr>
          <w:p w:rsidR="00566E96" w:rsidRPr="0004424F" w:rsidP="001957D4" w14:paraId="62E4651A" w14:textId="6D99FEA1">
            <w:pPr>
              <w:jc w:val="both"/>
            </w:pPr>
            <w:r w:rsidRPr="0004424F">
              <w:t>Nav</w:t>
            </w:r>
            <w:r w:rsidR="00C42B85">
              <w:t>.</w:t>
            </w:r>
          </w:p>
        </w:tc>
      </w:tr>
    </w:tbl>
    <w:p w:rsidR="00566E96" w:rsidP="002D3447" w14:paraId="08C0DAEF" w14:textId="77777777"/>
    <w:p w:rsidR="00E259CE" w:rsidRPr="00C828DB" w:rsidP="002D3447" w14:paraId="1875EF5C" w14:textId="77777777"/>
    <w:tbl>
      <w:tblPr>
        <w:tblW w:w="502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83"/>
        <w:gridCol w:w="2717"/>
        <w:gridCol w:w="6106"/>
      </w:tblGrid>
      <w:tr w14:paraId="4A825987" w14:textId="77777777" w:rsidTr="00C66CBC">
        <w:tblPrEx>
          <w:tblW w:w="502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D3447" w:rsidRPr="00C828DB" w:rsidP="001957D4" w14:paraId="3AC8F596" w14:textId="77777777">
            <w:pPr>
              <w:spacing w:before="100" w:beforeAutospacing="1" w:after="100" w:afterAutospacing="1" w:line="293" w:lineRule="atLeast"/>
              <w:jc w:val="center"/>
              <w:rPr>
                <w:b/>
                <w:bCs/>
              </w:rPr>
            </w:pPr>
            <w:r w:rsidRPr="00C828DB">
              <w:rPr>
                <w:b/>
                <w:bCs/>
              </w:rPr>
              <w:t>VI. Sabiedrības līdzdalība un komunikācijas aktivitātes</w:t>
            </w:r>
          </w:p>
        </w:tc>
      </w:tr>
      <w:tr w14:paraId="256048C3" w14:textId="77777777" w:rsidTr="00C66CBC">
        <w:tblPrEx>
          <w:tblW w:w="5028" w:type="pct"/>
          <w:jc w:val="center"/>
          <w:tblCellMar>
            <w:top w:w="24" w:type="dxa"/>
            <w:left w:w="24" w:type="dxa"/>
            <w:bottom w:w="24" w:type="dxa"/>
            <w:right w:w="24" w:type="dxa"/>
          </w:tblCellMar>
          <w:tblLook w:val="04A0"/>
        </w:tblPrEx>
        <w:trPr>
          <w:trHeight w:val="432"/>
          <w:jc w:val="center"/>
        </w:trPr>
        <w:tc>
          <w:tcPr>
            <w:tcW w:w="155"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05B16850" w14:textId="77777777">
            <w:r w:rsidRPr="00C828DB">
              <w:t>1.</w:t>
            </w:r>
          </w:p>
        </w:tc>
        <w:tc>
          <w:tcPr>
            <w:tcW w:w="1492"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01FB777E" w14:textId="77777777">
            <w:r w:rsidRPr="00C828DB">
              <w:t>Plānotās sabiedrības līdzdalības un komunikācijas aktivitātes saistībā ar projektu</w:t>
            </w:r>
          </w:p>
        </w:tc>
        <w:tc>
          <w:tcPr>
            <w:tcW w:w="3354" w:type="pct"/>
            <w:tcBorders>
              <w:top w:val="outset" w:sz="6" w:space="0" w:color="414142"/>
              <w:left w:val="outset" w:sz="6" w:space="0" w:color="414142"/>
              <w:bottom w:val="outset" w:sz="6" w:space="0" w:color="414142"/>
              <w:right w:val="outset" w:sz="6" w:space="0" w:color="414142"/>
            </w:tcBorders>
            <w:hideMark/>
          </w:tcPr>
          <w:p w:rsidR="002D3447" w:rsidRPr="00C828DB" w:rsidP="00C66CBC" w14:paraId="2723D99E" w14:textId="044464D9">
            <w:pPr>
              <w:pStyle w:val="naisf"/>
              <w:spacing w:before="0" w:after="0"/>
              <w:ind w:right="57" w:firstLine="0"/>
            </w:pPr>
            <w:r w:rsidRPr="00C828DB">
              <w:t>Saskaņā ar Ministru kabineta 2009. gada 25. augusta noteikumu Nr. 970 “Sabiedrības līdzdalības kārtība attīstības plānošanas procesā” 7.4.</w:t>
            </w:r>
            <w:r w:rsidRPr="00C828DB">
              <w:rPr>
                <w:vertAlign w:val="superscript"/>
              </w:rPr>
              <w:t>1</w:t>
            </w:r>
            <w:r w:rsidRPr="00C828DB">
              <w:t> apakšpunktu</w:t>
            </w:r>
            <w:r w:rsidRPr="00C828DB" w:rsidR="00C66CBC">
              <w:t>,</w:t>
            </w:r>
            <w:r w:rsidRPr="00C828DB">
              <w:t xml:space="preserve"> sabiedrības pārstāvji ir aicināti līdzdarboties, rakstiski sniedzot viedokli par noteikumu projektu tā izstrādes stadijā.</w:t>
            </w:r>
          </w:p>
        </w:tc>
      </w:tr>
      <w:tr w14:paraId="006599D0" w14:textId="77777777" w:rsidTr="00C66CBC">
        <w:tblPrEx>
          <w:tblW w:w="5028" w:type="pct"/>
          <w:jc w:val="center"/>
          <w:tblCellMar>
            <w:top w:w="24" w:type="dxa"/>
            <w:left w:w="24" w:type="dxa"/>
            <w:bottom w:w="24" w:type="dxa"/>
            <w:right w:w="24" w:type="dxa"/>
          </w:tblCellMar>
          <w:tblLook w:val="04A0"/>
        </w:tblPrEx>
        <w:trPr>
          <w:trHeight w:val="264"/>
          <w:jc w:val="center"/>
        </w:trPr>
        <w:tc>
          <w:tcPr>
            <w:tcW w:w="155"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79D41A75" w14:textId="77777777">
            <w:r w:rsidRPr="00C828DB">
              <w:t>2.</w:t>
            </w:r>
          </w:p>
        </w:tc>
        <w:tc>
          <w:tcPr>
            <w:tcW w:w="1492"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5907EE7E" w14:textId="77777777">
            <w:r w:rsidRPr="00C828DB">
              <w:t>Sabiedrības līdzdalība projekta izstrādē</w:t>
            </w:r>
          </w:p>
        </w:tc>
        <w:tc>
          <w:tcPr>
            <w:tcW w:w="3354" w:type="pct"/>
            <w:tcBorders>
              <w:top w:val="outset" w:sz="6" w:space="0" w:color="414142"/>
              <w:left w:val="outset" w:sz="6" w:space="0" w:color="414142"/>
              <w:bottom w:val="outset" w:sz="6" w:space="0" w:color="414142"/>
              <w:right w:val="outset" w:sz="6" w:space="0" w:color="414142"/>
            </w:tcBorders>
            <w:hideMark/>
          </w:tcPr>
          <w:p w:rsidR="002D3447" w:rsidRPr="00C828DB" w14:paraId="20553882" w14:textId="5867FC61">
            <w:pPr>
              <w:jc w:val="both"/>
            </w:pPr>
            <w:r w:rsidRPr="00C828DB">
              <w:t xml:space="preserve">Noteikumu projekts ievietots </w:t>
            </w:r>
            <w:r w:rsidR="00C357E5">
              <w:t>VARAM</w:t>
            </w:r>
            <w:r w:rsidRPr="00C828DB">
              <w:t xml:space="preserve"> tīmekļvietnē  </w:t>
            </w:r>
            <w:r>
              <w:fldChar w:fldCharType="begin"/>
            </w:r>
            <w:r>
              <w:instrText xml:space="preserve"> HYPERLINK "http://www.varam.gov.lv" </w:instrText>
            </w:r>
            <w:r>
              <w:fldChar w:fldCharType="separate"/>
            </w:r>
            <w:r w:rsidRPr="00C828DB">
              <w:rPr>
                <w:color w:val="0000FF"/>
                <w:u w:val="single"/>
              </w:rPr>
              <w:t>www.varam.gov.lv</w:t>
            </w:r>
            <w:r>
              <w:fldChar w:fldCharType="end"/>
            </w:r>
            <w:r w:rsidRPr="00C828DB" w:rsidR="008617F0">
              <w:t xml:space="preserve"> 2018. gada </w:t>
            </w:r>
            <w:r w:rsidRPr="00C828DB">
              <w:t xml:space="preserve">6. februārī, </w:t>
            </w:r>
            <w:r w:rsidRPr="00C828DB" w:rsidR="00F71B63">
              <w:t>sniedzot</w:t>
            </w:r>
            <w:r w:rsidRPr="00C828DB">
              <w:t xml:space="preserve"> ieinteresētajām personām iespēj</w:t>
            </w:r>
            <w:r w:rsidRPr="00C828DB" w:rsidR="00F71B63">
              <w:t>u</w:t>
            </w:r>
            <w:r w:rsidRPr="00C828DB">
              <w:t xml:space="preserve"> izteikt viedokli un </w:t>
            </w:r>
            <w:r w:rsidRPr="00C828DB" w:rsidR="00C66CBC">
              <w:t>ie</w:t>
            </w:r>
            <w:r w:rsidRPr="00C828DB">
              <w:t>sniegt priekšlikumus.</w:t>
            </w:r>
          </w:p>
        </w:tc>
      </w:tr>
      <w:tr w14:paraId="794821FC" w14:textId="77777777" w:rsidTr="00C66CBC">
        <w:tblPrEx>
          <w:tblW w:w="5028" w:type="pct"/>
          <w:jc w:val="center"/>
          <w:tblCellMar>
            <w:top w:w="24" w:type="dxa"/>
            <w:left w:w="24" w:type="dxa"/>
            <w:bottom w:w="24" w:type="dxa"/>
            <w:right w:w="24" w:type="dxa"/>
          </w:tblCellMar>
          <w:tblLook w:val="04A0"/>
        </w:tblPrEx>
        <w:trPr>
          <w:trHeight w:val="372"/>
          <w:jc w:val="center"/>
        </w:trPr>
        <w:tc>
          <w:tcPr>
            <w:tcW w:w="155"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54CA7815" w14:textId="77777777">
            <w:r w:rsidRPr="00C828DB">
              <w:t>3.</w:t>
            </w:r>
          </w:p>
        </w:tc>
        <w:tc>
          <w:tcPr>
            <w:tcW w:w="1492"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766DAE52" w14:textId="77777777">
            <w:r w:rsidRPr="00C828DB">
              <w:t>Sabiedrības līdzdalības rezultāti</w:t>
            </w:r>
          </w:p>
        </w:tc>
        <w:tc>
          <w:tcPr>
            <w:tcW w:w="3354" w:type="pct"/>
            <w:tcBorders>
              <w:top w:val="outset" w:sz="6" w:space="0" w:color="414142"/>
              <w:left w:val="outset" w:sz="6" w:space="0" w:color="414142"/>
              <w:bottom w:val="outset" w:sz="6" w:space="0" w:color="414142"/>
              <w:right w:val="outset" w:sz="6" w:space="0" w:color="414142"/>
            </w:tcBorders>
            <w:hideMark/>
          </w:tcPr>
          <w:p w:rsidR="002D3447" w:rsidRPr="00977185" w:rsidP="001957D4" w14:paraId="68C56F35" w14:textId="2C061271">
            <w:r w:rsidRPr="00977185">
              <w:t>Priekšlikumi no sabiedrības pārstāvjiem netika saņemti.</w:t>
            </w:r>
          </w:p>
        </w:tc>
      </w:tr>
      <w:tr w14:paraId="0FFC477C" w14:textId="77777777" w:rsidTr="00C66CBC">
        <w:tblPrEx>
          <w:tblW w:w="5028" w:type="pct"/>
          <w:jc w:val="center"/>
          <w:tblCellMar>
            <w:top w:w="24" w:type="dxa"/>
            <w:left w:w="24" w:type="dxa"/>
            <w:bottom w:w="24" w:type="dxa"/>
            <w:right w:w="24" w:type="dxa"/>
          </w:tblCellMar>
          <w:tblLook w:val="04A0"/>
        </w:tblPrEx>
        <w:trPr>
          <w:trHeight w:val="372"/>
          <w:jc w:val="center"/>
        </w:trPr>
        <w:tc>
          <w:tcPr>
            <w:tcW w:w="155"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5F4CC9AA" w14:textId="77777777">
            <w:r w:rsidRPr="00C828DB">
              <w:t>4.</w:t>
            </w:r>
          </w:p>
        </w:tc>
        <w:tc>
          <w:tcPr>
            <w:tcW w:w="1492"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1FE16809" w14:textId="77777777">
            <w:r w:rsidRPr="00C828DB">
              <w:t>Cita informācija</w:t>
            </w:r>
          </w:p>
        </w:tc>
        <w:tc>
          <w:tcPr>
            <w:tcW w:w="3354"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2560DC9D" w14:textId="5F84AD42">
            <w:pPr>
              <w:spacing w:before="100" w:beforeAutospacing="1" w:after="100" w:afterAutospacing="1" w:line="293" w:lineRule="atLeast"/>
            </w:pPr>
            <w:r w:rsidRPr="00C828DB">
              <w:t>Nav</w:t>
            </w:r>
            <w:r w:rsidR="00E82766">
              <w:t>.</w:t>
            </w:r>
          </w:p>
        </w:tc>
      </w:tr>
    </w:tbl>
    <w:p w:rsidR="003B61CF" w:rsidRPr="00C828DB" w:rsidP="002D3447" w14:paraId="64975CC2" w14:textId="77777777"/>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668"/>
        <w:gridCol w:w="5935"/>
      </w:tblGrid>
      <w:tr w14:paraId="5F009F01" w14:textId="77777777" w:rsidTr="001957D4">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D3447" w:rsidRPr="00C828DB" w:rsidP="001957D4" w14:paraId="31532D61" w14:textId="77777777">
            <w:pPr>
              <w:spacing w:before="100" w:beforeAutospacing="1" w:after="100" w:afterAutospacing="1" w:line="293" w:lineRule="atLeast"/>
              <w:jc w:val="center"/>
              <w:rPr>
                <w:b/>
                <w:bCs/>
              </w:rPr>
            </w:pPr>
            <w:r w:rsidRPr="00C828DB">
              <w:rPr>
                <w:b/>
                <w:bCs/>
              </w:rPr>
              <w:t>VII. Tiesību akta projekta izpildes nodrošināšana un tās ietekme uz institūcijām</w:t>
            </w:r>
          </w:p>
        </w:tc>
      </w:tr>
      <w:tr w14:paraId="5C537BDB" w14:textId="77777777" w:rsidTr="00015A7A">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35E0CF1E" w14:textId="77777777">
            <w:r w:rsidRPr="00C828DB">
              <w:t>1.</w:t>
            </w:r>
          </w:p>
        </w:tc>
        <w:tc>
          <w:tcPr>
            <w:tcW w:w="1473"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0C767F01" w14:textId="77777777">
            <w:r w:rsidRPr="00C828DB">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38F2F951" w14:textId="6ADF535A">
            <w:pPr>
              <w:jc w:val="both"/>
            </w:pPr>
            <w:r w:rsidRPr="00C828DB">
              <w:rPr>
                <w:szCs w:val="28"/>
              </w:rPr>
              <w:t>VVD</w:t>
            </w:r>
          </w:p>
        </w:tc>
      </w:tr>
      <w:tr w14:paraId="3AE1FF24" w14:textId="77777777" w:rsidTr="00015A7A">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09C35BD3" w14:textId="77777777">
            <w:r w:rsidRPr="00C828DB">
              <w:t>2.</w:t>
            </w:r>
          </w:p>
        </w:tc>
        <w:tc>
          <w:tcPr>
            <w:tcW w:w="1473" w:type="pct"/>
            <w:tcBorders>
              <w:top w:val="outset" w:sz="6" w:space="0" w:color="414142"/>
              <w:left w:val="outset" w:sz="6" w:space="0" w:color="414142"/>
              <w:bottom w:val="outset" w:sz="6" w:space="0" w:color="414142"/>
              <w:right w:val="outset" w:sz="6" w:space="0" w:color="414142"/>
            </w:tcBorders>
            <w:hideMark/>
          </w:tcPr>
          <w:p w:rsidR="002D3447" w:rsidRPr="00C828DB" w:rsidP="008617F0" w14:paraId="26A66A45" w14:textId="77777777">
            <w:r w:rsidRPr="00C828DB">
              <w:t>Projekta izpildes ietekme uz pārvaldes funkcijām un institucionālo struktūru.</w:t>
            </w:r>
          </w:p>
          <w:p w:rsidR="002D3447" w:rsidRPr="00C828DB" w:rsidP="008617F0" w14:paraId="5947B0E2" w14:textId="77777777">
            <w:r w:rsidRPr="00C828DB">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rsidR="002D3447" w:rsidRPr="00C828DB" w:rsidP="00C66CBC" w14:paraId="2E59A372" w14:textId="77777777">
            <w:pPr>
              <w:pStyle w:val="naisnod"/>
              <w:spacing w:before="0" w:after="0"/>
              <w:ind w:right="57"/>
              <w:jc w:val="both"/>
              <w:rPr>
                <w:b w:val="0"/>
              </w:rPr>
            </w:pPr>
            <w:r w:rsidRPr="00C828DB">
              <w:rPr>
                <w:b w:val="0"/>
              </w:rPr>
              <w:t>Noteikumu projekts neietekmē iesaistīto institūciju funkcijas un uzdevumus.</w:t>
            </w:r>
          </w:p>
          <w:p w:rsidR="002D3447" w:rsidRPr="00C828DB" w:rsidP="001957D4" w14:paraId="3FE021FC" w14:textId="77777777">
            <w:pPr>
              <w:pStyle w:val="naisnod"/>
              <w:spacing w:before="0" w:after="0"/>
              <w:ind w:left="57" w:right="57"/>
              <w:jc w:val="both"/>
              <w:rPr>
                <w:b w:val="0"/>
              </w:rPr>
            </w:pPr>
          </w:p>
          <w:p w:rsidR="002D3447" w:rsidRPr="00C828DB" w:rsidP="001957D4" w14:paraId="148484A9" w14:textId="77777777">
            <w:pPr>
              <w:spacing w:before="100" w:beforeAutospacing="1" w:after="100" w:afterAutospacing="1" w:line="293" w:lineRule="atLeast"/>
              <w:jc w:val="both"/>
            </w:pPr>
            <w:r w:rsidRPr="00C828DB">
              <w:rPr>
                <w:bCs/>
              </w:rPr>
              <w:t>Jaunas institūcijas nav jāveido. Esošās institūcijas nav jāreorganizē.</w:t>
            </w:r>
          </w:p>
        </w:tc>
      </w:tr>
      <w:tr w14:paraId="4BF1CBDD" w14:textId="77777777" w:rsidTr="00015A7A">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0B05E751" w14:textId="77777777">
            <w:r w:rsidRPr="00C828DB">
              <w:t>3.</w:t>
            </w:r>
          </w:p>
        </w:tc>
        <w:tc>
          <w:tcPr>
            <w:tcW w:w="1473"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7C87BCBA" w14:textId="77777777">
            <w:r w:rsidRPr="00C828DB">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2D3447" w:rsidRPr="00C828DB" w:rsidP="001957D4" w14:paraId="7E603583" w14:textId="7FF7A93F">
            <w:pPr>
              <w:spacing w:before="100" w:beforeAutospacing="1" w:after="100" w:afterAutospacing="1" w:line="293" w:lineRule="atLeast"/>
            </w:pPr>
            <w:r w:rsidRPr="00C828DB">
              <w:t>Nav</w:t>
            </w:r>
            <w:r w:rsidR="00E82766">
              <w:t>.</w:t>
            </w:r>
          </w:p>
        </w:tc>
      </w:tr>
    </w:tbl>
    <w:p w:rsidR="002D3447" w:rsidRPr="00C828DB" w:rsidP="002D3447" w14:paraId="1626BF12" w14:textId="77777777">
      <w:pPr>
        <w:rPr>
          <w:sz w:val="28"/>
          <w:szCs w:val="28"/>
        </w:rPr>
      </w:pPr>
    </w:p>
    <w:p w:rsidR="002D3447" w:rsidRPr="00C828DB" w:rsidP="002D3447" w14:paraId="677CCA96" w14:textId="77777777">
      <w:pPr>
        <w:tabs>
          <w:tab w:val="left" w:pos="6237"/>
        </w:tabs>
      </w:pPr>
    </w:p>
    <w:p w:rsidR="002D3447" w:rsidRPr="00C828DB" w:rsidP="002D3447" w14:paraId="3974CD69" w14:textId="77777777">
      <w:pPr>
        <w:tabs>
          <w:tab w:val="left" w:pos="6237"/>
        </w:tabs>
      </w:pPr>
      <w:r w:rsidRPr="00C828DB">
        <w:t xml:space="preserve">Vides aizsardzības un </w:t>
      </w:r>
    </w:p>
    <w:p w:rsidR="002D3447" w:rsidRPr="00C828DB" w:rsidP="002D3447" w14:paraId="50F904B8" w14:textId="77777777">
      <w:pPr>
        <w:tabs>
          <w:tab w:val="left" w:pos="6237"/>
        </w:tabs>
      </w:pPr>
      <w:r w:rsidRPr="00C828DB">
        <w:t>reģionālās attīstības ministrs</w:t>
      </w:r>
      <w:r w:rsidRPr="00C828DB">
        <w:tab/>
        <w:t>Kaspars Gerhards</w:t>
      </w:r>
    </w:p>
    <w:p w:rsidR="002D3447" w:rsidRPr="00C828DB" w:rsidP="002D3447" w14:paraId="7C36DCEF" w14:textId="77777777">
      <w:pPr>
        <w:tabs>
          <w:tab w:val="left" w:pos="6237"/>
        </w:tabs>
        <w:rPr>
          <w:sz w:val="28"/>
          <w:szCs w:val="28"/>
        </w:rPr>
      </w:pPr>
    </w:p>
    <w:p w:rsidR="002D3447" w:rsidRPr="00C828DB" w:rsidP="002D3447" w14:paraId="5FC6B1B6" w14:textId="77777777">
      <w:pPr>
        <w:tabs>
          <w:tab w:val="left" w:pos="6237"/>
        </w:tabs>
        <w:rPr>
          <w:szCs w:val="28"/>
        </w:rPr>
      </w:pPr>
    </w:p>
    <w:p w:rsidR="002D3447" w:rsidRPr="00C828DB" w:rsidP="002D3447" w14:paraId="649C7ABE" w14:textId="0DA48685">
      <w:pPr>
        <w:tabs>
          <w:tab w:val="left" w:pos="6237"/>
        </w:tabs>
        <w:rPr>
          <w:sz w:val="20"/>
          <w:szCs w:val="20"/>
        </w:rPr>
      </w:pPr>
      <w:r w:rsidRPr="00C828DB">
        <w:rPr>
          <w:sz w:val="20"/>
          <w:szCs w:val="20"/>
        </w:rPr>
        <w:t>Slaidiņa 67026</w:t>
      </w:r>
      <w:r w:rsidRPr="00C828DB" w:rsidR="00C66CBC">
        <w:rPr>
          <w:sz w:val="20"/>
          <w:szCs w:val="20"/>
        </w:rPr>
        <w:t>487</w:t>
      </w:r>
      <w:r w:rsidRPr="00C828DB">
        <w:rPr>
          <w:sz w:val="20"/>
          <w:szCs w:val="20"/>
        </w:rPr>
        <w:t xml:space="preserve"> </w:t>
      </w:r>
    </w:p>
    <w:p w:rsidR="00E44472" w:rsidRPr="00E6255D" w:rsidP="00C66CBC" w14:paraId="7BBE8B83" w14:textId="6FEE4143">
      <w:pPr>
        <w:tabs>
          <w:tab w:val="left" w:pos="6237"/>
        </w:tabs>
      </w:pPr>
      <w:r>
        <w:fldChar w:fldCharType="begin"/>
      </w:r>
      <w:r>
        <w:instrText xml:space="preserve"> HYPERLINK "mailto:natalija.slaidina@varam.gov.lv" </w:instrText>
      </w:r>
      <w:r>
        <w:fldChar w:fldCharType="separate"/>
      </w:r>
      <w:r w:rsidRPr="00C828DB" w:rsidR="002D3447">
        <w:rPr>
          <w:rStyle w:val="Hyperlink"/>
          <w:sz w:val="20"/>
        </w:rPr>
        <w:t>natalija.slaidina@varam.gov.lv</w:t>
      </w:r>
      <w:r>
        <w:fldChar w:fldCharType="end"/>
      </w:r>
      <w:r w:rsidRPr="00425EC2" w:rsidR="002D3447">
        <w:rPr>
          <w:sz w:val="20"/>
          <w:szCs w:val="20"/>
        </w:rPr>
        <w:t xml:space="preserve"> </w:t>
      </w:r>
    </w:p>
    <w:sectPr w:rsidSect="00682A3C">
      <w:headerReference w:type="default" r:id="rId4"/>
      <w:footerReference w:type="default" r:id="rId5"/>
      <w:footerReference w:type="firs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EE9" w:rsidRPr="00C66CBC" w14:paraId="1D907D90" w14:textId="3906127F">
    <w:pPr>
      <w:pStyle w:val="Footer"/>
      <w:rPr>
        <w:sz w:val="20"/>
        <w:szCs w:val="20"/>
      </w:rPr>
    </w:pPr>
    <w:r>
      <w:rPr>
        <w:sz w:val="20"/>
        <w:szCs w:val="20"/>
      </w:rPr>
      <w:t>VARAMAnot_20072018_otrr_izejvielas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EE9" w:rsidRPr="00FF5C85" w14:paraId="4F0D427F" w14:textId="356F831D">
    <w:pPr>
      <w:pStyle w:val="Footer"/>
      <w:rPr>
        <w:sz w:val="20"/>
        <w:szCs w:val="20"/>
      </w:rPr>
    </w:pPr>
    <w:r>
      <w:rPr>
        <w:sz w:val="20"/>
        <w:szCs w:val="20"/>
      </w:rPr>
      <w:t>VARAMAnot_2007</w:t>
    </w:r>
    <w:r w:rsidRPr="00BB5BA1">
      <w:rPr>
        <w:sz w:val="20"/>
        <w:szCs w:val="20"/>
      </w:rPr>
      <w:t>2018_otrr_izejvielas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4897975"/>
      <w:docPartObj>
        <w:docPartGallery w:val="Page Numbers (Top of Page)"/>
        <w:docPartUnique/>
      </w:docPartObj>
    </w:sdtPr>
    <w:sdtEndPr>
      <w:rPr>
        <w:noProof/>
      </w:rPr>
    </w:sdtEndPr>
    <w:sdtContent>
      <w:p w:rsidR="00BE6EE9" w14:paraId="0FD436A2" w14:textId="5696D1E7">
        <w:pPr>
          <w:pStyle w:val="Header"/>
          <w:jc w:val="center"/>
        </w:pPr>
        <w:r>
          <w:fldChar w:fldCharType="begin"/>
        </w:r>
        <w:r>
          <w:instrText xml:space="preserve"> PAGE   \* MERGEFORMAT </w:instrText>
        </w:r>
        <w:r>
          <w:fldChar w:fldCharType="separate"/>
        </w:r>
        <w:r w:rsidR="007E76E3">
          <w:rPr>
            <w:noProof/>
          </w:rPr>
          <w:t>10</w:t>
        </w:r>
        <w:r>
          <w:rPr>
            <w:noProof/>
          </w:rPr>
          <w:fldChar w:fldCharType="end"/>
        </w:r>
      </w:p>
    </w:sdtContent>
  </w:sdt>
  <w:p w:rsidR="00BE6EE9" w14:paraId="7BB19E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5F24B9"/>
    <w:multiLevelType w:val="hybridMultilevel"/>
    <w:tmpl w:val="8F622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E096495"/>
    <w:multiLevelType w:val="hybridMultilevel"/>
    <w:tmpl w:val="31B8D902"/>
    <w:lvl w:ilvl="0">
      <w:start w:val="1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5A7A"/>
    <w:rsid w:val="00033202"/>
    <w:rsid w:val="0004424F"/>
    <w:rsid w:val="000816AF"/>
    <w:rsid w:val="000907FE"/>
    <w:rsid w:val="000A0C73"/>
    <w:rsid w:val="000C22AB"/>
    <w:rsid w:val="000C461F"/>
    <w:rsid w:val="00125DEB"/>
    <w:rsid w:val="00144D04"/>
    <w:rsid w:val="001957D4"/>
    <w:rsid w:val="00195940"/>
    <w:rsid w:val="001D7205"/>
    <w:rsid w:val="001F393A"/>
    <w:rsid w:val="002144C2"/>
    <w:rsid w:val="002336EB"/>
    <w:rsid w:val="002443DF"/>
    <w:rsid w:val="00280871"/>
    <w:rsid w:val="0028793E"/>
    <w:rsid w:val="002C0DD3"/>
    <w:rsid w:val="002D3447"/>
    <w:rsid w:val="002D3CEE"/>
    <w:rsid w:val="002F5E1F"/>
    <w:rsid w:val="003361AC"/>
    <w:rsid w:val="0038382A"/>
    <w:rsid w:val="003B14C8"/>
    <w:rsid w:val="003B61CF"/>
    <w:rsid w:val="003C1984"/>
    <w:rsid w:val="003C37B2"/>
    <w:rsid w:val="003D1EA4"/>
    <w:rsid w:val="003D3F4E"/>
    <w:rsid w:val="004212A5"/>
    <w:rsid w:val="00425EC2"/>
    <w:rsid w:val="0044232B"/>
    <w:rsid w:val="00470466"/>
    <w:rsid w:val="004B715D"/>
    <w:rsid w:val="004F10D0"/>
    <w:rsid w:val="00547B24"/>
    <w:rsid w:val="00553381"/>
    <w:rsid w:val="00566E96"/>
    <w:rsid w:val="00570179"/>
    <w:rsid w:val="005D2957"/>
    <w:rsid w:val="005D5C29"/>
    <w:rsid w:val="00603E9D"/>
    <w:rsid w:val="00616FD4"/>
    <w:rsid w:val="00617941"/>
    <w:rsid w:val="00646262"/>
    <w:rsid w:val="00681267"/>
    <w:rsid w:val="00682A3C"/>
    <w:rsid w:val="006A237D"/>
    <w:rsid w:val="006B66B9"/>
    <w:rsid w:val="006D0809"/>
    <w:rsid w:val="00704918"/>
    <w:rsid w:val="00731642"/>
    <w:rsid w:val="00736C78"/>
    <w:rsid w:val="00753E92"/>
    <w:rsid w:val="0076621A"/>
    <w:rsid w:val="007C1872"/>
    <w:rsid w:val="007C7394"/>
    <w:rsid w:val="007D4F5F"/>
    <w:rsid w:val="007D5AFE"/>
    <w:rsid w:val="007E76E3"/>
    <w:rsid w:val="008116A3"/>
    <w:rsid w:val="0081404A"/>
    <w:rsid w:val="00824172"/>
    <w:rsid w:val="008516E5"/>
    <w:rsid w:val="008617F0"/>
    <w:rsid w:val="00886F63"/>
    <w:rsid w:val="008874BA"/>
    <w:rsid w:val="00894D46"/>
    <w:rsid w:val="008C34F0"/>
    <w:rsid w:val="009061F0"/>
    <w:rsid w:val="009629A0"/>
    <w:rsid w:val="00974BDD"/>
    <w:rsid w:val="00977185"/>
    <w:rsid w:val="00992523"/>
    <w:rsid w:val="00992BB8"/>
    <w:rsid w:val="009C04A0"/>
    <w:rsid w:val="009F5FAC"/>
    <w:rsid w:val="00A0701C"/>
    <w:rsid w:val="00A50210"/>
    <w:rsid w:val="00A63FA1"/>
    <w:rsid w:val="00A6400F"/>
    <w:rsid w:val="00A849C0"/>
    <w:rsid w:val="00AA5BFE"/>
    <w:rsid w:val="00AF6227"/>
    <w:rsid w:val="00B01424"/>
    <w:rsid w:val="00B14AA0"/>
    <w:rsid w:val="00B42D99"/>
    <w:rsid w:val="00B43F14"/>
    <w:rsid w:val="00B57353"/>
    <w:rsid w:val="00B73195"/>
    <w:rsid w:val="00B90018"/>
    <w:rsid w:val="00B94112"/>
    <w:rsid w:val="00BA0901"/>
    <w:rsid w:val="00BB5BA1"/>
    <w:rsid w:val="00BD5588"/>
    <w:rsid w:val="00BE4CEF"/>
    <w:rsid w:val="00BE5C99"/>
    <w:rsid w:val="00BE6EE9"/>
    <w:rsid w:val="00C357E5"/>
    <w:rsid w:val="00C42B85"/>
    <w:rsid w:val="00C50C6A"/>
    <w:rsid w:val="00C66CBC"/>
    <w:rsid w:val="00C828DB"/>
    <w:rsid w:val="00C970D7"/>
    <w:rsid w:val="00CD67E3"/>
    <w:rsid w:val="00CE6755"/>
    <w:rsid w:val="00D74110"/>
    <w:rsid w:val="00D90C1B"/>
    <w:rsid w:val="00D92A6F"/>
    <w:rsid w:val="00DD7257"/>
    <w:rsid w:val="00DE07ED"/>
    <w:rsid w:val="00DE4721"/>
    <w:rsid w:val="00DF1FFA"/>
    <w:rsid w:val="00DF40F7"/>
    <w:rsid w:val="00E05CC1"/>
    <w:rsid w:val="00E244A3"/>
    <w:rsid w:val="00E259CE"/>
    <w:rsid w:val="00E44472"/>
    <w:rsid w:val="00E6255D"/>
    <w:rsid w:val="00E82766"/>
    <w:rsid w:val="00E83A3E"/>
    <w:rsid w:val="00E92F3B"/>
    <w:rsid w:val="00EC251D"/>
    <w:rsid w:val="00EC6E5A"/>
    <w:rsid w:val="00F26FF0"/>
    <w:rsid w:val="00F46EF0"/>
    <w:rsid w:val="00F71B63"/>
    <w:rsid w:val="00F72919"/>
    <w:rsid w:val="00F77C39"/>
    <w:rsid w:val="00F87CDE"/>
    <w:rsid w:val="00FA7915"/>
    <w:rsid w:val="00FF3576"/>
    <w:rsid w:val="00FF5C8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C045A2D-9242-4AD5-8237-1B4986D3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A6400F"/>
    <w:rPr>
      <w:sz w:val="16"/>
      <w:szCs w:val="16"/>
    </w:rPr>
  </w:style>
  <w:style w:type="paragraph" w:styleId="CommentText">
    <w:name w:val="annotation text"/>
    <w:basedOn w:val="Normal"/>
    <w:link w:val="CommentTextChar"/>
    <w:uiPriority w:val="99"/>
    <w:unhideWhenUsed/>
    <w:rsid w:val="00A6400F"/>
    <w:rPr>
      <w:sz w:val="20"/>
      <w:szCs w:val="20"/>
    </w:rPr>
  </w:style>
  <w:style w:type="character" w:customStyle="1" w:styleId="CommentTextChar">
    <w:name w:val="Comment Text Char"/>
    <w:basedOn w:val="DefaultParagraphFont"/>
    <w:link w:val="CommentText"/>
    <w:uiPriority w:val="99"/>
    <w:rsid w:val="00A6400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400F"/>
    <w:rPr>
      <w:b/>
      <w:bCs/>
    </w:rPr>
  </w:style>
  <w:style w:type="character" w:customStyle="1" w:styleId="CommentSubjectChar">
    <w:name w:val="Comment Subject Char"/>
    <w:basedOn w:val="CommentTextChar"/>
    <w:link w:val="CommentSubject"/>
    <w:uiPriority w:val="99"/>
    <w:semiHidden/>
    <w:rsid w:val="00A6400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0F"/>
    <w:rPr>
      <w:rFonts w:ascii="Segoe UI" w:eastAsia="Times New Roman" w:hAnsi="Segoe UI" w:cs="Segoe UI"/>
      <w:sz w:val="18"/>
      <w:szCs w:val="18"/>
      <w:lang w:eastAsia="lv-LV"/>
    </w:rPr>
  </w:style>
  <w:style w:type="table" w:styleId="TableGrid">
    <w:name w:val="Table Grid"/>
    <w:basedOn w:val="TableNormal"/>
    <w:uiPriority w:val="39"/>
    <w:rsid w:val="0061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2D3447"/>
    <w:pPr>
      <w:spacing w:before="150" w:after="150"/>
      <w:jc w:val="center"/>
    </w:pPr>
    <w:rPr>
      <w:b/>
      <w:bCs/>
    </w:rPr>
  </w:style>
  <w:style w:type="paragraph" w:customStyle="1" w:styleId="naisf">
    <w:name w:val="naisf"/>
    <w:basedOn w:val="Normal"/>
    <w:rsid w:val="002D3447"/>
    <w:pPr>
      <w:spacing w:before="75" w:after="75"/>
      <w:ind w:firstLine="375"/>
      <w:jc w:val="both"/>
    </w:pPr>
  </w:style>
  <w:style w:type="paragraph" w:styleId="Header">
    <w:name w:val="header"/>
    <w:basedOn w:val="Normal"/>
    <w:link w:val="HeaderChar"/>
    <w:uiPriority w:val="99"/>
    <w:unhideWhenUsed/>
    <w:rsid w:val="00C66CBC"/>
    <w:pPr>
      <w:tabs>
        <w:tab w:val="center" w:pos="4153"/>
        <w:tab w:val="right" w:pos="8306"/>
      </w:tabs>
    </w:pPr>
  </w:style>
  <w:style w:type="character" w:customStyle="1" w:styleId="HeaderChar">
    <w:name w:val="Header Char"/>
    <w:basedOn w:val="DefaultParagraphFont"/>
    <w:link w:val="Header"/>
    <w:uiPriority w:val="99"/>
    <w:rsid w:val="00C66C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6CBC"/>
    <w:pPr>
      <w:tabs>
        <w:tab w:val="center" w:pos="4153"/>
        <w:tab w:val="right" w:pos="8306"/>
      </w:tabs>
    </w:pPr>
  </w:style>
  <w:style w:type="character" w:customStyle="1" w:styleId="FooterChar">
    <w:name w:val="Footer Char"/>
    <w:basedOn w:val="DefaultParagraphFont"/>
    <w:link w:val="Footer"/>
    <w:uiPriority w:val="99"/>
    <w:rsid w:val="00C66CB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66E9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213">
    <w:name w:val="tv213"/>
    <w:basedOn w:val="Normal"/>
    <w:rsid w:val="00F26F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13422</Words>
  <Characters>7652</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Ministru kabineta noteikumu projekts "Otrreizējo izejvielu uzskaites kārtība"</vt:lpstr>
    </vt:vector>
  </TitlesOfParts>
  <Company>Vides aizsardzības un reģionālās attīstības ministrija</Company>
  <LinksUpToDate>false</LinksUpToDate>
  <CharactersWithSpaces>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"Otrreizējo izejvielu uzskaites kārtība"</dc:title>
  <dc:subject>Noteikumu projekts</dc:subject>
  <dc:creator>Natālija Slaidiņa</dc:creator>
  <dc:description>67026487, natalija.slaidina@varam.gov.lv</dc:description>
  <cp:lastModifiedBy>Olga Paipala</cp:lastModifiedBy>
  <cp:revision>4</cp:revision>
  <cp:lastPrinted>2018-03-14T13:53:00Z</cp:lastPrinted>
  <dcterms:created xsi:type="dcterms:W3CDTF">2018-07-20T06:36:00Z</dcterms:created>
  <dcterms:modified xsi:type="dcterms:W3CDTF">2018-07-23T11:25:00Z</dcterms:modified>
</cp:coreProperties>
</file>