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63BB9" w:rsidP="00C63BB9" w14:paraId="5014FAF6" w14:textId="77777777">
      <w:pPr>
        <w:jc w:val="center"/>
        <w:rPr>
          <w:b/>
        </w:rPr>
      </w:pPr>
      <w:r>
        <w:rPr>
          <w:b/>
          <w:bCs/>
        </w:rPr>
        <w:t xml:space="preserve">Ministru kabineta rīkojuma projekta </w:t>
      </w:r>
      <w:r>
        <w:rPr>
          <w:b/>
        </w:rPr>
        <w:t xml:space="preserve">„Par valstij piekrītošo būvju, Zentenes pagastā, Tukuma novadā, nodošanu Tukuma novada pašvaldības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08441B" w:rsidP="00C63BB9" w14:paraId="5014FAF7" w14:textId="77777777">
      <w:pPr>
        <w:jc w:val="center"/>
        <w:rPr>
          <w:b/>
        </w:rPr>
      </w:pPr>
    </w:p>
    <w:tbl>
      <w:tblPr>
        <w:tblStyle w:val="TableGrid"/>
        <w:tblW w:w="10490" w:type="dxa"/>
        <w:tblInd w:w="-572" w:type="dxa"/>
        <w:tblLook w:val="04A0"/>
      </w:tblPr>
      <w:tblGrid>
        <w:gridCol w:w="2977"/>
        <w:gridCol w:w="7513"/>
      </w:tblGrid>
      <w:tr w14:paraId="5014FAF9" w14:textId="77777777" w:rsidTr="0008441B">
        <w:tblPrEx>
          <w:tblW w:w="10490" w:type="dxa"/>
          <w:tblInd w:w="-572" w:type="dxa"/>
          <w:tblLook w:val="04A0"/>
        </w:tblPrEx>
        <w:trPr>
          <w:trHeight w:val="304"/>
        </w:trPr>
        <w:tc>
          <w:tcPr>
            <w:tcW w:w="10490" w:type="dxa"/>
            <w:gridSpan w:val="2"/>
          </w:tcPr>
          <w:p w:rsidR="0008441B" w:rsidRPr="0043162D" w:rsidP="00D84DE8" w14:paraId="5014FAF8" w14:textId="77777777">
            <w:pPr>
              <w:jc w:val="center"/>
              <w:rPr>
                <w:b/>
                <w:sz w:val="26"/>
                <w:szCs w:val="26"/>
              </w:rPr>
            </w:pPr>
            <w:r w:rsidRPr="0043162D">
              <w:rPr>
                <w:b/>
                <w:color w:val="000000" w:themeColor="text1"/>
              </w:rPr>
              <w:t>Tiesību akta projekta anotācijas kopsavilkums</w:t>
            </w:r>
          </w:p>
        </w:tc>
      </w:tr>
      <w:tr w14:paraId="5014FAFC" w14:textId="77777777" w:rsidTr="0008441B">
        <w:tblPrEx>
          <w:tblW w:w="10490" w:type="dxa"/>
          <w:tblInd w:w="-572" w:type="dxa"/>
          <w:tblLook w:val="04A0"/>
        </w:tblPrEx>
        <w:trPr>
          <w:trHeight w:val="444"/>
        </w:trPr>
        <w:tc>
          <w:tcPr>
            <w:tcW w:w="2977" w:type="dxa"/>
          </w:tcPr>
          <w:p w:rsidR="0008441B" w:rsidRPr="0043162D" w:rsidP="00D84DE8" w14:paraId="5014FAFA" w14:textId="77777777">
            <w:r>
              <w:t>Mērķis, risinājums un projekta spēkā stāšanās laiks (500 zīmes bez atstarpēm)</w:t>
            </w:r>
          </w:p>
        </w:tc>
        <w:tc>
          <w:tcPr>
            <w:tcW w:w="7513" w:type="dxa"/>
          </w:tcPr>
          <w:p w:rsidR="0008441B" w:rsidP="0008441B" w14:paraId="5014FAFB" w14:textId="77777777">
            <w:pPr>
              <w:jc w:val="both"/>
              <w:rPr>
                <w:sz w:val="26"/>
                <w:szCs w:val="26"/>
              </w:rPr>
            </w:pPr>
            <w:r w:rsidRPr="00681999">
              <w:rPr>
                <w:color w:val="000000" w:themeColor="text1"/>
              </w:rPr>
              <w:t>Minis</w:t>
            </w:r>
            <w:r>
              <w:rPr>
                <w:color w:val="000000" w:themeColor="text1"/>
              </w:rPr>
              <w:t>tru kabineta rīkojuma projekts “</w:t>
            </w:r>
            <w:r w:rsidRPr="006D6CC4">
              <w:rPr>
                <w:color w:val="000000" w:themeColor="text1"/>
              </w:rPr>
              <w:t>Par valstij piekrītošo būvju, Zentenes pagastā, Tukuma novadā, nodošanu Tukuma novada pašvaldības īpašumā</w:t>
            </w:r>
            <w:r w:rsidRPr="004C145F">
              <w:rPr>
                <w:color w:val="000000" w:themeColor="text1"/>
              </w:rPr>
              <w:t xml:space="preserve">” (turpmāk – rīkojuma projekts) paredz </w:t>
            </w:r>
            <w:r w:rsidRPr="00C63BB9">
              <w:rPr>
                <w:color w:val="000000" w:themeColor="text1"/>
              </w:rPr>
              <w:t>uz Tukuma novada pašvaldība</w:t>
            </w:r>
            <w:r>
              <w:rPr>
                <w:color w:val="000000" w:themeColor="text1"/>
              </w:rPr>
              <w:t xml:space="preserve">s </w:t>
            </w:r>
            <w:r w:rsidRPr="00C63BB9">
              <w:rPr>
                <w:color w:val="000000" w:themeColor="text1"/>
              </w:rPr>
              <w:t>piederošā nekustamā īpašuma „Line”, Zentenes pagastā, Tukuma novadā (kadastra Nr. 9096 002 0143) esošās būves</w:t>
            </w:r>
            <w:r>
              <w:rPr>
                <w:color w:val="000000" w:themeColor="text1"/>
              </w:rPr>
              <w:t xml:space="preserve"> nodot Tukuma novada pašvaldībai likuma</w:t>
            </w:r>
            <w:r w:rsidRPr="00681999">
              <w:rPr>
                <w:color w:val="000000" w:themeColor="text1"/>
              </w:rPr>
              <w:t xml:space="preserve"> „Par pašva</w:t>
            </w:r>
            <w:r>
              <w:rPr>
                <w:color w:val="000000" w:themeColor="text1"/>
              </w:rPr>
              <w:t>ldībām” 15. panta pirmās daļas 2</w:t>
            </w:r>
            <w:r w:rsidRPr="00681999">
              <w:rPr>
                <w:color w:val="000000" w:themeColor="text1"/>
              </w:rPr>
              <w:t>. punktā</w:t>
            </w:r>
            <w:r>
              <w:rPr>
                <w:color w:val="000000" w:themeColor="text1"/>
              </w:rPr>
              <w:t xml:space="preserve"> noteikto funkciju īstenošanai </w:t>
            </w:r>
            <w:r w:rsidRPr="00681999">
              <w:rPr>
                <w:color w:val="000000" w:themeColor="text1"/>
              </w:rPr>
              <w:t>–</w:t>
            </w:r>
            <w:r>
              <w:rPr>
                <w:color w:val="000000" w:themeColor="text1"/>
              </w:rPr>
              <w:t xml:space="preserve"> </w:t>
            </w:r>
            <w:r>
              <w:t>gādāt par savas administratīvās teritorijas labiekārtošanu un sanitāro tīrību. Pārņemot būves pašvaldības īpašumā, pašvaldībai būs iespēja pilnvērtīgi apsaimniekot nekustamo īpašumu</w:t>
            </w:r>
            <w:r w:rsidRPr="00681999">
              <w:rPr>
                <w:color w:val="000000" w:themeColor="text1"/>
              </w:rPr>
              <w:t>.</w:t>
            </w:r>
            <w:r>
              <w:rPr>
                <w:color w:val="000000" w:themeColor="text1"/>
              </w:rPr>
              <w:t xml:space="preserve"> </w:t>
            </w:r>
            <w:r w:rsidRPr="006D6CC4">
              <w:rPr>
                <w:color w:val="000000" w:themeColor="text1"/>
              </w:rPr>
              <w:t>Ņemot vērā, ka būves, kas atrodas uz nekustamā īpašuma ir grausti, kas degradē vidi, tad ar</w:t>
            </w:r>
            <w:r>
              <w:rPr>
                <w:color w:val="000000" w:themeColor="text1"/>
              </w:rPr>
              <w:t xml:space="preserve"> rīkojuma projektu </w:t>
            </w:r>
            <w:r w:rsidRPr="006D6CC4">
              <w:rPr>
                <w:color w:val="000000" w:themeColor="text1"/>
              </w:rPr>
              <w:t xml:space="preserve">Tukuma novada pašvaldībai tiek atļauts </w:t>
            </w:r>
            <w:r>
              <w:rPr>
                <w:color w:val="000000" w:themeColor="text1"/>
              </w:rPr>
              <w:t>būves nojaukt.</w:t>
            </w:r>
          </w:p>
        </w:tc>
      </w:tr>
    </w:tbl>
    <w:p w:rsidR="00C63BB9" w:rsidP="00C63BB9" w14:paraId="5014FAFD" w14:textId="77777777">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7277"/>
      </w:tblGrid>
      <w:tr w14:paraId="5014FAFF" w14:textId="56D3A450" w:rsidTr="00D84DE8">
        <w:tblPrEx>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C63BB9" w:rsidP="00D84DE8" w14:paraId="5014FAFE" w14:textId="77777777">
            <w:pPr>
              <w:pStyle w:val="naisnod"/>
              <w:spacing w:before="0" w:after="0" w:line="276" w:lineRule="auto"/>
              <w:ind w:right="-80"/>
            </w:pPr>
            <w:r>
              <w:t>I. Tiesību akta projekta izstrādes nepieciešamība</w:t>
            </w:r>
          </w:p>
        </w:tc>
      </w:tr>
      <w:tr w14:paraId="5014FB03" w14:textId="6CBA2042" w:rsidTr="00D84DE8">
        <w:tblPrEx>
          <w:tblW w:w="10485"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C63BB9" w:rsidP="00D84DE8" w14:paraId="5014FB00" w14:textId="77777777">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C63BB9" w:rsidP="00D84DE8" w14:paraId="5014FB01" w14:textId="77777777">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rsidR="00C63BB9" w:rsidP="0044658C" w14:paraId="5014FB02" w14:textId="77777777">
            <w:pPr>
              <w:ind w:left="199" w:right="165"/>
              <w:jc w:val="both"/>
            </w:pPr>
            <w:r w:rsidRPr="00085E9F">
              <w:t>Publiskas personas mantas ats</w:t>
            </w:r>
            <w:r>
              <w:t xml:space="preserve">avināšanas likuma (turpmāk – Atsavināšanas likums) 42. panta pirmā daļa, </w:t>
            </w:r>
            <w:r w:rsidRPr="00D952A7">
              <w:rPr>
                <w:color w:val="000000" w:themeColor="text1"/>
                <w:shd w:val="clear" w:color="auto" w:fill="FFFFFF"/>
              </w:rPr>
              <w:t>42</w:t>
            </w:r>
            <w:r w:rsidRPr="00D952A7">
              <w:rPr>
                <w:color w:val="000000" w:themeColor="text1"/>
                <w:shd w:val="clear" w:color="auto" w:fill="FFFFFF"/>
                <w:vertAlign w:val="superscript"/>
              </w:rPr>
              <w:t>1</w:t>
            </w:r>
            <w:r w:rsidR="006D6CC4">
              <w:rPr>
                <w:color w:val="000000" w:themeColor="text1"/>
                <w:shd w:val="clear" w:color="auto" w:fill="FFFFFF"/>
              </w:rPr>
              <w:t>. pants</w:t>
            </w:r>
            <w:r w:rsidR="0044658C">
              <w:t xml:space="preserve">, 43. pants un </w:t>
            </w:r>
            <w:r w:rsidR="0044378B">
              <w:t>likuma “Par pašvaldībām” pirmās daļas 2.punkts.</w:t>
            </w:r>
          </w:p>
        </w:tc>
      </w:tr>
      <w:tr w14:paraId="5014FB52" w14:textId="60E7005D" w:rsidTr="00D84DE8">
        <w:tblPrEx>
          <w:tblW w:w="10485"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C63BB9" w:rsidP="00D84DE8" w14:paraId="5014FB04" w14:textId="77777777">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C63BB9" w:rsidP="00D84DE8" w14:paraId="5014FB05" w14:textId="77777777">
            <w:pPr>
              <w:pStyle w:val="naiskr"/>
              <w:tabs>
                <w:tab w:val="left" w:pos="170"/>
              </w:tabs>
              <w:spacing w:before="0" w:after="0"/>
            </w:pPr>
            <w:r>
              <w:t>Pašreizējā situācija un problēmas</w:t>
            </w:r>
            <w:r w:rsidRPr="001247E9">
              <w:t>, kuru risināšanai tiesību akta projekts izstrādāts, tiesiskā regulējuma mērķis un būtība</w:t>
            </w:r>
          </w:p>
          <w:p w:rsidR="00C63BB9" w:rsidRPr="001D5B99" w:rsidP="00D84DE8" w14:paraId="5014FB06" w14:textId="77777777"/>
          <w:p w:rsidR="00C63BB9" w:rsidRPr="001D5B99" w:rsidP="00D84DE8" w14:paraId="5014FB07" w14:textId="77777777"/>
          <w:p w:rsidR="00C63BB9" w:rsidRPr="001D5B99" w:rsidP="00D84DE8" w14:paraId="5014FB08" w14:textId="77777777"/>
          <w:p w:rsidR="00C63BB9" w:rsidRPr="001D5B99" w:rsidP="00D84DE8" w14:paraId="5014FB09" w14:textId="77777777"/>
          <w:p w:rsidR="00C63BB9" w:rsidRPr="001D5B99" w:rsidP="00D84DE8" w14:paraId="5014FB0A" w14:textId="77777777"/>
          <w:p w:rsidR="00C63BB9" w:rsidRPr="001D5B99" w:rsidP="00D84DE8" w14:paraId="5014FB0B" w14:textId="77777777"/>
          <w:p w:rsidR="00C63BB9" w:rsidRPr="001D5B99" w:rsidP="00D84DE8" w14:paraId="5014FB0C" w14:textId="77777777"/>
          <w:p w:rsidR="00C63BB9" w:rsidRPr="001D5B99" w:rsidP="00D84DE8" w14:paraId="5014FB0D" w14:textId="77777777"/>
          <w:p w:rsidR="00C63BB9" w:rsidRPr="001D5B99" w:rsidP="00D84DE8" w14:paraId="5014FB0E" w14:textId="77777777"/>
          <w:p w:rsidR="00C63BB9" w:rsidRPr="001D5B99" w:rsidP="00D84DE8" w14:paraId="5014FB0F" w14:textId="77777777"/>
          <w:p w:rsidR="00C63BB9" w:rsidRPr="001D5B99" w:rsidP="00D84DE8" w14:paraId="5014FB10" w14:textId="77777777"/>
          <w:p w:rsidR="00C63BB9" w:rsidRPr="001D5B99" w:rsidP="00D84DE8" w14:paraId="5014FB11" w14:textId="77777777"/>
          <w:p w:rsidR="00C63BB9" w:rsidRPr="001D5B99" w:rsidP="00D84DE8" w14:paraId="5014FB12" w14:textId="77777777"/>
          <w:p w:rsidR="00C63BB9" w:rsidRPr="001D5B99" w:rsidP="00D84DE8" w14:paraId="5014FB13" w14:textId="77777777"/>
          <w:p w:rsidR="00C63BB9" w:rsidRPr="001D5B99" w:rsidP="00D84DE8" w14:paraId="5014FB14" w14:textId="77777777"/>
          <w:p w:rsidR="00C63BB9" w:rsidRPr="001D5B99" w:rsidP="00D84DE8" w14:paraId="5014FB15" w14:textId="77777777"/>
          <w:p w:rsidR="00C63BB9" w:rsidRPr="001D5B99" w:rsidP="00D84DE8" w14:paraId="5014FB16" w14:textId="77777777"/>
          <w:p w:rsidR="00C63BB9" w:rsidRPr="001D5B99" w:rsidP="00D84DE8" w14:paraId="5014FB17" w14:textId="77777777"/>
          <w:p w:rsidR="00C63BB9" w:rsidRPr="001D5B99" w:rsidP="00D84DE8" w14:paraId="5014FB18" w14:textId="77777777"/>
          <w:p w:rsidR="00C63BB9" w:rsidRPr="001D5B99" w:rsidP="00D84DE8" w14:paraId="5014FB19" w14:textId="77777777"/>
          <w:p w:rsidR="00C63BB9" w:rsidRPr="001D5B99" w:rsidP="00D84DE8" w14:paraId="5014FB1A" w14:textId="77777777"/>
          <w:p w:rsidR="00C63BB9" w:rsidRPr="001D5B99" w:rsidP="00D84DE8" w14:paraId="5014FB1B" w14:textId="77777777"/>
          <w:p w:rsidR="00C63BB9" w:rsidRPr="001D5B99" w:rsidP="00D84DE8" w14:paraId="5014FB1C" w14:textId="77777777"/>
          <w:p w:rsidR="00C63BB9" w:rsidP="00D84DE8" w14:paraId="5014FB1D" w14:textId="77777777"/>
          <w:p w:rsidR="00C63BB9" w:rsidRPr="001D5B99" w:rsidP="00D84DE8" w14:paraId="5014FB1E" w14:textId="77777777"/>
          <w:p w:rsidR="00C63BB9" w:rsidP="00D84DE8" w14:paraId="5014FB1F" w14:textId="77777777"/>
          <w:p w:rsidR="008778D4" w:rsidP="00D84DE8" w14:paraId="5014FB20" w14:textId="77777777">
            <w:pPr>
              <w:ind w:firstLine="720"/>
            </w:pPr>
          </w:p>
          <w:p w:rsidR="008778D4" w:rsidRPr="008778D4" w:rsidP="008778D4" w14:paraId="5014FB21" w14:textId="77777777"/>
          <w:p w:rsidR="008778D4" w:rsidRPr="008778D4" w:rsidP="008778D4" w14:paraId="5014FB22" w14:textId="77777777"/>
          <w:p w:rsidR="008778D4" w:rsidRPr="008778D4" w:rsidP="008778D4" w14:paraId="5014FB23" w14:textId="77777777"/>
          <w:p w:rsidR="008778D4" w:rsidRPr="008778D4" w:rsidP="008778D4" w14:paraId="5014FB24" w14:textId="77777777"/>
          <w:p w:rsidR="008778D4" w:rsidRPr="008778D4" w:rsidP="008778D4" w14:paraId="5014FB25" w14:textId="77777777"/>
          <w:p w:rsidR="008778D4" w:rsidRPr="008778D4" w:rsidP="008778D4" w14:paraId="5014FB26" w14:textId="77777777"/>
          <w:p w:rsidR="008778D4" w:rsidRPr="008778D4" w:rsidP="008778D4" w14:paraId="5014FB27" w14:textId="77777777"/>
          <w:p w:rsidR="008778D4" w:rsidRPr="008778D4" w:rsidP="008778D4" w14:paraId="5014FB28" w14:textId="77777777"/>
          <w:p w:rsidR="008778D4" w:rsidRPr="008778D4" w:rsidP="008778D4" w14:paraId="5014FB29" w14:textId="77777777"/>
          <w:p w:rsidR="008778D4" w:rsidRPr="008778D4" w:rsidP="008778D4" w14:paraId="5014FB2A" w14:textId="77777777"/>
          <w:p w:rsidR="008778D4" w:rsidRPr="008778D4" w:rsidP="008778D4" w14:paraId="5014FB2B" w14:textId="77777777"/>
          <w:p w:rsidR="008778D4" w:rsidRPr="008778D4" w:rsidP="008778D4" w14:paraId="5014FB2C" w14:textId="77777777"/>
          <w:p w:rsidR="008778D4" w:rsidRPr="008778D4" w:rsidP="008778D4" w14:paraId="5014FB2D" w14:textId="77777777"/>
          <w:p w:rsidR="008778D4" w:rsidRPr="008778D4" w:rsidP="008778D4" w14:paraId="5014FB2E" w14:textId="77777777"/>
          <w:p w:rsidR="008778D4" w:rsidRPr="008778D4" w:rsidP="008778D4" w14:paraId="5014FB2F" w14:textId="77777777"/>
          <w:p w:rsidR="008778D4" w:rsidRPr="008778D4" w:rsidP="008778D4" w14:paraId="5014FB30" w14:textId="77777777"/>
          <w:p w:rsidR="008778D4" w:rsidRPr="008778D4" w:rsidP="008778D4" w14:paraId="5014FB31" w14:textId="77777777"/>
          <w:p w:rsidR="008778D4" w:rsidRPr="008778D4" w:rsidP="008778D4" w14:paraId="5014FB32" w14:textId="77777777"/>
          <w:p w:rsidR="008778D4" w:rsidRPr="008778D4" w:rsidP="008778D4" w14:paraId="5014FB33" w14:textId="77777777"/>
          <w:p w:rsidR="008778D4" w:rsidRPr="008778D4" w:rsidP="008778D4" w14:paraId="5014FB34" w14:textId="77777777"/>
          <w:p w:rsidR="008778D4" w:rsidRPr="008778D4" w:rsidP="008778D4" w14:paraId="5014FB35" w14:textId="77777777"/>
          <w:p w:rsidR="008778D4" w:rsidRPr="008778D4" w:rsidP="008778D4" w14:paraId="5014FB36" w14:textId="77777777"/>
          <w:p w:rsidR="008778D4" w:rsidRPr="008778D4" w:rsidP="008778D4" w14:paraId="5014FB37" w14:textId="77777777"/>
          <w:p w:rsidR="008778D4" w:rsidRPr="008778D4" w:rsidP="008778D4" w14:paraId="5014FB38" w14:textId="77777777"/>
          <w:p w:rsidR="008778D4" w:rsidRPr="008778D4" w:rsidP="008778D4" w14:paraId="5014FB39" w14:textId="77777777"/>
          <w:p w:rsidR="008778D4" w:rsidRPr="008778D4" w:rsidP="008778D4" w14:paraId="5014FB3A" w14:textId="77777777"/>
          <w:p w:rsidR="008778D4" w:rsidRPr="008778D4" w:rsidP="008778D4" w14:paraId="5014FB3B" w14:textId="77777777"/>
          <w:p w:rsidR="008778D4" w:rsidRPr="008778D4" w:rsidP="008778D4" w14:paraId="5014FB3C" w14:textId="77777777"/>
          <w:p w:rsidR="008778D4" w:rsidRPr="008778D4" w:rsidP="008778D4" w14:paraId="5014FB3D" w14:textId="77777777"/>
          <w:p w:rsidR="008778D4" w:rsidP="008778D4" w14:paraId="5014FB3E" w14:textId="77777777"/>
          <w:p w:rsidR="008778D4" w:rsidRPr="008778D4" w:rsidP="008778D4" w14:paraId="5014FB3F" w14:textId="77777777"/>
          <w:p w:rsidR="008778D4" w:rsidP="008778D4" w14:paraId="5014FB40" w14:textId="77777777"/>
          <w:p w:rsidR="00C63BB9" w:rsidRPr="008778D4" w:rsidP="008778D4" w14:paraId="5014FB41" w14:textId="77777777">
            <w:pPr>
              <w:ind w:firstLine="720"/>
            </w:pPr>
          </w:p>
        </w:tc>
        <w:tc>
          <w:tcPr>
            <w:tcW w:w="7277" w:type="dxa"/>
            <w:tcBorders>
              <w:top w:val="single" w:sz="4" w:space="0" w:color="auto"/>
              <w:left w:val="single" w:sz="4" w:space="0" w:color="auto"/>
              <w:bottom w:val="single" w:sz="4" w:space="0" w:color="auto"/>
              <w:right w:val="single" w:sz="4" w:space="0" w:color="auto"/>
            </w:tcBorders>
            <w:hideMark/>
          </w:tcPr>
          <w:p w:rsidR="00C63BB9" w:rsidRPr="008778D4" w:rsidP="00D84DE8" w14:paraId="5014FB42" w14:textId="77777777">
            <w:pPr>
              <w:ind w:left="199" w:right="165"/>
              <w:jc w:val="both"/>
              <w:rPr>
                <w:color w:val="000000" w:themeColor="text1"/>
                <w:shd w:val="clear" w:color="auto" w:fill="FFFFFF"/>
              </w:rPr>
            </w:pPr>
            <w:r w:rsidRPr="008778D4">
              <w:rPr>
                <w:color w:val="000000" w:themeColor="text1"/>
              </w:rPr>
              <w:t xml:space="preserve">Zemgales apgabaltiesas Civillietu tiesas kolēģija ar 2016. gada 21. septembra spriedumu (turpmāk – tiesas spriedums) un 2017. gada 5. aprīļa lēmumu lietā Nr. C37065215 konstatēja faktu, ka uz Tukuma novada pašvaldības (turpmāk – pašvaldība) piederošā nekustamā īpašuma „Line”, Zentenes pagastā, Tukuma novadā (kadastra Nr. 9096 002 0143) (turpmāk – nekustamais īpašums), esošās būves ar kadastra apzīmējumiem  90960020031001, </w:t>
            </w:r>
            <w:r w:rsidRPr="008778D4">
              <w:rPr>
                <w:color w:val="000000" w:themeColor="text1"/>
                <w:shd w:val="clear" w:color="auto" w:fill="FFFFFF"/>
              </w:rPr>
              <w:t>90960020143001, 9096 002 0143 002, 9096 002 0143 003, 9096 002 0143 004, 9096 002 0143 005, 9096 002 0143 006 (turpmāk – būves), ir bezīpašnieka manta, kas piekrīt valstij.</w:t>
            </w:r>
          </w:p>
          <w:p w:rsidR="00C63BB9" w:rsidRPr="0008441B" w:rsidP="00D84DE8" w14:paraId="5014FB43" w14:textId="71A8650D">
            <w:pPr>
              <w:ind w:left="199" w:right="165"/>
              <w:jc w:val="both"/>
              <w:rPr>
                <w:color w:val="000000" w:themeColor="text1"/>
                <w:shd w:val="clear" w:color="auto" w:fill="FFFFFF"/>
              </w:rPr>
            </w:pPr>
            <w:r w:rsidRPr="008778D4">
              <w:rPr>
                <w:color w:val="000000" w:themeColor="text1"/>
                <w:shd w:val="clear" w:color="auto" w:fill="FFFFFF"/>
              </w:rPr>
              <w:t>Minētās būves nav reģistrētas</w:t>
            </w:r>
            <w:r w:rsidRPr="008778D4">
              <w:rPr>
                <w:color w:val="000000" w:themeColor="text1"/>
              </w:rPr>
              <w:t xml:space="preserve"> zemesgrāmatā</w:t>
            </w:r>
            <w:r w:rsidRPr="008778D4">
              <w:rPr>
                <w:color w:val="000000" w:themeColor="text1"/>
                <w:shd w:val="clear" w:color="auto" w:fill="FFFFFF"/>
              </w:rPr>
              <w:t>. Saskaņā ar tiesas spriedumā minēto līdz valsts neatkarības atjaunošanai būves piederēja vietējam kolhozam, un tajās bija izvietota cūku ferma. Pēc kolhoza likvidēšanas un privatizācijas uzsākšanas neviens neizteica vēlēšanos privatizēt šīs būves un no tā laika būvēm nav īpašnieka un tās neviens neapsaimnieko. Laika gaitā būves ir pilnīgi vai daļēji sagruvušas. Būvju nenoskaidrotās piederības dēļ pašvaldībai bija liegta iespēja pilnvērtīgi izmantot un apsaimniekot nekustamo īpašumu. Tādēļ tika iesniegts pieteikums tiesā, lai uz nekustamā īpašuma esošās būves varētu apvienot vienotā nekustamā īpašumā un pilnvērtīgi to apsaimniekot</w:t>
            </w:r>
            <w:r w:rsidRPr="0008441B">
              <w:rPr>
                <w:color w:val="000000" w:themeColor="text1"/>
                <w:shd w:val="clear" w:color="auto" w:fill="FFFFFF"/>
              </w:rPr>
              <w:t>.</w:t>
            </w:r>
            <w:r w:rsidRPr="0008441B">
              <w:rPr>
                <w:color w:val="000000" w:themeColor="text1"/>
              </w:rPr>
              <w:t xml:space="preserve"> Saskaņā ar tiesas spriedumu un 2017. gada 5. aprīļa lēmumu lietā Nr. C37065215 tika konstatēts juridisks fakts, ka būves ir bezīpašnieka manta, kas piekrīt valstij. Fakts konstatējams, lai izveidotu vienotu īpašumu.</w:t>
            </w:r>
          </w:p>
          <w:p w:rsidR="00C63BB9" w:rsidP="00D84DE8" w14:paraId="5014FB44" w14:textId="77777777">
            <w:pPr>
              <w:pStyle w:val="tv2131"/>
              <w:spacing w:line="240" w:lineRule="auto"/>
              <w:ind w:left="198" w:right="164" w:firstLine="0"/>
              <w:jc w:val="both"/>
              <w:rPr>
                <w:color w:val="auto"/>
                <w:sz w:val="24"/>
                <w:szCs w:val="24"/>
              </w:rPr>
            </w:pPr>
            <w:r>
              <w:rPr>
                <w:color w:val="auto"/>
                <w:sz w:val="24"/>
                <w:szCs w:val="24"/>
              </w:rPr>
              <w:t>Valsts ieņēmumu dienests ar 2017. gada 8. jūnijā valstij piekritīgās mantas pieņemšanas un nodošanas aktu Nr. 016996 ņēmis valsts uzskaitē par bezīpašnieka mantu atzītās būves.</w:t>
            </w:r>
          </w:p>
          <w:p w:rsidR="00C63BB9" w:rsidP="00D84DE8" w14:paraId="5014FB45" w14:textId="77777777">
            <w:pPr>
              <w:pStyle w:val="tv2131"/>
              <w:spacing w:line="240" w:lineRule="auto"/>
              <w:ind w:left="198" w:right="164" w:firstLine="0"/>
              <w:jc w:val="both"/>
              <w:rPr>
                <w:color w:val="000000"/>
                <w:sz w:val="24"/>
                <w:szCs w:val="24"/>
              </w:rPr>
            </w:pPr>
            <w:r>
              <w:rPr>
                <w:color w:val="000000" w:themeColor="text1"/>
                <w:sz w:val="24"/>
                <w:szCs w:val="24"/>
              </w:rPr>
              <w:t>S</w:t>
            </w:r>
            <w:r>
              <w:rPr>
                <w:color w:val="000000" w:themeColor="text1"/>
                <w:sz w:val="24"/>
                <w:szCs w:val="24"/>
              </w:rPr>
              <w:t>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w:t>
            </w:r>
            <w:r w:rsidR="0071130C">
              <w:rPr>
                <w:color w:val="000000"/>
                <w:sz w:val="24"/>
                <w:szCs w:val="24"/>
              </w:rPr>
              <w:t xml:space="preserve">Valsts ieņēmumu dienests </w:t>
            </w:r>
            <w:r>
              <w:rPr>
                <w:color w:val="000000"/>
                <w:sz w:val="24"/>
                <w:szCs w:val="24"/>
              </w:rPr>
              <w:t>ir atbildīgs par mantas neskartību un saglabāšanu no tās pieņemšanas brīža līdz nodošanai realizācijai, nodošanai bez maksas vai iznīcināšanai.</w:t>
            </w:r>
          </w:p>
          <w:p w:rsidR="00C63BB9" w:rsidRPr="008C4B4F" w:rsidP="00D84DE8" w14:paraId="5014FB46" w14:textId="77777777">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5.</w:t>
            </w:r>
            <w:r>
              <w:rPr>
                <w:color w:val="000000" w:themeColor="text1"/>
                <w:sz w:val="24"/>
                <w:szCs w:val="24"/>
              </w:rPr>
              <w:t> </w:t>
            </w:r>
            <w:r w:rsidRPr="00374B3F">
              <w:rPr>
                <w:color w:val="000000" w:themeColor="text1"/>
                <w:sz w:val="24"/>
                <w:szCs w:val="24"/>
              </w:rPr>
              <w:t>panta pirmajā daļā noteikts, ka atļauju atsavināt valsts nekustamo īpašumu dod Ministru kabinets.</w:t>
            </w:r>
          </w:p>
          <w:p w:rsidR="00C63BB9" w:rsidRPr="00374B3F" w:rsidP="00D84DE8" w14:paraId="5014FB47" w14:textId="77777777">
            <w:pPr>
              <w:pStyle w:val="tv2131"/>
              <w:spacing w:line="240" w:lineRule="auto"/>
              <w:ind w:left="198" w:right="164" w:firstLine="0"/>
              <w:jc w:val="both"/>
              <w:rPr>
                <w:color w:val="000000" w:themeColor="text1"/>
                <w:sz w:val="24"/>
                <w:szCs w:val="24"/>
              </w:rPr>
            </w:pPr>
            <w:r>
              <w:rPr>
                <w:color w:val="000000" w:themeColor="text1"/>
                <w:sz w:val="24"/>
                <w:szCs w:val="24"/>
              </w:rPr>
              <w:t xml:space="preserve">Likuma „Par </w:t>
            </w:r>
            <w:r w:rsidRPr="008C4B4F">
              <w:rPr>
                <w:color w:val="auto"/>
                <w:sz w:val="24"/>
                <w:szCs w:val="24"/>
              </w:rPr>
              <w:t>pašvaldībām” 21. panta pirmās daļas 17. punkts paredz pašvaldības tiesības lemt par pašvaldības nekustamā īpašuma atsavināšanu, ieķīlāšanu vai privatizēšanu, kā arī par nekustamās mantas iegūšanu pašvaldības īpašumā.</w:t>
            </w:r>
          </w:p>
          <w:p w:rsidR="00C63BB9" w:rsidP="00D84DE8" w14:paraId="5014FB48" w14:textId="77777777">
            <w:pPr>
              <w:ind w:left="199" w:right="165"/>
              <w:jc w:val="both"/>
            </w:pPr>
            <w:r>
              <w:t>Tukuma novada dome 2017. gada 27. jūlijā pieņēma lēmumu (</w:t>
            </w:r>
            <w:r w:rsidRPr="005957BF">
              <w:rPr>
                <w:color w:val="000000" w:themeColor="text1"/>
              </w:rPr>
              <w:t>p</w:t>
            </w:r>
            <w:r>
              <w:rPr>
                <w:color w:val="000000" w:themeColor="text1"/>
              </w:rPr>
              <w:t>rot. Nr. 14 34. §)</w:t>
            </w:r>
            <w:r>
              <w:t xml:space="preserve"> „Par valstij piekrītošajām būvēm adresē </w:t>
            </w:r>
            <w:r>
              <w:rPr>
                <w:color w:val="000000" w:themeColor="text1"/>
              </w:rPr>
              <w:t>„</w:t>
            </w:r>
            <w:r>
              <w:t>Line”, Zentenes pagastā, Tukuma novadā”. Pārņemot būves pašvaldības īpašumā, tā varētu realizēt likumā „Par pašvaldībām” 15. panta pirmās daļas 2. punktā noteikto pašvaldības autonomo funkciju – gādāt par savas administratīvās teritorijas labiekārtošanu un sanitāro tīrību. Pārņemot būves pašvaldības īpašumā, pašvaldībai būs iespēja pilnvērtīgi apsaimniekot nekustamo īpašumu.</w:t>
            </w:r>
          </w:p>
          <w:p w:rsidR="00C63BB9" w:rsidP="00D84DE8" w14:paraId="5014FB49" w14:textId="77777777">
            <w:pPr>
              <w:ind w:left="199" w:right="165"/>
              <w:jc w:val="both"/>
            </w:pPr>
            <w:r w:rsidRPr="00B240EF">
              <w:t>Ar 2017. gada 15. novembra vēstuli Nr. TND/1-26/17/3956 Tukuma novada dome apliecina, ka būves, kas atrod</w:t>
            </w:r>
            <w:r>
              <w:t>a</w:t>
            </w:r>
            <w:r w:rsidRPr="00B240EF">
              <w:t>s uz nekustamā īpašuma</w:t>
            </w:r>
            <w:r>
              <w:t xml:space="preserve">  plānots nojaukt, jo ir grausti, kas degradē vidi, un nav atjaunojami.</w:t>
            </w:r>
          </w:p>
          <w:p w:rsidR="00F412D8" w:rsidP="00F412D8" w14:paraId="5014FB4A" w14:textId="77777777">
            <w:pPr>
              <w:ind w:left="199" w:right="165"/>
              <w:jc w:val="both"/>
              <w:rPr>
                <w:color w:val="000000" w:themeColor="text1"/>
                <w:u w:val="single"/>
              </w:rPr>
            </w:pPr>
            <w:r w:rsidRPr="008778D4">
              <w:rPr>
                <w:color w:val="000000" w:themeColor="text1"/>
              </w:rPr>
              <w:t>Saskaņā ar Būvniecības likuma 21. panta devīto daļu, ja būve ir pilnīgi vai daļēji sagruvusi vai nonākusi tādā tehniskajā stāvoklī, ka ir bīstama vai bojā ainavu, šīs būves īpašniekam atbilstoši pašvaldības lēmumam tā jāsakārto vai jānojau</w:t>
            </w:r>
            <w:r w:rsidRPr="008F39FD">
              <w:rPr>
                <w:color w:val="000000" w:themeColor="text1"/>
              </w:rPr>
              <w:t>c.</w:t>
            </w:r>
          </w:p>
          <w:p w:rsidR="00F412D8" w:rsidP="00F412D8" w14:paraId="5014FB4B" w14:textId="77777777">
            <w:pPr>
              <w:ind w:left="199" w:right="165"/>
              <w:jc w:val="both"/>
              <w:rPr>
                <w:color w:val="000000" w:themeColor="text1"/>
              </w:rPr>
            </w:pPr>
            <w:r w:rsidRPr="006D6CC4">
              <w:rPr>
                <w:color w:val="000000" w:themeColor="text1"/>
              </w:rPr>
              <w:t>Ņemot vērā, ka būves, kas atrodas uz nekustamā īpašuma ir graus</w:t>
            </w:r>
            <w:r w:rsidR="0008441B">
              <w:rPr>
                <w:color w:val="000000" w:themeColor="text1"/>
              </w:rPr>
              <w:t>ti, kas degradē vidi, tad ar</w:t>
            </w:r>
            <w:r w:rsidRPr="006D6CC4">
              <w:rPr>
                <w:color w:val="000000" w:themeColor="text1"/>
              </w:rPr>
              <w:t xml:space="preserve"> rīkojuma projektu Tukuma novada pašvaldībai tiek atļauts nojaukt būves, lai īstenotu  pašvaldības autonomo funkciju – gādāt par savas administratīvās teritorijas labiekārtošanu un sanitāro tīrību.</w:t>
            </w:r>
          </w:p>
          <w:p w:rsidR="00C63BB9" w:rsidRPr="004620C3" w:rsidP="00D84DE8" w14:paraId="5014FB4C" w14:textId="77777777">
            <w:pPr>
              <w:ind w:left="199" w:right="165"/>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109. </w:t>
            </w:r>
            <w:r w:rsidRPr="004620C3">
              <w:rPr>
                <w:color w:val="000000" w:themeColor="text1"/>
              </w:rPr>
              <w:t>„Kārtība,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rsidR="00C63BB9" w:rsidP="00D84DE8" w14:paraId="5014FB4D" w14:textId="77777777">
            <w:pPr>
              <w:ind w:right="165"/>
              <w:jc w:val="both"/>
            </w:pPr>
          </w:p>
          <w:p w:rsidR="00C63BB9" w:rsidRPr="006D6CC4" w:rsidP="00D84DE8" w14:paraId="5014FB4E" w14:textId="77777777">
            <w:pPr>
              <w:ind w:left="199" w:right="165"/>
              <w:jc w:val="both"/>
            </w:pPr>
            <w:r>
              <w:rPr>
                <w:color w:val="000000"/>
              </w:rPr>
              <w:t>Saskaņā ar Atsavināšanas likuma 2.</w:t>
            </w:r>
            <w:r>
              <w:rPr>
                <w:color w:val="000000"/>
              </w:rPr>
              <w:t>pantu</w:t>
            </w:r>
            <w:r w:rsidRPr="00B75A6B">
              <w:rPr>
                <w:color w:val="000000"/>
              </w:rPr>
              <w:t xml:space="preserve"> </w:t>
            </w:r>
            <w:r>
              <w:rPr>
                <w:color w:val="000000"/>
              </w:rPr>
              <w:t>minētais</w:t>
            </w:r>
            <w:r w:rsidRPr="00B75A6B">
              <w:rPr>
                <w:color w:val="000000"/>
              </w:rPr>
              <w:t xml:space="preserve"> likums </w:t>
            </w:r>
            <w:r>
              <w:rPr>
                <w:color w:val="000000"/>
              </w:rPr>
              <w:t>regulē</w:t>
            </w:r>
            <w:r w:rsidRPr="00B75A6B">
              <w:rPr>
                <w:color w:val="000000"/>
              </w:rPr>
              <w:t xml:space="preserve"> publiskas personas mantas atsavināšanas kārtību. </w:t>
            </w:r>
            <w:r w:rsidR="007C4587">
              <w:rPr>
                <w:color w:val="000000"/>
              </w:rPr>
              <w:t>Turklāt saskaņā ar</w:t>
            </w:r>
            <w:r w:rsidRPr="00B75A6B">
              <w:rPr>
                <w:color w:val="000000"/>
              </w:rPr>
              <w:t xml:space="preserve"> </w:t>
            </w:r>
            <w:r w:rsidRPr="00B75A6B">
              <w:rPr>
                <w:color w:val="000000"/>
              </w:rPr>
              <w:t>At</w:t>
            </w:r>
            <w:r>
              <w:rPr>
                <w:color w:val="000000"/>
              </w:rPr>
              <w:t>savināšanas likuma 42. panta pirmo</w:t>
            </w:r>
            <w:r w:rsidRPr="00B75A6B">
              <w:rPr>
                <w:color w:val="000000"/>
              </w:rPr>
              <w:t xml:space="preserve"> da</w:t>
            </w:r>
            <w:r>
              <w:rPr>
                <w:color w:val="000000"/>
              </w:rPr>
              <w:t>ļu, ja nekustamais īpašums</w:t>
            </w:r>
            <w:r w:rsidRPr="00B75A6B">
              <w:rPr>
                <w:color w:val="000000"/>
              </w:rPr>
              <w:t xml:space="preserve"> vairs netiek izmantotas pašvaldības autonomo funkciju īstenošanai, pašvaldība šo nekustamo īpašumu bez atlīdzības nodod tai atvasinātai publiskai personai, kura šo nekustamo īpašumu nodevusi.</w:t>
            </w:r>
            <w:r>
              <w:rPr>
                <w:color w:val="000000"/>
              </w:rPr>
              <w:t xml:space="preserve"> </w:t>
            </w:r>
            <w:r w:rsidRPr="006D6CC4">
              <w:rPr>
                <w:color w:val="000000"/>
              </w:rPr>
              <w:t xml:space="preserve">Līdz ar to, ja Tukuma novada pašvaldība nenojauks būves un netiks īstenota </w:t>
            </w:r>
            <w:r w:rsidRPr="006D6CC4">
              <w:t xml:space="preserve"> pašvaldības autonomo funkcija – gādāt par savas administratīvās teritorijas labiekārtošanu un sanitāro tīrību, tad būves bez atlīdzības jānodod valstij.</w:t>
            </w:r>
          </w:p>
          <w:p w:rsidR="00C63BB9" w:rsidP="00D84DE8" w14:paraId="5014FB4F" w14:textId="77777777">
            <w:pPr>
              <w:ind w:left="199" w:right="165"/>
              <w:jc w:val="both"/>
              <w:rPr>
                <w:color w:val="000000" w:themeColor="text1"/>
              </w:rPr>
            </w:pPr>
            <w:r w:rsidRPr="00AB5497">
              <w:rPr>
                <w:color w:val="000000" w:themeColor="text1"/>
              </w:rPr>
              <w:t>Tukuma novada pašvaldībai</w:t>
            </w:r>
            <w:r w:rsidRPr="00AB5497">
              <w:rPr>
                <w:color w:val="000000" w:themeColor="text1"/>
                <w:lang w:eastAsia="en-US"/>
              </w:rPr>
              <w:t xml:space="preserve"> nodrošināt attiecīgu ierakstu dzēšanu</w:t>
            </w:r>
            <w:r w:rsidRPr="00AB5497" w:rsidR="00AB5497">
              <w:rPr>
                <w:color w:val="000000" w:themeColor="text1"/>
                <w:lang w:eastAsia="en-US"/>
              </w:rPr>
              <w:t xml:space="preserve"> zemesgrāmatā un</w:t>
            </w:r>
            <w:r w:rsidRPr="00AB5497">
              <w:rPr>
                <w:color w:val="000000" w:themeColor="text1"/>
                <w:lang w:eastAsia="en-US"/>
              </w:rPr>
              <w:t xml:space="preserve"> Nekustamā īpašuma valsts kadastra informācijas sistēmā pēc būvju nojaukšanas.</w:t>
            </w:r>
            <w:r w:rsidRPr="00AB5497" w:rsidR="007A2BA7">
              <w:rPr>
                <w:color w:val="000000" w:themeColor="text1"/>
                <w:lang w:eastAsia="en-US"/>
              </w:rPr>
              <w:t xml:space="preserve"> </w:t>
            </w:r>
            <w:r w:rsidRPr="00AB5497" w:rsidR="007A2BA7">
              <w:rPr>
                <w:color w:val="000000" w:themeColor="text1"/>
              </w:rPr>
              <w:t>Izdevumi, kas saistīti ar būvju nojaukšanu un</w:t>
            </w:r>
            <w:r w:rsidRPr="00AB5497" w:rsidR="00AB5497">
              <w:rPr>
                <w:color w:val="000000" w:themeColor="text1"/>
                <w:lang w:eastAsia="en-US"/>
              </w:rPr>
              <w:t xml:space="preserve"> ierakstu dzēšanu zemesgrāmatā un</w:t>
            </w:r>
            <w:r w:rsidRPr="00AB5497" w:rsidR="007A2BA7">
              <w:rPr>
                <w:color w:val="000000" w:themeColor="text1"/>
                <w:lang w:eastAsia="en-US"/>
              </w:rPr>
              <w:t xml:space="preserve"> Nekustamā īpašuma valsts kadastra informācijas sistēmā</w:t>
            </w:r>
            <w:r w:rsidRPr="00AB5497" w:rsidR="007A2BA7">
              <w:rPr>
                <w:color w:val="000000" w:themeColor="text1"/>
              </w:rPr>
              <w:t xml:space="preserve"> tiks segti no Tukuma pašvaldības budžeta līdzekļiem.</w:t>
            </w:r>
          </w:p>
          <w:p w:rsidR="007C4587" w:rsidRPr="00AB5497" w:rsidP="00D84DE8" w14:paraId="5014FB50" w14:textId="77777777">
            <w:pPr>
              <w:ind w:left="199" w:right="165"/>
              <w:jc w:val="both"/>
              <w:rPr>
                <w:color w:val="000000" w:themeColor="text1"/>
              </w:rPr>
            </w:pPr>
            <w:r w:rsidRPr="007C4587">
              <w:rPr>
                <w:color w:val="000000" w:themeColor="text1"/>
              </w:rPr>
              <w:t>Saskaņā ar Atsavināšanas likuma 42</w:t>
            </w:r>
            <w:r w:rsidRPr="00190566">
              <w:rPr>
                <w:color w:val="000000" w:themeColor="text1"/>
                <w:vertAlign w:val="superscript"/>
              </w:rPr>
              <w:t>1</w:t>
            </w:r>
            <w:r w:rsidRPr="007C4587">
              <w:rPr>
                <w:color w:val="000000" w:themeColor="text1"/>
              </w:rPr>
              <w:t xml:space="preserve">.pantu, nekustamais īpašums tiek ierakstīts zemesgrāmatā uz valsts vārda vienlaikus ar </w:t>
            </w:r>
            <w:r>
              <w:rPr>
                <w:color w:val="000000" w:themeColor="text1"/>
              </w:rPr>
              <w:t>Tukuma</w:t>
            </w:r>
            <w:r w:rsidRPr="007C4587">
              <w:rPr>
                <w:color w:val="000000" w:themeColor="text1"/>
              </w:rPr>
              <w:t xml:space="preserve"> novada pašvaldības īpašuma tiesību nostiprināšanu.  </w:t>
            </w:r>
          </w:p>
          <w:p w:rsidR="00C63BB9" w:rsidRPr="0064643B" w:rsidP="00D84DE8" w14:paraId="5014FB51" w14:textId="77777777">
            <w:pPr>
              <w:ind w:left="199" w:right="165"/>
              <w:jc w:val="both"/>
              <w:rPr>
                <w:color w:val="000000"/>
              </w:rPr>
            </w:pPr>
            <w:r>
              <w:rPr>
                <w:color w:val="000000"/>
              </w:rPr>
              <w:t>Tukuma</w:t>
            </w:r>
            <w:r>
              <w:rPr>
                <w:color w:val="000000"/>
                <w:lang w:eastAsia="en-US"/>
              </w:rPr>
              <w:t xml:space="preserve"> novada pašvaldībai</w:t>
            </w:r>
            <w:r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w:t>
            </w:r>
            <w:r>
              <w:rPr>
                <w:color w:val="000000"/>
                <w:lang w:eastAsia="en-US"/>
              </w:rPr>
              <w:t>alsts kases personā), lai saņemtu</w:t>
            </w:r>
            <w:r w:rsidRPr="00B75A6B">
              <w:rPr>
                <w:color w:val="000000"/>
                <w:lang w:eastAsia="en-US"/>
              </w:rPr>
              <w:t xml:space="preserve"> Ei</w:t>
            </w:r>
            <w:r>
              <w:rPr>
                <w:color w:val="000000"/>
                <w:lang w:eastAsia="en-US"/>
              </w:rPr>
              <w:t>ropas Savienības atbalstu</w:t>
            </w:r>
            <w:r w:rsidRPr="00B75A6B">
              <w:rPr>
                <w:color w:val="000000"/>
                <w:lang w:eastAsia="en-US"/>
              </w:rPr>
              <w:t>.</w:t>
            </w:r>
            <w:r>
              <w:rPr>
                <w:color w:val="000000"/>
                <w:shd w:val="clear" w:color="auto" w:fill="FFFFFF"/>
              </w:rPr>
              <w:t xml:space="preserve"> </w:t>
            </w:r>
          </w:p>
        </w:tc>
      </w:tr>
      <w:tr w14:paraId="5014FB56" w14:textId="4C9A162E" w:rsidTr="00D84DE8">
        <w:tblPrEx>
          <w:tblW w:w="10485"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C63BB9" w:rsidP="00D84DE8" w14:paraId="5014FB53" w14:textId="77777777">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C63BB9" w:rsidP="00D84DE8" w14:paraId="5014FB54" w14:textId="77777777">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rsidR="00C63BB9" w:rsidP="00D84DE8" w14:paraId="5014FB55" w14:textId="77777777">
            <w:pPr>
              <w:pStyle w:val="FootnoteText"/>
              <w:ind w:left="195" w:right="165"/>
              <w:rPr>
                <w:sz w:val="24"/>
                <w:szCs w:val="24"/>
              </w:rPr>
            </w:pPr>
            <w:r>
              <w:rPr>
                <w:sz w:val="24"/>
                <w:szCs w:val="24"/>
              </w:rPr>
              <w:t>Vides aizsardzības un reģionālās attīstības ministrija, Tukuma novada dome.</w:t>
            </w:r>
          </w:p>
        </w:tc>
      </w:tr>
      <w:tr w14:paraId="5014FB5B" w14:textId="78D3EEAA" w:rsidTr="00D84DE8">
        <w:tblPrEx>
          <w:tblW w:w="10485"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C63BB9" w:rsidP="00D84DE8" w14:paraId="5014FB57" w14:textId="77777777">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C63BB9" w:rsidP="00D84DE8" w14:paraId="5014FB58" w14:textId="77777777">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rsidR="00C63BB9" w:rsidP="00D84DE8" w14:paraId="5014FB59" w14:textId="77777777">
            <w:pPr>
              <w:pStyle w:val="naiskr"/>
              <w:spacing w:before="0" w:after="0"/>
              <w:ind w:left="198" w:right="164"/>
              <w:jc w:val="both"/>
            </w:pPr>
            <w:r>
              <w:t>Nav.</w:t>
            </w:r>
          </w:p>
          <w:p w:rsidR="00C63BB9" w:rsidP="00D84DE8" w14:paraId="5014FB5A" w14:textId="77777777">
            <w:pPr>
              <w:pStyle w:val="naiskr"/>
              <w:spacing w:before="0" w:after="0"/>
              <w:ind w:right="164"/>
              <w:jc w:val="both"/>
            </w:pP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4"/>
        <w:gridCol w:w="3644"/>
        <w:gridCol w:w="6800"/>
      </w:tblGrid>
      <w:tr w14:paraId="5014FB5D" w14:textId="77777777" w:rsidTr="00D84DE8">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3BB9" w:rsidRPr="0074456C" w:rsidP="00D84DE8" w14:paraId="5014FB5C" w14:textId="77777777">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14:paraId="5014FB62" w14:textId="77777777" w:rsidTr="00D84DE8">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63BB9" w:rsidRPr="00CA4290" w:rsidP="00D84DE8" w14:paraId="5014FB5E" w14:textId="77777777">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63BB9" w:rsidRPr="0074456C" w:rsidP="00D84DE8" w14:paraId="5014FB5F" w14:textId="77777777">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63BB9" w:rsidRPr="0074456C" w:rsidP="00D84DE8" w14:paraId="5014FB60" w14:textId="77777777">
            <w:pPr>
              <w:pStyle w:val="CommentText"/>
              <w:rPr>
                <w:sz w:val="24"/>
                <w:szCs w:val="24"/>
              </w:rPr>
            </w:pPr>
            <w:r>
              <w:rPr>
                <w:sz w:val="24"/>
                <w:szCs w:val="24"/>
              </w:rPr>
              <w:t>Tukuma novada iedzīvotāji.</w:t>
            </w:r>
          </w:p>
          <w:p w:rsidR="00C63BB9" w:rsidRPr="0074456C" w:rsidP="00D84DE8" w14:paraId="5014FB61" w14:textId="77777777"/>
        </w:tc>
      </w:tr>
      <w:tr w14:paraId="5014FB66" w14:textId="77777777" w:rsidTr="00D84DE8">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63BB9" w:rsidRPr="00CA4290" w:rsidP="00D84DE8" w14:paraId="5014FB63" w14:textId="77777777">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63BB9" w:rsidRPr="0074456C" w:rsidP="00D84DE8" w14:paraId="5014FB64" w14:textId="77777777">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63BB9" w:rsidRPr="0074456C" w:rsidP="00D84DE8" w14:paraId="5014FB65" w14:textId="77777777">
            <w:r>
              <w:t>Projekts šo jomu neskar.</w:t>
            </w:r>
          </w:p>
        </w:tc>
      </w:tr>
      <w:tr w14:paraId="5014FB6A" w14:textId="77777777" w:rsidTr="00D84DE8">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63BB9" w:rsidRPr="00CA4290" w:rsidP="00D84DE8" w14:paraId="5014FB67" w14:textId="77777777">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63BB9" w:rsidRPr="0074456C" w:rsidP="00D84DE8" w14:paraId="5014FB68" w14:textId="77777777">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63BB9" w:rsidRPr="0074456C" w:rsidP="00D84DE8" w14:paraId="5014FB69" w14:textId="77777777">
            <w:r>
              <w:t>Projekts šo jomu neskar.</w:t>
            </w:r>
          </w:p>
        </w:tc>
      </w:tr>
      <w:tr w14:paraId="5014FB6E" w14:textId="77777777" w:rsidTr="00D84DE8">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C63BB9" w:rsidRPr="00CA4290" w:rsidP="00D84DE8" w14:paraId="5014FB6B" w14:textId="77777777">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rsidR="00C63BB9" w:rsidRPr="0074456C" w:rsidP="00D84DE8" w14:paraId="5014FB6C" w14:textId="77777777">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rsidR="00C63BB9" w:rsidP="00D84DE8" w14:paraId="5014FB6D" w14:textId="77777777">
            <w:r>
              <w:t>Projekts šo jomu neskar.</w:t>
            </w:r>
          </w:p>
        </w:tc>
      </w:tr>
      <w:tr w14:paraId="5014FB72" w14:textId="77777777" w:rsidTr="00D84DE8">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63BB9" w:rsidRPr="00CA4290" w:rsidP="00D84DE8" w14:paraId="5014FB6F" w14:textId="77777777">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63BB9" w:rsidRPr="0074456C" w:rsidP="00D84DE8" w14:paraId="5014FB70" w14:textId="77777777">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63BB9" w:rsidRPr="0074456C" w:rsidP="00D84DE8" w14:paraId="5014FB71" w14:textId="77777777">
            <w:pPr>
              <w:spacing w:before="100" w:beforeAutospacing="1" w:after="100" w:afterAutospacing="1" w:line="293" w:lineRule="atLeast"/>
            </w:pPr>
            <w:r w:rsidRPr="0074456C">
              <w:t>Nav</w:t>
            </w:r>
            <w:r>
              <w:t>.</w:t>
            </w:r>
          </w:p>
        </w:tc>
      </w:tr>
    </w:tbl>
    <w:p w:rsidR="00C63BB9" w:rsidP="00C63BB9" w14:paraId="5014FB73" w14:textId="77777777">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1"/>
        <w:gridCol w:w="1156"/>
        <w:gridCol w:w="1464"/>
        <w:gridCol w:w="6"/>
        <w:gridCol w:w="1252"/>
        <w:gridCol w:w="1261"/>
        <w:gridCol w:w="1201"/>
        <w:gridCol w:w="6"/>
      </w:tblGrid>
      <w:tr w14:paraId="5014FB75" w14:textId="77777777" w:rsidTr="00C12FBF">
        <w:tblPrEx>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After w:val="1"/>
          <w:wAfter w:w="3" w:type="dxa"/>
          <w:trHeight w:val="360"/>
        </w:trPr>
        <w:tc>
          <w:tcPr>
            <w:tcW w:w="4997" w:type="pct"/>
            <w:gridSpan w:val="7"/>
            <w:hideMark/>
          </w:tcPr>
          <w:p w:rsidR="00C63BB9" w:rsidRPr="00655F87" w:rsidP="00D84DE8" w14:paraId="5014FB74" w14:textId="77777777">
            <w:pPr>
              <w:spacing w:before="100" w:beforeAutospacing="1" w:after="100" w:afterAutospacing="1"/>
              <w:ind w:firstLine="300"/>
              <w:jc w:val="center"/>
              <w:rPr>
                <w:b/>
                <w:bCs/>
              </w:rPr>
            </w:pPr>
            <w:r w:rsidRPr="00655F87">
              <w:rPr>
                <w:b/>
                <w:bCs/>
              </w:rPr>
              <w:t>III. Tiesību akta projekta ietekme uz valsts budžetu un pašvaldību budžetiem</w:t>
            </w:r>
          </w:p>
        </w:tc>
      </w:tr>
      <w:tr w14:paraId="5014FB79" w14:textId="77777777" w:rsidTr="00C12FBF">
        <w:tblPrEx>
          <w:tblW w:w="5708" w:type="pct"/>
          <w:tblInd w:w="-601" w:type="dxa"/>
          <w:tblLayout w:type="fixed"/>
          <w:tblLook w:val="04A0"/>
        </w:tblPrEx>
        <w:trPr>
          <w:gridAfter w:val="1"/>
          <w:wAfter w:w="3" w:type="dxa"/>
        </w:trPr>
        <w:tc>
          <w:tcPr>
            <w:tcW w:w="2025" w:type="pct"/>
            <w:vMerge w:val="restart"/>
            <w:hideMark/>
          </w:tcPr>
          <w:p w:rsidR="00C63BB9" w:rsidRPr="00655F87" w:rsidP="00D84DE8" w14:paraId="5014FB76" w14:textId="77777777">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rsidR="00C63BB9" w:rsidRPr="00655F87" w:rsidP="00D84DE8" w14:paraId="5014FB77" w14:textId="77777777">
            <w:pPr>
              <w:spacing w:before="100" w:beforeAutospacing="1" w:after="100" w:afterAutospacing="1"/>
              <w:ind w:firstLine="300"/>
              <w:jc w:val="center"/>
              <w:rPr>
                <w:b/>
                <w:bCs/>
              </w:rPr>
            </w:pPr>
            <w:r>
              <w:rPr>
                <w:b/>
                <w:bCs/>
              </w:rPr>
              <w:t>2018.</w:t>
            </w:r>
            <w:r w:rsidRPr="00655F87">
              <w:rPr>
                <w:b/>
                <w:bCs/>
              </w:rPr>
              <w:t>gads</w:t>
            </w:r>
          </w:p>
        </w:tc>
        <w:tc>
          <w:tcPr>
            <w:tcW w:w="1744" w:type="pct"/>
            <w:gridSpan w:val="4"/>
            <w:hideMark/>
          </w:tcPr>
          <w:p w:rsidR="00C63BB9" w:rsidRPr="00655F87" w:rsidP="00D84DE8" w14:paraId="5014FB78" w14:textId="77777777">
            <w:pPr>
              <w:spacing w:before="100" w:beforeAutospacing="1" w:after="100" w:afterAutospacing="1"/>
              <w:ind w:firstLine="300"/>
              <w:jc w:val="center"/>
            </w:pPr>
            <w:r w:rsidRPr="00655F87">
              <w:t>Turpmākie trīs gadi (</w:t>
            </w:r>
            <w:r w:rsidRPr="00655F87">
              <w:rPr>
                <w:i/>
                <w:iCs/>
              </w:rPr>
              <w:t>euro</w:t>
            </w:r>
            <w:r w:rsidRPr="00655F87">
              <w:t>)</w:t>
            </w:r>
          </w:p>
        </w:tc>
      </w:tr>
      <w:tr w14:paraId="5014FB7F" w14:textId="77777777" w:rsidTr="00C12FBF">
        <w:tblPrEx>
          <w:tblW w:w="5708" w:type="pct"/>
          <w:tblInd w:w="-601" w:type="dxa"/>
          <w:tblLayout w:type="fixed"/>
          <w:tblLook w:val="04A0"/>
        </w:tblPrEx>
        <w:trPr>
          <w:gridAfter w:val="1"/>
          <w:wAfter w:w="3" w:type="dxa"/>
        </w:trPr>
        <w:tc>
          <w:tcPr>
            <w:tcW w:w="2025" w:type="pct"/>
            <w:vMerge/>
            <w:hideMark/>
          </w:tcPr>
          <w:p w:rsidR="00C63BB9" w:rsidRPr="00655F87" w:rsidP="00D84DE8" w14:paraId="5014FB7A" w14:textId="77777777">
            <w:pPr>
              <w:rPr>
                <w:b/>
                <w:bCs/>
              </w:rPr>
            </w:pPr>
          </w:p>
        </w:tc>
        <w:tc>
          <w:tcPr>
            <w:tcW w:w="1228" w:type="pct"/>
            <w:gridSpan w:val="2"/>
            <w:vMerge/>
            <w:hideMark/>
          </w:tcPr>
          <w:p w:rsidR="00C63BB9" w:rsidRPr="00655F87" w:rsidP="00D84DE8" w14:paraId="5014FB7B" w14:textId="77777777">
            <w:pPr>
              <w:rPr>
                <w:b/>
                <w:bCs/>
              </w:rPr>
            </w:pPr>
          </w:p>
        </w:tc>
        <w:tc>
          <w:tcPr>
            <w:tcW w:w="590" w:type="pct"/>
            <w:gridSpan w:val="2"/>
            <w:hideMark/>
          </w:tcPr>
          <w:p w:rsidR="00C63BB9" w:rsidRPr="00655F87" w:rsidP="00D84DE8" w14:paraId="5014FB7C" w14:textId="77777777">
            <w:pPr>
              <w:spacing w:before="100" w:beforeAutospacing="1" w:after="100" w:afterAutospacing="1"/>
              <w:ind w:firstLine="300"/>
              <w:jc w:val="center"/>
              <w:rPr>
                <w:b/>
                <w:bCs/>
              </w:rPr>
            </w:pPr>
            <w:r>
              <w:rPr>
                <w:b/>
                <w:bCs/>
              </w:rPr>
              <w:t>2019</w:t>
            </w:r>
          </w:p>
        </w:tc>
        <w:tc>
          <w:tcPr>
            <w:tcW w:w="591" w:type="pct"/>
            <w:hideMark/>
          </w:tcPr>
          <w:p w:rsidR="00C63BB9" w:rsidRPr="00655F87" w:rsidP="00D84DE8" w14:paraId="5014FB7D" w14:textId="77777777">
            <w:pPr>
              <w:spacing w:before="100" w:beforeAutospacing="1" w:after="100" w:afterAutospacing="1"/>
              <w:ind w:firstLine="300"/>
              <w:jc w:val="center"/>
              <w:rPr>
                <w:b/>
                <w:bCs/>
              </w:rPr>
            </w:pPr>
            <w:r>
              <w:rPr>
                <w:b/>
                <w:bCs/>
              </w:rPr>
              <w:t>2020</w:t>
            </w:r>
          </w:p>
        </w:tc>
        <w:tc>
          <w:tcPr>
            <w:tcW w:w="563" w:type="pct"/>
            <w:hideMark/>
          </w:tcPr>
          <w:p w:rsidR="00C63BB9" w:rsidRPr="00655F87" w:rsidP="00D84DE8" w14:paraId="5014FB7E" w14:textId="77777777">
            <w:pPr>
              <w:spacing w:before="100" w:beforeAutospacing="1" w:after="100" w:afterAutospacing="1"/>
              <w:ind w:firstLine="300"/>
              <w:jc w:val="center"/>
              <w:rPr>
                <w:b/>
                <w:bCs/>
              </w:rPr>
            </w:pPr>
            <w:r>
              <w:rPr>
                <w:b/>
                <w:bCs/>
              </w:rPr>
              <w:t>2021</w:t>
            </w:r>
          </w:p>
        </w:tc>
      </w:tr>
      <w:tr w14:paraId="5014FB86" w14:textId="77777777" w:rsidTr="00C12FBF">
        <w:tblPrEx>
          <w:tblW w:w="5708" w:type="pct"/>
          <w:tblInd w:w="-601" w:type="dxa"/>
          <w:tblLayout w:type="fixed"/>
          <w:tblLook w:val="04A0"/>
        </w:tblPrEx>
        <w:trPr>
          <w:gridAfter w:val="1"/>
          <w:wAfter w:w="3" w:type="dxa"/>
        </w:trPr>
        <w:tc>
          <w:tcPr>
            <w:tcW w:w="2025" w:type="pct"/>
            <w:vMerge/>
            <w:hideMark/>
          </w:tcPr>
          <w:p w:rsidR="00C63BB9" w:rsidRPr="00655F87" w:rsidP="00D84DE8" w14:paraId="5014FB80" w14:textId="77777777">
            <w:pPr>
              <w:rPr>
                <w:b/>
                <w:bCs/>
              </w:rPr>
            </w:pPr>
          </w:p>
        </w:tc>
        <w:tc>
          <w:tcPr>
            <w:tcW w:w="542" w:type="pct"/>
            <w:hideMark/>
          </w:tcPr>
          <w:p w:rsidR="00C63BB9" w:rsidRPr="00655F87" w:rsidP="00D84DE8" w14:paraId="5014FB81" w14:textId="77777777">
            <w:pPr>
              <w:spacing w:before="100" w:beforeAutospacing="1" w:after="100" w:afterAutospacing="1"/>
            </w:pPr>
            <w:r w:rsidRPr="00655F87">
              <w:t>saskaņā ar valsts budžetu kārtējam gadam</w:t>
            </w:r>
          </w:p>
        </w:tc>
        <w:tc>
          <w:tcPr>
            <w:tcW w:w="686" w:type="pct"/>
            <w:hideMark/>
          </w:tcPr>
          <w:p w:rsidR="00C63BB9" w:rsidRPr="00655F87" w:rsidP="00D84DE8" w14:paraId="5014FB82" w14:textId="77777777">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90" w:type="pct"/>
            <w:gridSpan w:val="2"/>
            <w:hideMark/>
          </w:tcPr>
          <w:p w:rsidR="00C63BB9" w:rsidRPr="00655F87" w:rsidP="00D84DE8" w14:paraId="5014FB83" w14:textId="77777777">
            <w:pPr>
              <w:spacing w:before="100" w:beforeAutospacing="1" w:after="100" w:afterAutospacing="1"/>
            </w:pPr>
            <w:r w:rsidRPr="00655F87">
              <w:t>izm</w:t>
            </w:r>
            <w:r>
              <w:t>aiņas, salīdzinot ar kārtējo 2017.gadu</w:t>
            </w:r>
            <w:r w:rsidRPr="00655F87">
              <w:t xml:space="preserve"> gadu</w:t>
            </w:r>
          </w:p>
        </w:tc>
        <w:tc>
          <w:tcPr>
            <w:tcW w:w="591" w:type="pct"/>
            <w:hideMark/>
          </w:tcPr>
          <w:p w:rsidR="00C63BB9" w:rsidRPr="00655F87" w:rsidP="00D84DE8" w14:paraId="5014FB84" w14:textId="77777777">
            <w:pPr>
              <w:spacing w:before="100" w:beforeAutospacing="1" w:after="100" w:afterAutospacing="1"/>
            </w:pPr>
            <w:r w:rsidRPr="00655F87">
              <w:t>izm</w:t>
            </w:r>
            <w:r>
              <w:t>aiņas, salīdzinot ar kārtējo 2017.</w:t>
            </w:r>
            <w:r w:rsidRPr="00655F87">
              <w:t xml:space="preserve"> gadu</w:t>
            </w:r>
          </w:p>
        </w:tc>
        <w:tc>
          <w:tcPr>
            <w:tcW w:w="563" w:type="pct"/>
            <w:hideMark/>
          </w:tcPr>
          <w:p w:rsidR="00C63BB9" w:rsidRPr="00655F87" w:rsidP="00D84DE8" w14:paraId="5014FB85" w14:textId="77777777">
            <w:pPr>
              <w:spacing w:before="100" w:beforeAutospacing="1" w:after="100" w:afterAutospacing="1"/>
            </w:pPr>
            <w:r w:rsidRPr="00655F87">
              <w:t>izm</w:t>
            </w:r>
            <w:r>
              <w:t>aiņas, salīdzinot ar kārtējo 2017.</w:t>
            </w:r>
            <w:r w:rsidRPr="00655F87">
              <w:t xml:space="preserve"> gadu</w:t>
            </w:r>
          </w:p>
        </w:tc>
      </w:tr>
      <w:tr w14:paraId="5014FB8D"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87" w14:textId="77777777">
            <w:pPr>
              <w:spacing w:before="100" w:beforeAutospacing="1" w:after="100" w:afterAutospacing="1"/>
              <w:ind w:firstLine="300"/>
              <w:jc w:val="center"/>
            </w:pPr>
            <w:r w:rsidRPr="00655F87">
              <w:t>1</w:t>
            </w:r>
          </w:p>
        </w:tc>
        <w:tc>
          <w:tcPr>
            <w:tcW w:w="542" w:type="pct"/>
            <w:hideMark/>
          </w:tcPr>
          <w:p w:rsidR="00C63BB9" w:rsidRPr="00655F87" w:rsidP="00D84DE8" w14:paraId="5014FB88" w14:textId="77777777">
            <w:pPr>
              <w:spacing w:before="100" w:beforeAutospacing="1" w:after="100" w:afterAutospacing="1"/>
              <w:ind w:firstLine="300"/>
              <w:jc w:val="center"/>
            </w:pPr>
            <w:r w:rsidRPr="00655F87">
              <w:t>2</w:t>
            </w:r>
          </w:p>
        </w:tc>
        <w:tc>
          <w:tcPr>
            <w:tcW w:w="686" w:type="pct"/>
            <w:hideMark/>
          </w:tcPr>
          <w:p w:rsidR="00C63BB9" w:rsidRPr="00655F87" w:rsidP="00D84DE8" w14:paraId="5014FB89" w14:textId="77777777">
            <w:pPr>
              <w:spacing w:before="100" w:beforeAutospacing="1" w:after="100" w:afterAutospacing="1"/>
              <w:ind w:firstLine="300"/>
              <w:jc w:val="center"/>
            </w:pPr>
            <w:r w:rsidRPr="00655F87">
              <w:t>3</w:t>
            </w:r>
          </w:p>
        </w:tc>
        <w:tc>
          <w:tcPr>
            <w:tcW w:w="590" w:type="pct"/>
            <w:gridSpan w:val="2"/>
            <w:hideMark/>
          </w:tcPr>
          <w:p w:rsidR="00C63BB9" w:rsidRPr="00655F87" w:rsidP="00D84DE8" w14:paraId="5014FB8A" w14:textId="77777777">
            <w:pPr>
              <w:spacing w:before="100" w:beforeAutospacing="1" w:after="100" w:afterAutospacing="1"/>
              <w:ind w:firstLine="300"/>
              <w:jc w:val="center"/>
            </w:pPr>
            <w:r w:rsidRPr="00655F87">
              <w:t>4</w:t>
            </w:r>
          </w:p>
        </w:tc>
        <w:tc>
          <w:tcPr>
            <w:tcW w:w="591" w:type="pct"/>
            <w:hideMark/>
          </w:tcPr>
          <w:p w:rsidR="00C63BB9" w:rsidRPr="00655F87" w:rsidP="00D84DE8" w14:paraId="5014FB8B" w14:textId="77777777">
            <w:pPr>
              <w:spacing w:before="100" w:beforeAutospacing="1" w:after="100" w:afterAutospacing="1"/>
              <w:ind w:firstLine="300"/>
              <w:jc w:val="center"/>
            </w:pPr>
            <w:r w:rsidRPr="00655F87">
              <w:t>5</w:t>
            </w:r>
          </w:p>
        </w:tc>
        <w:tc>
          <w:tcPr>
            <w:tcW w:w="563" w:type="pct"/>
            <w:hideMark/>
          </w:tcPr>
          <w:p w:rsidR="00C63BB9" w:rsidRPr="00655F87" w:rsidP="00D84DE8" w14:paraId="5014FB8C" w14:textId="77777777">
            <w:pPr>
              <w:spacing w:before="100" w:beforeAutospacing="1" w:after="100" w:afterAutospacing="1"/>
              <w:ind w:firstLine="300"/>
              <w:jc w:val="center"/>
            </w:pPr>
            <w:r w:rsidRPr="00655F87">
              <w:t>6</w:t>
            </w:r>
          </w:p>
        </w:tc>
      </w:tr>
      <w:tr w14:paraId="5014FB94"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8E" w14:textId="77777777">
            <w:r w:rsidRPr="00655F87">
              <w:t>1. Budžeta ieņēmumi:</w:t>
            </w:r>
          </w:p>
        </w:tc>
        <w:tc>
          <w:tcPr>
            <w:tcW w:w="542" w:type="pct"/>
            <w:hideMark/>
          </w:tcPr>
          <w:p w:rsidR="00C63BB9" w:rsidRPr="00655F87" w:rsidP="00D84DE8" w14:paraId="5014FB8F" w14:textId="77777777">
            <w:r>
              <w:t>0</w:t>
            </w:r>
          </w:p>
        </w:tc>
        <w:tc>
          <w:tcPr>
            <w:tcW w:w="686" w:type="pct"/>
            <w:hideMark/>
          </w:tcPr>
          <w:p w:rsidR="00C63BB9" w:rsidRPr="00655F87" w:rsidP="00D84DE8" w14:paraId="5014FB90" w14:textId="77777777">
            <w:r>
              <w:t>0</w:t>
            </w:r>
          </w:p>
        </w:tc>
        <w:tc>
          <w:tcPr>
            <w:tcW w:w="590" w:type="pct"/>
            <w:gridSpan w:val="2"/>
            <w:hideMark/>
          </w:tcPr>
          <w:p w:rsidR="00C63BB9" w:rsidRPr="00655F87" w:rsidP="00D84DE8" w14:paraId="5014FB91" w14:textId="77777777">
            <w:r>
              <w:t>0</w:t>
            </w:r>
          </w:p>
        </w:tc>
        <w:tc>
          <w:tcPr>
            <w:tcW w:w="591" w:type="pct"/>
            <w:hideMark/>
          </w:tcPr>
          <w:p w:rsidR="00C63BB9" w:rsidRPr="00655F87" w:rsidP="00D84DE8" w14:paraId="5014FB92" w14:textId="77777777">
            <w:r>
              <w:t>0</w:t>
            </w:r>
          </w:p>
        </w:tc>
        <w:tc>
          <w:tcPr>
            <w:tcW w:w="563" w:type="pct"/>
            <w:hideMark/>
          </w:tcPr>
          <w:p w:rsidR="00C63BB9" w:rsidRPr="00655F87" w:rsidP="00D84DE8" w14:paraId="5014FB93" w14:textId="77777777">
            <w:r>
              <w:t>0</w:t>
            </w:r>
          </w:p>
        </w:tc>
      </w:tr>
      <w:tr w14:paraId="5014FB9B"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95" w14:textId="77777777">
            <w:r w:rsidRPr="00655F87">
              <w:t>1.1. valsts pamatbudžets, tai skaitā</w:t>
            </w:r>
            <w:r>
              <w:t xml:space="preserve"> </w:t>
            </w:r>
            <w:r w:rsidRPr="00655F87">
              <w:t>ieņēmumi no maksas pakalpojumiem un citi pašu ieņēmumi</w:t>
            </w:r>
          </w:p>
        </w:tc>
        <w:tc>
          <w:tcPr>
            <w:tcW w:w="542" w:type="pct"/>
            <w:hideMark/>
          </w:tcPr>
          <w:p w:rsidR="00C63BB9" w:rsidRPr="00655F87" w:rsidP="00D84DE8" w14:paraId="5014FB96" w14:textId="77777777">
            <w:r>
              <w:t>0</w:t>
            </w:r>
          </w:p>
        </w:tc>
        <w:tc>
          <w:tcPr>
            <w:tcW w:w="686" w:type="pct"/>
            <w:hideMark/>
          </w:tcPr>
          <w:p w:rsidR="00C63BB9" w:rsidRPr="00655F87" w:rsidP="00D84DE8" w14:paraId="5014FB97" w14:textId="77777777">
            <w:r>
              <w:t>0</w:t>
            </w:r>
          </w:p>
        </w:tc>
        <w:tc>
          <w:tcPr>
            <w:tcW w:w="590" w:type="pct"/>
            <w:gridSpan w:val="2"/>
            <w:hideMark/>
          </w:tcPr>
          <w:p w:rsidR="00C63BB9" w:rsidRPr="00655F87" w:rsidP="00D84DE8" w14:paraId="5014FB98" w14:textId="77777777">
            <w:r>
              <w:t>0</w:t>
            </w:r>
          </w:p>
        </w:tc>
        <w:tc>
          <w:tcPr>
            <w:tcW w:w="591" w:type="pct"/>
            <w:hideMark/>
          </w:tcPr>
          <w:p w:rsidR="00C63BB9" w:rsidRPr="00655F87" w:rsidP="00D84DE8" w14:paraId="5014FB99" w14:textId="77777777">
            <w:r>
              <w:t>0</w:t>
            </w:r>
          </w:p>
        </w:tc>
        <w:tc>
          <w:tcPr>
            <w:tcW w:w="563" w:type="pct"/>
            <w:hideMark/>
          </w:tcPr>
          <w:p w:rsidR="00C63BB9" w:rsidRPr="00655F87" w:rsidP="00D84DE8" w14:paraId="5014FB9A" w14:textId="77777777">
            <w:r>
              <w:t>0</w:t>
            </w:r>
          </w:p>
        </w:tc>
      </w:tr>
      <w:tr w14:paraId="5014FBA2"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9C" w14:textId="77777777">
            <w:r w:rsidRPr="00655F87">
              <w:t>1.2. valsts speciālais budžets</w:t>
            </w:r>
          </w:p>
        </w:tc>
        <w:tc>
          <w:tcPr>
            <w:tcW w:w="542" w:type="pct"/>
            <w:hideMark/>
          </w:tcPr>
          <w:p w:rsidR="00C63BB9" w:rsidRPr="00655F87" w:rsidP="00D84DE8" w14:paraId="5014FB9D" w14:textId="77777777">
            <w:r>
              <w:t>0</w:t>
            </w:r>
          </w:p>
        </w:tc>
        <w:tc>
          <w:tcPr>
            <w:tcW w:w="686" w:type="pct"/>
            <w:hideMark/>
          </w:tcPr>
          <w:p w:rsidR="00C63BB9" w:rsidRPr="00655F87" w:rsidP="00D84DE8" w14:paraId="5014FB9E" w14:textId="77777777">
            <w:r>
              <w:t>0</w:t>
            </w:r>
          </w:p>
        </w:tc>
        <w:tc>
          <w:tcPr>
            <w:tcW w:w="590" w:type="pct"/>
            <w:gridSpan w:val="2"/>
            <w:hideMark/>
          </w:tcPr>
          <w:p w:rsidR="00C63BB9" w:rsidRPr="00655F87" w:rsidP="00D84DE8" w14:paraId="5014FB9F" w14:textId="77777777">
            <w:r>
              <w:t>0</w:t>
            </w:r>
          </w:p>
        </w:tc>
        <w:tc>
          <w:tcPr>
            <w:tcW w:w="591" w:type="pct"/>
            <w:hideMark/>
          </w:tcPr>
          <w:p w:rsidR="00C63BB9" w:rsidRPr="00655F87" w:rsidP="00D84DE8" w14:paraId="5014FBA0" w14:textId="77777777">
            <w:r>
              <w:t>0</w:t>
            </w:r>
          </w:p>
        </w:tc>
        <w:tc>
          <w:tcPr>
            <w:tcW w:w="563" w:type="pct"/>
            <w:hideMark/>
          </w:tcPr>
          <w:p w:rsidR="00C63BB9" w:rsidRPr="00655F87" w:rsidP="00D84DE8" w14:paraId="5014FBA1" w14:textId="77777777">
            <w:r>
              <w:t>0</w:t>
            </w:r>
          </w:p>
        </w:tc>
      </w:tr>
      <w:tr w14:paraId="5014FBA9"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A3" w14:textId="77777777">
            <w:r w:rsidRPr="00655F87">
              <w:t>1.3. pašvaldību budžets</w:t>
            </w:r>
          </w:p>
        </w:tc>
        <w:tc>
          <w:tcPr>
            <w:tcW w:w="542" w:type="pct"/>
            <w:hideMark/>
          </w:tcPr>
          <w:p w:rsidR="00C63BB9" w:rsidRPr="00655F87" w:rsidP="00D84DE8" w14:paraId="5014FBA4" w14:textId="77777777">
            <w:r>
              <w:t>0</w:t>
            </w:r>
          </w:p>
        </w:tc>
        <w:tc>
          <w:tcPr>
            <w:tcW w:w="686" w:type="pct"/>
            <w:hideMark/>
          </w:tcPr>
          <w:p w:rsidR="00C63BB9" w:rsidRPr="00655F87" w:rsidP="00D84DE8" w14:paraId="5014FBA5" w14:textId="77777777">
            <w:r>
              <w:t>0</w:t>
            </w:r>
          </w:p>
        </w:tc>
        <w:tc>
          <w:tcPr>
            <w:tcW w:w="590" w:type="pct"/>
            <w:gridSpan w:val="2"/>
            <w:hideMark/>
          </w:tcPr>
          <w:p w:rsidR="00C63BB9" w:rsidRPr="00655F87" w:rsidP="00D84DE8" w14:paraId="5014FBA6" w14:textId="77777777">
            <w:r>
              <w:t>0</w:t>
            </w:r>
          </w:p>
        </w:tc>
        <w:tc>
          <w:tcPr>
            <w:tcW w:w="591" w:type="pct"/>
            <w:hideMark/>
          </w:tcPr>
          <w:p w:rsidR="00C63BB9" w:rsidRPr="00655F87" w:rsidP="00D84DE8" w14:paraId="5014FBA7" w14:textId="77777777">
            <w:r>
              <w:t>0</w:t>
            </w:r>
          </w:p>
        </w:tc>
        <w:tc>
          <w:tcPr>
            <w:tcW w:w="563" w:type="pct"/>
            <w:hideMark/>
          </w:tcPr>
          <w:p w:rsidR="00C63BB9" w:rsidRPr="00655F87" w:rsidP="00D84DE8" w14:paraId="5014FBA8" w14:textId="77777777">
            <w:r>
              <w:t>0</w:t>
            </w:r>
          </w:p>
        </w:tc>
      </w:tr>
      <w:tr w14:paraId="5014FBB0"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AA" w14:textId="77777777">
            <w:r w:rsidRPr="00655F87">
              <w:t>2. Budžeta izdevumi:</w:t>
            </w:r>
          </w:p>
        </w:tc>
        <w:tc>
          <w:tcPr>
            <w:tcW w:w="542" w:type="pct"/>
            <w:hideMark/>
          </w:tcPr>
          <w:p w:rsidR="00C63BB9" w:rsidRPr="00655F87" w:rsidP="00D84DE8" w14:paraId="5014FBAB" w14:textId="77777777">
            <w:r>
              <w:t>0</w:t>
            </w:r>
          </w:p>
        </w:tc>
        <w:tc>
          <w:tcPr>
            <w:tcW w:w="686" w:type="pct"/>
            <w:hideMark/>
          </w:tcPr>
          <w:p w:rsidR="00C63BB9" w:rsidRPr="00655F87" w:rsidP="00D84DE8" w14:paraId="5014FBAC" w14:textId="77777777">
            <w:r>
              <w:t>0</w:t>
            </w:r>
          </w:p>
        </w:tc>
        <w:tc>
          <w:tcPr>
            <w:tcW w:w="590" w:type="pct"/>
            <w:gridSpan w:val="2"/>
            <w:hideMark/>
          </w:tcPr>
          <w:p w:rsidR="00C63BB9" w:rsidRPr="00655F87" w:rsidP="00D84DE8" w14:paraId="5014FBAD" w14:textId="77777777">
            <w:r>
              <w:t>0</w:t>
            </w:r>
          </w:p>
        </w:tc>
        <w:tc>
          <w:tcPr>
            <w:tcW w:w="591" w:type="pct"/>
            <w:hideMark/>
          </w:tcPr>
          <w:p w:rsidR="00C63BB9" w:rsidRPr="00655F87" w:rsidP="00D84DE8" w14:paraId="5014FBAE" w14:textId="77777777">
            <w:r>
              <w:t>0</w:t>
            </w:r>
          </w:p>
        </w:tc>
        <w:tc>
          <w:tcPr>
            <w:tcW w:w="563" w:type="pct"/>
            <w:hideMark/>
          </w:tcPr>
          <w:p w:rsidR="00C63BB9" w:rsidRPr="00655F87" w:rsidP="00D84DE8" w14:paraId="5014FBAF" w14:textId="77777777">
            <w:r>
              <w:t>0</w:t>
            </w:r>
          </w:p>
        </w:tc>
      </w:tr>
      <w:tr w14:paraId="5014FBB7"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B1" w14:textId="77777777">
            <w:r w:rsidRPr="00655F87">
              <w:t>2.1. valsts pamatbudžets</w:t>
            </w:r>
          </w:p>
        </w:tc>
        <w:tc>
          <w:tcPr>
            <w:tcW w:w="542" w:type="pct"/>
            <w:hideMark/>
          </w:tcPr>
          <w:p w:rsidR="00C63BB9" w:rsidRPr="00655F87" w:rsidP="00D84DE8" w14:paraId="5014FBB2" w14:textId="77777777">
            <w:r>
              <w:t>0</w:t>
            </w:r>
          </w:p>
        </w:tc>
        <w:tc>
          <w:tcPr>
            <w:tcW w:w="686" w:type="pct"/>
            <w:hideMark/>
          </w:tcPr>
          <w:p w:rsidR="00C63BB9" w:rsidRPr="00655F87" w:rsidP="00D84DE8" w14:paraId="5014FBB3" w14:textId="77777777">
            <w:r>
              <w:t>0</w:t>
            </w:r>
          </w:p>
        </w:tc>
        <w:tc>
          <w:tcPr>
            <w:tcW w:w="590" w:type="pct"/>
            <w:gridSpan w:val="2"/>
            <w:hideMark/>
          </w:tcPr>
          <w:p w:rsidR="00C63BB9" w:rsidRPr="00655F87" w:rsidP="00D84DE8" w14:paraId="5014FBB4" w14:textId="77777777">
            <w:r>
              <w:t>0</w:t>
            </w:r>
          </w:p>
        </w:tc>
        <w:tc>
          <w:tcPr>
            <w:tcW w:w="591" w:type="pct"/>
            <w:hideMark/>
          </w:tcPr>
          <w:p w:rsidR="00C63BB9" w:rsidRPr="00655F87" w:rsidP="00D84DE8" w14:paraId="5014FBB5" w14:textId="77777777">
            <w:r>
              <w:t>0</w:t>
            </w:r>
          </w:p>
        </w:tc>
        <w:tc>
          <w:tcPr>
            <w:tcW w:w="563" w:type="pct"/>
            <w:hideMark/>
          </w:tcPr>
          <w:p w:rsidR="00C63BB9" w:rsidRPr="00655F87" w:rsidP="00D84DE8" w14:paraId="5014FBB6" w14:textId="77777777">
            <w:r>
              <w:t>0</w:t>
            </w:r>
          </w:p>
        </w:tc>
      </w:tr>
      <w:tr w14:paraId="5014FBBE"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B8" w14:textId="77777777">
            <w:r w:rsidRPr="00655F87">
              <w:t>2.2. valsts speciālais budžets</w:t>
            </w:r>
          </w:p>
        </w:tc>
        <w:tc>
          <w:tcPr>
            <w:tcW w:w="542" w:type="pct"/>
            <w:hideMark/>
          </w:tcPr>
          <w:p w:rsidR="00C63BB9" w:rsidRPr="00655F87" w:rsidP="00D84DE8" w14:paraId="5014FBB9" w14:textId="77777777">
            <w:r>
              <w:t>0</w:t>
            </w:r>
          </w:p>
        </w:tc>
        <w:tc>
          <w:tcPr>
            <w:tcW w:w="686" w:type="pct"/>
            <w:hideMark/>
          </w:tcPr>
          <w:p w:rsidR="00C63BB9" w:rsidRPr="00655F87" w:rsidP="00D84DE8" w14:paraId="5014FBBA" w14:textId="77777777">
            <w:r>
              <w:t>0</w:t>
            </w:r>
          </w:p>
        </w:tc>
        <w:tc>
          <w:tcPr>
            <w:tcW w:w="590" w:type="pct"/>
            <w:gridSpan w:val="2"/>
            <w:hideMark/>
          </w:tcPr>
          <w:p w:rsidR="00C63BB9" w:rsidRPr="00655F87" w:rsidP="00D84DE8" w14:paraId="5014FBBB" w14:textId="77777777">
            <w:r>
              <w:t>0</w:t>
            </w:r>
          </w:p>
        </w:tc>
        <w:tc>
          <w:tcPr>
            <w:tcW w:w="591" w:type="pct"/>
            <w:hideMark/>
          </w:tcPr>
          <w:p w:rsidR="00C63BB9" w:rsidRPr="00655F87" w:rsidP="00D84DE8" w14:paraId="5014FBBC" w14:textId="77777777">
            <w:r>
              <w:t>0</w:t>
            </w:r>
          </w:p>
        </w:tc>
        <w:tc>
          <w:tcPr>
            <w:tcW w:w="563" w:type="pct"/>
            <w:hideMark/>
          </w:tcPr>
          <w:p w:rsidR="00C63BB9" w:rsidRPr="00655F87" w:rsidP="00D84DE8" w14:paraId="5014FBBD" w14:textId="77777777">
            <w:r>
              <w:t>0</w:t>
            </w:r>
          </w:p>
        </w:tc>
      </w:tr>
      <w:tr w14:paraId="5014FBC5"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BF" w14:textId="77777777">
            <w:r w:rsidRPr="00655F87">
              <w:t>2.3. pašvaldību budžets</w:t>
            </w:r>
          </w:p>
        </w:tc>
        <w:tc>
          <w:tcPr>
            <w:tcW w:w="542" w:type="pct"/>
            <w:hideMark/>
          </w:tcPr>
          <w:p w:rsidR="00C63BB9" w:rsidRPr="00655F87" w:rsidP="00D84DE8" w14:paraId="5014FBC0" w14:textId="77777777">
            <w:r>
              <w:t>0</w:t>
            </w:r>
          </w:p>
        </w:tc>
        <w:tc>
          <w:tcPr>
            <w:tcW w:w="686" w:type="pct"/>
            <w:hideMark/>
          </w:tcPr>
          <w:p w:rsidR="00C63BB9" w:rsidRPr="00655F87" w:rsidP="00D84DE8" w14:paraId="5014FBC1" w14:textId="77777777">
            <w:r>
              <w:t>0</w:t>
            </w:r>
          </w:p>
        </w:tc>
        <w:tc>
          <w:tcPr>
            <w:tcW w:w="590" w:type="pct"/>
            <w:gridSpan w:val="2"/>
            <w:hideMark/>
          </w:tcPr>
          <w:p w:rsidR="00C63BB9" w:rsidRPr="00655F87" w:rsidP="00D84DE8" w14:paraId="5014FBC2" w14:textId="77777777">
            <w:r>
              <w:t>0</w:t>
            </w:r>
          </w:p>
        </w:tc>
        <w:tc>
          <w:tcPr>
            <w:tcW w:w="591" w:type="pct"/>
            <w:hideMark/>
          </w:tcPr>
          <w:p w:rsidR="00C63BB9" w:rsidRPr="00655F87" w:rsidP="00D84DE8" w14:paraId="5014FBC3" w14:textId="77777777">
            <w:r>
              <w:t>0</w:t>
            </w:r>
          </w:p>
        </w:tc>
        <w:tc>
          <w:tcPr>
            <w:tcW w:w="563" w:type="pct"/>
            <w:hideMark/>
          </w:tcPr>
          <w:p w:rsidR="00C63BB9" w:rsidRPr="00655F87" w:rsidP="00D84DE8" w14:paraId="5014FBC4" w14:textId="77777777">
            <w:r>
              <w:t>0</w:t>
            </w:r>
          </w:p>
        </w:tc>
      </w:tr>
      <w:tr w14:paraId="5014FBCC"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C6" w14:textId="77777777">
            <w:r w:rsidRPr="00655F87">
              <w:t>3. Finansiālā ietekme:</w:t>
            </w:r>
          </w:p>
        </w:tc>
        <w:tc>
          <w:tcPr>
            <w:tcW w:w="542" w:type="pct"/>
            <w:hideMark/>
          </w:tcPr>
          <w:p w:rsidR="00C63BB9" w:rsidRPr="00655F87" w:rsidP="00D84DE8" w14:paraId="5014FBC7" w14:textId="77777777">
            <w:r>
              <w:t>0</w:t>
            </w:r>
          </w:p>
        </w:tc>
        <w:tc>
          <w:tcPr>
            <w:tcW w:w="686" w:type="pct"/>
            <w:hideMark/>
          </w:tcPr>
          <w:p w:rsidR="00C63BB9" w:rsidRPr="00655F87" w:rsidP="00D84DE8" w14:paraId="5014FBC8" w14:textId="77777777">
            <w:r>
              <w:t>0</w:t>
            </w:r>
          </w:p>
        </w:tc>
        <w:tc>
          <w:tcPr>
            <w:tcW w:w="590" w:type="pct"/>
            <w:gridSpan w:val="2"/>
            <w:hideMark/>
          </w:tcPr>
          <w:p w:rsidR="00C63BB9" w:rsidRPr="00655F87" w:rsidP="00D84DE8" w14:paraId="5014FBC9" w14:textId="77777777">
            <w:r>
              <w:t>0</w:t>
            </w:r>
          </w:p>
        </w:tc>
        <w:tc>
          <w:tcPr>
            <w:tcW w:w="591" w:type="pct"/>
            <w:hideMark/>
          </w:tcPr>
          <w:p w:rsidR="00C63BB9" w:rsidRPr="00655F87" w:rsidP="00D84DE8" w14:paraId="5014FBCA" w14:textId="77777777">
            <w:r>
              <w:t>0</w:t>
            </w:r>
          </w:p>
        </w:tc>
        <w:tc>
          <w:tcPr>
            <w:tcW w:w="563" w:type="pct"/>
            <w:hideMark/>
          </w:tcPr>
          <w:p w:rsidR="00C63BB9" w:rsidRPr="00655F87" w:rsidP="00D84DE8" w14:paraId="5014FBCB" w14:textId="77777777">
            <w:r>
              <w:t>0</w:t>
            </w:r>
          </w:p>
        </w:tc>
      </w:tr>
      <w:tr w14:paraId="5014FBD3"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CD" w14:textId="77777777">
            <w:r w:rsidRPr="00655F87">
              <w:t>3.1. valsts pamatbudžets</w:t>
            </w:r>
          </w:p>
        </w:tc>
        <w:tc>
          <w:tcPr>
            <w:tcW w:w="542" w:type="pct"/>
            <w:hideMark/>
          </w:tcPr>
          <w:p w:rsidR="00C63BB9" w:rsidRPr="00655F87" w:rsidP="00D84DE8" w14:paraId="5014FBCE" w14:textId="77777777">
            <w:r>
              <w:t>0</w:t>
            </w:r>
          </w:p>
        </w:tc>
        <w:tc>
          <w:tcPr>
            <w:tcW w:w="686" w:type="pct"/>
            <w:hideMark/>
          </w:tcPr>
          <w:p w:rsidR="00C63BB9" w:rsidRPr="00655F87" w:rsidP="00D84DE8" w14:paraId="5014FBCF" w14:textId="77777777">
            <w:r>
              <w:t>0</w:t>
            </w:r>
          </w:p>
        </w:tc>
        <w:tc>
          <w:tcPr>
            <w:tcW w:w="590" w:type="pct"/>
            <w:gridSpan w:val="2"/>
            <w:hideMark/>
          </w:tcPr>
          <w:p w:rsidR="00C63BB9" w:rsidRPr="00655F87" w:rsidP="00D84DE8" w14:paraId="5014FBD0" w14:textId="77777777">
            <w:r>
              <w:t>0</w:t>
            </w:r>
          </w:p>
        </w:tc>
        <w:tc>
          <w:tcPr>
            <w:tcW w:w="591" w:type="pct"/>
            <w:hideMark/>
          </w:tcPr>
          <w:p w:rsidR="00C63BB9" w:rsidRPr="00655F87" w:rsidP="00D84DE8" w14:paraId="5014FBD1" w14:textId="77777777">
            <w:r>
              <w:t>0</w:t>
            </w:r>
          </w:p>
        </w:tc>
        <w:tc>
          <w:tcPr>
            <w:tcW w:w="563" w:type="pct"/>
            <w:hideMark/>
          </w:tcPr>
          <w:p w:rsidR="00C63BB9" w:rsidRPr="00655F87" w:rsidP="00D84DE8" w14:paraId="5014FBD2" w14:textId="77777777">
            <w:r>
              <w:t>0</w:t>
            </w:r>
          </w:p>
        </w:tc>
      </w:tr>
      <w:tr w14:paraId="5014FBDA"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D4" w14:textId="77777777">
            <w:r w:rsidRPr="00655F87">
              <w:t>3.2. speciālais budžets</w:t>
            </w:r>
          </w:p>
        </w:tc>
        <w:tc>
          <w:tcPr>
            <w:tcW w:w="542" w:type="pct"/>
            <w:hideMark/>
          </w:tcPr>
          <w:p w:rsidR="00C63BB9" w:rsidRPr="00655F87" w:rsidP="00D84DE8" w14:paraId="5014FBD5" w14:textId="77777777">
            <w:r>
              <w:t>0</w:t>
            </w:r>
          </w:p>
        </w:tc>
        <w:tc>
          <w:tcPr>
            <w:tcW w:w="686" w:type="pct"/>
            <w:hideMark/>
          </w:tcPr>
          <w:p w:rsidR="00C63BB9" w:rsidRPr="00655F87" w:rsidP="00D84DE8" w14:paraId="5014FBD6" w14:textId="77777777">
            <w:r>
              <w:t>0</w:t>
            </w:r>
          </w:p>
        </w:tc>
        <w:tc>
          <w:tcPr>
            <w:tcW w:w="590" w:type="pct"/>
            <w:gridSpan w:val="2"/>
            <w:hideMark/>
          </w:tcPr>
          <w:p w:rsidR="00C63BB9" w:rsidRPr="00655F87" w:rsidP="00D84DE8" w14:paraId="5014FBD7" w14:textId="77777777">
            <w:r>
              <w:t>0</w:t>
            </w:r>
          </w:p>
        </w:tc>
        <w:tc>
          <w:tcPr>
            <w:tcW w:w="591" w:type="pct"/>
            <w:hideMark/>
          </w:tcPr>
          <w:p w:rsidR="00C63BB9" w:rsidRPr="00655F87" w:rsidP="00D84DE8" w14:paraId="5014FBD8" w14:textId="77777777">
            <w:r>
              <w:t>0</w:t>
            </w:r>
          </w:p>
        </w:tc>
        <w:tc>
          <w:tcPr>
            <w:tcW w:w="563" w:type="pct"/>
            <w:hideMark/>
          </w:tcPr>
          <w:p w:rsidR="00C63BB9" w:rsidRPr="00655F87" w:rsidP="00D84DE8" w14:paraId="5014FBD9" w14:textId="77777777">
            <w:r>
              <w:t>0</w:t>
            </w:r>
          </w:p>
        </w:tc>
      </w:tr>
      <w:tr w14:paraId="5014FBE1"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DB" w14:textId="77777777">
            <w:r w:rsidRPr="00655F87">
              <w:t>3.3. pašvaldību budžets</w:t>
            </w:r>
          </w:p>
        </w:tc>
        <w:tc>
          <w:tcPr>
            <w:tcW w:w="542" w:type="pct"/>
            <w:hideMark/>
          </w:tcPr>
          <w:p w:rsidR="00C63BB9" w:rsidRPr="00655F87" w:rsidP="00D84DE8" w14:paraId="5014FBDC" w14:textId="77777777">
            <w:r>
              <w:t>0</w:t>
            </w:r>
          </w:p>
        </w:tc>
        <w:tc>
          <w:tcPr>
            <w:tcW w:w="686" w:type="pct"/>
            <w:hideMark/>
          </w:tcPr>
          <w:p w:rsidR="00C63BB9" w:rsidRPr="00655F87" w:rsidP="00D84DE8" w14:paraId="5014FBDD" w14:textId="77777777">
            <w:r>
              <w:t>0</w:t>
            </w:r>
          </w:p>
        </w:tc>
        <w:tc>
          <w:tcPr>
            <w:tcW w:w="590" w:type="pct"/>
            <w:gridSpan w:val="2"/>
            <w:hideMark/>
          </w:tcPr>
          <w:p w:rsidR="00C63BB9" w:rsidRPr="00655F87" w:rsidP="00D84DE8" w14:paraId="5014FBDE" w14:textId="77777777">
            <w:r>
              <w:t>0</w:t>
            </w:r>
          </w:p>
        </w:tc>
        <w:tc>
          <w:tcPr>
            <w:tcW w:w="591" w:type="pct"/>
            <w:hideMark/>
          </w:tcPr>
          <w:p w:rsidR="00C63BB9" w:rsidRPr="00655F87" w:rsidP="00D84DE8" w14:paraId="5014FBDF" w14:textId="77777777">
            <w:r>
              <w:t>0</w:t>
            </w:r>
          </w:p>
        </w:tc>
        <w:tc>
          <w:tcPr>
            <w:tcW w:w="563" w:type="pct"/>
            <w:hideMark/>
          </w:tcPr>
          <w:p w:rsidR="00C63BB9" w:rsidRPr="00655F87" w:rsidP="00D84DE8" w14:paraId="5014FBE0" w14:textId="77777777">
            <w:r>
              <w:t>0</w:t>
            </w:r>
          </w:p>
        </w:tc>
      </w:tr>
      <w:tr w14:paraId="5014FBE8" w14:textId="77777777" w:rsidTr="00D84DE8">
        <w:tblPrEx>
          <w:tblW w:w="5708" w:type="pct"/>
          <w:tblInd w:w="-601" w:type="dxa"/>
          <w:tblLayout w:type="fixed"/>
          <w:tblLook w:val="04A0"/>
        </w:tblPrEx>
        <w:trPr>
          <w:gridAfter w:val="1"/>
          <w:wAfter w:w="3" w:type="dxa"/>
          <w:trHeight w:val="276"/>
        </w:trPr>
        <w:tc>
          <w:tcPr>
            <w:tcW w:w="2025" w:type="pct"/>
            <w:vMerge w:val="restart"/>
            <w:hideMark/>
          </w:tcPr>
          <w:p w:rsidR="00C12FBF" w:rsidRPr="00655F87" w:rsidP="00D84DE8" w14:paraId="5014FBE2" w14:textId="77777777">
            <w:r w:rsidRPr="00655F87">
              <w:t>4. Finanšu līdzekļi papildu izdevumu finansēšanai (kompensējošu izdevumu samazinājumu norāda ar "+" zīmi)</w:t>
            </w:r>
          </w:p>
        </w:tc>
        <w:tc>
          <w:tcPr>
            <w:tcW w:w="542" w:type="pct"/>
            <w:vMerge w:val="restart"/>
            <w:hideMark/>
          </w:tcPr>
          <w:p w:rsidR="00C12FBF" w:rsidRPr="00655F87" w:rsidP="00D84DE8" w14:paraId="5014FBE3" w14:textId="77777777">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rsidR="00C12FBF" w:rsidRPr="00655F87" w14:paraId="5014FBE4" w14:textId="77777777">
            <w:pPr>
              <w:spacing w:after="160" w:line="259" w:lineRule="auto"/>
            </w:pPr>
            <w:r>
              <w:t>0</w:t>
            </w:r>
          </w:p>
        </w:tc>
        <w:tc>
          <w:tcPr>
            <w:tcW w:w="590" w:type="pct"/>
            <w:gridSpan w:val="2"/>
            <w:vMerge w:val="restart"/>
            <w:tcBorders>
              <w:top w:val="nil"/>
            </w:tcBorders>
            <w:shd w:val="clear" w:color="auto" w:fill="auto"/>
          </w:tcPr>
          <w:p w:rsidR="00C12FBF" w:rsidRPr="00655F87" w14:paraId="5014FBE5" w14:textId="77777777">
            <w:pPr>
              <w:spacing w:after="160" w:line="259" w:lineRule="auto"/>
            </w:pPr>
            <w:r>
              <w:t>0</w:t>
            </w:r>
          </w:p>
        </w:tc>
        <w:tc>
          <w:tcPr>
            <w:tcW w:w="591" w:type="pct"/>
            <w:vMerge w:val="restart"/>
            <w:tcBorders>
              <w:top w:val="nil"/>
            </w:tcBorders>
            <w:shd w:val="clear" w:color="auto" w:fill="auto"/>
          </w:tcPr>
          <w:p w:rsidR="00C12FBF" w:rsidRPr="00655F87" w14:paraId="5014FBE6" w14:textId="77777777">
            <w:pPr>
              <w:spacing w:after="160" w:line="259" w:lineRule="auto"/>
            </w:pPr>
            <w:r>
              <w:t>0</w:t>
            </w:r>
          </w:p>
        </w:tc>
        <w:tc>
          <w:tcPr>
            <w:tcW w:w="563" w:type="pct"/>
            <w:tcBorders>
              <w:top w:val="nil"/>
              <w:bottom w:val="nil"/>
            </w:tcBorders>
            <w:shd w:val="clear" w:color="auto" w:fill="auto"/>
          </w:tcPr>
          <w:p w:rsidR="00C12FBF" w:rsidRPr="00655F87" w14:paraId="5014FBE7" w14:textId="77777777">
            <w:pPr>
              <w:spacing w:after="160" w:line="259" w:lineRule="auto"/>
            </w:pPr>
            <w:r>
              <w:t>0</w:t>
            </w:r>
          </w:p>
        </w:tc>
      </w:tr>
      <w:tr w14:paraId="5014FBEF" w14:textId="77777777" w:rsidTr="00D84DE8">
        <w:tblPrEx>
          <w:tblW w:w="5708" w:type="pct"/>
          <w:tblInd w:w="-601" w:type="dxa"/>
          <w:tblLayout w:type="fixed"/>
          <w:tblLook w:val="04A0"/>
        </w:tblPrEx>
        <w:trPr>
          <w:gridAfter w:val="1"/>
          <w:wAfter w:w="3" w:type="dxa"/>
          <w:trHeight w:val="458"/>
        </w:trPr>
        <w:tc>
          <w:tcPr>
            <w:tcW w:w="2025" w:type="pct"/>
            <w:vMerge/>
            <w:hideMark/>
          </w:tcPr>
          <w:p w:rsidR="00C12FBF" w:rsidRPr="00655F87" w:rsidP="00D84DE8" w14:paraId="5014FBE9" w14:textId="77777777"/>
        </w:tc>
        <w:tc>
          <w:tcPr>
            <w:tcW w:w="542" w:type="pct"/>
            <w:vMerge/>
            <w:hideMark/>
          </w:tcPr>
          <w:p w:rsidR="00C12FBF" w:rsidRPr="00655F87" w:rsidP="00D84DE8" w14:paraId="5014FBEA" w14:textId="77777777"/>
        </w:tc>
        <w:tc>
          <w:tcPr>
            <w:tcW w:w="686" w:type="pct"/>
            <w:vMerge/>
            <w:tcBorders>
              <w:bottom w:val="nil"/>
            </w:tcBorders>
            <w:shd w:val="clear" w:color="auto" w:fill="auto"/>
          </w:tcPr>
          <w:p w:rsidR="00C12FBF" w:rsidRPr="00655F87" w14:paraId="5014FBEB" w14:textId="77777777">
            <w:pPr>
              <w:spacing w:after="160" w:line="259" w:lineRule="auto"/>
            </w:pPr>
          </w:p>
        </w:tc>
        <w:tc>
          <w:tcPr>
            <w:tcW w:w="590" w:type="pct"/>
            <w:gridSpan w:val="2"/>
            <w:vMerge/>
            <w:tcBorders>
              <w:bottom w:val="nil"/>
            </w:tcBorders>
            <w:shd w:val="clear" w:color="auto" w:fill="auto"/>
          </w:tcPr>
          <w:p w:rsidR="00C12FBF" w:rsidRPr="00655F87" w14:paraId="5014FBEC" w14:textId="77777777">
            <w:pPr>
              <w:spacing w:after="160" w:line="259" w:lineRule="auto"/>
            </w:pPr>
          </w:p>
        </w:tc>
        <w:tc>
          <w:tcPr>
            <w:tcW w:w="591" w:type="pct"/>
            <w:vMerge/>
            <w:tcBorders>
              <w:bottom w:val="nil"/>
            </w:tcBorders>
            <w:shd w:val="clear" w:color="auto" w:fill="auto"/>
          </w:tcPr>
          <w:p w:rsidR="00C12FBF" w:rsidRPr="00655F87" w14:paraId="5014FBED" w14:textId="77777777">
            <w:pPr>
              <w:spacing w:after="160" w:line="259" w:lineRule="auto"/>
            </w:pPr>
          </w:p>
        </w:tc>
        <w:tc>
          <w:tcPr>
            <w:tcW w:w="563" w:type="pct"/>
            <w:tcBorders>
              <w:top w:val="nil"/>
              <w:bottom w:val="nil"/>
            </w:tcBorders>
            <w:shd w:val="clear" w:color="auto" w:fill="auto"/>
          </w:tcPr>
          <w:p w:rsidR="00C12FBF" w:rsidRPr="00655F87" w:rsidP="00C12FBF" w14:paraId="5014FBEE" w14:textId="77777777">
            <w:pPr>
              <w:spacing w:after="160" w:line="259" w:lineRule="auto"/>
            </w:pPr>
          </w:p>
        </w:tc>
      </w:tr>
      <w:tr w14:paraId="5014FBF6" w14:textId="77777777" w:rsidTr="00C12FBF">
        <w:tblPrEx>
          <w:tblW w:w="5708" w:type="pct"/>
          <w:tblInd w:w="-601" w:type="dxa"/>
          <w:tblLayout w:type="fixed"/>
          <w:tblLook w:val="04A0"/>
        </w:tblPrEx>
        <w:trPr>
          <w:trHeight w:val="458"/>
        </w:trPr>
        <w:tc>
          <w:tcPr>
            <w:tcW w:w="2025" w:type="pct"/>
            <w:vMerge/>
            <w:hideMark/>
          </w:tcPr>
          <w:p w:rsidR="00C12FBF" w:rsidRPr="00655F87" w:rsidP="00D84DE8" w14:paraId="5014FBF0" w14:textId="77777777"/>
        </w:tc>
        <w:tc>
          <w:tcPr>
            <w:tcW w:w="542" w:type="pct"/>
            <w:vMerge/>
            <w:hideMark/>
          </w:tcPr>
          <w:p w:rsidR="00C12FBF" w:rsidRPr="00655F87" w:rsidP="00D84DE8" w14:paraId="5014FBF1" w14:textId="77777777"/>
        </w:tc>
        <w:tc>
          <w:tcPr>
            <w:tcW w:w="689" w:type="pct"/>
            <w:gridSpan w:val="2"/>
            <w:tcBorders>
              <w:top w:val="nil"/>
              <w:bottom w:val="nil"/>
            </w:tcBorders>
            <w:shd w:val="clear" w:color="auto" w:fill="auto"/>
          </w:tcPr>
          <w:p w:rsidR="00C12FBF" w:rsidRPr="00655F87" w14:paraId="5014FBF2" w14:textId="77777777">
            <w:pPr>
              <w:spacing w:after="160" w:line="259" w:lineRule="auto"/>
            </w:pPr>
          </w:p>
        </w:tc>
        <w:tc>
          <w:tcPr>
            <w:tcW w:w="587" w:type="pct"/>
            <w:tcBorders>
              <w:top w:val="nil"/>
              <w:bottom w:val="nil"/>
            </w:tcBorders>
            <w:shd w:val="clear" w:color="auto" w:fill="auto"/>
          </w:tcPr>
          <w:p w:rsidR="00C12FBF" w:rsidRPr="00655F87" w14:paraId="5014FBF3" w14:textId="77777777">
            <w:pPr>
              <w:spacing w:after="160" w:line="259" w:lineRule="auto"/>
            </w:pPr>
          </w:p>
        </w:tc>
        <w:tc>
          <w:tcPr>
            <w:tcW w:w="591" w:type="pct"/>
            <w:tcBorders>
              <w:top w:val="nil"/>
              <w:bottom w:val="nil"/>
            </w:tcBorders>
            <w:shd w:val="clear" w:color="auto" w:fill="auto"/>
          </w:tcPr>
          <w:p w:rsidR="00C12FBF" w:rsidRPr="00655F87" w14:paraId="5014FBF4" w14:textId="77777777">
            <w:pPr>
              <w:spacing w:after="160" w:line="259" w:lineRule="auto"/>
            </w:pPr>
          </w:p>
        </w:tc>
        <w:tc>
          <w:tcPr>
            <w:tcW w:w="566" w:type="pct"/>
            <w:gridSpan w:val="2"/>
            <w:tcBorders>
              <w:top w:val="nil"/>
              <w:bottom w:val="nil"/>
            </w:tcBorders>
            <w:shd w:val="clear" w:color="auto" w:fill="auto"/>
          </w:tcPr>
          <w:p w:rsidR="00C12FBF" w:rsidRPr="00655F87" w:rsidP="00C12FBF" w14:paraId="5014FBF5" w14:textId="77777777">
            <w:pPr>
              <w:spacing w:after="160" w:line="259" w:lineRule="auto"/>
            </w:pPr>
          </w:p>
        </w:tc>
      </w:tr>
      <w:tr w14:paraId="5014FBFD"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F7" w14:textId="77777777">
            <w:r w:rsidRPr="00655F87">
              <w:t>5. Precizēta finansiālā</w:t>
            </w:r>
            <w:r>
              <w:t xml:space="preserve"> </w:t>
            </w:r>
            <w:r w:rsidRPr="00655F87">
              <w:t>ietekme:</w:t>
            </w:r>
          </w:p>
        </w:tc>
        <w:tc>
          <w:tcPr>
            <w:tcW w:w="542" w:type="pct"/>
            <w:vMerge w:val="restart"/>
            <w:hideMark/>
          </w:tcPr>
          <w:p w:rsidR="00C63BB9" w:rsidRPr="00655F87" w:rsidP="00D84DE8" w14:paraId="5014FBF8" w14:textId="77777777">
            <w:pPr>
              <w:spacing w:before="100" w:beforeAutospacing="1" w:after="100" w:afterAutospacing="1"/>
              <w:ind w:firstLine="300"/>
              <w:jc w:val="center"/>
            </w:pPr>
            <w:r w:rsidRPr="00655F87">
              <w:t>X</w:t>
            </w:r>
          </w:p>
        </w:tc>
        <w:tc>
          <w:tcPr>
            <w:tcW w:w="686" w:type="pct"/>
            <w:hideMark/>
          </w:tcPr>
          <w:p w:rsidR="00C63BB9" w:rsidRPr="00655F87" w:rsidP="00D84DE8" w14:paraId="5014FBF9" w14:textId="77777777">
            <w:r>
              <w:t>0</w:t>
            </w:r>
          </w:p>
        </w:tc>
        <w:tc>
          <w:tcPr>
            <w:tcW w:w="590" w:type="pct"/>
            <w:gridSpan w:val="2"/>
            <w:hideMark/>
          </w:tcPr>
          <w:p w:rsidR="00C63BB9" w:rsidRPr="00655F87" w:rsidP="00D84DE8" w14:paraId="5014FBFA" w14:textId="77777777">
            <w:r>
              <w:t>0</w:t>
            </w:r>
          </w:p>
        </w:tc>
        <w:tc>
          <w:tcPr>
            <w:tcW w:w="591" w:type="pct"/>
            <w:hideMark/>
          </w:tcPr>
          <w:p w:rsidR="00C63BB9" w:rsidRPr="00655F87" w:rsidP="00D84DE8" w14:paraId="5014FBFB" w14:textId="77777777">
            <w:r>
              <w:t>0</w:t>
            </w:r>
          </w:p>
        </w:tc>
        <w:tc>
          <w:tcPr>
            <w:tcW w:w="563" w:type="pct"/>
            <w:hideMark/>
          </w:tcPr>
          <w:p w:rsidR="00C63BB9" w:rsidRPr="00655F87" w:rsidP="00D84DE8" w14:paraId="5014FBFC" w14:textId="77777777">
            <w:r>
              <w:t>0</w:t>
            </w:r>
          </w:p>
        </w:tc>
      </w:tr>
      <w:tr w14:paraId="5014FC04"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BFE" w14:textId="77777777">
            <w:r w:rsidRPr="00655F87">
              <w:t>5.1. valsts pamatbudžets</w:t>
            </w:r>
          </w:p>
        </w:tc>
        <w:tc>
          <w:tcPr>
            <w:tcW w:w="542" w:type="pct"/>
            <w:vMerge/>
            <w:hideMark/>
          </w:tcPr>
          <w:p w:rsidR="00C63BB9" w:rsidRPr="00655F87" w:rsidP="00D84DE8" w14:paraId="5014FBFF" w14:textId="77777777"/>
        </w:tc>
        <w:tc>
          <w:tcPr>
            <w:tcW w:w="686" w:type="pct"/>
            <w:hideMark/>
          </w:tcPr>
          <w:p w:rsidR="00C63BB9" w:rsidRPr="00655F87" w:rsidP="00D84DE8" w14:paraId="5014FC00" w14:textId="77777777">
            <w:r>
              <w:t>0</w:t>
            </w:r>
          </w:p>
        </w:tc>
        <w:tc>
          <w:tcPr>
            <w:tcW w:w="590" w:type="pct"/>
            <w:gridSpan w:val="2"/>
            <w:hideMark/>
          </w:tcPr>
          <w:p w:rsidR="00C63BB9" w:rsidRPr="00655F87" w:rsidP="00D84DE8" w14:paraId="5014FC01" w14:textId="77777777">
            <w:r>
              <w:t>0</w:t>
            </w:r>
          </w:p>
        </w:tc>
        <w:tc>
          <w:tcPr>
            <w:tcW w:w="591" w:type="pct"/>
            <w:hideMark/>
          </w:tcPr>
          <w:p w:rsidR="00C63BB9" w:rsidRPr="00655F87" w:rsidP="00D84DE8" w14:paraId="5014FC02" w14:textId="77777777">
            <w:r>
              <w:t>0</w:t>
            </w:r>
          </w:p>
        </w:tc>
        <w:tc>
          <w:tcPr>
            <w:tcW w:w="563" w:type="pct"/>
            <w:hideMark/>
          </w:tcPr>
          <w:p w:rsidR="00C63BB9" w:rsidRPr="00655F87" w:rsidP="00D84DE8" w14:paraId="5014FC03" w14:textId="77777777">
            <w:r>
              <w:t>0</w:t>
            </w:r>
          </w:p>
        </w:tc>
      </w:tr>
      <w:tr w14:paraId="5014FC0B"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C05" w14:textId="77777777">
            <w:r w:rsidRPr="00655F87">
              <w:t>5.2. speciālais budžets</w:t>
            </w:r>
          </w:p>
        </w:tc>
        <w:tc>
          <w:tcPr>
            <w:tcW w:w="542" w:type="pct"/>
            <w:vMerge/>
            <w:hideMark/>
          </w:tcPr>
          <w:p w:rsidR="00C63BB9" w:rsidRPr="00655F87" w:rsidP="00D84DE8" w14:paraId="5014FC06" w14:textId="77777777"/>
        </w:tc>
        <w:tc>
          <w:tcPr>
            <w:tcW w:w="686" w:type="pct"/>
            <w:hideMark/>
          </w:tcPr>
          <w:p w:rsidR="00C63BB9" w:rsidRPr="00655F87" w:rsidP="00D84DE8" w14:paraId="5014FC07" w14:textId="77777777">
            <w:r>
              <w:t>0</w:t>
            </w:r>
          </w:p>
        </w:tc>
        <w:tc>
          <w:tcPr>
            <w:tcW w:w="590" w:type="pct"/>
            <w:gridSpan w:val="2"/>
            <w:hideMark/>
          </w:tcPr>
          <w:p w:rsidR="00C63BB9" w:rsidRPr="00655F87" w:rsidP="00D84DE8" w14:paraId="5014FC08" w14:textId="77777777">
            <w:r>
              <w:t>0</w:t>
            </w:r>
          </w:p>
        </w:tc>
        <w:tc>
          <w:tcPr>
            <w:tcW w:w="591" w:type="pct"/>
            <w:hideMark/>
          </w:tcPr>
          <w:p w:rsidR="00C63BB9" w:rsidRPr="00655F87" w:rsidP="00D84DE8" w14:paraId="5014FC09" w14:textId="77777777">
            <w:r>
              <w:t>0</w:t>
            </w:r>
          </w:p>
        </w:tc>
        <w:tc>
          <w:tcPr>
            <w:tcW w:w="563" w:type="pct"/>
            <w:hideMark/>
          </w:tcPr>
          <w:p w:rsidR="00C63BB9" w:rsidRPr="00655F87" w:rsidP="00D84DE8" w14:paraId="5014FC0A" w14:textId="77777777">
            <w:r>
              <w:t>0</w:t>
            </w:r>
          </w:p>
        </w:tc>
      </w:tr>
      <w:tr w14:paraId="5014FC12"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C0C" w14:textId="77777777">
            <w:r w:rsidRPr="00655F87">
              <w:t>5.3. pašvaldību budžets</w:t>
            </w:r>
          </w:p>
        </w:tc>
        <w:tc>
          <w:tcPr>
            <w:tcW w:w="542" w:type="pct"/>
            <w:vMerge/>
            <w:hideMark/>
          </w:tcPr>
          <w:p w:rsidR="00C63BB9" w:rsidRPr="00655F87" w:rsidP="00D84DE8" w14:paraId="5014FC0D" w14:textId="77777777"/>
        </w:tc>
        <w:tc>
          <w:tcPr>
            <w:tcW w:w="686" w:type="pct"/>
            <w:hideMark/>
          </w:tcPr>
          <w:p w:rsidR="00C63BB9" w:rsidRPr="00655F87" w:rsidP="00D84DE8" w14:paraId="5014FC0E" w14:textId="77777777">
            <w:r>
              <w:t>0</w:t>
            </w:r>
          </w:p>
        </w:tc>
        <w:tc>
          <w:tcPr>
            <w:tcW w:w="590" w:type="pct"/>
            <w:gridSpan w:val="2"/>
            <w:hideMark/>
          </w:tcPr>
          <w:p w:rsidR="00C63BB9" w:rsidRPr="00655F87" w:rsidP="00D84DE8" w14:paraId="5014FC0F" w14:textId="77777777">
            <w:r>
              <w:t>0</w:t>
            </w:r>
          </w:p>
        </w:tc>
        <w:tc>
          <w:tcPr>
            <w:tcW w:w="591" w:type="pct"/>
            <w:hideMark/>
          </w:tcPr>
          <w:p w:rsidR="00C63BB9" w:rsidRPr="00655F87" w:rsidP="00D84DE8" w14:paraId="5014FC10" w14:textId="77777777">
            <w:r>
              <w:t>0</w:t>
            </w:r>
          </w:p>
        </w:tc>
        <w:tc>
          <w:tcPr>
            <w:tcW w:w="563" w:type="pct"/>
            <w:hideMark/>
          </w:tcPr>
          <w:p w:rsidR="00C63BB9" w:rsidRPr="00655F87" w:rsidP="00D84DE8" w14:paraId="5014FC11" w14:textId="77777777">
            <w:r>
              <w:t>0</w:t>
            </w:r>
          </w:p>
        </w:tc>
      </w:tr>
      <w:tr w14:paraId="5014FC15"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C13" w14:textId="77777777">
            <w:r w:rsidRPr="00655F87">
              <w:t>6. Detalizēts ieņēmumu un izdevumu aprēķins (ja nepieciešams, detalizētu ieņēmumu un izdevumu aprēķinu var pievienot anotācijas pielikumā):</w:t>
            </w:r>
          </w:p>
        </w:tc>
        <w:tc>
          <w:tcPr>
            <w:tcW w:w="2972" w:type="pct"/>
            <w:gridSpan w:val="6"/>
            <w:vMerge w:val="restart"/>
            <w:hideMark/>
          </w:tcPr>
          <w:p w:rsidR="00C63BB9" w:rsidRPr="00655F87" w:rsidP="00D84DE8" w14:paraId="5014FC14" w14:textId="77777777">
            <w:pPr>
              <w:jc w:val="both"/>
            </w:pPr>
            <w:r>
              <w:t>Nav.</w:t>
            </w:r>
          </w:p>
        </w:tc>
      </w:tr>
      <w:tr w14:paraId="5014FC18"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C16" w14:textId="77777777">
            <w:r w:rsidRPr="00655F87">
              <w:t>6.1. detalizēts ieņēmumu aprēķins</w:t>
            </w:r>
          </w:p>
        </w:tc>
        <w:tc>
          <w:tcPr>
            <w:tcW w:w="2972" w:type="pct"/>
            <w:gridSpan w:val="6"/>
            <w:vMerge/>
            <w:hideMark/>
          </w:tcPr>
          <w:p w:rsidR="00C63BB9" w:rsidRPr="00655F87" w:rsidP="00D84DE8" w14:paraId="5014FC17" w14:textId="77777777"/>
        </w:tc>
      </w:tr>
      <w:tr w14:paraId="5014FC1B" w14:textId="77777777" w:rsidTr="00C12FBF">
        <w:tblPrEx>
          <w:tblW w:w="5708" w:type="pct"/>
          <w:tblInd w:w="-601" w:type="dxa"/>
          <w:tblLayout w:type="fixed"/>
          <w:tblLook w:val="04A0"/>
        </w:tblPrEx>
        <w:trPr>
          <w:gridAfter w:val="1"/>
          <w:wAfter w:w="3" w:type="dxa"/>
        </w:trPr>
        <w:tc>
          <w:tcPr>
            <w:tcW w:w="2025" w:type="pct"/>
            <w:hideMark/>
          </w:tcPr>
          <w:p w:rsidR="00C63BB9" w:rsidRPr="00655F87" w:rsidP="00D84DE8" w14:paraId="5014FC19" w14:textId="77777777">
            <w:r w:rsidRPr="00655F87">
              <w:t>6.2. detalizēts izdevumu aprēķins</w:t>
            </w:r>
          </w:p>
        </w:tc>
        <w:tc>
          <w:tcPr>
            <w:tcW w:w="2972" w:type="pct"/>
            <w:gridSpan w:val="6"/>
            <w:vMerge/>
            <w:hideMark/>
          </w:tcPr>
          <w:p w:rsidR="00C63BB9" w:rsidRPr="00655F87" w:rsidP="00D84DE8" w14:paraId="5014FC1A" w14:textId="77777777"/>
        </w:tc>
      </w:tr>
      <w:tr w14:paraId="5014FC1E" w14:textId="77777777" w:rsidTr="00C12FBF">
        <w:tblPrEx>
          <w:tblW w:w="5708" w:type="pct"/>
          <w:tblInd w:w="-601" w:type="dxa"/>
          <w:tblLayout w:type="fixed"/>
          <w:tblLook w:val="04A0"/>
        </w:tblPrEx>
        <w:trPr>
          <w:gridAfter w:val="1"/>
          <w:wAfter w:w="3" w:type="dxa"/>
          <w:trHeight w:val="555"/>
        </w:trPr>
        <w:tc>
          <w:tcPr>
            <w:tcW w:w="2025" w:type="pct"/>
          </w:tcPr>
          <w:p w:rsidR="00C63BB9" w:rsidRPr="00655F87" w:rsidP="00D84DE8" w14:paraId="5014FC1C" w14:textId="77777777">
            <w:r>
              <w:t xml:space="preserve">7. </w:t>
            </w:r>
            <w:r w:rsidRPr="001247E9">
              <w:t>Amata vietu skaita izmaiņas</w:t>
            </w:r>
          </w:p>
        </w:tc>
        <w:tc>
          <w:tcPr>
            <w:tcW w:w="2972" w:type="pct"/>
            <w:gridSpan w:val="6"/>
          </w:tcPr>
          <w:p w:rsidR="00C63BB9" w:rsidRPr="004D65A6" w:rsidP="00D84DE8" w14:paraId="5014FC1D" w14:textId="77777777">
            <w:pPr>
              <w:spacing w:before="100" w:beforeAutospacing="1" w:after="100" w:afterAutospacing="1"/>
            </w:pPr>
            <w:r w:rsidRPr="001247E9">
              <w:t>Projekts šo jomu neskar.</w:t>
            </w:r>
          </w:p>
        </w:tc>
      </w:tr>
      <w:tr w14:paraId="5014FC21" w14:textId="77777777" w:rsidTr="00C12FBF">
        <w:tblPrEx>
          <w:tblW w:w="5708" w:type="pct"/>
          <w:tblInd w:w="-601" w:type="dxa"/>
          <w:tblLayout w:type="fixed"/>
          <w:tblLook w:val="04A0"/>
        </w:tblPrEx>
        <w:trPr>
          <w:gridAfter w:val="1"/>
          <w:wAfter w:w="3" w:type="dxa"/>
          <w:trHeight w:val="555"/>
        </w:trPr>
        <w:tc>
          <w:tcPr>
            <w:tcW w:w="2025" w:type="pct"/>
            <w:hideMark/>
          </w:tcPr>
          <w:p w:rsidR="00C63BB9" w:rsidRPr="00655F87" w:rsidP="00D84DE8" w14:paraId="5014FC1F" w14:textId="77777777">
            <w:r>
              <w:t>8</w:t>
            </w:r>
            <w:r w:rsidRPr="00655F87">
              <w:t>. Cita informācija</w:t>
            </w:r>
          </w:p>
        </w:tc>
        <w:tc>
          <w:tcPr>
            <w:tcW w:w="2972" w:type="pct"/>
            <w:gridSpan w:val="6"/>
            <w:hideMark/>
          </w:tcPr>
          <w:p w:rsidR="00C63BB9" w:rsidRPr="00655F87" w:rsidP="00D84DE8" w14:paraId="5014FC20" w14:textId="77777777">
            <w:pPr>
              <w:spacing w:before="100" w:beforeAutospacing="1" w:after="100" w:afterAutospacing="1"/>
            </w:pPr>
            <w:r w:rsidRPr="004D65A6">
              <w:t xml:space="preserve">Izdevumi, kas saistīti ar </w:t>
            </w:r>
            <w:r>
              <w:t xml:space="preserve">būvju nojaukšanu tiek segti no Tukuma </w:t>
            </w:r>
            <w:r w:rsidRPr="004D65A6">
              <w:t>pašvaldības budžeta līdzekļiem.</w:t>
            </w:r>
          </w:p>
        </w:tc>
      </w:tr>
    </w:tbl>
    <w:p w:rsidR="00C63BB9" w:rsidP="00C63BB9" w14:paraId="5014FC22" w14:textId="77777777">
      <w:pPr>
        <w:pStyle w:val="NormalWeb"/>
        <w:spacing w:before="0" w:beforeAutospacing="0" w:after="0" w:afterAutospacing="0"/>
      </w:pPr>
    </w:p>
    <w:tbl>
      <w:tblPr>
        <w:tblStyle w:val="TableGrid"/>
        <w:tblW w:w="10632" w:type="dxa"/>
        <w:tblInd w:w="-572" w:type="dxa"/>
        <w:tblLook w:val="04A0"/>
      </w:tblPr>
      <w:tblGrid>
        <w:gridCol w:w="10632"/>
      </w:tblGrid>
      <w:tr w14:paraId="5014FC25" w14:textId="77777777" w:rsidTr="00D84DE8">
        <w:tblPrEx>
          <w:tblW w:w="10632" w:type="dxa"/>
          <w:tblInd w:w="-572" w:type="dxa"/>
          <w:tblLook w:val="04A0"/>
        </w:tblPrEx>
        <w:trPr>
          <w:trHeight w:val="441"/>
        </w:trPr>
        <w:tc>
          <w:tcPr>
            <w:tcW w:w="10632" w:type="dxa"/>
          </w:tcPr>
          <w:p w:rsidR="00C63BB9" w:rsidP="00D84DE8" w14:paraId="5014FC23" w14:textId="77777777">
            <w:pPr>
              <w:pStyle w:val="NormalWeb"/>
              <w:spacing w:before="0" w:beforeAutospacing="0" w:after="0" w:afterAutospacing="0"/>
              <w:jc w:val="center"/>
            </w:pPr>
            <w:r w:rsidRPr="007C3636">
              <w:rPr>
                <w:b/>
                <w:bCs/>
              </w:rPr>
              <w:t>IV. Tiesību akta projekta ietekme uz spēkā esošo tiesību normu sistēmu</w:t>
            </w:r>
          </w:p>
          <w:p w:rsidR="00C63BB9" w:rsidRPr="00F46DB0" w:rsidP="00D84DE8" w14:paraId="5014FC24" w14:textId="77777777">
            <w:pPr>
              <w:tabs>
                <w:tab w:val="left" w:pos="1560"/>
              </w:tabs>
            </w:pPr>
            <w:r>
              <w:tab/>
            </w:r>
          </w:p>
        </w:tc>
      </w:tr>
      <w:tr w14:paraId="5014FC27" w14:textId="77777777" w:rsidTr="00D84DE8">
        <w:tblPrEx>
          <w:tblW w:w="10632" w:type="dxa"/>
          <w:tblInd w:w="-572" w:type="dxa"/>
          <w:tblLook w:val="04A0"/>
        </w:tblPrEx>
        <w:trPr>
          <w:trHeight w:val="405"/>
        </w:trPr>
        <w:tc>
          <w:tcPr>
            <w:tcW w:w="10632" w:type="dxa"/>
          </w:tcPr>
          <w:p w:rsidR="00C63BB9" w:rsidRPr="007C3636" w:rsidP="00D84DE8" w14:paraId="5014FC26" w14:textId="77777777">
            <w:pPr>
              <w:pStyle w:val="NormalWeb"/>
              <w:spacing w:before="0" w:beforeAutospacing="0" w:after="0" w:afterAutospacing="0"/>
              <w:jc w:val="center"/>
            </w:pPr>
            <w:r w:rsidRPr="007C3636">
              <w:t>Projekts šo jomu neskar</w:t>
            </w:r>
          </w:p>
        </w:tc>
      </w:tr>
    </w:tbl>
    <w:p w:rsidR="00C63BB9" w:rsidP="00C63BB9" w14:paraId="5014FC28" w14:textId="77777777">
      <w:pPr>
        <w:pStyle w:val="NormalWeb"/>
        <w:spacing w:before="0" w:beforeAutospacing="0" w:after="0" w:afterAutospacing="0"/>
      </w:pPr>
    </w:p>
    <w:tbl>
      <w:tblPr>
        <w:tblStyle w:val="TableGrid"/>
        <w:tblW w:w="10632" w:type="dxa"/>
        <w:tblInd w:w="-572" w:type="dxa"/>
        <w:tblLook w:val="04A0"/>
      </w:tblPr>
      <w:tblGrid>
        <w:gridCol w:w="10632"/>
      </w:tblGrid>
      <w:tr w14:paraId="5014FC2A" w14:textId="77777777" w:rsidTr="00D84DE8">
        <w:tblPrEx>
          <w:tblW w:w="10632" w:type="dxa"/>
          <w:tblInd w:w="-572" w:type="dxa"/>
          <w:tblLook w:val="04A0"/>
        </w:tblPrEx>
        <w:trPr>
          <w:trHeight w:val="416"/>
        </w:trPr>
        <w:tc>
          <w:tcPr>
            <w:tcW w:w="10632" w:type="dxa"/>
          </w:tcPr>
          <w:p w:rsidR="00C63BB9" w:rsidP="00D84DE8" w14:paraId="5014FC29" w14:textId="77777777">
            <w:pPr>
              <w:pStyle w:val="NormalWeb"/>
              <w:spacing w:before="0" w:beforeAutospacing="0" w:after="0" w:afterAutospacing="0"/>
              <w:jc w:val="center"/>
            </w:pPr>
            <w:r>
              <w:rPr>
                <w:b/>
                <w:bCs/>
                <w:color w:val="414142"/>
              </w:rPr>
              <w:t>V. Tiesību akta projekta atbilstība Latvijas Republikas starptautiskajām saistībām</w:t>
            </w:r>
          </w:p>
        </w:tc>
      </w:tr>
      <w:tr w14:paraId="5014FC2C" w14:textId="77777777" w:rsidTr="00D84DE8">
        <w:tblPrEx>
          <w:tblW w:w="10632" w:type="dxa"/>
          <w:tblInd w:w="-572" w:type="dxa"/>
          <w:tblLook w:val="04A0"/>
        </w:tblPrEx>
        <w:trPr>
          <w:trHeight w:val="421"/>
        </w:trPr>
        <w:tc>
          <w:tcPr>
            <w:tcW w:w="10632" w:type="dxa"/>
          </w:tcPr>
          <w:p w:rsidR="00C63BB9" w:rsidP="00D84DE8" w14:paraId="5014FC2B" w14:textId="77777777">
            <w:pPr>
              <w:pStyle w:val="NormalWeb"/>
              <w:spacing w:before="0" w:beforeAutospacing="0" w:after="0" w:afterAutospacing="0"/>
              <w:jc w:val="center"/>
            </w:pPr>
            <w:r>
              <w:t>Projekts šo jomu neskar</w:t>
            </w:r>
          </w:p>
        </w:tc>
      </w:tr>
    </w:tbl>
    <w:p w:rsidR="00C63BB9" w:rsidP="00C63BB9" w14:paraId="5014FC2D" w14:textId="77777777">
      <w:pPr>
        <w:pStyle w:val="NormalWeb"/>
        <w:spacing w:before="0" w:beforeAutospacing="0" w:after="0" w:afterAutospacing="0"/>
      </w:pPr>
    </w:p>
    <w:tbl>
      <w:tblPr>
        <w:tblStyle w:val="TableGrid"/>
        <w:tblW w:w="10632" w:type="dxa"/>
        <w:tblInd w:w="-572" w:type="dxa"/>
        <w:tblLook w:val="04A0"/>
      </w:tblPr>
      <w:tblGrid>
        <w:gridCol w:w="904"/>
        <w:gridCol w:w="3667"/>
        <w:gridCol w:w="6061"/>
      </w:tblGrid>
      <w:tr w14:paraId="5014FC2F" w14:textId="77777777" w:rsidTr="008030B2">
        <w:tblPrEx>
          <w:tblW w:w="10632" w:type="dxa"/>
          <w:tblInd w:w="-572" w:type="dxa"/>
          <w:tblLook w:val="04A0"/>
        </w:tblPrEx>
        <w:trPr>
          <w:trHeight w:val="404"/>
        </w:trPr>
        <w:tc>
          <w:tcPr>
            <w:tcW w:w="10632" w:type="dxa"/>
            <w:gridSpan w:val="3"/>
          </w:tcPr>
          <w:p w:rsidR="00C63BB9" w:rsidP="008030B2" w14:paraId="5014FC2E" w14:textId="77777777">
            <w:pPr>
              <w:pStyle w:val="NormalWeb"/>
              <w:spacing w:before="0" w:beforeAutospacing="0" w:after="0" w:afterAutospacing="0"/>
              <w:jc w:val="center"/>
            </w:pPr>
            <w:r>
              <w:rPr>
                <w:b/>
                <w:bCs/>
                <w:color w:val="414142"/>
              </w:rPr>
              <w:t>VI. Sabiedrības līdzdalība un komunikācijas aktivitātes</w:t>
            </w:r>
          </w:p>
        </w:tc>
      </w:tr>
      <w:tr w14:paraId="5014FC33" w14:textId="77777777" w:rsidTr="008030B2">
        <w:tblPrEx>
          <w:tblW w:w="10632" w:type="dxa"/>
          <w:tblInd w:w="-572" w:type="dxa"/>
          <w:tblLook w:val="04A0"/>
        </w:tblPrEx>
        <w:trPr>
          <w:trHeight w:val="409"/>
        </w:trPr>
        <w:tc>
          <w:tcPr>
            <w:tcW w:w="904" w:type="dxa"/>
          </w:tcPr>
          <w:p w:rsidR="008030B2" w:rsidP="008030B2" w14:paraId="5014FC30" w14:textId="77777777">
            <w:pPr>
              <w:pStyle w:val="NormalWeb"/>
              <w:spacing w:before="0" w:beforeAutospacing="0" w:after="0" w:afterAutospacing="0"/>
              <w:jc w:val="center"/>
            </w:pPr>
            <w:r>
              <w:t>1.</w:t>
            </w:r>
          </w:p>
        </w:tc>
        <w:tc>
          <w:tcPr>
            <w:tcW w:w="3667" w:type="dxa"/>
          </w:tcPr>
          <w:p w:rsidR="008030B2" w:rsidP="008030B2" w14:paraId="5014FC31" w14:textId="77777777">
            <w:pPr>
              <w:pStyle w:val="NormalWeb"/>
              <w:spacing w:before="0" w:after="0"/>
            </w:pPr>
            <w:r>
              <w:t>Plānotās sabiedrības līdzdalības un komunikācijas aktivitātes saistībā ar projektu</w:t>
            </w:r>
          </w:p>
        </w:tc>
        <w:tc>
          <w:tcPr>
            <w:tcW w:w="6061" w:type="dxa"/>
          </w:tcPr>
          <w:p w:rsidR="008030B2" w:rsidP="00D520F7" w14:paraId="5014FC32" w14:textId="6E047E46">
            <w:pPr>
              <w:pStyle w:val="NormalWeb"/>
              <w:spacing w:before="0" w:after="0"/>
              <w:jc w:val="both"/>
            </w:pPr>
            <w:r w:rsidRPr="003A4D27">
              <w:t>Sabiedrības līdzdalība nodrošināta atbilstoši Ministru kabineta 2009.</w:t>
            </w:r>
            <w:r w:rsidR="008F39FD">
              <w:t> </w:t>
            </w:r>
            <w:r w:rsidRPr="003A4D27">
              <w:t>gada 25.</w:t>
            </w:r>
            <w:r w:rsidR="008F39FD">
              <w:t> </w:t>
            </w:r>
            <w:r w:rsidRPr="003A4D27">
              <w:t>augusta noteikumu Nr.</w:t>
            </w:r>
            <w:r w:rsidR="008F39FD">
              <w:t> </w:t>
            </w:r>
            <w:r w:rsidRPr="003A4D27">
              <w:t>970 „Sabiedrības līdzdalības kārtība attīstības plānošanas procesā” 7.</w:t>
            </w:r>
            <w:r w:rsidR="002349E8">
              <w:t>6</w:t>
            </w:r>
            <w:r w:rsidRPr="003A4D27">
              <w:t>.</w:t>
            </w:r>
            <w:r w:rsidR="008F39FD">
              <w:t> </w:t>
            </w:r>
            <w:r w:rsidRPr="003A4D27">
              <w:t>apakšpunktam. Ieinteresētajām personām ir tiesības izteikt viedokli un sniegt rakstiskus priekšlikumus. Rīkojuma projekts un tā anotācija publiski pieejami Ministru kabin</w:t>
            </w:r>
            <w:r w:rsidR="00D520F7">
              <w:t>eta tīmekļvietnē www.mk.gov.lv</w:t>
            </w:r>
            <w:bookmarkStart w:id="0" w:name="_GoBack"/>
            <w:bookmarkEnd w:id="0"/>
            <w:r w:rsidRPr="003A4D27">
              <w:t>.</w:t>
            </w:r>
          </w:p>
        </w:tc>
      </w:tr>
      <w:tr w14:paraId="5014FC38" w14:textId="77777777" w:rsidTr="008030B2">
        <w:tblPrEx>
          <w:tblW w:w="10632" w:type="dxa"/>
          <w:tblInd w:w="-572" w:type="dxa"/>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04" w:type="dxa"/>
            <w:tcBorders>
              <w:left w:val="single" w:sz="4" w:space="0" w:color="auto"/>
              <w:bottom w:val="single" w:sz="4" w:space="0" w:color="auto"/>
              <w:right w:val="single" w:sz="4" w:space="0" w:color="auto"/>
            </w:tcBorders>
          </w:tcPr>
          <w:p w:rsidR="008030B2" w:rsidP="008030B2" w14:paraId="5014FC34" w14:textId="77777777">
            <w:pPr>
              <w:pStyle w:val="NormalWeb"/>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rsidR="008030B2" w:rsidP="008030B2" w14:paraId="5014FC35" w14:textId="77777777">
            <w:pPr>
              <w:pStyle w:val="NormalWeb"/>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rsidR="000F5563" w:rsidP="000F5563" w14:paraId="5014FC36" w14:textId="691541CD">
            <w:pPr>
              <w:pStyle w:val="NormalWeb"/>
              <w:jc w:val="both"/>
            </w:pPr>
            <w:r>
              <w:t xml:space="preserve">Sabiedrības iesaistei rīkojuma projekts ir publicēts </w:t>
            </w:r>
            <w:r w:rsidR="008F39FD">
              <w:t>Vides aizsardzības un reģionālās attīstības  ministrijas</w:t>
            </w:r>
            <w:r>
              <w:t xml:space="preserve"> tīmekļvietnē www.varam.gov.lv 2017</w:t>
            </w:r>
            <w:r w:rsidR="005E7B63">
              <w:t>.gada 4.oktobrī</w:t>
            </w:r>
            <w:r>
              <w:t xml:space="preserve">. </w:t>
            </w:r>
          </w:p>
          <w:p w:rsidR="008030B2" w:rsidP="000F5563" w14:paraId="5014FC37" w14:textId="77777777">
            <w:pPr>
              <w:pStyle w:val="NormalWeb"/>
              <w:spacing w:before="0" w:beforeAutospacing="0" w:after="0" w:afterAutospacing="0"/>
              <w:jc w:val="both"/>
            </w:pPr>
            <w:r>
              <w:t>Priekšlikumi un ierosinājumi par rīkojuma projektu nav saņemti.</w:t>
            </w:r>
          </w:p>
        </w:tc>
      </w:tr>
      <w:tr w14:paraId="5014FC3C" w14:textId="77777777" w:rsidTr="008030B2">
        <w:tblPrEx>
          <w:tblW w:w="10632" w:type="dxa"/>
          <w:tblInd w:w="-572" w:type="dxa"/>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04" w:type="dxa"/>
            <w:tcBorders>
              <w:top w:val="single" w:sz="4" w:space="0" w:color="auto"/>
              <w:left w:val="single" w:sz="4" w:space="0" w:color="auto"/>
              <w:bottom w:val="single" w:sz="4" w:space="0" w:color="auto"/>
              <w:right w:val="single" w:sz="4" w:space="0" w:color="auto"/>
            </w:tcBorders>
          </w:tcPr>
          <w:p w:rsidR="008030B2" w:rsidP="008030B2" w14:paraId="5014FC39" w14:textId="77777777">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rsidR="008030B2" w:rsidP="008030B2" w14:paraId="5014FC3A" w14:textId="77777777">
            <w:pPr>
              <w:pStyle w:val="NormalWeb"/>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rsidR="008030B2" w:rsidP="003A4D27" w14:paraId="5014FC3B" w14:textId="77777777">
            <w:pPr>
              <w:pStyle w:val="NormalWeb"/>
              <w:spacing w:before="0" w:beforeAutospacing="0" w:after="0" w:afterAutospacing="0"/>
              <w:jc w:val="both"/>
            </w:pPr>
            <w:r>
              <w:t>Projekts šo jomu neskar</w:t>
            </w:r>
            <w:r w:rsidR="002059AD">
              <w:t>.</w:t>
            </w:r>
          </w:p>
        </w:tc>
      </w:tr>
      <w:tr w14:paraId="5014FC40" w14:textId="77777777" w:rsidTr="008030B2">
        <w:tblPrEx>
          <w:tblW w:w="10632" w:type="dxa"/>
          <w:tblInd w:w="-572" w:type="dxa"/>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04" w:type="dxa"/>
            <w:tcBorders>
              <w:top w:val="single" w:sz="4" w:space="0" w:color="auto"/>
              <w:left w:val="single" w:sz="4" w:space="0" w:color="auto"/>
              <w:bottom w:val="single" w:sz="4" w:space="0" w:color="auto"/>
              <w:right w:val="single" w:sz="4" w:space="0" w:color="auto"/>
            </w:tcBorders>
          </w:tcPr>
          <w:p w:rsidR="008030B2" w:rsidP="008030B2" w14:paraId="5014FC3D" w14:textId="77777777">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rsidR="008030B2" w:rsidP="008030B2" w14:paraId="5014FC3E" w14:textId="77777777">
            <w:pPr>
              <w:pStyle w:val="NormalWeb"/>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rsidR="008030B2" w:rsidP="003A4D27" w14:paraId="5014FC3F" w14:textId="77777777">
            <w:pPr>
              <w:pStyle w:val="NormalWeb"/>
              <w:spacing w:before="0" w:beforeAutospacing="0" w:after="0" w:afterAutospacing="0"/>
              <w:jc w:val="both"/>
            </w:pPr>
            <w:r>
              <w:t>Nav.</w:t>
            </w:r>
          </w:p>
        </w:tc>
      </w:tr>
    </w:tbl>
    <w:p w:rsidR="00C63BB9" w:rsidP="00C63BB9" w14:paraId="5014FC41" w14:textId="77777777">
      <w:pPr>
        <w:pStyle w:val="NormalWeb"/>
        <w:spacing w:before="0" w:beforeAutospacing="0" w:after="0" w:afterAutospacing="0"/>
      </w:pPr>
    </w:p>
    <w:p w:rsidR="00C63BB9" w:rsidP="00C63BB9" w14:paraId="5014FC42" w14:textId="77777777">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704"/>
        <w:gridCol w:w="4025"/>
        <w:gridCol w:w="5898"/>
      </w:tblGrid>
      <w:tr w14:paraId="5014FC44" w14:textId="77777777" w:rsidTr="00D84DE8">
        <w:tblPrEx>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rsidR="00C63BB9" w:rsidP="00D84DE8" w14:paraId="5014FC43" w14:textId="77777777">
            <w:pPr>
              <w:pStyle w:val="naisnod"/>
              <w:spacing w:before="0" w:after="0" w:line="276" w:lineRule="auto"/>
              <w:ind w:left="57" w:right="57"/>
            </w:pPr>
            <w:r>
              <w:t>VII. Tiesību akta projekta izpildes nodrošināšana un tās ietekme uz institūcijām</w:t>
            </w:r>
          </w:p>
        </w:tc>
      </w:tr>
      <w:tr w14:paraId="5014FC48" w14:textId="77777777" w:rsidTr="00D84DE8">
        <w:tblPrEx>
          <w:tblW w:w="10627" w:type="dxa"/>
          <w:jc w:val="center"/>
          <w:tblCellMar>
            <w:top w:w="28" w:type="dxa"/>
            <w:left w:w="28" w:type="dxa"/>
            <w:bottom w:w="28" w:type="dxa"/>
            <w:right w:w="28" w:type="dxa"/>
          </w:tblCellMar>
          <w:tblLook w:val="04A0"/>
        </w:tblPrEx>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rsidR="00C63BB9" w:rsidP="00D84DE8" w14:paraId="5014FC45" w14:textId="77777777">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rsidR="00C63BB9" w:rsidP="00D84DE8" w14:paraId="5014FC46" w14:textId="77777777">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rsidR="00C63BB9" w:rsidP="00D84DE8" w14:paraId="5014FC47" w14:textId="77777777">
            <w:pPr>
              <w:pStyle w:val="naisnod"/>
              <w:spacing w:before="0" w:after="0"/>
              <w:ind w:left="57" w:right="152"/>
              <w:jc w:val="both"/>
              <w:rPr>
                <w:b w:val="0"/>
              </w:rPr>
            </w:pPr>
            <w:r>
              <w:rPr>
                <w:b w:val="0"/>
                <w:iCs/>
              </w:rPr>
              <w:t>Valsts ieņēmumu dienests un Tukuma novada dome.</w:t>
            </w:r>
          </w:p>
        </w:tc>
      </w:tr>
      <w:tr w14:paraId="5014FC4D" w14:textId="77777777" w:rsidTr="00D84DE8">
        <w:tblPrEx>
          <w:tblW w:w="10627" w:type="dxa"/>
          <w:jc w:val="center"/>
          <w:tblCellMar>
            <w:top w:w="28" w:type="dxa"/>
            <w:left w:w="28" w:type="dxa"/>
            <w:bottom w:w="28" w:type="dxa"/>
            <w:right w:w="28" w:type="dxa"/>
          </w:tblCellMar>
          <w:tblLook w:val="04A0"/>
        </w:tblPrEx>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rsidR="00C63BB9" w:rsidP="00D84DE8" w14:paraId="5014FC49" w14:textId="77777777">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rsidR="00C63BB9" w:rsidP="00D84DE8" w14:paraId="5014FC4A" w14:textId="77777777">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rsidR="00C63BB9" w:rsidP="00D84DE8" w14:paraId="5014FC4B" w14:textId="77777777">
            <w:pPr>
              <w:pStyle w:val="naisnod"/>
              <w:spacing w:before="0" w:after="0"/>
              <w:ind w:left="57" w:right="152"/>
              <w:jc w:val="both"/>
              <w:rPr>
                <w:b w:val="0"/>
                <w:iCs/>
              </w:rPr>
            </w:pPr>
            <w:r>
              <w:rPr>
                <w:b w:val="0"/>
                <w:iCs/>
              </w:rPr>
              <w:t>Attiecīgās administratīvās teritorijas pašvaldība turpinās veikt savas funkcijas, kas noteiktas normatīvajos aktos.</w:t>
            </w:r>
          </w:p>
          <w:p w:rsidR="00C63BB9" w:rsidP="008F39FD" w14:paraId="5014FC4C" w14:textId="5732B59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14:paraId="5014FC51" w14:textId="77777777" w:rsidTr="00D84DE8">
        <w:tblPrEx>
          <w:tblW w:w="10627" w:type="dxa"/>
          <w:jc w:val="center"/>
          <w:tblCellMar>
            <w:top w:w="28" w:type="dxa"/>
            <w:left w:w="28" w:type="dxa"/>
            <w:bottom w:w="28" w:type="dxa"/>
            <w:right w:w="28" w:type="dxa"/>
          </w:tblCellMar>
          <w:tblLook w:val="04A0"/>
        </w:tblPrEx>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rsidR="00C63BB9" w:rsidP="00D84DE8" w14:paraId="5014FC4E" w14:textId="77777777">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rsidR="00C63BB9" w:rsidP="00D84DE8" w14:paraId="5014FC4F" w14:textId="77777777">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rsidR="00C63BB9" w:rsidP="00D84DE8" w14:paraId="5014FC50" w14:textId="77777777">
            <w:pPr>
              <w:pStyle w:val="naiskr"/>
              <w:spacing w:before="0" w:after="0" w:line="276" w:lineRule="auto"/>
              <w:ind w:left="57" w:right="152"/>
            </w:pPr>
            <w:r>
              <w:t>Nav.</w:t>
            </w:r>
          </w:p>
        </w:tc>
      </w:tr>
    </w:tbl>
    <w:p w:rsidR="00C63BB9" w:rsidP="00C63BB9" w14:paraId="5014FC52" w14:textId="77777777">
      <w:pPr>
        <w:jc w:val="both"/>
        <w:rPr>
          <w:sz w:val="26"/>
          <w:szCs w:val="26"/>
        </w:rPr>
      </w:pPr>
    </w:p>
    <w:p w:rsidR="00C63BB9" w:rsidP="00C63BB9" w14:paraId="5014FC53" w14:textId="77777777">
      <w:pPr>
        <w:jc w:val="both"/>
        <w:rPr>
          <w:sz w:val="26"/>
          <w:szCs w:val="26"/>
        </w:rPr>
      </w:pPr>
    </w:p>
    <w:p w:rsidR="00C63BB9" w:rsidP="00C63BB9" w14:paraId="5014FC54" w14:textId="77777777">
      <w:pPr>
        <w:jc w:val="both"/>
        <w:rPr>
          <w:sz w:val="26"/>
          <w:szCs w:val="26"/>
        </w:rPr>
      </w:pPr>
      <w:r>
        <w:rPr>
          <w:sz w:val="26"/>
          <w:szCs w:val="26"/>
        </w:rPr>
        <w:t>Vides aizsardzības un reģionālās</w:t>
      </w:r>
    </w:p>
    <w:p w:rsidR="00C63BB9" w:rsidP="00C63BB9" w14:paraId="5014FC55" w14:textId="77777777">
      <w:pPr>
        <w:jc w:val="both"/>
        <w:rPr>
          <w:sz w:val="26"/>
          <w:szCs w:val="26"/>
        </w:rPr>
      </w:pPr>
      <w:r>
        <w:rPr>
          <w:sz w:val="26"/>
          <w:szCs w:val="26"/>
        </w:rPr>
        <w:t>attīstības ministrs                                                                                Kaspars Gerhards</w:t>
      </w:r>
    </w:p>
    <w:p w:rsidR="00C63BB9" w:rsidP="00C63BB9" w14:paraId="5014FC56" w14:textId="77777777">
      <w:pPr>
        <w:tabs>
          <w:tab w:val="left" w:pos="5610"/>
        </w:tabs>
        <w:rPr>
          <w:sz w:val="26"/>
          <w:szCs w:val="26"/>
        </w:rPr>
      </w:pPr>
    </w:p>
    <w:p w:rsidR="00C63BB9" w:rsidP="00C63BB9" w14:paraId="5014FC57" w14:textId="77777777">
      <w:pPr>
        <w:tabs>
          <w:tab w:val="left" w:pos="5610"/>
        </w:tabs>
        <w:rPr>
          <w:sz w:val="26"/>
          <w:szCs w:val="26"/>
        </w:rPr>
      </w:pPr>
    </w:p>
    <w:p w:rsidR="00C63BB9" w:rsidP="00C63BB9" w14:paraId="5014FC58" w14:textId="77777777">
      <w:pPr>
        <w:tabs>
          <w:tab w:val="left" w:pos="5610"/>
        </w:tabs>
        <w:rPr>
          <w:sz w:val="26"/>
          <w:szCs w:val="26"/>
        </w:rPr>
      </w:pPr>
    </w:p>
    <w:p w:rsidR="00C63BB9" w:rsidP="00C63BB9" w14:paraId="5014FC59" w14:textId="77777777">
      <w:pPr>
        <w:ind w:right="283"/>
        <w:jc w:val="both"/>
        <w:rPr>
          <w:sz w:val="20"/>
          <w:szCs w:val="20"/>
        </w:rPr>
      </w:pPr>
    </w:p>
    <w:p w:rsidR="00C63BB9" w:rsidP="00C63BB9" w14:paraId="5014FC5A" w14:textId="77777777">
      <w:pPr>
        <w:ind w:right="283"/>
        <w:jc w:val="both"/>
        <w:rPr>
          <w:sz w:val="20"/>
          <w:szCs w:val="20"/>
        </w:rPr>
      </w:pPr>
    </w:p>
    <w:p w:rsidR="00C63BB9" w:rsidP="00C63BB9" w14:paraId="5014FC5B" w14:textId="77777777">
      <w:pPr>
        <w:ind w:right="283"/>
        <w:jc w:val="both"/>
        <w:rPr>
          <w:sz w:val="20"/>
          <w:szCs w:val="20"/>
        </w:rPr>
      </w:pPr>
    </w:p>
    <w:p w:rsidR="00C63BB9" w:rsidRPr="00F92AD4" w:rsidP="00C63BB9" w14:paraId="5014FC5C" w14:textId="77777777">
      <w:pPr>
        <w:ind w:right="283"/>
        <w:jc w:val="both"/>
        <w:rPr>
          <w:sz w:val="20"/>
          <w:szCs w:val="20"/>
        </w:rPr>
      </w:pPr>
      <w:r>
        <w:rPr>
          <w:sz w:val="20"/>
          <w:szCs w:val="20"/>
        </w:rPr>
        <w:t>Sprūde,</w:t>
      </w:r>
      <w:r>
        <w:rPr>
          <w:sz w:val="20"/>
          <w:szCs w:val="20"/>
        </w:rPr>
        <w:t xml:space="preserve"> 67026438</w:t>
      </w:r>
    </w:p>
    <w:p w:rsidR="00C63BB9" w:rsidP="00C63BB9" w14:paraId="5014FC5D" w14:textId="77777777">
      <w:pPr>
        <w:ind w:right="283"/>
        <w:jc w:val="both"/>
      </w:pPr>
      <w:r>
        <w:fldChar w:fldCharType="begin"/>
      </w:r>
      <w:r>
        <w:instrText xml:space="preserve"> HYPERLINK "mailto:anda.sprūde@varam.gov.lv" </w:instrText>
      </w:r>
      <w:r>
        <w:fldChar w:fldCharType="separate"/>
      </w:r>
      <w:r w:rsidRPr="00FA3FD1" w:rsidR="0044378B">
        <w:rPr>
          <w:rStyle w:val="Hyperlink"/>
          <w:sz w:val="20"/>
          <w:szCs w:val="20"/>
        </w:rPr>
        <w:t>anda.sprūde@varam.gov.lv</w:t>
      </w:r>
      <w:r>
        <w:fldChar w:fldCharType="end"/>
      </w:r>
    </w:p>
    <w:p w:rsidR="002E665B" w14:paraId="5014FC5E" w14:textId="77777777"/>
    <w:sectPr w:rsidSect="00D84DE8">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20F7" w:rsidRPr="00274AEA" w:rsidP="00D84DE8" w14:paraId="5014FC63" w14:textId="77777777">
    <w:pPr>
      <w:jc w:val="both"/>
      <w:rPr>
        <w:sz w:val="20"/>
        <w:szCs w:val="20"/>
      </w:rPr>
    </w:pPr>
    <w:r>
      <w:rPr>
        <w:noProof/>
        <w:sz w:val="20"/>
        <w:szCs w:val="20"/>
      </w:rPr>
      <w:t>VARAMAnot_300718_Line</w:t>
    </w:r>
  </w:p>
  <w:p w:rsidR="00D520F7" w:rsidP="00D84DE8" w14:paraId="5014FC64" w14:textId="77777777">
    <w:pPr>
      <w:pStyle w:val="Footer"/>
      <w:jc w:val="center"/>
    </w:pPr>
    <w:r>
      <w:fldChar w:fldCharType="begin"/>
    </w:r>
    <w:r>
      <w:instrText xml:space="preserve"> PAGE   \* MERGEFORMAT </w:instrText>
    </w:r>
    <w:r>
      <w:fldChar w:fldCharType="separate"/>
    </w:r>
    <w:r w:rsidR="00622C83">
      <w:rPr>
        <w:noProof/>
      </w:rPr>
      <w:t>5</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B9"/>
    <w:rsid w:val="00083A80"/>
    <w:rsid w:val="0008441B"/>
    <w:rsid w:val="00085E9F"/>
    <w:rsid w:val="000F5563"/>
    <w:rsid w:val="001247E9"/>
    <w:rsid w:val="00190566"/>
    <w:rsid w:val="001D5B99"/>
    <w:rsid w:val="002059AD"/>
    <w:rsid w:val="002349E8"/>
    <w:rsid w:val="00274AEA"/>
    <w:rsid w:val="002E665B"/>
    <w:rsid w:val="003209FF"/>
    <w:rsid w:val="00374B3F"/>
    <w:rsid w:val="003A4D27"/>
    <w:rsid w:val="003C7D8F"/>
    <w:rsid w:val="0043162D"/>
    <w:rsid w:val="0044378B"/>
    <w:rsid w:val="0044658C"/>
    <w:rsid w:val="004620C3"/>
    <w:rsid w:val="004C145F"/>
    <w:rsid w:val="004D65A6"/>
    <w:rsid w:val="00534494"/>
    <w:rsid w:val="005957BF"/>
    <w:rsid w:val="005C6773"/>
    <w:rsid w:val="005E7B63"/>
    <w:rsid w:val="00622C83"/>
    <w:rsid w:val="0064643B"/>
    <w:rsid w:val="00647B44"/>
    <w:rsid w:val="00655F87"/>
    <w:rsid w:val="00681999"/>
    <w:rsid w:val="006D6CC4"/>
    <w:rsid w:val="0071130C"/>
    <w:rsid w:val="007247A6"/>
    <w:rsid w:val="0074456C"/>
    <w:rsid w:val="007A2BA7"/>
    <w:rsid w:val="007C3636"/>
    <w:rsid w:val="007C4587"/>
    <w:rsid w:val="007D3C45"/>
    <w:rsid w:val="008030B2"/>
    <w:rsid w:val="008778D4"/>
    <w:rsid w:val="008C4B4F"/>
    <w:rsid w:val="008F39FD"/>
    <w:rsid w:val="00A96F08"/>
    <w:rsid w:val="00AB5497"/>
    <w:rsid w:val="00B240EF"/>
    <w:rsid w:val="00B36C51"/>
    <w:rsid w:val="00B426B2"/>
    <w:rsid w:val="00B75A6B"/>
    <w:rsid w:val="00C12FBF"/>
    <w:rsid w:val="00C25E0F"/>
    <w:rsid w:val="00C63BB9"/>
    <w:rsid w:val="00CA4290"/>
    <w:rsid w:val="00CA5DD0"/>
    <w:rsid w:val="00D37572"/>
    <w:rsid w:val="00D520F7"/>
    <w:rsid w:val="00D84DE8"/>
    <w:rsid w:val="00D952A7"/>
    <w:rsid w:val="00DC730A"/>
    <w:rsid w:val="00F1799E"/>
    <w:rsid w:val="00F412D8"/>
    <w:rsid w:val="00F46DB0"/>
    <w:rsid w:val="00F92AD4"/>
    <w:rsid w:val="00FA3FD1"/>
    <w:rsid w:val="00FA77BE"/>
    <w:rsid w:val="00FB079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7657</Words>
  <Characters>4366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 Obersts</dc:creator>
  <cp:lastModifiedBy>Olga Paipala</cp:lastModifiedBy>
  <cp:revision>29</cp:revision>
  <dcterms:created xsi:type="dcterms:W3CDTF">2018-02-07T13:02:00Z</dcterms:created>
  <dcterms:modified xsi:type="dcterms:W3CDTF">2018-08-10T07:05:00Z</dcterms:modified>
</cp:coreProperties>
</file>