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F04" w:rsidRPr="00666111" w:rsidRDefault="00666111" w:rsidP="00E04F04">
      <w:pPr>
        <w:spacing w:after="0" w:line="240" w:lineRule="auto"/>
        <w:jc w:val="center"/>
        <w:rPr>
          <w:rFonts w:ascii="Times New Roman" w:eastAsia="Times New Roman" w:hAnsi="Times New Roman" w:cs="Times New Roman"/>
          <w:b/>
          <w:bCs/>
          <w:sz w:val="28"/>
          <w:szCs w:val="28"/>
          <w:lang w:val="lv-LV" w:eastAsia="lv-LV"/>
        </w:rPr>
      </w:pPr>
      <w:r w:rsidRPr="00666111">
        <w:rPr>
          <w:rFonts w:ascii="Times New Roman" w:eastAsia="Times New Roman" w:hAnsi="Times New Roman" w:cs="Times New Roman"/>
          <w:b/>
          <w:bCs/>
          <w:sz w:val="28"/>
          <w:szCs w:val="28"/>
          <w:lang w:val="lv-LV" w:eastAsia="lv-LV"/>
        </w:rPr>
        <w:t>Minist</w:t>
      </w:r>
      <w:r w:rsidR="002169E4">
        <w:rPr>
          <w:rFonts w:ascii="Times New Roman" w:eastAsia="Times New Roman" w:hAnsi="Times New Roman" w:cs="Times New Roman"/>
          <w:b/>
          <w:bCs/>
          <w:sz w:val="28"/>
          <w:szCs w:val="28"/>
          <w:lang w:val="lv-LV" w:eastAsia="lv-LV"/>
        </w:rPr>
        <w:t>ru kabineta noteikumu projekta</w:t>
      </w:r>
      <w:r w:rsidR="002169E4">
        <w:rPr>
          <w:rFonts w:ascii="Times New Roman" w:eastAsia="Times New Roman" w:hAnsi="Times New Roman" w:cs="Times New Roman"/>
          <w:b/>
          <w:bCs/>
          <w:sz w:val="28"/>
          <w:szCs w:val="28"/>
          <w:lang w:val="lv-LV" w:eastAsia="lv-LV"/>
        </w:rPr>
        <w:br/>
        <w:t>,,</w:t>
      </w:r>
      <w:r w:rsidR="008C182B">
        <w:rPr>
          <w:rFonts w:ascii="Times New Roman" w:eastAsia="Times New Roman" w:hAnsi="Times New Roman" w:cs="Times New Roman"/>
          <w:b/>
          <w:bCs/>
          <w:sz w:val="28"/>
          <w:szCs w:val="28"/>
          <w:lang w:val="lv-LV" w:eastAsia="lv-LV"/>
        </w:rPr>
        <w:t>Grozījumi Ministru kabineta 2007</w:t>
      </w:r>
      <w:r w:rsidRPr="00666111">
        <w:rPr>
          <w:rFonts w:ascii="Times New Roman" w:eastAsia="Times New Roman" w:hAnsi="Times New Roman" w:cs="Times New Roman"/>
          <w:b/>
          <w:bCs/>
          <w:sz w:val="28"/>
          <w:szCs w:val="28"/>
          <w:lang w:val="lv-LV" w:eastAsia="lv-LV"/>
        </w:rPr>
        <w:t>.</w:t>
      </w:r>
      <w:r w:rsidR="002169E4">
        <w:rPr>
          <w:rFonts w:ascii="Times New Roman" w:eastAsia="Times New Roman" w:hAnsi="Times New Roman" w:cs="Times New Roman"/>
          <w:b/>
          <w:bCs/>
          <w:sz w:val="28"/>
          <w:szCs w:val="28"/>
          <w:lang w:val="lv-LV" w:eastAsia="lv-LV"/>
        </w:rPr>
        <w:t> </w:t>
      </w:r>
      <w:r w:rsidRPr="00666111">
        <w:rPr>
          <w:rFonts w:ascii="Times New Roman" w:eastAsia="Times New Roman" w:hAnsi="Times New Roman" w:cs="Times New Roman"/>
          <w:b/>
          <w:bCs/>
          <w:sz w:val="28"/>
          <w:szCs w:val="28"/>
          <w:lang w:val="lv-LV" w:eastAsia="lv-LV"/>
        </w:rPr>
        <w:t xml:space="preserve">gada </w:t>
      </w:r>
      <w:r w:rsidR="008C182B">
        <w:rPr>
          <w:rFonts w:ascii="Times New Roman" w:eastAsia="Times New Roman" w:hAnsi="Times New Roman" w:cs="Times New Roman"/>
          <w:b/>
          <w:bCs/>
          <w:sz w:val="28"/>
          <w:szCs w:val="28"/>
          <w:lang w:val="lv-LV" w:eastAsia="lv-LV"/>
        </w:rPr>
        <w:t>26.</w:t>
      </w:r>
      <w:r w:rsidR="002169E4">
        <w:rPr>
          <w:rFonts w:ascii="Times New Roman" w:eastAsia="Times New Roman" w:hAnsi="Times New Roman" w:cs="Times New Roman"/>
          <w:b/>
          <w:bCs/>
          <w:sz w:val="28"/>
          <w:szCs w:val="28"/>
          <w:lang w:val="lv-LV" w:eastAsia="lv-LV"/>
        </w:rPr>
        <w:t> </w:t>
      </w:r>
      <w:r w:rsidR="008C182B">
        <w:rPr>
          <w:rFonts w:ascii="Times New Roman" w:eastAsia="Times New Roman" w:hAnsi="Times New Roman" w:cs="Times New Roman"/>
          <w:b/>
          <w:bCs/>
          <w:sz w:val="28"/>
          <w:szCs w:val="28"/>
          <w:lang w:val="lv-LV" w:eastAsia="lv-LV"/>
        </w:rPr>
        <w:t>jūnija</w:t>
      </w:r>
      <w:r w:rsidRPr="00666111">
        <w:rPr>
          <w:rFonts w:ascii="Times New Roman" w:eastAsia="Times New Roman" w:hAnsi="Times New Roman" w:cs="Times New Roman"/>
          <w:b/>
          <w:bCs/>
          <w:sz w:val="28"/>
          <w:szCs w:val="28"/>
          <w:lang w:val="lv-LV" w:eastAsia="lv-LV"/>
        </w:rPr>
        <w:t xml:space="preserve"> noteikumos Nr.</w:t>
      </w:r>
      <w:r w:rsidR="002169E4">
        <w:rPr>
          <w:rFonts w:ascii="Times New Roman" w:eastAsia="Times New Roman" w:hAnsi="Times New Roman" w:cs="Times New Roman"/>
          <w:b/>
          <w:bCs/>
          <w:sz w:val="28"/>
          <w:szCs w:val="28"/>
          <w:lang w:val="lv-LV" w:eastAsia="lv-LV"/>
        </w:rPr>
        <w:t> </w:t>
      </w:r>
      <w:r w:rsidR="008C182B">
        <w:rPr>
          <w:rFonts w:ascii="Times New Roman" w:eastAsia="Times New Roman" w:hAnsi="Times New Roman" w:cs="Times New Roman"/>
          <w:b/>
          <w:bCs/>
          <w:sz w:val="28"/>
          <w:szCs w:val="28"/>
          <w:lang w:val="lv-LV" w:eastAsia="lv-LV"/>
        </w:rPr>
        <w:t>416</w:t>
      </w:r>
      <w:r w:rsidR="002169E4">
        <w:rPr>
          <w:rFonts w:ascii="Times New Roman" w:eastAsia="Times New Roman" w:hAnsi="Times New Roman" w:cs="Times New Roman"/>
          <w:b/>
          <w:bCs/>
          <w:sz w:val="28"/>
          <w:szCs w:val="28"/>
          <w:lang w:val="lv-LV" w:eastAsia="lv-LV"/>
        </w:rPr>
        <w:br/>
        <w:t>,,</w:t>
      </w:r>
      <w:r w:rsidR="00A06D52">
        <w:rPr>
          <w:rFonts w:ascii="Times New Roman" w:eastAsia="Times New Roman" w:hAnsi="Times New Roman" w:cs="Times New Roman"/>
          <w:b/>
          <w:bCs/>
          <w:sz w:val="28"/>
          <w:szCs w:val="28"/>
          <w:lang w:val="lv-LV" w:eastAsia="lv-LV"/>
        </w:rPr>
        <w:t>Zāļu izplatīšanas un kva</w:t>
      </w:r>
      <w:r w:rsidR="008C182B">
        <w:rPr>
          <w:rFonts w:ascii="Times New Roman" w:eastAsia="Times New Roman" w:hAnsi="Times New Roman" w:cs="Times New Roman"/>
          <w:b/>
          <w:bCs/>
          <w:sz w:val="28"/>
          <w:szCs w:val="28"/>
          <w:lang w:val="lv-LV" w:eastAsia="lv-LV"/>
        </w:rPr>
        <w:t>litātes kontroles kārtība</w:t>
      </w:r>
      <w:r w:rsidR="002169E4">
        <w:rPr>
          <w:rFonts w:ascii="Times New Roman" w:eastAsia="Times New Roman" w:hAnsi="Times New Roman" w:cs="Times New Roman"/>
          <w:b/>
          <w:bCs/>
          <w:sz w:val="28"/>
          <w:szCs w:val="28"/>
          <w:lang w:val="lv-LV" w:eastAsia="lv-LV"/>
        </w:rPr>
        <w:t>””</w:t>
      </w:r>
      <w:r w:rsidR="00E04F04" w:rsidRPr="00E04F04">
        <w:rPr>
          <w:rFonts w:ascii="Times New Roman" w:eastAsia="Times New Roman" w:hAnsi="Times New Roman" w:cs="Times New Roman"/>
          <w:b/>
          <w:bCs/>
          <w:sz w:val="28"/>
          <w:szCs w:val="28"/>
          <w:lang w:val="lv-LV" w:eastAsia="lv-LV"/>
        </w:rPr>
        <w:t xml:space="preserve"> </w:t>
      </w:r>
      <w:r w:rsidR="00E04F04" w:rsidRPr="00666111">
        <w:rPr>
          <w:rFonts w:ascii="Times New Roman" w:eastAsia="Times New Roman" w:hAnsi="Times New Roman" w:cs="Times New Roman"/>
          <w:b/>
          <w:bCs/>
          <w:sz w:val="28"/>
          <w:szCs w:val="28"/>
          <w:lang w:val="lv-LV" w:eastAsia="lv-LV"/>
        </w:rPr>
        <w:t>sākotnējās ietekmes novērtējuma ziņojums (anotācija)</w:t>
      </w:r>
    </w:p>
    <w:p w:rsidR="00E04F04" w:rsidRPr="00666111" w:rsidRDefault="00666111" w:rsidP="00666111">
      <w:pPr>
        <w:spacing w:after="0" w:line="240" w:lineRule="auto"/>
        <w:jc w:val="center"/>
        <w:rPr>
          <w:rFonts w:ascii="Times New Roman" w:eastAsia="Times New Roman" w:hAnsi="Times New Roman" w:cs="Times New Roman"/>
          <w:b/>
          <w:bCs/>
          <w:sz w:val="28"/>
          <w:szCs w:val="28"/>
          <w:lang w:val="lv-LV" w:eastAsia="lv-LV"/>
        </w:rPr>
      </w:pPr>
      <w:r w:rsidRPr="00666111">
        <w:rPr>
          <w:rFonts w:ascii="Times New Roman" w:eastAsia="Times New Roman" w:hAnsi="Times New Roman" w:cs="Times New Roman"/>
          <w:b/>
          <w:bCs/>
          <w:sz w:val="28"/>
          <w:szCs w:val="28"/>
          <w:lang w:val="lv-LV" w:eastAsia="lv-LV"/>
        </w:rPr>
        <w:br/>
      </w:r>
    </w:p>
    <w:tbl>
      <w:tblPr>
        <w:tblW w:w="520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53"/>
        <w:gridCol w:w="6019"/>
      </w:tblGrid>
      <w:tr w:rsidR="00E04F04" w:rsidTr="00E04F04">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rsidR="00E04F04" w:rsidRDefault="00E04F04">
            <w:pPr>
              <w:spacing w:after="0" w:line="240" w:lineRule="auto"/>
              <w:jc w:val="center"/>
              <w:rPr>
                <w:rFonts w:ascii="Times New Roman" w:eastAsia="Times New Roman" w:hAnsi="Times New Roman" w:cs="Times New Roman"/>
                <w:b/>
                <w:bCs/>
                <w:iCs/>
                <w:sz w:val="24"/>
                <w:szCs w:val="24"/>
                <w:lang w:val="lv-LV" w:eastAsia="lv-LV"/>
              </w:rPr>
            </w:pPr>
            <w:proofErr w:type="spellStart"/>
            <w:r>
              <w:rPr>
                <w:rFonts w:ascii="Times New Roman" w:eastAsia="Times New Roman" w:hAnsi="Times New Roman" w:cs="Times New Roman"/>
                <w:b/>
                <w:bCs/>
                <w:iCs/>
                <w:sz w:val="24"/>
                <w:szCs w:val="24"/>
                <w:lang w:eastAsia="lv-LV"/>
              </w:rPr>
              <w:t>Tiesību</w:t>
            </w:r>
            <w:proofErr w:type="spellEnd"/>
            <w:r>
              <w:rPr>
                <w:rFonts w:ascii="Times New Roman" w:eastAsia="Times New Roman" w:hAnsi="Times New Roman" w:cs="Times New Roman"/>
                <w:b/>
                <w:bCs/>
                <w:iCs/>
                <w:sz w:val="24"/>
                <w:szCs w:val="24"/>
                <w:lang w:eastAsia="lv-LV"/>
              </w:rPr>
              <w:t xml:space="preserve"> </w:t>
            </w:r>
            <w:proofErr w:type="spellStart"/>
            <w:r>
              <w:rPr>
                <w:rFonts w:ascii="Times New Roman" w:eastAsia="Times New Roman" w:hAnsi="Times New Roman" w:cs="Times New Roman"/>
                <w:b/>
                <w:bCs/>
                <w:iCs/>
                <w:sz w:val="24"/>
                <w:szCs w:val="24"/>
                <w:lang w:eastAsia="lv-LV"/>
              </w:rPr>
              <w:t>akta</w:t>
            </w:r>
            <w:proofErr w:type="spellEnd"/>
            <w:r>
              <w:rPr>
                <w:rFonts w:ascii="Times New Roman" w:eastAsia="Times New Roman" w:hAnsi="Times New Roman" w:cs="Times New Roman"/>
                <w:b/>
                <w:bCs/>
                <w:iCs/>
                <w:sz w:val="24"/>
                <w:szCs w:val="24"/>
                <w:lang w:eastAsia="lv-LV"/>
              </w:rPr>
              <w:t xml:space="preserve"> </w:t>
            </w:r>
            <w:proofErr w:type="spellStart"/>
            <w:r>
              <w:rPr>
                <w:rFonts w:ascii="Times New Roman" w:eastAsia="Times New Roman" w:hAnsi="Times New Roman" w:cs="Times New Roman"/>
                <w:b/>
                <w:bCs/>
                <w:iCs/>
                <w:sz w:val="24"/>
                <w:szCs w:val="24"/>
                <w:lang w:eastAsia="lv-LV"/>
              </w:rPr>
              <w:t>projekta</w:t>
            </w:r>
            <w:proofErr w:type="spellEnd"/>
            <w:r>
              <w:rPr>
                <w:rFonts w:ascii="Times New Roman" w:eastAsia="Times New Roman" w:hAnsi="Times New Roman" w:cs="Times New Roman"/>
                <w:b/>
                <w:bCs/>
                <w:iCs/>
                <w:sz w:val="24"/>
                <w:szCs w:val="24"/>
                <w:lang w:eastAsia="lv-LV"/>
              </w:rPr>
              <w:t xml:space="preserve"> </w:t>
            </w:r>
            <w:proofErr w:type="spellStart"/>
            <w:r>
              <w:rPr>
                <w:rFonts w:ascii="Times New Roman" w:eastAsia="Times New Roman" w:hAnsi="Times New Roman" w:cs="Times New Roman"/>
                <w:b/>
                <w:bCs/>
                <w:iCs/>
                <w:sz w:val="24"/>
                <w:szCs w:val="24"/>
                <w:lang w:eastAsia="lv-LV"/>
              </w:rPr>
              <w:t>anotācijas</w:t>
            </w:r>
            <w:proofErr w:type="spellEnd"/>
            <w:r>
              <w:rPr>
                <w:rFonts w:ascii="Times New Roman" w:eastAsia="Times New Roman" w:hAnsi="Times New Roman" w:cs="Times New Roman"/>
                <w:b/>
                <w:bCs/>
                <w:iCs/>
                <w:sz w:val="24"/>
                <w:szCs w:val="24"/>
                <w:lang w:eastAsia="lv-LV"/>
              </w:rPr>
              <w:t xml:space="preserve"> </w:t>
            </w:r>
            <w:proofErr w:type="spellStart"/>
            <w:r>
              <w:rPr>
                <w:rFonts w:ascii="Times New Roman" w:eastAsia="Times New Roman" w:hAnsi="Times New Roman" w:cs="Times New Roman"/>
                <w:b/>
                <w:bCs/>
                <w:iCs/>
                <w:sz w:val="24"/>
                <w:szCs w:val="24"/>
                <w:lang w:eastAsia="lv-LV"/>
              </w:rPr>
              <w:t>kopsavilkums</w:t>
            </w:r>
            <w:proofErr w:type="spellEnd"/>
          </w:p>
        </w:tc>
      </w:tr>
      <w:tr w:rsidR="00E04F04" w:rsidTr="00E04F04">
        <w:trPr>
          <w:tblCellSpacing w:w="15" w:type="dxa"/>
        </w:trPr>
        <w:tc>
          <w:tcPr>
            <w:tcW w:w="1903" w:type="pct"/>
            <w:tcBorders>
              <w:top w:val="outset" w:sz="6" w:space="0" w:color="auto"/>
              <w:left w:val="outset" w:sz="6" w:space="0" w:color="auto"/>
              <w:bottom w:val="outset" w:sz="6" w:space="0" w:color="auto"/>
              <w:right w:val="outset" w:sz="6" w:space="0" w:color="auto"/>
            </w:tcBorders>
            <w:hideMark/>
          </w:tcPr>
          <w:p w:rsidR="00E04F04" w:rsidRDefault="00E04F04">
            <w:pPr>
              <w:spacing w:after="0" w:line="240" w:lineRule="auto"/>
              <w:rPr>
                <w:rFonts w:ascii="Times New Roman" w:eastAsia="Times New Roman" w:hAnsi="Times New Roman" w:cs="Times New Roman"/>
                <w:iCs/>
                <w:sz w:val="24"/>
                <w:szCs w:val="24"/>
                <w:lang w:eastAsia="lv-LV"/>
              </w:rPr>
            </w:pPr>
            <w:proofErr w:type="spellStart"/>
            <w:r>
              <w:rPr>
                <w:rFonts w:ascii="Times New Roman" w:eastAsia="Times New Roman" w:hAnsi="Times New Roman" w:cs="Times New Roman"/>
                <w:iCs/>
                <w:sz w:val="24"/>
                <w:szCs w:val="24"/>
                <w:lang w:eastAsia="lv-LV"/>
              </w:rPr>
              <w:t>Mērķis</w:t>
            </w:r>
            <w:proofErr w:type="spellEnd"/>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risinājums</w:t>
            </w:r>
            <w:proofErr w:type="spellEnd"/>
            <w:r>
              <w:rPr>
                <w:rFonts w:ascii="Times New Roman" w:eastAsia="Times New Roman" w:hAnsi="Times New Roman" w:cs="Times New Roman"/>
                <w:iCs/>
                <w:sz w:val="24"/>
                <w:szCs w:val="24"/>
                <w:lang w:eastAsia="lv-LV"/>
              </w:rPr>
              <w:t xml:space="preserve"> un </w:t>
            </w:r>
            <w:proofErr w:type="spellStart"/>
            <w:r>
              <w:rPr>
                <w:rFonts w:ascii="Times New Roman" w:eastAsia="Times New Roman" w:hAnsi="Times New Roman" w:cs="Times New Roman"/>
                <w:iCs/>
                <w:sz w:val="24"/>
                <w:szCs w:val="24"/>
                <w:lang w:eastAsia="lv-LV"/>
              </w:rPr>
              <w:t>projekta</w:t>
            </w:r>
            <w:proofErr w:type="spellEnd"/>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spēkā</w:t>
            </w:r>
            <w:proofErr w:type="spellEnd"/>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stāšanās</w:t>
            </w:r>
            <w:proofErr w:type="spellEnd"/>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laiks</w:t>
            </w:r>
            <w:proofErr w:type="spellEnd"/>
            <w:r>
              <w:rPr>
                <w:rFonts w:ascii="Times New Roman" w:eastAsia="Times New Roman" w:hAnsi="Times New Roman" w:cs="Times New Roman"/>
                <w:iCs/>
                <w:sz w:val="24"/>
                <w:szCs w:val="24"/>
                <w:lang w:eastAsia="lv-LV"/>
              </w:rPr>
              <w:t xml:space="preserve"> (500 </w:t>
            </w:r>
            <w:proofErr w:type="spellStart"/>
            <w:r>
              <w:rPr>
                <w:rFonts w:ascii="Times New Roman" w:eastAsia="Times New Roman" w:hAnsi="Times New Roman" w:cs="Times New Roman"/>
                <w:iCs/>
                <w:sz w:val="24"/>
                <w:szCs w:val="24"/>
                <w:lang w:eastAsia="lv-LV"/>
              </w:rPr>
              <w:t>zīmes</w:t>
            </w:r>
            <w:proofErr w:type="spellEnd"/>
            <w:r>
              <w:rPr>
                <w:rFonts w:ascii="Times New Roman" w:eastAsia="Times New Roman" w:hAnsi="Times New Roman" w:cs="Times New Roman"/>
                <w:iCs/>
                <w:sz w:val="24"/>
                <w:szCs w:val="24"/>
                <w:lang w:eastAsia="lv-LV"/>
              </w:rPr>
              <w:t xml:space="preserve"> bez </w:t>
            </w:r>
            <w:proofErr w:type="spellStart"/>
            <w:r>
              <w:rPr>
                <w:rFonts w:ascii="Times New Roman" w:eastAsia="Times New Roman" w:hAnsi="Times New Roman" w:cs="Times New Roman"/>
                <w:iCs/>
                <w:sz w:val="24"/>
                <w:szCs w:val="24"/>
                <w:lang w:eastAsia="lv-LV"/>
              </w:rPr>
              <w:t>atstarpēm</w:t>
            </w:r>
            <w:proofErr w:type="spellEnd"/>
            <w:r>
              <w:rPr>
                <w:rFonts w:ascii="Times New Roman" w:eastAsia="Times New Roman" w:hAnsi="Times New Roman" w:cs="Times New Roman"/>
                <w:iCs/>
                <w:sz w:val="24"/>
                <w:szCs w:val="24"/>
                <w:lang w:eastAsia="lv-LV"/>
              </w:rPr>
              <w:t>)</w:t>
            </w:r>
          </w:p>
        </w:tc>
        <w:tc>
          <w:tcPr>
            <w:tcW w:w="3051" w:type="pct"/>
            <w:tcBorders>
              <w:top w:val="outset" w:sz="6" w:space="0" w:color="auto"/>
              <w:left w:val="outset" w:sz="6" w:space="0" w:color="auto"/>
              <w:bottom w:val="outset" w:sz="6" w:space="0" w:color="auto"/>
              <w:right w:val="outset" w:sz="6" w:space="0" w:color="auto"/>
            </w:tcBorders>
            <w:hideMark/>
          </w:tcPr>
          <w:p w:rsidR="00E04F04" w:rsidRDefault="00E04F04">
            <w:pPr>
              <w:spacing w:after="0" w:line="240" w:lineRule="auto"/>
              <w:rPr>
                <w:rFonts w:ascii="Times New Roman" w:eastAsia="Times New Roman" w:hAnsi="Times New Roman" w:cs="Times New Roman"/>
                <w:iCs/>
                <w:sz w:val="24"/>
                <w:szCs w:val="24"/>
                <w:lang w:eastAsia="lv-LV"/>
              </w:rPr>
            </w:pPr>
            <w:proofErr w:type="spellStart"/>
            <w:r>
              <w:rPr>
                <w:rFonts w:ascii="Times New Roman" w:eastAsia="Times New Roman" w:hAnsi="Times New Roman" w:cs="Times New Roman"/>
                <w:iCs/>
                <w:sz w:val="24"/>
                <w:szCs w:val="24"/>
                <w:lang w:eastAsia="lv-LV"/>
              </w:rPr>
              <w:t>Anotācijas</w:t>
            </w:r>
            <w:proofErr w:type="spellEnd"/>
            <w:r>
              <w:rPr>
                <w:rFonts w:ascii="Times New Roman" w:eastAsia="Times New Roman" w:hAnsi="Times New Roman" w:cs="Times New Roman"/>
                <w:iCs/>
                <w:sz w:val="24"/>
                <w:szCs w:val="24"/>
                <w:lang w:eastAsia="lv-LV"/>
              </w:rPr>
              <w:t xml:space="preserve"> I </w:t>
            </w:r>
            <w:proofErr w:type="spellStart"/>
            <w:r>
              <w:rPr>
                <w:rFonts w:ascii="Times New Roman" w:eastAsia="Times New Roman" w:hAnsi="Times New Roman" w:cs="Times New Roman"/>
                <w:iCs/>
                <w:sz w:val="24"/>
                <w:szCs w:val="24"/>
                <w:lang w:eastAsia="lv-LV"/>
              </w:rPr>
              <w:t>sadaļas</w:t>
            </w:r>
            <w:proofErr w:type="spellEnd"/>
            <w:r>
              <w:rPr>
                <w:rFonts w:ascii="Times New Roman" w:eastAsia="Times New Roman" w:hAnsi="Times New Roman" w:cs="Times New Roman"/>
                <w:iCs/>
                <w:sz w:val="24"/>
                <w:szCs w:val="24"/>
                <w:lang w:eastAsia="lv-LV"/>
              </w:rPr>
              <w:t xml:space="preserve"> 2. </w:t>
            </w:r>
            <w:proofErr w:type="spellStart"/>
            <w:proofErr w:type="gramStart"/>
            <w:r>
              <w:rPr>
                <w:rFonts w:ascii="Times New Roman" w:eastAsia="Times New Roman" w:hAnsi="Times New Roman" w:cs="Times New Roman"/>
                <w:iCs/>
                <w:sz w:val="24"/>
                <w:szCs w:val="24"/>
                <w:lang w:eastAsia="lv-LV"/>
              </w:rPr>
              <w:t>punkts</w:t>
            </w:r>
            <w:proofErr w:type="spellEnd"/>
            <w:proofErr w:type="gramEnd"/>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nepārsniedz</w:t>
            </w:r>
            <w:proofErr w:type="spellEnd"/>
            <w:r>
              <w:rPr>
                <w:rFonts w:ascii="Times New Roman" w:eastAsia="Times New Roman" w:hAnsi="Times New Roman" w:cs="Times New Roman"/>
                <w:iCs/>
                <w:sz w:val="24"/>
                <w:szCs w:val="24"/>
                <w:lang w:eastAsia="lv-LV"/>
              </w:rPr>
              <w:t xml:space="preserve"> divas </w:t>
            </w:r>
            <w:proofErr w:type="spellStart"/>
            <w:r>
              <w:rPr>
                <w:rFonts w:ascii="Times New Roman" w:eastAsia="Times New Roman" w:hAnsi="Times New Roman" w:cs="Times New Roman"/>
                <w:iCs/>
                <w:sz w:val="24"/>
                <w:szCs w:val="24"/>
                <w:lang w:eastAsia="lv-LV"/>
              </w:rPr>
              <w:t>lapaspuses</w:t>
            </w:r>
            <w:proofErr w:type="spellEnd"/>
            <w:r>
              <w:rPr>
                <w:rFonts w:ascii="Times New Roman" w:eastAsia="Times New Roman" w:hAnsi="Times New Roman" w:cs="Times New Roman"/>
                <w:iCs/>
                <w:sz w:val="24"/>
                <w:szCs w:val="24"/>
                <w:lang w:eastAsia="lv-LV"/>
              </w:rPr>
              <w:t>.</w:t>
            </w:r>
          </w:p>
        </w:tc>
      </w:tr>
    </w:tbl>
    <w:p w:rsidR="00E04F04" w:rsidRDefault="00E04F04" w:rsidP="00E04F0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Style w:val="TableGrid"/>
        <w:tblW w:w="9923" w:type="dxa"/>
        <w:tblInd w:w="-147" w:type="dxa"/>
        <w:tblLook w:val="0000" w:firstRow="0" w:lastRow="0" w:firstColumn="0" w:lastColumn="0" w:noHBand="0" w:noVBand="0"/>
      </w:tblPr>
      <w:tblGrid>
        <w:gridCol w:w="675"/>
        <w:gridCol w:w="2982"/>
        <w:gridCol w:w="6266"/>
      </w:tblGrid>
      <w:tr w:rsidR="00666111" w:rsidRPr="00670D05" w:rsidTr="00B36831">
        <w:tc>
          <w:tcPr>
            <w:tcW w:w="9923" w:type="dxa"/>
            <w:gridSpan w:val="3"/>
          </w:tcPr>
          <w:p w:rsidR="00666111" w:rsidRPr="00666111" w:rsidRDefault="00666111" w:rsidP="00B36831">
            <w:pPr>
              <w:spacing w:before="20"/>
              <w:jc w:val="center"/>
              <w:rPr>
                <w:sz w:val="28"/>
                <w:szCs w:val="28"/>
                <w:lang w:val="lv-LV"/>
              </w:rPr>
            </w:pPr>
            <w:r w:rsidRPr="00666111">
              <w:rPr>
                <w:b/>
                <w:bCs/>
                <w:sz w:val="28"/>
                <w:szCs w:val="28"/>
                <w:lang w:val="lv-LV"/>
              </w:rPr>
              <w:t>I. Tiesību akta projekta izstrādes nepieciešamība</w:t>
            </w:r>
          </w:p>
        </w:tc>
      </w:tr>
      <w:tr w:rsidR="00666111" w:rsidRPr="00E04F04" w:rsidTr="00B36831">
        <w:trPr>
          <w:trHeight w:val="464"/>
        </w:trPr>
        <w:tc>
          <w:tcPr>
            <w:tcW w:w="675" w:type="dxa"/>
          </w:tcPr>
          <w:p w:rsidR="00666111" w:rsidRPr="00262531" w:rsidRDefault="00666111" w:rsidP="00B36831">
            <w:pPr>
              <w:spacing w:before="20"/>
              <w:jc w:val="center"/>
              <w:rPr>
                <w:sz w:val="24"/>
                <w:szCs w:val="24"/>
                <w:lang w:val="lv-LV"/>
              </w:rPr>
            </w:pPr>
            <w:r w:rsidRPr="00262531">
              <w:rPr>
                <w:sz w:val="24"/>
                <w:szCs w:val="24"/>
                <w:lang w:val="lv-LV"/>
              </w:rPr>
              <w:t>1.</w:t>
            </w:r>
          </w:p>
        </w:tc>
        <w:tc>
          <w:tcPr>
            <w:tcW w:w="2982" w:type="dxa"/>
          </w:tcPr>
          <w:p w:rsidR="00666111" w:rsidRPr="00262531" w:rsidRDefault="00666111" w:rsidP="00B36831">
            <w:pPr>
              <w:spacing w:before="20"/>
              <w:rPr>
                <w:sz w:val="24"/>
                <w:szCs w:val="24"/>
                <w:lang w:val="lv-LV"/>
              </w:rPr>
            </w:pPr>
            <w:r w:rsidRPr="00262531">
              <w:rPr>
                <w:sz w:val="24"/>
                <w:szCs w:val="24"/>
                <w:lang w:val="lv-LV"/>
              </w:rPr>
              <w:t>Pamatojums</w:t>
            </w:r>
          </w:p>
          <w:p w:rsidR="00666111" w:rsidRPr="00262531" w:rsidRDefault="00666111" w:rsidP="00B36831">
            <w:pPr>
              <w:jc w:val="right"/>
              <w:rPr>
                <w:sz w:val="24"/>
                <w:szCs w:val="24"/>
                <w:lang w:val="lv-LV"/>
              </w:rPr>
            </w:pPr>
          </w:p>
        </w:tc>
        <w:tc>
          <w:tcPr>
            <w:tcW w:w="6266" w:type="dxa"/>
          </w:tcPr>
          <w:p w:rsidR="00666111" w:rsidRPr="00262531" w:rsidRDefault="0075357C" w:rsidP="00F02FF3">
            <w:pPr>
              <w:ind w:firstLine="400"/>
              <w:jc w:val="both"/>
              <w:rPr>
                <w:sz w:val="24"/>
                <w:szCs w:val="24"/>
                <w:lang w:val="lv-LV"/>
              </w:rPr>
            </w:pPr>
            <w:r w:rsidRPr="00262531">
              <w:rPr>
                <w:sz w:val="24"/>
                <w:szCs w:val="24"/>
                <w:lang w:val="lv-LV"/>
              </w:rPr>
              <w:t xml:space="preserve">Noteikumu projekts izstrādāts, lai </w:t>
            </w:r>
            <w:r w:rsidR="00F02FF3" w:rsidRPr="00262531">
              <w:rPr>
                <w:sz w:val="24"/>
                <w:szCs w:val="24"/>
                <w:lang w:val="lv-LV"/>
              </w:rPr>
              <w:t xml:space="preserve">noteiktu, ka </w:t>
            </w:r>
            <w:r w:rsidRPr="00262531">
              <w:rPr>
                <w:sz w:val="24"/>
                <w:szCs w:val="24"/>
                <w:lang w:val="lv-LV"/>
              </w:rPr>
              <w:t xml:space="preserve">Nacionālo bruņoto spēku Nodrošinājuma pavēlniecības Apgādes un pakalpojuma centra Noliktavas nodaļas Medicīnas iekārtu </w:t>
            </w:r>
            <w:r w:rsidR="00F02FF3" w:rsidRPr="00262531">
              <w:rPr>
                <w:sz w:val="24"/>
                <w:szCs w:val="24"/>
                <w:lang w:val="lv-LV"/>
              </w:rPr>
              <w:t>un medikamentu noliktava</w:t>
            </w:r>
            <w:r w:rsidRPr="00262531">
              <w:rPr>
                <w:sz w:val="24"/>
                <w:szCs w:val="24"/>
                <w:lang w:val="lv-LV"/>
              </w:rPr>
              <w:t xml:space="preserve"> (turpmāk – NBS medikamentu noliktava)</w:t>
            </w:r>
            <w:r w:rsidR="00F02FF3" w:rsidRPr="00262531">
              <w:rPr>
                <w:sz w:val="24"/>
                <w:szCs w:val="24"/>
                <w:lang w:val="lv-LV"/>
              </w:rPr>
              <w:t>, kas reģistrēta</w:t>
            </w:r>
            <w:r w:rsidRPr="00262531">
              <w:rPr>
                <w:sz w:val="24"/>
                <w:szCs w:val="24"/>
                <w:lang w:val="lv-LV"/>
              </w:rPr>
              <w:t xml:space="preserve"> Zāļu valst</w:t>
            </w:r>
            <w:r w:rsidR="00F02FF3" w:rsidRPr="00262531">
              <w:rPr>
                <w:sz w:val="24"/>
                <w:szCs w:val="24"/>
                <w:lang w:val="lv-LV"/>
              </w:rPr>
              <w:t>s aģentūrā kā zāļu lieltirgotava</w:t>
            </w:r>
            <w:r w:rsidRPr="00262531">
              <w:rPr>
                <w:sz w:val="24"/>
                <w:szCs w:val="24"/>
                <w:lang w:val="lv-LV"/>
              </w:rPr>
              <w:t xml:space="preserve"> ar tiesībām izplatīt zāles</w:t>
            </w:r>
            <w:r w:rsidR="00F02FF3" w:rsidRPr="00262531">
              <w:rPr>
                <w:sz w:val="24"/>
                <w:szCs w:val="24"/>
                <w:lang w:val="lv-LV"/>
              </w:rPr>
              <w:t xml:space="preserve">, izplata </w:t>
            </w:r>
            <w:r w:rsidR="007E2C72">
              <w:rPr>
                <w:sz w:val="24"/>
                <w:szCs w:val="24"/>
                <w:lang w:val="lv-LV"/>
              </w:rPr>
              <w:t>zāles</w:t>
            </w:r>
            <w:r w:rsidR="00F02FF3" w:rsidRPr="00262531">
              <w:rPr>
                <w:sz w:val="24"/>
                <w:szCs w:val="24"/>
                <w:lang w:val="lv-LV"/>
              </w:rPr>
              <w:t xml:space="preserve"> tikai</w:t>
            </w:r>
            <w:r w:rsidRPr="00262531">
              <w:rPr>
                <w:sz w:val="24"/>
                <w:szCs w:val="24"/>
                <w:lang w:val="lv-LV"/>
              </w:rPr>
              <w:t xml:space="preserve"> Nacionālo bruņoto spēku (turpmāk – NBS) un Zemessardzes (turpmāk – ZS) ārstniecības iestādēm un medicīniskajām apakšvienībām</w:t>
            </w:r>
            <w:r w:rsidR="00F02FF3" w:rsidRPr="00262531">
              <w:rPr>
                <w:sz w:val="24"/>
                <w:szCs w:val="24"/>
                <w:lang w:val="lv-LV"/>
              </w:rPr>
              <w:t>. Precizēts nosacījums attiecībā uz tīmekļa vietnes izveidi, jo NBS medikamentu noliktavai nav nepieciešama tīmekļa vietne, jo zāles tiks izplatītas tikai profesionālā dienesta karavīriem un zemessargiem.</w:t>
            </w:r>
          </w:p>
        </w:tc>
      </w:tr>
      <w:tr w:rsidR="00666111" w:rsidRPr="00E04F04" w:rsidTr="00B36831">
        <w:trPr>
          <w:trHeight w:val="1269"/>
        </w:trPr>
        <w:tc>
          <w:tcPr>
            <w:tcW w:w="675" w:type="dxa"/>
          </w:tcPr>
          <w:p w:rsidR="00666111" w:rsidRPr="00262531" w:rsidRDefault="00666111" w:rsidP="00B36831">
            <w:pPr>
              <w:spacing w:before="20"/>
              <w:jc w:val="center"/>
              <w:rPr>
                <w:sz w:val="24"/>
                <w:szCs w:val="24"/>
                <w:lang w:val="lv-LV"/>
              </w:rPr>
            </w:pPr>
            <w:bookmarkStart w:id="0" w:name="_GoBack"/>
            <w:r w:rsidRPr="00262531">
              <w:rPr>
                <w:sz w:val="24"/>
                <w:szCs w:val="24"/>
                <w:lang w:val="lv-LV"/>
              </w:rPr>
              <w:t>2.</w:t>
            </w:r>
          </w:p>
        </w:tc>
        <w:tc>
          <w:tcPr>
            <w:tcW w:w="2982" w:type="dxa"/>
          </w:tcPr>
          <w:p w:rsidR="00666111" w:rsidRPr="00262531" w:rsidRDefault="00666111" w:rsidP="00B36831">
            <w:pPr>
              <w:spacing w:before="20"/>
              <w:rPr>
                <w:sz w:val="24"/>
                <w:szCs w:val="24"/>
                <w:lang w:val="lv-LV"/>
              </w:rPr>
            </w:pPr>
            <w:r w:rsidRPr="00262531">
              <w:rPr>
                <w:sz w:val="24"/>
                <w:szCs w:val="24"/>
                <w:lang w:val="lv-LV"/>
              </w:rPr>
              <w:t>Pašreizējā situācija un problēmas, kuru risināšanai tiesību akta projekts izstrādāts, tiesiskā regulējuma mērķis un būtība</w:t>
            </w:r>
          </w:p>
        </w:tc>
        <w:tc>
          <w:tcPr>
            <w:tcW w:w="6266" w:type="dxa"/>
          </w:tcPr>
          <w:p w:rsidR="00355D53" w:rsidRPr="00262531" w:rsidRDefault="00355D53" w:rsidP="0012071B">
            <w:pPr>
              <w:ind w:firstLine="400"/>
              <w:jc w:val="both"/>
              <w:rPr>
                <w:bCs/>
                <w:sz w:val="24"/>
                <w:szCs w:val="24"/>
                <w:lang w:val="lv-LV"/>
              </w:rPr>
            </w:pPr>
            <w:r w:rsidRPr="00262531">
              <w:rPr>
                <w:bCs/>
                <w:sz w:val="24"/>
                <w:szCs w:val="24"/>
                <w:lang w:val="lv-LV"/>
              </w:rPr>
              <w:t>Atbilstoši Ministru kabineta 2007. gada 26. jūnija noteikumu Nr. 416 ,,Zāļu izplatīšanas un kvalitātes kontroles kārtība”</w:t>
            </w:r>
            <w:r w:rsidR="005E42BF" w:rsidRPr="00262531">
              <w:rPr>
                <w:bCs/>
                <w:sz w:val="24"/>
                <w:szCs w:val="24"/>
                <w:lang w:val="lv-LV"/>
              </w:rPr>
              <w:t xml:space="preserve"> (turpmāk – MK noteikumi Nr. 416)</w:t>
            </w:r>
            <w:r w:rsidRPr="00262531">
              <w:rPr>
                <w:bCs/>
                <w:sz w:val="24"/>
                <w:szCs w:val="24"/>
                <w:lang w:val="lv-LV"/>
              </w:rPr>
              <w:t xml:space="preserve"> 11. punktam zāles atļauts izplatīt komersantam vai personai, kas reģistrēta Valsts ieņēmumu dienestā kā saimnieciskās darbības veicējs un kura</w:t>
            </w:r>
            <w:r w:rsidR="00FF5C88">
              <w:rPr>
                <w:bCs/>
                <w:sz w:val="24"/>
                <w:szCs w:val="24"/>
                <w:lang w:val="lv-LV"/>
              </w:rPr>
              <w:t>i</w:t>
            </w:r>
            <w:r w:rsidRPr="00262531">
              <w:rPr>
                <w:bCs/>
                <w:sz w:val="24"/>
                <w:szCs w:val="24"/>
                <w:lang w:val="lv-LV"/>
              </w:rPr>
              <w:t xml:space="preserve"> saskaņā ar normatīvajiem aktiem par farmaceitiskās darbības licencēšanas kārtību ir Zāļu valsts aģentūras izsniegta speciāla atļauja (licence) zāļu lieltirgotavas atvēršanai (darbībai).  </w:t>
            </w:r>
          </w:p>
          <w:p w:rsidR="0012071B" w:rsidRPr="00262531" w:rsidRDefault="00F02FF3" w:rsidP="0012071B">
            <w:pPr>
              <w:ind w:firstLine="400"/>
              <w:jc w:val="both"/>
              <w:rPr>
                <w:bCs/>
                <w:sz w:val="24"/>
                <w:szCs w:val="24"/>
                <w:lang w:val="lv-LV"/>
              </w:rPr>
            </w:pPr>
            <w:r w:rsidRPr="00262531">
              <w:rPr>
                <w:bCs/>
                <w:sz w:val="24"/>
                <w:szCs w:val="24"/>
                <w:lang w:val="lv-LV"/>
              </w:rPr>
              <w:t>NBS Nodrošinājuma pavēlniecība</w:t>
            </w:r>
            <w:r w:rsidR="0012071B" w:rsidRPr="00262531">
              <w:rPr>
                <w:bCs/>
                <w:sz w:val="24"/>
                <w:szCs w:val="24"/>
                <w:lang w:val="lv-LV"/>
              </w:rPr>
              <w:t xml:space="preserve"> (turpmāk – Nodrošinājuma pavēlniecība) </w:t>
            </w:r>
            <w:r w:rsidRPr="00262531">
              <w:rPr>
                <w:bCs/>
                <w:sz w:val="24"/>
                <w:szCs w:val="24"/>
                <w:lang w:val="lv-LV"/>
              </w:rPr>
              <w:t>reģistrēs</w:t>
            </w:r>
            <w:r w:rsidR="0012071B" w:rsidRPr="00262531">
              <w:rPr>
                <w:bCs/>
                <w:sz w:val="24"/>
                <w:szCs w:val="24"/>
                <w:lang w:val="lv-LV"/>
              </w:rPr>
              <w:t xml:space="preserve"> zāļu lieltirgotavu, lai realizētu normatīvajos aktos noteikto kompetenci ārstniecības jomā (attiecībā uz profesionālā diene</w:t>
            </w:r>
            <w:r w:rsidR="00D574E0" w:rsidRPr="00262531">
              <w:rPr>
                <w:bCs/>
                <w:sz w:val="24"/>
                <w:szCs w:val="24"/>
                <w:lang w:val="lv-LV"/>
              </w:rPr>
              <w:t>sta karavīriem un zemessargiem)</w:t>
            </w:r>
            <w:r w:rsidR="0012071B" w:rsidRPr="00262531">
              <w:rPr>
                <w:bCs/>
                <w:sz w:val="24"/>
                <w:szCs w:val="24"/>
                <w:lang w:val="lv-LV"/>
              </w:rPr>
              <w:t xml:space="preserve">. </w:t>
            </w:r>
            <w:r w:rsidR="00355D53" w:rsidRPr="00262531">
              <w:rPr>
                <w:bCs/>
                <w:sz w:val="24"/>
                <w:szCs w:val="24"/>
                <w:lang w:val="lv-LV"/>
              </w:rPr>
              <w:t xml:space="preserve"> </w:t>
            </w:r>
          </w:p>
          <w:p w:rsidR="00E923A7" w:rsidRPr="00262531" w:rsidRDefault="00E923A7" w:rsidP="00E923A7">
            <w:pPr>
              <w:ind w:firstLine="400"/>
              <w:jc w:val="both"/>
              <w:rPr>
                <w:bCs/>
                <w:sz w:val="24"/>
                <w:szCs w:val="24"/>
                <w:lang w:val="lv-LV"/>
              </w:rPr>
            </w:pPr>
            <w:r w:rsidRPr="00262531">
              <w:rPr>
                <w:bCs/>
                <w:sz w:val="24"/>
                <w:szCs w:val="24"/>
                <w:lang w:val="lv-LV"/>
              </w:rPr>
              <w:lastRenderedPageBreak/>
              <w:t xml:space="preserve">NBS medikamentu noliktava izplata zāles NBS un ZS ārstniecības iestādēm un medicīniskajām apakšvienībām. NBS medikamentu noliktavas juridiskā persona ir Nodrošinājuma pavēlniecības Medicīnas nodrošinājuma centrs, kurš atbilst MK 2007. gada 27. marta noteikumu Nr. 220 ,,Zāļu iegādes, uzglabāšanas, izlietošanas, uzskaites un iznīcināšanas kārtība ārstniecības iestādēs un sociālās aprūpes institūcijās” (turpmāk – MK noteikumi Nr. 220) prasībām. Saskaņā ar norādīto NBS medikamentu noliktava šobrīd ir ārstniecības iestādes struktūrvienība, kura atbilstoši MK noteikumu Nr. 220 45.punktam zāles uzglabā ne vairāk kā piecu dienu patēriņam. </w:t>
            </w:r>
          </w:p>
          <w:p w:rsidR="00E923A7" w:rsidRPr="00262531" w:rsidRDefault="00F02FF3" w:rsidP="00E923A7">
            <w:pPr>
              <w:ind w:firstLine="400"/>
              <w:jc w:val="both"/>
              <w:rPr>
                <w:bCs/>
                <w:sz w:val="24"/>
                <w:szCs w:val="24"/>
                <w:lang w:val="lv-LV"/>
              </w:rPr>
            </w:pPr>
            <w:r w:rsidRPr="00262531">
              <w:rPr>
                <w:bCs/>
                <w:sz w:val="24"/>
                <w:szCs w:val="24"/>
                <w:lang w:val="lv-LV"/>
              </w:rPr>
              <w:t>Noteikumu projekt</w:t>
            </w:r>
            <w:r w:rsidR="00FF5C88">
              <w:rPr>
                <w:bCs/>
                <w:sz w:val="24"/>
                <w:szCs w:val="24"/>
                <w:lang w:val="lv-LV"/>
              </w:rPr>
              <w:t>s</w:t>
            </w:r>
            <w:r w:rsidRPr="00262531">
              <w:rPr>
                <w:bCs/>
                <w:sz w:val="24"/>
                <w:szCs w:val="24"/>
                <w:lang w:val="lv-LV"/>
              </w:rPr>
              <w:t xml:space="preserve"> </w:t>
            </w:r>
            <w:r w:rsidR="00E923A7" w:rsidRPr="00262531">
              <w:rPr>
                <w:bCs/>
                <w:sz w:val="24"/>
                <w:szCs w:val="24"/>
                <w:lang w:val="lv-LV"/>
              </w:rPr>
              <w:t xml:space="preserve">paredz, ka Nodrošinājuma pavēlniecība </w:t>
            </w:r>
            <w:r w:rsidRPr="00262531">
              <w:rPr>
                <w:bCs/>
                <w:sz w:val="24"/>
                <w:szCs w:val="24"/>
                <w:lang w:val="lv-LV"/>
              </w:rPr>
              <w:t xml:space="preserve">pēc </w:t>
            </w:r>
            <w:r w:rsidR="00E923A7" w:rsidRPr="00262531">
              <w:rPr>
                <w:bCs/>
                <w:sz w:val="24"/>
                <w:szCs w:val="24"/>
                <w:lang w:val="lv-LV"/>
              </w:rPr>
              <w:t>NBS medikamentu</w:t>
            </w:r>
            <w:r w:rsidRPr="00262531">
              <w:rPr>
                <w:bCs/>
                <w:sz w:val="24"/>
                <w:szCs w:val="24"/>
                <w:lang w:val="lv-LV"/>
              </w:rPr>
              <w:t xml:space="preserve"> noliktav</w:t>
            </w:r>
            <w:r w:rsidR="00FF5C88">
              <w:rPr>
                <w:bCs/>
                <w:sz w:val="24"/>
                <w:szCs w:val="24"/>
                <w:lang w:val="lv-LV"/>
              </w:rPr>
              <w:t>as</w:t>
            </w:r>
            <w:r w:rsidRPr="00262531">
              <w:rPr>
                <w:bCs/>
                <w:sz w:val="24"/>
                <w:szCs w:val="24"/>
                <w:lang w:val="lv-LV"/>
              </w:rPr>
              <w:t xml:space="preserve"> kā zāļu lieltirgotavas reģistrēšanas</w:t>
            </w:r>
            <w:r w:rsidR="00E923A7" w:rsidRPr="00262531">
              <w:rPr>
                <w:sz w:val="24"/>
                <w:szCs w:val="24"/>
                <w:lang w:val="lv-LV"/>
              </w:rPr>
              <w:t xml:space="preserve"> </w:t>
            </w:r>
            <w:r w:rsidRPr="00262531">
              <w:rPr>
                <w:sz w:val="24"/>
                <w:szCs w:val="24"/>
                <w:lang w:val="lv-LV"/>
              </w:rPr>
              <w:t>būs tiesīga</w:t>
            </w:r>
            <w:r w:rsidR="00E923A7" w:rsidRPr="00262531">
              <w:rPr>
                <w:sz w:val="24"/>
                <w:szCs w:val="24"/>
                <w:lang w:val="lv-LV"/>
              </w:rPr>
              <w:t xml:space="preserve"> izplatīt zāles</w:t>
            </w:r>
            <w:r w:rsidR="000F2368">
              <w:rPr>
                <w:sz w:val="24"/>
                <w:szCs w:val="24"/>
                <w:lang w:val="lv-LV"/>
              </w:rPr>
              <w:t>, piemēram, (t.sk.)</w:t>
            </w:r>
            <w:r w:rsidR="00E923A7" w:rsidRPr="00262531">
              <w:rPr>
                <w:sz w:val="24"/>
                <w:szCs w:val="24"/>
                <w:lang w:val="lv-LV"/>
              </w:rPr>
              <w:t xml:space="preserve"> NBS un ZS ārstniecības iestādēm un medicīniskajām apakšvienībām</w:t>
            </w:r>
            <w:r w:rsidRPr="00262531">
              <w:rPr>
                <w:sz w:val="24"/>
                <w:szCs w:val="24"/>
                <w:lang w:val="lv-LV"/>
              </w:rPr>
              <w:t xml:space="preserve">, </w:t>
            </w:r>
            <w:r w:rsidR="00E923A7" w:rsidRPr="00262531">
              <w:rPr>
                <w:bCs/>
                <w:sz w:val="24"/>
                <w:szCs w:val="24"/>
                <w:lang w:val="lv-LV"/>
              </w:rPr>
              <w:t>kā arī veidot zāļu uzkrājumu ilgākam laika periodam.</w:t>
            </w:r>
          </w:p>
          <w:p w:rsidR="00666111" w:rsidRPr="00262531" w:rsidRDefault="00E923A7" w:rsidP="00BD365F">
            <w:pPr>
              <w:ind w:firstLine="400"/>
              <w:jc w:val="both"/>
              <w:rPr>
                <w:bCs/>
                <w:sz w:val="24"/>
                <w:szCs w:val="24"/>
                <w:lang w:val="lv-LV"/>
              </w:rPr>
            </w:pPr>
            <w:r w:rsidRPr="00262531">
              <w:rPr>
                <w:bCs/>
                <w:sz w:val="24"/>
                <w:szCs w:val="24"/>
                <w:lang w:val="lv-LV"/>
              </w:rPr>
              <w:t>Noteikumu projektā</w:t>
            </w:r>
            <w:r w:rsidR="00666111" w:rsidRPr="00262531">
              <w:rPr>
                <w:bCs/>
                <w:sz w:val="24"/>
                <w:szCs w:val="24"/>
                <w:lang w:val="lv-LV"/>
              </w:rPr>
              <w:t xml:space="preserve"> precizē</w:t>
            </w:r>
            <w:r w:rsidRPr="00262531">
              <w:rPr>
                <w:bCs/>
                <w:sz w:val="24"/>
                <w:szCs w:val="24"/>
                <w:lang w:val="lv-LV"/>
              </w:rPr>
              <w:t>ta</w:t>
            </w:r>
            <w:r w:rsidR="00666111" w:rsidRPr="00262531">
              <w:rPr>
                <w:bCs/>
                <w:sz w:val="24"/>
                <w:szCs w:val="24"/>
                <w:lang w:val="lv-LV"/>
              </w:rPr>
              <w:t xml:space="preserve"> </w:t>
            </w:r>
            <w:r w:rsidRPr="00262531">
              <w:rPr>
                <w:bCs/>
                <w:sz w:val="24"/>
                <w:szCs w:val="24"/>
                <w:lang w:val="lv-LV"/>
              </w:rPr>
              <w:t>prasība attiecībā uz tīmekļa vietnes izveid</w:t>
            </w:r>
            <w:r w:rsidR="004141BC">
              <w:rPr>
                <w:bCs/>
                <w:sz w:val="24"/>
                <w:szCs w:val="24"/>
                <w:lang w:val="lv-LV"/>
              </w:rPr>
              <w:t>i</w:t>
            </w:r>
            <w:r w:rsidRPr="00262531">
              <w:rPr>
                <w:bCs/>
                <w:sz w:val="24"/>
                <w:szCs w:val="24"/>
                <w:lang w:val="lv-LV"/>
              </w:rPr>
              <w:t>, jo</w:t>
            </w:r>
            <w:r w:rsidR="00703C99" w:rsidRPr="00262531">
              <w:rPr>
                <w:bCs/>
                <w:sz w:val="24"/>
                <w:szCs w:val="24"/>
                <w:lang w:val="lv-LV"/>
              </w:rPr>
              <w:t xml:space="preserve"> NBS zāļu</w:t>
            </w:r>
            <w:r w:rsidRPr="00262531">
              <w:rPr>
                <w:bCs/>
                <w:sz w:val="24"/>
                <w:szCs w:val="24"/>
                <w:lang w:val="lv-LV"/>
              </w:rPr>
              <w:t xml:space="preserve"> lieltirgotavai nav nepieciešama tīmekļa vietne</w:t>
            </w:r>
            <w:r w:rsidR="00FF5C88">
              <w:rPr>
                <w:bCs/>
                <w:sz w:val="24"/>
                <w:szCs w:val="24"/>
                <w:lang w:val="lv-LV"/>
              </w:rPr>
              <w:t xml:space="preserve"> </w:t>
            </w:r>
            <w:r w:rsidR="000F2368">
              <w:rPr>
                <w:bCs/>
                <w:sz w:val="24"/>
                <w:szCs w:val="24"/>
                <w:lang w:val="lv-LV"/>
              </w:rPr>
              <w:t xml:space="preserve">ja </w:t>
            </w:r>
            <w:r w:rsidRPr="00262531">
              <w:rPr>
                <w:bCs/>
                <w:sz w:val="24"/>
                <w:szCs w:val="24"/>
                <w:lang w:val="lv-LV"/>
              </w:rPr>
              <w:t>zāles tiks izplatītas tikai profesionālā dienesta karavīriem un zemessargiem</w:t>
            </w:r>
            <w:r w:rsidR="00FF5C88">
              <w:rPr>
                <w:bCs/>
                <w:sz w:val="24"/>
                <w:szCs w:val="24"/>
                <w:lang w:val="lv-LV"/>
              </w:rPr>
              <w:t>, lai nodrošinātu viņu veselību un medicīnisko aprūpi</w:t>
            </w:r>
            <w:r w:rsidRPr="00262531">
              <w:rPr>
                <w:bCs/>
                <w:sz w:val="24"/>
                <w:szCs w:val="24"/>
                <w:lang w:val="lv-LV"/>
              </w:rPr>
              <w:t xml:space="preserve">, </w:t>
            </w:r>
            <w:r w:rsidR="004141BC">
              <w:rPr>
                <w:bCs/>
                <w:sz w:val="24"/>
                <w:szCs w:val="24"/>
                <w:lang w:val="lv-LV"/>
              </w:rPr>
              <w:t xml:space="preserve">turklāt </w:t>
            </w:r>
            <w:r w:rsidR="00703C99" w:rsidRPr="00262531">
              <w:rPr>
                <w:bCs/>
                <w:sz w:val="24"/>
                <w:szCs w:val="24"/>
                <w:lang w:val="lv-LV"/>
              </w:rPr>
              <w:t xml:space="preserve">NBS un ZS </w:t>
            </w:r>
            <w:r w:rsidRPr="00262531">
              <w:rPr>
                <w:bCs/>
                <w:sz w:val="24"/>
                <w:szCs w:val="24"/>
                <w:lang w:val="lv-LV"/>
              </w:rPr>
              <w:t xml:space="preserve">ārstniecības iestādes un </w:t>
            </w:r>
            <w:r w:rsidR="00703C99" w:rsidRPr="00262531">
              <w:rPr>
                <w:bCs/>
                <w:sz w:val="24"/>
                <w:szCs w:val="24"/>
                <w:lang w:val="lv-LV"/>
              </w:rPr>
              <w:t xml:space="preserve">medicīniskās </w:t>
            </w:r>
            <w:r w:rsidRPr="00262531">
              <w:rPr>
                <w:bCs/>
                <w:sz w:val="24"/>
                <w:szCs w:val="24"/>
                <w:lang w:val="lv-LV"/>
              </w:rPr>
              <w:t>apakš</w:t>
            </w:r>
            <w:r w:rsidR="00703C99" w:rsidRPr="00262531">
              <w:rPr>
                <w:bCs/>
                <w:sz w:val="24"/>
                <w:szCs w:val="24"/>
                <w:lang w:val="lv-LV"/>
              </w:rPr>
              <w:t>vienības informāciju par z</w:t>
            </w:r>
            <w:r w:rsidR="00703C58" w:rsidRPr="00262531">
              <w:rPr>
                <w:bCs/>
                <w:sz w:val="24"/>
                <w:szCs w:val="24"/>
                <w:lang w:val="lv-LV"/>
              </w:rPr>
              <w:t>ālē</w:t>
            </w:r>
            <w:r w:rsidR="005E42BF" w:rsidRPr="00262531">
              <w:rPr>
                <w:bCs/>
                <w:sz w:val="24"/>
                <w:szCs w:val="24"/>
                <w:lang w:val="lv-LV"/>
              </w:rPr>
              <w:t>m iegūs</w:t>
            </w:r>
            <w:r w:rsidR="00A910FB" w:rsidRPr="00262531">
              <w:rPr>
                <w:bCs/>
                <w:sz w:val="24"/>
                <w:szCs w:val="24"/>
                <w:lang w:val="lv-LV"/>
              </w:rPr>
              <w:t>t</w:t>
            </w:r>
            <w:r w:rsidR="00703C99" w:rsidRPr="00262531">
              <w:rPr>
                <w:bCs/>
                <w:sz w:val="24"/>
                <w:szCs w:val="24"/>
                <w:lang w:val="lv-LV"/>
              </w:rPr>
              <w:t xml:space="preserve"> iekšējo</w:t>
            </w:r>
            <w:r w:rsidRPr="00262531">
              <w:rPr>
                <w:bCs/>
                <w:sz w:val="24"/>
                <w:szCs w:val="24"/>
                <w:lang w:val="lv-LV"/>
              </w:rPr>
              <w:t>s</w:t>
            </w:r>
            <w:r w:rsidR="00703C99" w:rsidRPr="00262531">
              <w:rPr>
                <w:bCs/>
                <w:sz w:val="24"/>
                <w:szCs w:val="24"/>
                <w:lang w:val="lv-LV"/>
              </w:rPr>
              <w:t xml:space="preserve"> normatīv</w:t>
            </w:r>
            <w:r w:rsidR="00CA1201" w:rsidRPr="00262531">
              <w:rPr>
                <w:bCs/>
                <w:sz w:val="24"/>
                <w:szCs w:val="24"/>
                <w:lang w:val="lv-LV"/>
              </w:rPr>
              <w:t>aj</w:t>
            </w:r>
            <w:r w:rsidR="00703C99" w:rsidRPr="00262531">
              <w:rPr>
                <w:bCs/>
                <w:sz w:val="24"/>
                <w:szCs w:val="24"/>
                <w:lang w:val="lv-LV"/>
              </w:rPr>
              <w:t>o</w:t>
            </w:r>
            <w:r w:rsidRPr="00262531">
              <w:rPr>
                <w:bCs/>
                <w:sz w:val="24"/>
                <w:szCs w:val="24"/>
                <w:lang w:val="lv-LV"/>
              </w:rPr>
              <w:t xml:space="preserve">s aktos </w:t>
            </w:r>
            <w:r w:rsidR="00703C99" w:rsidRPr="00262531">
              <w:rPr>
                <w:bCs/>
                <w:sz w:val="24"/>
                <w:szCs w:val="24"/>
                <w:lang w:val="lv-LV"/>
              </w:rPr>
              <w:t>noteik</w:t>
            </w:r>
            <w:r w:rsidRPr="00262531">
              <w:rPr>
                <w:bCs/>
                <w:sz w:val="24"/>
                <w:szCs w:val="24"/>
                <w:lang w:val="lv-LV"/>
              </w:rPr>
              <w:t>t</w:t>
            </w:r>
            <w:r w:rsidR="00FF5C88">
              <w:rPr>
                <w:bCs/>
                <w:sz w:val="24"/>
                <w:szCs w:val="24"/>
                <w:lang w:val="lv-LV"/>
              </w:rPr>
              <w:t>aj</w:t>
            </w:r>
            <w:r w:rsidR="00703C99" w:rsidRPr="00262531">
              <w:rPr>
                <w:bCs/>
                <w:sz w:val="24"/>
                <w:szCs w:val="24"/>
                <w:lang w:val="lv-LV"/>
              </w:rPr>
              <w:t>ā kārtībā.</w:t>
            </w:r>
          </w:p>
        </w:tc>
      </w:tr>
      <w:bookmarkEnd w:id="0"/>
      <w:tr w:rsidR="00666111" w:rsidRPr="00262531" w:rsidTr="00B36831">
        <w:trPr>
          <w:trHeight w:val="650"/>
        </w:trPr>
        <w:tc>
          <w:tcPr>
            <w:tcW w:w="675" w:type="dxa"/>
          </w:tcPr>
          <w:p w:rsidR="00666111" w:rsidRPr="00262531" w:rsidRDefault="00666111" w:rsidP="00B36831">
            <w:pPr>
              <w:spacing w:before="20"/>
              <w:jc w:val="center"/>
              <w:rPr>
                <w:sz w:val="24"/>
                <w:szCs w:val="24"/>
                <w:lang w:val="lv-LV"/>
              </w:rPr>
            </w:pPr>
            <w:r w:rsidRPr="00262531">
              <w:rPr>
                <w:sz w:val="24"/>
                <w:szCs w:val="24"/>
                <w:lang w:val="lv-LV"/>
              </w:rPr>
              <w:lastRenderedPageBreak/>
              <w:t>3.</w:t>
            </w:r>
          </w:p>
        </w:tc>
        <w:tc>
          <w:tcPr>
            <w:tcW w:w="2982" w:type="dxa"/>
          </w:tcPr>
          <w:p w:rsidR="00666111" w:rsidRPr="00262531" w:rsidRDefault="00666111" w:rsidP="00B36831">
            <w:pPr>
              <w:spacing w:before="20"/>
              <w:rPr>
                <w:sz w:val="24"/>
                <w:szCs w:val="24"/>
                <w:lang w:val="lv-LV"/>
              </w:rPr>
            </w:pPr>
            <w:r w:rsidRPr="00262531">
              <w:rPr>
                <w:sz w:val="24"/>
                <w:szCs w:val="24"/>
                <w:lang w:val="lv-LV"/>
              </w:rPr>
              <w:t>Projekta izstrādē iesaistītās institūcijas un publiskas personas kapitālsabiedrības</w:t>
            </w:r>
          </w:p>
        </w:tc>
        <w:tc>
          <w:tcPr>
            <w:tcW w:w="6266" w:type="dxa"/>
          </w:tcPr>
          <w:p w:rsidR="00666111" w:rsidRPr="00262531" w:rsidRDefault="00666111" w:rsidP="00B36831">
            <w:pPr>
              <w:jc w:val="both"/>
              <w:rPr>
                <w:sz w:val="24"/>
                <w:szCs w:val="24"/>
                <w:lang w:val="lv-LV"/>
              </w:rPr>
            </w:pPr>
            <w:r w:rsidRPr="00262531">
              <w:rPr>
                <w:sz w:val="24"/>
                <w:szCs w:val="24"/>
                <w:lang w:val="lv-LV"/>
              </w:rPr>
              <w:t>Aizsardzības ministrija, Nacionālie bruņoto spēki.</w:t>
            </w:r>
          </w:p>
        </w:tc>
      </w:tr>
      <w:tr w:rsidR="00666111" w:rsidRPr="00262531" w:rsidTr="00B36831">
        <w:tc>
          <w:tcPr>
            <w:tcW w:w="675" w:type="dxa"/>
          </w:tcPr>
          <w:p w:rsidR="00666111" w:rsidRPr="00262531" w:rsidRDefault="00666111" w:rsidP="00B36831">
            <w:pPr>
              <w:spacing w:before="20"/>
              <w:jc w:val="center"/>
              <w:rPr>
                <w:sz w:val="24"/>
                <w:szCs w:val="24"/>
                <w:lang w:val="lv-LV"/>
              </w:rPr>
            </w:pPr>
            <w:r w:rsidRPr="00262531">
              <w:rPr>
                <w:sz w:val="24"/>
                <w:szCs w:val="24"/>
                <w:lang w:val="lv-LV"/>
              </w:rPr>
              <w:t>4.</w:t>
            </w:r>
          </w:p>
        </w:tc>
        <w:tc>
          <w:tcPr>
            <w:tcW w:w="2982" w:type="dxa"/>
          </w:tcPr>
          <w:p w:rsidR="00666111" w:rsidRPr="00262531" w:rsidRDefault="00666111" w:rsidP="00B36831">
            <w:pPr>
              <w:spacing w:before="20"/>
              <w:rPr>
                <w:sz w:val="24"/>
                <w:szCs w:val="24"/>
                <w:lang w:val="lv-LV"/>
              </w:rPr>
            </w:pPr>
            <w:r w:rsidRPr="00262531">
              <w:rPr>
                <w:sz w:val="24"/>
                <w:szCs w:val="24"/>
                <w:lang w:val="lv-LV"/>
              </w:rPr>
              <w:t> Cita informācija</w:t>
            </w:r>
          </w:p>
        </w:tc>
        <w:tc>
          <w:tcPr>
            <w:tcW w:w="6266" w:type="dxa"/>
          </w:tcPr>
          <w:p w:rsidR="00666111" w:rsidRPr="00262531" w:rsidRDefault="00666111" w:rsidP="00B36831">
            <w:pPr>
              <w:spacing w:before="20"/>
              <w:rPr>
                <w:sz w:val="24"/>
                <w:szCs w:val="24"/>
                <w:lang w:val="lv-LV"/>
              </w:rPr>
            </w:pPr>
            <w:r w:rsidRPr="00262531">
              <w:rPr>
                <w:sz w:val="24"/>
                <w:szCs w:val="24"/>
                <w:lang w:val="lv-LV"/>
              </w:rPr>
              <w:t>Nav.</w:t>
            </w:r>
          </w:p>
        </w:tc>
      </w:tr>
    </w:tbl>
    <w:p w:rsidR="00666111" w:rsidRPr="00262531" w:rsidRDefault="00666111" w:rsidP="00666111">
      <w:pPr>
        <w:spacing w:after="0" w:line="240" w:lineRule="auto"/>
        <w:rPr>
          <w:rFonts w:ascii="Times New Roman" w:eastAsia="Times New Roman" w:hAnsi="Times New Roman" w:cs="Times New Roman"/>
          <w:sz w:val="24"/>
          <w:szCs w:val="24"/>
          <w:lang w:val="lv-LV"/>
        </w:rPr>
      </w:pPr>
    </w:p>
    <w:tbl>
      <w:tblPr>
        <w:tblStyle w:val="TableGrid"/>
        <w:tblW w:w="9923" w:type="dxa"/>
        <w:tblInd w:w="-147" w:type="dxa"/>
        <w:tblLook w:val="04A0" w:firstRow="1" w:lastRow="0" w:firstColumn="1" w:lastColumn="0" w:noHBand="0" w:noVBand="1"/>
      </w:tblPr>
      <w:tblGrid>
        <w:gridCol w:w="681"/>
        <w:gridCol w:w="2976"/>
        <w:gridCol w:w="6266"/>
      </w:tblGrid>
      <w:tr w:rsidR="00666111" w:rsidRPr="00E04F04" w:rsidTr="00B36831">
        <w:tc>
          <w:tcPr>
            <w:tcW w:w="9923" w:type="dxa"/>
            <w:gridSpan w:val="3"/>
          </w:tcPr>
          <w:p w:rsidR="00666111" w:rsidRPr="00262531" w:rsidRDefault="00666111" w:rsidP="00B36831">
            <w:pPr>
              <w:spacing w:before="100" w:beforeAutospacing="1"/>
              <w:jc w:val="center"/>
              <w:rPr>
                <w:sz w:val="24"/>
                <w:szCs w:val="24"/>
                <w:lang w:val="lv-LV"/>
              </w:rPr>
            </w:pPr>
            <w:r w:rsidRPr="00262531">
              <w:rPr>
                <w:b/>
                <w:bCs/>
                <w:sz w:val="24"/>
                <w:szCs w:val="24"/>
                <w:lang w:val="lv-LV"/>
              </w:rPr>
              <w:t>II. Tiesību akta projekta ietekme uz sabiedrību, tautsaimniecības attīstību un administratīvo slogu</w:t>
            </w:r>
          </w:p>
        </w:tc>
      </w:tr>
      <w:tr w:rsidR="00666111" w:rsidRPr="00262531" w:rsidTr="00B36831">
        <w:tc>
          <w:tcPr>
            <w:tcW w:w="681" w:type="dxa"/>
          </w:tcPr>
          <w:p w:rsidR="00666111" w:rsidRPr="00262531" w:rsidRDefault="00666111" w:rsidP="00B36831">
            <w:pPr>
              <w:rPr>
                <w:sz w:val="24"/>
                <w:szCs w:val="24"/>
                <w:lang w:val="lv-LV"/>
              </w:rPr>
            </w:pPr>
            <w:r w:rsidRPr="00262531">
              <w:rPr>
                <w:sz w:val="24"/>
                <w:szCs w:val="24"/>
                <w:lang w:val="lv-LV"/>
              </w:rPr>
              <w:t>1.</w:t>
            </w:r>
          </w:p>
        </w:tc>
        <w:tc>
          <w:tcPr>
            <w:tcW w:w="2976" w:type="dxa"/>
          </w:tcPr>
          <w:p w:rsidR="00666111" w:rsidRPr="00262531" w:rsidRDefault="00666111" w:rsidP="00B36831">
            <w:pPr>
              <w:rPr>
                <w:sz w:val="24"/>
                <w:szCs w:val="24"/>
                <w:lang w:val="lv-LV"/>
              </w:rPr>
            </w:pPr>
            <w:r w:rsidRPr="00262531">
              <w:rPr>
                <w:sz w:val="24"/>
                <w:szCs w:val="24"/>
                <w:lang w:val="lv-LV"/>
              </w:rPr>
              <w:t>Sabiedrības mērķgrupas, kuras tiesiskais regulējums ietekmē vai varētu ietekmēt</w:t>
            </w:r>
          </w:p>
        </w:tc>
        <w:tc>
          <w:tcPr>
            <w:tcW w:w="6266" w:type="dxa"/>
          </w:tcPr>
          <w:p w:rsidR="00666111" w:rsidRPr="00262531" w:rsidRDefault="00785F87" w:rsidP="00B36831">
            <w:pPr>
              <w:jc w:val="both"/>
              <w:rPr>
                <w:sz w:val="24"/>
                <w:szCs w:val="24"/>
                <w:lang w:val="lv-LV"/>
              </w:rPr>
            </w:pPr>
            <w:r w:rsidRPr="00262531">
              <w:rPr>
                <w:sz w:val="24"/>
                <w:szCs w:val="24"/>
                <w:lang w:val="lv-LV"/>
              </w:rPr>
              <w:t>Profesionālā dienesta karavīri, zemessargi.</w:t>
            </w:r>
          </w:p>
        </w:tc>
      </w:tr>
      <w:tr w:rsidR="00666111" w:rsidRPr="00262531" w:rsidTr="00B36831">
        <w:tc>
          <w:tcPr>
            <w:tcW w:w="681" w:type="dxa"/>
          </w:tcPr>
          <w:p w:rsidR="00666111" w:rsidRPr="00262531" w:rsidRDefault="00666111" w:rsidP="00B36831">
            <w:pPr>
              <w:rPr>
                <w:sz w:val="24"/>
                <w:szCs w:val="24"/>
                <w:lang w:val="lv-LV"/>
              </w:rPr>
            </w:pPr>
            <w:r w:rsidRPr="00262531">
              <w:rPr>
                <w:sz w:val="24"/>
                <w:szCs w:val="24"/>
                <w:lang w:val="lv-LV"/>
              </w:rPr>
              <w:lastRenderedPageBreak/>
              <w:t>2.</w:t>
            </w:r>
          </w:p>
        </w:tc>
        <w:tc>
          <w:tcPr>
            <w:tcW w:w="2976" w:type="dxa"/>
          </w:tcPr>
          <w:p w:rsidR="00666111" w:rsidRPr="00262531" w:rsidRDefault="00666111" w:rsidP="00B36831">
            <w:pPr>
              <w:rPr>
                <w:sz w:val="24"/>
                <w:szCs w:val="24"/>
                <w:lang w:val="lv-LV"/>
              </w:rPr>
            </w:pPr>
            <w:r w:rsidRPr="00262531">
              <w:rPr>
                <w:sz w:val="24"/>
                <w:szCs w:val="24"/>
                <w:lang w:val="lv-LV"/>
              </w:rPr>
              <w:t>Tiesiskā regulējuma ietekme uz tautsaimniecību un administratīvo slogu</w:t>
            </w:r>
          </w:p>
        </w:tc>
        <w:tc>
          <w:tcPr>
            <w:tcW w:w="6266" w:type="dxa"/>
          </w:tcPr>
          <w:p w:rsidR="00666111" w:rsidRPr="00262531" w:rsidRDefault="00666111" w:rsidP="00B36831">
            <w:pPr>
              <w:jc w:val="both"/>
              <w:rPr>
                <w:sz w:val="24"/>
                <w:szCs w:val="24"/>
                <w:lang w:val="lv-LV"/>
              </w:rPr>
            </w:pPr>
            <w:r w:rsidRPr="00262531">
              <w:rPr>
                <w:sz w:val="24"/>
                <w:szCs w:val="24"/>
                <w:lang w:val="lv-LV"/>
              </w:rPr>
              <w:t>Noteikumu projekts šo jomu neskar.</w:t>
            </w:r>
          </w:p>
        </w:tc>
      </w:tr>
      <w:tr w:rsidR="00666111" w:rsidRPr="00262531" w:rsidTr="00B36831">
        <w:tc>
          <w:tcPr>
            <w:tcW w:w="681" w:type="dxa"/>
          </w:tcPr>
          <w:p w:rsidR="00666111" w:rsidRPr="00262531" w:rsidRDefault="00666111" w:rsidP="00B36831">
            <w:pPr>
              <w:rPr>
                <w:sz w:val="24"/>
                <w:szCs w:val="24"/>
                <w:lang w:val="lv-LV"/>
              </w:rPr>
            </w:pPr>
            <w:r w:rsidRPr="00262531">
              <w:rPr>
                <w:sz w:val="24"/>
                <w:szCs w:val="24"/>
                <w:lang w:val="lv-LV"/>
              </w:rPr>
              <w:t>3.</w:t>
            </w:r>
          </w:p>
        </w:tc>
        <w:tc>
          <w:tcPr>
            <w:tcW w:w="2976" w:type="dxa"/>
          </w:tcPr>
          <w:p w:rsidR="00666111" w:rsidRPr="00262531" w:rsidRDefault="00666111" w:rsidP="00B36831">
            <w:pPr>
              <w:rPr>
                <w:sz w:val="24"/>
                <w:szCs w:val="24"/>
                <w:lang w:val="lv-LV"/>
              </w:rPr>
            </w:pPr>
            <w:r w:rsidRPr="00262531">
              <w:rPr>
                <w:sz w:val="24"/>
                <w:szCs w:val="24"/>
                <w:lang w:val="lv-LV"/>
              </w:rPr>
              <w:t>Administratīvo izmaksu monetārs novērtējums</w:t>
            </w:r>
          </w:p>
        </w:tc>
        <w:tc>
          <w:tcPr>
            <w:tcW w:w="6266" w:type="dxa"/>
          </w:tcPr>
          <w:p w:rsidR="00666111" w:rsidRPr="00262531" w:rsidRDefault="00666111" w:rsidP="00B36831">
            <w:pPr>
              <w:rPr>
                <w:sz w:val="24"/>
                <w:szCs w:val="24"/>
                <w:lang w:val="lv-LV"/>
              </w:rPr>
            </w:pPr>
            <w:r w:rsidRPr="00262531">
              <w:rPr>
                <w:sz w:val="24"/>
                <w:szCs w:val="24"/>
                <w:lang w:val="lv-LV"/>
              </w:rPr>
              <w:t>Noteikumu projekts šo jomu neskar.</w:t>
            </w:r>
          </w:p>
        </w:tc>
      </w:tr>
      <w:tr w:rsidR="00666111" w:rsidRPr="00262531" w:rsidTr="00B36831">
        <w:tc>
          <w:tcPr>
            <w:tcW w:w="681" w:type="dxa"/>
          </w:tcPr>
          <w:p w:rsidR="00666111" w:rsidRPr="00262531" w:rsidRDefault="00666111" w:rsidP="00B36831">
            <w:pPr>
              <w:rPr>
                <w:sz w:val="24"/>
                <w:szCs w:val="24"/>
                <w:lang w:val="lv-LV"/>
              </w:rPr>
            </w:pPr>
            <w:r w:rsidRPr="00262531">
              <w:rPr>
                <w:sz w:val="24"/>
                <w:szCs w:val="24"/>
                <w:lang w:val="lv-LV"/>
              </w:rPr>
              <w:t>4.</w:t>
            </w:r>
          </w:p>
        </w:tc>
        <w:tc>
          <w:tcPr>
            <w:tcW w:w="2976" w:type="dxa"/>
          </w:tcPr>
          <w:p w:rsidR="00666111" w:rsidRPr="00262531" w:rsidRDefault="00666111" w:rsidP="00B36831">
            <w:pPr>
              <w:rPr>
                <w:sz w:val="24"/>
                <w:szCs w:val="24"/>
                <w:lang w:val="lv-LV"/>
              </w:rPr>
            </w:pPr>
            <w:r w:rsidRPr="00262531">
              <w:rPr>
                <w:sz w:val="24"/>
                <w:szCs w:val="24"/>
                <w:lang w:val="lv-LV"/>
              </w:rPr>
              <w:t>Atbilstības izmaksu monetārs novērtējums</w:t>
            </w:r>
          </w:p>
        </w:tc>
        <w:tc>
          <w:tcPr>
            <w:tcW w:w="6266" w:type="dxa"/>
          </w:tcPr>
          <w:p w:rsidR="00666111" w:rsidRPr="00262531" w:rsidRDefault="00666111" w:rsidP="00B36831">
            <w:pPr>
              <w:rPr>
                <w:sz w:val="24"/>
                <w:szCs w:val="24"/>
                <w:lang w:val="lv-LV"/>
              </w:rPr>
            </w:pPr>
            <w:r w:rsidRPr="00262531">
              <w:rPr>
                <w:sz w:val="24"/>
                <w:szCs w:val="24"/>
                <w:lang w:val="lv-LV"/>
              </w:rPr>
              <w:t>Noteikumu projekts šo jomu neskar.</w:t>
            </w:r>
          </w:p>
        </w:tc>
      </w:tr>
      <w:tr w:rsidR="00666111" w:rsidRPr="00262531" w:rsidTr="00B36831">
        <w:tc>
          <w:tcPr>
            <w:tcW w:w="681" w:type="dxa"/>
          </w:tcPr>
          <w:p w:rsidR="00666111" w:rsidRPr="00262531" w:rsidRDefault="00666111" w:rsidP="00B36831">
            <w:pPr>
              <w:rPr>
                <w:sz w:val="24"/>
                <w:szCs w:val="24"/>
                <w:lang w:val="lv-LV"/>
              </w:rPr>
            </w:pPr>
            <w:r w:rsidRPr="00262531">
              <w:rPr>
                <w:sz w:val="24"/>
                <w:szCs w:val="24"/>
                <w:lang w:val="lv-LV"/>
              </w:rPr>
              <w:t>5.</w:t>
            </w:r>
          </w:p>
        </w:tc>
        <w:tc>
          <w:tcPr>
            <w:tcW w:w="2976" w:type="dxa"/>
          </w:tcPr>
          <w:p w:rsidR="00666111" w:rsidRPr="00262531" w:rsidRDefault="00666111" w:rsidP="00B36831">
            <w:pPr>
              <w:rPr>
                <w:sz w:val="24"/>
                <w:szCs w:val="24"/>
                <w:lang w:val="lv-LV"/>
              </w:rPr>
            </w:pPr>
            <w:r w:rsidRPr="00262531">
              <w:rPr>
                <w:sz w:val="24"/>
                <w:szCs w:val="24"/>
                <w:lang w:val="lv-LV"/>
              </w:rPr>
              <w:t>Cita informācija</w:t>
            </w:r>
          </w:p>
        </w:tc>
        <w:tc>
          <w:tcPr>
            <w:tcW w:w="6266" w:type="dxa"/>
          </w:tcPr>
          <w:p w:rsidR="00666111" w:rsidRPr="00262531" w:rsidRDefault="00666111" w:rsidP="00B36831">
            <w:pPr>
              <w:spacing w:before="100" w:beforeAutospacing="1"/>
              <w:rPr>
                <w:sz w:val="24"/>
                <w:szCs w:val="24"/>
                <w:lang w:val="lv-LV"/>
              </w:rPr>
            </w:pPr>
            <w:r w:rsidRPr="00262531">
              <w:rPr>
                <w:sz w:val="24"/>
                <w:szCs w:val="24"/>
                <w:lang w:val="lv-LV"/>
              </w:rPr>
              <w:t>Nav.</w:t>
            </w:r>
          </w:p>
        </w:tc>
      </w:tr>
    </w:tbl>
    <w:p w:rsidR="00666111" w:rsidRPr="00262531" w:rsidRDefault="00666111" w:rsidP="00666111">
      <w:pPr>
        <w:shd w:val="clear" w:color="auto" w:fill="FFFFFF"/>
        <w:spacing w:after="0" w:line="240" w:lineRule="auto"/>
        <w:rPr>
          <w:rFonts w:ascii="Times New Roman" w:hAnsi="Times New Roman" w:cs="Times New Roman"/>
          <w:sz w:val="24"/>
          <w:szCs w:val="24"/>
          <w:lang w:val="lv-LV" w:eastAsia="lv-LV"/>
        </w:rPr>
      </w:pPr>
    </w:p>
    <w:tbl>
      <w:tblPr>
        <w:tblW w:w="520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43"/>
        <w:gridCol w:w="2973"/>
        <w:gridCol w:w="6465"/>
      </w:tblGrid>
      <w:tr w:rsidR="00666111" w:rsidRPr="00E04F04" w:rsidTr="00B36831">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66111" w:rsidRPr="00262531" w:rsidRDefault="00666111" w:rsidP="00B36831">
            <w:pPr>
              <w:spacing w:before="100" w:beforeAutospacing="1" w:after="0" w:line="240" w:lineRule="auto"/>
              <w:jc w:val="center"/>
              <w:rPr>
                <w:rFonts w:ascii="Times New Roman" w:hAnsi="Times New Roman" w:cs="Times New Roman"/>
                <w:b/>
                <w:bCs/>
                <w:sz w:val="24"/>
                <w:szCs w:val="24"/>
                <w:lang w:val="lv-LV" w:eastAsia="lv-LV"/>
              </w:rPr>
            </w:pPr>
            <w:r w:rsidRPr="00262531">
              <w:rPr>
                <w:rFonts w:ascii="Times New Roman" w:hAnsi="Times New Roman" w:cs="Times New Roman"/>
                <w:b/>
                <w:bCs/>
                <w:sz w:val="24"/>
                <w:szCs w:val="24"/>
                <w:lang w:val="lv-LV" w:eastAsia="lv-LV"/>
              </w:rPr>
              <w:t>VII. Tiesību akta projekta izpildes nodrošināšana un tās ietekme uz institūcijām</w:t>
            </w:r>
          </w:p>
        </w:tc>
      </w:tr>
      <w:tr w:rsidR="00666111" w:rsidRPr="00262531" w:rsidTr="00B36831">
        <w:trPr>
          <w:trHeight w:val="633"/>
          <w:jc w:val="center"/>
        </w:trPr>
        <w:tc>
          <w:tcPr>
            <w:tcW w:w="175" w:type="pct"/>
            <w:tcBorders>
              <w:top w:val="outset" w:sz="6" w:space="0" w:color="414142"/>
              <w:left w:val="outset" w:sz="6" w:space="0" w:color="414142"/>
              <w:bottom w:val="outset" w:sz="6" w:space="0" w:color="414142"/>
              <w:right w:val="outset" w:sz="6" w:space="0" w:color="414142"/>
            </w:tcBorders>
            <w:hideMark/>
          </w:tcPr>
          <w:p w:rsidR="00666111" w:rsidRPr="00262531" w:rsidRDefault="00666111" w:rsidP="00B36831">
            <w:pPr>
              <w:spacing w:after="0" w:line="240" w:lineRule="auto"/>
              <w:rPr>
                <w:rFonts w:ascii="Times New Roman" w:hAnsi="Times New Roman" w:cs="Times New Roman"/>
                <w:sz w:val="24"/>
                <w:szCs w:val="24"/>
                <w:lang w:val="lv-LV" w:eastAsia="lv-LV"/>
              </w:rPr>
            </w:pPr>
            <w:r w:rsidRPr="00262531">
              <w:rPr>
                <w:rFonts w:ascii="Times New Roman" w:hAnsi="Times New Roman" w:cs="Times New Roman"/>
                <w:sz w:val="24"/>
                <w:szCs w:val="24"/>
                <w:lang w:val="lv-LV" w:eastAsia="lv-LV"/>
              </w:rPr>
              <w:t>1.</w:t>
            </w:r>
          </w:p>
        </w:tc>
        <w:tc>
          <w:tcPr>
            <w:tcW w:w="1520" w:type="pct"/>
            <w:tcBorders>
              <w:top w:val="outset" w:sz="6" w:space="0" w:color="414142"/>
              <w:left w:val="outset" w:sz="6" w:space="0" w:color="414142"/>
              <w:bottom w:val="outset" w:sz="6" w:space="0" w:color="414142"/>
              <w:right w:val="outset" w:sz="6" w:space="0" w:color="414142"/>
            </w:tcBorders>
            <w:hideMark/>
          </w:tcPr>
          <w:p w:rsidR="00666111" w:rsidRPr="00262531" w:rsidRDefault="00666111" w:rsidP="00B36831">
            <w:pPr>
              <w:spacing w:after="0" w:line="240" w:lineRule="auto"/>
              <w:rPr>
                <w:rFonts w:ascii="Times New Roman" w:hAnsi="Times New Roman" w:cs="Times New Roman"/>
                <w:sz w:val="24"/>
                <w:szCs w:val="24"/>
                <w:lang w:val="lv-LV" w:eastAsia="lv-LV"/>
              </w:rPr>
            </w:pPr>
            <w:r w:rsidRPr="00262531">
              <w:rPr>
                <w:rFonts w:ascii="Times New Roman" w:hAnsi="Times New Roman" w:cs="Times New Roman"/>
                <w:sz w:val="24"/>
                <w:szCs w:val="24"/>
                <w:lang w:val="lv-LV" w:eastAsia="lv-LV"/>
              </w:rPr>
              <w:t>Projekta izpildē iesaistītās institūcijas</w:t>
            </w:r>
          </w:p>
        </w:tc>
        <w:tc>
          <w:tcPr>
            <w:tcW w:w="3305" w:type="pct"/>
            <w:tcBorders>
              <w:top w:val="outset" w:sz="6" w:space="0" w:color="414142"/>
              <w:left w:val="outset" w:sz="6" w:space="0" w:color="414142"/>
              <w:bottom w:val="outset" w:sz="6" w:space="0" w:color="414142"/>
              <w:right w:val="outset" w:sz="6" w:space="0" w:color="414142"/>
            </w:tcBorders>
            <w:hideMark/>
          </w:tcPr>
          <w:p w:rsidR="00666111" w:rsidRPr="00262531" w:rsidRDefault="00666111" w:rsidP="00B36831">
            <w:pPr>
              <w:spacing w:after="0" w:line="240" w:lineRule="auto"/>
              <w:rPr>
                <w:rFonts w:ascii="Times New Roman" w:hAnsi="Times New Roman" w:cs="Times New Roman"/>
                <w:sz w:val="24"/>
                <w:szCs w:val="24"/>
                <w:lang w:val="lv-LV" w:eastAsia="lv-LV"/>
              </w:rPr>
            </w:pPr>
            <w:r w:rsidRPr="00262531">
              <w:rPr>
                <w:rFonts w:ascii="Times New Roman" w:hAnsi="Times New Roman" w:cs="Times New Roman"/>
                <w:sz w:val="24"/>
                <w:szCs w:val="24"/>
                <w:lang w:val="lv-LV"/>
              </w:rPr>
              <w:t>Aizsardzības ministrija, Nacionālie bruņotie spēki.</w:t>
            </w:r>
          </w:p>
        </w:tc>
      </w:tr>
      <w:tr w:rsidR="00666111" w:rsidRPr="00E04F04" w:rsidTr="00B36831">
        <w:trPr>
          <w:trHeight w:val="360"/>
          <w:jc w:val="center"/>
        </w:trPr>
        <w:tc>
          <w:tcPr>
            <w:tcW w:w="175" w:type="pct"/>
            <w:tcBorders>
              <w:top w:val="outset" w:sz="6" w:space="0" w:color="414142"/>
              <w:left w:val="outset" w:sz="6" w:space="0" w:color="414142"/>
              <w:bottom w:val="outset" w:sz="6" w:space="0" w:color="414142"/>
              <w:right w:val="outset" w:sz="6" w:space="0" w:color="414142"/>
            </w:tcBorders>
            <w:hideMark/>
          </w:tcPr>
          <w:p w:rsidR="00666111" w:rsidRPr="00262531" w:rsidRDefault="00666111" w:rsidP="00B36831">
            <w:pPr>
              <w:spacing w:after="0" w:line="240" w:lineRule="auto"/>
              <w:rPr>
                <w:rFonts w:ascii="Times New Roman" w:hAnsi="Times New Roman" w:cs="Times New Roman"/>
                <w:sz w:val="24"/>
                <w:szCs w:val="24"/>
                <w:lang w:val="lv-LV" w:eastAsia="lv-LV"/>
              </w:rPr>
            </w:pPr>
            <w:r w:rsidRPr="00262531">
              <w:rPr>
                <w:rFonts w:ascii="Times New Roman" w:hAnsi="Times New Roman" w:cs="Times New Roman"/>
                <w:sz w:val="24"/>
                <w:szCs w:val="24"/>
                <w:lang w:val="lv-LV" w:eastAsia="lv-LV"/>
              </w:rPr>
              <w:t>2.</w:t>
            </w:r>
          </w:p>
        </w:tc>
        <w:tc>
          <w:tcPr>
            <w:tcW w:w="1520" w:type="pct"/>
            <w:tcBorders>
              <w:top w:val="outset" w:sz="6" w:space="0" w:color="414142"/>
              <w:left w:val="outset" w:sz="6" w:space="0" w:color="414142"/>
              <w:bottom w:val="outset" w:sz="6" w:space="0" w:color="414142"/>
              <w:right w:val="outset" w:sz="6" w:space="0" w:color="414142"/>
            </w:tcBorders>
            <w:hideMark/>
          </w:tcPr>
          <w:p w:rsidR="00666111" w:rsidRPr="00262531" w:rsidRDefault="00666111" w:rsidP="00B36831">
            <w:pPr>
              <w:spacing w:after="0" w:line="240" w:lineRule="auto"/>
              <w:rPr>
                <w:rFonts w:ascii="Times New Roman" w:hAnsi="Times New Roman" w:cs="Times New Roman"/>
                <w:sz w:val="24"/>
                <w:szCs w:val="24"/>
                <w:lang w:val="lv-LV" w:eastAsia="lv-LV"/>
              </w:rPr>
            </w:pPr>
            <w:r w:rsidRPr="00262531">
              <w:rPr>
                <w:rFonts w:ascii="Times New Roman" w:hAnsi="Times New Roman" w:cs="Times New Roman"/>
                <w:sz w:val="24"/>
                <w:szCs w:val="24"/>
                <w:lang w:val="lv-LV" w:eastAsia="lv-LV"/>
              </w:rPr>
              <w:t>Projekta izpildes ietekme uz pārvaldes funkcijām un institucionālo struktūru.</w:t>
            </w:r>
          </w:p>
          <w:p w:rsidR="00666111" w:rsidRPr="00262531" w:rsidRDefault="00666111" w:rsidP="00B36831">
            <w:pPr>
              <w:spacing w:after="0" w:line="240" w:lineRule="auto"/>
              <w:rPr>
                <w:rFonts w:ascii="Times New Roman" w:hAnsi="Times New Roman" w:cs="Times New Roman"/>
                <w:sz w:val="24"/>
                <w:szCs w:val="24"/>
                <w:lang w:val="lv-LV" w:eastAsia="lv-LV"/>
              </w:rPr>
            </w:pPr>
            <w:r w:rsidRPr="00262531">
              <w:rPr>
                <w:rFonts w:ascii="Times New Roman" w:hAnsi="Times New Roman" w:cs="Times New Roman"/>
                <w:sz w:val="24"/>
                <w:szCs w:val="24"/>
                <w:lang w:val="lv-LV" w:eastAsia="lv-LV"/>
              </w:rPr>
              <w:t>Jaunu institūciju izveide, esošu institūciju likvidācija vai reorganizācija, to ietekme uz institūcijas cilvēkresursiem</w:t>
            </w:r>
          </w:p>
        </w:tc>
        <w:tc>
          <w:tcPr>
            <w:tcW w:w="3305" w:type="pct"/>
            <w:tcBorders>
              <w:top w:val="outset" w:sz="6" w:space="0" w:color="414142"/>
              <w:left w:val="outset" w:sz="6" w:space="0" w:color="414142"/>
              <w:bottom w:val="outset" w:sz="6" w:space="0" w:color="414142"/>
              <w:right w:val="outset" w:sz="6" w:space="0" w:color="414142"/>
            </w:tcBorders>
            <w:hideMark/>
          </w:tcPr>
          <w:p w:rsidR="00666111" w:rsidRPr="00262531" w:rsidRDefault="00666111" w:rsidP="00B36831">
            <w:pPr>
              <w:spacing w:after="0" w:line="240" w:lineRule="auto"/>
              <w:jc w:val="both"/>
              <w:rPr>
                <w:rFonts w:ascii="Times New Roman" w:hAnsi="Times New Roman" w:cs="Times New Roman"/>
                <w:sz w:val="24"/>
                <w:szCs w:val="24"/>
                <w:lang w:val="lv-LV" w:eastAsia="lv-LV"/>
              </w:rPr>
            </w:pPr>
            <w:r w:rsidRPr="00262531">
              <w:rPr>
                <w:rFonts w:ascii="Times New Roman" w:hAnsi="Times New Roman" w:cs="Times New Roman"/>
                <w:sz w:val="24"/>
                <w:szCs w:val="24"/>
                <w:lang w:val="lv-LV"/>
              </w:rPr>
              <w:t>Nav paredzētas izmaiņas noteikumu projekta izpildes nodrošināšanā iesaistīto institūciju struktūrās, noteikumu projektam nav būtiskas ietekmes uz iesaistīto institūciju cilvēkresursiem.</w:t>
            </w:r>
          </w:p>
        </w:tc>
      </w:tr>
      <w:tr w:rsidR="00666111" w:rsidRPr="00262531" w:rsidTr="00B36831">
        <w:trPr>
          <w:trHeight w:val="312"/>
          <w:jc w:val="center"/>
        </w:trPr>
        <w:tc>
          <w:tcPr>
            <w:tcW w:w="175" w:type="pct"/>
            <w:tcBorders>
              <w:top w:val="outset" w:sz="6" w:space="0" w:color="414142"/>
              <w:left w:val="outset" w:sz="6" w:space="0" w:color="414142"/>
              <w:bottom w:val="outset" w:sz="6" w:space="0" w:color="414142"/>
              <w:right w:val="outset" w:sz="6" w:space="0" w:color="414142"/>
            </w:tcBorders>
            <w:hideMark/>
          </w:tcPr>
          <w:p w:rsidR="00666111" w:rsidRPr="00262531" w:rsidRDefault="00666111" w:rsidP="00B36831">
            <w:pPr>
              <w:spacing w:after="0" w:line="240" w:lineRule="auto"/>
              <w:rPr>
                <w:rFonts w:ascii="Times New Roman" w:hAnsi="Times New Roman" w:cs="Times New Roman"/>
                <w:sz w:val="24"/>
                <w:szCs w:val="24"/>
                <w:lang w:val="lv-LV" w:eastAsia="lv-LV"/>
              </w:rPr>
            </w:pPr>
            <w:r w:rsidRPr="00262531">
              <w:rPr>
                <w:rFonts w:ascii="Times New Roman" w:hAnsi="Times New Roman" w:cs="Times New Roman"/>
                <w:sz w:val="24"/>
                <w:szCs w:val="24"/>
                <w:lang w:val="lv-LV" w:eastAsia="lv-LV"/>
              </w:rPr>
              <w:t>3.</w:t>
            </w:r>
          </w:p>
        </w:tc>
        <w:tc>
          <w:tcPr>
            <w:tcW w:w="1520" w:type="pct"/>
            <w:tcBorders>
              <w:top w:val="outset" w:sz="6" w:space="0" w:color="414142"/>
              <w:left w:val="outset" w:sz="6" w:space="0" w:color="414142"/>
              <w:bottom w:val="outset" w:sz="6" w:space="0" w:color="414142"/>
              <w:right w:val="outset" w:sz="6" w:space="0" w:color="414142"/>
            </w:tcBorders>
            <w:hideMark/>
          </w:tcPr>
          <w:p w:rsidR="00666111" w:rsidRPr="00262531" w:rsidRDefault="00666111" w:rsidP="00B36831">
            <w:pPr>
              <w:spacing w:after="0" w:line="240" w:lineRule="auto"/>
              <w:rPr>
                <w:rFonts w:ascii="Times New Roman" w:hAnsi="Times New Roman" w:cs="Times New Roman"/>
                <w:sz w:val="24"/>
                <w:szCs w:val="24"/>
                <w:lang w:val="lv-LV" w:eastAsia="lv-LV"/>
              </w:rPr>
            </w:pPr>
            <w:r w:rsidRPr="00262531">
              <w:rPr>
                <w:rFonts w:ascii="Times New Roman" w:hAnsi="Times New Roman" w:cs="Times New Roman"/>
                <w:sz w:val="24"/>
                <w:szCs w:val="24"/>
                <w:lang w:val="lv-LV" w:eastAsia="lv-LV"/>
              </w:rPr>
              <w:t>Cita informācija</w:t>
            </w:r>
          </w:p>
        </w:tc>
        <w:tc>
          <w:tcPr>
            <w:tcW w:w="3305" w:type="pct"/>
            <w:tcBorders>
              <w:top w:val="outset" w:sz="6" w:space="0" w:color="414142"/>
              <w:left w:val="outset" w:sz="6" w:space="0" w:color="414142"/>
              <w:bottom w:val="outset" w:sz="6" w:space="0" w:color="414142"/>
              <w:right w:val="outset" w:sz="6" w:space="0" w:color="414142"/>
            </w:tcBorders>
            <w:hideMark/>
          </w:tcPr>
          <w:p w:rsidR="00666111" w:rsidRPr="00262531" w:rsidRDefault="00666111" w:rsidP="00B36831">
            <w:pPr>
              <w:spacing w:after="0" w:line="240" w:lineRule="auto"/>
              <w:rPr>
                <w:rFonts w:ascii="Times New Roman" w:hAnsi="Times New Roman" w:cs="Times New Roman"/>
                <w:sz w:val="24"/>
                <w:szCs w:val="24"/>
                <w:lang w:val="lv-LV" w:eastAsia="lv-LV"/>
              </w:rPr>
            </w:pPr>
            <w:r w:rsidRPr="00262531">
              <w:rPr>
                <w:rFonts w:ascii="Times New Roman" w:hAnsi="Times New Roman" w:cs="Times New Roman"/>
                <w:sz w:val="24"/>
                <w:szCs w:val="24"/>
                <w:lang w:val="lv-LV" w:eastAsia="lv-LV"/>
              </w:rPr>
              <w:t xml:space="preserve">Nav </w:t>
            </w:r>
          </w:p>
        </w:tc>
      </w:tr>
    </w:tbl>
    <w:p w:rsidR="00666111" w:rsidRPr="00262531" w:rsidRDefault="00666111" w:rsidP="00666111">
      <w:pPr>
        <w:tabs>
          <w:tab w:val="right" w:pos="9074"/>
        </w:tabs>
        <w:spacing w:after="0" w:line="240" w:lineRule="auto"/>
        <w:rPr>
          <w:rFonts w:ascii="Times New Roman" w:hAnsi="Times New Roman" w:cs="Times New Roman"/>
          <w:iCs/>
          <w:sz w:val="24"/>
          <w:szCs w:val="24"/>
        </w:rPr>
      </w:pPr>
    </w:p>
    <w:p w:rsidR="00666111" w:rsidRPr="00262531" w:rsidRDefault="00666111" w:rsidP="00666111">
      <w:pPr>
        <w:tabs>
          <w:tab w:val="right" w:pos="9074"/>
        </w:tabs>
        <w:spacing w:after="0" w:line="240" w:lineRule="auto"/>
        <w:rPr>
          <w:rFonts w:ascii="Times New Roman" w:hAnsi="Times New Roman" w:cs="Times New Roman"/>
          <w:iCs/>
          <w:sz w:val="24"/>
          <w:szCs w:val="24"/>
          <w:lang w:val="lv-LV"/>
        </w:rPr>
      </w:pPr>
      <w:r w:rsidRPr="00262531">
        <w:rPr>
          <w:rFonts w:ascii="Times New Roman" w:hAnsi="Times New Roman" w:cs="Times New Roman"/>
          <w:iCs/>
          <w:sz w:val="24"/>
          <w:szCs w:val="24"/>
          <w:lang w:val="lv-LV"/>
        </w:rPr>
        <w:t>Anotācijas kopsavilkums, III, IV, V, VI sadaļa – projekts šīs jomas neskar.</w:t>
      </w:r>
    </w:p>
    <w:p w:rsidR="00666111" w:rsidRPr="00262531" w:rsidRDefault="00666111" w:rsidP="00666111">
      <w:pPr>
        <w:tabs>
          <w:tab w:val="right" w:pos="9074"/>
        </w:tabs>
        <w:spacing w:after="0" w:line="240" w:lineRule="auto"/>
        <w:rPr>
          <w:rFonts w:ascii="Times New Roman" w:hAnsi="Times New Roman" w:cs="Times New Roman"/>
          <w:i/>
          <w:iCs/>
          <w:sz w:val="24"/>
          <w:szCs w:val="24"/>
          <w:lang w:val="lv-LV"/>
        </w:rPr>
      </w:pPr>
    </w:p>
    <w:p w:rsidR="00666111" w:rsidRPr="007A6FE8" w:rsidRDefault="00666111" w:rsidP="00666111">
      <w:pPr>
        <w:tabs>
          <w:tab w:val="right" w:pos="9074"/>
        </w:tabs>
        <w:spacing w:after="0" w:line="240" w:lineRule="auto"/>
        <w:rPr>
          <w:rFonts w:ascii="Times New Roman" w:hAnsi="Times New Roman" w:cs="Times New Roman"/>
          <w:i/>
          <w:iCs/>
          <w:sz w:val="28"/>
          <w:szCs w:val="28"/>
          <w:lang w:val="lv-LV"/>
        </w:rPr>
      </w:pPr>
    </w:p>
    <w:p w:rsidR="00666111" w:rsidRPr="007A6FE8" w:rsidRDefault="00666111" w:rsidP="00666111">
      <w:pPr>
        <w:tabs>
          <w:tab w:val="left" w:pos="6804"/>
        </w:tabs>
        <w:spacing w:after="0" w:line="240" w:lineRule="auto"/>
        <w:rPr>
          <w:rFonts w:ascii="Times New Roman" w:eastAsia="Times New Roman" w:hAnsi="Times New Roman" w:cs="Arial Unicode MS"/>
          <w:sz w:val="28"/>
          <w:szCs w:val="28"/>
          <w:lang w:val="lv-LV" w:bidi="lo-LA"/>
        </w:rPr>
      </w:pPr>
    </w:p>
    <w:p w:rsidR="00666111" w:rsidRPr="007A6FE8" w:rsidRDefault="00666111" w:rsidP="00666111">
      <w:pPr>
        <w:tabs>
          <w:tab w:val="left" w:pos="6804"/>
        </w:tabs>
        <w:spacing w:after="0" w:line="240" w:lineRule="auto"/>
        <w:rPr>
          <w:rFonts w:ascii="Times New Roman" w:eastAsia="Times New Roman" w:hAnsi="Times New Roman" w:cs="Arial Unicode MS"/>
          <w:sz w:val="28"/>
          <w:szCs w:val="28"/>
          <w:lang w:val="lv-LV" w:bidi="lo-LA"/>
        </w:rPr>
      </w:pPr>
    </w:p>
    <w:p w:rsidR="00666111" w:rsidRPr="005C4372" w:rsidRDefault="00666111" w:rsidP="00666111">
      <w:pPr>
        <w:tabs>
          <w:tab w:val="left" w:pos="6804"/>
        </w:tabs>
        <w:spacing w:after="0" w:line="240" w:lineRule="auto"/>
        <w:rPr>
          <w:rFonts w:ascii="Times New Roman" w:eastAsia="Times New Roman" w:hAnsi="Times New Roman" w:cs="Arial Unicode MS"/>
          <w:sz w:val="24"/>
          <w:szCs w:val="24"/>
          <w:lang w:val="lv-LV" w:bidi="lo-LA"/>
        </w:rPr>
      </w:pPr>
      <w:r w:rsidRPr="005C4372">
        <w:rPr>
          <w:rFonts w:ascii="Times New Roman" w:eastAsia="Times New Roman" w:hAnsi="Times New Roman" w:cs="Arial Unicode MS"/>
          <w:sz w:val="24"/>
          <w:szCs w:val="24"/>
          <w:lang w:val="lv-LV" w:bidi="lo-LA"/>
        </w:rPr>
        <w:t xml:space="preserve">Aizsardzības ministrs </w:t>
      </w:r>
      <w:r w:rsidRPr="005C4372">
        <w:rPr>
          <w:rFonts w:ascii="Times New Roman" w:eastAsia="Times New Roman" w:hAnsi="Times New Roman" w:cs="Arial Unicode MS"/>
          <w:sz w:val="24"/>
          <w:szCs w:val="24"/>
          <w:lang w:val="lv-LV" w:bidi="lo-LA"/>
        </w:rPr>
        <w:tab/>
        <w:t>R. Bergmanis</w:t>
      </w:r>
    </w:p>
    <w:p w:rsidR="00666111" w:rsidRDefault="00666111" w:rsidP="00666111">
      <w:pPr>
        <w:spacing w:after="0" w:line="240" w:lineRule="auto"/>
        <w:rPr>
          <w:rFonts w:ascii="Times New Roman" w:hAnsi="Times New Roman" w:cs="Times New Roman"/>
          <w:sz w:val="24"/>
          <w:szCs w:val="24"/>
          <w:lang w:val="lv-LV"/>
        </w:rPr>
      </w:pPr>
    </w:p>
    <w:p w:rsidR="00666111" w:rsidRPr="00F338D5" w:rsidRDefault="00666111" w:rsidP="00666111">
      <w:pPr>
        <w:spacing w:after="0" w:line="240" w:lineRule="auto"/>
        <w:rPr>
          <w:rFonts w:ascii="Times New Roman" w:hAnsi="Times New Roman" w:cs="Times New Roman"/>
          <w:sz w:val="24"/>
          <w:szCs w:val="24"/>
          <w:lang w:val="lv-LV"/>
        </w:rPr>
      </w:pPr>
    </w:p>
    <w:p w:rsidR="004A4E78" w:rsidRPr="005C4372" w:rsidRDefault="00FF5C88" w:rsidP="000950CF">
      <w:pPr>
        <w:tabs>
          <w:tab w:val="left" w:pos="3240"/>
        </w:tabs>
        <w:spacing w:after="0" w:line="240" w:lineRule="auto"/>
        <w:rPr>
          <w:rFonts w:ascii="Times New Roman" w:hAnsi="Times New Roman" w:cs="Times New Roman"/>
          <w:sz w:val="20"/>
          <w:szCs w:val="20"/>
          <w:lang w:val="lv-LV"/>
        </w:rPr>
      </w:pPr>
      <w:r w:rsidRPr="005C4372">
        <w:rPr>
          <w:rFonts w:ascii="Times New Roman" w:hAnsi="Times New Roman" w:cs="Times New Roman"/>
          <w:sz w:val="20"/>
          <w:szCs w:val="20"/>
          <w:lang w:val="lv-LV"/>
        </w:rPr>
        <w:t>B. </w:t>
      </w:r>
      <w:r w:rsidR="004A4E78" w:rsidRPr="005C4372">
        <w:rPr>
          <w:rFonts w:ascii="Times New Roman" w:hAnsi="Times New Roman" w:cs="Times New Roman"/>
          <w:sz w:val="20"/>
          <w:szCs w:val="20"/>
          <w:lang w:val="lv-LV"/>
        </w:rPr>
        <w:t>Kleina, 67335158</w:t>
      </w:r>
    </w:p>
    <w:p w:rsidR="004A4E78" w:rsidRPr="005C4372" w:rsidRDefault="008E0EFF" w:rsidP="000950CF">
      <w:pPr>
        <w:tabs>
          <w:tab w:val="left" w:pos="3240"/>
        </w:tabs>
        <w:spacing w:after="0" w:line="240" w:lineRule="auto"/>
        <w:rPr>
          <w:rFonts w:ascii="Times New Roman" w:hAnsi="Times New Roman" w:cs="Times New Roman"/>
          <w:sz w:val="20"/>
          <w:szCs w:val="20"/>
          <w:lang w:val="lv-LV"/>
        </w:rPr>
      </w:pPr>
      <w:r w:rsidRPr="005C4372">
        <w:rPr>
          <w:rFonts w:ascii="Times New Roman" w:hAnsi="Times New Roman" w:cs="Times New Roman"/>
          <w:sz w:val="20"/>
          <w:szCs w:val="20"/>
          <w:lang w:val="lv-LV"/>
        </w:rPr>
        <w:t>b</w:t>
      </w:r>
      <w:r w:rsidR="004A4E78" w:rsidRPr="005C4372">
        <w:rPr>
          <w:rFonts w:ascii="Times New Roman" w:hAnsi="Times New Roman" w:cs="Times New Roman"/>
          <w:sz w:val="20"/>
          <w:szCs w:val="20"/>
          <w:lang w:val="lv-LV"/>
        </w:rPr>
        <w:t>iruta.kleina@mod.gov.lv</w:t>
      </w:r>
    </w:p>
    <w:p w:rsidR="004A4E78" w:rsidRPr="005C4372" w:rsidRDefault="004A4E78" w:rsidP="000950CF">
      <w:pPr>
        <w:tabs>
          <w:tab w:val="left" w:pos="3240"/>
        </w:tabs>
        <w:spacing w:after="0" w:line="240" w:lineRule="auto"/>
        <w:rPr>
          <w:rFonts w:ascii="Times New Roman" w:hAnsi="Times New Roman" w:cs="Times New Roman"/>
          <w:sz w:val="20"/>
          <w:szCs w:val="20"/>
          <w:lang w:val="lv-LV"/>
        </w:rPr>
      </w:pPr>
    </w:p>
    <w:p w:rsidR="000950CF" w:rsidRPr="005C4372" w:rsidRDefault="00FF5C88" w:rsidP="000950CF">
      <w:pPr>
        <w:tabs>
          <w:tab w:val="left" w:pos="3240"/>
        </w:tabs>
        <w:spacing w:after="0" w:line="240" w:lineRule="auto"/>
        <w:rPr>
          <w:rFonts w:ascii="Times New Roman" w:hAnsi="Times New Roman" w:cs="Times New Roman"/>
          <w:sz w:val="20"/>
          <w:szCs w:val="20"/>
          <w:lang w:val="lv-LV"/>
        </w:rPr>
      </w:pPr>
      <w:r w:rsidRPr="005C4372">
        <w:rPr>
          <w:rFonts w:ascii="Times New Roman" w:hAnsi="Times New Roman" w:cs="Times New Roman"/>
          <w:sz w:val="20"/>
          <w:szCs w:val="20"/>
          <w:lang w:val="lv-LV"/>
        </w:rPr>
        <w:t>L. </w:t>
      </w:r>
      <w:proofErr w:type="spellStart"/>
      <w:r w:rsidR="004A4E78" w:rsidRPr="005C4372">
        <w:rPr>
          <w:rFonts w:ascii="Times New Roman" w:hAnsi="Times New Roman" w:cs="Times New Roman"/>
          <w:sz w:val="20"/>
          <w:szCs w:val="20"/>
          <w:lang w:val="lv-LV"/>
        </w:rPr>
        <w:t>Paupers</w:t>
      </w:r>
      <w:proofErr w:type="spellEnd"/>
      <w:r w:rsidR="004A4E78" w:rsidRPr="005C4372">
        <w:rPr>
          <w:rFonts w:ascii="Times New Roman" w:hAnsi="Times New Roman" w:cs="Times New Roman"/>
          <w:sz w:val="20"/>
          <w:szCs w:val="20"/>
          <w:lang w:val="lv-LV"/>
        </w:rPr>
        <w:t xml:space="preserve">, </w:t>
      </w:r>
      <w:r w:rsidR="000950CF" w:rsidRPr="005C4372">
        <w:rPr>
          <w:rFonts w:ascii="Times New Roman" w:hAnsi="Times New Roman" w:cs="Times New Roman"/>
          <w:sz w:val="20"/>
          <w:szCs w:val="20"/>
          <w:lang w:val="lv-LV"/>
        </w:rPr>
        <w:t>67804446</w:t>
      </w:r>
    </w:p>
    <w:p w:rsidR="000950CF" w:rsidRPr="005C4372" w:rsidRDefault="000950CF" w:rsidP="000950CF">
      <w:pPr>
        <w:tabs>
          <w:tab w:val="left" w:pos="3240"/>
        </w:tabs>
        <w:spacing w:after="0" w:line="240" w:lineRule="auto"/>
        <w:rPr>
          <w:rFonts w:ascii="Times New Roman" w:eastAsia="Times New Roman" w:hAnsi="Times New Roman" w:cs="Times New Roman"/>
          <w:sz w:val="20"/>
          <w:szCs w:val="20"/>
          <w:lang w:val="lv-LV" w:eastAsia="lv-LV"/>
        </w:rPr>
      </w:pPr>
      <w:r w:rsidRPr="005C4372">
        <w:rPr>
          <w:rFonts w:ascii="Times New Roman" w:hAnsi="Times New Roman" w:cs="Times New Roman"/>
          <w:sz w:val="20"/>
          <w:szCs w:val="20"/>
          <w:lang w:val="lv-LV"/>
        </w:rPr>
        <w:t>linards.paupers@mil.lv</w:t>
      </w:r>
    </w:p>
    <w:p w:rsidR="00CA15B2" w:rsidRPr="005C4372" w:rsidRDefault="00E04F04">
      <w:pPr>
        <w:rPr>
          <w:sz w:val="20"/>
          <w:szCs w:val="20"/>
          <w:lang w:val="lv-LV"/>
        </w:rPr>
      </w:pPr>
    </w:p>
    <w:sectPr w:rsidR="00CA15B2" w:rsidRPr="005C4372" w:rsidSect="00F3162D">
      <w:headerReference w:type="even" r:id="rId7"/>
      <w:headerReference w:type="default" r:id="rId8"/>
      <w:footerReference w:type="even" r:id="rId9"/>
      <w:footerReference w:type="default" r:id="rId10"/>
      <w:headerReference w:type="first" r:id="rId11"/>
      <w:footerReference w:type="first" r:id="rId12"/>
      <w:pgSz w:w="12240" w:h="15840"/>
      <w:pgMar w:top="1418" w:right="1134" w:bottom="1134" w:left="1701" w:header="709" w:footer="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BBE" w:rsidRDefault="00B30BBE" w:rsidP="008C182B">
      <w:pPr>
        <w:spacing w:after="0" w:line="240" w:lineRule="auto"/>
      </w:pPr>
      <w:r>
        <w:separator/>
      </w:r>
    </w:p>
  </w:endnote>
  <w:endnote w:type="continuationSeparator" w:id="0">
    <w:p w:rsidR="00B30BBE" w:rsidRDefault="00B30BBE" w:rsidP="008C1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C9B" w:rsidRDefault="007F6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171995"/>
      <w:docPartObj>
        <w:docPartGallery w:val="Page Numbers (Bottom of Page)"/>
        <w:docPartUnique/>
      </w:docPartObj>
    </w:sdtPr>
    <w:sdtEndPr>
      <w:rPr>
        <w:rFonts w:ascii="Times New Roman" w:hAnsi="Times New Roman" w:cs="Times New Roman"/>
        <w:noProof/>
        <w:sz w:val="20"/>
        <w:szCs w:val="20"/>
      </w:rPr>
    </w:sdtEndPr>
    <w:sdtContent>
      <w:sdt>
        <w:sdtPr>
          <w:id w:val="1252842111"/>
          <w:docPartObj>
            <w:docPartGallery w:val="Page Numbers (Bottom of Page)"/>
            <w:docPartUnique/>
          </w:docPartObj>
        </w:sdtPr>
        <w:sdtEndPr>
          <w:rPr>
            <w:rFonts w:ascii="Times New Roman" w:hAnsi="Times New Roman" w:cs="Times New Roman"/>
            <w:noProof/>
            <w:sz w:val="20"/>
            <w:szCs w:val="20"/>
          </w:rPr>
        </w:sdtEndPr>
        <w:sdtContent>
          <w:p w:rsidR="008C182B" w:rsidRDefault="008C182B" w:rsidP="008C182B">
            <w:pPr>
              <w:pStyle w:val="Header"/>
            </w:pPr>
          </w:p>
          <w:p w:rsidR="008C182B" w:rsidRDefault="008C182B" w:rsidP="008C182B"/>
          <w:sdt>
            <w:sdtPr>
              <w:id w:val="902337551"/>
              <w:docPartObj>
                <w:docPartGallery w:val="Page Numbers (Bottom of Page)"/>
                <w:docPartUnique/>
              </w:docPartObj>
            </w:sdtPr>
            <w:sdtEndPr>
              <w:rPr>
                <w:rFonts w:ascii="Times New Roman" w:hAnsi="Times New Roman" w:cs="Times New Roman"/>
                <w:noProof/>
                <w:sz w:val="20"/>
                <w:szCs w:val="20"/>
              </w:rPr>
            </w:sdtEndPr>
            <w:sdtContent>
              <w:p w:rsidR="008C182B" w:rsidRPr="00DE3E35" w:rsidRDefault="008C182B" w:rsidP="00D670EB">
                <w:pPr>
                  <w:pStyle w:val="Footer"/>
                  <w:tabs>
                    <w:tab w:val="clear" w:pos="4320"/>
                    <w:tab w:val="clear" w:pos="8640"/>
                    <w:tab w:val="center" w:pos="4702"/>
                    <w:tab w:val="left" w:pos="5145"/>
                  </w:tabs>
                  <w:rPr>
                    <w:rFonts w:ascii="Times New Roman" w:hAnsi="Times New Roman" w:cs="Times New Roman"/>
                    <w:sz w:val="20"/>
                    <w:szCs w:val="20"/>
                  </w:rPr>
                </w:pPr>
                <w:r w:rsidRPr="00DE3E35">
                  <w:rPr>
                    <w:rFonts w:ascii="Times New Roman" w:hAnsi="Times New Roman" w:cs="Times New Roman"/>
                    <w:sz w:val="20"/>
                    <w:szCs w:val="20"/>
                  </w:rPr>
                  <w:fldChar w:fldCharType="begin"/>
                </w:r>
                <w:r w:rsidRPr="00DE3E35">
                  <w:rPr>
                    <w:rFonts w:ascii="Times New Roman" w:hAnsi="Times New Roman" w:cs="Times New Roman"/>
                    <w:sz w:val="20"/>
                    <w:szCs w:val="20"/>
                  </w:rPr>
                  <w:instrText xml:space="preserve"> FILENAME   \* MERGEFORMAT </w:instrText>
                </w:r>
                <w:r w:rsidRPr="00DE3E35">
                  <w:rPr>
                    <w:rFonts w:ascii="Times New Roman" w:hAnsi="Times New Roman" w:cs="Times New Roman"/>
                    <w:sz w:val="20"/>
                    <w:szCs w:val="20"/>
                  </w:rPr>
                  <w:fldChar w:fldCharType="separate"/>
                </w:r>
                <w:r w:rsidR="007F6C9B">
                  <w:rPr>
                    <w:rFonts w:ascii="Times New Roman" w:hAnsi="Times New Roman" w:cs="Times New Roman"/>
                    <w:noProof/>
                    <w:sz w:val="20"/>
                    <w:szCs w:val="20"/>
                  </w:rPr>
                  <w:t>AiManot_200918_MK416_lab2.docx</w:t>
                </w:r>
                <w:r w:rsidRPr="00DE3E35">
                  <w:rPr>
                    <w:rFonts w:ascii="Times New Roman" w:hAnsi="Times New Roman" w:cs="Times New Roman"/>
                    <w:sz w:val="20"/>
                    <w:szCs w:val="20"/>
                  </w:rPr>
                  <w:fldChar w:fldCharType="end"/>
                </w:r>
                <w:r>
                  <w:rPr>
                    <w:rFonts w:ascii="Times New Roman" w:hAnsi="Times New Roman" w:cs="Times New Roman"/>
                    <w:sz w:val="20"/>
                    <w:szCs w:val="20"/>
                  </w:rPr>
                  <w:t>416</w:t>
                </w:r>
                <w:r w:rsidR="00D670EB">
                  <w:rPr>
                    <w:rFonts w:ascii="Times New Roman" w:hAnsi="Times New Roman" w:cs="Times New Roman"/>
                    <w:sz w:val="20"/>
                    <w:szCs w:val="20"/>
                  </w:rPr>
                  <w:tab/>
                </w:r>
                <w:r w:rsidR="00D670EB">
                  <w:rPr>
                    <w:rFonts w:ascii="Times New Roman" w:hAnsi="Times New Roman" w:cs="Times New Roman"/>
                    <w:sz w:val="20"/>
                    <w:szCs w:val="20"/>
                  </w:rPr>
                  <w:tab/>
                </w:r>
              </w:p>
              <w:p w:rsidR="00DE3E35" w:rsidRPr="00DE3E35" w:rsidRDefault="00E04F04" w:rsidP="008C182B">
                <w:pPr>
                  <w:pStyle w:val="Footer"/>
                  <w:rPr>
                    <w:rFonts w:ascii="Times New Roman" w:hAnsi="Times New Roman" w:cs="Times New Roman"/>
                    <w:noProof/>
                    <w:sz w:val="20"/>
                    <w:szCs w:val="20"/>
                  </w:rPr>
                </w:pPr>
              </w:p>
            </w:sdtContent>
          </w:sdt>
        </w:sdtContent>
      </w:sdt>
      <w:p w:rsidR="00B10702" w:rsidRPr="00DE3E35" w:rsidRDefault="00B60BF3" w:rsidP="00DE3E35">
        <w:pPr>
          <w:pStyle w:val="Footer"/>
          <w:jc w:val="right"/>
          <w:rPr>
            <w:rFonts w:ascii="Times New Roman" w:hAnsi="Times New Roman" w:cs="Times New Roman"/>
            <w:sz w:val="20"/>
            <w:szCs w:val="20"/>
          </w:rPr>
        </w:pPr>
        <w:r w:rsidRPr="00DE3E35">
          <w:rPr>
            <w:rFonts w:ascii="Times New Roman" w:hAnsi="Times New Roman" w:cs="Times New Roman"/>
            <w:sz w:val="20"/>
            <w:szCs w:val="20"/>
          </w:rPr>
          <w:fldChar w:fldCharType="begin"/>
        </w:r>
        <w:r w:rsidRPr="00DE3E35">
          <w:rPr>
            <w:rFonts w:ascii="Times New Roman" w:hAnsi="Times New Roman" w:cs="Times New Roman"/>
            <w:sz w:val="20"/>
            <w:szCs w:val="20"/>
          </w:rPr>
          <w:instrText xml:space="preserve"> PAGE   \* MERGEFORMAT </w:instrText>
        </w:r>
        <w:r w:rsidRPr="00DE3E35">
          <w:rPr>
            <w:rFonts w:ascii="Times New Roman" w:hAnsi="Times New Roman" w:cs="Times New Roman"/>
            <w:sz w:val="20"/>
            <w:szCs w:val="20"/>
          </w:rPr>
          <w:fldChar w:fldCharType="separate"/>
        </w:r>
        <w:r w:rsidR="00E04F04">
          <w:rPr>
            <w:rFonts w:ascii="Times New Roman" w:hAnsi="Times New Roman" w:cs="Times New Roman"/>
            <w:noProof/>
            <w:sz w:val="20"/>
            <w:szCs w:val="20"/>
          </w:rPr>
          <w:t>3</w:t>
        </w:r>
        <w:r w:rsidRPr="00DE3E35">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092453"/>
      <w:docPartObj>
        <w:docPartGallery w:val="Page Numbers (Bottom of Page)"/>
        <w:docPartUnique/>
      </w:docPartObj>
    </w:sdtPr>
    <w:sdtEndPr>
      <w:rPr>
        <w:rFonts w:ascii="Times New Roman" w:hAnsi="Times New Roman" w:cs="Times New Roman"/>
        <w:noProof/>
        <w:sz w:val="20"/>
        <w:szCs w:val="20"/>
      </w:rPr>
    </w:sdtEndPr>
    <w:sdtContent>
      <w:p w:rsidR="00DE3E35" w:rsidRPr="00DE3E35" w:rsidRDefault="00B60BF3" w:rsidP="00DE3E35">
        <w:pPr>
          <w:pStyle w:val="Footer"/>
          <w:rPr>
            <w:rFonts w:ascii="Times New Roman" w:hAnsi="Times New Roman" w:cs="Times New Roman"/>
            <w:sz w:val="20"/>
            <w:szCs w:val="20"/>
          </w:rPr>
        </w:pPr>
        <w:r w:rsidRPr="00DE3E35">
          <w:rPr>
            <w:rFonts w:ascii="Times New Roman" w:hAnsi="Times New Roman" w:cs="Times New Roman"/>
            <w:sz w:val="20"/>
            <w:szCs w:val="20"/>
          </w:rPr>
          <w:fldChar w:fldCharType="begin"/>
        </w:r>
        <w:r w:rsidRPr="00DE3E35">
          <w:rPr>
            <w:rFonts w:ascii="Times New Roman" w:hAnsi="Times New Roman" w:cs="Times New Roman"/>
            <w:sz w:val="20"/>
            <w:szCs w:val="20"/>
          </w:rPr>
          <w:instrText xml:space="preserve"> FILENAME   \* MERGEFORMAT </w:instrText>
        </w:r>
        <w:r w:rsidRPr="00DE3E35">
          <w:rPr>
            <w:rFonts w:ascii="Times New Roman" w:hAnsi="Times New Roman" w:cs="Times New Roman"/>
            <w:sz w:val="20"/>
            <w:szCs w:val="20"/>
          </w:rPr>
          <w:fldChar w:fldCharType="separate"/>
        </w:r>
        <w:r w:rsidR="007F6C9B">
          <w:rPr>
            <w:rFonts w:ascii="Times New Roman" w:hAnsi="Times New Roman" w:cs="Times New Roman"/>
            <w:noProof/>
            <w:sz w:val="20"/>
            <w:szCs w:val="20"/>
          </w:rPr>
          <w:t>AiManot_200918_MK416_lab2.docx</w:t>
        </w:r>
        <w:r w:rsidRPr="00DE3E35">
          <w:rPr>
            <w:rFonts w:ascii="Times New Roman" w:hAnsi="Times New Roman" w:cs="Times New Roman"/>
            <w:sz w:val="20"/>
            <w:szCs w:val="20"/>
          </w:rPr>
          <w:fldChar w:fldCharType="end"/>
        </w:r>
        <w:r w:rsidR="008C182B">
          <w:rPr>
            <w:rFonts w:ascii="Times New Roman" w:hAnsi="Times New Roman" w:cs="Times New Roman"/>
            <w:sz w:val="20"/>
            <w:szCs w:val="20"/>
          </w:rPr>
          <w:t>416</w:t>
        </w:r>
      </w:p>
      <w:p w:rsidR="000D6A02" w:rsidRPr="00DE3E35" w:rsidRDefault="00E04F04" w:rsidP="00DE3E35">
        <w:pPr>
          <w:pStyle w:val="Footer"/>
          <w:jc w:val="right"/>
          <w:rPr>
            <w:rFonts w:ascii="Times New Roman" w:hAnsi="Times New Roman" w:cs="Times New Roman"/>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BBE" w:rsidRDefault="00B30BBE" w:rsidP="008C182B">
      <w:pPr>
        <w:spacing w:after="0" w:line="240" w:lineRule="auto"/>
      </w:pPr>
      <w:r>
        <w:separator/>
      </w:r>
    </w:p>
  </w:footnote>
  <w:footnote w:type="continuationSeparator" w:id="0">
    <w:p w:rsidR="00B30BBE" w:rsidRDefault="00B30BBE" w:rsidP="008C1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C9B" w:rsidRDefault="007F6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C9B" w:rsidRDefault="007F6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C9B" w:rsidRDefault="007F6C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11"/>
    <w:rsid w:val="0002048B"/>
    <w:rsid w:val="000950CF"/>
    <w:rsid w:val="000B23FE"/>
    <w:rsid w:val="000C7074"/>
    <w:rsid w:val="000F2368"/>
    <w:rsid w:val="0012071B"/>
    <w:rsid w:val="0017239F"/>
    <w:rsid w:val="00211885"/>
    <w:rsid w:val="002169E4"/>
    <w:rsid w:val="00246E36"/>
    <w:rsid w:val="00262531"/>
    <w:rsid w:val="0027377E"/>
    <w:rsid w:val="00355BC0"/>
    <w:rsid w:val="00355D53"/>
    <w:rsid w:val="00381F15"/>
    <w:rsid w:val="003B18B1"/>
    <w:rsid w:val="003E337D"/>
    <w:rsid w:val="003E4577"/>
    <w:rsid w:val="004035BE"/>
    <w:rsid w:val="004141BC"/>
    <w:rsid w:val="00481DCE"/>
    <w:rsid w:val="004A4E78"/>
    <w:rsid w:val="004E277F"/>
    <w:rsid w:val="005044EF"/>
    <w:rsid w:val="005C4372"/>
    <w:rsid w:val="005E42BF"/>
    <w:rsid w:val="00661238"/>
    <w:rsid w:val="00666111"/>
    <w:rsid w:val="00670D05"/>
    <w:rsid w:val="006A30C0"/>
    <w:rsid w:val="006B60B0"/>
    <w:rsid w:val="00702CDD"/>
    <w:rsid w:val="00703C58"/>
    <w:rsid w:val="00703C99"/>
    <w:rsid w:val="0075357C"/>
    <w:rsid w:val="00785F87"/>
    <w:rsid w:val="007970DD"/>
    <w:rsid w:val="007A0A8F"/>
    <w:rsid w:val="007E2C72"/>
    <w:rsid w:val="007F6C9B"/>
    <w:rsid w:val="008C182B"/>
    <w:rsid w:val="008E0EFF"/>
    <w:rsid w:val="008F746A"/>
    <w:rsid w:val="00986A92"/>
    <w:rsid w:val="009B556F"/>
    <w:rsid w:val="00A06D52"/>
    <w:rsid w:val="00A910FB"/>
    <w:rsid w:val="00B22618"/>
    <w:rsid w:val="00B30BBE"/>
    <w:rsid w:val="00B54CF0"/>
    <w:rsid w:val="00B60BF3"/>
    <w:rsid w:val="00B63DE7"/>
    <w:rsid w:val="00BB42FD"/>
    <w:rsid w:val="00BD365F"/>
    <w:rsid w:val="00BE0862"/>
    <w:rsid w:val="00CA1201"/>
    <w:rsid w:val="00D0320E"/>
    <w:rsid w:val="00D30873"/>
    <w:rsid w:val="00D574E0"/>
    <w:rsid w:val="00D670EB"/>
    <w:rsid w:val="00D76B27"/>
    <w:rsid w:val="00D95A0F"/>
    <w:rsid w:val="00E039C6"/>
    <w:rsid w:val="00E04F04"/>
    <w:rsid w:val="00E658C4"/>
    <w:rsid w:val="00E923A7"/>
    <w:rsid w:val="00EB0D5D"/>
    <w:rsid w:val="00F02FF3"/>
    <w:rsid w:val="00FF5C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2F62B18-6C51-41BE-BF60-6AF0A953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11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61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6111"/>
    <w:rPr>
      <w:lang w:val="en-US"/>
    </w:rPr>
  </w:style>
  <w:style w:type="table" w:styleId="TableGrid">
    <w:name w:val="Table Grid"/>
    <w:basedOn w:val="TableNormal"/>
    <w:rsid w:val="0066611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18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182B"/>
    <w:rPr>
      <w:lang w:val="en-US"/>
    </w:rPr>
  </w:style>
  <w:style w:type="paragraph" w:styleId="BalloonText">
    <w:name w:val="Balloon Text"/>
    <w:basedOn w:val="Normal"/>
    <w:link w:val="BalloonTextChar"/>
    <w:uiPriority w:val="99"/>
    <w:semiHidden/>
    <w:unhideWhenUsed/>
    <w:rsid w:val="00FF5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C8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4EF33-A91A-4564-A004-B77DC0AB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3080</Words>
  <Characters>1756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Krastina-Paegle</dc:creator>
  <cp:keywords/>
  <dc:description/>
  <cp:lastModifiedBy>Biruta Kleina</cp:lastModifiedBy>
  <cp:revision>6</cp:revision>
  <dcterms:created xsi:type="dcterms:W3CDTF">2018-09-28T08:31:00Z</dcterms:created>
  <dcterms:modified xsi:type="dcterms:W3CDTF">2018-10-02T10:48:00Z</dcterms:modified>
</cp:coreProperties>
</file>