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63E44" w:rsidP="00B73DEB" w14:paraId="1A272C84"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p w:rsidR="00E5323B" w:rsidRPr="004D2C68" w:rsidP="00B73DEB" w14:paraId="473E83E9" w14:textId="04505DB2">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4D2C68">
        <w:rPr>
          <w:rFonts w:ascii="Times New Roman" w:eastAsia="Times New Roman" w:hAnsi="Times New Roman" w:cs="Times New Roman"/>
          <w:b/>
          <w:bCs/>
          <w:sz w:val="28"/>
          <w:szCs w:val="28"/>
          <w:lang w:eastAsia="lv-LV"/>
        </w:rPr>
        <w:t>Ministru kabineta noteikumu projekta</w:t>
      </w:r>
      <w:r w:rsidR="00FD414B">
        <w:rPr>
          <w:rFonts w:ascii="Times New Roman" w:eastAsia="Times New Roman" w:hAnsi="Times New Roman" w:cs="Times New Roman"/>
          <w:b/>
          <w:bCs/>
          <w:sz w:val="28"/>
          <w:szCs w:val="28"/>
          <w:lang w:eastAsia="lv-LV"/>
        </w:rPr>
        <w:t xml:space="preserve"> “</w:t>
      </w:r>
      <w:r w:rsidRPr="00404307" w:rsidR="00404307">
        <w:rPr>
          <w:rFonts w:ascii="Times New Roman" w:eastAsia="Times New Roman" w:hAnsi="Times New Roman" w:cs="Times New Roman"/>
          <w:b/>
          <w:bCs/>
          <w:sz w:val="28"/>
          <w:szCs w:val="28"/>
          <w:lang w:eastAsia="lv-LV"/>
        </w:rPr>
        <w:t>Grozījumi Ministru kabineta 2011</w:t>
      </w:r>
      <w:r w:rsidR="002B280A">
        <w:rPr>
          <w:rFonts w:ascii="Times New Roman" w:eastAsia="Times New Roman" w:hAnsi="Times New Roman" w:cs="Times New Roman"/>
          <w:b/>
          <w:bCs/>
          <w:sz w:val="28"/>
          <w:szCs w:val="28"/>
          <w:lang w:eastAsia="lv-LV"/>
        </w:rPr>
        <w:t>.g</w:t>
      </w:r>
      <w:r w:rsidRPr="00404307" w:rsidR="00404307">
        <w:rPr>
          <w:rFonts w:ascii="Times New Roman" w:eastAsia="Times New Roman" w:hAnsi="Times New Roman" w:cs="Times New Roman"/>
          <w:b/>
          <w:bCs/>
          <w:sz w:val="28"/>
          <w:szCs w:val="28"/>
          <w:lang w:eastAsia="lv-LV"/>
        </w:rPr>
        <w:t>ada 5</w:t>
      </w:r>
      <w:r w:rsidR="00DF09DF">
        <w:rPr>
          <w:rFonts w:ascii="Times New Roman" w:eastAsia="Times New Roman" w:hAnsi="Times New Roman" w:cs="Times New Roman"/>
          <w:b/>
          <w:bCs/>
          <w:sz w:val="28"/>
          <w:szCs w:val="28"/>
          <w:lang w:eastAsia="lv-LV"/>
        </w:rPr>
        <w:t>.j</w:t>
      </w:r>
      <w:r w:rsidRPr="00404307" w:rsidR="00404307">
        <w:rPr>
          <w:rFonts w:ascii="Times New Roman" w:eastAsia="Times New Roman" w:hAnsi="Times New Roman" w:cs="Times New Roman"/>
          <w:b/>
          <w:bCs/>
          <w:sz w:val="28"/>
          <w:szCs w:val="28"/>
          <w:lang w:eastAsia="lv-LV"/>
        </w:rPr>
        <w:t>ūlija noteikumos Nr.545 “Noteikumi par biodegvielu un bioloģisko šķidro kurināmo ilgtspējas kritērijiem, to ieviešanas mehānismu un uzraudzības un kontroles kārtību”</w:t>
      </w:r>
      <w:r w:rsidRPr="004D2C68">
        <w:rPr>
          <w:rFonts w:ascii="Times New Roman" w:eastAsia="Times New Roman" w:hAnsi="Times New Roman" w:cs="Times New Roman"/>
          <w:b/>
          <w:bCs/>
          <w:sz w:val="28"/>
          <w:szCs w:val="28"/>
          <w:lang w:eastAsia="lv-LV"/>
        </w:rPr>
        <w:t>” sākotnējās ietekmes novērtējuma ziņojums (anotācija)</w:t>
      </w:r>
    </w:p>
    <w:p w:rsidR="005704E0" w:rsidRPr="004D2C68" w:rsidP="00B73DEB" w14:paraId="69678DF8" w14:textId="77777777">
      <w:pPr>
        <w:shd w:val="clear" w:color="auto" w:fill="FFFFFF"/>
        <w:spacing w:after="0" w:line="240" w:lineRule="auto"/>
        <w:contextualSpacing/>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86"/>
        <w:gridCol w:w="6369"/>
      </w:tblGrid>
      <w:tr w14:paraId="6401D0E0" w14:textId="77777777" w:rsidTr="23A3BC5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D2C68" w:rsidP="00B73DEB" w14:paraId="44574BC0"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Tiesību akta projekta anotācijas kopsavilkums</w:t>
            </w:r>
          </w:p>
        </w:tc>
      </w:tr>
      <w:tr w14:paraId="0FCFD487" w14:textId="77777777" w:rsidTr="23A3BC51">
        <w:tblPrEx>
          <w:tblW w:w="5000" w:type="pct"/>
          <w:tblCellSpacing w:w="15" w:type="dxa"/>
          <w:tblCellMar>
            <w:top w:w="30" w:type="dxa"/>
            <w:left w:w="30" w:type="dxa"/>
            <w:bottom w:w="30" w:type="dxa"/>
            <w:right w:w="30" w:type="dxa"/>
          </w:tblCellMar>
          <w:tblLook w:val="04A0"/>
        </w:tblPrEx>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E5323B" w:rsidRPr="004D2C68" w:rsidP="00B73DEB" w14:paraId="34B71032" w14:textId="1E18FB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 xml:space="preserve">Mērķis, risinājums un </w:t>
            </w:r>
            <w:r w:rsidRPr="004D2C68" w:rsidR="00DE7A86">
              <w:rPr>
                <w:rFonts w:ascii="Times New Roman" w:eastAsia="Times New Roman" w:hAnsi="Times New Roman" w:cs="Times New Roman"/>
                <w:iCs/>
                <w:sz w:val="24"/>
                <w:szCs w:val="24"/>
                <w:lang w:eastAsia="lv-LV"/>
              </w:rPr>
              <w:t>projekta spēkā stāšanās laiks</w:t>
            </w:r>
          </w:p>
        </w:tc>
        <w:tc>
          <w:tcPr>
            <w:tcW w:w="3492" w:type="pct"/>
            <w:tcBorders>
              <w:top w:val="outset" w:sz="6" w:space="0" w:color="auto"/>
              <w:left w:val="outset" w:sz="6" w:space="0" w:color="auto"/>
              <w:bottom w:val="outset" w:sz="6" w:space="0" w:color="auto"/>
              <w:right w:val="outset" w:sz="6" w:space="0" w:color="auto"/>
            </w:tcBorders>
            <w:hideMark/>
          </w:tcPr>
          <w:p w:rsidR="00DE7A86" w:rsidRPr="004D2C68" w:rsidP="00B73DEB" w14:paraId="6F043771" w14:textId="597AFDD1">
            <w:pPr>
              <w:spacing w:after="0" w:line="240" w:lineRule="auto"/>
              <w:contextualSpacing/>
              <w:jc w:val="both"/>
              <w:rPr>
                <w:rFonts w:ascii="Times New Roman" w:hAnsi="Times New Roman" w:cs="Times New Roman"/>
                <w:sz w:val="24"/>
                <w:szCs w:val="24"/>
              </w:rPr>
            </w:pPr>
            <w:bookmarkStart w:id="0" w:name="_Hlk524353486"/>
            <w:bookmarkEnd w:id="0"/>
            <w:r>
              <w:rPr>
                <w:rFonts w:ascii="Times New Roman" w:hAnsi="Times New Roman" w:cs="Times New Roman"/>
                <w:sz w:val="24"/>
                <w:szCs w:val="24"/>
              </w:rPr>
              <w:t>Projekts šo jomu neskar.</w:t>
            </w:r>
          </w:p>
        </w:tc>
      </w:tr>
    </w:tbl>
    <w:p w:rsidR="00E5323B" w:rsidRPr="004D2C68" w:rsidP="00B73DEB" w14:paraId="3318F6DE"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106"/>
        <w:gridCol w:w="6367"/>
      </w:tblGrid>
      <w:tr w14:paraId="65A625F5" w14:textId="77777777" w:rsidTr="23A3BC5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B73DEB" w14:paraId="5FC3627C"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 Tiesību akta projekta izstrādes nepieciešamība</w:t>
            </w:r>
          </w:p>
        </w:tc>
      </w:tr>
      <w:tr w14:paraId="7FB6F25B" w14:textId="77777777" w:rsidTr="23A3BC5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B73DEB" w14:paraId="320B0BF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B73DEB" w14:paraId="6CD69BA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hideMark/>
          </w:tcPr>
          <w:p w:rsidR="00F50132" w:rsidRPr="004D2C68" w:rsidP="00B73DEB" w14:paraId="71B3B79B" w14:textId="007CA2A8">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Likum</w:t>
            </w:r>
            <w:r w:rsidR="00FE41BA">
              <w:rPr>
                <w:rFonts w:ascii="Times New Roman" w:hAnsi="Times New Roman" w:cs="Times New Roman"/>
                <w:sz w:val="24"/>
                <w:szCs w:val="24"/>
              </w:rPr>
              <w:t>projekta</w:t>
            </w:r>
            <w:r w:rsidRPr="004D2C68">
              <w:rPr>
                <w:rFonts w:ascii="Times New Roman" w:hAnsi="Times New Roman" w:cs="Times New Roman"/>
                <w:sz w:val="24"/>
                <w:szCs w:val="24"/>
              </w:rPr>
              <w:t xml:space="preserve"> </w:t>
            </w:r>
            <w:r w:rsidR="008D4071">
              <w:rPr>
                <w:rFonts w:ascii="Times New Roman" w:hAnsi="Times New Roman" w:cs="Times New Roman"/>
                <w:sz w:val="24"/>
                <w:szCs w:val="24"/>
              </w:rPr>
              <w:t>6.</w:t>
            </w:r>
            <w:r w:rsidR="00A34475">
              <w:rPr>
                <w:rFonts w:ascii="Times New Roman" w:hAnsi="Times New Roman" w:cs="Times New Roman"/>
                <w:sz w:val="24"/>
                <w:szCs w:val="24"/>
              </w:rPr>
              <w:t>panta trešā daļa</w:t>
            </w:r>
            <w:r w:rsidRPr="004D2C68">
              <w:rPr>
                <w:rFonts w:ascii="Times New Roman" w:hAnsi="Times New Roman" w:cs="Times New Roman"/>
                <w:sz w:val="24"/>
                <w:szCs w:val="24"/>
              </w:rPr>
              <w:t>.</w:t>
            </w:r>
          </w:p>
          <w:p w:rsidR="00021BAB" w:rsidP="00B73DEB" w14:paraId="75C96AAC" w14:textId="22A62364">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Ministru kabineta 2018</w:t>
            </w:r>
            <w:r w:rsidR="002B280A">
              <w:rPr>
                <w:rFonts w:ascii="Times New Roman" w:hAnsi="Times New Roman" w:cs="Times New Roman"/>
                <w:sz w:val="24"/>
                <w:szCs w:val="24"/>
              </w:rPr>
              <w:t>.g</w:t>
            </w:r>
            <w:r w:rsidRPr="004D2C68">
              <w:rPr>
                <w:rFonts w:ascii="Times New Roman" w:hAnsi="Times New Roman" w:cs="Times New Roman"/>
                <w:sz w:val="24"/>
                <w:szCs w:val="24"/>
              </w:rPr>
              <w:t xml:space="preserve">ada </w:t>
            </w:r>
            <w:r>
              <w:rPr>
                <w:rFonts w:ascii="Times New Roman" w:hAnsi="Times New Roman" w:cs="Times New Roman"/>
                <w:sz w:val="24"/>
                <w:szCs w:val="24"/>
              </w:rPr>
              <w:t>16</w:t>
            </w:r>
            <w:r w:rsidR="00DF09DF">
              <w:rPr>
                <w:rFonts w:ascii="Times New Roman" w:hAnsi="Times New Roman" w:cs="Times New Roman"/>
                <w:sz w:val="24"/>
                <w:szCs w:val="24"/>
              </w:rPr>
              <w:t>.j</w:t>
            </w:r>
            <w:r>
              <w:rPr>
                <w:rFonts w:ascii="Times New Roman" w:hAnsi="Times New Roman" w:cs="Times New Roman"/>
                <w:sz w:val="24"/>
                <w:szCs w:val="24"/>
              </w:rPr>
              <w:t xml:space="preserve">anvāra sēdes protokola </w:t>
            </w:r>
            <w:r w:rsidR="00056A3E">
              <w:rPr>
                <w:rFonts w:ascii="Times New Roman" w:hAnsi="Times New Roman" w:cs="Times New Roman"/>
                <w:sz w:val="24"/>
                <w:szCs w:val="24"/>
              </w:rPr>
              <w:t>Nr.</w:t>
            </w:r>
            <w:r>
              <w:rPr>
                <w:rFonts w:ascii="Times New Roman" w:hAnsi="Times New Roman" w:cs="Times New Roman"/>
                <w:sz w:val="24"/>
                <w:szCs w:val="24"/>
              </w:rPr>
              <w:t>3 26</w:t>
            </w:r>
            <w:r w:rsidRPr="004D2C68">
              <w:rPr>
                <w:rFonts w:ascii="Times New Roman" w:hAnsi="Times New Roman" w:cs="Times New Roman"/>
                <w:sz w:val="24"/>
                <w:szCs w:val="24"/>
              </w:rPr>
              <w:t xml:space="preserve">.§ </w:t>
            </w:r>
            <w:r>
              <w:rPr>
                <w:rFonts w:ascii="Times New Roman" w:hAnsi="Times New Roman" w:cs="Times New Roman"/>
                <w:sz w:val="24"/>
                <w:szCs w:val="24"/>
              </w:rPr>
              <w:t>“</w:t>
            </w:r>
            <w:r w:rsidRPr="00021BAB">
              <w:rPr>
                <w:rFonts w:ascii="Times New Roman" w:hAnsi="Times New Roman" w:cs="Times New Roman"/>
                <w:sz w:val="24"/>
                <w:szCs w:val="24"/>
              </w:rPr>
              <w:t>Latvijas Republikas nostājas projekts uz Eiropas Komisijas 2017.gada 22.novembra formālo paziņojumu pārkāpuma procedūras lietā Nr.2017/0533</w:t>
            </w:r>
            <w:r>
              <w:rPr>
                <w:rFonts w:ascii="Times New Roman" w:hAnsi="Times New Roman" w:cs="Times New Roman"/>
                <w:sz w:val="24"/>
                <w:szCs w:val="24"/>
              </w:rPr>
              <w:t>” 4.2. apakšpunkts.</w:t>
            </w:r>
          </w:p>
          <w:p w:rsidR="00D91D02" w:rsidP="00B73DEB" w14:paraId="3E53C469" w14:textId="4878B7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Ministru kabineta 2018</w:t>
            </w:r>
            <w:r w:rsidR="002B280A">
              <w:rPr>
                <w:rFonts w:ascii="Times New Roman" w:hAnsi="Times New Roman" w:cs="Times New Roman"/>
                <w:sz w:val="24"/>
                <w:szCs w:val="24"/>
              </w:rPr>
              <w:t>.g</w:t>
            </w:r>
            <w:r>
              <w:rPr>
                <w:rFonts w:ascii="Times New Roman" w:hAnsi="Times New Roman" w:cs="Times New Roman"/>
                <w:sz w:val="24"/>
                <w:szCs w:val="24"/>
              </w:rPr>
              <w:t xml:space="preserve">ada 27. marta sēdes protokola </w:t>
            </w:r>
            <w:r w:rsidR="00056A3E">
              <w:rPr>
                <w:rFonts w:ascii="Times New Roman" w:hAnsi="Times New Roman" w:cs="Times New Roman"/>
                <w:sz w:val="24"/>
                <w:szCs w:val="24"/>
              </w:rPr>
              <w:t>Nr.</w:t>
            </w:r>
            <w:r>
              <w:rPr>
                <w:rFonts w:ascii="Times New Roman" w:hAnsi="Times New Roman" w:cs="Times New Roman"/>
                <w:sz w:val="24"/>
                <w:szCs w:val="24"/>
              </w:rPr>
              <w:t>17 46.</w:t>
            </w:r>
            <w:r w:rsidRPr="004D2C68">
              <w:rPr>
                <w:rFonts w:ascii="Times New Roman" w:hAnsi="Times New Roman" w:cs="Times New Roman"/>
                <w:sz w:val="24"/>
                <w:szCs w:val="24"/>
              </w:rPr>
              <w:t>§</w:t>
            </w:r>
            <w:r>
              <w:rPr>
                <w:rFonts w:ascii="Times New Roman" w:hAnsi="Times New Roman" w:cs="Times New Roman"/>
                <w:sz w:val="24"/>
                <w:szCs w:val="24"/>
              </w:rPr>
              <w:t xml:space="preserve"> </w:t>
            </w:r>
            <w:r w:rsidRPr="004D2C68" w:rsidR="007829B0">
              <w:rPr>
                <w:rFonts w:ascii="Times New Roman" w:hAnsi="Times New Roman" w:cs="Times New Roman"/>
                <w:sz w:val="24"/>
                <w:szCs w:val="24"/>
              </w:rPr>
              <w:t xml:space="preserve">“Informatīvais ziņojums </w:t>
            </w:r>
            <w:r w:rsidRPr="004D2C68" w:rsidR="00FA5468">
              <w:rPr>
                <w:rFonts w:ascii="Times New Roman" w:hAnsi="Times New Roman" w:cs="Times New Roman"/>
                <w:sz w:val="24"/>
                <w:szCs w:val="24"/>
              </w:rPr>
              <w:t>“</w:t>
            </w:r>
            <w:r w:rsidRPr="004D2C68" w:rsidR="007829B0">
              <w:rPr>
                <w:rFonts w:ascii="Times New Roman" w:hAnsi="Times New Roman" w:cs="Times New Roman"/>
                <w:sz w:val="24"/>
                <w:szCs w:val="24"/>
              </w:rPr>
              <w:t>Par Latvijas kā Eiropas Savienības dalībvalsts saistību izpildi laika periodā līdz</w:t>
            </w:r>
            <w:r w:rsidRPr="004D2C68" w:rsidR="00F50132">
              <w:rPr>
                <w:rFonts w:ascii="Times New Roman" w:hAnsi="Times New Roman" w:cs="Times New Roman"/>
                <w:sz w:val="24"/>
                <w:szCs w:val="24"/>
              </w:rPr>
              <w:t xml:space="preserve"> </w:t>
            </w:r>
            <w:r w:rsidRPr="004D2C68" w:rsidR="007829B0">
              <w:rPr>
                <w:rFonts w:ascii="Times New Roman" w:hAnsi="Times New Roman" w:cs="Times New Roman"/>
                <w:sz w:val="24"/>
                <w:szCs w:val="24"/>
              </w:rPr>
              <w:t>2019</w:t>
            </w:r>
            <w:r w:rsidR="002B280A">
              <w:rPr>
                <w:rFonts w:ascii="Times New Roman" w:hAnsi="Times New Roman" w:cs="Times New Roman"/>
                <w:sz w:val="24"/>
                <w:szCs w:val="24"/>
              </w:rPr>
              <w:t>.g</w:t>
            </w:r>
            <w:r w:rsidRPr="004D2C68" w:rsidR="007829B0">
              <w:rPr>
                <w:rFonts w:ascii="Times New Roman" w:hAnsi="Times New Roman" w:cs="Times New Roman"/>
                <w:sz w:val="24"/>
                <w:szCs w:val="24"/>
              </w:rPr>
              <w:t>ada 1.februārim un par ierosinātajām (turpinātajām) pārkāpumu procedūru lietām pret Latviju laika periodā līdz 2018</w:t>
            </w:r>
            <w:r w:rsidR="002B280A">
              <w:rPr>
                <w:rFonts w:ascii="Times New Roman" w:hAnsi="Times New Roman" w:cs="Times New Roman"/>
                <w:sz w:val="24"/>
                <w:szCs w:val="24"/>
              </w:rPr>
              <w:t>.g</w:t>
            </w:r>
            <w:r w:rsidRPr="004D2C68" w:rsidR="007829B0">
              <w:rPr>
                <w:rFonts w:ascii="Times New Roman" w:hAnsi="Times New Roman" w:cs="Times New Roman"/>
                <w:sz w:val="24"/>
                <w:szCs w:val="24"/>
              </w:rPr>
              <w:t>ada 1.februārim</w:t>
            </w:r>
            <w:r w:rsidRPr="004D2C68" w:rsidR="00FA5468">
              <w:rPr>
                <w:rFonts w:ascii="Times New Roman" w:hAnsi="Times New Roman" w:cs="Times New Roman"/>
                <w:sz w:val="24"/>
                <w:szCs w:val="24"/>
              </w:rPr>
              <w:t>”</w:t>
            </w:r>
            <w:r>
              <w:rPr>
                <w:rFonts w:ascii="Times New Roman" w:hAnsi="Times New Roman" w:cs="Times New Roman"/>
                <w:sz w:val="24"/>
                <w:szCs w:val="24"/>
              </w:rPr>
              <w:t xml:space="preserve"> 3.1</w:t>
            </w:r>
            <w:r w:rsidRPr="004D2C68" w:rsidR="007829B0">
              <w:rPr>
                <w:rFonts w:ascii="Times New Roman" w:hAnsi="Times New Roman" w:cs="Times New Roman"/>
                <w:sz w:val="24"/>
                <w:szCs w:val="24"/>
              </w:rPr>
              <w:t>.apakšpunkts</w:t>
            </w:r>
            <w:r w:rsidRPr="004D2C68" w:rsidR="00F50132">
              <w:rPr>
                <w:rFonts w:ascii="Times New Roman" w:hAnsi="Times New Roman" w:cs="Times New Roman"/>
                <w:sz w:val="24"/>
                <w:szCs w:val="24"/>
              </w:rPr>
              <w:t>.</w:t>
            </w:r>
          </w:p>
          <w:p w:rsidR="009E69A4" w:rsidRPr="004D2C68" w:rsidP="00B73DEB" w14:paraId="0DA4A0BC" w14:textId="2C2EBE7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Konceptuālais</w:t>
            </w:r>
            <w:r w:rsidRPr="009E69A4">
              <w:rPr>
                <w:rFonts w:ascii="Times New Roman" w:hAnsi="Times New Roman" w:cs="Times New Roman"/>
                <w:sz w:val="24"/>
                <w:szCs w:val="24"/>
              </w:rPr>
              <w:t xml:space="preserve"> ziņojums</w:t>
            </w:r>
            <w:r>
              <w:rPr>
                <w:rFonts w:ascii="Times New Roman" w:hAnsi="Times New Roman" w:cs="Times New Roman"/>
                <w:sz w:val="24"/>
                <w:szCs w:val="24"/>
              </w:rPr>
              <w:t xml:space="preserve"> </w:t>
            </w:r>
            <w:r w:rsidR="000C1431">
              <w:rPr>
                <w:rFonts w:ascii="Times New Roman" w:hAnsi="Times New Roman" w:cs="Times New Roman"/>
                <w:sz w:val="24"/>
                <w:szCs w:val="24"/>
              </w:rPr>
              <w:t>“</w:t>
            </w:r>
            <w:r w:rsidRPr="009E69A4">
              <w:rPr>
                <w:rFonts w:ascii="Times New Roman" w:hAnsi="Times New Roman" w:cs="Times New Roman"/>
                <w:sz w:val="24"/>
                <w:szCs w:val="24"/>
              </w:rPr>
              <w:t>Par atjaunojamo energoresursu izmantošanu transporta sektorā</w:t>
            </w:r>
            <w:r w:rsidR="000C1431">
              <w:rPr>
                <w:rFonts w:ascii="Times New Roman" w:hAnsi="Times New Roman" w:cs="Times New Roman"/>
                <w:sz w:val="24"/>
                <w:szCs w:val="24"/>
              </w:rPr>
              <w:t>”</w:t>
            </w:r>
            <w:r>
              <w:rPr>
                <w:rFonts w:ascii="Times New Roman" w:hAnsi="Times New Roman" w:cs="Times New Roman"/>
                <w:sz w:val="24"/>
                <w:szCs w:val="24"/>
              </w:rPr>
              <w:t>, kas apstiprināts ar Ministru kabineta 2017</w:t>
            </w:r>
            <w:r w:rsidR="002B280A">
              <w:rPr>
                <w:rFonts w:ascii="Times New Roman" w:hAnsi="Times New Roman" w:cs="Times New Roman"/>
                <w:sz w:val="24"/>
                <w:szCs w:val="24"/>
              </w:rPr>
              <w:t>.g</w:t>
            </w:r>
            <w:r>
              <w:rPr>
                <w:rFonts w:ascii="Times New Roman" w:hAnsi="Times New Roman" w:cs="Times New Roman"/>
                <w:sz w:val="24"/>
                <w:szCs w:val="24"/>
              </w:rPr>
              <w:t>ada 21</w:t>
            </w:r>
            <w:r w:rsidR="00DF09DF">
              <w:rPr>
                <w:rFonts w:ascii="Times New Roman" w:hAnsi="Times New Roman" w:cs="Times New Roman"/>
                <w:sz w:val="24"/>
                <w:szCs w:val="24"/>
              </w:rPr>
              <w:t>.j</w:t>
            </w:r>
            <w:r>
              <w:rPr>
                <w:rFonts w:ascii="Times New Roman" w:hAnsi="Times New Roman" w:cs="Times New Roman"/>
                <w:sz w:val="24"/>
                <w:szCs w:val="24"/>
              </w:rPr>
              <w:t>ūlija rīkojumu Nr.379).</w:t>
            </w:r>
          </w:p>
        </w:tc>
      </w:tr>
      <w:tr w14:paraId="416657D3" w14:textId="77777777" w:rsidTr="23A3BC5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B73DEB" w14:paraId="287C97C1"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B73DEB" w14:paraId="7358647A" w14:textId="3B0536FF">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Borders>
              <w:top w:val="outset" w:sz="6" w:space="0" w:color="auto"/>
              <w:left w:val="outset" w:sz="6" w:space="0" w:color="auto"/>
              <w:bottom w:val="outset" w:sz="6" w:space="0" w:color="auto"/>
              <w:right w:val="outset" w:sz="6" w:space="0" w:color="auto"/>
            </w:tcBorders>
            <w:hideMark/>
          </w:tcPr>
          <w:p w:rsidR="00F50132" w:rsidRPr="004D2C68" w:rsidP="00B73DEB" w14:paraId="336C2711" w14:textId="219C525C">
            <w:pPr>
              <w:spacing w:after="0" w:line="240" w:lineRule="auto"/>
              <w:contextualSpacing/>
              <w:jc w:val="both"/>
              <w:rPr>
                <w:rFonts w:ascii="Times New Roman" w:hAnsi="Times New Roman" w:cs="Times New Roman"/>
                <w:sz w:val="24"/>
                <w:szCs w:val="24"/>
                <w:u w:val="single"/>
              </w:rPr>
            </w:pPr>
            <w:r w:rsidRPr="004D2C68">
              <w:rPr>
                <w:rFonts w:ascii="Times New Roman" w:hAnsi="Times New Roman" w:cs="Times New Roman"/>
                <w:sz w:val="24"/>
                <w:szCs w:val="24"/>
                <w:u w:val="single"/>
              </w:rPr>
              <w:t>Pašreizējā situācija un problēmas, kuru risināšanai tiesību akta projekts izstrādāts</w:t>
            </w:r>
          </w:p>
          <w:p w:rsidR="00021BAB" w:rsidP="00B73DEB" w14:paraId="4BF8E4EE" w14:textId="0DB6723C">
            <w:pPr>
              <w:spacing w:after="0" w:line="240" w:lineRule="auto"/>
              <w:contextualSpacing/>
              <w:jc w:val="both"/>
              <w:rPr>
                <w:rFonts w:ascii="Times New Roman" w:hAnsi="Times New Roman"/>
                <w:sz w:val="24"/>
                <w:szCs w:val="24"/>
              </w:rPr>
            </w:pPr>
            <w:r w:rsidRPr="23A3BC51">
              <w:rPr>
                <w:rFonts w:ascii="Times New Roman" w:hAnsi="Times New Roman" w:cs="Times New Roman"/>
                <w:sz w:val="24"/>
                <w:szCs w:val="24"/>
              </w:rPr>
              <w:t>Direktīvas Nr.2015/1513 prasību ieviešanas termiņš iestājās 2017</w:t>
            </w:r>
            <w:r w:rsidR="002B280A">
              <w:rPr>
                <w:rFonts w:ascii="Times New Roman" w:hAnsi="Times New Roman" w:cs="Times New Roman"/>
                <w:sz w:val="24"/>
                <w:szCs w:val="24"/>
              </w:rPr>
              <w:t>.g</w:t>
            </w:r>
            <w:r w:rsidRPr="23A3BC51">
              <w:rPr>
                <w:rFonts w:ascii="Times New Roman" w:hAnsi="Times New Roman" w:cs="Times New Roman"/>
                <w:sz w:val="24"/>
                <w:szCs w:val="24"/>
              </w:rPr>
              <w:t xml:space="preserve">ada 10. septembrī, bet Latvijas tiesību aktos nav pārņemtas Direktīvas </w:t>
            </w:r>
            <w:r w:rsidR="00056A3E">
              <w:rPr>
                <w:rFonts w:ascii="Times New Roman" w:hAnsi="Times New Roman" w:cs="Times New Roman"/>
                <w:sz w:val="24"/>
                <w:szCs w:val="24"/>
              </w:rPr>
              <w:t>Nr.</w:t>
            </w:r>
            <w:r w:rsidRPr="23A3BC51">
              <w:rPr>
                <w:rFonts w:ascii="Times New Roman" w:hAnsi="Times New Roman" w:cs="Times New Roman"/>
                <w:sz w:val="24"/>
                <w:szCs w:val="24"/>
              </w:rPr>
              <w:t xml:space="preserve">2015/1513 normas, par ko Eiropas Komisija ir ierosinājusi pret Latviju pārkāpumu </w:t>
            </w:r>
            <w:r w:rsidRPr="23A3BC51">
              <w:rPr>
                <w:rFonts w:ascii="Times New Roman" w:hAnsi="Times New Roman"/>
                <w:sz w:val="24"/>
                <w:szCs w:val="24"/>
              </w:rPr>
              <w:t xml:space="preserve">procedūras lietu </w:t>
            </w:r>
            <w:r w:rsidR="00056A3E">
              <w:rPr>
                <w:rFonts w:ascii="Times New Roman" w:hAnsi="Times New Roman"/>
                <w:sz w:val="24"/>
                <w:szCs w:val="24"/>
              </w:rPr>
              <w:t>Nr.</w:t>
            </w:r>
            <w:r w:rsidRPr="23A3BC51">
              <w:rPr>
                <w:rFonts w:ascii="Times New Roman" w:hAnsi="Times New Roman"/>
                <w:sz w:val="24"/>
                <w:szCs w:val="24"/>
              </w:rPr>
              <w:t xml:space="preserve">2017/0533. Formālais paziņojums šajā pārkāpuma procedūras lietā </w:t>
            </w:r>
            <w:r w:rsidR="00056A3E">
              <w:rPr>
                <w:rFonts w:ascii="Times New Roman" w:hAnsi="Times New Roman"/>
                <w:sz w:val="24"/>
                <w:szCs w:val="24"/>
              </w:rPr>
              <w:t>Nr.</w:t>
            </w:r>
            <w:r w:rsidRPr="23A3BC51">
              <w:rPr>
                <w:rFonts w:ascii="Times New Roman" w:hAnsi="Times New Roman"/>
                <w:sz w:val="24"/>
                <w:szCs w:val="24"/>
              </w:rPr>
              <w:t>2017/0533 saņemts 2017</w:t>
            </w:r>
            <w:r w:rsidR="002B280A">
              <w:rPr>
                <w:rFonts w:ascii="Times New Roman" w:hAnsi="Times New Roman"/>
                <w:sz w:val="24"/>
                <w:szCs w:val="24"/>
              </w:rPr>
              <w:t>.g</w:t>
            </w:r>
            <w:r w:rsidRPr="23A3BC51">
              <w:rPr>
                <w:rFonts w:ascii="Times New Roman" w:hAnsi="Times New Roman"/>
                <w:sz w:val="24"/>
                <w:szCs w:val="24"/>
              </w:rPr>
              <w:t>ada 22.novembrī, uz kuru Latvija iesniedza nostāju 2018</w:t>
            </w:r>
            <w:r w:rsidR="002B280A">
              <w:rPr>
                <w:rFonts w:ascii="Times New Roman" w:hAnsi="Times New Roman"/>
                <w:sz w:val="24"/>
                <w:szCs w:val="24"/>
              </w:rPr>
              <w:t>.g</w:t>
            </w:r>
            <w:r w:rsidRPr="23A3BC51">
              <w:rPr>
                <w:rFonts w:ascii="Times New Roman" w:hAnsi="Times New Roman"/>
                <w:sz w:val="24"/>
                <w:szCs w:val="24"/>
              </w:rPr>
              <w:t>ada 16.janvārī.</w:t>
            </w:r>
          </w:p>
          <w:p w:rsidR="23A3BC51" w:rsidP="00B73DEB" w14:paraId="003BBECF" w14:textId="64E47B70">
            <w:pPr>
              <w:spacing w:after="0" w:line="240" w:lineRule="auto"/>
              <w:contextualSpacing/>
              <w:jc w:val="both"/>
              <w:rPr>
                <w:rFonts w:ascii="Times New Roman" w:hAnsi="Times New Roman"/>
                <w:sz w:val="24"/>
                <w:szCs w:val="24"/>
              </w:rPr>
            </w:pPr>
            <w:r w:rsidRPr="23A3BC51">
              <w:rPr>
                <w:rFonts w:ascii="Times New Roman" w:hAnsi="Times New Roman"/>
                <w:sz w:val="24"/>
                <w:szCs w:val="24"/>
              </w:rPr>
              <w:t>Direktīva Nr.2015/1513 nosaka papildu prasības biodegvielu ilgtspējai un atjaunojamo energoresursu 10% mērķa sasniegšanai, kur viena no direktīvas prasībām ir līdz 2017</w:t>
            </w:r>
            <w:r w:rsidR="002B280A">
              <w:rPr>
                <w:rFonts w:ascii="Times New Roman" w:hAnsi="Times New Roman"/>
                <w:sz w:val="24"/>
                <w:szCs w:val="24"/>
              </w:rPr>
              <w:t>.g</w:t>
            </w:r>
            <w:r w:rsidRPr="23A3BC51">
              <w:rPr>
                <w:rFonts w:ascii="Times New Roman" w:hAnsi="Times New Roman"/>
                <w:sz w:val="24"/>
                <w:szCs w:val="24"/>
              </w:rPr>
              <w:t xml:space="preserve">ada 6.aprīlim noteikt </w:t>
            </w:r>
            <w:r w:rsidRPr="23A3BC51">
              <w:rPr>
                <w:rFonts w:ascii="Times New Roman" w:hAnsi="Times New Roman"/>
                <w:sz w:val="24"/>
                <w:szCs w:val="24"/>
              </w:rPr>
              <w:t>apakšmērķi</w:t>
            </w:r>
            <w:r w:rsidRPr="23A3BC51">
              <w:rPr>
                <w:rFonts w:ascii="Times New Roman" w:hAnsi="Times New Roman"/>
                <w:sz w:val="24"/>
                <w:szCs w:val="24"/>
              </w:rPr>
              <w:t xml:space="preserve"> t.s. modernajām biodegvielām (</w:t>
            </w:r>
            <w:r w:rsidRPr="00AC05BB">
              <w:rPr>
                <w:rFonts w:ascii="Times New Roman" w:hAnsi="Times New Roman"/>
                <w:i/>
                <w:sz w:val="24"/>
                <w:szCs w:val="24"/>
              </w:rPr>
              <w:t>advanced</w:t>
            </w:r>
            <w:r w:rsidRPr="00AC05BB">
              <w:rPr>
                <w:rFonts w:ascii="Times New Roman" w:hAnsi="Times New Roman"/>
                <w:i/>
                <w:sz w:val="24"/>
                <w:szCs w:val="24"/>
              </w:rPr>
              <w:t xml:space="preserve"> </w:t>
            </w:r>
            <w:r w:rsidRPr="00AC05BB">
              <w:rPr>
                <w:rFonts w:ascii="Times New Roman" w:hAnsi="Times New Roman"/>
                <w:i/>
                <w:sz w:val="24"/>
                <w:szCs w:val="24"/>
              </w:rPr>
              <w:t>biofuels</w:t>
            </w:r>
            <w:r w:rsidRPr="23A3BC51">
              <w:rPr>
                <w:rFonts w:ascii="Times New Roman" w:hAnsi="Times New Roman"/>
                <w:sz w:val="24"/>
                <w:szCs w:val="24"/>
              </w:rPr>
              <w:t>), kurām ir būtiski mazāki ilgtspējas riski. Šādu virzību uzsver arī 2016</w:t>
            </w:r>
            <w:r w:rsidR="002B280A">
              <w:rPr>
                <w:rFonts w:ascii="Times New Roman" w:hAnsi="Times New Roman"/>
                <w:sz w:val="24"/>
                <w:szCs w:val="24"/>
              </w:rPr>
              <w:t>.g</w:t>
            </w:r>
            <w:r w:rsidRPr="23A3BC51">
              <w:rPr>
                <w:rFonts w:ascii="Times New Roman" w:hAnsi="Times New Roman"/>
                <w:sz w:val="24"/>
                <w:szCs w:val="24"/>
              </w:rPr>
              <w:t xml:space="preserve">ada jūlijā publicētā Eiropas </w:t>
            </w:r>
            <w:r w:rsidRPr="23A3BC51">
              <w:rPr>
                <w:rFonts w:ascii="Times New Roman" w:hAnsi="Times New Roman"/>
                <w:sz w:val="24"/>
                <w:szCs w:val="24"/>
              </w:rPr>
              <w:t>mazemisiju</w:t>
            </w:r>
            <w:r w:rsidRPr="23A3BC51">
              <w:rPr>
                <w:rFonts w:ascii="Times New Roman" w:hAnsi="Times New Roman"/>
                <w:sz w:val="24"/>
                <w:szCs w:val="24"/>
              </w:rPr>
              <w:t xml:space="preserve"> mobilitātes stratēģija (</w:t>
            </w:r>
            <w:r w:rsidRPr="00AC05BB">
              <w:rPr>
                <w:rFonts w:ascii="Times New Roman" w:hAnsi="Times New Roman"/>
                <w:i/>
                <w:sz w:val="24"/>
                <w:szCs w:val="24"/>
              </w:rPr>
              <w:t xml:space="preserve">A </w:t>
            </w:r>
            <w:r w:rsidRPr="00AC05BB">
              <w:rPr>
                <w:rFonts w:ascii="Times New Roman" w:hAnsi="Times New Roman"/>
                <w:i/>
                <w:sz w:val="24"/>
                <w:szCs w:val="24"/>
              </w:rPr>
              <w:t>European</w:t>
            </w:r>
            <w:r w:rsidRPr="00AC05BB">
              <w:rPr>
                <w:rFonts w:ascii="Times New Roman" w:hAnsi="Times New Roman"/>
                <w:i/>
                <w:sz w:val="24"/>
                <w:szCs w:val="24"/>
              </w:rPr>
              <w:t xml:space="preserve"> </w:t>
            </w:r>
            <w:r w:rsidRPr="00AC05BB">
              <w:rPr>
                <w:rFonts w:ascii="Times New Roman" w:hAnsi="Times New Roman"/>
                <w:i/>
                <w:sz w:val="24"/>
                <w:szCs w:val="24"/>
              </w:rPr>
              <w:t>Strategy</w:t>
            </w:r>
            <w:r w:rsidRPr="00AC05BB">
              <w:rPr>
                <w:rFonts w:ascii="Times New Roman" w:hAnsi="Times New Roman"/>
                <w:i/>
                <w:sz w:val="24"/>
                <w:szCs w:val="24"/>
              </w:rPr>
              <w:t xml:space="preserve"> </w:t>
            </w:r>
            <w:r w:rsidRPr="00AC05BB">
              <w:rPr>
                <w:rFonts w:ascii="Times New Roman" w:hAnsi="Times New Roman"/>
                <w:i/>
                <w:sz w:val="24"/>
                <w:szCs w:val="24"/>
              </w:rPr>
              <w:t>for</w:t>
            </w:r>
            <w:r w:rsidRPr="00AC05BB">
              <w:rPr>
                <w:rFonts w:ascii="Times New Roman" w:hAnsi="Times New Roman"/>
                <w:i/>
                <w:sz w:val="24"/>
                <w:szCs w:val="24"/>
              </w:rPr>
              <w:t xml:space="preserve"> </w:t>
            </w:r>
            <w:r w:rsidRPr="00AC05BB">
              <w:rPr>
                <w:rFonts w:ascii="Times New Roman" w:hAnsi="Times New Roman"/>
                <w:i/>
                <w:sz w:val="24"/>
                <w:szCs w:val="24"/>
              </w:rPr>
              <w:t>Low-Emission</w:t>
            </w:r>
            <w:r w:rsidRPr="00AC05BB">
              <w:rPr>
                <w:rFonts w:ascii="Times New Roman" w:hAnsi="Times New Roman"/>
                <w:i/>
                <w:sz w:val="24"/>
                <w:szCs w:val="24"/>
              </w:rPr>
              <w:t xml:space="preserve"> </w:t>
            </w:r>
            <w:r w:rsidRPr="00AC05BB">
              <w:rPr>
                <w:rFonts w:ascii="Times New Roman" w:hAnsi="Times New Roman"/>
                <w:i/>
                <w:sz w:val="24"/>
                <w:szCs w:val="24"/>
              </w:rPr>
              <w:t>Mobility</w:t>
            </w:r>
            <w:r w:rsidRPr="23A3BC51">
              <w:rPr>
                <w:rFonts w:ascii="Times New Roman" w:hAnsi="Times New Roman"/>
                <w:sz w:val="24"/>
                <w:szCs w:val="24"/>
              </w:rPr>
              <w:t xml:space="preserve">), kurā norādīts, ka pakāpeniski ir jāatsakās no pirmās paaudzes biodegvielas un tās vietā jāizmanto modernās biodegvielas. </w:t>
            </w:r>
          </w:p>
          <w:p w:rsidR="23A3BC51" w:rsidP="00B73DEB" w14:paraId="7A65695A" w14:textId="5B9E2F36">
            <w:pPr>
              <w:spacing w:after="0" w:line="240" w:lineRule="auto"/>
              <w:contextualSpacing/>
              <w:jc w:val="both"/>
              <w:rPr>
                <w:rFonts w:ascii="Times New Roman" w:hAnsi="Times New Roman"/>
                <w:sz w:val="24"/>
                <w:szCs w:val="24"/>
              </w:rPr>
            </w:pPr>
            <w:r w:rsidRPr="23A3BC51">
              <w:rPr>
                <w:rFonts w:ascii="Times New Roman" w:hAnsi="Times New Roman"/>
                <w:sz w:val="24"/>
                <w:szCs w:val="24"/>
              </w:rPr>
              <w:t>Eiropas Parlamenta un Padomes 2009</w:t>
            </w:r>
            <w:r w:rsidR="002B280A">
              <w:rPr>
                <w:rFonts w:ascii="Times New Roman" w:hAnsi="Times New Roman"/>
                <w:sz w:val="24"/>
                <w:szCs w:val="24"/>
              </w:rPr>
              <w:t>.g</w:t>
            </w:r>
            <w:r w:rsidRPr="23A3BC51">
              <w:rPr>
                <w:rFonts w:ascii="Times New Roman" w:hAnsi="Times New Roman"/>
                <w:sz w:val="24"/>
                <w:szCs w:val="24"/>
              </w:rPr>
              <w:t xml:space="preserve">ada 23. aprīļa direktīvā Nr.2009/28/EK par atjaunojamo energoresursu izmantošanas veicināšanu un ar ko groza un sekojoši atceļ Direktīvas 2001/77/EK un 2003/30/EK (turpmāk </w:t>
            </w:r>
            <w:r w:rsidR="006311C6">
              <w:rPr>
                <w:rFonts w:ascii="Times New Roman" w:hAnsi="Times New Roman"/>
                <w:sz w:val="24"/>
                <w:szCs w:val="24"/>
              </w:rPr>
              <w:t>–</w:t>
            </w:r>
            <w:r w:rsidRPr="23A3BC51">
              <w:rPr>
                <w:rFonts w:ascii="Times New Roman" w:hAnsi="Times New Roman"/>
                <w:sz w:val="24"/>
                <w:szCs w:val="24"/>
              </w:rPr>
              <w:t xml:space="preserve"> Direktīva Nr.2009/28/EK</w:t>
            </w:r>
            <w:r w:rsidR="006311C6">
              <w:rPr>
                <w:rFonts w:ascii="Times New Roman" w:hAnsi="Times New Roman"/>
                <w:sz w:val="24"/>
                <w:szCs w:val="24"/>
              </w:rPr>
              <w:t>)</w:t>
            </w:r>
            <w:r w:rsidRPr="23A3BC51">
              <w:rPr>
                <w:rFonts w:ascii="Times New Roman" w:hAnsi="Times New Roman"/>
                <w:sz w:val="24"/>
                <w:szCs w:val="24"/>
              </w:rPr>
              <w:t xml:space="preserve"> biodegvielām ir definēti ilgtspējas kritēriji, lai nodrošinātu, ka biodegvielas un bioloģisko šķidro kurināmo izmantošana garantē SEG emisiju samazinājumu un aizsargā bioloģisko daudzveidību. Šie ilgtspējas kritēriji ir jāņem vērā, lai varētu ieskaitīt patērēto biodegvielu vai bioloģisko šķidro kurināmo atjaunojamo energoresursu valsts 10 % mērķī, kā arī nodrošinot Eiropas Parlamenta un Padomes 1998.gada 13.oktobra direktīvas </w:t>
            </w:r>
            <w:r w:rsidR="00056A3E">
              <w:rPr>
                <w:rFonts w:ascii="Times New Roman" w:hAnsi="Times New Roman"/>
                <w:sz w:val="24"/>
                <w:szCs w:val="24"/>
              </w:rPr>
              <w:t>Nr.</w:t>
            </w:r>
            <w:r w:rsidRPr="23A3BC51">
              <w:rPr>
                <w:rFonts w:ascii="Times New Roman" w:hAnsi="Times New Roman"/>
                <w:sz w:val="24"/>
                <w:szCs w:val="24"/>
              </w:rPr>
              <w:t xml:space="preserve">98/70/EK kas attiecas uz benzīna un dīzeļdegvielu kvalitāti un ar ko groza Padomes Direktīvu 93/12/EEK (turpmāk </w:t>
            </w:r>
            <w:r w:rsidR="00B404EF">
              <w:rPr>
                <w:rFonts w:ascii="Times New Roman" w:hAnsi="Times New Roman"/>
                <w:sz w:val="24"/>
                <w:szCs w:val="24"/>
              </w:rPr>
              <w:t>–</w:t>
            </w:r>
            <w:r w:rsidRPr="23A3BC51">
              <w:rPr>
                <w:rFonts w:ascii="Times New Roman" w:hAnsi="Times New Roman"/>
                <w:sz w:val="24"/>
                <w:szCs w:val="24"/>
              </w:rPr>
              <w:t xml:space="preserve"> Direktīva Nr.98/70/EK) mērķu sasniegšanu, tai skaitā attiecībā uz transporta enerģijas aprites cikla siltumnīcefekta gāzu emisiju intensitātes samazināšanu. Šie kritēriji nacionālaj</w:t>
            </w:r>
            <w:r w:rsidR="008426D8">
              <w:rPr>
                <w:rFonts w:ascii="Times New Roman" w:hAnsi="Times New Roman"/>
                <w:sz w:val="24"/>
                <w:szCs w:val="24"/>
              </w:rPr>
              <w:t>os</w:t>
            </w:r>
            <w:r w:rsidRPr="23A3BC51">
              <w:rPr>
                <w:rFonts w:ascii="Times New Roman" w:hAnsi="Times New Roman"/>
                <w:sz w:val="24"/>
                <w:szCs w:val="24"/>
              </w:rPr>
              <w:t xml:space="preserve"> likumdošan</w:t>
            </w:r>
            <w:r w:rsidR="008426D8">
              <w:rPr>
                <w:rFonts w:ascii="Times New Roman" w:hAnsi="Times New Roman"/>
                <w:sz w:val="24"/>
                <w:szCs w:val="24"/>
              </w:rPr>
              <w:t>as aktos</w:t>
            </w:r>
            <w:r w:rsidRPr="23A3BC51">
              <w:rPr>
                <w:rFonts w:ascii="Times New Roman" w:hAnsi="Times New Roman"/>
                <w:sz w:val="24"/>
                <w:szCs w:val="24"/>
              </w:rPr>
              <w:t xml:space="preserve"> i</w:t>
            </w:r>
            <w:r w:rsidR="0003279F">
              <w:rPr>
                <w:rFonts w:ascii="Times New Roman" w:hAnsi="Times New Roman"/>
                <w:sz w:val="24"/>
                <w:szCs w:val="24"/>
              </w:rPr>
              <w:t xml:space="preserve">r noteikti Noteikumos </w:t>
            </w:r>
            <w:r w:rsidR="00056A3E">
              <w:rPr>
                <w:rFonts w:ascii="Times New Roman" w:hAnsi="Times New Roman"/>
                <w:sz w:val="24"/>
                <w:szCs w:val="24"/>
              </w:rPr>
              <w:t>Nr.</w:t>
            </w:r>
            <w:r w:rsidR="0003279F">
              <w:rPr>
                <w:rFonts w:ascii="Times New Roman" w:hAnsi="Times New Roman"/>
                <w:sz w:val="24"/>
                <w:szCs w:val="24"/>
              </w:rPr>
              <w:t>545.</w:t>
            </w:r>
          </w:p>
          <w:p w:rsidR="00C74161" w:rsidP="00B73DEB" w14:paraId="5E861324" w14:textId="73612192">
            <w:pPr>
              <w:spacing w:after="0" w:line="240" w:lineRule="auto"/>
              <w:contextualSpacing/>
              <w:jc w:val="both"/>
              <w:rPr>
                <w:rFonts w:ascii="Times New Roman" w:hAnsi="Times New Roman"/>
                <w:sz w:val="24"/>
                <w:szCs w:val="24"/>
              </w:rPr>
            </w:pPr>
            <w:r>
              <w:rPr>
                <w:rFonts w:ascii="Times New Roman" w:hAnsi="Times New Roman"/>
                <w:sz w:val="24"/>
                <w:szCs w:val="24"/>
              </w:rPr>
              <w:t>Papildus šobrīd nav noteikts, ka piegādātājs sniedz informāciju tai iestādei, kura tiks noteikta kā galvenā kompetentā iestāde Transporta enerģijas likuma ietvaros izveidotajā vispārīgās ziņošanas sistēmā</w:t>
            </w:r>
            <w:r w:rsidR="00A36BCC">
              <w:rPr>
                <w:rFonts w:ascii="Times New Roman" w:hAnsi="Times New Roman"/>
                <w:sz w:val="24"/>
                <w:szCs w:val="24"/>
              </w:rPr>
              <w:t>, par biodegvielas vai bioloģiskā šķidrā kurināmā atbilstību noteiktajiem ilgtspējas kritērijiem.</w:t>
            </w:r>
          </w:p>
          <w:p w:rsidR="0003279F" w:rsidP="00B73DEB" w14:paraId="46A94C56" w14:textId="060A71E9">
            <w:pPr>
              <w:spacing w:after="0" w:line="240" w:lineRule="auto"/>
              <w:contextualSpacing/>
              <w:jc w:val="both"/>
              <w:rPr>
                <w:rFonts w:ascii="Times New Roman" w:hAnsi="Times New Roman"/>
                <w:sz w:val="24"/>
                <w:szCs w:val="24"/>
              </w:rPr>
            </w:pPr>
            <w:r>
              <w:rPr>
                <w:rFonts w:ascii="Times New Roman" w:hAnsi="Times New Roman"/>
                <w:sz w:val="24"/>
                <w:szCs w:val="24"/>
              </w:rPr>
              <w:t>Ņemot vērā, ka izstrādātie noteikumi nepārsniedz pusi no Noteikumu Nr.545 apjoma, ir izstrādāts Noteikumu projekts Noteikumu Nr.545 grozījumiem.</w:t>
            </w:r>
          </w:p>
          <w:p w:rsidR="00F50132" w:rsidRPr="004D2C68" w:rsidP="00B73DEB" w14:paraId="4A073DE1" w14:textId="6816CE47">
            <w:pPr>
              <w:spacing w:after="0" w:line="240" w:lineRule="auto"/>
              <w:contextualSpacing/>
              <w:jc w:val="both"/>
              <w:rPr>
                <w:rFonts w:ascii="Times New Roman" w:eastAsia="Times New Roman" w:hAnsi="Times New Roman" w:cs="Times New Roman"/>
                <w:sz w:val="24"/>
                <w:szCs w:val="24"/>
                <w:u w:val="single"/>
                <w:lang w:eastAsia="lv-LV"/>
              </w:rPr>
            </w:pPr>
            <w:r w:rsidRPr="23A3BC51">
              <w:rPr>
                <w:rFonts w:ascii="Times New Roman" w:eastAsia="Times New Roman" w:hAnsi="Times New Roman" w:cs="Times New Roman"/>
                <w:sz w:val="24"/>
                <w:szCs w:val="24"/>
                <w:u w:val="single"/>
                <w:lang w:eastAsia="lv-LV"/>
              </w:rPr>
              <w:t>Tiesiskā regulējuma mērķis un būtība</w:t>
            </w:r>
          </w:p>
          <w:p w:rsidR="00FF1973" w:rsidRPr="004D2C68" w:rsidP="00B73DEB" w14:paraId="3E2DF27C" w14:textId="6B14A4D9">
            <w:pPr>
              <w:spacing w:after="0" w:line="240" w:lineRule="auto"/>
              <w:contextualSpacing/>
              <w:jc w:val="both"/>
              <w:rPr>
                <w:rFonts w:ascii="Times New Roman" w:hAnsi="Times New Roman" w:cs="Times New Roman"/>
                <w:sz w:val="24"/>
                <w:szCs w:val="24"/>
              </w:rPr>
            </w:pPr>
            <w:r w:rsidRPr="23A3BC51">
              <w:rPr>
                <w:rFonts w:ascii="Times New Roman" w:hAnsi="Times New Roman" w:cs="Times New Roman"/>
                <w:sz w:val="24"/>
                <w:szCs w:val="24"/>
              </w:rPr>
              <w:t xml:space="preserve">Ar </w:t>
            </w:r>
            <w:r w:rsidR="005D3CE8">
              <w:rPr>
                <w:rFonts w:ascii="Times New Roman" w:hAnsi="Times New Roman" w:cs="Times New Roman"/>
                <w:sz w:val="24"/>
                <w:szCs w:val="24"/>
              </w:rPr>
              <w:t>N</w:t>
            </w:r>
            <w:r w:rsidRPr="23A3BC51">
              <w:rPr>
                <w:rFonts w:ascii="Times New Roman" w:hAnsi="Times New Roman" w:cs="Times New Roman"/>
                <w:sz w:val="24"/>
                <w:szCs w:val="24"/>
              </w:rPr>
              <w:t>oteikumu projektu tiek noteikti šādi nosacījumi:</w:t>
            </w:r>
          </w:p>
          <w:p w:rsidR="004B7786" w:rsidRPr="004E54F7" w:rsidP="00B73DEB" w14:paraId="5CB79E09" w14:textId="4CDE044A">
            <w:pPr>
              <w:pStyle w:val="ListParagraph"/>
              <w:numPr>
                <w:ilvl w:val="0"/>
                <w:numId w:val="1"/>
              </w:numPr>
              <w:spacing w:after="0" w:line="240" w:lineRule="auto"/>
              <w:jc w:val="both"/>
              <w:rPr>
                <w:sz w:val="24"/>
                <w:szCs w:val="24"/>
              </w:rPr>
            </w:pPr>
            <w:r>
              <w:rPr>
                <w:rFonts w:ascii="Times New Roman" w:hAnsi="Times New Roman" w:cs="Times New Roman"/>
                <w:sz w:val="24"/>
                <w:szCs w:val="24"/>
              </w:rPr>
              <w:t>t</w:t>
            </w:r>
            <w:r w:rsidRPr="23A3BC51" w:rsidR="23A3BC51">
              <w:rPr>
                <w:rFonts w:ascii="Times New Roman" w:hAnsi="Times New Roman" w:cs="Times New Roman"/>
                <w:sz w:val="24"/>
                <w:szCs w:val="24"/>
              </w:rPr>
              <w:t xml:space="preserve">iek </w:t>
            </w:r>
            <w:r>
              <w:rPr>
                <w:rFonts w:ascii="Times New Roman" w:hAnsi="Times New Roman" w:cs="Times New Roman"/>
                <w:sz w:val="24"/>
                <w:szCs w:val="24"/>
              </w:rPr>
              <w:t>ieviesti</w:t>
            </w:r>
            <w:r w:rsidRPr="23A3BC51" w:rsidR="23A3BC51">
              <w:rPr>
                <w:rFonts w:ascii="Times New Roman" w:hAnsi="Times New Roman" w:cs="Times New Roman"/>
                <w:sz w:val="24"/>
                <w:szCs w:val="24"/>
              </w:rPr>
              <w:t xml:space="preserve"> Direktīvas Nr.2015/1513 nosacījumi par netiešas zemes izmantojuma maiņas negatīvās ietekmes mazināšanu un novēršanu </w:t>
            </w:r>
            <w:r w:rsidR="004E54F7">
              <w:rPr>
                <w:rFonts w:ascii="Times New Roman" w:hAnsi="Times New Roman" w:cs="Times New Roman"/>
                <w:sz w:val="24"/>
                <w:szCs w:val="24"/>
              </w:rPr>
              <w:t>–</w:t>
            </w:r>
            <w:r w:rsidRPr="23A3BC51" w:rsidR="23A3BC51">
              <w:rPr>
                <w:rFonts w:ascii="Times New Roman" w:hAnsi="Times New Roman" w:cs="Times New Roman"/>
                <w:sz w:val="24"/>
                <w:szCs w:val="24"/>
              </w:rPr>
              <w:t xml:space="preserve"> definīcijas</w:t>
            </w:r>
            <w:r w:rsidR="004E54F7">
              <w:rPr>
                <w:rFonts w:ascii="Times New Roman" w:hAnsi="Times New Roman" w:cs="Times New Roman"/>
                <w:sz w:val="24"/>
                <w:szCs w:val="24"/>
              </w:rPr>
              <w:t>, biodegvielu un bioloģiskā šķidrā kurināmā atbilstīb</w:t>
            </w:r>
            <w:r w:rsidR="0094171A">
              <w:rPr>
                <w:rFonts w:ascii="Times New Roman" w:hAnsi="Times New Roman" w:cs="Times New Roman"/>
                <w:sz w:val="24"/>
                <w:szCs w:val="24"/>
              </w:rPr>
              <w:t>a</w:t>
            </w:r>
            <w:r w:rsidR="004E54F7">
              <w:rPr>
                <w:rFonts w:ascii="Times New Roman" w:hAnsi="Times New Roman" w:cs="Times New Roman"/>
                <w:sz w:val="24"/>
                <w:szCs w:val="24"/>
              </w:rPr>
              <w:t xml:space="preserve"> ilgtspējas kritērijiem</w:t>
            </w:r>
            <w:r w:rsidR="0094171A">
              <w:rPr>
                <w:rFonts w:ascii="Times New Roman" w:hAnsi="Times New Roman" w:cs="Times New Roman"/>
                <w:sz w:val="24"/>
                <w:szCs w:val="24"/>
              </w:rPr>
              <w:t>, tai skaitā nepieciešamais uzrādāmais siltumnīcefekta gāzu emisiju samazinājums</w:t>
            </w:r>
            <w:r w:rsidR="004E54F7">
              <w:rPr>
                <w:rFonts w:ascii="Times New Roman" w:hAnsi="Times New Roman" w:cs="Times New Roman"/>
                <w:sz w:val="24"/>
                <w:szCs w:val="24"/>
              </w:rPr>
              <w:t>;</w:t>
            </w:r>
          </w:p>
          <w:p w:rsidR="004E54F7" w:rsidRPr="00F65D87" w:rsidP="00B73DEB" w14:paraId="7C8B324D" w14:textId="12050974">
            <w:pPr>
              <w:pStyle w:val="ListParagraph"/>
              <w:numPr>
                <w:ilvl w:val="0"/>
                <w:numId w:val="1"/>
              </w:numPr>
              <w:spacing w:after="0" w:line="240" w:lineRule="auto"/>
              <w:jc w:val="both"/>
              <w:rPr>
                <w:sz w:val="24"/>
                <w:szCs w:val="24"/>
              </w:rPr>
            </w:pPr>
            <w:r>
              <w:rPr>
                <w:rFonts w:ascii="Times New Roman" w:hAnsi="Times New Roman" w:cs="Times New Roman"/>
                <w:sz w:val="24"/>
                <w:szCs w:val="24"/>
              </w:rPr>
              <w:t>tiek stingrāk noteikti nosacījumi attiecībā uz biodegvielām vai bioloģisko šķidro kurināmo, kas</w:t>
            </w:r>
            <w:r>
              <w:t xml:space="preserve"> </w:t>
            </w:r>
            <w:r w:rsidRPr="004E54F7">
              <w:rPr>
                <w:rFonts w:ascii="Times New Roman" w:hAnsi="Times New Roman" w:cs="Times New Roman"/>
                <w:sz w:val="24"/>
                <w:szCs w:val="24"/>
              </w:rPr>
              <w:t xml:space="preserve">tiek izmantots </w:t>
            </w:r>
            <w:r w:rsidR="00D75B1C">
              <w:rPr>
                <w:rFonts w:ascii="Times New Roman" w:hAnsi="Times New Roman" w:cs="Times New Roman"/>
                <w:sz w:val="24"/>
                <w:szCs w:val="24"/>
              </w:rPr>
              <w:t>L</w:t>
            </w:r>
            <w:r w:rsidRPr="004E54F7">
              <w:rPr>
                <w:rFonts w:ascii="Times New Roman" w:hAnsi="Times New Roman" w:cs="Times New Roman"/>
                <w:sz w:val="24"/>
                <w:szCs w:val="24"/>
              </w:rPr>
              <w:t>ikum</w:t>
            </w:r>
            <w:r>
              <w:rPr>
                <w:rFonts w:ascii="Times New Roman" w:hAnsi="Times New Roman" w:cs="Times New Roman"/>
                <w:sz w:val="24"/>
                <w:szCs w:val="24"/>
              </w:rPr>
              <w:t>projektā</w:t>
            </w:r>
            <w:r w:rsidRPr="004E54F7">
              <w:rPr>
                <w:rFonts w:ascii="Times New Roman" w:hAnsi="Times New Roman" w:cs="Times New Roman"/>
                <w:sz w:val="24"/>
                <w:szCs w:val="24"/>
              </w:rPr>
              <w:t xml:space="preserve"> noteiktā valsts mērķa sasniegšanā vai likumā “Par piesārņojumu” noteiktā transporta enerģijas aprites cikla siltumnīcefekta gāzu emisiju samazinājumā</w:t>
            </w:r>
            <w:r w:rsidR="00F65D87">
              <w:rPr>
                <w:rFonts w:ascii="Times New Roman" w:hAnsi="Times New Roman" w:cs="Times New Roman"/>
                <w:sz w:val="24"/>
                <w:szCs w:val="24"/>
              </w:rPr>
              <w:t xml:space="preserve"> – kādos apstākļos un pie kādiem nosacījumiem tiek iegūtas izejvielas;</w:t>
            </w:r>
          </w:p>
          <w:p w:rsidR="00F65D87" w:rsidRPr="00C12F73" w:rsidP="00B73DEB" w14:paraId="1890EC24" w14:textId="44273B40">
            <w:pPr>
              <w:pStyle w:val="ListParagraph"/>
              <w:numPr>
                <w:ilvl w:val="0"/>
                <w:numId w:val="1"/>
              </w:numPr>
              <w:spacing w:after="0" w:line="240" w:lineRule="auto"/>
              <w:jc w:val="both"/>
              <w:rPr>
                <w:sz w:val="24"/>
                <w:szCs w:val="24"/>
              </w:rPr>
            </w:pPr>
            <w:r>
              <w:rPr>
                <w:rFonts w:ascii="Times New Roman" w:hAnsi="Times New Roman" w:cs="Times New Roman"/>
                <w:sz w:val="24"/>
                <w:szCs w:val="24"/>
              </w:rPr>
              <w:t>tiek mainīta un precizēta “tirgotājs” definīcija</w:t>
            </w:r>
            <w:r w:rsidR="00C12F73">
              <w:rPr>
                <w:rFonts w:ascii="Times New Roman" w:hAnsi="Times New Roman" w:cs="Times New Roman"/>
                <w:sz w:val="24"/>
                <w:szCs w:val="24"/>
              </w:rPr>
              <w:t>;</w:t>
            </w:r>
          </w:p>
          <w:p w:rsidR="00C12F73" w:rsidRPr="00C12F73" w:rsidP="00B73DEB" w14:paraId="0455D2BE" w14:textId="277CFCAA">
            <w:pPr>
              <w:pStyle w:val="ListParagraph"/>
              <w:numPr>
                <w:ilvl w:val="0"/>
                <w:numId w:val="1"/>
              </w:numPr>
              <w:spacing w:after="0" w:line="240" w:lineRule="auto"/>
              <w:jc w:val="both"/>
              <w:rPr>
                <w:sz w:val="24"/>
                <w:szCs w:val="24"/>
              </w:rPr>
            </w:pPr>
            <w:r>
              <w:rPr>
                <w:rFonts w:ascii="Times New Roman" w:hAnsi="Times New Roman" w:cs="Times New Roman"/>
                <w:sz w:val="24"/>
                <w:szCs w:val="24"/>
              </w:rPr>
              <w:t xml:space="preserve">tiek noteikti brīvprātīgās shēmas darbības nosacījumi, kas Noteikumos Nr.545 iepriekš nav tikuši </w:t>
            </w:r>
            <w:r w:rsidR="00121D24">
              <w:rPr>
                <w:rFonts w:ascii="Times New Roman" w:hAnsi="Times New Roman" w:cs="Times New Roman"/>
                <w:sz w:val="24"/>
                <w:szCs w:val="24"/>
              </w:rPr>
              <w:t>ieviesti pilnībā</w:t>
            </w:r>
            <w:r>
              <w:rPr>
                <w:rFonts w:ascii="Times New Roman" w:hAnsi="Times New Roman" w:cs="Times New Roman"/>
                <w:sz w:val="24"/>
                <w:szCs w:val="24"/>
              </w:rPr>
              <w:t>;</w:t>
            </w:r>
          </w:p>
          <w:p w:rsidR="00C12F73" w:rsidRPr="00C12F73" w:rsidP="00B73DEB" w14:paraId="235CBCFF" w14:textId="3B5E9AD2">
            <w:pPr>
              <w:pStyle w:val="ListParagraph"/>
              <w:numPr>
                <w:ilvl w:val="0"/>
                <w:numId w:val="1"/>
              </w:numPr>
              <w:spacing w:after="0" w:line="240" w:lineRule="auto"/>
              <w:jc w:val="both"/>
              <w:rPr>
                <w:sz w:val="24"/>
                <w:szCs w:val="24"/>
              </w:rPr>
            </w:pPr>
            <w:r>
              <w:rPr>
                <w:rFonts w:ascii="Times New Roman" w:hAnsi="Times New Roman" w:cs="Times New Roman"/>
                <w:sz w:val="24"/>
                <w:szCs w:val="24"/>
              </w:rPr>
              <w:t xml:space="preserve">tiek noteikts, ka piegādātājs informāciju par biodegvielas un bioloģiskā šķidrā kurināmā ilgtspēju iesniedz vispārīgās ziņošanas, kas tiks izveidota saskaņā ar </w:t>
            </w:r>
            <w:r w:rsidR="00D75B1C">
              <w:rPr>
                <w:rFonts w:ascii="Times New Roman" w:hAnsi="Times New Roman" w:cs="Times New Roman"/>
                <w:sz w:val="24"/>
                <w:szCs w:val="24"/>
              </w:rPr>
              <w:t>L</w:t>
            </w:r>
            <w:r>
              <w:rPr>
                <w:rFonts w:ascii="Times New Roman" w:hAnsi="Times New Roman" w:cs="Times New Roman"/>
                <w:sz w:val="24"/>
                <w:szCs w:val="24"/>
              </w:rPr>
              <w:t>ikumprojektu, ietvaros, izmantojot noteiktās veidlapas</w:t>
            </w:r>
            <w:r w:rsidR="000C0069">
              <w:rPr>
                <w:rFonts w:ascii="Times New Roman" w:hAnsi="Times New Roman" w:cs="Times New Roman"/>
                <w:sz w:val="24"/>
                <w:szCs w:val="24"/>
              </w:rPr>
              <w:t xml:space="preserve"> (Ministru kabineta noteikumu “</w:t>
            </w:r>
            <w:r w:rsidRPr="00C12F73" w:rsidR="000C0069">
              <w:rPr>
                <w:rFonts w:ascii="Times New Roman" w:hAnsi="Times New Roman" w:cs="Times New Roman"/>
                <w:sz w:val="24"/>
                <w:szCs w:val="24"/>
              </w:rPr>
              <w:t xml:space="preserve">Transporta enerģijas aprites cikla siltumnīcefekta gāzu emisiju daudzuma un tā </w:t>
            </w:r>
            <w:r w:rsidRPr="00C12F73" w:rsidR="000C0069">
              <w:rPr>
                <w:rFonts w:ascii="Times New Roman" w:hAnsi="Times New Roman" w:cs="Times New Roman"/>
                <w:sz w:val="24"/>
                <w:szCs w:val="24"/>
              </w:rPr>
              <w:t>samazinājuma aprēķināšanas un ziņošanas kārtība</w:t>
            </w:r>
            <w:r w:rsidR="000C0069">
              <w:rPr>
                <w:rFonts w:ascii="Times New Roman" w:hAnsi="Times New Roman" w:cs="Times New Roman"/>
                <w:sz w:val="24"/>
                <w:szCs w:val="24"/>
              </w:rPr>
              <w:t>” ietvaros)</w:t>
            </w:r>
            <w:r>
              <w:rPr>
                <w:rFonts w:ascii="Times New Roman" w:hAnsi="Times New Roman" w:cs="Times New Roman"/>
                <w:sz w:val="24"/>
                <w:szCs w:val="24"/>
              </w:rPr>
              <w:t>.</w:t>
            </w:r>
          </w:p>
          <w:p w:rsidR="005E6B8D" w:rsidP="00B73DEB" w14:paraId="162EBA7F" w14:textId="7051D2D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ir pilnībā sasaistīts ar </w:t>
            </w:r>
            <w:r w:rsidR="00D75B1C">
              <w:rPr>
                <w:rFonts w:ascii="Times New Roman" w:hAnsi="Times New Roman" w:cs="Times New Roman"/>
                <w:sz w:val="24"/>
                <w:szCs w:val="24"/>
              </w:rPr>
              <w:t>L</w:t>
            </w:r>
            <w:r>
              <w:rPr>
                <w:rFonts w:ascii="Times New Roman" w:hAnsi="Times New Roman" w:cs="Times New Roman"/>
                <w:sz w:val="24"/>
                <w:szCs w:val="24"/>
              </w:rPr>
              <w:t>ikum</w:t>
            </w:r>
            <w:r w:rsidR="00AC05BB">
              <w:rPr>
                <w:rFonts w:ascii="Times New Roman" w:hAnsi="Times New Roman" w:cs="Times New Roman"/>
                <w:sz w:val="24"/>
                <w:szCs w:val="24"/>
              </w:rPr>
              <w:t>projektu</w:t>
            </w:r>
            <w:r>
              <w:rPr>
                <w:rFonts w:ascii="Times New Roman" w:hAnsi="Times New Roman" w:cs="Times New Roman"/>
                <w:sz w:val="24"/>
                <w:szCs w:val="24"/>
              </w:rPr>
              <w:t xml:space="preserve"> un uz tā pamata izdotajiem Ministru kabineta noteikumiem attiecībā uz valsts mērķa sasniegšanas progresa novērtējumu, kā arī sasaistīts ar likumu “Par piesārņojumu” un uz tā pamata izdotajiem Ministru kabineta noteikumiem “</w:t>
            </w:r>
            <w:r w:rsidRPr="00C12F73">
              <w:rPr>
                <w:rFonts w:ascii="Times New Roman" w:hAnsi="Times New Roman" w:cs="Times New Roman"/>
                <w:sz w:val="24"/>
                <w:szCs w:val="24"/>
              </w:rPr>
              <w:t>Transporta enerģijas aprites cikla siltumnīcefekta gāzu emisiju daudzuma un tā samazinājuma aprēķināšanas un ziņošanas kārtība</w:t>
            </w:r>
            <w:r>
              <w:rPr>
                <w:rFonts w:ascii="Times New Roman" w:hAnsi="Times New Roman" w:cs="Times New Roman"/>
                <w:sz w:val="24"/>
                <w:szCs w:val="24"/>
              </w:rPr>
              <w:t xml:space="preserve">” attiecībā uz degvielas piegādātāja </w:t>
            </w:r>
            <w:r w:rsidRPr="004D2C68" w:rsidR="002A360D">
              <w:rPr>
                <w:rFonts w:ascii="Times New Roman" w:hAnsi="Times New Roman" w:cs="Times New Roman"/>
                <w:sz w:val="24"/>
                <w:szCs w:val="24"/>
              </w:rPr>
              <w:t xml:space="preserve">transporta enerģijas aprites cikla emisiju intensitātes samazināšanu </w:t>
            </w:r>
            <w:r w:rsidR="0094171A">
              <w:rPr>
                <w:rFonts w:ascii="Times New Roman" w:hAnsi="Times New Roman" w:cs="Times New Roman"/>
                <w:sz w:val="24"/>
                <w:szCs w:val="24"/>
              </w:rPr>
              <w:t>nodrošināšanu.</w:t>
            </w:r>
          </w:p>
          <w:p w:rsidR="00A36BCC" w:rsidP="00B73DEB" w14:paraId="0E12D5EE" w14:textId="026957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Noteikumu projektā noteiktie ziņošanas pienākumi un informācijas saņemšanas pienākums ir daļa no vispārīgās ziņošanas sistēmas, kas tiek izveidota Transporta enerģijas likuma ietvaros.</w:t>
            </w:r>
          </w:p>
          <w:p w:rsidR="0094171A" w:rsidRPr="0094171A" w:rsidP="00B73DEB" w14:paraId="2E6059EB" w14:textId="1843DC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Lielākā daļa Noteikumu projektā iekļauto nosacījumu nav jauni nosacījumi, bet tiek tikai precizēti iepriekš Noteikumos Nr.545 iekļautie nosacījumi, kā arī tiek transponēta Direktīva Nr.2015/1513.</w:t>
            </w:r>
          </w:p>
        </w:tc>
      </w:tr>
      <w:tr w14:paraId="7E3A0EF5" w14:textId="77777777" w:rsidTr="23A3BC5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B73DEB" w14:paraId="0E44101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B73DEB" w14:paraId="642B4043"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D91D02" w:rsidRPr="004D2C68" w:rsidP="00B73DEB" w14:paraId="312BF3F0" w14:textId="1E687C36">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bCs/>
                <w:iCs/>
                <w:sz w:val="24"/>
                <w:szCs w:val="24"/>
                <w:lang w:eastAsia="lv-LV"/>
              </w:rPr>
              <w:t>Projekts šo jomu neskar</w:t>
            </w:r>
          </w:p>
        </w:tc>
      </w:tr>
      <w:tr w14:paraId="060D5BA9" w14:textId="77777777" w:rsidTr="23A3BC5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B73DEB" w14:paraId="145CC5D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B73DEB" w14:paraId="461F88AD"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D91D02" w:rsidRPr="004D2C68" w:rsidP="00B73DEB" w14:paraId="42CB2313" w14:textId="70EB6D5C">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r w:rsidR="00DA263E">
              <w:rPr>
                <w:rFonts w:ascii="Times New Roman" w:eastAsia="Times New Roman" w:hAnsi="Times New Roman" w:cs="Times New Roman"/>
                <w:iCs/>
                <w:sz w:val="24"/>
                <w:szCs w:val="24"/>
                <w:lang w:eastAsia="lv-LV"/>
              </w:rPr>
              <w:t>.</w:t>
            </w:r>
          </w:p>
        </w:tc>
      </w:tr>
    </w:tbl>
    <w:p w:rsidR="00E5323B" w:rsidRPr="004D2C68" w:rsidP="00B73DEB" w14:paraId="49820802"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2672"/>
        <w:gridCol w:w="5803"/>
      </w:tblGrid>
      <w:tr w14:paraId="129BD63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B73DEB" w14:paraId="1C7A159D"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A2E3E31"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7F74EB71"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B73DEB" w14:paraId="43793F7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 xml:space="preserve">Sabiedrības </w:t>
            </w:r>
            <w:r w:rsidRPr="004D2C68">
              <w:rPr>
                <w:rFonts w:ascii="Times New Roman" w:eastAsia="Times New Roman" w:hAnsi="Times New Roman" w:cs="Times New Roman"/>
                <w:iCs/>
                <w:sz w:val="24"/>
                <w:szCs w:val="24"/>
                <w:lang w:eastAsia="lv-LV"/>
              </w:rPr>
              <w:t>mērķgrupas</w:t>
            </w:r>
            <w:r w:rsidRPr="004D2C68">
              <w:rPr>
                <w:rFonts w:ascii="Times New Roman" w:eastAsia="Times New Roman" w:hAnsi="Times New Roman" w:cs="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rsidR="00E5323B" w:rsidRPr="004D2C68" w:rsidP="00B73DEB" w14:paraId="1D859EEA" w14:textId="75A6D6DE">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Plānotais tiesiskais regulējums ietekmēs</w:t>
            </w:r>
            <w:r w:rsidRPr="004D2C68" w:rsidR="003F1615">
              <w:rPr>
                <w:rFonts w:ascii="Times New Roman" w:hAnsi="Times New Roman" w:cs="Times New Roman"/>
                <w:sz w:val="24"/>
                <w:szCs w:val="24"/>
              </w:rPr>
              <w:t>:</w:t>
            </w:r>
            <w:r w:rsidR="0094171A">
              <w:rPr>
                <w:rFonts w:ascii="Times New Roman" w:hAnsi="Times New Roman" w:cs="Times New Roman"/>
                <w:sz w:val="24"/>
                <w:szCs w:val="24"/>
              </w:rPr>
              <w:t xml:space="preserve"> Noteikumu projektā definētos izejvielu audzētājus, pirmos savācējus, pārstrādātājus, </w:t>
            </w:r>
            <w:r w:rsidR="0094171A">
              <w:rPr>
                <w:rFonts w:ascii="Times New Roman" w:hAnsi="Times New Roman" w:cs="Times New Roman"/>
                <w:sz w:val="24"/>
                <w:szCs w:val="24"/>
              </w:rPr>
              <w:t>pašpārstrādātājus</w:t>
            </w:r>
            <w:r w:rsidR="0094171A">
              <w:rPr>
                <w:rFonts w:ascii="Times New Roman" w:hAnsi="Times New Roman" w:cs="Times New Roman"/>
                <w:sz w:val="24"/>
                <w:szCs w:val="24"/>
              </w:rPr>
              <w:t xml:space="preserve"> un </w:t>
            </w:r>
            <w:r w:rsidRPr="004D2C68" w:rsidR="00AA7189">
              <w:rPr>
                <w:rFonts w:ascii="Times New Roman" w:hAnsi="Times New Roman" w:cs="Times New Roman"/>
                <w:sz w:val="24"/>
                <w:szCs w:val="24"/>
              </w:rPr>
              <w:t>piegādātājus, V</w:t>
            </w:r>
            <w:r w:rsidRPr="004D2C68" w:rsidR="00673B0B">
              <w:rPr>
                <w:rFonts w:ascii="Times New Roman" w:hAnsi="Times New Roman" w:cs="Times New Roman"/>
                <w:sz w:val="24"/>
                <w:szCs w:val="24"/>
              </w:rPr>
              <w:t xml:space="preserve">alsts vides dienestu, </w:t>
            </w:r>
            <w:r w:rsidRPr="00D6215B" w:rsidR="00D6215B">
              <w:rPr>
                <w:rFonts w:ascii="Times New Roman" w:hAnsi="Times New Roman" w:cs="Times New Roman"/>
                <w:sz w:val="24"/>
                <w:szCs w:val="24"/>
              </w:rPr>
              <w:t>valsts aģentūr</w:t>
            </w:r>
            <w:r w:rsidR="00B73DEB">
              <w:rPr>
                <w:rFonts w:ascii="Times New Roman" w:hAnsi="Times New Roman" w:cs="Times New Roman"/>
                <w:sz w:val="24"/>
                <w:szCs w:val="24"/>
              </w:rPr>
              <w:t>u</w:t>
            </w:r>
            <w:r w:rsidRPr="00D6215B" w:rsidR="00D6215B">
              <w:rPr>
                <w:rFonts w:ascii="Times New Roman" w:hAnsi="Times New Roman" w:cs="Times New Roman"/>
                <w:sz w:val="24"/>
                <w:szCs w:val="24"/>
              </w:rPr>
              <w:t xml:space="preserve"> “Latvijas Nacionālais akreditācijas birojs”</w:t>
            </w:r>
            <w:r w:rsidR="00D6215B">
              <w:rPr>
                <w:rFonts w:ascii="Times New Roman" w:hAnsi="Times New Roman" w:cs="Times New Roman"/>
                <w:sz w:val="24"/>
                <w:szCs w:val="24"/>
              </w:rPr>
              <w:t xml:space="preserve"> (turpmāk – </w:t>
            </w:r>
            <w:r w:rsidR="00DA263E">
              <w:rPr>
                <w:rFonts w:ascii="Times New Roman" w:hAnsi="Times New Roman" w:cs="Times New Roman"/>
                <w:sz w:val="24"/>
                <w:szCs w:val="24"/>
              </w:rPr>
              <w:t>LATAK</w:t>
            </w:r>
            <w:r w:rsidR="00D6215B">
              <w:rPr>
                <w:rFonts w:ascii="Times New Roman" w:hAnsi="Times New Roman" w:cs="Times New Roman"/>
                <w:sz w:val="24"/>
                <w:szCs w:val="24"/>
              </w:rPr>
              <w:t>)</w:t>
            </w:r>
            <w:r w:rsidR="00DA263E">
              <w:rPr>
                <w:rFonts w:ascii="Times New Roman" w:hAnsi="Times New Roman" w:cs="Times New Roman"/>
                <w:sz w:val="24"/>
                <w:szCs w:val="24"/>
              </w:rPr>
              <w:t xml:space="preserve"> (tikai attiecībā uz</w:t>
            </w:r>
            <w:r w:rsidR="0094171A">
              <w:rPr>
                <w:rFonts w:ascii="Times New Roman" w:hAnsi="Times New Roman" w:cs="Times New Roman"/>
                <w:sz w:val="24"/>
                <w:szCs w:val="24"/>
              </w:rPr>
              <w:t xml:space="preserve"> sertificēšanas </w:t>
            </w:r>
            <w:r w:rsidR="00DA263E">
              <w:rPr>
                <w:rFonts w:ascii="Times New Roman" w:hAnsi="Times New Roman" w:cs="Times New Roman"/>
                <w:sz w:val="24"/>
                <w:szCs w:val="24"/>
              </w:rPr>
              <w:t>institūciju akreditāciju)</w:t>
            </w:r>
            <w:r w:rsidRPr="004D2C68" w:rsidR="00673B0B">
              <w:rPr>
                <w:rFonts w:ascii="Times New Roman" w:hAnsi="Times New Roman" w:cs="Times New Roman"/>
                <w:sz w:val="24"/>
                <w:szCs w:val="24"/>
              </w:rPr>
              <w:t>.</w:t>
            </w:r>
          </w:p>
        </w:tc>
      </w:tr>
      <w:tr w14:paraId="1FDA240E"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4B14A6B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B73DEB" w14:paraId="724C3D7A"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rsidR="00FC5649" w:rsidRPr="004D2C68" w:rsidP="00B73DEB" w14:paraId="79E83F77" w14:textId="77777777">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u w:val="single"/>
              </w:rPr>
              <w:t>Noteikumu projekta tiesiskā regulējuma paredzamā ietekme uz administratīvo slogu.</w:t>
            </w:r>
          </w:p>
          <w:p w:rsidR="00FC5649" w:rsidP="00B73DEB" w14:paraId="64DA29B7" w14:textId="4F374926">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 xml:space="preserve">Ir paredzams, ka ar Noteikumu projektu </w:t>
            </w:r>
            <w:r w:rsidR="003F33E4">
              <w:rPr>
                <w:rFonts w:ascii="Times New Roman" w:hAnsi="Times New Roman" w:cs="Times New Roman"/>
                <w:sz w:val="24"/>
                <w:szCs w:val="24"/>
              </w:rPr>
              <w:t>nedaudz</w:t>
            </w:r>
            <w:r w:rsidRPr="004D2C68" w:rsidR="003F33E4">
              <w:rPr>
                <w:rFonts w:ascii="Times New Roman" w:hAnsi="Times New Roman" w:cs="Times New Roman"/>
                <w:sz w:val="24"/>
                <w:szCs w:val="24"/>
              </w:rPr>
              <w:t xml:space="preserve"> palielināsies </w:t>
            </w:r>
            <w:r w:rsidRPr="004D2C68">
              <w:rPr>
                <w:rFonts w:ascii="Times New Roman" w:hAnsi="Times New Roman" w:cs="Times New Roman"/>
                <w:sz w:val="24"/>
                <w:szCs w:val="24"/>
              </w:rPr>
              <w:t xml:space="preserve">administratīvais slogs </w:t>
            </w:r>
            <w:r w:rsidRPr="004D2C68" w:rsidR="00B757CB">
              <w:rPr>
                <w:rFonts w:ascii="Times New Roman" w:hAnsi="Times New Roman" w:cs="Times New Roman"/>
                <w:sz w:val="24"/>
                <w:szCs w:val="24"/>
              </w:rPr>
              <w:t xml:space="preserve">degvielas piegādātājiem, Valsts vides dienestam un </w:t>
            </w:r>
            <w:r w:rsidR="00B757CB">
              <w:rPr>
                <w:rFonts w:ascii="Times New Roman" w:hAnsi="Times New Roman" w:cs="Times New Roman"/>
                <w:sz w:val="24"/>
                <w:szCs w:val="24"/>
              </w:rPr>
              <w:t>LATAK, jo pēc būtības Noteikumu projekts neuzliek daudz papildu pienākumu, bet tikai precizē ar Noteikumiem Nr.545 izveidotos nosacījumus. Attiecībā uz Valsts vides dienestu administratīvais slogs palielināsies, jo iepriekš informācij</w:t>
            </w:r>
            <w:r w:rsidR="006B0C09">
              <w:rPr>
                <w:rFonts w:ascii="Times New Roman" w:hAnsi="Times New Roman" w:cs="Times New Roman"/>
                <w:sz w:val="24"/>
                <w:szCs w:val="24"/>
              </w:rPr>
              <w:t>u</w:t>
            </w:r>
            <w:r w:rsidR="00B757CB">
              <w:rPr>
                <w:rFonts w:ascii="Times New Roman" w:hAnsi="Times New Roman" w:cs="Times New Roman"/>
                <w:sz w:val="24"/>
                <w:szCs w:val="24"/>
              </w:rPr>
              <w:t xml:space="preserve"> par biodegvielu un bioloģiskā šķidrā kurināmā atbilstību ilgtspējas kritērijiem tika prasīt</w:t>
            </w:r>
            <w:r w:rsidR="006B0C09">
              <w:rPr>
                <w:rFonts w:ascii="Times New Roman" w:hAnsi="Times New Roman" w:cs="Times New Roman"/>
                <w:sz w:val="24"/>
                <w:szCs w:val="24"/>
              </w:rPr>
              <w:t>s</w:t>
            </w:r>
            <w:r w:rsidR="00B757CB">
              <w:rPr>
                <w:rFonts w:ascii="Times New Roman" w:hAnsi="Times New Roman" w:cs="Times New Roman"/>
                <w:sz w:val="24"/>
                <w:szCs w:val="24"/>
              </w:rPr>
              <w:t xml:space="preserve"> iesniegt Ekonomikas ministrijā, bet ar Noteikumu projektu tiek noteikts, ka šī informācija ir jāiesniedz Valsts vides dienestā.</w:t>
            </w:r>
          </w:p>
          <w:p w:rsidR="00B757CB" w:rsidP="00B73DEB" w14:paraId="50D9B211" w14:textId="4A9123B8">
            <w:pPr>
              <w:spacing w:after="0" w:line="240" w:lineRule="auto"/>
              <w:contextualSpacing/>
              <w:jc w:val="both"/>
              <w:rPr>
                <w:rFonts w:ascii="Times New Roman" w:hAnsi="Times New Roman" w:cs="Times New Roman"/>
                <w:sz w:val="24"/>
                <w:szCs w:val="24"/>
              </w:rPr>
            </w:pPr>
          </w:p>
          <w:p w:rsidR="00B757CB" w:rsidRPr="004D2C68" w:rsidP="00B73DEB" w14:paraId="3D14391D" w14:textId="5A19DB5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Informācija par administratīvā sloga palielinājumu, kā arī a</w:t>
            </w:r>
            <w:r w:rsidRPr="00B757CB">
              <w:rPr>
                <w:rFonts w:ascii="Times New Roman" w:hAnsi="Times New Roman" w:cs="Times New Roman"/>
                <w:sz w:val="24"/>
                <w:szCs w:val="24"/>
              </w:rPr>
              <w:t>dministratīvo izmaksu monetārs novērtējums</w:t>
            </w:r>
            <w:r>
              <w:rPr>
                <w:rFonts w:ascii="Times New Roman" w:hAnsi="Times New Roman" w:cs="Times New Roman"/>
                <w:sz w:val="24"/>
                <w:szCs w:val="24"/>
              </w:rPr>
              <w:t xml:space="preserve"> un a</w:t>
            </w:r>
            <w:r w:rsidRPr="00B757CB">
              <w:rPr>
                <w:rFonts w:ascii="Times New Roman" w:hAnsi="Times New Roman" w:cs="Times New Roman"/>
                <w:sz w:val="24"/>
                <w:szCs w:val="24"/>
              </w:rPr>
              <w:t>tbilstības izmaksu monetārs novērtējums</w:t>
            </w:r>
            <w:r>
              <w:rPr>
                <w:rFonts w:ascii="Times New Roman" w:hAnsi="Times New Roman" w:cs="Times New Roman"/>
                <w:sz w:val="24"/>
                <w:szCs w:val="24"/>
              </w:rPr>
              <w:t xml:space="preserve"> </w:t>
            </w:r>
            <w:r w:rsidR="00A36BCC">
              <w:rPr>
                <w:rFonts w:ascii="Times New Roman" w:hAnsi="Times New Roman" w:cs="Times New Roman"/>
                <w:sz w:val="24"/>
                <w:szCs w:val="24"/>
              </w:rPr>
              <w:t>tiek izvērtēts Transporta enerģijas likumā noteiktās vispārīgās ziņošanas sistēmas izveidošanas ietvaros</w:t>
            </w:r>
            <w:r w:rsidR="001B41F6">
              <w:rPr>
                <w:rFonts w:ascii="Times New Roman" w:hAnsi="Times New Roman" w:cs="Times New Roman"/>
                <w:sz w:val="24"/>
                <w:szCs w:val="24"/>
              </w:rPr>
              <w:t xml:space="preserve"> un tiks noteikts kopā visiem pienākumiem, kas izriet no Transporta enerģijas likumā noteiktajiem nosacījumiem.</w:t>
            </w:r>
            <w:r w:rsidR="00A36BCC">
              <w:rPr>
                <w:rFonts w:ascii="Times New Roman" w:hAnsi="Times New Roman" w:cs="Times New Roman"/>
                <w:sz w:val="24"/>
                <w:szCs w:val="24"/>
              </w:rPr>
              <w:t>.</w:t>
            </w:r>
          </w:p>
          <w:p w:rsidR="000F44F7" w:rsidRPr="004D2C68" w:rsidP="00B73DEB" w14:paraId="26A791B0" w14:textId="058CDD6A">
            <w:pPr>
              <w:spacing w:after="0" w:line="240" w:lineRule="auto"/>
              <w:contextualSpacing/>
              <w:jc w:val="both"/>
              <w:rPr>
                <w:rFonts w:ascii="Times New Roman" w:hAnsi="Times New Roman" w:cs="Times New Roman"/>
                <w:sz w:val="24"/>
                <w:szCs w:val="24"/>
              </w:rPr>
            </w:pPr>
          </w:p>
          <w:p w:rsidR="005A5C7D" w:rsidRPr="004D2C68" w:rsidP="00B73DEB" w14:paraId="3D538395" w14:textId="039466DE">
            <w:pPr>
              <w:spacing w:after="0" w:line="240" w:lineRule="auto"/>
              <w:contextualSpacing/>
              <w:jc w:val="both"/>
              <w:rPr>
                <w:rFonts w:ascii="Times New Roman" w:hAnsi="Times New Roman" w:cs="Times New Roman"/>
                <w:sz w:val="24"/>
                <w:szCs w:val="24"/>
                <w:u w:val="single"/>
              </w:rPr>
            </w:pPr>
            <w:r w:rsidRPr="004D2C68">
              <w:rPr>
                <w:rFonts w:ascii="Times New Roman" w:hAnsi="Times New Roman" w:cs="Times New Roman"/>
                <w:sz w:val="24"/>
                <w:szCs w:val="24"/>
                <w:u w:val="single"/>
              </w:rPr>
              <w:t>Noteikumu projekta tiesiskā regulējuma ietekme uz uzņēmējdarbības vidi</w:t>
            </w:r>
          </w:p>
          <w:p w:rsidR="00FC5649" w:rsidRPr="004D2C68" w:rsidP="00B73DEB" w14:paraId="71DF5559" w14:textId="774A56AC">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paredzēta papildus būtiska ietekme uz uzņēmējdarbības vidi.</w:t>
            </w:r>
          </w:p>
        </w:tc>
      </w:tr>
      <w:tr w14:paraId="436558CF"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0EA5F62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B73DEB" w14:paraId="0FE0A0B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261471" w:rsidRPr="000C0069" w:rsidP="00B73DEB" w14:paraId="37834E73" w14:textId="738D9F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Informācija par administratīvā sloga palielinājumu, kā arī a</w:t>
            </w:r>
            <w:r w:rsidRPr="00B757CB">
              <w:rPr>
                <w:rFonts w:ascii="Times New Roman" w:hAnsi="Times New Roman" w:cs="Times New Roman"/>
                <w:sz w:val="24"/>
                <w:szCs w:val="24"/>
              </w:rPr>
              <w:t>dministratīvo izmaksu monetārs novērtējums</w:t>
            </w:r>
            <w:r>
              <w:rPr>
                <w:rFonts w:ascii="Times New Roman" w:hAnsi="Times New Roman" w:cs="Times New Roman"/>
                <w:sz w:val="24"/>
                <w:szCs w:val="24"/>
              </w:rPr>
              <w:t xml:space="preserve"> un a</w:t>
            </w:r>
            <w:r w:rsidRPr="00B757CB">
              <w:rPr>
                <w:rFonts w:ascii="Times New Roman" w:hAnsi="Times New Roman" w:cs="Times New Roman"/>
                <w:sz w:val="24"/>
                <w:szCs w:val="24"/>
              </w:rPr>
              <w:t>tbilstības izmaksu monetārs novērtējums</w:t>
            </w:r>
            <w:r>
              <w:rPr>
                <w:rFonts w:ascii="Times New Roman" w:hAnsi="Times New Roman" w:cs="Times New Roman"/>
                <w:sz w:val="24"/>
                <w:szCs w:val="24"/>
              </w:rPr>
              <w:t xml:space="preserve"> </w:t>
            </w:r>
            <w:r w:rsidR="00A36BCC">
              <w:rPr>
                <w:rFonts w:ascii="Times New Roman" w:hAnsi="Times New Roman" w:cs="Times New Roman"/>
                <w:sz w:val="24"/>
                <w:szCs w:val="24"/>
              </w:rPr>
              <w:t>tiek izvērtēts Transporta enerģijas likumā noteiktās vispārīgās ziņošanas sistēmas izveidošanas ietvaros</w:t>
            </w:r>
            <w:r w:rsidR="001B41F6">
              <w:rPr>
                <w:rFonts w:ascii="Times New Roman" w:hAnsi="Times New Roman" w:cs="Times New Roman"/>
                <w:sz w:val="24"/>
                <w:szCs w:val="24"/>
              </w:rPr>
              <w:t xml:space="preserve"> un tiks noteikts kopā visiem pienākumiem, kas izriet no Transporta enerģijas likumā noteiktajiem nosacījumiem</w:t>
            </w:r>
            <w:r w:rsidR="00A36BCC">
              <w:rPr>
                <w:rFonts w:ascii="Times New Roman" w:hAnsi="Times New Roman" w:cs="Times New Roman"/>
                <w:sz w:val="24"/>
                <w:szCs w:val="24"/>
              </w:rPr>
              <w:t>.</w:t>
            </w:r>
          </w:p>
        </w:tc>
      </w:tr>
      <w:tr w14:paraId="077A9313"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220CDE89"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B73DEB" w14:paraId="62C1DF5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0C0069" w:rsidP="00B73DEB" w14:paraId="42A322CB" w14:textId="210E0F8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Informācija par administratīvā sloga palielinājumu, kā arī a</w:t>
            </w:r>
            <w:r w:rsidRPr="00B757CB">
              <w:rPr>
                <w:rFonts w:ascii="Times New Roman" w:hAnsi="Times New Roman" w:cs="Times New Roman"/>
                <w:sz w:val="24"/>
                <w:szCs w:val="24"/>
              </w:rPr>
              <w:t>dministratīvo izmaksu monetārs novērtējums</w:t>
            </w:r>
            <w:r>
              <w:rPr>
                <w:rFonts w:ascii="Times New Roman" w:hAnsi="Times New Roman" w:cs="Times New Roman"/>
                <w:sz w:val="24"/>
                <w:szCs w:val="24"/>
              </w:rPr>
              <w:t xml:space="preserve"> un a</w:t>
            </w:r>
            <w:r w:rsidRPr="00B757CB">
              <w:rPr>
                <w:rFonts w:ascii="Times New Roman" w:hAnsi="Times New Roman" w:cs="Times New Roman"/>
                <w:sz w:val="24"/>
                <w:szCs w:val="24"/>
              </w:rPr>
              <w:t>tbilstības izmaksu monetārs novērtējums</w:t>
            </w:r>
            <w:r w:rsidR="00A36BCC">
              <w:rPr>
                <w:rFonts w:ascii="Times New Roman" w:hAnsi="Times New Roman" w:cs="Times New Roman"/>
                <w:sz w:val="24"/>
                <w:szCs w:val="24"/>
              </w:rPr>
              <w:t xml:space="preserve"> tiek izvērtēts Transporta enerģijas likumā noteiktās vispārīgās ziņošanas sistēmas izveidošanas ietvaros</w:t>
            </w:r>
            <w:r w:rsidR="001B41F6">
              <w:rPr>
                <w:rFonts w:ascii="Times New Roman" w:hAnsi="Times New Roman" w:cs="Times New Roman"/>
                <w:sz w:val="24"/>
                <w:szCs w:val="24"/>
              </w:rPr>
              <w:t xml:space="preserve"> un tiks noteikts kopā visiem pienākumiem, kas izriet no Transporta enerģijas likumā noteiktajiem nosacījumiem.</w:t>
            </w:r>
          </w:p>
        </w:tc>
      </w:tr>
      <w:tr w14:paraId="0C79738A"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046904C4"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B73DEB" w14:paraId="4BE883E8"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4D2C68" w:rsidP="00B73DEB" w14:paraId="321937AB" w14:textId="5BA2AC36">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r w:rsidR="000C0069">
              <w:rPr>
                <w:rFonts w:ascii="Times New Roman" w:eastAsia="Times New Roman" w:hAnsi="Times New Roman" w:cs="Times New Roman"/>
                <w:iCs/>
                <w:sz w:val="24"/>
                <w:szCs w:val="24"/>
                <w:lang w:eastAsia="lv-LV"/>
              </w:rPr>
              <w:t>.</w:t>
            </w:r>
          </w:p>
        </w:tc>
      </w:tr>
    </w:tbl>
    <w:p w:rsidR="00733379" w:rsidRPr="004D2C68" w:rsidP="00B73DEB" w14:paraId="2A52357F" w14:textId="5005C4D0">
      <w:pPr>
        <w:spacing w:after="0" w:line="240" w:lineRule="auto"/>
        <w:contextualSpacing/>
        <w:rPr>
          <w:rFonts w:ascii="Times New Roman" w:eastAsia="Times New Roman" w:hAnsi="Times New Roman" w:cs="Times New Roman"/>
          <w:iCs/>
          <w:sz w:val="28"/>
          <w:szCs w:val="28"/>
          <w:lang w:eastAsia="lv-LV"/>
        </w:rPr>
      </w:pPr>
    </w:p>
    <w:p w:rsidR="007955E7" w:rsidRPr="004D2C68" w:rsidP="00B73DEB" w14:paraId="2440419C" w14:textId="77777777">
      <w:pPr>
        <w:spacing w:after="0" w:line="240" w:lineRule="auto"/>
        <w:contextualSpacing/>
        <w:rPr>
          <w:rFonts w:ascii="Times New Roman" w:eastAsia="Times New Roman" w:hAnsi="Times New Roman" w:cs="Times New Roman"/>
          <w:sz w:val="24"/>
          <w:szCs w:val="24"/>
          <w:lang w:eastAsia="lv-LV"/>
        </w:rPr>
      </w:pPr>
    </w:p>
    <w:tbl>
      <w:tblPr>
        <w:tblW w:w="5000" w:type="pct"/>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
      <w:tblGrid>
        <w:gridCol w:w="9055"/>
      </w:tblGrid>
      <w:tr w14:paraId="3AA3AD4D" w14:textId="77777777" w:rsidTr="00D75B1C">
        <w:tblPrEx>
          <w:tblW w:w="5000" w:type="pct"/>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Ex>
        <w:trPr>
          <w:tblCellSpacing w:w="20" w:type="dxa"/>
        </w:trPr>
        <w:tc>
          <w:tcPr>
            <w:tcW w:w="0" w:type="auto"/>
            <w:shd w:val="clear" w:color="auto" w:fill="auto"/>
            <w:vAlign w:val="center"/>
            <w:hideMark/>
          </w:tcPr>
          <w:p w:rsidR="007955E7" w:rsidRPr="00D75B1C" w:rsidP="00B73DEB" w14:paraId="5021C587" w14:textId="77777777">
            <w:pPr>
              <w:spacing w:after="0" w:line="240" w:lineRule="auto"/>
              <w:contextualSpacing/>
              <w:rPr>
                <w:rFonts w:ascii="Times New Roman" w:eastAsia="Times New Roman" w:hAnsi="Times New Roman" w:cs="Times New Roman"/>
                <w:b/>
                <w:bCs/>
                <w:iCs/>
                <w:sz w:val="24"/>
                <w:szCs w:val="24"/>
                <w:lang w:eastAsia="lv-LV"/>
              </w:rPr>
            </w:pPr>
            <w:r w:rsidRPr="00D75B1C">
              <w:rPr>
                <w:rFonts w:ascii="Times New Roman" w:eastAsia="Times New Roman" w:hAnsi="Times New Roman" w:cs="Times New Roman"/>
                <w:b/>
                <w:bCs/>
                <w:iCs/>
                <w:sz w:val="24"/>
                <w:szCs w:val="24"/>
                <w:lang w:eastAsia="lv-LV"/>
              </w:rPr>
              <w:t>III. Tiesību akta projekta ietekme uz valsts budžetu un pašvaldību budžetiem</w:t>
            </w:r>
          </w:p>
        </w:tc>
      </w:tr>
      <w:tr w14:paraId="3F00C64D" w14:textId="77777777" w:rsidTr="00D75B1C">
        <w:tblPrEx>
          <w:tblW w:w="5000" w:type="pct"/>
          <w:tblCellSpacing w:w="20" w:type="dxa"/>
          <w:tblCellMar>
            <w:top w:w="30" w:type="dxa"/>
            <w:left w:w="30" w:type="dxa"/>
            <w:bottom w:w="30" w:type="dxa"/>
            <w:right w:w="30" w:type="dxa"/>
          </w:tblCellMar>
          <w:tblLook w:val="04A0"/>
        </w:tblPrEx>
        <w:trPr>
          <w:tblCellSpacing w:w="20" w:type="dxa"/>
        </w:trPr>
        <w:tc>
          <w:tcPr>
            <w:tcW w:w="5000" w:type="pct"/>
            <w:shd w:val="clear" w:color="auto" w:fill="auto"/>
            <w:hideMark/>
          </w:tcPr>
          <w:p w:rsidR="00D5189C" w:rsidRPr="0071605F" w:rsidP="00386CC9" w14:paraId="73E8A4A2" w14:textId="0AB56C09">
            <w:pPr>
              <w:spacing w:after="0" w:line="240" w:lineRule="auto"/>
              <w:contextualSpacing/>
              <w:jc w:val="center"/>
              <w:rPr>
                <w:rFonts w:ascii="Times New Roman" w:eastAsia="Times New Roman" w:hAnsi="Times New Roman" w:cs="Times New Roman"/>
                <w:bCs/>
                <w:iCs/>
                <w:sz w:val="24"/>
                <w:szCs w:val="24"/>
                <w:lang w:eastAsia="lv-LV"/>
              </w:rPr>
            </w:pPr>
            <w:r w:rsidRPr="0071605F">
              <w:rPr>
                <w:rFonts w:ascii="Times New Roman" w:eastAsia="Times New Roman" w:hAnsi="Times New Roman" w:cs="Times New Roman"/>
                <w:bCs/>
                <w:iCs/>
                <w:sz w:val="24"/>
                <w:szCs w:val="24"/>
                <w:lang w:eastAsia="lv-LV"/>
              </w:rPr>
              <w:t>Projekts šo jomu neskar</w:t>
            </w:r>
          </w:p>
        </w:tc>
      </w:tr>
    </w:tbl>
    <w:p w:rsidR="007955E7" w:rsidRPr="004D2C68" w:rsidP="00B73DEB" w14:paraId="03590BB4" w14:textId="78E5A6F8">
      <w:pPr>
        <w:spacing w:after="0" w:line="240" w:lineRule="auto"/>
        <w:contextualSpacing/>
        <w:rPr>
          <w:rFonts w:ascii="Times New Roman" w:eastAsia="Times New Roman" w:hAnsi="Times New Roman" w:cs="Times New Roman"/>
          <w:iCs/>
          <w:sz w:val="28"/>
          <w:szCs w:val="28"/>
          <w:lang w:eastAsia="lv-LV"/>
        </w:rPr>
      </w:pPr>
      <w:r w:rsidRPr="004D2C68">
        <w:rPr>
          <w:rFonts w:ascii="Arial" w:eastAsia="Times New Roman" w:hAnsi="Arial" w:cs="Arial"/>
          <w:color w:val="414142"/>
          <w:sz w:val="27"/>
          <w:szCs w:val="27"/>
          <w:shd w:val="clear" w:color="auto" w:fill="FFFFFF"/>
          <w:lang w:eastAsia="lv-LV"/>
        </w:rPr>
        <w:t> </w:t>
      </w:r>
    </w:p>
    <w:tbl>
      <w:tblPr>
        <w:tblW w:w="5000" w:type="pct"/>
        <w:tblCellSpacing w:w="15"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
      <w:tblGrid>
        <w:gridCol w:w="9055"/>
      </w:tblGrid>
      <w:tr w14:paraId="2804C08E" w14:textId="77777777" w:rsidTr="00D75B1C">
        <w:tblPrEx>
          <w:tblW w:w="5000" w:type="pct"/>
          <w:tblCellSpacing w:w="15"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Ex>
        <w:trPr>
          <w:tblCellSpacing w:w="15" w:type="dxa"/>
        </w:trPr>
        <w:tc>
          <w:tcPr>
            <w:tcW w:w="0" w:type="auto"/>
            <w:vAlign w:val="center"/>
            <w:hideMark/>
          </w:tcPr>
          <w:p w:rsidR="00733379" w:rsidRPr="004D2C68" w:rsidP="00B73DEB" w14:paraId="2EDB241A" w14:textId="77777777">
            <w:pPr>
              <w:spacing w:after="0" w:line="240" w:lineRule="auto"/>
              <w:contextualSpacing/>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IV. Tiesību akta projekta ietekme uz spēkā esošo tiesību normu sistēmu</w:t>
            </w:r>
          </w:p>
        </w:tc>
      </w:tr>
      <w:tr w14:paraId="314EED87" w14:textId="77777777" w:rsidTr="00D75B1C">
        <w:tblPrEx>
          <w:tblW w:w="5000" w:type="pct"/>
          <w:tblCellSpacing w:w="15" w:type="dxa"/>
          <w:tblCellMar>
            <w:top w:w="30" w:type="dxa"/>
            <w:left w:w="30" w:type="dxa"/>
            <w:bottom w:w="30" w:type="dxa"/>
            <w:right w:w="30" w:type="dxa"/>
          </w:tblCellMar>
          <w:tblLook w:val="04A0"/>
        </w:tblPrEx>
        <w:trPr>
          <w:tblCellSpacing w:w="15" w:type="dxa"/>
        </w:trPr>
        <w:tc>
          <w:tcPr>
            <w:tcW w:w="0" w:type="auto"/>
            <w:vAlign w:val="center"/>
            <w:hideMark/>
          </w:tcPr>
          <w:p w:rsidR="00733379" w:rsidRPr="004D2C68" w:rsidP="00B73DEB" w14:paraId="595BC986" w14:textId="77777777">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Projekts šo jomu neskar</w:t>
            </w:r>
          </w:p>
        </w:tc>
      </w:tr>
    </w:tbl>
    <w:p w:rsidR="00733379" w:rsidRPr="004D2C68" w:rsidP="00B73DEB" w14:paraId="3BFB1156"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bookmarkStart w:id="1" w:name="_GoBack"/>
      <w:bookmarkEnd w:id="1"/>
    </w:p>
    <w:tbl>
      <w:tblPr>
        <w:tblW w:w="5000" w:type="pct"/>
        <w:tblCellSpacing w:w="15"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
      <w:tblGrid>
        <w:gridCol w:w="550"/>
        <w:gridCol w:w="2136"/>
        <w:gridCol w:w="6369"/>
      </w:tblGrid>
      <w:tr w14:paraId="65BDD4F9" w14:textId="4AFBDCB3" w:rsidTr="00D75B1C">
        <w:tblPrEx>
          <w:tblW w:w="5000" w:type="pct"/>
          <w:tblCellSpacing w:w="15"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tblPrEx>
        <w:trPr>
          <w:tblCellSpacing w:w="15" w:type="dxa"/>
        </w:trPr>
        <w:tc>
          <w:tcPr>
            <w:tcW w:w="0" w:type="auto"/>
            <w:gridSpan w:val="3"/>
            <w:vAlign w:val="center"/>
            <w:hideMark/>
          </w:tcPr>
          <w:p w:rsidR="00B46EE6" w:rsidRPr="004D2C68" w:rsidP="00B73DEB" w14:paraId="3B4E913A" w14:textId="302E0EDA">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7BA2A9F" w14:textId="50263284" w:rsidTr="00D75B1C">
        <w:tblPrEx>
          <w:tblW w:w="5000" w:type="pct"/>
          <w:tblCellSpacing w:w="15" w:type="dxa"/>
          <w:tblCellMar>
            <w:top w:w="30" w:type="dxa"/>
            <w:left w:w="30" w:type="dxa"/>
            <w:bottom w:w="30" w:type="dxa"/>
            <w:right w:w="30" w:type="dxa"/>
          </w:tblCellMar>
          <w:tblLook w:val="04A0"/>
        </w:tblPrEx>
        <w:trPr>
          <w:tblCellSpacing w:w="15" w:type="dxa"/>
        </w:trPr>
        <w:tc>
          <w:tcPr>
            <w:tcW w:w="279" w:type="pct"/>
            <w:hideMark/>
          </w:tcPr>
          <w:p w:rsidR="00B46EE6" w:rsidRPr="004D2C68" w:rsidP="00B73DEB" w14:paraId="3EA053C3" w14:textId="3DC3ECC8">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1.</w:t>
            </w:r>
          </w:p>
        </w:tc>
        <w:tc>
          <w:tcPr>
            <w:tcW w:w="1163" w:type="pct"/>
          </w:tcPr>
          <w:p w:rsidR="00B46EE6" w:rsidRPr="004D2C68" w:rsidP="00B73DEB" w14:paraId="0A36841B" w14:textId="6CA39856">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Saistības pret Eiropas Savienību</w:t>
            </w:r>
          </w:p>
        </w:tc>
        <w:tc>
          <w:tcPr>
            <w:tcW w:w="3492" w:type="pct"/>
          </w:tcPr>
          <w:p w:rsidR="009A6742" w:rsidRPr="004D2C68" w:rsidP="00B73DEB" w14:paraId="382691E6" w14:textId="7D501918">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1</w:t>
            </w:r>
            <w:r w:rsidRPr="004D2C68" w:rsidR="003707D0">
              <w:rPr>
                <w:rFonts w:ascii="Times New Roman" w:eastAsia="Times New Roman" w:hAnsi="Times New Roman" w:cs="Times New Roman"/>
                <w:bCs/>
                <w:iCs/>
                <w:sz w:val="24"/>
                <w:szCs w:val="24"/>
                <w:lang w:eastAsia="lv-LV"/>
              </w:rPr>
              <w:t xml:space="preserve">) </w:t>
            </w:r>
            <w:r w:rsidRPr="004D2C68">
              <w:rPr>
                <w:rFonts w:ascii="Times New Roman" w:eastAsia="Times New Roman" w:hAnsi="Times New Roman" w:cs="Times New Roman"/>
                <w:sz w:val="24"/>
                <w:szCs w:val="24"/>
                <w:lang w:eastAsia="lv-LV"/>
              </w:rPr>
              <w:t xml:space="preserve">Direktīva </w:t>
            </w:r>
            <w:r w:rsidR="00056A3E">
              <w:rPr>
                <w:rFonts w:ascii="Times New Roman" w:eastAsia="Times New Roman" w:hAnsi="Times New Roman" w:cs="Times New Roman"/>
                <w:sz w:val="24"/>
                <w:szCs w:val="24"/>
                <w:lang w:eastAsia="lv-LV"/>
              </w:rPr>
              <w:t>Nr.</w:t>
            </w:r>
            <w:r w:rsidRPr="004D2C68">
              <w:rPr>
                <w:rFonts w:ascii="Times New Roman" w:eastAsia="Times New Roman" w:hAnsi="Times New Roman" w:cs="Times New Roman"/>
                <w:sz w:val="24"/>
                <w:szCs w:val="24"/>
                <w:lang w:eastAsia="lv-LV"/>
              </w:rPr>
              <w:t>98/70/EK, konsolidētā versija iekļaujot:</w:t>
            </w:r>
          </w:p>
          <w:p w:rsidR="009A6742" w:rsidRPr="004D2C68" w:rsidP="00B73DEB" w14:paraId="3AB7E61E" w14:textId="099B98FE">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a) Komisijas 2000.gada 7.novembra </w:t>
            </w:r>
            <w:r w:rsidR="00D61E35">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irektīva Nr.2000/71/</w:t>
            </w:r>
            <w:r w:rsidR="00CB0F15">
              <w:rPr>
                <w:rFonts w:ascii="Times New Roman" w:eastAsia="Times New Roman" w:hAnsi="Times New Roman" w:cs="Times New Roman"/>
                <w:sz w:val="24"/>
                <w:szCs w:val="24"/>
                <w:lang w:eastAsia="lv-LV"/>
              </w:rPr>
              <w:t>E</w:t>
            </w:r>
            <w:r w:rsidRPr="004D2C68">
              <w:rPr>
                <w:rFonts w:ascii="Times New Roman" w:eastAsia="Times New Roman" w:hAnsi="Times New Roman" w:cs="Times New Roman"/>
                <w:sz w:val="24"/>
                <w:szCs w:val="24"/>
                <w:lang w:eastAsia="lv-LV"/>
              </w:rPr>
              <w:t>K, ar ko Eiropas Parlamenta un Padomes Direktīvas 98/70/EK I, II, III un IV pielikumā izklāstītās mērīšanas metodes pielāgo tehnikas attīstībai, kā paredzēts minētās direktīvas 10.pantā;</w:t>
            </w:r>
          </w:p>
          <w:p w:rsidR="009A6742" w:rsidRPr="004D2C68" w:rsidP="00B73DEB" w14:paraId="3C03E444" w14:textId="31490C76">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 Eiropas Parlamenta un Padomes 2003</w:t>
            </w:r>
            <w:r w:rsidR="002B280A">
              <w:rPr>
                <w:rFonts w:ascii="Times New Roman" w:eastAsia="Times New Roman" w:hAnsi="Times New Roman" w:cs="Times New Roman"/>
                <w:sz w:val="24"/>
                <w:szCs w:val="24"/>
                <w:lang w:eastAsia="lv-LV"/>
              </w:rPr>
              <w:t>.g</w:t>
            </w:r>
            <w:r w:rsidRPr="004D2C68">
              <w:rPr>
                <w:rFonts w:ascii="Times New Roman" w:eastAsia="Times New Roman" w:hAnsi="Times New Roman" w:cs="Times New Roman"/>
                <w:sz w:val="24"/>
                <w:szCs w:val="24"/>
                <w:lang w:eastAsia="lv-LV"/>
              </w:rPr>
              <w:t xml:space="preserve">ada 3.marta </w:t>
            </w:r>
            <w:r w:rsidR="00EB275D">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irektīva Nr.2003/17/EK, ar kuru groza Direktīvu 98/70/EK, kas attiecas uz benzīna un dīzeļdegvielas kvalitāti;</w:t>
            </w:r>
          </w:p>
          <w:p w:rsidR="009A6742" w:rsidRPr="004D2C68" w:rsidP="00B73DEB" w14:paraId="7C58D699" w14:textId="5A6FC995">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 Eiropas Parlamenta un Padomes 2003</w:t>
            </w:r>
            <w:r w:rsidR="002B280A">
              <w:rPr>
                <w:rFonts w:ascii="Times New Roman" w:eastAsia="Times New Roman" w:hAnsi="Times New Roman" w:cs="Times New Roman"/>
                <w:sz w:val="24"/>
                <w:szCs w:val="24"/>
                <w:lang w:eastAsia="lv-LV"/>
              </w:rPr>
              <w:t>.g</w:t>
            </w:r>
            <w:r w:rsidRPr="004D2C68">
              <w:rPr>
                <w:rFonts w:ascii="Times New Roman" w:eastAsia="Times New Roman" w:hAnsi="Times New Roman" w:cs="Times New Roman"/>
                <w:sz w:val="24"/>
                <w:szCs w:val="24"/>
                <w:lang w:eastAsia="lv-LV"/>
              </w:rPr>
              <w:t xml:space="preserve">ada 29.septembra </w:t>
            </w:r>
            <w:r w:rsidR="00C343CD">
              <w:rPr>
                <w:rFonts w:ascii="Times New Roman" w:eastAsia="Times New Roman" w:hAnsi="Times New Roman" w:cs="Times New Roman"/>
                <w:sz w:val="24"/>
                <w:szCs w:val="24"/>
                <w:lang w:eastAsia="lv-LV"/>
              </w:rPr>
              <w:t>R</w:t>
            </w:r>
            <w:r w:rsidRPr="004D2C68">
              <w:rPr>
                <w:rFonts w:ascii="Times New Roman" w:eastAsia="Times New Roman" w:hAnsi="Times New Roman" w:cs="Times New Roman"/>
                <w:sz w:val="24"/>
                <w:szCs w:val="24"/>
                <w:lang w:eastAsia="lv-LV"/>
              </w:rPr>
              <w:t xml:space="preserve">egula (EK) </w:t>
            </w:r>
            <w:r w:rsidR="00056A3E">
              <w:rPr>
                <w:rFonts w:ascii="Times New Roman" w:eastAsia="Times New Roman" w:hAnsi="Times New Roman" w:cs="Times New Roman"/>
                <w:sz w:val="24"/>
                <w:szCs w:val="24"/>
                <w:lang w:eastAsia="lv-LV"/>
              </w:rPr>
              <w:t>Nr.</w:t>
            </w:r>
            <w:r w:rsidRPr="004D2C68">
              <w:rPr>
                <w:rFonts w:ascii="Times New Roman" w:eastAsia="Times New Roman" w:hAnsi="Times New Roman" w:cs="Times New Roman"/>
                <w:sz w:val="24"/>
                <w:szCs w:val="24"/>
                <w:lang w:eastAsia="lv-LV"/>
              </w:rPr>
              <w:t xml:space="preserve">1882/2003, ar ko Padomes Lēmumam </w:t>
            </w:r>
            <w:r w:rsidRPr="004D2C68">
              <w:rPr>
                <w:rFonts w:ascii="Times New Roman" w:eastAsia="Times New Roman" w:hAnsi="Times New Roman" w:cs="Times New Roman"/>
                <w:sz w:val="24"/>
                <w:szCs w:val="24"/>
                <w:lang w:eastAsia="lv-LV"/>
              </w:rPr>
              <w:t>1999/468/EK pielāgo noteikumus par komitejām, kuras palīdz Komisijai īstenot tai piešķirtās ieviešanas pilnvaras, kas noteiktas dokumentos, uz kuriem attiecas EK līguma 251. pantā minētā procedūra</w:t>
            </w:r>
          </w:p>
          <w:p w:rsidR="009A6742" w:rsidRPr="004D2C68" w:rsidP="00B73DEB" w14:paraId="772D99E0" w14:textId="1563198C">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d) </w:t>
            </w:r>
            <w:r w:rsidR="00D5189C">
              <w:rPr>
                <w:rFonts w:ascii="Times New Roman" w:eastAsia="Times New Roman" w:hAnsi="Times New Roman" w:cs="Times New Roman"/>
                <w:sz w:val="24"/>
                <w:szCs w:val="24"/>
                <w:lang w:eastAsia="lv-LV"/>
              </w:rPr>
              <w:t>Eiropas Parlamenta un Padomes 2009</w:t>
            </w:r>
            <w:r w:rsidR="002B280A">
              <w:rPr>
                <w:rFonts w:ascii="Times New Roman" w:eastAsia="Times New Roman" w:hAnsi="Times New Roman" w:cs="Times New Roman"/>
                <w:sz w:val="24"/>
                <w:szCs w:val="24"/>
                <w:lang w:eastAsia="lv-LV"/>
              </w:rPr>
              <w:t>.g</w:t>
            </w:r>
            <w:r w:rsidR="00D5189C">
              <w:rPr>
                <w:rFonts w:ascii="Times New Roman" w:eastAsia="Times New Roman" w:hAnsi="Times New Roman" w:cs="Times New Roman"/>
                <w:sz w:val="24"/>
                <w:szCs w:val="24"/>
                <w:lang w:eastAsia="lv-LV"/>
              </w:rPr>
              <w:t>ada 23.aprīļa d</w:t>
            </w:r>
            <w:r w:rsidRPr="004D2C68">
              <w:rPr>
                <w:rFonts w:ascii="Times New Roman" w:eastAsia="Times New Roman" w:hAnsi="Times New Roman" w:cs="Times New Roman"/>
                <w:sz w:val="24"/>
                <w:szCs w:val="24"/>
                <w:lang w:eastAsia="lv-LV"/>
              </w:rPr>
              <w:t xml:space="preserve">irektīva </w:t>
            </w:r>
            <w:r w:rsidR="00056A3E">
              <w:rPr>
                <w:rFonts w:ascii="Times New Roman" w:eastAsia="Times New Roman" w:hAnsi="Times New Roman" w:cs="Times New Roman"/>
                <w:sz w:val="24"/>
                <w:szCs w:val="24"/>
                <w:lang w:eastAsia="lv-LV"/>
              </w:rPr>
              <w:t>Nr.</w:t>
            </w:r>
            <w:r w:rsidRPr="004D2C68">
              <w:rPr>
                <w:rFonts w:ascii="Times New Roman" w:eastAsia="Times New Roman" w:hAnsi="Times New Roman" w:cs="Times New Roman"/>
                <w:sz w:val="24"/>
                <w:szCs w:val="24"/>
                <w:lang w:eastAsia="lv-LV"/>
              </w:rPr>
              <w:t>2009/30/EK</w:t>
            </w:r>
            <w:r w:rsidR="00D5189C">
              <w:rPr>
                <w:rFonts w:ascii="Times New Roman" w:eastAsia="Times New Roman" w:hAnsi="Times New Roman" w:cs="Times New Roman"/>
                <w:sz w:val="24"/>
                <w:szCs w:val="24"/>
                <w:lang w:eastAsia="lv-LV"/>
              </w:rPr>
              <w:t xml:space="preserve">, </w:t>
            </w:r>
            <w:r w:rsidRPr="00D5189C" w:rsidR="00D5189C">
              <w:rPr>
                <w:rFonts w:ascii="Times New Roman" w:eastAsia="Times New Roman" w:hAnsi="Times New Roman" w:cs="Times New Roman"/>
                <w:sz w:val="24"/>
                <w:szCs w:val="24"/>
                <w:lang w:eastAsia="lv-LV"/>
              </w:rPr>
              <w:t>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Pr="004D2C68">
              <w:rPr>
                <w:rFonts w:ascii="Times New Roman" w:eastAsia="Times New Roman" w:hAnsi="Times New Roman" w:cs="Times New Roman"/>
                <w:sz w:val="24"/>
                <w:szCs w:val="24"/>
                <w:lang w:eastAsia="lv-LV"/>
              </w:rPr>
              <w:t>;</w:t>
            </w:r>
          </w:p>
          <w:p w:rsidR="009A6742" w:rsidRPr="004D2C68" w:rsidP="00B73DEB" w14:paraId="2B750E9A" w14:textId="77777777">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e) Komisijas 2011.gada 1.jūnija direktīva Nr.2011/63/ES, ar kuru, pielāgojot tehnikas attīstībai, groza Eiropas Parlamenta un Padomes Direktīvu 98/70/EK, kas attiecas uz benzīna un dīzeļdegvielu kvalitāti;</w:t>
            </w:r>
          </w:p>
          <w:p w:rsidR="009A6742" w:rsidRPr="004D2C68" w:rsidP="00B73DEB" w14:paraId="44BDF6E6" w14:textId="77777777">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f) Komisijas 2014.gada 10.jūnija direktīva Nr.2014/77/ES, ar kuru groza Eiropas Parlamenta un Padomes Direktīvas 98/70/EK I un II pielikumu, kas attiecas uz benzīna un dīzeļdegvielu kvalitāti; </w:t>
            </w:r>
          </w:p>
          <w:p w:rsidR="009A6742" w:rsidP="00B73DEB" w14:paraId="4078C57F" w14:textId="1C70B1AF">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g) </w:t>
            </w:r>
            <w:r w:rsidR="00D5189C">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D5189C">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w:t>
            </w:r>
            <w:r w:rsidR="00056A3E">
              <w:rPr>
                <w:rFonts w:ascii="Times New Roman" w:eastAsia="Times New Roman" w:hAnsi="Times New Roman" w:cs="Times New Roman"/>
                <w:sz w:val="24"/>
                <w:szCs w:val="24"/>
                <w:lang w:eastAsia="lv-LV"/>
              </w:rPr>
              <w:t>Nr.</w:t>
            </w:r>
            <w:r w:rsidRPr="004D2C68">
              <w:rPr>
                <w:rFonts w:ascii="Times New Roman" w:eastAsia="Times New Roman" w:hAnsi="Times New Roman" w:cs="Times New Roman"/>
                <w:sz w:val="24"/>
                <w:szCs w:val="24"/>
                <w:lang w:eastAsia="lv-LV"/>
              </w:rPr>
              <w:t>2015/1513</w:t>
            </w:r>
            <w:r w:rsidR="00D5189C">
              <w:rPr>
                <w:rFonts w:ascii="Times New Roman" w:eastAsia="Times New Roman" w:hAnsi="Times New Roman" w:cs="Times New Roman"/>
                <w:sz w:val="24"/>
                <w:szCs w:val="24"/>
                <w:lang w:eastAsia="lv-LV"/>
              </w:rPr>
              <w:t>.</w:t>
            </w:r>
          </w:p>
          <w:p w:rsidR="00D5189C" w:rsidRPr="004D2C68" w:rsidP="00B73DEB" w14:paraId="62A997C2" w14:textId="77777777">
            <w:pPr>
              <w:spacing w:after="0" w:line="240" w:lineRule="auto"/>
              <w:contextualSpacing/>
              <w:jc w:val="both"/>
              <w:rPr>
                <w:rFonts w:ascii="Times New Roman" w:eastAsia="Times New Roman" w:hAnsi="Times New Roman" w:cs="Times New Roman"/>
                <w:sz w:val="24"/>
                <w:szCs w:val="24"/>
                <w:lang w:eastAsia="lv-LV"/>
              </w:rPr>
            </w:pPr>
          </w:p>
          <w:p w:rsidR="009A6742" w:rsidP="00B73DEB" w14:paraId="743D73A6" w14:textId="5B72BD7B">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4D2C68" w:rsidR="00620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Direktīva Nr.2009/28/EK, konsolidētajā versijā iekļaujot:</w:t>
            </w:r>
          </w:p>
          <w:p w:rsidR="00D5189C" w:rsidP="00B73DEB" w14:paraId="650717B9" w14:textId="49285794">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Padomes 2013</w:t>
            </w:r>
            <w:r w:rsidR="002B280A">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 xml:space="preserve">ada 13. maija direktīvu Nr.2013/18/ES, </w:t>
            </w:r>
            <w:r w:rsidRPr="00D5189C">
              <w:rPr>
                <w:rFonts w:ascii="Times New Roman" w:eastAsia="Times New Roman" w:hAnsi="Times New Roman" w:cs="Times New Roman"/>
                <w:sz w:val="24"/>
                <w:szCs w:val="24"/>
                <w:lang w:eastAsia="lv-LV"/>
              </w:rPr>
              <w:t>ar ko pielāgo Eiropas Parlamenta un Padomes Direktīvu 2009/28/EK par atjaunojamo energoresursu izmantošanas veicināšanu saistībā ar Horvātijas Republikas pievienošanos</w:t>
            </w:r>
            <w:r>
              <w:rPr>
                <w:rFonts w:ascii="Times New Roman" w:eastAsia="Times New Roman" w:hAnsi="Times New Roman" w:cs="Times New Roman"/>
                <w:sz w:val="24"/>
                <w:szCs w:val="24"/>
                <w:lang w:eastAsia="lv-LV"/>
              </w:rPr>
              <w:t>;</w:t>
            </w:r>
          </w:p>
          <w:p w:rsidR="00D5189C" w:rsidRPr="004D2C68" w:rsidP="00B73DEB" w14:paraId="1FAE3EF2" w14:textId="55917601">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Direktīvu </w:t>
            </w:r>
            <w:r w:rsidR="00056A3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2015/1513.</w:t>
            </w:r>
          </w:p>
          <w:p w:rsidR="006203F8" w:rsidRPr="004D2C68" w:rsidP="00B73DEB" w14:paraId="31C12C82" w14:textId="77777777">
            <w:pPr>
              <w:spacing w:after="0" w:line="240" w:lineRule="auto"/>
              <w:contextualSpacing/>
              <w:jc w:val="both"/>
              <w:rPr>
                <w:rFonts w:ascii="Times New Roman" w:eastAsia="Times New Roman" w:hAnsi="Times New Roman" w:cs="Times New Roman"/>
                <w:sz w:val="24"/>
                <w:szCs w:val="24"/>
                <w:lang w:eastAsia="lv-LV"/>
              </w:rPr>
            </w:pPr>
          </w:p>
          <w:p w:rsidR="006203F8" w:rsidRPr="004D2C68" w:rsidP="00B73DEB" w14:paraId="646CC0A0" w14:textId="7DF57675">
            <w:pPr>
              <w:spacing w:after="0" w:line="240" w:lineRule="auto"/>
              <w:contextualSpacing/>
              <w:jc w:val="both"/>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sz w:val="24"/>
                <w:szCs w:val="24"/>
                <w:lang w:eastAsia="lv-LV"/>
              </w:rPr>
              <w:t>Š</w:t>
            </w:r>
            <w:r w:rsidRPr="004D2C68" w:rsidR="002C62F6">
              <w:rPr>
                <w:rFonts w:ascii="Times New Roman" w:eastAsia="Times New Roman" w:hAnsi="Times New Roman" w:cs="Times New Roman"/>
                <w:sz w:val="24"/>
                <w:szCs w:val="24"/>
                <w:lang w:eastAsia="lv-LV"/>
              </w:rPr>
              <w:t xml:space="preserve">īs anotācijas V sadaļas 1.tabulā ir iekļauta informācija par Direktīvas </w:t>
            </w:r>
            <w:r w:rsidR="00056A3E">
              <w:rPr>
                <w:rFonts w:ascii="Times New Roman" w:eastAsia="Times New Roman" w:hAnsi="Times New Roman" w:cs="Times New Roman"/>
                <w:sz w:val="24"/>
                <w:szCs w:val="24"/>
                <w:lang w:eastAsia="lv-LV"/>
              </w:rPr>
              <w:t>Nr.</w:t>
            </w:r>
            <w:r w:rsidRPr="004D2C68" w:rsidR="002C62F6">
              <w:rPr>
                <w:rFonts w:ascii="Times New Roman" w:eastAsia="Times New Roman" w:hAnsi="Times New Roman" w:cs="Times New Roman"/>
                <w:sz w:val="24"/>
                <w:szCs w:val="24"/>
                <w:lang w:eastAsia="lv-LV"/>
              </w:rPr>
              <w:t>98/70/EK</w:t>
            </w:r>
            <w:r w:rsidRPr="004D2C68">
              <w:rPr>
                <w:rFonts w:ascii="Times New Roman" w:eastAsia="Times New Roman" w:hAnsi="Times New Roman" w:cs="Times New Roman"/>
                <w:sz w:val="24"/>
                <w:szCs w:val="24"/>
                <w:lang w:eastAsia="lv-LV"/>
              </w:rPr>
              <w:t xml:space="preserve"> un Direktīvas Nr.2009/28/EK</w:t>
            </w:r>
            <w:r w:rsidRPr="004D2C68" w:rsidR="002C62F6">
              <w:rPr>
                <w:rFonts w:ascii="Times New Roman" w:eastAsia="Times New Roman" w:hAnsi="Times New Roman" w:cs="Times New Roman"/>
                <w:sz w:val="24"/>
                <w:szCs w:val="24"/>
                <w:lang w:eastAsia="lv-LV"/>
              </w:rPr>
              <w:t xml:space="preserve"> normām, kas attiecas uz Noteikumu projektu</w:t>
            </w:r>
            <w:r w:rsidRPr="004D2C68">
              <w:rPr>
                <w:rFonts w:ascii="Times New Roman" w:eastAsia="Times New Roman" w:hAnsi="Times New Roman" w:cs="Times New Roman"/>
                <w:sz w:val="24"/>
                <w:szCs w:val="24"/>
                <w:lang w:eastAsia="lv-LV"/>
              </w:rPr>
              <w:t>.</w:t>
            </w:r>
          </w:p>
        </w:tc>
      </w:tr>
      <w:tr w14:paraId="6DC2F42F" w14:textId="3B26AFB0" w:rsidTr="00D75B1C">
        <w:tblPrEx>
          <w:tblW w:w="5000" w:type="pct"/>
          <w:tblCellSpacing w:w="15" w:type="dxa"/>
          <w:tblCellMar>
            <w:top w:w="30" w:type="dxa"/>
            <w:left w:w="30" w:type="dxa"/>
            <w:bottom w:w="30" w:type="dxa"/>
            <w:right w:w="30" w:type="dxa"/>
          </w:tblCellMar>
          <w:tblLook w:val="04A0"/>
        </w:tblPrEx>
        <w:trPr>
          <w:tblCellSpacing w:w="15" w:type="dxa"/>
        </w:trPr>
        <w:tc>
          <w:tcPr>
            <w:tcW w:w="279" w:type="pct"/>
            <w:vAlign w:val="center"/>
          </w:tcPr>
          <w:p w:rsidR="00B46EE6" w:rsidRPr="004D2C68" w:rsidP="00B73DEB" w14:paraId="15AB7562" w14:textId="7073BA47">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2.</w:t>
            </w:r>
          </w:p>
        </w:tc>
        <w:tc>
          <w:tcPr>
            <w:tcW w:w="1163" w:type="pct"/>
          </w:tcPr>
          <w:p w:rsidR="00B46EE6" w:rsidRPr="004D2C68" w:rsidP="00B73DEB" w14:paraId="2A95628A" w14:textId="141D836F">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Citas starptautiskās saistības</w:t>
            </w:r>
          </w:p>
        </w:tc>
        <w:tc>
          <w:tcPr>
            <w:tcW w:w="3492" w:type="pct"/>
          </w:tcPr>
          <w:p w:rsidR="00B46EE6" w:rsidRPr="004D2C68" w:rsidP="00B73DEB" w14:paraId="562ECC8D" w14:textId="785B148B">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hAnsi="Times New Roman" w:cs="Times New Roman"/>
                <w:sz w:val="24"/>
                <w:szCs w:val="24"/>
              </w:rPr>
              <w:t>Projekts šo jomu neskar.</w:t>
            </w:r>
          </w:p>
        </w:tc>
      </w:tr>
      <w:tr w14:paraId="10F83307" w14:textId="5C6A205A" w:rsidTr="00D75B1C">
        <w:tblPrEx>
          <w:tblW w:w="5000" w:type="pct"/>
          <w:tblCellSpacing w:w="15" w:type="dxa"/>
          <w:tblCellMar>
            <w:top w:w="30" w:type="dxa"/>
            <w:left w:w="30" w:type="dxa"/>
            <w:bottom w:w="30" w:type="dxa"/>
            <w:right w:w="30" w:type="dxa"/>
          </w:tblCellMar>
          <w:tblLook w:val="04A0"/>
        </w:tblPrEx>
        <w:trPr>
          <w:tblCellSpacing w:w="15" w:type="dxa"/>
        </w:trPr>
        <w:tc>
          <w:tcPr>
            <w:tcW w:w="279" w:type="pct"/>
            <w:vAlign w:val="center"/>
          </w:tcPr>
          <w:p w:rsidR="00B46EE6" w:rsidRPr="004D2C68" w:rsidP="00B73DEB" w14:paraId="28564740" w14:textId="7C8440DB">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3.</w:t>
            </w:r>
          </w:p>
        </w:tc>
        <w:tc>
          <w:tcPr>
            <w:tcW w:w="1163" w:type="pct"/>
          </w:tcPr>
          <w:p w:rsidR="00B46EE6" w:rsidRPr="004D2C68" w:rsidP="00B73DEB" w14:paraId="474D5C49" w14:textId="3A6EB681">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 informācija</w:t>
            </w:r>
          </w:p>
        </w:tc>
        <w:tc>
          <w:tcPr>
            <w:tcW w:w="3492" w:type="pct"/>
          </w:tcPr>
          <w:p w:rsidR="00B46EE6" w:rsidRPr="004D2C68" w:rsidP="00B73DEB" w14:paraId="6E680272" w14:textId="74382620">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Nav.</w:t>
            </w:r>
          </w:p>
        </w:tc>
      </w:tr>
    </w:tbl>
    <w:p w:rsidR="00B46EE6" w:rsidRPr="004D2C68" w:rsidP="00B73DEB" w14:paraId="1B876B0E" w14:textId="1D749687">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24" w:type="dxa"/>
          <w:left w:w="24" w:type="dxa"/>
          <w:bottom w:w="24" w:type="dxa"/>
          <w:right w:w="24" w:type="dxa"/>
        </w:tblCellMar>
        <w:tblLook w:val="04A0"/>
      </w:tblPr>
      <w:tblGrid>
        <w:gridCol w:w="2024"/>
        <w:gridCol w:w="1932"/>
        <w:gridCol w:w="2277"/>
        <w:gridCol w:w="2865"/>
      </w:tblGrid>
      <w:tr w14:paraId="47341335" w14:textId="77777777" w:rsidTr="00FD5027">
        <w:tblPrEx>
          <w:tblW w:w="5024" w:type="pct"/>
          <w:jc w:val="center"/>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24" w:type="dxa"/>
            <w:left w:w="24" w:type="dxa"/>
            <w:bottom w:w="24" w:type="dxa"/>
            <w:right w:w="24" w:type="dxa"/>
          </w:tblCellMar>
          <w:tblLook w:val="04A0"/>
        </w:tblPrEx>
        <w:trPr>
          <w:tblCellSpacing w:w="20" w:type="dxa"/>
          <w:jc w:val="center"/>
        </w:trPr>
        <w:tc>
          <w:tcPr>
            <w:tcW w:w="4956" w:type="pct"/>
            <w:gridSpan w:val="4"/>
            <w:vAlign w:val="center"/>
            <w:hideMark/>
          </w:tcPr>
          <w:p w:rsidR="00B46EE6" w:rsidRPr="004D2C68" w:rsidP="00B73DEB" w14:paraId="50E047EC" w14:textId="77777777">
            <w:pPr>
              <w:spacing w:after="0" w:line="240" w:lineRule="auto"/>
              <w:ind w:left="112"/>
              <w:contextualSpacing/>
              <w:jc w:val="center"/>
              <w:rPr>
                <w:rFonts w:ascii="Times New Roman" w:eastAsia="Times New Roman" w:hAnsi="Times New Roman" w:cs="Times New Roman"/>
                <w:b/>
                <w:bCs/>
                <w:color w:val="414142"/>
                <w:sz w:val="24"/>
                <w:szCs w:val="24"/>
                <w:lang w:eastAsia="lv-LV"/>
              </w:rPr>
            </w:pPr>
            <w:r w:rsidRPr="004D2C68">
              <w:rPr>
                <w:rFonts w:ascii="Times New Roman" w:eastAsia="Times New Roman" w:hAnsi="Times New Roman" w:cs="Times New Roman"/>
                <w:b/>
                <w:bCs/>
                <w:color w:val="414142"/>
                <w:sz w:val="24"/>
                <w:szCs w:val="24"/>
                <w:lang w:eastAsia="lv-LV"/>
              </w:rPr>
              <w:t>1. tabula</w:t>
            </w:r>
            <w:r w:rsidRPr="004D2C68">
              <w:rPr>
                <w:rFonts w:ascii="Times New Roman" w:eastAsia="Times New Roman" w:hAnsi="Times New Roman" w:cs="Times New Roman"/>
                <w:b/>
                <w:bCs/>
                <w:color w:val="414142"/>
                <w:sz w:val="24"/>
                <w:szCs w:val="24"/>
                <w:lang w:eastAsia="lv-LV"/>
              </w:rPr>
              <w:br/>
              <w:t>Tiesību akta projekta atbilstība ES tiesību aktiem</w:t>
            </w:r>
          </w:p>
        </w:tc>
      </w:tr>
      <w:tr w14:paraId="4A60F008" w14:textId="77777777" w:rsidTr="008A1E71">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B46EE6" w:rsidRPr="009170F2" w:rsidP="00B73DEB" w14:paraId="33D1B65D" w14:textId="77777777">
            <w:pPr>
              <w:spacing w:after="0" w:line="240" w:lineRule="auto"/>
              <w:contextualSpacing/>
              <w:rPr>
                <w:rFonts w:ascii="Times New Roman" w:eastAsia="Times New Roman" w:hAnsi="Times New Roman" w:cs="Times New Roman"/>
                <w:sz w:val="24"/>
                <w:szCs w:val="24"/>
                <w:lang w:eastAsia="lv-LV"/>
              </w:rPr>
            </w:pPr>
            <w:r w:rsidRPr="009170F2">
              <w:rPr>
                <w:rFonts w:ascii="Times New Roman" w:eastAsia="Times New Roman" w:hAnsi="Times New Roman" w:cs="Times New Roman"/>
                <w:sz w:val="24"/>
                <w:szCs w:val="24"/>
                <w:lang w:eastAsia="lv-LV"/>
              </w:rPr>
              <w:t>Attiecīgā ES tiesību akta datums, numurs un nosaukums</w:t>
            </w:r>
          </w:p>
        </w:tc>
        <w:tc>
          <w:tcPr>
            <w:tcW w:w="3840" w:type="pct"/>
            <w:gridSpan w:val="3"/>
            <w:hideMark/>
          </w:tcPr>
          <w:p w:rsidR="00CF120E" w:rsidP="00AF1FDE" w14:paraId="79D9A71B" w14:textId="352DE8A0">
            <w:pPr>
              <w:spacing w:after="0" w:line="240" w:lineRule="auto"/>
              <w:contextualSpacing/>
              <w:jc w:val="both"/>
              <w:rPr>
                <w:rFonts w:ascii="Times New Roman" w:eastAsia="Times New Roman" w:hAnsi="Times New Roman" w:cs="Times New Roman"/>
                <w:sz w:val="24"/>
                <w:szCs w:val="24"/>
                <w:lang w:eastAsia="lv-LV"/>
              </w:rPr>
            </w:pPr>
            <w:r w:rsidRPr="009D2B6F">
              <w:rPr>
                <w:rFonts w:ascii="Times New Roman" w:eastAsia="Times New Roman" w:hAnsi="Times New Roman" w:cs="Times New Roman"/>
                <w:sz w:val="24"/>
                <w:szCs w:val="24"/>
                <w:lang w:eastAsia="lv-LV"/>
              </w:rPr>
              <w:t>Direktīva Nr.98/70/EK</w:t>
            </w:r>
            <w:r w:rsidR="00AF1FDE">
              <w:rPr>
                <w:rFonts w:ascii="Times New Roman" w:eastAsia="Times New Roman" w:hAnsi="Times New Roman" w:cs="Times New Roman"/>
                <w:sz w:val="24"/>
                <w:szCs w:val="24"/>
                <w:lang w:eastAsia="lv-LV"/>
              </w:rPr>
              <w:t>.</w:t>
            </w:r>
          </w:p>
          <w:p w:rsidR="00AF1FDE" w:rsidRPr="00AF1FDE" w:rsidP="00AF1FDE" w14:paraId="687C54C0" w14:textId="77777777">
            <w:pPr>
              <w:spacing w:after="0" w:line="240" w:lineRule="auto"/>
              <w:contextualSpacing/>
              <w:jc w:val="both"/>
              <w:rPr>
                <w:rFonts w:ascii="Times New Roman" w:eastAsia="Times New Roman" w:hAnsi="Times New Roman" w:cs="Times New Roman"/>
                <w:sz w:val="24"/>
                <w:szCs w:val="24"/>
                <w:lang w:eastAsia="lv-LV"/>
              </w:rPr>
            </w:pPr>
          </w:p>
          <w:p w:rsidR="00CF120E" w:rsidRPr="009D2B6F" w:rsidP="00CF120E" w14:paraId="2DECA388" w14:textId="2BADAA9D">
            <w:pPr>
              <w:spacing w:after="0" w:line="240" w:lineRule="auto"/>
              <w:contextualSpacing/>
              <w:jc w:val="both"/>
              <w:rPr>
                <w:rFonts w:ascii="Times New Roman" w:eastAsia="Times New Roman" w:hAnsi="Times New Roman" w:cs="Times New Roman"/>
                <w:sz w:val="24"/>
                <w:szCs w:val="24"/>
                <w:lang w:eastAsia="lv-LV"/>
              </w:rPr>
            </w:pPr>
            <w:r w:rsidRPr="009D2B6F">
              <w:rPr>
                <w:rFonts w:ascii="Times New Roman" w:eastAsia="Times New Roman" w:hAnsi="Times New Roman" w:cs="Times New Roman"/>
                <w:sz w:val="24"/>
                <w:szCs w:val="24"/>
                <w:lang w:eastAsia="lv-LV"/>
              </w:rPr>
              <w:t>Eiropas Parlamenta un Padomes 2009.gada 23.aprīļa direktīva Nr.2009/30/EK,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AF1FDE">
              <w:rPr>
                <w:rFonts w:ascii="Times New Roman" w:eastAsia="Times New Roman" w:hAnsi="Times New Roman" w:cs="Times New Roman"/>
                <w:sz w:val="24"/>
                <w:szCs w:val="24"/>
                <w:lang w:eastAsia="lv-LV"/>
              </w:rPr>
              <w:t>.</w:t>
            </w:r>
          </w:p>
          <w:p w:rsidR="00AF1FDE" w:rsidP="00CF120E" w14:paraId="3CC68C65" w14:textId="77777777">
            <w:pPr>
              <w:spacing w:after="0" w:line="240" w:lineRule="auto"/>
              <w:contextualSpacing/>
              <w:jc w:val="both"/>
              <w:rPr>
                <w:rFonts w:ascii="Times New Roman" w:eastAsia="Times New Roman" w:hAnsi="Times New Roman" w:cs="Times New Roman"/>
                <w:sz w:val="24"/>
                <w:szCs w:val="24"/>
                <w:highlight w:val="yellow"/>
                <w:lang w:eastAsia="lv-LV"/>
              </w:rPr>
            </w:pPr>
          </w:p>
          <w:p w:rsidR="00CF120E" w:rsidRPr="009D2B6F" w:rsidP="00CF120E" w14:paraId="3B051BD5" w14:textId="72E4235F">
            <w:pPr>
              <w:spacing w:after="0" w:line="240" w:lineRule="auto"/>
              <w:contextualSpacing/>
              <w:jc w:val="both"/>
              <w:rPr>
                <w:rFonts w:ascii="Times New Roman" w:eastAsia="Times New Roman" w:hAnsi="Times New Roman" w:cs="Times New Roman"/>
                <w:sz w:val="24"/>
                <w:szCs w:val="24"/>
                <w:lang w:eastAsia="lv-LV"/>
              </w:rPr>
            </w:pPr>
            <w:r w:rsidRPr="009D2B6F">
              <w:rPr>
                <w:rFonts w:ascii="Times New Roman" w:eastAsia="Times New Roman" w:hAnsi="Times New Roman" w:cs="Times New Roman"/>
                <w:sz w:val="24"/>
                <w:szCs w:val="24"/>
                <w:lang w:eastAsia="lv-LV"/>
              </w:rPr>
              <w:t>Direktīv</w:t>
            </w:r>
            <w:r w:rsidR="00AF1FDE">
              <w:rPr>
                <w:rFonts w:ascii="Times New Roman" w:eastAsia="Times New Roman" w:hAnsi="Times New Roman" w:cs="Times New Roman"/>
                <w:sz w:val="24"/>
                <w:szCs w:val="24"/>
                <w:lang w:eastAsia="lv-LV"/>
              </w:rPr>
              <w:t>a</w:t>
            </w:r>
            <w:r w:rsidRPr="009D2B6F">
              <w:rPr>
                <w:rFonts w:ascii="Times New Roman" w:eastAsia="Times New Roman" w:hAnsi="Times New Roman" w:cs="Times New Roman"/>
                <w:sz w:val="24"/>
                <w:szCs w:val="24"/>
                <w:lang w:eastAsia="lv-LV"/>
              </w:rPr>
              <w:t xml:space="preserve"> Nr.2015/1513.</w:t>
            </w:r>
          </w:p>
          <w:p w:rsidR="00B46EE6" w:rsidRPr="00CF120E" w:rsidP="00B73DEB" w14:paraId="0A39117F" w14:textId="3AA515BC">
            <w:pPr>
              <w:spacing w:after="0" w:line="240" w:lineRule="auto"/>
              <w:contextualSpacing/>
              <w:jc w:val="both"/>
              <w:rPr>
                <w:rFonts w:ascii="Times New Roman" w:eastAsia="Times New Roman" w:hAnsi="Times New Roman" w:cs="Times New Roman"/>
                <w:sz w:val="24"/>
                <w:szCs w:val="24"/>
                <w:highlight w:val="yellow"/>
                <w:lang w:eastAsia="lv-LV"/>
              </w:rPr>
            </w:pPr>
          </w:p>
        </w:tc>
      </w:tr>
      <w:tr w14:paraId="5B287A17"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vAlign w:val="center"/>
            <w:hideMark/>
          </w:tcPr>
          <w:p w:rsidR="00B46EE6" w:rsidRPr="004D2C68" w:rsidP="00B73DEB" w14:paraId="03E533E8"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1054" w:type="pct"/>
            <w:vAlign w:val="center"/>
            <w:hideMark/>
          </w:tcPr>
          <w:p w:rsidR="00B46EE6" w:rsidRPr="004D2C68" w:rsidP="00B73DEB" w14:paraId="0B050C53"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246" w:type="pct"/>
            <w:vAlign w:val="center"/>
            <w:hideMark/>
          </w:tcPr>
          <w:p w:rsidR="00B46EE6" w:rsidRPr="004D2C68" w:rsidP="00B73DEB" w14:paraId="5BB672BD"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496" w:type="pct"/>
            <w:vAlign w:val="center"/>
            <w:hideMark/>
          </w:tcPr>
          <w:p w:rsidR="00B46EE6" w:rsidRPr="004D2C68" w:rsidP="00B73DEB" w14:paraId="015CAB69"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14:paraId="3FCCDF49"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B46EE6" w:rsidRPr="004D2C68" w:rsidP="00B73DEB" w14:paraId="3AE09EDF"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54" w:type="pct"/>
            <w:hideMark/>
          </w:tcPr>
          <w:p w:rsidR="00B46EE6" w:rsidRPr="004D2C68" w:rsidP="00B73DEB" w14:paraId="563BA023"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46" w:type="pct"/>
            <w:hideMark/>
          </w:tcPr>
          <w:p w:rsidR="00B46EE6" w:rsidRPr="004D2C68" w:rsidP="00B73DEB" w14:paraId="487B315C"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B46EE6" w:rsidRPr="004D2C68" w:rsidP="00B73DEB" w14:paraId="39217DAC"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B46EE6" w:rsidRPr="004D2C68" w:rsidP="00B73DEB" w14:paraId="54DF14DD"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institūciju, kas ir atbildīga par šo saistību izpildi pilnībā</w:t>
            </w:r>
          </w:p>
        </w:tc>
        <w:tc>
          <w:tcPr>
            <w:tcW w:w="1496" w:type="pct"/>
            <w:hideMark/>
          </w:tcPr>
          <w:p w:rsidR="00B46EE6" w:rsidRPr="004D2C68" w:rsidP="00B73DEB" w14:paraId="0D3032E9"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B46EE6" w:rsidRPr="004D2C68" w:rsidP="00B73DEB" w14:paraId="0D1DD935"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B46EE6" w:rsidRPr="004D2C68" w:rsidP="00B73DEB" w14:paraId="4D228172"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52371D3"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CF120E" w14:paraId="319ECA70" w14:textId="1E4F8D29">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1.panta 1.punkts, kas papildina Direktīvas Nr.98/70/EK </w:t>
            </w:r>
            <w:r>
              <w:rPr>
                <w:rFonts w:ascii="Times New Roman" w:eastAsia="Times New Roman" w:hAnsi="Times New Roman" w:cs="Times New Roman"/>
                <w:sz w:val="24"/>
                <w:szCs w:val="24"/>
                <w:lang w:eastAsia="lv-LV"/>
              </w:rPr>
              <w:t>2. pant</w:t>
            </w:r>
            <w:r>
              <w:rPr>
                <w:rFonts w:ascii="Times New Roman" w:eastAsia="Times New Roman" w:hAnsi="Times New Roman" w:cs="Times New Roman"/>
                <w:sz w:val="24"/>
                <w:szCs w:val="24"/>
                <w:lang w:eastAsia="lv-LV"/>
              </w:rPr>
              <w:t>u ar</w:t>
            </w:r>
            <w:r>
              <w:rPr>
                <w:rFonts w:ascii="Times New Roman" w:eastAsia="Times New Roman" w:hAnsi="Times New Roman" w:cs="Times New Roman"/>
                <w:sz w:val="24"/>
                <w:szCs w:val="24"/>
                <w:lang w:eastAsia="lv-LV"/>
              </w:rPr>
              <w:t xml:space="preserve"> 10.punkt</w:t>
            </w:r>
            <w:r>
              <w:rPr>
                <w:rFonts w:ascii="Times New Roman" w:eastAsia="Times New Roman" w:hAnsi="Times New Roman" w:cs="Times New Roman"/>
                <w:sz w:val="24"/>
                <w:szCs w:val="24"/>
                <w:lang w:eastAsia="lv-LV"/>
              </w:rPr>
              <w:t>u</w:t>
            </w:r>
          </w:p>
        </w:tc>
        <w:tc>
          <w:tcPr>
            <w:tcW w:w="1054" w:type="pct"/>
          </w:tcPr>
          <w:p w:rsidR="00FD5027" w:rsidRPr="004D2C68" w:rsidP="00B73DEB" w14:paraId="33C8F923" w14:textId="4F4EF6B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3.punktā izteiktais Noteikumu Nr.545 </w:t>
            </w:r>
            <w:r w:rsidR="006917E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.22.apakšpunkts</w:t>
            </w:r>
          </w:p>
        </w:tc>
        <w:tc>
          <w:tcPr>
            <w:tcW w:w="1246" w:type="pct"/>
          </w:tcPr>
          <w:p w:rsidR="00FD5027" w:rsidRPr="00FD5027" w:rsidP="00B73DEB" w14:paraId="70EAE67D" w14:textId="3A2664BF">
            <w:pPr>
              <w:spacing w:after="0" w:line="240" w:lineRule="auto"/>
              <w:contextualSpacing/>
              <w:jc w:val="both"/>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7E992B6A" w14:textId="6DF3C44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DFA87CB"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CF120E" w:rsidRPr="004D2C68" w:rsidP="00CF120E" w14:paraId="4BD29048" w14:textId="3CF0DD3E">
            <w:pPr>
              <w:spacing w:after="0" w:line="240" w:lineRule="auto"/>
              <w:contextualSpacing/>
              <w:rPr>
                <w:rFonts w:ascii="Times New Roman" w:eastAsia="Times New Roman" w:hAnsi="Times New Roman" w:cs="Times New Roman"/>
                <w:sz w:val="24"/>
                <w:szCs w:val="24"/>
                <w:lang w:eastAsia="lv-LV"/>
              </w:rPr>
            </w:pPr>
            <w:r w:rsidRPr="00CC3477">
              <w:rPr>
                <w:rFonts w:ascii="Times New Roman" w:eastAsia="Times New Roman" w:hAnsi="Times New Roman" w:cs="Times New Roman"/>
                <w:sz w:val="24"/>
                <w:szCs w:val="24"/>
                <w:lang w:eastAsia="lv-LV"/>
              </w:rPr>
              <w:t>Direktīvas Nr.2015/1513 1.panta 1.punkts, kas papildina Direktīvas Nr.98/70/EK 2. pantu ar</w:t>
            </w:r>
            <w:r>
              <w:rPr>
                <w:rFonts w:ascii="Times New Roman" w:eastAsia="Times New Roman" w:hAnsi="Times New Roman" w:cs="Times New Roman"/>
                <w:sz w:val="24"/>
                <w:szCs w:val="24"/>
                <w:lang w:eastAsia="lv-LV"/>
              </w:rPr>
              <w:t xml:space="preserve"> 11</w:t>
            </w:r>
            <w:r w:rsidRPr="00CC3477">
              <w:rPr>
                <w:rFonts w:ascii="Times New Roman" w:eastAsia="Times New Roman" w:hAnsi="Times New Roman" w:cs="Times New Roman"/>
                <w:sz w:val="24"/>
                <w:szCs w:val="24"/>
                <w:lang w:eastAsia="lv-LV"/>
              </w:rPr>
              <w:t>.punktu</w:t>
            </w:r>
          </w:p>
        </w:tc>
        <w:tc>
          <w:tcPr>
            <w:tcW w:w="1054" w:type="pct"/>
          </w:tcPr>
          <w:p w:rsidR="00CF120E" w:rsidRPr="004D2C68" w:rsidP="00CF120E" w14:paraId="67F5F1D2" w14:textId="6E8904A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2.20.apakšpunkts</w:t>
            </w:r>
          </w:p>
        </w:tc>
        <w:tc>
          <w:tcPr>
            <w:tcW w:w="1246" w:type="pct"/>
          </w:tcPr>
          <w:p w:rsidR="00CF120E" w:rsidRPr="00FD5027" w:rsidP="00CF120E" w14:paraId="342221B4" w14:textId="3BBEEB2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CF120E" w:rsidRPr="00FD5027" w:rsidP="00CF120E" w14:paraId="1C73B52F" w14:textId="264F4880">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85B8D93"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CF120E" w:rsidRPr="004D2C68" w:rsidP="00CF120E" w14:paraId="6FAFC97F" w14:textId="6DC5C855">
            <w:pPr>
              <w:spacing w:after="0" w:line="240" w:lineRule="auto"/>
              <w:contextualSpacing/>
              <w:rPr>
                <w:rFonts w:ascii="Times New Roman" w:eastAsia="Times New Roman" w:hAnsi="Times New Roman" w:cs="Times New Roman"/>
                <w:sz w:val="24"/>
                <w:szCs w:val="24"/>
                <w:lang w:eastAsia="lv-LV"/>
              </w:rPr>
            </w:pPr>
            <w:r w:rsidRPr="00CC3477">
              <w:rPr>
                <w:rFonts w:ascii="Times New Roman" w:eastAsia="Times New Roman" w:hAnsi="Times New Roman" w:cs="Times New Roman"/>
                <w:sz w:val="24"/>
                <w:szCs w:val="24"/>
                <w:lang w:eastAsia="lv-LV"/>
              </w:rPr>
              <w:t>Direktīvas Nr.2015/1513 1.panta 1.punkts, kas papildina Direktīvas Nr.98/70/EK 2. pantu ar</w:t>
            </w:r>
            <w:r>
              <w:rPr>
                <w:rFonts w:ascii="Times New Roman" w:eastAsia="Times New Roman" w:hAnsi="Times New Roman" w:cs="Times New Roman"/>
                <w:sz w:val="24"/>
                <w:szCs w:val="24"/>
                <w:lang w:eastAsia="lv-LV"/>
              </w:rPr>
              <w:t xml:space="preserve"> 12</w:t>
            </w:r>
            <w:r w:rsidRPr="00CC3477">
              <w:rPr>
                <w:rFonts w:ascii="Times New Roman" w:eastAsia="Times New Roman" w:hAnsi="Times New Roman" w:cs="Times New Roman"/>
                <w:sz w:val="24"/>
                <w:szCs w:val="24"/>
                <w:lang w:eastAsia="lv-LV"/>
              </w:rPr>
              <w:t>.punktu</w:t>
            </w:r>
          </w:p>
        </w:tc>
        <w:tc>
          <w:tcPr>
            <w:tcW w:w="1054" w:type="pct"/>
          </w:tcPr>
          <w:p w:rsidR="00CF120E" w:rsidRPr="004D2C68" w:rsidP="00CF120E" w14:paraId="45D21249" w14:textId="00FB09B5">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2.16.apakšpunkts</w:t>
            </w:r>
          </w:p>
        </w:tc>
        <w:tc>
          <w:tcPr>
            <w:tcW w:w="1246" w:type="pct"/>
          </w:tcPr>
          <w:p w:rsidR="00CF120E" w:rsidRPr="00FD5027" w:rsidP="00CF120E" w14:paraId="27144BD2" w14:textId="4A9D257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CF120E" w:rsidRPr="00FD5027" w:rsidP="00CF120E" w14:paraId="50AD6DD6" w14:textId="09B37E0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681EC8E5"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CF120E" w:rsidRPr="004D2C68" w:rsidP="00CF120E" w14:paraId="72A17322" w14:textId="73A8CB50">
            <w:pPr>
              <w:spacing w:after="0" w:line="240" w:lineRule="auto"/>
              <w:contextualSpacing/>
              <w:rPr>
                <w:rFonts w:ascii="Times New Roman" w:eastAsia="Times New Roman" w:hAnsi="Times New Roman" w:cs="Times New Roman"/>
                <w:sz w:val="24"/>
                <w:szCs w:val="24"/>
                <w:lang w:eastAsia="lv-LV"/>
              </w:rPr>
            </w:pPr>
            <w:r w:rsidRPr="00CC3477">
              <w:rPr>
                <w:rFonts w:ascii="Times New Roman" w:eastAsia="Times New Roman" w:hAnsi="Times New Roman" w:cs="Times New Roman"/>
                <w:sz w:val="24"/>
                <w:szCs w:val="24"/>
                <w:lang w:eastAsia="lv-LV"/>
              </w:rPr>
              <w:t xml:space="preserve">Direktīvas Nr.2015/1513 1.panta 1.punkts, kas papildina Direktīvas </w:t>
            </w:r>
            <w:r w:rsidRPr="00CC3477">
              <w:rPr>
                <w:rFonts w:ascii="Times New Roman" w:eastAsia="Times New Roman" w:hAnsi="Times New Roman" w:cs="Times New Roman"/>
                <w:sz w:val="24"/>
                <w:szCs w:val="24"/>
                <w:lang w:eastAsia="lv-LV"/>
              </w:rPr>
              <w:t>Nr.98/70/EK 2. pantu ar 1</w:t>
            </w:r>
            <w:r>
              <w:rPr>
                <w:rFonts w:ascii="Times New Roman" w:eastAsia="Times New Roman" w:hAnsi="Times New Roman" w:cs="Times New Roman"/>
                <w:sz w:val="24"/>
                <w:szCs w:val="24"/>
                <w:lang w:eastAsia="lv-LV"/>
              </w:rPr>
              <w:t>3</w:t>
            </w:r>
            <w:r w:rsidRPr="00CC3477">
              <w:rPr>
                <w:rFonts w:ascii="Times New Roman" w:eastAsia="Times New Roman" w:hAnsi="Times New Roman" w:cs="Times New Roman"/>
                <w:sz w:val="24"/>
                <w:szCs w:val="24"/>
                <w:lang w:eastAsia="lv-LV"/>
              </w:rPr>
              <w:t>.punktu</w:t>
            </w:r>
          </w:p>
        </w:tc>
        <w:tc>
          <w:tcPr>
            <w:tcW w:w="1054" w:type="pct"/>
          </w:tcPr>
          <w:p w:rsidR="00CF120E" w:rsidRPr="004D2C68" w:rsidP="00CF120E" w14:paraId="36CADDFB" w14:textId="72CE9FD0">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2.21.apakšpunkts</w:t>
            </w:r>
          </w:p>
        </w:tc>
        <w:tc>
          <w:tcPr>
            <w:tcW w:w="1246" w:type="pct"/>
          </w:tcPr>
          <w:p w:rsidR="00CF120E" w:rsidRPr="00FD5027" w:rsidP="00CF120E" w14:paraId="1FB2BF20" w14:textId="45F6C20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CF120E" w:rsidRPr="00FD5027" w:rsidP="00CF120E" w14:paraId="275AF968" w14:textId="267EB7E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32AD549"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CF120E" w:rsidRPr="004D2C68" w:rsidP="00CF120E" w14:paraId="000DE94A" w14:textId="39F36D90">
            <w:pPr>
              <w:spacing w:after="0" w:line="240" w:lineRule="auto"/>
              <w:contextualSpacing/>
              <w:rPr>
                <w:rFonts w:ascii="Times New Roman" w:eastAsia="Times New Roman" w:hAnsi="Times New Roman" w:cs="Times New Roman"/>
                <w:sz w:val="24"/>
                <w:szCs w:val="24"/>
                <w:lang w:eastAsia="lv-LV"/>
              </w:rPr>
            </w:pPr>
            <w:r w:rsidRPr="00CC3477">
              <w:rPr>
                <w:rFonts w:ascii="Times New Roman" w:eastAsia="Times New Roman" w:hAnsi="Times New Roman" w:cs="Times New Roman"/>
                <w:sz w:val="24"/>
                <w:szCs w:val="24"/>
                <w:lang w:eastAsia="lv-LV"/>
              </w:rPr>
              <w:t>Direktīvas Nr.2015/1513 1.panta 1.punkts, kas papildina Direktīvas Nr.98/70/EK 2. pantu ar 1</w:t>
            </w:r>
            <w:r>
              <w:rPr>
                <w:rFonts w:ascii="Times New Roman" w:eastAsia="Times New Roman" w:hAnsi="Times New Roman" w:cs="Times New Roman"/>
                <w:sz w:val="24"/>
                <w:szCs w:val="24"/>
                <w:lang w:eastAsia="lv-LV"/>
              </w:rPr>
              <w:t>4</w:t>
            </w:r>
            <w:r w:rsidRPr="00CC3477">
              <w:rPr>
                <w:rFonts w:ascii="Times New Roman" w:eastAsia="Times New Roman" w:hAnsi="Times New Roman" w:cs="Times New Roman"/>
                <w:sz w:val="24"/>
                <w:szCs w:val="24"/>
                <w:lang w:eastAsia="lv-LV"/>
              </w:rPr>
              <w:t>.punktu</w:t>
            </w:r>
          </w:p>
        </w:tc>
        <w:tc>
          <w:tcPr>
            <w:tcW w:w="1054" w:type="pct"/>
          </w:tcPr>
          <w:p w:rsidR="00CF120E" w:rsidRPr="004D2C68" w:rsidP="00CF120E" w14:paraId="30BB652B" w14:textId="790A260C">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2.15.apakšpunkts</w:t>
            </w:r>
          </w:p>
        </w:tc>
        <w:tc>
          <w:tcPr>
            <w:tcW w:w="1246" w:type="pct"/>
          </w:tcPr>
          <w:p w:rsidR="00CF120E" w:rsidRPr="00FD5027" w:rsidP="00CF120E" w14:paraId="2024FFB0" w14:textId="6661CA3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CF120E" w:rsidRPr="00FD5027" w:rsidP="00CF120E" w14:paraId="4671B49D" w14:textId="5097B41D">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893EC0E"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5F1D4C06" w14:textId="6CE72D1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1.panta 1.punkta d) apakšpunkts, kas pievieno Direktīvas Nr.98/70/EK </w:t>
            </w:r>
            <w:r>
              <w:rPr>
                <w:rFonts w:ascii="Times New Roman" w:eastAsia="Times New Roman" w:hAnsi="Times New Roman" w:cs="Times New Roman"/>
                <w:sz w:val="24"/>
                <w:szCs w:val="24"/>
                <w:lang w:eastAsia="lv-LV"/>
              </w:rPr>
              <w:t>7.a panta 7.punkt</w:t>
            </w:r>
            <w:r>
              <w:rPr>
                <w:rFonts w:ascii="Times New Roman" w:eastAsia="Times New Roman" w:hAnsi="Times New Roman" w:cs="Times New Roman"/>
                <w:sz w:val="24"/>
                <w:szCs w:val="24"/>
                <w:lang w:eastAsia="lv-LV"/>
              </w:rPr>
              <w:t>u</w:t>
            </w:r>
          </w:p>
        </w:tc>
        <w:tc>
          <w:tcPr>
            <w:tcW w:w="1054" w:type="pct"/>
          </w:tcPr>
          <w:p w:rsidR="00FD5027" w:rsidRPr="004D2C68" w:rsidP="00B73DEB" w14:paraId="01FA7B91" w14:textId="574D679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28.</w:t>
            </w:r>
            <w:r w:rsidRPr="009D2B6F" w:rsidR="009D2B6F">
              <w:rPr>
                <w:rFonts w:ascii="Times New Roman" w:eastAsia="Times New Roman" w:hAnsi="Times New Roman" w:cs="Times New Roman"/>
                <w:sz w:val="24"/>
                <w:szCs w:val="24"/>
                <w:vertAlign w:val="superscript"/>
                <w:lang w:eastAsia="lv-LV"/>
              </w:rPr>
              <w:t>1</w:t>
            </w:r>
            <w:r w:rsidR="009D2B6F">
              <w:rPr>
                <w:rFonts w:ascii="Times New Roman" w:eastAsia="Times New Roman" w:hAnsi="Times New Roman" w:cs="Times New Roman"/>
                <w:sz w:val="24"/>
                <w:szCs w:val="24"/>
                <w:lang w:eastAsia="lv-LV"/>
              </w:rPr>
              <w:t xml:space="preserve"> un 28.</w:t>
            </w:r>
            <w:r w:rsidRPr="009D2B6F" w:rsidR="009D2B6F">
              <w:rPr>
                <w:rFonts w:ascii="Times New Roman" w:eastAsia="Times New Roman" w:hAnsi="Times New Roman" w:cs="Times New Roman"/>
                <w:sz w:val="24"/>
                <w:szCs w:val="24"/>
                <w:vertAlign w:val="superscript"/>
                <w:lang w:eastAsia="lv-LV"/>
              </w:rPr>
              <w:t>3</w:t>
            </w:r>
            <w:r w:rsidR="009D2B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w:t>
            </w:r>
          </w:p>
        </w:tc>
        <w:tc>
          <w:tcPr>
            <w:tcW w:w="1246" w:type="pct"/>
          </w:tcPr>
          <w:p w:rsidR="00FD5027" w:rsidRPr="00FD5027" w:rsidP="00B73DEB" w14:paraId="0163270C" w14:textId="66E59A5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3DDA1C5" w14:textId="115F0BB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39157484"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9D2B6F" w14:paraId="2F3847AC" w14:textId="7BB9CB5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1.panta 1.punkta d) apakšpunkts, kas groza Direktīvas 2009/30/EK 1.panta 6.punktu, kas papildin</w:t>
            </w:r>
            <w:r w:rsidR="00E153C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Direktīvu Nr.98/70/EK ar </w:t>
            </w:r>
            <w:r>
              <w:rPr>
                <w:rFonts w:ascii="Times New Roman" w:eastAsia="Times New Roman" w:hAnsi="Times New Roman" w:cs="Times New Roman"/>
                <w:sz w:val="24"/>
                <w:szCs w:val="24"/>
                <w:lang w:eastAsia="lv-LV"/>
              </w:rPr>
              <w:t>7.b panta 2.punkta 1. un 2. rindkop</w:t>
            </w:r>
            <w:r>
              <w:rPr>
                <w:rFonts w:ascii="Times New Roman" w:eastAsia="Times New Roman" w:hAnsi="Times New Roman" w:cs="Times New Roman"/>
                <w:sz w:val="24"/>
                <w:szCs w:val="24"/>
                <w:lang w:eastAsia="lv-LV"/>
              </w:rPr>
              <w:t>u</w:t>
            </w:r>
          </w:p>
        </w:tc>
        <w:tc>
          <w:tcPr>
            <w:tcW w:w="1054" w:type="pct"/>
          </w:tcPr>
          <w:p w:rsidR="00FD5027" w:rsidRPr="004D2C68" w:rsidP="00B73DEB" w14:paraId="1D224B8E" w14:textId="06DAC49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8.punktā izteiktais Noteikumu Nr.545 10.punkts</w:t>
            </w:r>
          </w:p>
        </w:tc>
        <w:tc>
          <w:tcPr>
            <w:tcW w:w="1246" w:type="pct"/>
          </w:tcPr>
          <w:p w:rsidR="00FD5027" w:rsidRPr="00FD5027" w:rsidP="00B73DEB" w14:paraId="2EB65640" w14:textId="06506A75">
            <w:pPr>
              <w:spacing w:after="0" w:line="240" w:lineRule="auto"/>
              <w:contextualSpacing/>
              <w:jc w:val="both"/>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4179E02" w14:textId="5610C63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9499987"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6BCCD937" w14:textId="21BA5F03">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1.panta 1.punkta d) apakšpunkts, kas groza Direktīvas 2009/30/EK 1.panta 6.punktu, kas papildi</w:t>
            </w:r>
            <w:r w:rsidR="00E153CB">
              <w:rPr>
                <w:rFonts w:ascii="Times New Roman" w:eastAsia="Times New Roman" w:hAnsi="Times New Roman" w:cs="Times New Roman"/>
                <w:sz w:val="24"/>
                <w:szCs w:val="24"/>
                <w:lang w:eastAsia="lv-LV"/>
              </w:rPr>
              <w:t>na</w:t>
            </w:r>
            <w:r>
              <w:rPr>
                <w:rFonts w:ascii="Times New Roman" w:eastAsia="Times New Roman" w:hAnsi="Times New Roman" w:cs="Times New Roman"/>
                <w:sz w:val="24"/>
                <w:szCs w:val="24"/>
                <w:lang w:eastAsia="lv-LV"/>
              </w:rPr>
              <w:t xml:space="preserve"> Direktīvu Nr.98/70/EK ar </w:t>
            </w:r>
            <w:r>
              <w:rPr>
                <w:rFonts w:ascii="Times New Roman" w:eastAsia="Times New Roman" w:hAnsi="Times New Roman" w:cs="Times New Roman"/>
                <w:sz w:val="24"/>
                <w:szCs w:val="24"/>
                <w:lang w:eastAsia="lv-LV"/>
              </w:rPr>
              <w:t>7.b panta 2.punkta 3.rindkop</w:t>
            </w:r>
            <w:r>
              <w:rPr>
                <w:rFonts w:ascii="Times New Roman" w:eastAsia="Times New Roman" w:hAnsi="Times New Roman" w:cs="Times New Roman"/>
                <w:sz w:val="24"/>
                <w:szCs w:val="24"/>
                <w:lang w:eastAsia="lv-LV"/>
              </w:rPr>
              <w:t>u</w:t>
            </w:r>
          </w:p>
        </w:tc>
        <w:tc>
          <w:tcPr>
            <w:tcW w:w="1054" w:type="pct"/>
          </w:tcPr>
          <w:p w:rsidR="00FD5027" w:rsidP="00B73DEB" w14:paraId="2CB61402" w14:textId="7D5E5B63">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9.punktā izteiktais Noteikumu Nr.545 11.punkts</w:t>
            </w:r>
          </w:p>
        </w:tc>
        <w:tc>
          <w:tcPr>
            <w:tcW w:w="1246" w:type="pct"/>
          </w:tcPr>
          <w:p w:rsidR="00FD5027" w:rsidRPr="00FD5027" w:rsidP="00B73DEB" w14:paraId="602A6279" w14:textId="5C9149A1">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5109C50" w14:textId="4CC285E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891C930"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052BF299" w14:textId="05DBB58F">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1.panta 1.punkta d) apakšpunkts, kas groza Direktīvas 2009/30/EK 1.panta 6.punktu, kas papildināja </w:t>
            </w:r>
            <w:r>
              <w:rPr>
                <w:rFonts w:ascii="Times New Roman" w:eastAsia="Times New Roman" w:hAnsi="Times New Roman" w:cs="Times New Roman"/>
                <w:sz w:val="24"/>
                <w:szCs w:val="24"/>
                <w:lang w:eastAsia="lv-LV"/>
              </w:rPr>
              <w:t xml:space="preserve">Direktīvu Nr.98/70/EK ar </w:t>
            </w:r>
            <w:r>
              <w:rPr>
                <w:rFonts w:ascii="Times New Roman" w:eastAsia="Times New Roman" w:hAnsi="Times New Roman" w:cs="Times New Roman"/>
                <w:sz w:val="24"/>
                <w:szCs w:val="24"/>
                <w:lang w:eastAsia="lv-LV"/>
              </w:rPr>
              <w:t>7.b panta 3.punkt</w:t>
            </w:r>
            <w:r>
              <w:rPr>
                <w:rFonts w:ascii="Times New Roman" w:eastAsia="Times New Roman" w:hAnsi="Times New Roman" w:cs="Times New Roman"/>
                <w:sz w:val="24"/>
                <w:szCs w:val="24"/>
                <w:lang w:eastAsia="lv-LV"/>
              </w:rPr>
              <w:t>u</w:t>
            </w:r>
          </w:p>
          <w:p w:rsidR="00E153CB" w:rsidP="00B73DEB" w14:paraId="40A97409" w14:textId="77777777">
            <w:pPr>
              <w:spacing w:after="0" w:line="240" w:lineRule="auto"/>
              <w:contextualSpacing/>
              <w:rPr>
                <w:rFonts w:ascii="Times New Roman" w:eastAsia="Times New Roman" w:hAnsi="Times New Roman" w:cs="Times New Roman"/>
                <w:sz w:val="24"/>
                <w:szCs w:val="24"/>
                <w:lang w:eastAsia="lv-LV"/>
              </w:rPr>
            </w:pPr>
          </w:p>
          <w:p w:rsidR="009D2B6F" w:rsidRPr="004D2C68" w:rsidP="00B73DEB" w14:paraId="6B4D04FA" w14:textId="16D8C30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1.panta 3.punkta b) apak</w:t>
            </w:r>
            <w:r w:rsidR="00E153CB">
              <w:rPr>
                <w:rFonts w:ascii="Times New Roman" w:eastAsia="Times New Roman" w:hAnsi="Times New Roman" w:cs="Times New Roman"/>
                <w:sz w:val="24"/>
                <w:szCs w:val="24"/>
                <w:lang w:eastAsia="lv-LV"/>
              </w:rPr>
              <w:t>špunkts, kas svītro Direktīvas N</w:t>
            </w:r>
            <w:r>
              <w:rPr>
                <w:rFonts w:ascii="Times New Roman" w:eastAsia="Times New Roman" w:hAnsi="Times New Roman" w:cs="Times New Roman"/>
                <w:sz w:val="24"/>
                <w:szCs w:val="24"/>
                <w:lang w:eastAsia="lv-LV"/>
              </w:rPr>
              <w:t>r.2009/30/EK 1.panta 6.punktā izteikto Direktīvas Nr.98/70/EK 7.b panta 3.punkta 2.rindkopu</w:t>
            </w:r>
          </w:p>
        </w:tc>
        <w:tc>
          <w:tcPr>
            <w:tcW w:w="1054" w:type="pct"/>
          </w:tcPr>
          <w:p w:rsidR="00FD5027" w:rsidRPr="004D2C68" w:rsidP="00B73DEB" w14:paraId="04C4E781" w14:textId="52A50969">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5.punktā izteiktais Noteikumu Nr.545 5.punkts </w:t>
            </w:r>
          </w:p>
        </w:tc>
        <w:tc>
          <w:tcPr>
            <w:tcW w:w="1246" w:type="pct"/>
          </w:tcPr>
          <w:p w:rsidR="00FD5027" w:rsidRPr="00FD5027" w:rsidP="00B73DEB" w14:paraId="10F1FCEF" w14:textId="5D987FCE">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E8111BA" w14:textId="3E6BF035">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3150393F"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27694E13" w14:textId="58D0DCA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2009/30/EK 1.panta 6.punkts, kas papildina Direktīvu Nr.98/70/EK ar </w:t>
            </w:r>
            <w:r>
              <w:rPr>
                <w:rFonts w:ascii="Times New Roman" w:eastAsia="Times New Roman" w:hAnsi="Times New Roman" w:cs="Times New Roman"/>
                <w:sz w:val="24"/>
                <w:szCs w:val="24"/>
                <w:lang w:eastAsia="lv-LV"/>
              </w:rPr>
              <w:t>7.b panta 4.punkt</w:t>
            </w:r>
            <w:r>
              <w:rPr>
                <w:rFonts w:ascii="Times New Roman" w:eastAsia="Times New Roman" w:hAnsi="Times New Roman" w:cs="Times New Roman"/>
                <w:sz w:val="24"/>
                <w:szCs w:val="24"/>
                <w:lang w:eastAsia="lv-LV"/>
              </w:rPr>
              <w:t>u</w:t>
            </w:r>
          </w:p>
        </w:tc>
        <w:tc>
          <w:tcPr>
            <w:tcW w:w="1054" w:type="pct"/>
          </w:tcPr>
          <w:p w:rsidR="00FD5027" w:rsidRPr="004D2C68" w:rsidP="00B73DEB" w14:paraId="0DE4EBE6" w14:textId="176A8E7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6.punktā izteiktais Noteikumu Nr.545 7.punkts</w:t>
            </w:r>
          </w:p>
        </w:tc>
        <w:tc>
          <w:tcPr>
            <w:tcW w:w="1246" w:type="pct"/>
          </w:tcPr>
          <w:p w:rsidR="00FD5027" w:rsidRPr="00FD5027" w:rsidP="00B73DEB" w14:paraId="223A847D" w14:textId="4DEAEA15">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9F97026" w14:textId="482316B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24BD341"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170854AF" w14:textId="5FADEB3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2009/30/EK 1.panta 6.punkts, kas papildina Direktīvu Nr.98/70/EK ar </w:t>
            </w:r>
            <w:r>
              <w:rPr>
                <w:rFonts w:ascii="Times New Roman" w:eastAsia="Times New Roman" w:hAnsi="Times New Roman" w:cs="Times New Roman"/>
                <w:sz w:val="24"/>
                <w:szCs w:val="24"/>
                <w:lang w:eastAsia="lv-LV"/>
              </w:rPr>
              <w:t>7.b panta 5.punkt</w:t>
            </w:r>
            <w:r>
              <w:rPr>
                <w:rFonts w:ascii="Times New Roman" w:eastAsia="Times New Roman" w:hAnsi="Times New Roman" w:cs="Times New Roman"/>
                <w:sz w:val="24"/>
                <w:szCs w:val="24"/>
                <w:lang w:eastAsia="lv-LV"/>
              </w:rPr>
              <w:t>u</w:t>
            </w:r>
          </w:p>
        </w:tc>
        <w:tc>
          <w:tcPr>
            <w:tcW w:w="1054" w:type="pct"/>
          </w:tcPr>
          <w:p w:rsidR="00FD5027" w:rsidRPr="004D2C68" w:rsidP="00B73DEB" w14:paraId="35A586A1" w14:textId="2684D9D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Nr.545 8.</w:t>
            </w:r>
            <w:r w:rsidRPr="008D6B1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2A2AAC26" w14:textId="052C858A">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21B0998" w14:textId="180BC50B">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539F031"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0723B1DD" w14:textId="2E25F3E0">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2009/30/EK 1.panta 6.punkts, kas papildina Direktīvu Nr.98/70/EK ar </w:t>
            </w:r>
            <w:r>
              <w:rPr>
                <w:rFonts w:ascii="Times New Roman" w:eastAsia="Times New Roman" w:hAnsi="Times New Roman" w:cs="Times New Roman"/>
                <w:sz w:val="24"/>
                <w:szCs w:val="24"/>
                <w:lang w:eastAsia="lv-LV"/>
              </w:rPr>
              <w:t>7.b panta 6.punkt</w:t>
            </w:r>
            <w:r>
              <w:rPr>
                <w:rFonts w:ascii="Times New Roman" w:eastAsia="Times New Roman" w:hAnsi="Times New Roman" w:cs="Times New Roman"/>
                <w:sz w:val="24"/>
                <w:szCs w:val="24"/>
                <w:lang w:eastAsia="lv-LV"/>
              </w:rPr>
              <w:t>u</w:t>
            </w:r>
          </w:p>
        </w:tc>
        <w:tc>
          <w:tcPr>
            <w:tcW w:w="1054" w:type="pct"/>
          </w:tcPr>
          <w:p w:rsidR="00FD5027" w:rsidRPr="004D2C68" w:rsidP="00B73DEB" w14:paraId="7F6B30D1" w14:textId="079D62A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Nr.545 8.</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1CE08E26" w14:textId="1692FC8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6DBA0AB7" w14:textId="1FEEB677">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672B9718"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E153CB" w:rsidP="00E153CB" w14:paraId="3483EFB0" w14:textId="5AB3BB0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Nr.2009/30/EK 1.panta 6.punkts, kas papildina Direktīvu Nr.98/70/EK ar 7.c pantu</w:t>
            </w:r>
          </w:p>
          <w:p w:rsidR="00E153CB" w:rsidP="00E153CB" w14:paraId="3C1A31BD" w14:textId="77777777">
            <w:pPr>
              <w:spacing w:after="0" w:line="240" w:lineRule="auto"/>
              <w:contextualSpacing/>
              <w:rPr>
                <w:rFonts w:ascii="Times New Roman" w:eastAsia="Times New Roman" w:hAnsi="Times New Roman" w:cs="Times New Roman"/>
                <w:sz w:val="24"/>
                <w:szCs w:val="24"/>
                <w:lang w:eastAsia="lv-LV"/>
              </w:rPr>
            </w:pPr>
          </w:p>
          <w:p w:rsidR="00E153CB" w:rsidP="00E153CB" w14:paraId="0C6F8BAD" w14:textId="49B9AD3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1.panta 4.punta b) apakšpunkts, kas papildina </w:t>
            </w:r>
            <w:r>
              <w:rPr>
                <w:rFonts w:ascii="Times New Roman" w:eastAsia="Times New Roman" w:hAnsi="Times New Roman" w:cs="Times New Roman"/>
                <w:sz w:val="24"/>
                <w:szCs w:val="24"/>
                <w:lang w:eastAsia="lv-LV"/>
              </w:rPr>
              <w:t>Direktīvas Nr.2009/30/EK 1.panta 6.punktā izteikto Direktīvas Nr.98/70/EK 7.c panta 5.punktu ar jaunu 2.rindkopu</w:t>
            </w:r>
          </w:p>
        </w:tc>
        <w:tc>
          <w:tcPr>
            <w:tcW w:w="1054" w:type="pct"/>
          </w:tcPr>
          <w:p w:rsidR="00E153CB" w:rsidP="00E153CB" w14:paraId="2E4E1BF4" w14:textId="440EC06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E153CB">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punkts</w:t>
            </w:r>
          </w:p>
        </w:tc>
        <w:tc>
          <w:tcPr>
            <w:tcW w:w="1246" w:type="pct"/>
          </w:tcPr>
          <w:p w:rsidR="00E153CB" w:rsidRPr="00FD5027" w:rsidP="00E153CB" w14:paraId="05932AA6" w14:textId="7964C4C5">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496" w:type="pct"/>
          </w:tcPr>
          <w:p w:rsidR="00E153CB" w:rsidRPr="00FD5027" w:rsidP="00E153CB" w14:paraId="79D7CEF5" w14:textId="29DDBF17">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14:paraId="70906B9D"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E153CB" w:rsidP="00E153CB" w14:paraId="284D4480" w14:textId="24E18B25">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Nr.2009/30/EK pielikums, kas papildina Direktīvu Nr.98/70/EK ar IV pielikumu</w:t>
            </w:r>
          </w:p>
          <w:p w:rsidR="00E153CB" w:rsidP="00E153CB" w14:paraId="1F670E56" w14:textId="77777777">
            <w:pPr>
              <w:spacing w:after="0" w:line="240" w:lineRule="auto"/>
              <w:contextualSpacing/>
              <w:rPr>
                <w:rFonts w:ascii="Times New Roman" w:eastAsia="Times New Roman" w:hAnsi="Times New Roman" w:cs="Times New Roman"/>
                <w:sz w:val="24"/>
                <w:szCs w:val="24"/>
                <w:lang w:eastAsia="lv-LV"/>
              </w:rPr>
            </w:pPr>
          </w:p>
          <w:p w:rsidR="00FD5027" w:rsidP="00E153CB" w14:paraId="0F9E93CB" w14:textId="46800DB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I pielikuma 1.punkts, kas aizstāj Direktīvas Nr.98/70/EK IV pielikuma C daļas 7.punktu</w:t>
            </w:r>
          </w:p>
        </w:tc>
        <w:tc>
          <w:tcPr>
            <w:tcW w:w="1054" w:type="pct"/>
          </w:tcPr>
          <w:p w:rsidR="00FD5027" w:rsidP="00B73DEB" w14:paraId="51988399" w14:textId="6899C0DF">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17.punktā izteiktais Noteikumu Nr.545 1.pielikuma 10.punkts</w:t>
            </w:r>
          </w:p>
        </w:tc>
        <w:tc>
          <w:tcPr>
            <w:tcW w:w="1246" w:type="pct"/>
          </w:tcPr>
          <w:p w:rsidR="00FD5027" w:rsidRPr="00FD5027" w:rsidP="00B73DEB" w14:paraId="62FD6EE7" w14:textId="23DAAA8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F948A75" w14:textId="16CCD8D5">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42AE70A5"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AF1FDE" w14:paraId="1BACB393" w14:textId="0109B01F">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I pielikuma 2.punkts, kas pievieno Direktīvai Nr.98/70/EK </w:t>
            </w:r>
            <w:r>
              <w:rPr>
                <w:rFonts w:ascii="Times New Roman" w:eastAsia="Times New Roman" w:hAnsi="Times New Roman" w:cs="Times New Roman"/>
                <w:sz w:val="24"/>
                <w:szCs w:val="24"/>
                <w:lang w:eastAsia="lv-LV"/>
              </w:rPr>
              <w:t>V pielikum</w:t>
            </w:r>
            <w:r>
              <w:rPr>
                <w:rFonts w:ascii="Times New Roman" w:eastAsia="Times New Roman" w:hAnsi="Times New Roman" w:cs="Times New Roman"/>
                <w:sz w:val="24"/>
                <w:szCs w:val="24"/>
                <w:lang w:eastAsia="lv-LV"/>
              </w:rPr>
              <w:t>u</w:t>
            </w:r>
          </w:p>
        </w:tc>
        <w:tc>
          <w:tcPr>
            <w:tcW w:w="1054" w:type="pct"/>
          </w:tcPr>
          <w:p w:rsidR="00FD5027" w:rsidP="00B73DEB" w14:paraId="4B71C33A" w14:textId="7E1AC1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18.punktā izteiktais Noteikumu Nr.545 8.pielikums</w:t>
            </w:r>
          </w:p>
        </w:tc>
        <w:tc>
          <w:tcPr>
            <w:tcW w:w="1246" w:type="pct"/>
          </w:tcPr>
          <w:p w:rsidR="00FD5027" w:rsidRPr="00FD5027" w:rsidP="00B73DEB" w14:paraId="665B6415" w14:textId="4BA72A6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B1B5591" w14:textId="6712DF7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342F7E16" w14:textId="77777777" w:rsidTr="008A1E71">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FD5027" w:rsidRPr="004D2C68" w:rsidP="00B73DEB" w14:paraId="0D96DB49"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840" w:type="pct"/>
            <w:gridSpan w:val="3"/>
            <w:hideMark/>
          </w:tcPr>
          <w:p w:rsidR="00B90DE9" w:rsidP="00B90DE9" w14:paraId="70BB2B30" w14:textId="365A5671">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 Nr.2009/28/EK, konsolidētajā versijā iekļaujot:</w:t>
            </w:r>
          </w:p>
          <w:p w:rsidR="00B90DE9" w:rsidP="00B90DE9" w14:paraId="39D1BFAD" w14:textId="77777777">
            <w:pPr>
              <w:spacing w:after="0" w:line="240" w:lineRule="auto"/>
              <w:contextualSpacing/>
              <w:jc w:val="both"/>
              <w:rPr>
                <w:rFonts w:ascii="Times New Roman" w:eastAsia="Times New Roman" w:hAnsi="Times New Roman" w:cs="Times New Roman"/>
                <w:sz w:val="24"/>
                <w:szCs w:val="24"/>
                <w:lang w:eastAsia="lv-LV"/>
              </w:rPr>
            </w:pPr>
          </w:p>
          <w:p w:rsidR="00B90DE9" w:rsidRPr="004D2C68" w:rsidP="00B90DE9" w14:paraId="35BD2930" w14:textId="06395B62">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 Nr.2015/1513.</w:t>
            </w:r>
          </w:p>
          <w:p w:rsidR="00FD5027" w:rsidRPr="000707F9" w:rsidP="00FB47F5" w14:paraId="0A5684C0" w14:textId="0994F49D">
            <w:pPr>
              <w:spacing w:after="0" w:line="240" w:lineRule="auto"/>
              <w:contextualSpacing/>
              <w:jc w:val="both"/>
              <w:rPr>
                <w:rFonts w:ascii="Times New Roman" w:eastAsia="Times New Roman" w:hAnsi="Times New Roman" w:cs="Times New Roman"/>
                <w:sz w:val="24"/>
                <w:szCs w:val="24"/>
                <w:lang w:eastAsia="lv-LV"/>
              </w:rPr>
            </w:pPr>
          </w:p>
        </w:tc>
      </w:tr>
      <w:tr w14:paraId="1AC779A7"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vAlign w:val="center"/>
            <w:hideMark/>
          </w:tcPr>
          <w:p w:rsidR="00FD5027" w:rsidRPr="004D2C68" w:rsidP="00B73DEB" w14:paraId="1D04DEA5"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1054" w:type="pct"/>
            <w:vAlign w:val="center"/>
            <w:hideMark/>
          </w:tcPr>
          <w:p w:rsidR="00FD5027" w:rsidRPr="004D2C68" w:rsidP="00B73DEB" w14:paraId="5EDE32CF"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246" w:type="pct"/>
            <w:hideMark/>
          </w:tcPr>
          <w:p w:rsidR="00FD5027" w:rsidRPr="00FD5027" w:rsidP="00B73DEB" w14:paraId="0D502B5C" w14:textId="799B1786">
            <w:pPr>
              <w:spacing w:after="0" w:line="240" w:lineRule="auto"/>
              <w:contextualSpacing/>
              <w:jc w:val="center"/>
              <w:rPr>
                <w:rFonts w:ascii="Times New Roman" w:eastAsia="Times New Roman" w:hAnsi="Times New Roman" w:cs="Times New Roman"/>
                <w:sz w:val="24"/>
                <w:szCs w:val="24"/>
                <w:lang w:eastAsia="lv-LV"/>
              </w:rPr>
            </w:pPr>
            <w:r w:rsidRPr="00FD5027">
              <w:rPr>
                <w:rFonts w:ascii="Times New Roman" w:eastAsia="Times New Roman" w:hAnsi="Times New Roman" w:cs="Times New Roman"/>
                <w:sz w:val="24"/>
                <w:szCs w:val="24"/>
                <w:lang w:eastAsia="lv-LV"/>
              </w:rPr>
              <w:t>C</w:t>
            </w:r>
          </w:p>
        </w:tc>
        <w:tc>
          <w:tcPr>
            <w:tcW w:w="1496" w:type="pct"/>
            <w:hideMark/>
          </w:tcPr>
          <w:p w:rsidR="00FD5027" w:rsidRPr="00FD5027" w:rsidP="00B73DEB" w14:paraId="579C1B13" w14:textId="4DE25F9F">
            <w:pPr>
              <w:spacing w:after="0" w:line="240" w:lineRule="auto"/>
              <w:contextualSpacing/>
              <w:jc w:val="center"/>
              <w:rPr>
                <w:rFonts w:ascii="Times New Roman" w:eastAsia="Times New Roman" w:hAnsi="Times New Roman" w:cs="Times New Roman"/>
                <w:sz w:val="24"/>
                <w:szCs w:val="24"/>
                <w:lang w:eastAsia="lv-LV"/>
              </w:rPr>
            </w:pPr>
            <w:r w:rsidRPr="00FD5027">
              <w:rPr>
                <w:rFonts w:ascii="Times New Roman" w:eastAsia="Times New Roman" w:hAnsi="Times New Roman" w:cs="Times New Roman"/>
                <w:sz w:val="24"/>
                <w:szCs w:val="24"/>
                <w:lang w:eastAsia="lv-LV"/>
              </w:rPr>
              <w:t>D</w:t>
            </w:r>
          </w:p>
        </w:tc>
      </w:tr>
      <w:tr w14:paraId="48FA5352"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656B77" w14:paraId="7192B5A9" w14:textId="640B219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1.punkts, kas pievieno Direktīvas Nr.2009/28/EK 2.panta 2.punktam </w:t>
            </w:r>
            <w:r>
              <w:rPr>
                <w:rFonts w:ascii="Times New Roman" w:eastAsia="Times New Roman" w:hAnsi="Times New Roman" w:cs="Times New Roman"/>
                <w:sz w:val="24"/>
                <w:szCs w:val="24"/>
                <w:lang w:eastAsia="lv-LV"/>
              </w:rPr>
              <w:t xml:space="preserve"> p) </w:t>
            </w:r>
            <w:r>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p>
        </w:tc>
        <w:tc>
          <w:tcPr>
            <w:tcW w:w="1054" w:type="pct"/>
          </w:tcPr>
          <w:p w:rsidR="00FD5027" w:rsidRPr="004D2C68" w:rsidP="00B73DEB" w14:paraId="2CD75E7D" w14:textId="434E4D8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2.19.apakšpunkts</w:t>
            </w:r>
          </w:p>
        </w:tc>
        <w:tc>
          <w:tcPr>
            <w:tcW w:w="1246" w:type="pct"/>
          </w:tcPr>
          <w:p w:rsidR="00FD5027" w:rsidRPr="00FD5027" w:rsidP="00B73DEB" w14:paraId="5D50B0D5" w14:textId="2324D2C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7B9CC9E5" w14:textId="262DEF4D">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64CEC5F"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1432C6EF" w14:textId="1A14AAB9">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1.punkts, kas pievieno Direktīvas Nr.2009/28/EK </w:t>
            </w:r>
            <w:r>
              <w:rPr>
                <w:rFonts w:ascii="Times New Roman" w:eastAsia="Times New Roman" w:hAnsi="Times New Roman" w:cs="Times New Roman"/>
                <w:sz w:val="24"/>
                <w:szCs w:val="24"/>
                <w:lang w:eastAsia="lv-LV"/>
              </w:rPr>
              <w:t xml:space="preserve">2.panta 2.punktam  </w:t>
            </w:r>
            <w:r>
              <w:rPr>
                <w:rFonts w:ascii="Times New Roman" w:eastAsia="Times New Roman" w:hAnsi="Times New Roman" w:cs="Times New Roman"/>
                <w:sz w:val="24"/>
                <w:szCs w:val="24"/>
                <w:lang w:eastAsia="lv-LV"/>
              </w:rPr>
              <w:t>q)</w:t>
            </w:r>
            <w:r>
              <w:rPr>
                <w:rFonts w:ascii="Times New Roman" w:eastAsia="Times New Roman" w:hAnsi="Times New Roman" w:cs="Times New Roman"/>
                <w:sz w:val="24"/>
                <w:szCs w:val="24"/>
                <w:lang w:eastAsia="lv-LV"/>
              </w:rPr>
              <w:t xml:space="preserve"> apakšpunktu</w:t>
            </w:r>
          </w:p>
        </w:tc>
        <w:tc>
          <w:tcPr>
            <w:tcW w:w="1054" w:type="pct"/>
          </w:tcPr>
          <w:p w:rsidR="00FD5027" w:rsidRPr="004D2C68" w:rsidP="00B73DEB" w14:paraId="7B067D29" w14:textId="0D3721BC">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2.20.apakšpunkts</w:t>
            </w:r>
          </w:p>
        </w:tc>
        <w:tc>
          <w:tcPr>
            <w:tcW w:w="1246" w:type="pct"/>
          </w:tcPr>
          <w:p w:rsidR="00FD5027" w:rsidRPr="00FD5027" w:rsidP="00B73DEB" w14:paraId="42FC92E4" w14:textId="4B423563">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6E9C1E8D" w14:textId="4606FDB1">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0FDB322"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16386CBB" w14:textId="0D62A12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1.punkts, kas pievieno Direktīvas Nr.2009/28/EK 2.panta 2.punktam  </w:t>
            </w:r>
            <w:r>
              <w:rPr>
                <w:rFonts w:ascii="Times New Roman" w:eastAsia="Times New Roman" w:hAnsi="Times New Roman" w:cs="Times New Roman"/>
                <w:sz w:val="24"/>
                <w:szCs w:val="24"/>
                <w:lang w:eastAsia="lv-LV"/>
              </w:rPr>
              <w:t xml:space="preserve"> r) </w:t>
            </w:r>
            <w:r>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p>
        </w:tc>
        <w:tc>
          <w:tcPr>
            <w:tcW w:w="1054" w:type="pct"/>
          </w:tcPr>
          <w:p w:rsidR="00FD5027" w:rsidRPr="004D2C68" w:rsidP="00B73DEB" w14:paraId="0DAFFCFB" w14:textId="1829B2E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2.17.apakšpunkts</w:t>
            </w:r>
          </w:p>
        </w:tc>
        <w:tc>
          <w:tcPr>
            <w:tcW w:w="1246" w:type="pct"/>
          </w:tcPr>
          <w:p w:rsidR="00FD5027" w:rsidRPr="00FD5027" w:rsidP="00B73DEB" w14:paraId="3388E1C1" w14:textId="153F4A44">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5498846" w14:textId="3810D9D0">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50EAC057"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710A0706" w14:textId="1BCDFC2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2.panta 1.punkts, kas pievieno Direktīvas Nr.2009/28/EK 2.panta 2.punktam   s) apakšpunktu</w:t>
            </w:r>
          </w:p>
        </w:tc>
        <w:tc>
          <w:tcPr>
            <w:tcW w:w="1054" w:type="pct"/>
          </w:tcPr>
          <w:p w:rsidR="00FD5027" w:rsidRPr="004D2C68" w:rsidP="00B73DEB" w14:paraId="28BC5789" w14:textId="3E87C63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2.18.apakšpunkts</w:t>
            </w:r>
          </w:p>
        </w:tc>
        <w:tc>
          <w:tcPr>
            <w:tcW w:w="1246" w:type="pct"/>
          </w:tcPr>
          <w:p w:rsidR="00FD5027" w:rsidRPr="00FD5027" w:rsidP="00B73DEB" w14:paraId="5C76DB0A" w14:textId="7980C27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6BDF848" w14:textId="5BB27C5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6161AFA3"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56C119D6" w14:textId="484F8F4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2.panta 1.punkts, kas pievieno Direktīvas Nr.2009/28/EK 2.panta 2.punktam   t) apakšpunktu</w:t>
            </w:r>
          </w:p>
        </w:tc>
        <w:tc>
          <w:tcPr>
            <w:tcW w:w="1054" w:type="pct"/>
          </w:tcPr>
          <w:p w:rsidR="00FD5027" w:rsidRPr="004D2C68" w:rsidP="00B73DEB" w14:paraId="490915A3" w14:textId="20A9F99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2.21.apakšpunkts</w:t>
            </w:r>
          </w:p>
        </w:tc>
        <w:tc>
          <w:tcPr>
            <w:tcW w:w="1246" w:type="pct"/>
          </w:tcPr>
          <w:p w:rsidR="00FD5027" w:rsidRPr="00FD5027" w:rsidP="00B73DEB" w14:paraId="7C8FE175" w14:textId="69591FB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6C93E24" w14:textId="1B21E6CD">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69F7CB3"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6226C1BB" w14:textId="2F397815">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2.panta 1.punkts, kas pievieno Direktīvas Nr.2009/28/EK 2.panta 2.punktam   u) apakšpunktu</w:t>
            </w:r>
          </w:p>
        </w:tc>
        <w:tc>
          <w:tcPr>
            <w:tcW w:w="1054" w:type="pct"/>
          </w:tcPr>
          <w:p w:rsidR="00FD5027" w:rsidRPr="004D2C68" w:rsidP="00B73DEB" w14:paraId="03E30325" w14:textId="4724D70C">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2.22.apakšpunkts</w:t>
            </w:r>
          </w:p>
        </w:tc>
        <w:tc>
          <w:tcPr>
            <w:tcW w:w="1246" w:type="pct"/>
          </w:tcPr>
          <w:p w:rsidR="00FD5027" w:rsidRPr="00FD5027" w:rsidP="00B73DEB" w14:paraId="36FC5E9C" w14:textId="7EA018F7">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0AC65B0B" w14:textId="5EEABB6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D6A8EC1"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7E433FD6" w14:textId="1570A65F">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1.punkta 1.rindkopa</w:t>
            </w:r>
          </w:p>
        </w:tc>
        <w:tc>
          <w:tcPr>
            <w:tcW w:w="1054" w:type="pct"/>
          </w:tcPr>
          <w:p w:rsidR="00FD5027" w:rsidRPr="004D2C68" w:rsidP="00B73DEB" w14:paraId="74F4EF3F" w14:textId="235CA46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 5., 6., 7.</w:t>
            </w:r>
            <w:r w:rsidR="006E2A1B">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8.punkts</w:t>
            </w:r>
          </w:p>
        </w:tc>
        <w:tc>
          <w:tcPr>
            <w:tcW w:w="1246" w:type="pct"/>
          </w:tcPr>
          <w:p w:rsidR="00FD5027" w:rsidRPr="00FD5027" w:rsidP="00B73DEB" w14:paraId="738B437D" w14:textId="6E24726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0A8F923" w14:textId="0745A94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BA98DA2"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46310F21" w14:textId="73DCA6B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1.punkta 2.rindkopa</w:t>
            </w:r>
          </w:p>
        </w:tc>
        <w:tc>
          <w:tcPr>
            <w:tcW w:w="1054" w:type="pct"/>
          </w:tcPr>
          <w:p w:rsidR="00FD5027" w:rsidRPr="004D2C68" w:rsidP="00B73DEB" w14:paraId="631E3BD4" w14:textId="7FAD4ECC">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9.punktā izteiktais Noteikumu Nr.545 11.punkts </w:t>
            </w:r>
          </w:p>
        </w:tc>
        <w:tc>
          <w:tcPr>
            <w:tcW w:w="1246" w:type="pct"/>
          </w:tcPr>
          <w:p w:rsidR="00FD5027" w:rsidRPr="00FD5027" w:rsidP="00B73DEB" w14:paraId="19EA21DD" w14:textId="167C6E00">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621D9B3" w14:textId="3E94C1FA">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4EFDBA53"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8A1E71" w:rsidP="008A1E71" w14:paraId="474841D7" w14:textId="317E822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5.punkts, ar ko aizstāj Direktīvas </w:t>
            </w:r>
            <w:r>
              <w:rPr>
                <w:rFonts w:ascii="Times New Roman" w:eastAsia="Times New Roman" w:hAnsi="Times New Roman" w:cs="Times New Roman"/>
                <w:sz w:val="24"/>
                <w:szCs w:val="24"/>
                <w:lang w:eastAsia="lv-LV"/>
              </w:rPr>
              <w:t>Nr.2009/28/EK 17.panta 2.punktu</w:t>
            </w:r>
          </w:p>
        </w:tc>
        <w:tc>
          <w:tcPr>
            <w:tcW w:w="1054" w:type="pct"/>
          </w:tcPr>
          <w:p w:rsidR="008A1E71" w:rsidP="008A1E71" w14:paraId="3A129EB0" w14:textId="40006B9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8.punktā izteiktais Noteikumu Nr.545 10.punkts</w:t>
            </w:r>
          </w:p>
        </w:tc>
        <w:tc>
          <w:tcPr>
            <w:tcW w:w="1246" w:type="pct"/>
          </w:tcPr>
          <w:p w:rsidR="008A1E71" w:rsidRPr="00FD5027" w:rsidP="008A1E71" w14:paraId="775E87A6" w14:textId="7F4F4B00">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496" w:type="pct"/>
          </w:tcPr>
          <w:p w:rsidR="008A1E71" w:rsidRPr="00FD5027" w:rsidP="008A1E71" w14:paraId="0086D09D" w14:textId="1FFD3790">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14:paraId="1AEE1F65"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4458A24F" w14:textId="7777777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3.punkts</w:t>
            </w:r>
          </w:p>
          <w:p w:rsidR="00FD77D5" w:rsidP="00B73DEB" w14:paraId="2F9F0F5F" w14:textId="77777777">
            <w:pPr>
              <w:spacing w:after="0" w:line="240" w:lineRule="auto"/>
              <w:contextualSpacing/>
              <w:rPr>
                <w:rFonts w:ascii="Times New Roman" w:eastAsia="Times New Roman" w:hAnsi="Times New Roman" w:cs="Times New Roman"/>
                <w:sz w:val="24"/>
                <w:szCs w:val="24"/>
                <w:lang w:eastAsia="lv-LV"/>
              </w:rPr>
            </w:pPr>
          </w:p>
          <w:p w:rsidR="008A1E71" w:rsidRPr="004D2C68" w:rsidP="00B73DEB" w14:paraId="603239D1" w14:textId="6878A16C">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5.punkts, kas svītro Direktīvas Nr.2009/28/EK 17.panta 3.punkta </w:t>
            </w:r>
            <w:r w:rsidR="00D93902">
              <w:rPr>
                <w:rFonts w:ascii="Times New Roman" w:eastAsia="Times New Roman" w:hAnsi="Times New Roman" w:cs="Times New Roman"/>
                <w:sz w:val="24"/>
                <w:szCs w:val="24"/>
                <w:lang w:eastAsia="lv-LV"/>
              </w:rPr>
              <w:t>2.rindkopu</w:t>
            </w:r>
          </w:p>
        </w:tc>
        <w:tc>
          <w:tcPr>
            <w:tcW w:w="1054" w:type="pct"/>
          </w:tcPr>
          <w:p w:rsidR="00FD5027" w:rsidRPr="004D2C68" w:rsidP="00B73DEB" w14:paraId="01E0EFE8" w14:textId="3E5A41C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4.punktā izteiktais Noteikumu Nr.545 5.punkts</w:t>
            </w:r>
          </w:p>
        </w:tc>
        <w:tc>
          <w:tcPr>
            <w:tcW w:w="1246" w:type="pct"/>
          </w:tcPr>
          <w:p w:rsidR="00FD5027" w:rsidRPr="00FD5027" w:rsidP="00B73DEB" w14:paraId="2D6036C1" w14:textId="6BE274B3">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F2148AE" w14:textId="69A3F1E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1ED6D86"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7223A4E8" w14:textId="31CC370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4.punkts</w:t>
            </w:r>
          </w:p>
        </w:tc>
        <w:tc>
          <w:tcPr>
            <w:tcW w:w="1054" w:type="pct"/>
          </w:tcPr>
          <w:p w:rsidR="00FD5027" w:rsidRPr="004D2C68" w:rsidP="00B73DEB" w14:paraId="5C7A5B41" w14:textId="4B58844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6.punktā izteiktais Noteikumu Nr.545 7.punkts </w:t>
            </w:r>
          </w:p>
        </w:tc>
        <w:tc>
          <w:tcPr>
            <w:tcW w:w="1246" w:type="pct"/>
          </w:tcPr>
          <w:p w:rsidR="00FD5027" w:rsidRPr="00FD5027" w:rsidP="00B73DEB" w14:paraId="5D0BB9EF" w14:textId="51844D4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5E8E031" w14:textId="5B95DAF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35334569"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4E38C7FF" w14:textId="5AC35E4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5.punkts</w:t>
            </w:r>
          </w:p>
        </w:tc>
        <w:tc>
          <w:tcPr>
            <w:tcW w:w="1054" w:type="pct"/>
          </w:tcPr>
          <w:p w:rsidR="00FD5027" w:rsidP="00B73DEB" w14:paraId="735D5D93" w14:textId="216CF96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Nr.545 8.</w:t>
            </w:r>
            <w:r w:rsidRPr="005C64C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5FDBB3C1" w14:textId="1EFDE95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0A8BEDED" w14:textId="0DEE27A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E2E40EE"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3C8F9096" w14:textId="14048433">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17.panta 6.punkts</w:t>
            </w:r>
          </w:p>
        </w:tc>
        <w:tc>
          <w:tcPr>
            <w:tcW w:w="1054" w:type="pct"/>
          </w:tcPr>
          <w:p w:rsidR="00FD5027" w:rsidRPr="004D2C68" w:rsidP="00B73DEB" w14:paraId="6AAA9B56" w14:textId="05179CB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Nr.545 8.</w:t>
            </w:r>
            <w:r w:rsidRPr="002C78ED">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2E163212" w14:textId="04749C4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48BB1BC" w14:textId="089BD20B">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52E2016"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2B50F675" w14:textId="2498450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1.punkts</w:t>
            </w:r>
          </w:p>
        </w:tc>
        <w:tc>
          <w:tcPr>
            <w:tcW w:w="1054" w:type="pct"/>
          </w:tcPr>
          <w:p w:rsidR="00FD5027" w:rsidP="00B73DEB" w14:paraId="5C0BA9B7" w14:textId="79553163">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3.punkts</w:t>
            </w:r>
          </w:p>
        </w:tc>
        <w:tc>
          <w:tcPr>
            <w:tcW w:w="1246" w:type="pct"/>
          </w:tcPr>
          <w:p w:rsidR="00FD5027" w:rsidRPr="00FD5027" w:rsidP="00B73DEB" w14:paraId="467AA8B2" w14:textId="5CD5B4B4">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6AA69EFC" w14:textId="0D824CE3">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04B9E4D4"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2591AD1B" w14:textId="009C6E5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1.punkta a) apakšpunkts</w:t>
            </w:r>
          </w:p>
        </w:tc>
        <w:tc>
          <w:tcPr>
            <w:tcW w:w="1054" w:type="pct"/>
          </w:tcPr>
          <w:p w:rsidR="00FD5027" w:rsidP="00B73DEB" w14:paraId="60AAB8BA" w14:textId="1EC8A4A5">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06289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 un 22.punkts</w:t>
            </w:r>
          </w:p>
        </w:tc>
        <w:tc>
          <w:tcPr>
            <w:tcW w:w="1246" w:type="pct"/>
          </w:tcPr>
          <w:p w:rsidR="00FD5027" w:rsidRPr="00FD5027" w:rsidP="00B73DEB" w14:paraId="107DA232" w14:textId="5ACC5EBB">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EC41DD9" w14:textId="6D5B039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753D0CC"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6A8C4811" w14:textId="0C41D451">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1.punkta b) apakšpunkts</w:t>
            </w:r>
          </w:p>
        </w:tc>
        <w:tc>
          <w:tcPr>
            <w:tcW w:w="1054" w:type="pct"/>
          </w:tcPr>
          <w:p w:rsidR="00FD5027" w:rsidP="00B73DEB" w14:paraId="22B5B714" w14:textId="440C8D99">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06289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 un 22.punkts</w:t>
            </w:r>
          </w:p>
        </w:tc>
        <w:tc>
          <w:tcPr>
            <w:tcW w:w="1246" w:type="pct"/>
          </w:tcPr>
          <w:p w:rsidR="00FD5027" w:rsidRPr="00FD5027" w:rsidP="00B73DEB" w14:paraId="303D3A41" w14:textId="57A5F25A">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7F0AE19" w14:textId="144F4495">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44C5E26"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557DE22C" w14:textId="547AD4F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1.punkta c) apakšpunkts</w:t>
            </w:r>
          </w:p>
        </w:tc>
        <w:tc>
          <w:tcPr>
            <w:tcW w:w="1054" w:type="pct"/>
          </w:tcPr>
          <w:p w:rsidR="00FD5027" w:rsidP="00B73DEB" w14:paraId="685FFC9D" w14:textId="028D1CD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11.punktā izteiktais Noteikumu Nr.545 13.</w:t>
            </w:r>
            <w:r w:rsidRPr="0006289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p w:rsidR="00FD5027" w:rsidP="00B73DEB" w14:paraId="595A9770" w14:textId="2328D91F">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Nr.545 22.punkts</w:t>
            </w:r>
          </w:p>
        </w:tc>
        <w:tc>
          <w:tcPr>
            <w:tcW w:w="1246" w:type="pct"/>
          </w:tcPr>
          <w:p w:rsidR="00FD5027" w:rsidRPr="00FD5027" w:rsidP="00B73DEB" w14:paraId="03707B48" w14:textId="4006D275">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0D363999" w14:textId="60C4B38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0995E3BC"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118649F4" w14:textId="07482760">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3.punkta 1.rindkopa</w:t>
            </w:r>
          </w:p>
        </w:tc>
        <w:tc>
          <w:tcPr>
            <w:tcW w:w="1054" w:type="pct"/>
          </w:tcPr>
          <w:p w:rsidR="00FD5027" w:rsidP="00B73DEB" w14:paraId="07083218" w14:textId="4116F54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06289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p w:rsidR="00FD5027" w:rsidP="00B73DEB" w14:paraId="67CFCD03" w14:textId="6076704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Nr.545 IV un V nodaļa</w:t>
            </w:r>
          </w:p>
        </w:tc>
        <w:tc>
          <w:tcPr>
            <w:tcW w:w="1246" w:type="pct"/>
          </w:tcPr>
          <w:p w:rsidR="00FD5027" w:rsidRPr="00FD5027" w:rsidP="00B73DEB" w14:paraId="29F8CED9" w14:textId="7528713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9241DBE" w14:textId="2B8C8B7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5B91F1EC"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6F7DB6CF" w14:textId="761B5115">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3.punkta 4.rindkopa</w:t>
            </w:r>
          </w:p>
        </w:tc>
        <w:tc>
          <w:tcPr>
            <w:tcW w:w="1054" w:type="pct"/>
          </w:tcPr>
          <w:p w:rsidR="00FD5027" w:rsidP="00B73DEB" w14:paraId="5851209D" w14:textId="7777777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3.punktā izteiktais Noteikumu Nr.545 3.punkts</w:t>
            </w:r>
          </w:p>
          <w:p w:rsidR="00FD5027" w:rsidP="00B73DEB" w14:paraId="65A9E425" w14:textId="4C8887E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4E3A3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p w:rsidR="00FD5027" w:rsidRPr="004D2C68" w:rsidP="00B73DEB" w14:paraId="44DB26EC" w14:textId="50F6989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Nr.545 IV un V nodaļa</w:t>
            </w:r>
          </w:p>
        </w:tc>
        <w:tc>
          <w:tcPr>
            <w:tcW w:w="1246" w:type="pct"/>
          </w:tcPr>
          <w:p w:rsidR="00FD5027" w:rsidRPr="00FD5027" w:rsidP="00B73DEB" w14:paraId="2671122A" w14:textId="49CF6CDC">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AD29459" w14:textId="35900DD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067D412E"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790D69E1" w14:textId="110290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4.punkta 1.rindkopa</w:t>
            </w:r>
          </w:p>
        </w:tc>
        <w:tc>
          <w:tcPr>
            <w:tcW w:w="1054" w:type="pct"/>
          </w:tcPr>
          <w:p w:rsidR="00FD5027" w:rsidP="00B73DEB" w14:paraId="12A3D47A" w14:textId="154A4C13">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10.punktā izteiktais Noteikumu Nr.545 13.</w:t>
            </w:r>
            <w:r w:rsidRPr="00CD4CF8">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321B09FD" w14:textId="726FA361">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25AF531" w14:textId="3FDBBBD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4FAE16E7"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31E51BE9" w14:textId="25D6291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2.panta 6.punkta c) apakšpunkts, kas pievieno Direktīvas Nr.2009/28/EK 18.panta 5.punkta 2.rindkopu</w:t>
            </w:r>
          </w:p>
        </w:tc>
        <w:tc>
          <w:tcPr>
            <w:tcW w:w="1054" w:type="pct"/>
          </w:tcPr>
          <w:p w:rsidR="00FD5027" w:rsidRPr="004D2C68" w:rsidP="00B73DEB" w14:paraId="3D6C8566" w14:textId="3CA3892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07466609" w14:textId="6BC328C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2C521CA" w14:textId="38FF970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1A7636C"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64B1718F" w14:textId="29B6737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6.punkta </w:t>
            </w:r>
            <w:r w:rsidR="00314D04">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 apakšpunkts, kas </w:t>
            </w:r>
            <w:r w:rsidR="00314D04">
              <w:rPr>
                <w:rFonts w:ascii="Times New Roman" w:eastAsia="Times New Roman" w:hAnsi="Times New Roman" w:cs="Times New Roman"/>
                <w:sz w:val="24"/>
                <w:szCs w:val="24"/>
                <w:lang w:eastAsia="lv-LV"/>
              </w:rPr>
              <w:t>aiz</w:t>
            </w:r>
            <w:r w:rsidR="00D21D72">
              <w:rPr>
                <w:rFonts w:ascii="Times New Roman" w:eastAsia="Times New Roman" w:hAnsi="Times New Roman" w:cs="Times New Roman"/>
                <w:sz w:val="24"/>
                <w:szCs w:val="24"/>
                <w:lang w:eastAsia="lv-LV"/>
              </w:rPr>
              <w:t>s</w:t>
            </w:r>
            <w:r w:rsidR="00314D04">
              <w:rPr>
                <w:rFonts w:ascii="Times New Roman" w:eastAsia="Times New Roman" w:hAnsi="Times New Roman" w:cs="Times New Roman"/>
                <w:sz w:val="24"/>
                <w:szCs w:val="24"/>
                <w:lang w:eastAsia="lv-LV"/>
              </w:rPr>
              <w:t>tāj</w:t>
            </w:r>
            <w:r>
              <w:rPr>
                <w:rFonts w:ascii="Times New Roman" w:eastAsia="Times New Roman" w:hAnsi="Times New Roman" w:cs="Times New Roman"/>
                <w:sz w:val="24"/>
                <w:szCs w:val="24"/>
                <w:lang w:eastAsia="lv-LV"/>
              </w:rPr>
              <w:t xml:space="preserve"> Direktīvas Nr.2009/28/EK 18.panta 6.punkta</w:t>
            </w:r>
            <w:r w:rsidR="00D21D72">
              <w:rPr>
                <w:rFonts w:ascii="Times New Roman" w:eastAsia="Times New Roman" w:hAnsi="Times New Roman" w:cs="Times New Roman"/>
                <w:sz w:val="24"/>
                <w:szCs w:val="24"/>
                <w:lang w:eastAsia="lv-LV"/>
              </w:rPr>
              <w:t xml:space="preserve"> 2.rindkopu</w:t>
            </w:r>
          </w:p>
        </w:tc>
        <w:tc>
          <w:tcPr>
            <w:tcW w:w="1054" w:type="pct"/>
          </w:tcPr>
          <w:p w:rsidR="00FD5027" w:rsidRPr="004D2C68" w:rsidP="00B73DEB" w14:paraId="065E6C65" w14:textId="03854BAD">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10.punktā izteiktais Noteikumu Nr.545 13.</w:t>
            </w:r>
            <w:r w:rsidRPr="00CD4CF8">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6F711250" w14:textId="4050FD5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5FD88D08" w14:textId="7E14F09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080AE9FE"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323F3C41" w14:textId="5640EDA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2.panta 6.punkta d) apakšpunkts, kas aizstāj Direktīvas Nr.2009/28/EK 18.panta 6.punkta 2.rindkopu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5.rindkop</w:t>
            </w:r>
            <w:r>
              <w:rPr>
                <w:rFonts w:ascii="Times New Roman" w:eastAsia="Times New Roman" w:hAnsi="Times New Roman" w:cs="Times New Roman"/>
                <w:sz w:val="24"/>
                <w:szCs w:val="24"/>
                <w:lang w:eastAsia="lv-LV"/>
              </w:rPr>
              <w:t>u</w:t>
            </w:r>
          </w:p>
        </w:tc>
        <w:tc>
          <w:tcPr>
            <w:tcW w:w="1054" w:type="pct"/>
          </w:tcPr>
          <w:p w:rsidR="00FD5027" w:rsidRPr="004D2C68" w:rsidP="00B73DEB" w14:paraId="3EF75691" w14:textId="13E987B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00D21D7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.punktā izteiktais Noteikumu Nr.545 35.punkts</w:t>
            </w:r>
          </w:p>
        </w:tc>
        <w:tc>
          <w:tcPr>
            <w:tcW w:w="1246" w:type="pct"/>
          </w:tcPr>
          <w:p w:rsidR="00FD5027" w:rsidRPr="00FD5027" w:rsidP="00B73DEB" w14:paraId="31C0C10F" w14:textId="045EAAD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ABB21C2" w14:textId="3ECD0027">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0473CB28"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25BF78F0" w14:textId="487B64E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18.panta 7.punkts</w:t>
            </w:r>
          </w:p>
        </w:tc>
        <w:tc>
          <w:tcPr>
            <w:tcW w:w="1054" w:type="pct"/>
          </w:tcPr>
          <w:p w:rsidR="00FD5027" w:rsidRPr="004D2C68" w:rsidP="00B73DEB" w14:paraId="3D8F437D" w14:textId="04EE304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14.punktā izteiktais Noteikumu Nr.545 28.</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tc>
        <w:tc>
          <w:tcPr>
            <w:tcW w:w="1246" w:type="pct"/>
          </w:tcPr>
          <w:p w:rsidR="00FD5027" w:rsidRPr="00FD5027" w:rsidP="00B73DEB" w14:paraId="3C1CE402" w14:textId="598BB04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3B63F326" w14:textId="5EF6AB5F">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547B0130"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B73DEB" w14:paraId="6945628B" w14:textId="40DA5AD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Nr.2009/28/EK </w:t>
            </w:r>
            <w:r>
              <w:rPr>
                <w:rFonts w:ascii="Times New Roman" w:eastAsia="Times New Roman" w:hAnsi="Times New Roman" w:cs="Times New Roman"/>
                <w:sz w:val="24"/>
                <w:szCs w:val="24"/>
                <w:lang w:eastAsia="lv-LV"/>
              </w:rPr>
              <w:t>19.panta 1.punkts</w:t>
            </w:r>
          </w:p>
        </w:tc>
        <w:tc>
          <w:tcPr>
            <w:tcW w:w="1054" w:type="pct"/>
          </w:tcPr>
          <w:p w:rsidR="00FD5027" w:rsidRPr="004D2C68" w:rsidP="00B73DEB" w14:paraId="25E2645C" w14:textId="5CFFC4F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9.punktā izteiktais Noteikumu Nr.545 11.punkts</w:t>
            </w:r>
          </w:p>
        </w:tc>
        <w:tc>
          <w:tcPr>
            <w:tcW w:w="1246" w:type="pct"/>
          </w:tcPr>
          <w:p w:rsidR="00FD5027" w:rsidRPr="00FD5027" w:rsidP="00B73DEB" w14:paraId="7930EC8B" w14:textId="381946F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64EF8981" w14:textId="3CC410FA">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E66CDCF"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RPr="004D2C68" w:rsidP="00D21D72" w14:paraId="0DE97ACA" w14:textId="01076659">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2.panta 9.punkta b) apakšpunkts, kas pievieno Direktīvas Nr.2009/28/EK </w:t>
            </w:r>
            <w:r>
              <w:rPr>
                <w:rFonts w:ascii="Times New Roman" w:eastAsia="Times New Roman" w:hAnsi="Times New Roman" w:cs="Times New Roman"/>
                <w:sz w:val="24"/>
                <w:szCs w:val="24"/>
                <w:lang w:eastAsia="lv-LV"/>
              </w:rPr>
              <w:t>22.panta 1.punkta o) apakšpunkt</w:t>
            </w:r>
            <w:r>
              <w:rPr>
                <w:rFonts w:ascii="Times New Roman" w:eastAsia="Times New Roman" w:hAnsi="Times New Roman" w:cs="Times New Roman"/>
                <w:sz w:val="24"/>
                <w:szCs w:val="24"/>
                <w:lang w:eastAsia="lv-LV"/>
              </w:rPr>
              <w:t>u</w:t>
            </w:r>
          </w:p>
        </w:tc>
        <w:tc>
          <w:tcPr>
            <w:tcW w:w="1054" w:type="pct"/>
          </w:tcPr>
          <w:p w:rsidR="00FD5027" w:rsidP="00B73DEB" w14:paraId="36BC91C1" w14:textId="7777777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Netiek pārņemts, jo attiecas uz dalībvalsti</w:t>
            </w:r>
          </w:p>
          <w:p w:rsidR="00FD5027" w:rsidRPr="004D2C68" w:rsidP="00B73DEB" w14:paraId="51183D85" w14:textId="47DA18F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Nosacījums ir iekļauts Eiropas Komisijas izstrādātajā ziņošanas veidlapā</w:t>
            </w:r>
          </w:p>
        </w:tc>
        <w:tc>
          <w:tcPr>
            <w:tcW w:w="1246" w:type="pct"/>
          </w:tcPr>
          <w:p w:rsidR="00FD5027" w:rsidRPr="00FD5027" w:rsidP="00B73DEB" w14:paraId="29FD029E" w14:textId="48CC16D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6A5A1F11" w14:textId="58953602">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4043156D"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46A93414" w14:textId="13EE1E08">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Nr.2015/1513 II pielikuma 1.punkts, kas aizstāj Direktīvas Nr.2009/28/EK V pielikuma C daļas 7.punktu</w:t>
            </w:r>
          </w:p>
        </w:tc>
        <w:tc>
          <w:tcPr>
            <w:tcW w:w="1054" w:type="pct"/>
          </w:tcPr>
          <w:p w:rsidR="00FD5027" w:rsidP="00B73DEB" w14:paraId="643FC319" w14:textId="51794A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17.punktā izteiktais Noteikumu Nr.545 1.pielikuma 10.punkts</w:t>
            </w:r>
          </w:p>
        </w:tc>
        <w:tc>
          <w:tcPr>
            <w:tcW w:w="1246" w:type="pct"/>
          </w:tcPr>
          <w:p w:rsidR="00FD5027" w:rsidRPr="00FD5027" w:rsidP="00B73DEB" w14:paraId="7D2C7C22" w14:textId="6F45C6E3">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2EA30D54" w14:textId="62EBDC5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2A864CF5"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6899BC21" w14:textId="3102C72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II pielikuma 2.punkts, kas pievieno Direktīvai Nr.2009/28/EK </w:t>
            </w:r>
            <w:r>
              <w:rPr>
                <w:rFonts w:ascii="Times New Roman" w:eastAsia="Times New Roman" w:hAnsi="Times New Roman" w:cs="Times New Roman"/>
                <w:sz w:val="24"/>
                <w:szCs w:val="24"/>
                <w:lang w:eastAsia="lv-LV"/>
              </w:rPr>
              <w:t>VIII pielikum</w:t>
            </w:r>
            <w:r>
              <w:rPr>
                <w:rFonts w:ascii="Times New Roman" w:eastAsia="Times New Roman" w:hAnsi="Times New Roman" w:cs="Times New Roman"/>
                <w:sz w:val="24"/>
                <w:szCs w:val="24"/>
                <w:lang w:eastAsia="lv-LV"/>
              </w:rPr>
              <w:t>u</w:t>
            </w:r>
          </w:p>
        </w:tc>
        <w:tc>
          <w:tcPr>
            <w:tcW w:w="1054" w:type="pct"/>
          </w:tcPr>
          <w:p w:rsidR="00FD5027" w:rsidP="00B73DEB" w14:paraId="6CD32D67" w14:textId="1204E05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17.punktā izteiktais Noteikumu Nr.545 8.pielikums</w:t>
            </w:r>
          </w:p>
        </w:tc>
        <w:tc>
          <w:tcPr>
            <w:tcW w:w="1246" w:type="pct"/>
          </w:tcPr>
          <w:p w:rsidR="00FD5027" w:rsidRPr="00FD5027" w:rsidP="00B73DEB" w14:paraId="7C81CC70" w14:textId="0D70C269">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1A8CE6FE" w14:textId="39DEF097">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169EE5AE" w14:textId="77777777" w:rsidTr="00E153CB">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tcPr>
          <w:p w:rsidR="00FD5027" w:rsidP="00B73DEB" w14:paraId="70D8BAD3" w14:textId="3E84B8FE">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Nr.2015/1513 II pielikuma 3.punkts, kas pievieno Direktīvai </w:t>
            </w:r>
            <w:r>
              <w:rPr>
                <w:rFonts w:ascii="Times New Roman" w:eastAsia="Times New Roman" w:hAnsi="Times New Roman" w:cs="Times New Roman"/>
                <w:sz w:val="24"/>
                <w:szCs w:val="24"/>
                <w:lang w:eastAsia="lv-LV"/>
              </w:rPr>
              <w:t xml:space="preserve">Nr.2009/28/EK </w:t>
            </w:r>
            <w:r>
              <w:rPr>
                <w:rFonts w:ascii="Times New Roman" w:eastAsia="Times New Roman" w:hAnsi="Times New Roman" w:cs="Times New Roman"/>
                <w:sz w:val="24"/>
                <w:szCs w:val="24"/>
                <w:lang w:eastAsia="lv-LV"/>
              </w:rPr>
              <w:t>IX pielikums</w:t>
            </w:r>
          </w:p>
        </w:tc>
        <w:tc>
          <w:tcPr>
            <w:tcW w:w="1054" w:type="pct"/>
          </w:tcPr>
          <w:p w:rsidR="00FD5027" w:rsidP="00B73DEB" w14:paraId="458414AE" w14:textId="3E170B0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17.punktā izteiktais Noteikumu Nr.545 10.pielikums</w:t>
            </w:r>
          </w:p>
        </w:tc>
        <w:tc>
          <w:tcPr>
            <w:tcW w:w="1246" w:type="pct"/>
          </w:tcPr>
          <w:p w:rsidR="00FD5027" w:rsidRPr="00FD5027" w:rsidP="00B73DEB" w14:paraId="771A43EE" w14:textId="38C09E68">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496" w:type="pct"/>
          </w:tcPr>
          <w:p w:rsidR="00FD5027" w:rsidRPr="00FD5027" w:rsidP="00B73DEB" w14:paraId="45ACF0CE" w14:textId="5089D58B">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14:paraId="71C07607" w14:textId="77777777" w:rsidTr="008A1E71">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A52630" w:rsidRPr="004D2C68" w:rsidP="00B73DEB" w14:paraId="4F81DD29"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D2C68">
              <w:rPr>
                <w:rFonts w:ascii="Times New Roman" w:eastAsia="Times New Roman" w:hAnsi="Times New Roman" w:cs="Times New Roman"/>
                <w:sz w:val="24"/>
                <w:szCs w:val="24"/>
                <w:lang w:eastAsia="lv-LV"/>
              </w:rPr>
              <w:br/>
              <w:t>Kādēļ?</w:t>
            </w:r>
          </w:p>
        </w:tc>
        <w:tc>
          <w:tcPr>
            <w:tcW w:w="3840" w:type="pct"/>
            <w:gridSpan w:val="3"/>
          </w:tcPr>
          <w:p w:rsidR="00A52630" w:rsidP="00B73DEB" w14:paraId="6E4337ED" w14:textId="4DA7BFB4">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98/70/EK 7.b panta 8.punkts: “</w:t>
            </w:r>
            <w:r w:rsidRPr="00C51546">
              <w:rPr>
                <w:rFonts w:ascii="Times New Roman" w:eastAsia="Times New Roman" w:hAnsi="Times New Roman" w:cs="Times New Roman"/>
                <w:sz w:val="24"/>
                <w:szCs w:val="24"/>
                <w:lang w:eastAsia="lv-LV"/>
              </w:rPr>
              <w:t>Dalībvalstis nolūkos, kas minēti 1.punktā, neatsakās ņemt vērā biodegvielu, kas iegūta saskaņā ar šo pantu, ņemot vērā citus pamatojumus par ilgtspējību.</w:t>
            </w:r>
            <w:r>
              <w:rPr>
                <w:rFonts w:ascii="Times New Roman" w:eastAsia="Times New Roman" w:hAnsi="Times New Roman" w:cs="Times New Roman"/>
                <w:sz w:val="24"/>
                <w:szCs w:val="24"/>
                <w:lang w:eastAsia="lv-LV"/>
              </w:rPr>
              <w:t>”. Direktīvas Nr.2009/28/EK 17.panta 8.punkts: “</w:t>
            </w:r>
            <w:r w:rsidRPr="005C64C6">
              <w:rPr>
                <w:rFonts w:ascii="Times New Roman" w:eastAsia="Times New Roman" w:hAnsi="Times New Roman" w:cs="Times New Roman"/>
                <w:sz w:val="24"/>
                <w:szCs w:val="24"/>
                <w:lang w:eastAsia="lv-LV"/>
              </w:rPr>
              <w:t>Dalībvalstis 1. punkta a), b) un c) apakšpunktā minētajos nolūkos, pamatojoties uz citiem ilgtspējības apsvērumiem, neatsakās ņemt vērā biodegvielas un bioloģiskos šķidros kurināmos, kas iegūti saskaņā ar šo pantu.</w:t>
            </w:r>
            <w:r>
              <w:rPr>
                <w:rFonts w:ascii="Times New Roman" w:eastAsia="Times New Roman" w:hAnsi="Times New Roman" w:cs="Times New Roman"/>
                <w:sz w:val="24"/>
                <w:szCs w:val="24"/>
                <w:lang w:eastAsia="lv-LV"/>
              </w:rPr>
              <w:t>”.</w:t>
            </w:r>
          </w:p>
          <w:p w:rsidR="00A52630" w:rsidRPr="004D2C68" w:rsidP="00B73DEB" w14:paraId="440E402A" w14:textId="6AC4921D">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Tomēr Latvija ir izvēlējusies noteikt, ka biodegvielām</w:t>
            </w:r>
            <w:r w:rsidRPr="00C51546">
              <w:rPr>
                <w:rFonts w:ascii="Times New Roman" w:eastAsia="Times New Roman" w:hAnsi="Times New Roman" w:cs="Times New Roman"/>
                <w:sz w:val="24"/>
                <w:szCs w:val="24"/>
                <w:lang w:eastAsia="lv-LV"/>
              </w:rPr>
              <w:t xml:space="preserve">, kas tiek izmantoti </w:t>
            </w:r>
            <w:r w:rsidR="00D75B1C">
              <w:rPr>
                <w:rFonts w:ascii="Times New Roman" w:eastAsia="Times New Roman" w:hAnsi="Times New Roman" w:cs="Times New Roman"/>
                <w:sz w:val="24"/>
                <w:szCs w:val="24"/>
                <w:lang w:eastAsia="lv-LV"/>
              </w:rPr>
              <w:t>Likum</w:t>
            </w:r>
            <w:r w:rsidR="00AC05BB">
              <w:rPr>
                <w:rFonts w:ascii="Times New Roman" w:eastAsia="Times New Roman" w:hAnsi="Times New Roman" w:cs="Times New Roman"/>
                <w:sz w:val="24"/>
                <w:szCs w:val="24"/>
                <w:lang w:eastAsia="lv-LV"/>
              </w:rPr>
              <w:t>pr</w:t>
            </w:r>
            <w:r w:rsidR="00CA12D3">
              <w:rPr>
                <w:rFonts w:ascii="Times New Roman" w:eastAsia="Times New Roman" w:hAnsi="Times New Roman" w:cs="Times New Roman"/>
                <w:sz w:val="24"/>
                <w:szCs w:val="24"/>
                <w:lang w:eastAsia="lv-LV"/>
              </w:rPr>
              <w:t>o</w:t>
            </w:r>
            <w:r w:rsidR="00AC05BB">
              <w:rPr>
                <w:rFonts w:ascii="Times New Roman" w:eastAsia="Times New Roman" w:hAnsi="Times New Roman" w:cs="Times New Roman"/>
                <w:sz w:val="24"/>
                <w:szCs w:val="24"/>
                <w:lang w:eastAsia="lv-LV"/>
              </w:rPr>
              <w:t>jektā</w:t>
            </w:r>
            <w:r w:rsidRPr="00C51546">
              <w:rPr>
                <w:rFonts w:ascii="Times New Roman" w:eastAsia="Times New Roman" w:hAnsi="Times New Roman" w:cs="Times New Roman"/>
                <w:sz w:val="24"/>
                <w:szCs w:val="24"/>
                <w:lang w:eastAsia="lv-LV"/>
              </w:rPr>
              <w:t xml:space="preserve"> noteiktā valsts mērķa sasniegšanā vai kas tiek izmantots likumā “Par piesārņojumu” noteiktā transporta enerģijas aprites cikla siltumnīcefekta gāzu emisiju samazinājumā</w:t>
            </w:r>
            <w:r>
              <w:rPr>
                <w:rFonts w:ascii="Times New Roman" w:eastAsia="Times New Roman" w:hAnsi="Times New Roman" w:cs="Times New Roman"/>
                <w:sz w:val="24"/>
                <w:szCs w:val="24"/>
                <w:lang w:eastAsia="lv-LV"/>
              </w:rPr>
              <w:t>, un bioloģiskajam šķidrajam kurināmajam ir jāatbilst tikai tie</w:t>
            </w:r>
            <w:r w:rsidR="00455BF9">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ilgtspējas kritērijiem, kas ir noteikti Noteikumos Nr.545 un Noteikumu projektā.</w:t>
            </w:r>
          </w:p>
        </w:tc>
      </w:tr>
      <w:tr w14:paraId="46E48AFD" w14:textId="77777777" w:rsidTr="008A1E71">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A52630" w:rsidRPr="004D2C68" w:rsidP="00B73DEB" w14:paraId="7F7CE486"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0" w:type="pct"/>
            <w:gridSpan w:val="3"/>
            <w:hideMark/>
          </w:tcPr>
          <w:p w:rsidR="00A52630" w:rsidRPr="004D2C68" w:rsidP="00B73DEB" w14:paraId="7557DDCA"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šo jomu neskar.</w:t>
            </w:r>
          </w:p>
        </w:tc>
      </w:tr>
      <w:tr w14:paraId="1C6F1064" w14:textId="77777777" w:rsidTr="008A1E71">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1094" w:type="pct"/>
            <w:hideMark/>
          </w:tcPr>
          <w:p w:rsidR="00A52630" w:rsidRPr="004D2C68" w:rsidP="00B73DEB" w14:paraId="48B4E872" w14:textId="77777777">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Cita informācija</w:t>
            </w:r>
          </w:p>
        </w:tc>
        <w:tc>
          <w:tcPr>
            <w:tcW w:w="3840" w:type="pct"/>
            <w:gridSpan w:val="3"/>
            <w:hideMark/>
          </w:tcPr>
          <w:p w:rsidR="00A52630" w:rsidRPr="004D2C68" w:rsidP="00B73DEB" w14:paraId="4B1269BB" w14:textId="6C7225B5">
            <w:pPr>
              <w:spacing w:after="0" w:line="240" w:lineRule="auto"/>
              <w:ind w:right="93"/>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Nav.</w:t>
            </w:r>
          </w:p>
        </w:tc>
      </w:tr>
      <w:tr w14:paraId="51E19763" w14:textId="77777777" w:rsidTr="00FD5027">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4956" w:type="pct"/>
            <w:gridSpan w:val="4"/>
            <w:vAlign w:val="center"/>
            <w:hideMark/>
          </w:tcPr>
          <w:p w:rsidR="00A52630" w:rsidRPr="004D2C68" w:rsidP="00B73DEB" w14:paraId="6BD47D8E" w14:textId="77777777">
            <w:pPr>
              <w:spacing w:after="0" w:line="240" w:lineRule="auto"/>
              <w:contextualSpacing/>
              <w:jc w:val="center"/>
              <w:rPr>
                <w:rFonts w:ascii="Times New Roman" w:eastAsia="Times New Roman" w:hAnsi="Times New Roman" w:cs="Times New Roman"/>
                <w:b/>
                <w:bCs/>
                <w:sz w:val="24"/>
                <w:szCs w:val="24"/>
                <w:lang w:eastAsia="lv-LV"/>
              </w:rPr>
            </w:pPr>
            <w:r w:rsidRPr="004D2C68">
              <w:rPr>
                <w:rFonts w:ascii="Times New Roman" w:eastAsia="Times New Roman" w:hAnsi="Times New Roman" w:cs="Times New Roman"/>
                <w:b/>
                <w:bCs/>
                <w:sz w:val="24"/>
                <w:szCs w:val="24"/>
                <w:lang w:eastAsia="lv-LV"/>
              </w:rPr>
              <w:t>2. tabula</w:t>
            </w:r>
            <w:r w:rsidRPr="004D2C6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D2C68">
              <w:rPr>
                <w:rFonts w:ascii="Times New Roman" w:eastAsia="Times New Roman" w:hAnsi="Times New Roman" w:cs="Times New Roman"/>
                <w:b/>
                <w:bCs/>
                <w:sz w:val="24"/>
                <w:szCs w:val="24"/>
                <w:lang w:eastAsia="lv-LV"/>
              </w:rPr>
              <w:br/>
              <w:t>Pasākumi šo saistību izpildei</w:t>
            </w:r>
          </w:p>
        </w:tc>
      </w:tr>
      <w:tr w14:paraId="1105448B" w14:textId="77777777" w:rsidTr="00FD5027">
        <w:tblPrEx>
          <w:tblW w:w="5024" w:type="pct"/>
          <w:jc w:val="center"/>
          <w:tblCellSpacing w:w="20" w:type="dxa"/>
          <w:tblCellMar>
            <w:top w:w="24" w:type="dxa"/>
            <w:left w:w="24" w:type="dxa"/>
            <w:bottom w:w="24" w:type="dxa"/>
            <w:right w:w="24" w:type="dxa"/>
          </w:tblCellMar>
          <w:tblLook w:val="04A0"/>
        </w:tblPrEx>
        <w:trPr>
          <w:tblCellSpacing w:w="20" w:type="dxa"/>
          <w:jc w:val="center"/>
        </w:trPr>
        <w:tc>
          <w:tcPr>
            <w:tcW w:w="4956" w:type="pct"/>
            <w:gridSpan w:val="4"/>
            <w:vAlign w:val="center"/>
            <w:hideMark/>
          </w:tcPr>
          <w:p w:rsidR="00A52630" w:rsidRPr="004D2C68" w:rsidP="00AE61AD" w14:paraId="567992E5" w14:textId="77777777">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šo jomu neskar.</w:t>
            </w:r>
          </w:p>
        </w:tc>
      </w:tr>
    </w:tbl>
    <w:p w:rsidR="00B46EE6" w:rsidRPr="004D2C68" w:rsidP="00B73DEB" w14:paraId="4DD0610E"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55F53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B73DEB" w14:paraId="5D2A2877"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 Sabiedrības līdzdalība un komunikācijas aktivitātes</w:t>
            </w:r>
          </w:p>
        </w:tc>
      </w:tr>
      <w:tr w14:paraId="59B4D522"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25094E9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D2C68" w:rsidP="00B73DEB" w14:paraId="71189AE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5704E0" w:rsidRPr="004D2C68" w:rsidP="00B73DEB" w14:paraId="6A298795" w14:textId="4C0E2323">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color w:val="000000"/>
                <w:sz w:val="24"/>
                <w:szCs w:val="24"/>
                <w:shd w:val="clear" w:color="auto" w:fill="FFFFFF"/>
              </w:rPr>
              <w:t>Saskaņā ar Ministru kabineta 2009</w:t>
            </w:r>
            <w:r w:rsidR="002B280A">
              <w:rPr>
                <w:rFonts w:ascii="Times New Roman" w:hAnsi="Times New Roman" w:cs="Times New Roman"/>
                <w:color w:val="000000"/>
                <w:sz w:val="24"/>
                <w:szCs w:val="24"/>
                <w:shd w:val="clear" w:color="auto" w:fill="FFFFFF"/>
              </w:rPr>
              <w:t>.g</w:t>
            </w:r>
            <w:r w:rsidRPr="004D2C68">
              <w:rPr>
                <w:rFonts w:ascii="Times New Roman" w:hAnsi="Times New Roman" w:cs="Times New Roman"/>
                <w:color w:val="000000"/>
                <w:sz w:val="24"/>
                <w:szCs w:val="24"/>
                <w:shd w:val="clear" w:color="auto" w:fill="FFFFFF"/>
              </w:rPr>
              <w:t xml:space="preserve">ada 25. augusta noteikumu </w:t>
            </w:r>
            <w:r w:rsidR="00056A3E">
              <w:rPr>
                <w:rFonts w:ascii="Times New Roman" w:hAnsi="Times New Roman" w:cs="Times New Roman"/>
                <w:color w:val="000000"/>
                <w:sz w:val="24"/>
                <w:szCs w:val="24"/>
                <w:shd w:val="clear" w:color="auto" w:fill="FFFFFF"/>
              </w:rPr>
              <w:t>Nr.</w:t>
            </w:r>
            <w:r w:rsidRPr="004D2C68">
              <w:rPr>
                <w:rFonts w:ascii="Times New Roman" w:hAnsi="Times New Roman" w:cs="Times New Roman"/>
                <w:color w:val="000000"/>
                <w:sz w:val="24"/>
                <w:szCs w:val="24"/>
                <w:shd w:val="clear" w:color="auto" w:fill="FFFFFF"/>
              </w:rPr>
              <w:t>970 „Sabiedrības līdzdalības kārtība attīstības plānošanas procesā” 7.4.</w:t>
            </w:r>
            <w:r w:rsidRPr="004D2C68">
              <w:rPr>
                <w:rFonts w:ascii="Times New Roman" w:hAnsi="Times New Roman" w:cs="Times New Roman"/>
                <w:color w:val="000000"/>
                <w:sz w:val="24"/>
                <w:szCs w:val="24"/>
                <w:shd w:val="clear" w:color="auto" w:fill="FFFFFF"/>
                <w:vertAlign w:val="superscript"/>
              </w:rPr>
              <w:t>1 </w:t>
            </w:r>
            <w:r w:rsidRPr="004D2C68">
              <w:rPr>
                <w:rFonts w:ascii="Times New Roman" w:hAnsi="Times New Roman" w:cs="Times New Roman"/>
                <w:color w:val="000000"/>
                <w:sz w:val="24"/>
                <w:szCs w:val="24"/>
                <w:shd w:val="clear" w:color="auto" w:fill="FFFFFF"/>
              </w:rPr>
              <w:t xml:space="preserve">apakšpunktu sabiedrības pārstāvji ir aicināti līdzdarboties, rakstiski sniedzot viedokli par Noteikumu projektu tā izstrādes stadijā. Sabiedrības pārstāvji ir informēti par iespēju </w:t>
            </w:r>
            <w:r w:rsidRPr="004D2C68">
              <w:rPr>
                <w:rFonts w:ascii="Times New Roman" w:hAnsi="Times New Roman" w:cs="Times New Roman"/>
                <w:color w:val="000000"/>
                <w:sz w:val="24"/>
                <w:szCs w:val="24"/>
                <w:shd w:val="clear" w:color="auto" w:fill="FFFFFF"/>
              </w:rPr>
              <w:t xml:space="preserve">līdzdarboties, publicējot paziņojumu par līdzdalības procesu Ekonomikas ministrijas tīmekļa </w:t>
            </w:r>
            <w:r w:rsidRPr="002562E6">
              <w:rPr>
                <w:rFonts w:ascii="Times New Roman" w:hAnsi="Times New Roman" w:cs="Times New Roman"/>
                <w:sz w:val="24"/>
                <w:szCs w:val="24"/>
                <w:shd w:val="clear" w:color="auto" w:fill="FFFFFF"/>
              </w:rPr>
              <w:t>vietnē.</w:t>
            </w:r>
          </w:p>
          <w:p w:rsidR="002A360D" w:rsidRPr="004F42C6" w:rsidP="00B73DEB" w14:paraId="57FB2B31" w14:textId="05F0339B">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 xml:space="preserve">Vienlaikus par </w:t>
            </w:r>
            <w:r w:rsidR="004F42C6">
              <w:rPr>
                <w:rFonts w:ascii="Times New Roman" w:hAnsi="Times New Roman" w:cs="Times New Roman"/>
                <w:sz w:val="24"/>
                <w:szCs w:val="24"/>
              </w:rPr>
              <w:t xml:space="preserve">Noteikumu </w:t>
            </w:r>
            <w:r w:rsidRPr="004D2C68">
              <w:rPr>
                <w:rFonts w:ascii="Times New Roman" w:hAnsi="Times New Roman" w:cs="Times New Roman"/>
                <w:sz w:val="24"/>
                <w:szCs w:val="24"/>
              </w:rPr>
              <w:t xml:space="preserve">projekta izstrādi </w:t>
            </w:r>
            <w:r w:rsidR="004F42C6">
              <w:rPr>
                <w:rFonts w:ascii="Times New Roman" w:hAnsi="Times New Roman" w:cs="Times New Roman"/>
                <w:sz w:val="24"/>
                <w:szCs w:val="24"/>
              </w:rPr>
              <w:t>tika sniegta informācija likumprojekta “Transporta enerģijas likums” izstrādes un virzības laikā</w:t>
            </w:r>
            <w:r w:rsidR="00FE41BA">
              <w:rPr>
                <w:rFonts w:ascii="Times New Roman" w:hAnsi="Times New Roman" w:cs="Times New Roman"/>
                <w:sz w:val="24"/>
                <w:szCs w:val="24"/>
              </w:rPr>
              <w:t xml:space="preserve"> Ministru kabinetā</w:t>
            </w:r>
            <w:r w:rsidRPr="004D2C68" w:rsidR="00BD770C">
              <w:rPr>
                <w:rFonts w:ascii="Times New Roman" w:hAnsi="Times New Roman" w:cs="Times New Roman"/>
                <w:sz w:val="24"/>
                <w:szCs w:val="24"/>
              </w:rPr>
              <w:t>.</w:t>
            </w:r>
          </w:p>
        </w:tc>
      </w:tr>
      <w:tr w14:paraId="71171ABA"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C5856" w:rsidRPr="004D2C68" w:rsidP="00B73DEB" w14:paraId="09616D7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C5856" w:rsidRPr="004D2C68" w:rsidP="00B73DEB" w14:paraId="79B24313"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2A360D" w:rsidRPr="004F42C6" w:rsidP="00B73DEB" w14:paraId="46C43AF8" w14:textId="4A014E20">
            <w:pPr>
              <w:spacing w:after="0" w:line="240" w:lineRule="auto"/>
              <w:contextualSpacing/>
              <w:jc w:val="both"/>
              <w:rPr>
                <w:rFonts w:ascii="Times New Roman" w:hAnsi="Times New Roman" w:cs="Times New Roman"/>
                <w:color w:val="0000FF"/>
                <w:sz w:val="24"/>
                <w:szCs w:val="24"/>
                <w:u w:val="single"/>
              </w:rPr>
            </w:pPr>
            <w:r w:rsidRPr="004D2C68">
              <w:rPr>
                <w:rFonts w:ascii="Times New Roman" w:hAnsi="Times New Roman" w:cs="Times New Roman"/>
                <w:sz w:val="24"/>
                <w:szCs w:val="24"/>
              </w:rPr>
              <w:t xml:space="preserve">Noteikumu projekts </w:t>
            </w:r>
            <w:r w:rsidRPr="004D2C68" w:rsidR="0090626C">
              <w:rPr>
                <w:rFonts w:ascii="Times New Roman" w:hAnsi="Times New Roman" w:cs="Times New Roman"/>
                <w:sz w:val="24"/>
                <w:szCs w:val="24"/>
              </w:rPr>
              <w:t xml:space="preserve">tika </w:t>
            </w:r>
            <w:r w:rsidRPr="004D2C68">
              <w:rPr>
                <w:rFonts w:ascii="Times New Roman" w:hAnsi="Times New Roman" w:cs="Times New Roman"/>
                <w:sz w:val="24"/>
                <w:szCs w:val="24"/>
              </w:rPr>
              <w:t xml:space="preserve">publicēts </w:t>
            </w:r>
            <w:r w:rsidRPr="004D2C68" w:rsidR="0090626C">
              <w:rPr>
                <w:rFonts w:ascii="Times New Roman" w:hAnsi="Times New Roman" w:cs="Times New Roman"/>
                <w:sz w:val="24"/>
                <w:szCs w:val="24"/>
              </w:rPr>
              <w:t xml:space="preserve">Ekonomikas </w:t>
            </w:r>
            <w:r w:rsidRPr="004D2C68">
              <w:rPr>
                <w:rFonts w:ascii="Times New Roman" w:hAnsi="Times New Roman" w:cs="Times New Roman"/>
                <w:sz w:val="24"/>
                <w:szCs w:val="24"/>
              </w:rPr>
              <w:t>ministrijas tīmekļvietnē</w:t>
            </w:r>
            <w:r w:rsidRPr="004D2C68" w:rsidR="0090626C">
              <w:rPr>
                <w:rFonts w:ascii="Times New Roman" w:hAnsi="Times New Roman" w:cs="Times New Roman"/>
                <w:sz w:val="24"/>
                <w:szCs w:val="24"/>
              </w:rPr>
              <w:t xml:space="preserve"> </w:t>
            </w:r>
            <w:r>
              <w:fldChar w:fldCharType="begin"/>
            </w:r>
            <w:r>
              <w:instrText xml:space="preserve"> HYPERLINK "http://www.em.gov.lv" </w:instrText>
            </w:r>
            <w:r>
              <w:fldChar w:fldCharType="separate"/>
            </w:r>
            <w:r w:rsidRPr="004D2C68" w:rsidR="0090626C">
              <w:rPr>
                <w:rStyle w:val="Hyperlink"/>
                <w:rFonts w:ascii="Times New Roman" w:hAnsi="Times New Roman" w:cs="Times New Roman"/>
                <w:sz w:val="24"/>
                <w:szCs w:val="24"/>
              </w:rPr>
              <w:t>www.em.gov.lv</w:t>
            </w:r>
            <w:r>
              <w:fldChar w:fldCharType="end"/>
            </w:r>
            <w:r w:rsidRPr="004D2C68" w:rsidR="00C73589">
              <w:rPr>
                <w:rStyle w:val="Hyperlink"/>
                <w:rFonts w:ascii="Times New Roman" w:hAnsi="Times New Roman" w:cs="Times New Roman"/>
                <w:sz w:val="24"/>
                <w:szCs w:val="24"/>
              </w:rPr>
              <w:t>.</w:t>
            </w:r>
          </w:p>
        </w:tc>
      </w:tr>
      <w:tr w14:paraId="60230B37"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C5856" w:rsidRPr="004D2C68" w:rsidP="00B73DEB" w14:paraId="1E693B39"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C5856" w:rsidRPr="004D2C68" w:rsidP="00B73DEB" w14:paraId="4611B1A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0C5856" w:rsidRPr="004D2C68" w:rsidP="00B73DEB" w14:paraId="2FDA2DFD" w14:textId="548FD6E2">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Sadaļa tiks papildināta pirms Noteikumu projekta izsludināšanas Valsts sekretāru sanāksmē.</w:t>
            </w:r>
          </w:p>
        </w:tc>
      </w:tr>
      <w:tr w14:paraId="268B2B1B"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B73DEB" w14:paraId="3B7221A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D2C68" w:rsidP="00B73DEB" w14:paraId="2483153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D2C68" w:rsidP="00B73DEB" w14:paraId="53D17BE7"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rsidR="00E5323B" w:rsidRPr="004D2C68" w:rsidP="00B73DEB" w14:paraId="44016AA6"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65CB92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B73DEB" w14:paraId="056532DB"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8DD66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B73DEB" w14:paraId="7E37CC7B"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B73DEB" w14:paraId="3DAC772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D2C68" w:rsidP="00B73DEB" w14:paraId="1C64FA27" w14:textId="24397723">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Valsts vides dienests</w:t>
            </w:r>
            <w:r w:rsidRPr="004D2C68" w:rsidR="00A13562">
              <w:rPr>
                <w:rFonts w:ascii="Times New Roman" w:hAnsi="Times New Roman" w:cs="Times New Roman"/>
                <w:sz w:val="24"/>
                <w:szCs w:val="24"/>
              </w:rPr>
              <w:t xml:space="preserve">, </w:t>
            </w:r>
            <w:r w:rsidR="002562E6">
              <w:rPr>
                <w:rFonts w:ascii="Times New Roman" w:hAnsi="Times New Roman" w:cs="Times New Roman"/>
                <w:sz w:val="24"/>
                <w:szCs w:val="24"/>
              </w:rPr>
              <w:t>LATAK</w:t>
            </w:r>
            <w:r w:rsidR="002B7278">
              <w:rPr>
                <w:rFonts w:ascii="Times New Roman" w:hAnsi="Times New Roman" w:cs="Times New Roman"/>
                <w:sz w:val="24"/>
                <w:szCs w:val="24"/>
              </w:rPr>
              <w:t>, Lauku atbalsta dienests</w:t>
            </w:r>
            <w:r w:rsidRPr="004D2C68" w:rsidR="0080151D">
              <w:rPr>
                <w:rFonts w:ascii="Times New Roman" w:hAnsi="Times New Roman" w:cs="Times New Roman"/>
                <w:sz w:val="24"/>
                <w:szCs w:val="24"/>
              </w:rPr>
              <w:t>.</w:t>
            </w:r>
          </w:p>
        </w:tc>
      </w:tr>
      <w:tr w14:paraId="7C229F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B73DEB" w14:paraId="10BFE4B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B73DEB" w14:paraId="2CB5C4FA"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izpildes ietekme uz pārvaldes funkcijām un institucionālo struktūru.</w:t>
            </w:r>
            <w:r w:rsidRPr="004D2C6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2501F" w:rsidRPr="004D2C68" w:rsidP="00B73DEB" w14:paraId="0A54ABC5" w14:textId="77777777">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Noteikumu projektā iekļautie nosacījumi var radīt ietekmi uz pārvaldes funkcijām, tomēr tas neietekmēs institucionālo sistēmu.</w:t>
            </w:r>
          </w:p>
          <w:p w:rsidR="0002501F" w:rsidRPr="004D2C68" w:rsidP="00B73DEB" w14:paraId="6D4E4814" w14:textId="77777777">
            <w:pPr>
              <w:spacing w:after="0" w:line="240" w:lineRule="auto"/>
              <w:contextualSpacing/>
              <w:jc w:val="both"/>
              <w:rPr>
                <w:rFonts w:ascii="Times New Roman" w:hAnsi="Times New Roman" w:cs="Times New Roman"/>
                <w:sz w:val="24"/>
                <w:szCs w:val="24"/>
              </w:rPr>
            </w:pPr>
            <w:r w:rsidRPr="004D2C68">
              <w:rPr>
                <w:rFonts w:ascii="Times New Roman" w:hAnsi="Times New Roman" w:cs="Times New Roman"/>
                <w:sz w:val="24"/>
                <w:szCs w:val="24"/>
              </w:rPr>
              <w:t>Noteikumu projektā iekļauto nosacījumu izpildei nav nepieciešams veidot jaunas institūcijas, likvidēt vai reorganizēt esošās institūcijas.</w:t>
            </w:r>
          </w:p>
          <w:p w:rsidR="00E5323B" w:rsidRPr="004D2C68" w:rsidP="00B73DEB" w14:paraId="545280C3" w14:textId="2D337A23">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 xml:space="preserve">Noteikumu projekta izpildē iesaistītās institūcijas noteikumu projektā iekļautos pasākumu nodrošinās piešķirto valsts budžeta līdzekļu ietvaros un izmantojot esošos cilvēkresursus. </w:t>
            </w:r>
          </w:p>
        </w:tc>
      </w:tr>
      <w:tr w14:paraId="548BB4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B73DEB" w14:paraId="5758F840"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B73DEB" w14:paraId="0B38906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D2C68" w:rsidP="00B73DEB" w14:paraId="1409BC5B"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rsidR="00C25B49" w:rsidRPr="004D2C68" w:rsidP="00B73DEB" w14:paraId="0E8D94EC" w14:textId="2FF12ACC">
      <w:pPr>
        <w:spacing w:after="0" w:line="240" w:lineRule="auto"/>
        <w:contextualSpacing/>
        <w:rPr>
          <w:rFonts w:ascii="Times New Roman" w:hAnsi="Times New Roman" w:cs="Times New Roman"/>
          <w:sz w:val="28"/>
          <w:szCs w:val="28"/>
        </w:rPr>
      </w:pPr>
    </w:p>
    <w:p w:rsidR="00180B04" w:rsidRPr="004D2C68" w:rsidP="00B73DEB" w14:paraId="520396B8" w14:textId="28EBC4A2">
      <w:pPr>
        <w:spacing w:after="0" w:line="240" w:lineRule="auto"/>
        <w:contextualSpacing/>
        <w:rPr>
          <w:rFonts w:ascii="Times New Roman" w:hAnsi="Times New Roman" w:cs="Times New Roman"/>
          <w:sz w:val="28"/>
          <w:szCs w:val="28"/>
        </w:rPr>
      </w:pPr>
    </w:p>
    <w:p w:rsidR="00E1349C" w:rsidRPr="004D2C68" w:rsidP="00B73DEB" w14:paraId="77E354B0" w14:textId="77777777">
      <w:pPr>
        <w:spacing w:after="0" w:line="240" w:lineRule="auto"/>
        <w:contextualSpacing/>
        <w:rPr>
          <w:rFonts w:ascii="Times New Roman" w:hAnsi="Times New Roman" w:cs="Times New Roman"/>
          <w:sz w:val="28"/>
          <w:szCs w:val="28"/>
        </w:rPr>
      </w:pPr>
    </w:p>
    <w:p w:rsidR="00B14A9F" w:rsidRPr="004D2C68" w:rsidP="00B73DEB" w14:paraId="6896EDA2" w14:textId="77777777">
      <w:pPr>
        <w:spacing w:after="0" w:line="240" w:lineRule="auto"/>
        <w:contextualSpacing/>
        <w:jc w:val="both"/>
        <w:rPr>
          <w:rFonts w:ascii="Times New Roman" w:hAnsi="Times New Roman" w:cs="Times New Roman"/>
          <w:sz w:val="28"/>
          <w:szCs w:val="28"/>
        </w:rPr>
      </w:pPr>
      <w:bookmarkStart w:id="2" w:name="_Hlk524525843"/>
      <w:r w:rsidRPr="004D2C68">
        <w:rPr>
          <w:rFonts w:ascii="Times New Roman" w:hAnsi="Times New Roman" w:cs="Times New Roman"/>
          <w:sz w:val="28"/>
          <w:szCs w:val="28"/>
        </w:rPr>
        <w:t xml:space="preserve">Ministru prezidenta biedrs, </w:t>
      </w:r>
    </w:p>
    <w:p w:rsidR="00B14A9F" w:rsidRPr="004D2C68" w:rsidP="00B73DEB" w14:paraId="01276022" w14:textId="77777777">
      <w:pPr>
        <w:tabs>
          <w:tab w:val="left" w:pos="7371"/>
        </w:tabs>
        <w:spacing w:after="0" w:line="240" w:lineRule="auto"/>
        <w:contextualSpacing/>
        <w:jc w:val="both"/>
        <w:rPr>
          <w:rFonts w:ascii="Times New Roman" w:hAnsi="Times New Roman" w:cs="Times New Roman"/>
          <w:sz w:val="28"/>
          <w:szCs w:val="28"/>
        </w:rPr>
      </w:pPr>
      <w:bookmarkEnd w:id="2"/>
      <w:r w:rsidRPr="004D2C68">
        <w:rPr>
          <w:rFonts w:ascii="Times New Roman" w:hAnsi="Times New Roman" w:cs="Times New Roman"/>
          <w:sz w:val="28"/>
          <w:szCs w:val="28"/>
        </w:rPr>
        <w:t>ekonomikas ministrs</w:t>
      </w:r>
      <w:r w:rsidRPr="004D2C68" w:rsidR="008B26A2">
        <w:rPr>
          <w:rFonts w:ascii="Times New Roman" w:hAnsi="Times New Roman" w:cs="Times New Roman"/>
          <w:sz w:val="28"/>
          <w:szCs w:val="28"/>
        </w:rPr>
        <w:t xml:space="preserve"> </w:t>
      </w:r>
      <w:r w:rsidRPr="004D2C68" w:rsidR="008B26A2">
        <w:rPr>
          <w:rFonts w:ascii="Times New Roman" w:hAnsi="Times New Roman" w:cs="Times New Roman"/>
          <w:sz w:val="28"/>
          <w:szCs w:val="28"/>
        </w:rPr>
        <w:tab/>
      </w:r>
      <w:r w:rsidRPr="004D2C68">
        <w:rPr>
          <w:rFonts w:ascii="Times New Roman" w:hAnsi="Times New Roman" w:cs="Times New Roman"/>
          <w:sz w:val="28"/>
          <w:szCs w:val="28"/>
        </w:rPr>
        <w:t>A.Ašeradens</w:t>
      </w:r>
    </w:p>
    <w:p w:rsidR="00B14A9F" w:rsidRPr="004D2C68" w:rsidP="00B73DEB" w14:paraId="5E9FAAA0" w14:textId="08E46F25">
      <w:pPr>
        <w:spacing w:after="0" w:line="240" w:lineRule="auto"/>
        <w:contextualSpacing/>
        <w:rPr>
          <w:rFonts w:ascii="Times New Roman" w:hAnsi="Times New Roman" w:cs="Times New Roman"/>
          <w:sz w:val="28"/>
          <w:szCs w:val="28"/>
        </w:rPr>
      </w:pPr>
    </w:p>
    <w:p w:rsidR="00783A56" w:rsidRPr="004D2C68" w:rsidP="00B73DEB" w14:paraId="3E88A3C0" w14:textId="1AFED744">
      <w:pPr>
        <w:spacing w:after="0" w:line="240" w:lineRule="auto"/>
        <w:contextualSpacing/>
        <w:rPr>
          <w:rFonts w:ascii="Times New Roman" w:hAnsi="Times New Roman" w:cs="Times New Roman"/>
          <w:sz w:val="28"/>
          <w:szCs w:val="28"/>
        </w:rPr>
      </w:pPr>
    </w:p>
    <w:p w:rsidR="00783A56" w:rsidRPr="004D2C68" w:rsidP="00B73DEB" w14:paraId="3D950F5D" w14:textId="74A9F6B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Vīza:</w:t>
      </w:r>
    </w:p>
    <w:p w:rsidR="00894C55" w:rsidRPr="004D2C68" w:rsidP="00B73DEB" w14:paraId="2E61B7C2" w14:textId="455FBEC3">
      <w:pPr>
        <w:tabs>
          <w:tab w:val="left" w:pos="7371"/>
        </w:tabs>
        <w:spacing w:after="0" w:line="240" w:lineRule="auto"/>
        <w:contextualSpacing/>
        <w:jc w:val="both"/>
        <w:rPr>
          <w:rFonts w:ascii="Times New Roman" w:hAnsi="Times New Roman" w:cs="Times New Roman"/>
          <w:sz w:val="28"/>
          <w:szCs w:val="28"/>
        </w:rPr>
      </w:pPr>
      <w:r w:rsidRPr="004D2C68">
        <w:rPr>
          <w:rFonts w:ascii="Times New Roman" w:hAnsi="Times New Roman" w:cs="Times New Roman"/>
          <w:sz w:val="28"/>
          <w:szCs w:val="28"/>
        </w:rPr>
        <w:t>Valsts sekretārs</w:t>
      </w:r>
      <w:r w:rsidRPr="004D2C68" w:rsidR="008B26A2">
        <w:rPr>
          <w:rFonts w:ascii="Times New Roman" w:hAnsi="Times New Roman" w:cs="Times New Roman"/>
          <w:sz w:val="28"/>
          <w:szCs w:val="28"/>
        </w:rPr>
        <w:t xml:space="preserve"> </w:t>
      </w:r>
      <w:r w:rsidRPr="004D2C68" w:rsidR="008B26A2">
        <w:rPr>
          <w:rFonts w:ascii="Times New Roman" w:hAnsi="Times New Roman" w:cs="Times New Roman"/>
          <w:sz w:val="28"/>
          <w:szCs w:val="28"/>
        </w:rPr>
        <w:tab/>
      </w:r>
      <w:r w:rsidRPr="004D2C68" w:rsidR="00BD770C">
        <w:rPr>
          <w:rFonts w:ascii="Times New Roman" w:hAnsi="Times New Roman" w:cs="Times New Roman"/>
          <w:sz w:val="28"/>
          <w:szCs w:val="28"/>
        </w:rPr>
        <w:t>Ē</w:t>
      </w:r>
      <w:r w:rsidRPr="004D2C68">
        <w:rPr>
          <w:rFonts w:ascii="Times New Roman" w:hAnsi="Times New Roman" w:cs="Times New Roman"/>
          <w:sz w:val="28"/>
          <w:szCs w:val="28"/>
        </w:rPr>
        <w:t>.</w:t>
      </w:r>
      <w:r w:rsidRPr="004D2C68" w:rsidR="00BD770C">
        <w:rPr>
          <w:rFonts w:ascii="Times New Roman" w:hAnsi="Times New Roman" w:cs="Times New Roman"/>
          <w:sz w:val="28"/>
          <w:szCs w:val="28"/>
        </w:rPr>
        <w:t>Eglītis</w:t>
      </w:r>
    </w:p>
    <w:p w:rsidR="00894C55" w:rsidRPr="004D2C68" w:rsidP="00B73DEB" w14:paraId="75D3678A" w14:textId="77777777">
      <w:pPr>
        <w:spacing w:after="0" w:line="240" w:lineRule="auto"/>
        <w:contextualSpacing/>
        <w:rPr>
          <w:rFonts w:ascii="Times New Roman" w:hAnsi="Times New Roman" w:cs="Times New Roman"/>
          <w:sz w:val="28"/>
          <w:szCs w:val="28"/>
        </w:rPr>
      </w:pPr>
    </w:p>
    <w:p w:rsidR="002562E6" w:rsidP="00B73DEB" w14:paraId="0D06E0A9" w14:textId="77777777">
      <w:pPr>
        <w:tabs>
          <w:tab w:val="left" w:pos="6237"/>
        </w:tabs>
        <w:spacing w:after="0" w:line="240" w:lineRule="auto"/>
        <w:contextualSpacing/>
        <w:rPr>
          <w:rFonts w:ascii="Times New Roman" w:hAnsi="Times New Roman" w:cs="Times New Roman"/>
          <w:sz w:val="20"/>
          <w:szCs w:val="20"/>
        </w:rPr>
      </w:pPr>
    </w:p>
    <w:p w:rsidR="002562E6" w:rsidP="00B73DEB" w14:paraId="09A2B675" w14:textId="77777777">
      <w:pPr>
        <w:tabs>
          <w:tab w:val="left" w:pos="6237"/>
        </w:tabs>
        <w:spacing w:after="0" w:line="240" w:lineRule="auto"/>
        <w:contextualSpacing/>
        <w:rPr>
          <w:rFonts w:ascii="Times New Roman" w:hAnsi="Times New Roman" w:cs="Times New Roman"/>
          <w:sz w:val="20"/>
          <w:szCs w:val="20"/>
        </w:rPr>
      </w:pPr>
    </w:p>
    <w:p w:rsidR="002562E6" w:rsidP="00B73DEB" w14:paraId="6BB2F380" w14:textId="77777777">
      <w:pPr>
        <w:tabs>
          <w:tab w:val="left" w:pos="6237"/>
        </w:tabs>
        <w:spacing w:after="0" w:line="240" w:lineRule="auto"/>
        <w:contextualSpacing/>
        <w:rPr>
          <w:rFonts w:ascii="Times New Roman" w:hAnsi="Times New Roman" w:cs="Times New Roman"/>
          <w:sz w:val="20"/>
          <w:szCs w:val="20"/>
        </w:rPr>
      </w:pPr>
    </w:p>
    <w:p w:rsidR="00D62A5A" w:rsidRPr="004D2C68" w:rsidP="00B73DEB" w14:paraId="22050E03" w14:textId="423E50EA">
      <w:pPr>
        <w:tabs>
          <w:tab w:val="left" w:pos="6237"/>
        </w:tabs>
        <w:spacing w:after="0" w:line="240" w:lineRule="auto"/>
        <w:contextualSpacing/>
        <w:rPr>
          <w:rFonts w:ascii="Times New Roman" w:hAnsi="Times New Roman" w:cs="Times New Roman"/>
          <w:sz w:val="20"/>
          <w:szCs w:val="20"/>
        </w:rPr>
      </w:pPr>
      <w:r w:rsidRPr="004D2C68">
        <w:rPr>
          <w:rFonts w:ascii="Times New Roman" w:hAnsi="Times New Roman" w:cs="Times New Roman"/>
          <w:sz w:val="20"/>
          <w:szCs w:val="20"/>
        </w:rPr>
        <w:t>Rimša, 67013244</w:t>
      </w:r>
    </w:p>
    <w:p w:rsidR="00D62A5A" w:rsidRPr="004D2C68" w:rsidP="00B73DEB" w14:paraId="3C7B4974" w14:textId="17D42935">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"mailto:Helena.Rimsa@em.gov.lv" </w:instrText>
      </w:r>
      <w:r>
        <w:fldChar w:fldCharType="separate"/>
      </w:r>
      <w:r w:rsidRPr="004D2C68" w:rsidR="00411730">
        <w:rPr>
          <w:rStyle w:val="Hyperlink"/>
          <w:rFonts w:ascii="Times New Roman" w:hAnsi="Times New Roman" w:cs="Times New Roman"/>
          <w:sz w:val="20"/>
          <w:szCs w:val="20"/>
        </w:rPr>
        <w:t>Helena.Rimsa@em.gov.lv</w:t>
      </w:r>
      <w:r>
        <w:fldChar w:fldCharType="end"/>
      </w:r>
      <w:r w:rsidRPr="004D2C68" w:rsidR="00411730">
        <w:rPr>
          <w:rFonts w:ascii="Times New Roman" w:hAnsi="Times New Roman" w:cs="Times New Roman"/>
          <w:sz w:val="20"/>
          <w:szCs w:val="20"/>
        </w:rPr>
        <w:t xml:space="preserve"> </w:t>
      </w:r>
    </w:p>
    <w:sectPr w:rsidSect="00063E44">
      <w:headerReference w:type="default" r:id="rId5"/>
      <w:footerReference w:type="default" r:id="rId6"/>
      <w:footerReference w:type="first" r:id="rId7"/>
      <w:pgSz w:w="11906" w:h="16838"/>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6F" w:rsidRPr="0053013E" w:rsidP="00B14A9F" w14:paraId="4B8F95F6" w14:textId="7DBB148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docx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6F" w:rsidRPr="009A2654" w14:paraId="5C4D8376" w14:textId="7B36FFB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docx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8298216"/>
      <w:docPartObj>
        <w:docPartGallery w:val="Page Numbers (Top of Page)"/>
        <w:docPartUnique/>
      </w:docPartObj>
    </w:sdtPr>
    <w:sdtEndPr>
      <w:rPr>
        <w:rFonts w:ascii="Times New Roman" w:hAnsi="Times New Roman" w:cs="Times New Roman"/>
        <w:noProof/>
        <w:sz w:val="24"/>
        <w:szCs w:val="20"/>
      </w:rPr>
    </w:sdtEndPr>
    <w:sdtContent>
      <w:p w:rsidR="009D2B6F" w:rsidRPr="00C25B49" w14:paraId="532D6AE1" w14:textId="673473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3A0F9B"/>
    <w:multiLevelType w:val="hybridMultilevel"/>
    <w:tmpl w:val="E1589BE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3490759"/>
    <w:multiLevelType w:val="hybridMultilevel"/>
    <w:tmpl w:val="83E09492"/>
    <w:lvl w:ilvl="0">
      <w:start w:val="201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E642927"/>
    <w:multiLevelType w:val="hybridMultilevel"/>
    <w:tmpl w:val="D7B6E21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1">
    <w:nsid w:val="4B320DEE"/>
    <w:multiLevelType w:val="hybridMultilevel"/>
    <w:tmpl w:val="36A013B0"/>
    <w:lvl w:ilvl="0">
      <w:start w:val="2018"/>
      <w:numFmt w:val="bullet"/>
      <w:lvlText w:val="-"/>
      <w:lvlJc w:val="left"/>
      <w:pPr>
        <w:ind w:left="770" w:hanging="360"/>
      </w:pPr>
      <w:rPr>
        <w:rFonts w:ascii="Times New Roman" w:hAnsi="Times New Roman" w:eastAsiaTheme="minorHAnsi" w:cs="Times New Roman"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9E5EFB"/>
    <w:multiLevelType w:val="hybridMultilevel"/>
    <w:tmpl w:val="07FA7F4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15:restartNumberingAfterBreak="1">
    <w:nsid w:val="66813768"/>
    <w:multiLevelType w:val="hybridMultilevel"/>
    <w:tmpl w:val="A4061F3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17"/>
    <w:rsid w:val="00014F1A"/>
    <w:rsid w:val="00021BAB"/>
    <w:rsid w:val="0002501F"/>
    <w:rsid w:val="00027DC9"/>
    <w:rsid w:val="000315E2"/>
    <w:rsid w:val="0003279F"/>
    <w:rsid w:val="00035EC9"/>
    <w:rsid w:val="000408B3"/>
    <w:rsid w:val="00040C19"/>
    <w:rsid w:val="00040F39"/>
    <w:rsid w:val="000439D6"/>
    <w:rsid w:val="00043D10"/>
    <w:rsid w:val="00056A3E"/>
    <w:rsid w:val="00057D7E"/>
    <w:rsid w:val="000621E9"/>
    <w:rsid w:val="00062890"/>
    <w:rsid w:val="00063E44"/>
    <w:rsid w:val="000707F9"/>
    <w:rsid w:val="00071DFF"/>
    <w:rsid w:val="00073BD8"/>
    <w:rsid w:val="00077F00"/>
    <w:rsid w:val="000A4DA8"/>
    <w:rsid w:val="000B54DC"/>
    <w:rsid w:val="000B673B"/>
    <w:rsid w:val="000C0069"/>
    <w:rsid w:val="000C0B24"/>
    <w:rsid w:val="000C1431"/>
    <w:rsid w:val="000C149D"/>
    <w:rsid w:val="000C45C0"/>
    <w:rsid w:val="000C4B1D"/>
    <w:rsid w:val="000C5856"/>
    <w:rsid w:val="000D51EF"/>
    <w:rsid w:val="000E478D"/>
    <w:rsid w:val="000E4C8A"/>
    <w:rsid w:val="000E4F88"/>
    <w:rsid w:val="000F17BB"/>
    <w:rsid w:val="000F356E"/>
    <w:rsid w:val="000F3E00"/>
    <w:rsid w:val="000F44F7"/>
    <w:rsid w:val="000F51EE"/>
    <w:rsid w:val="000F7778"/>
    <w:rsid w:val="0010042C"/>
    <w:rsid w:val="00100CD6"/>
    <w:rsid w:val="00103DE5"/>
    <w:rsid w:val="0010553A"/>
    <w:rsid w:val="001121AE"/>
    <w:rsid w:val="00121D24"/>
    <w:rsid w:val="00125D49"/>
    <w:rsid w:val="0013136E"/>
    <w:rsid w:val="00131B42"/>
    <w:rsid w:val="00135351"/>
    <w:rsid w:val="0014012E"/>
    <w:rsid w:val="00142735"/>
    <w:rsid w:val="00150873"/>
    <w:rsid w:val="00154BE9"/>
    <w:rsid w:val="00154F61"/>
    <w:rsid w:val="00155609"/>
    <w:rsid w:val="0016709D"/>
    <w:rsid w:val="001718B3"/>
    <w:rsid w:val="001738B2"/>
    <w:rsid w:val="00180B04"/>
    <w:rsid w:val="00180E60"/>
    <w:rsid w:val="00184EF4"/>
    <w:rsid w:val="001B41F6"/>
    <w:rsid w:val="001C5009"/>
    <w:rsid w:val="001D05CE"/>
    <w:rsid w:val="001D3F8C"/>
    <w:rsid w:val="001D6250"/>
    <w:rsid w:val="001D779B"/>
    <w:rsid w:val="001E1286"/>
    <w:rsid w:val="001E3B33"/>
    <w:rsid w:val="001F14D5"/>
    <w:rsid w:val="001F5EBC"/>
    <w:rsid w:val="00204E7C"/>
    <w:rsid w:val="00205B4A"/>
    <w:rsid w:val="00215644"/>
    <w:rsid w:val="00215896"/>
    <w:rsid w:val="00215BBE"/>
    <w:rsid w:val="00217FF0"/>
    <w:rsid w:val="0022185A"/>
    <w:rsid w:val="00234474"/>
    <w:rsid w:val="0023793D"/>
    <w:rsid w:val="00241CC4"/>
    <w:rsid w:val="002429F1"/>
    <w:rsid w:val="00243426"/>
    <w:rsid w:val="002438DB"/>
    <w:rsid w:val="0025603D"/>
    <w:rsid w:val="002562E6"/>
    <w:rsid w:val="00256555"/>
    <w:rsid w:val="00261471"/>
    <w:rsid w:val="0026472F"/>
    <w:rsid w:val="00265BB6"/>
    <w:rsid w:val="002663B8"/>
    <w:rsid w:val="00271D3B"/>
    <w:rsid w:val="002755E6"/>
    <w:rsid w:val="00280EEE"/>
    <w:rsid w:val="00283431"/>
    <w:rsid w:val="00283D50"/>
    <w:rsid w:val="002A347D"/>
    <w:rsid w:val="002A360D"/>
    <w:rsid w:val="002A37BB"/>
    <w:rsid w:val="002A4D9D"/>
    <w:rsid w:val="002B280A"/>
    <w:rsid w:val="002B643D"/>
    <w:rsid w:val="002B7278"/>
    <w:rsid w:val="002C1556"/>
    <w:rsid w:val="002C3AC3"/>
    <w:rsid w:val="002C62F6"/>
    <w:rsid w:val="002C78ED"/>
    <w:rsid w:val="002D2B97"/>
    <w:rsid w:val="002D3DE4"/>
    <w:rsid w:val="002D5617"/>
    <w:rsid w:val="002E0D27"/>
    <w:rsid w:val="002E1C05"/>
    <w:rsid w:val="002E72F4"/>
    <w:rsid w:val="00304B0F"/>
    <w:rsid w:val="003050E4"/>
    <w:rsid w:val="003060C4"/>
    <w:rsid w:val="0031285A"/>
    <w:rsid w:val="0031420D"/>
    <w:rsid w:val="00314D04"/>
    <w:rsid w:val="003249A5"/>
    <w:rsid w:val="00342D63"/>
    <w:rsid w:val="003530B2"/>
    <w:rsid w:val="00366667"/>
    <w:rsid w:val="00367B5F"/>
    <w:rsid w:val="003707D0"/>
    <w:rsid w:val="00386CC9"/>
    <w:rsid w:val="003906ED"/>
    <w:rsid w:val="003914EA"/>
    <w:rsid w:val="00394559"/>
    <w:rsid w:val="003A12C6"/>
    <w:rsid w:val="003A1315"/>
    <w:rsid w:val="003A5222"/>
    <w:rsid w:val="003B0BF9"/>
    <w:rsid w:val="003B34DA"/>
    <w:rsid w:val="003B7290"/>
    <w:rsid w:val="003C2B88"/>
    <w:rsid w:val="003D56D8"/>
    <w:rsid w:val="003D5FA2"/>
    <w:rsid w:val="003E0791"/>
    <w:rsid w:val="003E5BB5"/>
    <w:rsid w:val="003E6616"/>
    <w:rsid w:val="003E68D8"/>
    <w:rsid w:val="003F1615"/>
    <w:rsid w:val="003F28AC"/>
    <w:rsid w:val="003F2C21"/>
    <w:rsid w:val="003F33E4"/>
    <w:rsid w:val="00403DC7"/>
    <w:rsid w:val="00404307"/>
    <w:rsid w:val="00407967"/>
    <w:rsid w:val="00411730"/>
    <w:rsid w:val="00414B8B"/>
    <w:rsid w:val="00417E92"/>
    <w:rsid w:val="0042051F"/>
    <w:rsid w:val="00420A91"/>
    <w:rsid w:val="00420EA5"/>
    <w:rsid w:val="00423731"/>
    <w:rsid w:val="00427082"/>
    <w:rsid w:val="00427369"/>
    <w:rsid w:val="004274B8"/>
    <w:rsid w:val="004307AF"/>
    <w:rsid w:val="0043556B"/>
    <w:rsid w:val="00437782"/>
    <w:rsid w:val="00440381"/>
    <w:rsid w:val="00440662"/>
    <w:rsid w:val="00442A66"/>
    <w:rsid w:val="00442EAA"/>
    <w:rsid w:val="004454FE"/>
    <w:rsid w:val="0045034F"/>
    <w:rsid w:val="00452E5A"/>
    <w:rsid w:val="00455BF9"/>
    <w:rsid w:val="00456E40"/>
    <w:rsid w:val="00461A63"/>
    <w:rsid w:val="00471F27"/>
    <w:rsid w:val="00471FC3"/>
    <w:rsid w:val="004877D2"/>
    <w:rsid w:val="00490BC4"/>
    <w:rsid w:val="00492359"/>
    <w:rsid w:val="0049266D"/>
    <w:rsid w:val="004934DE"/>
    <w:rsid w:val="004A3B03"/>
    <w:rsid w:val="004B032C"/>
    <w:rsid w:val="004B1D57"/>
    <w:rsid w:val="004B31F1"/>
    <w:rsid w:val="004B7786"/>
    <w:rsid w:val="004C1FE1"/>
    <w:rsid w:val="004C3CB3"/>
    <w:rsid w:val="004D2C68"/>
    <w:rsid w:val="004E08C1"/>
    <w:rsid w:val="004E3A36"/>
    <w:rsid w:val="004E4937"/>
    <w:rsid w:val="004E54F7"/>
    <w:rsid w:val="004F42C6"/>
    <w:rsid w:val="004F5EE6"/>
    <w:rsid w:val="0050178F"/>
    <w:rsid w:val="005111D0"/>
    <w:rsid w:val="00513882"/>
    <w:rsid w:val="00515458"/>
    <w:rsid w:val="00517162"/>
    <w:rsid w:val="00517F72"/>
    <w:rsid w:val="00522EDD"/>
    <w:rsid w:val="00526465"/>
    <w:rsid w:val="00527BE8"/>
    <w:rsid w:val="0053013E"/>
    <w:rsid w:val="00533476"/>
    <w:rsid w:val="005356CC"/>
    <w:rsid w:val="005401D2"/>
    <w:rsid w:val="00551FF8"/>
    <w:rsid w:val="00552EE5"/>
    <w:rsid w:val="00553A17"/>
    <w:rsid w:val="005545A4"/>
    <w:rsid w:val="005578C4"/>
    <w:rsid w:val="005619B7"/>
    <w:rsid w:val="00566AF1"/>
    <w:rsid w:val="00567A75"/>
    <w:rsid w:val="005702CA"/>
    <w:rsid w:val="005704E0"/>
    <w:rsid w:val="005824BF"/>
    <w:rsid w:val="005862D0"/>
    <w:rsid w:val="005927DA"/>
    <w:rsid w:val="00596234"/>
    <w:rsid w:val="0059784F"/>
    <w:rsid w:val="005A0118"/>
    <w:rsid w:val="005A0D8A"/>
    <w:rsid w:val="005A3ACA"/>
    <w:rsid w:val="005A5C7D"/>
    <w:rsid w:val="005C1AB9"/>
    <w:rsid w:val="005C3317"/>
    <w:rsid w:val="005C3809"/>
    <w:rsid w:val="005C3DF1"/>
    <w:rsid w:val="005C64C6"/>
    <w:rsid w:val="005D02A9"/>
    <w:rsid w:val="005D0EEC"/>
    <w:rsid w:val="005D1A4D"/>
    <w:rsid w:val="005D3CE8"/>
    <w:rsid w:val="005D440C"/>
    <w:rsid w:val="005D444B"/>
    <w:rsid w:val="005D5293"/>
    <w:rsid w:val="005D544E"/>
    <w:rsid w:val="005D66F3"/>
    <w:rsid w:val="005D6B9A"/>
    <w:rsid w:val="005E454E"/>
    <w:rsid w:val="005E6B8D"/>
    <w:rsid w:val="005F1ADD"/>
    <w:rsid w:val="005F7E92"/>
    <w:rsid w:val="00604818"/>
    <w:rsid w:val="00605C9B"/>
    <w:rsid w:val="00605FB4"/>
    <w:rsid w:val="00617242"/>
    <w:rsid w:val="00617B58"/>
    <w:rsid w:val="006203F8"/>
    <w:rsid w:val="00620B14"/>
    <w:rsid w:val="00620EDB"/>
    <w:rsid w:val="00630AAD"/>
    <w:rsid w:val="006311C6"/>
    <w:rsid w:val="0063274D"/>
    <w:rsid w:val="0063415D"/>
    <w:rsid w:val="00636649"/>
    <w:rsid w:val="00640ED9"/>
    <w:rsid w:val="00642714"/>
    <w:rsid w:val="0064436C"/>
    <w:rsid w:val="00646541"/>
    <w:rsid w:val="006505A8"/>
    <w:rsid w:val="00655AF3"/>
    <w:rsid w:val="00655F2C"/>
    <w:rsid w:val="00656B77"/>
    <w:rsid w:val="00660B4B"/>
    <w:rsid w:val="0066314A"/>
    <w:rsid w:val="00667E81"/>
    <w:rsid w:val="00671A34"/>
    <w:rsid w:val="00672455"/>
    <w:rsid w:val="00672DB9"/>
    <w:rsid w:val="00673B0B"/>
    <w:rsid w:val="00675DF3"/>
    <w:rsid w:val="0068100C"/>
    <w:rsid w:val="006879F2"/>
    <w:rsid w:val="006917EF"/>
    <w:rsid w:val="00692948"/>
    <w:rsid w:val="006950E7"/>
    <w:rsid w:val="006A2D81"/>
    <w:rsid w:val="006A7856"/>
    <w:rsid w:val="006B0C09"/>
    <w:rsid w:val="006B3583"/>
    <w:rsid w:val="006D2865"/>
    <w:rsid w:val="006D7376"/>
    <w:rsid w:val="006E1081"/>
    <w:rsid w:val="006E2924"/>
    <w:rsid w:val="006E2A1B"/>
    <w:rsid w:val="006F49D0"/>
    <w:rsid w:val="007007FB"/>
    <w:rsid w:val="00704B69"/>
    <w:rsid w:val="007146DD"/>
    <w:rsid w:val="0071605F"/>
    <w:rsid w:val="00720585"/>
    <w:rsid w:val="00723CE2"/>
    <w:rsid w:val="00732C7D"/>
    <w:rsid w:val="00733379"/>
    <w:rsid w:val="007357B7"/>
    <w:rsid w:val="00737D8A"/>
    <w:rsid w:val="007456FD"/>
    <w:rsid w:val="00753A89"/>
    <w:rsid w:val="007560E5"/>
    <w:rsid w:val="0076758B"/>
    <w:rsid w:val="007676FD"/>
    <w:rsid w:val="0077205E"/>
    <w:rsid w:val="00773AF6"/>
    <w:rsid w:val="00773CA6"/>
    <w:rsid w:val="00775B68"/>
    <w:rsid w:val="00776273"/>
    <w:rsid w:val="007767C3"/>
    <w:rsid w:val="0078079D"/>
    <w:rsid w:val="007828E7"/>
    <w:rsid w:val="007829B0"/>
    <w:rsid w:val="00783A56"/>
    <w:rsid w:val="007877E2"/>
    <w:rsid w:val="00787E18"/>
    <w:rsid w:val="007955E7"/>
    <w:rsid w:val="00795F71"/>
    <w:rsid w:val="00796248"/>
    <w:rsid w:val="007A0FE6"/>
    <w:rsid w:val="007A1C65"/>
    <w:rsid w:val="007A5140"/>
    <w:rsid w:val="007B40A7"/>
    <w:rsid w:val="007B594D"/>
    <w:rsid w:val="007B5E97"/>
    <w:rsid w:val="007D488B"/>
    <w:rsid w:val="007E57A0"/>
    <w:rsid w:val="007E5F7A"/>
    <w:rsid w:val="007E73AB"/>
    <w:rsid w:val="007E7AB9"/>
    <w:rsid w:val="007F00ED"/>
    <w:rsid w:val="007F071A"/>
    <w:rsid w:val="007F5379"/>
    <w:rsid w:val="007F583A"/>
    <w:rsid w:val="0080151D"/>
    <w:rsid w:val="00806D24"/>
    <w:rsid w:val="0080740C"/>
    <w:rsid w:val="008105E5"/>
    <w:rsid w:val="00811C0C"/>
    <w:rsid w:val="00811CB3"/>
    <w:rsid w:val="00816C11"/>
    <w:rsid w:val="00832616"/>
    <w:rsid w:val="00836459"/>
    <w:rsid w:val="008426D8"/>
    <w:rsid w:val="00845967"/>
    <w:rsid w:val="00847329"/>
    <w:rsid w:val="00853EAC"/>
    <w:rsid w:val="008619B0"/>
    <w:rsid w:val="0086452E"/>
    <w:rsid w:val="00866633"/>
    <w:rsid w:val="00882A00"/>
    <w:rsid w:val="00883E54"/>
    <w:rsid w:val="00892B7B"/>
    <w:rsid w:val="008932AF"/>
    <w:rsid w:val="00894C55"/>
    <w:rsid w:val="00897193"/>
    <w:rsid w:val="008A1BF8"/>
    <w:rsid w:val="008A1E71"/>
    <w:rsid w:val="008A7808"/>
    <w:rsid w:val="008B26A2"/>
    <w:rsid w:val="008B2E2F"/>
    <w:rsid w:val="008B5AEA"/>
    <w:rsid w:val="008B7B59"/>
    <w:rsid w:val="008C0775"/>
    <w:rsid w:val="008C0910"/>
    <w:rsid w:val="008C2E92"/>
    <w:rsid w:val="008D1610"/>
    <w:rsid w:val="008D4071"/>
    <w:rsid w:val="008D5D4B"/>
    <w:rsid w:val="008D6B10"/>
    <w:rsid w:val="008D766C"/>
    <w:rsid w:val="008E177E"/>
    <w:rsid w:val="008E5FBC"/>
    <w:rsid w:val="008E79B5"/>
    <w:rsid w:val="00900022"/>
    <w:rsid w:val="00900686"/>
    <w:rsid w:val="00905793"/>
    <w:rsid w:val="0090626C"/>
    <w:rsid w:val="0091093C"/>
    <w:rsid w:val="00913445"/>
    <w:rsid w:val="00916557"/>
    <w:rsid w:val="009170F2"/>
    <w:rsid w:val="00917C3E"/>
    <w:rsid w:val="00922207"/>
    <w:rsid w:val="00923556"/>
    <w:rsid w:val="009314CC"/>
    <w:rsid w:val="00932841"/>
    <w:rsid w:val="0094171A"/>
    <w:rsid w:val="009417DF"/>
    <w:rsid w:val="009455AA"/>
    <w:rsid w:val="009518A8"/>
    <w:rsid w:val="009659A6"/>
    <w:rsid w:val="0098205C"/>
    <w:rsid w:val="0098269F"/>
    <w:rsid w:val="00982EFA"/>
    <w:rsid w:val="009853B7"/>
    <w:rsid w:val="00985D8A"/>
    <w:rsid w:val="00987096"/>
    <w:rsid w:val="00987373"/>
    <w:rsid w:val="0099570B"/>
    <w:rsid w:val="00996D32"/>
    <w:rsid w:val="009A1C7C"/>
    <w:rsid w:val="009A2654"/>
    <w:rsid w:val="009A428C"/>
    <w:rsid w:val="009A6742"/>
    <w:rsid w:val="009A75EB"/>
    <w:rsid w:val="009B2D62"/>
    <w:rsid w:val="009B5913"/>
    <w:rsid w:val="009B5FFA"/>
    <w:rsid w:val="009D2B6F"/>
    <w:rsid w:val="009D5F8E"/>
    <w:rsid w:val="009E3E85"/>
    <w:rsid w:val="009E69A4"/>
    <w:rsid w:val="009E7AA1"/>
    <w:rsid w:val="009F2E80"/>
    <w:rsid w:val="009F6366"/>
    <w:rsid w:val="00A0062D"/>
    <w:rsid w:val="00A011A5"/>
    <w:rsid w:val="00A01C84"/>
    <w:rsid w:val="00A05092"/>
    <w:rsid w:val="00A05EDD"/>
    <w:rsid w:val="00A10FC3"/>
    <w:rsid w:val="00A11FFE"/>
    <w:rsid w:val="00A1222E"/>
    <w:rsid w:val="00A12C01"/>
    <w:rsid w:val="00A13562"/>
    <w:rsid w:val="00A13DD9"/>
    <w:rsid w:val="00A14D6F"/>
    <w:rsid w:val="00A15C8D"/>
    <w:rsid w:val="00A221D9"/>
    <w:rsid w:val="00A2332A"/>
    <w:rsid w:val="00A34475"/>
    <w:rsid w:val="00A36BCC"/>
    <w:rsid w:val="00A429BA"/>
    <w:rsid w:val="00A467CF"/>
    <w:rsid w:val="00A506FF"/>
    <w:rsid w:val="00A52630"/>
    <w:rsid w:val="00A527E1"/>
    <w:rsid w:val="00A551F7"/>
    <w:rsid w:val="00A554E4"/>
    <w:rsid w:val="00A6073E"/>
    <w:rsid w:val="00A61424"/>
    <w:rsid w:val="00A62AFC"/>
    <w:rsid w:val="00A6468C"/>
    <w:rsid w:val="00A736FA"/>
    <w:rsid w:val="00A76C37"/>
    <w:rsid w:val="00A76EE2"/>
    <w:rsid w:val="00A82886"/>
    <w:rsid w:val="00A97BBD"/>
    <w:rsid w:val="00AA0398"/>
    <w:rsid w:val="00AA7189"/>
    <w:rsid w:val="00AA7374"/>
    <w:rsid w:val="00AB0595"/>
    <w:rsid w:val="00AC05BB"/>
    <w:rsid w:val="00AC2B63"/>
    <w:rsid w:val="00AC749B"/>
    <w:rsid w:val="00AD76D4"/>
    <w:rsid w:val="00AD7858"/>
    <w:rsid w:val="00AE1E20"/>
    <w:rsid w:val="00AE5567"/>
    <w:rsid w:val="00AE61AD"/>
    <w:rsid w:val="00AE6C80"/>
    <w:rsid w:val="00AE7B1D"/>
    <w:rsid w:val="00AF1239"/>
    <w:rsid w:val="00AF1FDE"/>
    <w:rsid w:val="00AF24D0"/>
    <w:rsid w:val="00AF27B5"/>
    <w:rsid w:val="00AF3779"/>
    <w:rsid w:val="00AF3BF7"/>
    <w:rsid w:val="00AF4AF6"/>
    <w:rsid w:val="00AF5018"/>
    <w:rsid w:val="00AF69ED"/>
    <w:rsid w:val="00B01025"/>
    <w:rsid w:val="00B044DD"/>
    <w:rsid w:val="00B06B17"/>
    <w:rsid w:val="00B076EE"/>
    <w:rsid w:val="00B117B5"/>
    <w:rsid w:val="00B14A9F"/>
    <w:rsid w:val="00B14E14"/>
    <w:rsid w:val="00B16480"/>
    <w:rsid w:val="00B2165C"/>
    <w:rsid w:val="00B32220"/>
    <w:rsid w:val="00B404EF"/>
    <w:rsid w:val="00B41AF3"/>
    <w:rsid w:val="00B46EE6"/>
    <w:rsid w:val="00B54D43"/>
    <w:rsid w:val="00B576A4"/>
    <w:rsid w:val="00B60183"/>
    <w:rsid w:val="00B71577"/>
    <w:rsid w:val="00B71FD1"/>
    <w:rsid w:val="00B7245E"/>
    <w:rsid w:val="00B73DEB"/>
    <w:rsid w:val="00B757CB"/>
    <w:rsid w:val="00B801D8"/>
    <w:rsid w:val="00B80228"/>
    <w:rsid w:val="00B84870"/>
    <w:rsid w:val="00B852AC"/>
    <w:rsid w:val="00B85BCD"/>
    <w:rsid w:val="00B90DE9"/>
    <w:rsid w:val="00B92E65"/>
    <w:rsid w:val="00B949DB"/>
    <w:rsid w:val="00B973B3"/>
    <w:rsid w:val="00BA20AA"/>
    <w:rsid w:val="00BA4D48"/>
    <w:rsid w:val="00BA787B"/>
    <w:rsid w:val="00BB425A"/>
    <w:rsid w:val="00BB6710"/>
    <w:rsid w:val="00BC0727"/>
    <w:rsid w:val="00BC3AF3"/>
    <w:rsid w:val="00BC49DC"/>
    <w:rsid w:val="00BC6E96"/>
    <w:rsid w:val="00BD40C3"/>
    <w:rsid w:val="00BD4425"/>
    <w:rsid w:val="00BD7636"/>
    <w:rsid w:val="00BD770C"/>
    <w:rsid w:val="00BE0231"/>
    <w:rsid w:val="00BF031C"/>
    <w:rsid w:val="00BF3E19"/>
    <w:rsid w:val="00BF4265"/>
    <w:rsid w:val="00BF59E8"/>
    <w:rsid w:val="00BF5CED"/>
    <w:rsid w:val="00BF6825"/>
    <w:rsid w:val="00C023A5"/>
    <w:rsid w:val="00C02B23"/>
    <w:rsid w:val="00C12C03"/>
    <w:rsid w:val="00C12F73"/>
    <w:rsid w:val="00C14357"/>
    <w:rsid w:val="00C2570A"/>
    <w:rsid w:val="00C25B49"/>
    <w:rsid w:val="00C27573"/>
    <w:rsid w:val="00C343CD"/>
    <w:rsid w:val="00C34D5B"/>
    <w:rsid w:val="00C35FD3"/>
    <w:rsid w:val="00C51546"/>
    <w:rsid w:val="00C56935"/>
    <w:rsid w:val="00C73589"/>
    <w:rsid w:val="00C74161"/>
    <w:rsid w:val="00C741D7"/>
    <w:rsid w:val="00C74808"/>
    <w:rsid w:val="00C85518"/>
    <w:rsid w:val="00C855C6"/>
    <w:rsid w:val="00C85763"/>
    <w:rsid w:val="00C8653D"/>
    <w:rsid w:val="00C866F0"/>
    <w:rsid w:val="00C86DDB"/>
    <w:rsid w:val="00C92EBE"/>
    <w:rsid w:val="00C96CED"/>
    <w:rsid w:val="00CA12D3"/>
    <w:rsid w:val="00CA1AD9"/>
    <w:rsid w:val="00CA2CE0"/>
    <w:rsid w:val="00CB0F15"/>
    <w:rsid w:val="00CB5166"/>
    <w:rsid w:val="00CB6DF0"/>
    <w:rsid w:val="00CC0D2D"/>
    <w:rsid w:val="00CC3477"/>
    <w:rsid w:val="00CC3DB5"/>
    <w:rsid w:val="00CD0B3E"/>
    <w:rsid w:val="00CD0FC1"/>
    <w:rsid w:val="00CD278E"/>
    <w:rsid w:val="00CD2FF6"/>
    <w:rsid w:val="00CD4CF8"/>
    <w:rsid w:val="00CE5657"/>
    <w:rsid w:val="00CF120E"/>
    <w:rsid w:val="00CF2004"/>
    <w:rsid w:val="00CF6F36"/>
    <w:rsid w:val="00D06088"/>
    <w:rsid w:val="00D06255"/>
    <w:rsid w:val="00D133F8"/>
    <w:rsid w:val="00D14A3E"/>
    <w:rsid w:val="00D21D72"/>
    <w:rsid w:val="00D23399"/>
    <w:rsid w:val="00D4235B"/>
    <w:rsid w:val="00D5189C"/>
    <w:rsid w:val="00D605A2"/>
    <w:rsid w:val="00D61868"/>
    <w:rsid w:val="00D61E35"/>
    <w:rsid w:val="00D6215B"/>
    <w:rsid w:val="00D62A5A"/>
    <w:rsid w:val="00D65332"/>
    <w:rsid w:val="00D654A9"/>
    <w:rsid w:val="00D7495A"/>
    <w:rsid w:val="00D75B1C"/>
    <w:rsid w:val="00D81DF2"/>
    <w:rsid w:val="00D84BA7"/>
    <w:rsid w:val="00D91D02"/>
    <w:rsid w:val="00D93902"/>
    <w:rsid w:val="00DA263E"/>
    <w:rsid w:val="00DA4CEE"/>
    <w:rsid w:val="00DA670A"/>
    <w:rsid w:val="00DA6EA3"/>
    <w:rsid w:val="00DB41EF"/>
    <w:rsid w:val="00DC4EB2"/>
    <w:rsid w:val="00DD5500"/>
    <w:rsid w:val="00DD774B"/>
    <w:rsid w:val="00DE724B"/>
    <w:rsid w:val="00DE7A86"/>
    <w:rsid w:val="00DF03C1"/>
    <w:rsid w:val="00DF09DF"/>
    <w:rsid w:val="00DF6B2A"/>
    <w:rsid w:val="00E01500"/>
    <w:rsid w:val="00E055C0"/>
    <w:rsid w:val="00E07682"/>
    <w:rsid w:val="00E07839"/>
    <w:rsid w:val="00E11590"/>
    <w:rsid w:val="00E12B30"/>
    <w:rsid w:val="00E1349C"/>
    <w:rsid w:val="00E13624"/>
    <w:rsid w:val="00E153CB"/>
    <w:rsid w:val="00E32BF3"/>
    <w:rsid w:val="00E3623B"/>
    <w:rsid w:val="00E3716B"/>
    <w:rsid w:val="00E405EB"/>
    <w:rsid w:val="00E44ADF"/>
    <w:rsid w:val="00E45719"/>
    <w:rsid w:val="00E503E5"/>
    <w:rsid w:val="00E51371"/>
    <w:rsid w:val="00E518DC"/>
    <w:rsid w:val="00E5323B"/>
    <w:rsid w:val="00E5383B"/>
    <w:rsid w:val="00E54837"/>
    <w:rsid w:val="00E56DC6"/>
    <w:rsid w:val="00E61A95"/>
    <w:rsid w:val="00E63AD5"/>
    <w:rsid w:val="00E66DA1"/>
    <w:rsid w:val="00E74F4E"/>
    <w:rsid w:val="00E769C5"/>
    <w:rsid w:val="00E808AB"/>
    <w:rsid w:val="00E81008"/>
    <w:rsid w:val="00E81563"/>
    <w:rsid w:val="00E86AFB"/>
    <w:rsid w:val="00E8749E"/>
    <w:rsid w:val="00E9075B"/>
    <w:rsid w:val="00E90C01"/>
    <w:rsid w:val="00E91184"/>
    <w:rsid w:val="00E9567A"/>
    <w:rsid w:val="00E95D20"/>
    <w:rsid w:val="00EA295B"/>
    <w:rsid w:val="00EA2A68"/>
    <w:rsid w:val="00EA4617"/>
    <w:rsid w:val="00EA486E"/>
    <w:rsid w:val="00EA73D6"/>
    <w:rsid w:val="00EA7A43"/>
    <w:rsid w:val="00EB275D"/>
    <w:rsid w:val="00ED450E"/>
    <w:rsid w:val="00ED4925"/>
    <w:rsid w:val="00EE3800"/>
    <w:rsid w:val="00EF1759"/>
    <w:rsid w:val="00EF77D2"/>
    <w:rsid w:val="00F074B4"/>
    <w:rsid w:val="00F11256"/>
    <w:rsid w:val="00F11B8B"/>
    <w:rsid w:val="00F15ED8"/>
    <w:rsid w:val="00F208EB"/>
    <w:rsid w:val="00F21C55"/>
    <w:rsid w:val="00F21CD0"/>
    <w:rsid w:val="00F271B0"/>
    <w:rsid w:val="00F306CB"/>
    <w:rsid w:val="00F31C15"/>
    <w:rsid w:val="00F400EC"/>
    <w:rsid w:val="00F40991"/>
    <w:rsid w:val="00F42533"/>
    <w:rsid w:val="00F43320"/>
    <w:rsid w:val="00F50132"/>
    <w:rsid w:val="00F5035F"/>
    <w:rsid w:val="00F5331E"/>
    <w:rsid w:val="00F53656"/>
    <w:rsid w:val="00F57B0C"/>
    <w:rsid w:val="00F63411"/>
    <w:rsid w:val="00F65D87"/>
    <w:rsid w:val="00F74165"/>
    <w:rsid w:val="00F75D20"/>
    <w:rsid w:val="00F8612E"/>
    <w:rsid w:val="00F865CA"/>
    <w:rsid w:val="00F95734"/>
    <w:rsid w:val="00F97F54"/>
    <w:rsid w:val="00FA4F7B"/>
    <w:rsid w:val="00FA5468"/>
    <w:rsid w:val="00FB0EBA"/>
    <w:rsid w:val="00FB2385"/>
    <w:rsid w:val="00FB47F5"/>
    <w:rsid w:val="00FC5649"/>
    <w:rsid w:val="00FD2404"/>
    <w:rsid w:val="00FD414B"/>
    <w:rsid w:val="00FD5027"/>
    <w:rsid w:val="00FD6371"/>
    <w:rsid w:val="00FD76A5"/>
    <w:rsid w:val="00FD77D5"/>
    <w:rsid w:val="00FD7CC1"/>
    <w:rsid w:val="00FE0434"/>
    <w:rsid w:val="00FE41BA"/>
    <w:rsid w:val="00FE46D3"/>
    <w:rsid w:val="00FE49D3"/>
    <w:rsid w:val="00FF0278"/>
    <w:rsid w:val="00FF10C0"/>
    <w:rsid w:val="00FF1973"/>
    <w:rsid w:val="00FF2446"/>
    <w:rsid w:val="00FF33FA"/>
    <w:rsid w:val="00FF5D4F"/>
    <w:rsid w:val="00FF6A12"/>
    <w:rsid w:val="23A3B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basedOn w:val="Normal"/>
    <w:link w:val="FootnoteTextChar"/>
    <w:uiPriority w:val="99"/>
    <w:semiHidden/>
    <w:unhideWhenUsed/>
    <w:rsid w:val="00125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49"/>
    <w:rPr>
      <w:sz w:val="20"/>
      <w:szCs w:val="20"/>
    </w:rPr>
  </w:style>
  <w:style w:type="character" w:styleId="FootnoteReference">
    <w:name w:val="footnote reference"/>
    <w:basedOn w:val="DefaultParagraphFont"/>
    <w:uiPriority w:val="99"/>
    <w:semiHidden/>
    <w:unhideWhenUsed/>
    <w:rsid w:val="00125D49"/>
    <w:rPr>
      <w:vertAlign w:val="superscript"/>
    </w:rPr>
  </w:style>
  <w:style w:type="character" w:customStyle="1" w:styleId="UnresolvedMention1">
    <w:name w:val="Unresolved Mention1"/>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rsid w:val="00AE7B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8611-CDB5-4C7E-BA92-64E6BE8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18815</Words>
  <Characters>10725</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2011.gada 5.jūlija noteikumos Nr.545 “Noteikumi par biodegvielu un bioloģisko šķidro kurināmo ilgtspējas kritērijiem, to ieviešanas mehānismu un uzraudzības un kontroles kārtību”” sākotnējā</vt:lpstr>
      <vt:lpstr>Ministru kabineta noteikumu projekta “Grozījumi Ministru kabineta 2011.gada 5.jūlija noteikumos Nr.545 “Noteikumi par biodegvielu un bioloģisko šķidro kurināmo ilgtspējas kritērijiem, to ieviešanas mehānismu un uzraudzības un kontroles kārtību”” sākotnējā</vt:lpstr>
    </vt:vector>
  </TitlesOfParts>
  <Manager>Helēna Rimša</Manager>
  <Company>Ekonomikas ministrija</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5.jūlija noteikumos Nr.545 “Noteikumi par biodegvielu un bioloģisko šķidro kurināmo ilgtspējas kritērijiem, to ieviešanas mehānismu un uzraudzības un kontroles kārtību”” sākotnējās ietekmes novērtējuma ziņojums (anotācija)</dc:title>
  <dc:subject>Ministru kabineta noteikumu projekta anotācija</dc:subject>
  <dc:creator>Baiba.Logina@em.gov.lv;Helēna Rimša</dc:creator>
  <dc:description>67013244, Helena.Rimsa@em.gov.lv</dc:description>
  <cp:lastModifiedBy>Helēna Rimša</cp:lastModifiedBy>
  <cp:revision>7</cp:revision>
  <cp:lastPrinted>2018-06-07T11:47:00Z</cp:lastPrinted>
  <dcterms:created xsi:type="dcterms:W3CDTF">2018-09-24T07:55:00Z</dcterms:created>
  <dcterms:modified xsi:type="dcterms:W3CDTF">2018-09-24T15:18:00Z</dcterms:modified>
</cp:coreProperties>
</file>