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B4184" w:rsidRPr="00695C9B" w:rsidP="00FB4184" w14:paraId="3C16317C" w14:textId="77777777">
      <w:pPr>
        <w:jc w:val="center"/>
        <w:rPr>
          <w:rFonts w:cs="Times New Roman"/>
          <w:b/>
          <w:sz w:val="24"/>
          <w:szCs w:val="24"/>
        </w:rPr>
      </w:pPr>
      <w:r w:rsidRPr="00695C9B">
        <w:rPr>
          <w:rFonts w:cs="Times New Roman"/>
          <w:b/>
          <w:sz w:val="24"/>
          <w:szCs w:val="24"/>
        </w:rPr>
        <w:t>Informatīvais ziņojums par Eiropas Savienības fondu 2007. – 2013.gada plānošanas periodā Durbes novada domes īstenoto projektu</w:t>
      </w:r>
    </w:p>
    <w:p w:rsidR="00FB4184" w:rsidRPr="00695C9B" w:rsidP="00FB4184" w14:paraId="3A7539F0" w14:textId="77777777">
      <w:pPr>
        <w:jc w:val="center"/>
        <w:rPr>
          <w:rFonts w:cs="Times New Roman"/>
          <w:b/>
          <w:sz w:val="24"/>
          <w:szCs w:val="24"/>
        </w:rPr>
      </w:pPr>
      <w:r w:rsidRPr="00695C9B">
        <w:rPr>
          <w:rFonts w:cs="Times New Roman"/>
          <w:b/>
          <w:sz w:val="24"/>
          <w:szCs w:val="24"/>
        </w:rPr>
        <w:t>Nr. 3DP/3.4.2.1.1/09/APIA/LIAA/007</w:t>
      </w:r>
    </w:p>
    <w:p w:rsidR="006A6139" w:rsidRPr="00695C9B" w:rsidP="00FB4184" w14:paraId="3E3C8880" w14:textId="77777777">
      <w:pPr>
        <w:jc w:val="center"/>
        <w:rPr>
          <w:rFonts w:cs="Times New Roman"/>
          <w:b/>
          <w:sz w:val="24"/>
          <w:szCs w:val="24"/>
        </w:rPr>
      </w:pPr>
      <w:r w:rsidRPr="00695C9B">
        <w:rPr>
          <w:rFonts w:cs="Times New Roman"/>
          <w:b/>
          <w:sz w:val="24"/>
          <w:szCs w:val="24"/>
        </w:rPr>
        <w:t>“Durbes pilsētas vēsturiskā centra ēku atjaunošana”</w:t>
      </w:r>
    </w:p>
    <w:p w:rsidR="00FB4184" w:rsidRPr="00695C9B" w:rsidP="00FB4184" w14:paraId="334D67F3" w14:textId="77777777">
      <w:pPr>
        <w:jc w:val="center"/>
        <w:rPr>
          <w:rFonts w:cs="Times New Roman"/>
          <w:b/>
          <w:sz w:val="24"/>
          <w:szCs w:val="24"/>
        </w:rPr>
      </w:pPr>
    </w:p>
    <w:p w:rsidR="00FB4184" w:rsidRPr="00695C9B" w:rsidP="0040691D" w14:paraId="3B9999C3" w14:textId="77777777">
      <w:pPr>
        <w:ind w:firstLine="709"/>
        <w:jc w:val="both"/>
        <w:rPr>
          <w:rFonts w:cs="Times New Roman"/>
          <w:sz w:val="24"/>
          <w:szCs w:val="24"/>
        </w:rPr>
      </w:pPr>
      <w:r w:rsidRPr="00695C9B">
        <w:rPr>
          <w:rFonts w:cs="Times New Roman"/>
          <w:sz w:val="24"/>
          <w:szCs w:val="24"/>
        </w:rPr>
        <w:t>Eiropas Savienības (turpmāk – ES) 2007. – 2013.gada plānošanas perioda darbības programmas “Infrastruktūra un pakalpojumi” papildinājuma 3.4.2.1.1.apakšaktivitātes “Valsts nozīmes pilsētbūvniecības pieminekļu saglabāšana, atjaunošana un infrastruktūras pielāgošana tūrisma produktu attīstībai” ietvaros Durbes novada dome</w:t>
      </w:r>
      <w:r w:rsidRPr="00695C9B" w:rsidR="008B4B8F">
        <w:rPr>
          <w:rFonts w:cs="Times New Roman"/>
          <w:sz w:val="24"/>
          <w:szCs w:val="24"/>
        </w:rPr>
        <w:t xml:space="preserve"> (turpmāk – Dome)</w:t>
      </w:r>
      <w:r w:rsidRPr="00695C9B">
        <w:rPr>
          <w:rFonts w:cs="Times New Roman"/>
          <w:sz w:val="24"/>
          <w:szCs w:val="24"/>
        </w:rPr>
        <w:t xml:space="preserve"> īstenoja projektu Nr.3DP/3.4.2.1.1/09/APIA/LIAA/007 “Durbes pilsētas vēsturiskā centra ēku atjaunošana”</w:t>
      </w:r>
      <w:r w:rsidRPr="00695C9B" w:rsidR="008B4B8F">
        <w:rPr>
          <w:rFonts w:cs="Times New Roman"/>
          <w:sz w:val="24"/>
          <w:szCs w:val="24"/>
        </w:rPr>
        <w:t xml:space="preserve"> (turpmāk – Projekts)</w:t>
      </w:r>
      <w:r w:rsidRPr="00695C9B">
        <w:rPr>
          <w:rFonts w:cs="Times New Roman"/>
          <w:sz w:val="24"/>
          <w:szCs w:val="24"/>
        </w:rPr>
        <w:t>.</w:t>
      </w:r>
      <w:r w:rsidRPr="00695C9B" w:rsidR="0040691D">
        <w:rPr>
          <w:rFonts w:cs="Times New Roman"/>
          <w:sz w:val="24"/>
          <w:szCs w:val="24"/>
        </w:rPr>
        <w:t xml:space="preserve"> </w:t>
      </w:r>
      <w:r w:rsidRPr="00695C9B" w:rsidR="007F6331">
        <w:rPr>
          <w:rFonts w:cs="Times New Roman"/>
          <w:sz w:val="24"/>
          <w:szCs w:val="24"/>
        </w:rPr>
        <w:t>2010.gada 3.martā Dome un</w:t>
      </w:r>
      <w:r w:rsidRPr="00695C9B" w:rsidR="008B4B8F">
        <w:rPr>
          <w:rFonts w:cs="Times New Roman"/>
          <w:sz w:val="24"/>
          <w:szCs w:val="24"/>
        </w:rPr>
        <w:t xml:space="preserve"> Latvijas Investīciju un attīstības aģentūra</w:t>
      </w:r>
      <w:r w:rsidRPr="00695C9B" w:rsidR="007F6331">
        <w:rPr>
          <w:rFonts w:cs="Times New Roman"/>
          <w:sz w:val="24"/>
          <w:szCs w:val="24"/>
        </w:rPr>
        <w:t xml:space="preserve"> (turpmāk – LIAA)</w:t>
      </w:r>
      <w:r w:rsidRPr="00695C9B" w:rsidR="008B4B8F">
        <w:rPr>
          <w:rFonts w:cs="Times New Roman"/>
          <w:sz w:val="24"/>
          <w:szCs w:val="24"/>
        </w:rPr>
        <w:t xml:space="preserve"> noslēdza līgumu par Projekta īstenošanu. </w:t>
      </w:r>
    </w:p>
    <w:p w:rsidR="0040691D" w:rsidRPr="00695C9B" w:rsidP="0040691D" w14:paraId="0EACA86E" w14:textId="5C2728FC">
      <w:pPr>
        <w:ind w:firstLine="709"/>
        <w:jc w:val="both"/>
        <w:rPr>
          <w:rFonts w:cs="Times New Roman"/>
          <w:sz w:val="24"/>
          <w:szCs w:val="24"/>
        </w:rPr>
      </w:pPr>
      <w:r w:rsidRPr="00695C9B">
        <w:rPr>
          <w:rFonts w:cs="Times New Roman"/>
          <w:sz w:val="24"/>
          <w:szCs w:val="24"/>
        </w:rPr>
        <w:t>ES</w:t>
      </w:r>
      <w:r w:rsidRPr="00695C9B">
        <w:rPr>
          <w:rFonts w:cs="Times New Roman"/>
          <w:sz w:val="24"/>
          <w:szCs w:val="24"/>
        </w:rPr>
        <w:t xml:space="preserve"> fondu Revīzijas iestāde, veicot Projekta dokumentu pārbaudi konstatēja, ka tiem ir pievienots 2012. gada 22. novembrī Domes izrakstīts rēķins Nr. </w:t>
      </w:r>
      <w:r w:rsidRPr="00695C9B">
        <w:rPr>
          <w:rFonts w:cs="Times New Roman"/>
          <w:sz w:val="24"/>
          <w:szCs w:val="24"/>
        </w:rPr>
        <w:t xml:space="preserve">109/12 par līgumsoda </w:t>
      </w:r>
      <w:r w:rsidR="00DA4B10">
        <w:rPr>
          <w:rFonts w:cs="Times New Roman"/>
          <w:sz w:val="24"/>
          <w:szCs w:val="24"/>
        </w:rPr>
        <w:t xml:space="preserve">               </w:t>
      </w:r>
      <w:r w:rsidRPr="00695C9B">
        <w:rPr>
          <w:rFonts w:cs="Times New Roman"/>
          <w:sz w:val="24"/>
          <w:szCs w:val="24"/>
        </w:rPr>
        <w:t xml:space="preserve">14 806,21 LVL (21 067,34 </w:t>
      </w:r>
      <w:r w:rsidRPr="00695C9B">
        <w:rPr>
          <w:rFonts w:cs="Times New Roman"/>
          <w:i/>
          <w:sz w:val="24"/>
          <w:szCs w:val="24"/>
        </w:rPr>
        <w:t>euro</w:t>
      </w:r>
      <w:r>
        <w:rPr>
          <w:rStyle w:val="FootnoteReference"/>
          <w:rFonts w:cs="Times New Roman"/>
          <w:sz w:val="24"/>
          <w:szCs w:val="24"/>
        </w:rPr>
        <w:footnoteReference w:id="2"/>
      </w:r>
      <w:r w:rsidRPr="00695C9B">
        <w:rPr>
          <w:rFonts w:cs="Times New Roman"/>
          <w:sz w:val="24"/>
          <w:szCs w:val="24"/>
        </w:rPr>
        <w:t>) piemērošanu līguma Nr.2011/137 ar SIA “</w:t>
      </w:r>
      <w:r w:rsidRPr="00695C9B">
        <w:rPr>
          <w:rFonts w:cs="Times New Roman"/>
          <w:sz w:val="24"/>
          <w:szCs w:val="24"/>
        </w:rPr>
        <w:t>Livland</w:t>
      </w:r>
      <w:r w:rsidRPr="00695C9B">
        <w:rPr>
          <w:rFonts w:cs="Times New Roman"/>
          <w:sz w:val="24"/>
          <w:szCs w:val="24"/>
        </w:rPr>
        <w:t xml:space="preserve"> būve” ietvaros par starptermiņa neievērošanu. Saskaņā ar Domes DNB bankas konta Nr.LVI4R1K00002013068498 izrakstu līgumsods 21 067,34 </w:t>
      </w:r>
      <w:r w:rsidRPr="00695C9B">
        <w:rPr>
          <w:rFonts w:cs="Times New Roman"/>
          <w:i/>
          <w:sz w:val="24"/>
          <w:szCs w:val="24"/>
        </w:rPr>
        <w:t>euro</w:t>
      </w:r>
      <w:r w:rsidRPr="00695C9B">
        <w:rPr>
          <w:rFonts w:cs="Times New Roman"/>
          <w:sz w:val="24"/>
          <w:szCs w:val="24"/>
        </w:rPr>
        <w:t xml:space="preserve"> pilnā apmērā ir ieskaitīts 2012. gada 14. decembrī. Vienlaikus konstatēts, ka par piemēroto līgumsodu nav samazinātas projekta kopējās attiecināmās izmaksas atbilstoši Finanšu ministrijas 2014. gada 31. janvārī aktualizētajam skaidrojumam “Skaidrojums saņemtām vai ieturētām soda naudām no izpildītāja ES fondu projektos”</w:t>
      </w:r>
      <w:r>
        <w:rPr>
          <w:rStyle w:val="FootnoteReference"/>
          <w:rFonts w:cs="Times New Roman"/>
          <w:sz w:val="24"/>
          <w:szCs w:val="24"/>
        </w:rPr>
        <w:footnoteReference w:id="3"/>
      </w:r>
      <w:r w:rsidRPr="00695C9B">
        <w:rPr>
          <w:rFonts w:cs="Times New Roman"/>
          <w:sz w:val="24"/>
          <w:szCs w:val="24"/>
        </w:rPr>
        <w:t xml:space="preserve"> (turpmāk – Skaidrojums). Saskaņā ar Finanšu ministrijas izstrādātajām vadlīnijām Nr. 10.7. “Vadlīnijas par projekta attiecināmo izmaksu pamatojošiem dokumentiem un to pārbaudēm”</w:t>
      </w:r>
      <w:r>
        <w:rPr>
          <w:rStyle w:val="FootnoteReference"/>
          <w:rFonts w:cs="Times New Roman"/>
          <w:sz w:val="24"/>
          <w:szCs w:val="24"/>
        </w:rPr>
        <w:footnoteReference w:id="4"/>
      </w:r>
      <w:r w:rsidRPr="00695C9B">
        <w:rPr>
          <w:rFonts w:cs="Times New Roman"/>
          <w:sz w:val="24"/>
          <w:szCs w:val="24"/>
        </w:rPr>
        <w:t xml:space="preserve"> un Skaidrojumu, ja finansējuma saņēmējs nevar pamatot izpildītāja saistību neizpildes dēļ radušos zaudējumus (saprotams plašākā izpratnē, kā t.sk. negūtie ieņēmumi, citi papildu saistītie tiešie vai netiešie izdevumi, kas radušies kavējuma rezultātā vai ietekmē), tad pēc būtības iekasētais </w:t>
      </w:r>
      <w:r w:rsidRPr="00695C9B">
        <w:rPr>
          <w:rFonts w:cs="Times New Roman"/>
          <w:sz w:val="24"/>
          <w:szCs w:val="24"/>
          <w:u w:val="single"/>
        </w:rPr>
        <w:t>līgumsods samazina projektā faktiski veiktos izdevumus</w:t>
      </w:r>
      <w:r w:rsidRPr="00695C9B">
        <w:rPr>
          <w:rFonts w:cs="Times New Roman"/>
          <w:sz w:val="24"/>
          <w:szCs w:val="24"/>
        </w:rPr>
        <w:t>. Vēršam uzmanību, ka Skaidrojums ir izstrādāts, ņemot vērā Eiropas Komisijas norādes, t.sk. pieredzi no Eiropas Komisijas projektu auditu slēdzieniem un Eiropas Komisijas sniegto skaidrojumu par juridisko bāzi</w:t>
      </w:r>
      <w:r>
        <w:rPr>
          <w:rStyle w:val="FootnoteReference"/>
          <w:rFonts w:cs="Times New Roman"/>
          <w:sz w:val="24"/>
          <w:szCs w:val="24"/>
        </w:rPr>
        <w:footnoteReference w:id="5"/>
      </w:r>
      <w:r w:rsidRPr="00695C9B">
        <w:rPr>
          <w:rFonts w:cs="Times New Roman"/>
          <w:sz w:val="24"/>
          <w:szCs w:val="24"/>
        </w:rPr>
        <w:t xml:space="preserve"> un tās interpretāciju, kas piemērojama līgumso</w:t>
      </w:r>
      <w:r w:rsidRPr="00695C9B" w:rsidR="00865F52">
        <w:rPr>
          <w:rFonts w:cs="Times New Roman"/>
          <w:sz w:val="24"/>
          <w:szCs w:val="24"/>
        </w:rPr>
        <w:t>da gadījum</w:t>
      </w:r>
      <w:r w:rsidRPr="00695C9B">
        <w:rPr>
          <w:rFonts w:cs="Times New Roman"/>
          <w:sz w:val="24"/>
          <w:szCs w:val="24"/>
        </w:rPr>
        <w:t>ā.</w:t>
      </w:r>
    </w:p>
    <w:p w:rsidR="0040691D" w:rsidRPr="00695C9B" w:rsidP="0040691D" w14:paraId="10C64E98" w14:textId="6E3140E9">
      <w:pPr>
        <w:ind w:firstLine="709"/>
        <w:jc w:val="both"/>
        <w:rPr>
          <w:rFonts w:cs="Times New Roman"/>
          <w:i/>
          <w:sz w:val="24"/>
          <w:szCs w:val="24"/>
        </w:rPr>
      </w:pPr>
      <w:r w:rsidRPr="00695C9B">
        <w:rPr>
          <w:rFonts w:cs="Times New Roman"/>
          <w:sz w:val="24"/>
          <w:szCs w:val="24"/>
        </w:rPr>
        <w:t xml:space="preserve">Tieši šāda situācija ir radusies Domes projektā, kad projekta kopējās attiecināmās izmaksas faktiski ir mazākas par iekasētā līgumsoda summu, </w:t>
      </w:r>
      <w:r w:rsidRPr="00695C9B" w:rsidR="005E3D92">
        <w:rPr>
          <w:rFonts w:cs="Times New Roman"/>
          <w:color w:val="000000"/>
          <w:sz w:val="24"/>
          <w:szCs w:val="24"/>
          <w:lang w:eastAsia="lv-LV"/>
        </w:rPr>
        <w:t>kas nav “nosegta” (pamatota</w:t>
      </w:r>
      <w:r w:rsidRPr="00695C9B">
        <w:rPr>
          <w:rFonts w:cs="Times New Roman"/>
          <w:color w:val="000000"/>
          <w:sz w:val="24"/>
          <w:szCs w:val="24"/>
          <w:lang w:eastAsia="lv-LV"/>
        </w:rPr>
        <w:t>) ar kompensējošām izmaksām</w:t>
      </w:r>
      <w:r w:rsidRPr="00695C9B">
        <w:rPr>
          <w:rFonts w:cs="Times New Roman"/>
          <w:color w:val="000000"/>
          <w:sz w:val="24"/>
          <w:szCs w:val="24"/>
          <w:lang w:eastAsia="lv-LV"/>
        </w:rPr>
        <w:t xml:space="preserve"> </w:t>
      </w:r>
      <w:r w:rsidRPr="00695C9B">
        <w:rPr>
          <w:rFonts w:cs="Times New Roman"/>
          <w:color w:val="000000"/>
          <w:sz w:val="24"/>
          <w:szCs w:val="24"/>
          <w:lang w:eastAsia="lv-LV"/>
        </w:rPr>
        <w:t>vai zaudējumiem</w:t>
      </w:r>
      <w:r w:rsidRPr="00695C9B">
        <w:rPr>
          <w:rFonts w:cs="Times New Roman"/>
          <w:sz w:val="24"/>
          <w:szCs w:val="24"/>
        </w:rPr>
        <w:t xml:space="preserve">. Tas nozīmē, ka Dome projekta izmaksas tikai daļēji ir segusi (kompensējusi) no līgumsoda, kas saņemts no līguma izpildītāja. Tā kā projekta faktisko attiecināmo izdevumu naudas plūsmai tiek piemērota nemainīga projekta līgumā noteikta finanšu avotu proporcija (ERAF līdzfinansējuma likme </w:t>
      </w:r>
      <w:r w:rsidRPr="00695C9B">
        <w:rPr>
          <w:rFonts w:cs="Times New Roman"/>
          <w:color w:val="000000"/>
          <w:sz w:val="24"/>
          <w:szCs w:val="24"/>
          <w:lang w:eastAsia="lv-LV"/>
        </w:rPr>
        <w:t xml:space="preserve">84,8%, valsts budžeta dotācija 3% un pašvaldības līdzfinansējums 12,2%), </w:t>
      </w:r>
      <w:r w:rsidRPr="00695C9B">
        <w:rPr>
          <w:rFonts w:cs="Times New Roman"/>
          <w:sz w:val="24"/>
          <w:szCs w:val="24"/>
        </w:rPr>
        <w:t xml:space="preserve">pie faktiski mazākām projekta attiecināmām izmaksām atbilstoši mazāks ir arī saņemamais ERAF un valsts budžeta dotācijas apmērs (projekta kopējās attiecināmās izmaksas jāsamazina par 12 178,82 </w:t>
      </w:r>
      <w:r w:rsidRPr="00695C9B">
        <w:rPr>
          <w:rFonts w:cs="Times New Roman"/>
          <w:i/>
          <w:sz w:val="24"/>
          <w:szCs w:val="24"/>
        </w:rPr>
        <w:t>euro</w:t>
      </w:r>
      <w:r w:rsidRPr="00695C9B">
        <w:rPr>
          <w:rFonts w:cs="Times New Roman"/>
          <w:sz w:val="24"/>
          <w:szCs w:val="24"/>
        </w:rPr>
        <w:t xml:space="preserve">, t.sk. atmaksājamā summa  10 693,00 </w:t>
      </w:r>
      <w:r w:rsidRPr="00695C9B">
        <w:rPr>
          <w:rFonts w:cs="Times New Roman"/>
          <w:i/>
          <w:sz w:val="24"/>
          <w:szCs w:val="24"/>
        </w:rPr>
        <w:t>euro</w:t>
      </w:r>
      <w:r w:rsidRPr="00695C9B">
        <w:rPr>
          <w:rFonts w:cs="Times New Roman"/>
          <w:sz w:val="24"/>
          <w:szCs w:val="24"/>
        </w:rPr>
        <w:t xml:space="preserve">, kas ir ERAF līdzfinansējums 10 327,64 </w:t>
      </w:r>
      <w:r w:rsidRPr="00695C9B">
        <w:rPr>
          <w:rFonts w:cs="Times New Roman"/>
          <w:i/>
          <w:sz w:val="24"/>
          <w:szCs w:val="24"/>
        </w:rPr>
        <w:t>euro</w:t>
      </w:r>
      <w:r w:rsidRPr="00695C9B">
        <w:rPr>
          <w:rFonts w:cs="Times New Roman"/>
          <w:sz w:val="24"/>
          <w:szCs w:val="24"/>
        </w:rPr>
        <w:t xml:space="preserve"> un valsts budžeta dotācija pašvaldībai 365,36 </w:t>
      </w:r>
      <w:r w:rsidRPr="00695C9B">
        <w:rPr>
          <w:rFonts w:cs="Times New Roman"/>
          <w:i/>
          <w:sz w:val="24"/>
          <w:szCs w:val="24"/>
        </w:rPr>
        <w:t>euro</w:t>
      </w:r>
      <w:r w:rsidRPr="00695C9B">
        <w:rPr>
          <w:rFonts w:cs="Times New Roman"/>
          <w:sz w:val="24"/>
          <w:szCs w:val="24"/>
        </w:rPr>
        <w:t xml:space="preserve">). </w:t>
      </w:r>
      <w:r w:rsidRPr="00695C9B" w:rsidR="005E3D92">
        <w:rPr>
          <w:rFonts w:cs="Times New Roman"/>
          <w:i/>
          <w:sz w:val="24"/>
          <w:szCs w:val="24"/>
        </w:rPr>
        <w:t>Lūdzu skatīt detalizētu</w:t>
      </w:r>
      <w:r w:rsidRPr="00695C9B">
        <w:rPr>
          <w:rFonts w:cs="Times New Roman"/>
          <w:i/>
          <w:sz w:val="24"/>
          <w:szCs w:val="24"/>
        </w:rPr>
        <w:t xml:space="preserve"> projekta izdevumu un līgumsoda ietekmes uz atbalsta summu aprēķina tabulu</w:t>
      </w:r>
      <w:r w:rsidRPr="00695C9B" w:rsidR="00865F52">
        <w:rPr>
          <w:rFonts w:cs="Times New Roman"/>
          <w:i/>
          <w:sz w:val="24"/>
          <w:szCs w:val="24"/>
        </w:rPr>
        <w:t xml:space="preserve"> </w:t>
      </w:r>
      <w:r w:rsidR="00056565">
        <w:rPr>
          <w:rFonts w:cs="Times New Roman"/>
          <w:i/>
          <w:sz w:val="24"/>
          <w:szCs w:val="24"/>
        </w:rPr>
        <w:t>vēstules pielikumā</w:t>
      </w:r>
      <w:r w:rsidRPr="00695C9B">
        <w:rPr>
          <w:rFonts w:cs="Times New Roman"/>
          <w:i/>
          <w:sz w:val="24"/>
          <w:szCs w:val="24"/>
        </w:rPr>
        <w:t>.</w:t>
      </w:r>
    </w:p>
    <w:p w:rsidR="00252AB0" w:rsidRPr="00695C9B" w:rsidP="00252AB0" w14:paraId="22C1CD66" w14:textId="77777777">
      <w:pPr>
        <w:ind w:firstLine="709"/>
        <w:jc w:val="both"/>
        <w:rPr>
          <w:rFonts w:cs="Times New Roman"/>
          <w:sz w:val="24"/>
          <w:szCs w:val="24"/>
        </w:rPr>
      </w:pPr>
      <w:r w:rsidRPr="00695C9B">
        <w:rPr>
          <w:rFonts w:cs="Times New Roman"/>
          <w:sz w:val="24"/>
          <w:szCs w:val="24"/>
        </w:rPr>
        <w:t>Papildus jāņem vērā, ka ne Revīzijas iestādes audita laikā, ne ziņojuma projekta saskaņošanas laikā netika iesniegti dokumentāli pierādījumi tam, ka finansējuma saņēmējam būtu radušies zaudējumi SIA “</w:t>
      </w:r>
      <w:r w:rsidRPr="00695C9B">
        <w:rPr>
          <w:rFonts w:cs="Times New Roman"/>
          <w:sz w:val="24"/>
          <w:szCs w:val="24"/>
        </w:rPr>
        <w:t>Livland</w:t>
      </w:r>
      <w:r w:rsidRPr="00695C9B">
        <w:rPr>
          <w:rFonts w:cs="Times New Roman"/>
          <w:sz w:val="24"/>
          <w:szCs w:val="24"/>
        </w:rPr>
        <w:t xml:space="preserve"> būve” līguma izpildes termiņa kavējuma dēļ – piemērotā līgumsoda apmērā</w:t>
      </w:r>
      <w:r w:rsidRPr="00695C9B">
        <w:rPr>
          <w:rFonts w:cs="Times New Roman"/>
          <w:sz w:val="24"/>
          <w:szCs w:val="24"/>
        </w:rPr>
        <w:t>. Tāpat no LIAA sniegtās informācijas konstatējams, ka projekts ir pabeigts 2014. gada 12. jūnijā (noslēguma maksājuma veikšanas datums), bet Dome līdz projekta pabeigšanai, t.i., līdz noslēguma maksājuma dienai nebija informējusi LIAA par saņemto līgumsodu, t.i., faktiski mazākām projekta attiecināmām izmaksām, kā arī nebija ierosinājusi veikt izmaiņas projekta naudas plūsmā vai atbalstāmajās darbībās. Projektā saņemto līgumsodu, kuru nesedz zaudējumi, būtu bijis iespējams novirzīt citām projekta aktivitātēm, tomēr Dome to nebija ierosinājusi LIAA</w:t>
      </w:r>
      <w:r>
        <w:rPr>
          <w:rStyle w:val="FootnoteReference"/>
          <w:rFonts w:cs="Times New Roman"/>
          <w:sz w:val="24"/>
          <w:szCs w:val="24"/>
        </w:rPr>
        <w:footnoteReference w:id="6"/>
      </w:r>
      <w:r w:rsidRPr="00695C9B">
        <w:rPr>
          <w:rFonts w:cs="Times New Roman"/>
          <w:sz w:val="24"/>
          <w:szCs w:val="24"/>
        </w:rPr>
        <w:t>.</w:t>
      </w:r>
    </w:p>
    <w:p w:rsidR="0040691D" w:rsidRPr="00695C9B" w:rsidP="0040691D" w14:paraId="7FF19406" w14:textId="77777777">
      <w:pPr>
        <w:ind w:firstLine="709"/>
        <w:jc w:val="both"/>
        <w:rPr>
          <w:rFonts w:cs="Times New Roman"/>
          <w:sz w:val="24"/>
          <w:szCs w:val="24"/>
        </w:rPr>
      </w:pPr>
      <w:r w:rsidRPr="00695C9B">
        <w:rPr>
          <w:rFonts w:cs="Times New Roman"/>
          <w:sz w:val="24"/>
          <w:szCs w:val="24"/>
        </w:rPr>
        <w:t>Balstoties uz pārbaudes laikā konstatēto, Revīzijas iestādes ziņojumā</w:t>
      </w:r>
      <w:r>
        <w:rPr>
          <w:rStyle w:val="FootnoteReference"/>
          <w:rFonts w:cs="Times New Roman"/>
          <w:sz w:val="24"/>
          <w:szCs w:val="24"/>
        </w:rPr>
        <w:footnoteReference w:id="7"/>
      </w:r>
      <w:r w:rsidRPr="00695C9B">
        <w:rPr>
          <w:rFonts w:cs="Times New Roman"/>
          <w:sz w:val="24"/>
          <w:szCs w:val="24"/>
        </w:rPr>
        <w:t xml:space="preserve"> tika iekļaut</w:t>
      </w:r>
      <w:r w:rsidRPr="00695C9B" w:rsidR="007F6331">
        <w:rPr>
          <w:rFonts w:cs="Times New Roman"/>
          <w:sz w:val="24"/>
          <w:szCs w:val="24"/>
        </w:rPr>
        <w:t>s ieteikums LIAA veikt nepamatoti izmaksātā finansējuma atgūšanu likumdošanā noteiktajā kārtībā.</w:t>
      </w:r>
    </w:p>
    <w:p w:rsidR="00252AB0" w:rsidRPr="00695C9B" w:rsidP="0040691D" w14:paraId="71C89F71" w14:textId="393D72CB">
      <w:pPr>
        <w:ind w:firstLine="709"/>
        <w:jc w:val="both"/>
        <w:rPr>
          <w:rFonts w:cs="Times New Roman"/>
          <w:sz w:val="24"/>
          <w:szCs w:val="24"/>
        </w:rPr>
      </w:pPr>
      <w:r w:rsidRPr="00695C9B">
        <w:rPr>
          <w:rFonts w:cs="Times New Roman"/>
          <w:sz w:val="24"/>
          <w:szCs w:val="24"/>
        </w:rPr>
        <w:t>Vienlaikus, lai varētu lemt par iepriekš minētās atbalsta summas nesamazināšanu un neatgūšanu no Domes, LIAA aicināja Domi</w:t>
      </w:r>
      <w:r>
        <w:rPr>
          <w:rStyle w:val="FootnoteReference"/>
          <w:rFonts w:cs="Times New Roman"/>
          <w:sz w:val="24"/>
          <w:szCs w:val="24"/>
        </w:rPr>
        <w:footnoteReference w:id="8"/>
      </w:r>
      <w:r w:rsidRPr="00695C9B">
        <w:rPr>
          <w:rFonts w:cs="Times New Roman"/>
          <w:sz w:val="24"/>
          <w:szCs w:val="24"/>
        </w:rPr>
        <w:t xml:space="preserve"> atbilstoši faktiskajai situācijai izskatīt iespēju dokumentāli pamatot, ka darbu izpildes kavējumu dēļ finansējuma saņēmējam ir radušies zaudējumi vai negūti ieņēmumi, t.i., līgumsods uzskatāms par zaudējumu kompensāciju. Šajā gadījumā par pamatotu zaudējumu kompensācijas summu nebūtu jāsamazina projekta attiecināmo izmaksu un publiskā atbalsta summa. Līdz šim, balstoties uz Domes iesniegto papildu informāciju par kompensējošiem izdevumiem, LIAA jau ir radusi iespēju samazināt atmaksājamo līgumsoda ieņēmumu apmēru par 2 010,19 </w:t>
      </w:r>
      <w:r w:rsidRPr="00695C9B">
        <w:rPr>
          <w:rFonts w:cs="Times New Roman"/>
          <w:i/>
          <w:sz w:val="24"/>
          <w:szCs w:val="24"/>
        </w:rPr>
        <w:t>euro</w:t>
      </w:r>
      <w:r w:rsidRPr="00695C9B">
        <w:rPr>
          <w:rFonts w:cs="Times New Roman"/>
          <w:i/>
          <w:sz w:val="24"/>
          <w:szCs w:val="24"/>
        </w:rPr>
        <w:t xml:space="preserve"> </w:t>
      </w:r>
      <w:r w:rsidR="00056565">
        <w:rPr>
          <w:rFonts w:cs="Times New Roman"/>
          <w:sz w:val="24"/>
          <w:szCs w:val="24"/>
        </w:rPr>
        <w:t>(skatīt pielikumā</w:t>
      </w:r>
      <w:r w:rsidRPr="00695C9B">
        <w:rPr>
          <w:rFonts w:cs="Times New Roman"/>
          <w:sz w:val="24"/>
          <w:szCs w:val="24"/>
        </w:rPr>
        <w:t xml:space="preserve">). Attiecīgi </w:t>
      </w:r>
      <w:r w:rsidRPr="00695C9B">
        <w:rPr>
          <w:rFonts w:cs="Times New Roman"/>
          <w:color w:val="000000"/>
          <w:sz w:val="24"/>
          <w:szCs w:val="24"/>
          <w:lang w:eastAsia="lv-LV"/>
        </w:rPr>
        <w:t xml:space="preserve">10 693,00 </w:t>
      </w:r>
      <w:r w:rsidRPr="00695C9B">
        <w:rPr>
          <w:rFonts w:cs="Times New Roman"/>
          <w:i/>
          <w:color w:val="000000"/>
          <w:sz w:val="24"/>
          <w:szCs w:val="24"/>
          <w:lang w:eastAsia="lv-LV"/>
        </w:rPr>
        <w:t>euro</w:t>
      </w:r>
      <w:r w:rsidRPr="00695C9B">
        <w:rPr>
          <w:rFonts w:cs="Times New Roman"/>
          <w:color w:val="000000"/>
          <w:sz w:val="24"/>
          <w:szCs w:val="24"/>
          <w:lang w:eastAsia="lv-LV"/>
        </w:rPr>
        <w:t xml:space="preserve"> ir </w:t>
      </w:r>
      <w:r w:rsidRPr="00695C9B">
        <w:rPr>
          <w:rFonts w:cs="Times New Roman"/>
          <w:sz w:val="24"/>
          <w:szCs w:val="24"/>
        </w:rPr>
        <w:t xml:space="preserve">atlikusī </w:t>
      </w:r>
      <w:r w:rsidRPr="00695C9B">
        <w:rPr>
          <w:rFonts w:cs="Times New Roman"/>
          <w:color w:val="000000"/>
          <w:sz w:val="24"/>
          <w:szCs w:val="24"/>
          <w:lang w:eastAsia="lv-LV"/>
        </w:rPr>
        <w:t xml:space="preserve">ERAF un valsts budžeta dotācijas daļa par </w:t>
      </w:r>
      <w:r w:rsidRPr="00695C9B">
        <w:rPr>
          <w:rFonts w:cs="Times New Roman"/>
          <w:sz w:val="24"/>
          <w:szCs w:val="24"/>
        </w:rPr>
        <w:t xml:space="preserve">Domes </w:t>
      </w:r>
      <w:r w:rsidRPr="00695C9B">
        <w:rPr>
          <w:rFonts w:cs="Times New Roman"/>
          <w:color w:val="000000"/>
          <w:sz w:val="24"/>
          <w:szCs w:val="24"/>
          <w:lang w:eastAsia="lv-LV"/>
        </w:rPr>
        <w:t>līgumsoda ieņēmumiem, kas nav “nosegta” (pamatota) ar kompensējošām izmaksām vai zaudējumiem un kas Domei atbilstoši šī brīža situācijai ir jāatmaksā atbalsta sniedzējam LIAA.</w:t>
      </w:r>
    </w:p>
    <w:p w:rsidR="007F6331" w:rsidP="007F6331" w14:paraId="3899963B" w14:textId="77777777">
      <w:pPr>
        <w:ind w:firstLine="709"/>
        <w:jc w:val="both"/>
        <w:rPr>
          <w:rFonts w:cs="Times New Roman"/>
          <w:sz w:val="24"/>
          <w:szCs w:val="24"/>
        </w:rPr>
      </w:pPr>
      <w:r w:rsidRPr="00695C9B">
        <w:rPr>
          <w:rFonts w:cs="Times New Roman"/>
          <w:sz w:val="24"/>
          <w:szCs w:val="24"/>
        </w:rPr>
        <w:t>Ņemot vērā augstāk minēto informāciju</w:t>
      </w:r>
      <w:r w:rsidRPr="00695C9B">
        <w:rPr>
          <w:rFonts w:cs="Times New Roman"/>
          <w:sz w:val="24"/>
          <w:szCs w:val="24"/>
        </w:rPr>
        <w:t xml:space="preserve">, LIAA 2016.gada 5.maijā informēja Domi, ka Projektā saņemtais līgumsods (rekonstrukcijas darbu līguma izpildes termiņa kavējuma dēļ) ir uzskatāms par projekta ietvaros gūtiem ieņēmumiem un projektā faktiski radušos izmaksu apmērs ir mazāks nekā atbalsta finansējums, kuru LIAA ir izmaksājusi Domei, ir notikusi atbalsta finansējuma pārmaksa, un Domei būtu jāatmaksā pārmaksātais finansējums 10 942,86 </w:t>
      </w:r>
      <w:r w:rsidRPr="00695C9B">
        <w:rPr>
          <w:rFonts w:cs="Times New Roman"/>
          <w:i/>
          <w:sz w:val="24"/>
          <w:szCs w:val="24"/>
        </w:rPr>
        <w:t>euro</w:t>
      </w:r>
      <w:r w:rsidRPr="00695C9B">
        <w:rPr>
          <w:rFonts w:cs="Times New Roman"/>
          <w:sz w:val="24"/>
          <w:szCs w:val="24"/>
        </w:rPr>
        <w:t xml:space="preserve"> apmērā. Dome neveica pārmaksātā finansējuma atmaksu un lūdza LIAA sniegt skaidrojumu par normatīviem aktiem, kas nosaka atmaksas nepieciešamību konkrētajā gadījumā. LIAA vairākās vēstulēs, kā arī starpinstitūciju sanāksmē (ar LIAA, Ekonomikas ministrijas, Finanšu ministrijas un Domes dalību) sniedza normatīvo aktu skaidrojumus un pamatojumu projektā nepamatoti izmaksātā atbalsta finansējuma atmaksai, taču Dome joprojām neveica atmaksu. Ņemot vērā minēto, saskaņā ar MK noteikumiem</w:t>
      </w:r>
      <w:r>
        <w:rPr>
          <w:rStyle w:val="FootnoteReference"/>
          <w:rFonts w:cs="Times New Roman"/>
          <w:sz w:val="24"/>
          <w:szCs w:val="24"/>
        </w:rPr>
        <w:footnoteReference w:id="9"/>
      </w:r>
      <w:r w:rsidRPr="00695C9B">
        <w:rPr>
          <w:rFonts w:cs="Times New Roman"/>
          <w:sz w:val="24"/>
          <w:szCs w:val="24"/>
        </w:rPr>
        <w:t xml:space="preserve"> tika rosināts Valsts kancelejai aicināt Domi atmaksāt valsts budžetā LIAA pārmaksāto finansējumu. Attiecīgais ierosinājums tika ietverts Finanšu ministrijas ziņojumā</w:t>
      </w:r>
      <w:r>
        <w:rPr>
          <w:rStyle w:val="FootnoteReference"/>
          <w:rFonts w:cs="Times New Roman"/>
          <w:sz w:val="24"/>
          <w:szCs w:val="24"/>
        </w:rPr>
        <w:footnoteReference w:id="10"/>
      </w:r>
      <w:r w:rsidRPr="00695C9B" w:rsidR="00752FB4">
        <w:rPr>
          <w:rFonts w:cs="Times New Roman"/>
          <w:sz w:val="24"/>
          <w:szCs w:val="24"/>
        </w:rPr>
        <w:t>.</w:t>
      </w:r>
    </w:p>
    <w:p w:rsidR="00172036" w:rsidRPr="00695C9B" w:rsidP="00172036" w14:paraId="772529BA" w14:textId="3D22BB98">
      <w:pPr>
        <w:ind w:firstLine="709"/>
        <w:jc w:val="both"/>
        <w:rPr>
          <w:sz w:val="24"/>
          <w:szCs w:val="24"/>
        </w:rPr>
      </w:pPr>
      <w:r>
        <w:rPr>
          <w:sz w:val="24"/>
          <w:szCs w:val="24"/>
        </w:rPr>
        <w:t>A</w:t>
      </w:r>
      <w:r w:rsidRPr="00695C9B">
        <w:rPr>
          <w:sz w:val="24"/>
          <w:szCs w:val="24"/>
        </w:rPr>
        <w:t xml:space="preserve">tbilstoši Revīzijas iestādes ziņojuma konstatējumiem un LIAA 2016. gada 5. maija vēstulei Domei cita starpā ir jāatmaksā 249,86 </w:t>
      </w:r>
      <w:r w:rsidRPr="00695C9B">
        <w:rPr>
          <w:i/>
          <w:sz w:val="24"/>
          <w:szCs w:val="24"/>
        </w:rPr>
        <w:t>euro</w:t>
      </w:r>
      <w:r w:rsidRPr="00695C9B">
        <w:rPr>
          <w:sz w:val="24"/>
          <w:szCs w:val="24"/>
        </w:rPr>
        <w:t xml:space="preserve"> par citiem neatbilstoši veiktiem </w:t>
      </w:r>
      <w:r w:rsidRPr="00695C9B">
        <w:rPr>
          <w:sz w:val="24"/>
          <w:szCs w:val="24"/>
        </w:rPr>
        <w:t>izdevumiem (skatīt pielikumā), kas nav saistīti ar līgumsodu</w:t>
      </w:r>
      <w:r>
        <w:rPr>
          <w:sz w:val="24"/>
          <w:szCs w:val="24"/>
        </w:rPr>
        <w:t>,</w:t>
      </w:r>
      <w:r w:rsidRPr="00695C9B">
        <w:rPr>
          <w:sz w:val="24"/>
          <w:szCs w:val="24"/>
        </w:rPr>
        <w:t xml:space="preserve"> un par ko no Domes puses nav saņemti iebildumi, bet vienlaikus nav veikta arī šo līdzekļu atmaksa. </w:t>
      </w:r>
    </w:p>
    <w:p w:rsidR="00752FB4" w:rsidRPr="00695C9B" w:rsidP="00752FB4" w14:paraId="18CCBCEE" w14:textId="77777777">
      <w:pPr>
        <w:ind w:firstLine="709"/>
        <w:jc w:val="both"/>
        <w:rPr>
          <w:rFonts w:cs="Times New Roman"/>
          <w:sz w:val="24"/>
          <w:szCs w:val="24"/>
        </w:rPr>
      </w:pPr>
      <w:r w:rsidRPr="00695C9B">
        <w:rPr>
          <w:rFonts w:cs="Times New Roman"/>
          <w:sz w:val="24"/>
          <w:szCs w:val="24"/>
        </w:rPr>
        <w:t>2018.gada 13.aprīlī Dome</w:t>
      </w:r>
      <w:r w:rsidRPr="00695C9B" w:rsidR="005E3D92">
        <w:rPr>
          <w:rFonts w:cs="Times New Roman"/>
          <w:sz w:val="24"/>
          <w:szCs w:val="24"/>
        </w:rPr>
        <w:t xml:space="preserve"> Ministru prezidentam nosūtīja</w:t>
      </w:r>
      <w:r w:rsidRPr="00695C9B">
        <w:rPr>
          <w:rFonts w:cs="Times New Roman"/>
          <w:sz w:val="24"/>
          <w:szCs w:val="24"/>
        </w:rPr>
        <w:t xml:space="preserve"> vēstuli Nr.2.1.4/448 “Par izteikto aicinājumu”, norādot, ka LIAA pieņemtais lēmums par finansējuma atmaksu nav korekts, un lūdzot iespēju turpmāk piedalīties Ministru kabineta sēdēs, kurās tiek izskatīts jautājums par Domes īstenotā projekta finansējuma daļēju atmaksu. Ar 2018. gada 14. maija rezolūciju Finanšu ministrijai, Ekonomikas ministrijai un LIAA tika uzdots izvērtēt Domes vēstulē Nr. 2.1.4/448 minēto un normatīvajos aktos noteiktā termiņā sniegt savstarpēji saskaņotu atbildi iesniedzējam, par to informējot Ministru prezidentu.</w:t>
      </w:r>
    </w:p>
    <w:p w:rsidR="0007596F" w:rsidRPr="00695C9B" w:rsidP="0007596F" w14:paraId="0CF6CF8B" w14:textId="4A025C6E">
      <w:pPr>
        <w:ind w:firstLine="709"/>
        <w:jc w:val="both"/>
        <w:rPr>
          <w:rFonts w:cs="Times New Roman"/>
          <w:sz w:val="24"/>
          <w:szCs w:val="24"/>
        </w:rPr>
      </w:pPr>
      <w:r w:rsidRPr="00695C9B">
        <w:rPr>
          <w:rFonts w:cs="Times New Roman"/>
          <w:sz w:val="24"/>
          <w:szCs w:val="24"/>
        </w:rPr>
        <w:t>Finanšu ministrija 2018.gada jūnijā tikās ar Ekonomikas ministriju un LIAA un vienojās par vienotu pieeju situācijas risināšanā un turpmākajiem rīcības soļiem. Saskaņā ar panākto vienošanos Finanšu ministrija 2018.gada 12.jūnijā nosūtīja</w:t>
      </w:r>
      <w:r w:rsidRPr="00695C9B" w:rsidR="0015626C">
        <w:rPr>
          <w:rFonts w:cs="Times New Roman"/>
          <w:sz w:val="24"/>
          <w:szCs w:val="24"/>
        </w:rPr>
        <w:t xml:space="preserve"> Domei vēstuli Nr.5.1-17/16/2751, aicinot Domi atkārtoti rūpīgi pārskatīt, vai būvdarbu līguma izpildes kavējums nav tieši vai netieši radījis kādas papildu izmaksas, negūtus ieņēmumus vai citus zaudējumus, ko var pamatot ar rēķiniem, tāmēm, aprēķiniem uz objektīvi</w:t>
      </w:r>
      <w:r w:rsidRPr="00695C9B" w:rsidR="0054338F">
        <w:rPr>
          <w:rFonts w:cs="Times New Roman"/>
          <w:sz w:val="24"/>
          <w:szCs w:val="24"/>
        </w:rPr>
        <w:t xml:space="preserve"> pamatotu pieņēmumu pamata,</w:t>
      </w:r>
      <w:r w:rsidRPr="00695C9B" w:rsidR="0015626C">
        <w:rPr>
          <w:rFonts w:cs="Times New Roman"/>
          <w:sz w:val="24"/>
          <w:szCs w:val="24"/>
        </w:rPr>
        <w:t xml:space="preserve"> un ko varētu uzskatīt par kompensējošiem izdevumiem līgumsoda pilnā vai daļējā apmērā. </w:t>
      </w:r>
      <w:r w:rsidRPr="00695C9B" w:rsidR="0054338F">
        <w:rPr>
          <w:rFonts w:cs="Times New Roman"/>
          <w:sz w:val="24"/>
          <w:szCs w:val="24"/>
        </w:rPr>
        <w:t>Finanšu ministrijas v</w:t>
      </w:r>
      <w:r w:rsidRPr="00695C9B" w:rsidR="0006001C">
        <w:rPr>
          <w:rFonts w:cs="Times New Roman"/>
          <w:sz w:val="24"/>
          <w:szCs w:val="24"/>
        </w:rPr>
        <w:t>ēstulē Dome tika aic</w:t>
      </w:r>
      <w:r w:rsidRPr="00695C9B" w:rsidR="0054338F">
        <w:rPr>
          <w:rFonts w:cs="Times New Roman"/>
          <w:sz w:val="24"/>
          <w:szCs w:val="24"/>
        </w:rPr>
        <w:t>ināta</w:t>
      </w:r>
      <w:r w:rsidRPr="00695C9B" w:rsidR="0015626C">
        <w:rPr>
          <w:rFonts w:cs="Times New Roman"/>
          <w:sz w:val="24"/>
          <w:szCs w:val="24"/>
        </w:rPr>
        <w:t xml:space="preserve"> izmantot šo iespēju un līdz </w:t>
      </w:r>
      <w:r w:rsidRPr="00695C9B" w:rsidR="0015626C">
        <w:rPr>
          <w:rFonts w:cs="Times New Roman"/>
          <w:b/>
          <w:sz w:val="24"/>
          <w:szCs w:val="24"/>
        </w:rPr>
        <w:t xml:space="preserve">2018. gada 16. jūlijam </w:t>
      </w:r>
      <w:r w:rsidRPr="00695C9B" w:rsidR="0015626C">
        <w:rPr>
          <w:rFonts w:cs="Times New Roman"/>
          <w:sz w:val="24"/>
          <w:szCs w:val="24"/>
        </w:rPr>
        <w:t>sniegt LIAA izvērtēšanai iespējamo jauno vai papildu informāciju, vienlaikus informējot Ekonomikas m</w:t>
      </w:r>
      <w:r w:rsidR="00056565">
        <w:rPr>
          <w:rFonts w:cs="Times New Roman"/>
          <w:sz w:val="24"/>
          <w:szCs w:val="24"/>
        </w:rPr>
        <w:t>inistriju un Finanšu ministriju</w:t>
      </w:r>
      <w:r w:rsidRPr="00695C9B" w:rsidR="00456D97">
        <w:rPr>
          <w:rFonts w:cs="Times New Roman"/>
          <w:sz w:val="24"/>
          <w:szCs w:val="24"/>
        </w:rPr>
        <w:t>.</w:t>
      </w:r>
      <w:r>
        <w:rPr>
          <w:rFonts w:cs="Times New Roman"/>
          <w:sz w:val="24"/>
          <w:szCs w:val="24"/>
        </w:rPr>
        <w:t xml:space="preserve"> </w:t>
      </w:r>
      <w:r w:rsidRPr="00056565">
        <w:rPr>
          <w:rFonts w:cs="Times New Roman"/>
          <w:b/>
          <w:sz w:val="24"/>
          <w:szCs w:val="24"/>
        </w:rPr>
        <w:t xml:space="preserve">No Domes puses </w:t>
      </w:r>
      <w:r w:rsidR="00DA4B10">
        <w:rPr>
          <w:rFonts w:cs="Times New Roman"/>
          <w:b/>
          <w:sz w:val="24"/>
          <w:szCs w:val="24"/>
        </w:rPr>
        <w:t>nav sekojusi</w:t>
      </w:r>
      <w:r w:rsidRPr="00056565">
        <w:rPr>
          <w:rFonts w:cs="Times New Roman"/>
          <w:b/>
          <w:sz w:val="24"/>
          <w:szCs w:val="24"/>
        </w:rPr>
        <w:t xml:space="preserve"> nekāda atgriezeniska komunikācija, kā arī Dome nav veikusi minētā finansējuma atmaksu.</w:t>
      </w:r>
    </w:p>
    <w:p w:rsidR="00433B7A" w:rsidRPr="00695C9B" w:rsidP="0054338F" w14:paraId="7384C9BB" w14:textId="77777777">
      <w:pPr>
        <w:ind w:firstLine="709"/>
        <w:jc w:val="both"/>
        <w:rPr>
          <w:rFonts w:cs="Times New Roman"/>
          <w:sz w:val="24"/>
          <w:szCs w:val="24"/>
        </w:rPr>
      </w:pPr>
    </w:p>
    <w:p w:rsidR="00456D97" w:rsidRPr="00695C9B" w:rsidP="005E3D92" w14:paraId="3A08F06F" w14:textId="3260DB6E">
      <w:pPr>
        <w:ind w:firstLine="709"/>
        <w:jc w:val="both"/>
        <w:rPr>
          <w:rFonts w:cs="Times New Roman"/>
          <w:sz w:val="24"/>
          <w:szCs w:val="24"/>
        </w:rPr>
      </w:pPr>
      <w:r>
        <w:rPr>
          <w:rFonts w:cs="Times New Roman"/>
          <w:sz w:val="24"/>
          <w:szCs w:val="24"/>
        </w:rPr>
        <w:t>Attiecīgi iestādēm nav citu instrumentu, tādēļ Ekonomikas ministrija kā atbildīgā iestāde</w:t>
      </w:r>
      <w:r w:rsidR="00172036">
        <w:rPr>
          <w:rFonts w:cs="Times New Roman"/>
          <w:sz w:val="24"/>
          <w:szCs w:val="24"/>
        </w:rPr>
        <w:t xml:space="preserve">, </w:t>
      </w:r>
      <w:r>
        <w:rPr>
          <w:rFonts w:cs="Times New Roman"/>
          <w:sz w:val="24"/>
          <w:szCs w:val="24"/>
        </w:rPr>
        <w:t xml:space="preserve"> </w:t>
      </w:r>
      <w:r w:rsidR="00172036">
        <w:rPr>
          <w:rFonts w:cs="Times New Roman"/>
          <w:sz w:val="24"/>
          <w:szCs w:val="24"/>
        </w:rPr>
        <w:t>ņ</w:t>
      </w:r>
      <w:r w:rsidRPr="00695C9B" w:rsidR="005D084F">
        <w:rPr>
          <w:rFonts w:cs="Times New Roman"/>
          <w:sz w:val="24"/>
          <w:szCs w:val="24"/>
        </w:rPr>
        <w:t xml:space="preserve">emot vērā informatīvajā ziņojumā norādīto informāciju, </w:t>
      </w:r>
      <w:r w:rsidR="00172036">
        <w:rPr>
          <w:rFonts w:cs="Times New Roman"/>
          <w:sz w:val="24"/>
          <w:szCs w:val="24"/>
        </w:rPr>
        <w:t>ierosina</w:t>
      </w:r>
      <w:r w:rsidRPr="00695C9B" w:rsidR="00172036">
        <w:rPr>
          <w:rFonts w:cs="Times New Roman"/>
          <w:sz w:val="24"/>
          <w:szCs w:val="24"/>
        </w:rPr>
        <w:t xml:space="preserve"> </w:t>
      </w:r>
      <w:r w:rsidR="00172036">
        <w:rPr>
          <w:rFonts w:cs="Times New Roman"/>
          <w:sz w:val="24"/>
          <w:szCs w:val="24"/>
        </w:rPr>
        <w:t xml:space="preserve">izskatīt </w:t>
      </w:r>
      <w:r w:rsidR="00172036">
        <w:rPr>
          <w:rFonts w:cs="Times New Roman"/>
          <w:b/>
          <w:sz w:val="24"/>
          <w:szCs w:val="24"/>
          <w:u w:val="single"/>
        </w:rPr>
        <w:t>Ministru kabinetā</w:t>
      </w:r>
      <w:r w:rsidR="00172036">
        <w:rPr>
          <w:rFonts w:cs="Times New Roman"/>
          <w:sz w:val="24"/>
          <w:szCs w:val="24"/>
        </w:rPr>
        <w:t xml:space="preserve"> jautājumu par </w:t>
      </w:r>
      <w:r w:rsidRPr="00695C9B" w:rsidR="005D084F">
        <w:rPr>
          <w:rFonts w:cs="Times New Roman"/>
          <w:b/>
          <w:sz w:val="24"/>
          <w:szCs w:val="24"/>
          <w:u w:val="single"/>
        </w:rPr>
        <w:t xml:space="preserve">10 942,86 </w:t>
      </w:r>
      <w:r w:rsidRPr="00695C9B" w:rsidR="005D084F">
        <w:rPr>
          <w:rFonts w:cs="Times New Roman"/>
          <w:b/>
          <w:i/>
          <w:sz w:val="24"/>
          <w:szCs w:val="24"/>
          <w:u w:val="single"/>
        </w:rPr>
        <w:t>euro</w:t>
      </w:r>
      <w:r>
        <w:rPr>
          <w:rStyle w:val="FootnoteReference"/>
          <w:rFonts w:cs="Times New Roman"/>
          <w:b/>
          <w:sz w:val="24"/>
          <w:szCs w:val="24"/>
          <w:u w:val="single"/>
        </w:rPr>
        <w:footnoteReference w:id="11"/>
      </w:r>
      <w:r w:rsidR="00172036">
        <w:rPr>
          <w:rFonts w:cs="Times New Roman"/>
          <w:b/>
          <w:i/>
          <w:sz w:val="24"/>
          <w:szCs w:val="24"/>
          <w:u w:val="single"/>
        </w:rPr>
        <w:t xml:space="preserve"> </w:t>
      </w:r>
      <w:r w:rsidRPr="00056565" w:rsidR="00172036">
        <w:rPr>
          <w:rFonts w:cs="Times New Roman"/>
          <w:b/>
          <w:sz w:val="24"/>
          <w:szCs w:val="24"/>
          <w:u w:val="single"/>
        </w:rPr>
        <w:t>atgūšanu no</w:t>
      </w:r>
      <w:r w:rsidR="00172036">
        <w:rPr>
          <w:rFonts w:cs="Times New Roman"/>
          <w:b/>
          <w:i/>
          <w:sz w:val="24"/>
          <w:szCs w:val="24"/>
          <w:u w:val="single"/>
        </w:rPr>
        <w:t xml:space="preserve"> </w:t>
      </w:r>
      <w:r w:rsidR="00056565">
        <w:rPr>
          <w:rFonts w:cs="Times New Roman"/>
          <w:b/>
          <w:sz w:val="24"/>
          <w:szCs w:val="24"/>
          <w:u w:val="single"/>
        </w:rPr>
        <w:t>Domes</w:t>
      </w:r>
      <w:r w:rsidRPr="00695C9B" w:rsidR="005E3D92">
        <w:rPr>
          <w:rFonts w:cs="Times New Roman"/>
          <w:b/>
          <w:sz w:val="24"/>
          <w:szCs w:val="24"/>
          <w:u w:val="single"/>
        </w:rPr>
        <w:t xml:space="preserve">, </w:t>
      </w:r>
      <w:r w:rsidRPr="00695C9B" w:rsidR="00F8530B">
        <w:rPr>
          <w:rFonts w:cs="Times New Roman"/>
          <w:b/>
          <w:sz w:val="24"/>
          <w:szCs w:val="24"/>
          <w:u w:val="single"/>
        </w:rPr>
        <w:t>uz attiecīgo Ministru kabineta sēdi pieaicin</w:t>
      </w:r>
      <w:r w:rsidR="00172036">
        <w:rPr>
          <w:rFonts w:cs="Times New Roman"/>
          <w:b/>
          <w:sz w:val="24"/>
          <w:szCs w:val="24"/>
          <w:u w:val="single"/>
        </w:rPr>
        <w:t>o</w:t>
      </w:r>
      <w:r w:rsidRPr="00695C9B" w:rsidR="00F8530B">
        <w:rPr>
          <w:rFonts w:cs="Times New Roman"/>
          <w:b/>
          <w:sz w:val="24"/>
          <w:szCs w:val="24"/>
          <w:u w:val="single"/>
        </w:rPr>
        <w:t>t arī LIAA un Domes pārstāvjus</w:t>
      </w:r>
      <w:r w:rsidRPr="00506943" w:rsidR="00F8530B">
        <w:rPr>
          <w:rFonts w:cs="Times New Roman"/>
          <w:b/>
          <w:sz w:val="24"/>
          <w:szCs w:val="24"/>
          <w:u w:val="single"/>
        </w:rPr>
        <w:t>.</w:t>
      </w:r>
    </w:p>
    <w:p w:rsidR="0054338F" w:rsidP="0054338F" w14:paraId="03FC94A4" w14:textId="77777777">
      <w:pPr>
        <w:ind w:firstLine="709"/>
        <w:jc w:val="both"/>
        <w:rPr>
          <w:rFonts w:cs="Times New Roman"/>
          <w:sz w:val="24"/>
          <w:szCs w:val="24"/>
        </w:rPr>
      </w:pPr>
    </w:p>
    <w:p w:rsidR="00416908" w:rsidRPr="00695C9B" w:rsidP="0054338F" w14:paraId="0BDF018B" w14:textId="77777777">
      <w:pPr>
        <w:ind w:firstLine="709"/>
        <w:jc w:val="both"/>
        <w:rPr>
          <w:rFonts w:cs="Times New Roman"/>
          <w:sz w:val="24"/>
          <w:szCs w:val="24"/>
        </w:rPr>
      </w:pPr>
    </w:p>
    <w:p w:rsidR="008B4B8F" w:rsidRPr="00695C9B" w:rsidP="00865F52" w14:paraId="054ADA30" w14:textId="79088549">
      <w:pPr>
        <w:tabs>
          <w:tab w:val="left" w:pos="6740"/>
        </w:tabs>
        <w:ind w:firstLine="709"/>
        <w:jc w:val="both"/>
        <w:rPr>
          <w:rFonts w:cs="Times New Roman"/>
          <w:sz w:val="24"/>
          <w:szCs w:val="24"/>
        </w:rPr>
      </w:pPr>
      <w:r w:rsidRPr="00695C9B">
        <w:rPr>
          <w:rFonts w:cs="Times New Roman"/>
          <w:sz w:val="24"/>
          <w:szCs w:val="24"/>
        </w:rPr>
        <w:t xml:space="preserve">Pielikumā: </w:t>
      </w:r>
      <w:r w:rsidRPr="00056565" w:rsidR="00056565">
        <w:rPr>
          <w:rFonts w:cs="Times New Roman"/>
          <w:i/>
          <w:sz w:val="24"/>
          <w:szCs w:val="24"/>
        </w:rPr>
        <w:t>Finanšu ministrija</w:t>
      </w:r>
      <w:r w:rsidR="00056565">
        <w:rPr>
          <w:rFonts w:cs="Times New Roman"/>
          <w:i/>
          <w:sz w:val="24"/>
          <w:szCs w:val="24"/>
        </w:rPr>
        <w:t>s</w:t>
      </w:r>
      <w:r w:rsidRPr="00056565" w:rsidR="00056565">
        <w:rPr>
          <w:rFonts w:cs="Times New Roman"/>
          <w:i/>
          <w:sz w:val="24"/>
          <w:szCs w:val="24"/>
        </w:rPr>
        <w:t xml:space="preserve"> 2018.gada 12.jūnij</w:t>
      </w:r>
      <w:r w:rsidR="00056565">
        <w:rPr>
          <w:rFonts w:cs="Times New Roman"/>
          <w:i/>
          <w:sz w:val="24"/>
          <w:szCs w:val="24"/>
        </w:rPr>
        <w:t>a</w:t>
      </w:r>
      <w:r w:rsidRPr="00056565" w:rsidR="00056565">
        <w:rPr>
          <w:rFonts w:cs="Times New Roman"/>
          <w:i/>
          <w:sz w:val="24"/>
          <w:szCs w:val="24"/>
        </w:rPr>
        <w:t xml:space="preserve"> </w:t>
      </w:r>
      <w:r w:rsidR="00056565">
        <w:rPr>
          <w:rFonts w:cs="Times New Roman"/>
          <w:i/>
          <w:sz w:val="24"/>
          <w:szCs w:val="24"/>
        </w:rPr>
        <w:t>vēstule</w:t>
      </w:r>
      <w:r w:rsidRPr="00056565" w:rsidR="00056565">
        <w:rPr>
          <w:rFonts w:cs="Times New Roman"/>
          <w:i/>
          <w:sz w:val="24"/>
          <w:szCs w:val="24"/>
        </w:rPr>
        <w:t xml:space="preserve"> Nr.5.1-17/16/2751</w:t>
      </w:r>
      <w:r w:rsidR="00056565">
        <w:rPr>
          <w:rFonts w:cs="Times New Roman"/>
          <w:i/>
          <w:sz w:val="24"/>
          <w:szCs w:val="24"/>
        </w:rPr>
        <w:t>.</w:t>
      </w:r>
    </w:p>
    <w:p w:rsidR="008B4B8F" w:rsidP="008B4B8F" w14:paraId="23A108C1" w14:textId="77777777">
      <w:pPr>
        <w:tabs>
          <w:tab w:val="left" w:pos="6740"/>
        </w:tabs>
        <w:rPr>
          <w:rFonts w:cs="Times New Roman"/>
          <w:sz w:val="24"/>
          <w:szCs w:val="24"/>
        </w:rPr>
      </w:pPr>
      <w:bookmarkStart w:id="0" w:name="_GoBack"/>
      <w:bookmarkEnd w:id="0"/>
    </w:p>
    <w:p w:rsidR="00416908" w:rsidRPr="00695C9B" w:rsidP="008B4B8F" w14:paraId="73D9991F" w14:textId="77777777">
      <w:pPr>
        <w:tabs>
          <w:tab w:val="left" w:pos="6740"/>
        </w:tabs>
        <w:rPr>
          <w:rFonts w:cs="Times New Roman"/>
          <w:sz w:val="24"/>
          <w:szCs w:val="24"/>
        </w:rPr>
      </w:pPr>
    </w:p>
    <w:p w:rsidR="008B4B8F" w:rsidRPr="00695C9B" w:rsidP="008B4B8F" w14:paraId="7DD41F43" w14:textId="77777777">
      <w:pPr>
        <w:tabs>
          <w:tab w:val="left" w:pos="6740"/>
        </w:tabs>
        <w:rPr>
          <w:rFonts w:cs="Times New Roman"/>
          <w:sz w:val="24"/>
          <w:szCs w:val="24"/>
        </w:rPr>
      </w:pPr>
    </w:p>
    <w:p w:rsidR="00B411C5" w:rsidRPr="00F87074" w:rsidP="008B4B8F" w14:paraId="4DC047D9" w14:textId="77777777">
      <w:pPr>
        <w:tabs>
          <w:tab w:val="left" w:pos="6740"/>
        </w:tabs>
        <w:rPr>
          <w:rFonts w:cs="Times New Roman"/>
          <w:b/>
          <w:sz w:val="24"/>
          <w:szCs w:val="24"/>
        </w:rPr>
      </w:pPr>
      <w:r w:rsidRPr="00F87074">
        <w:rPr>
          <w:rFonts w:cs="Times New Roman"/>
          <w:b/>
          <w:sz w:val="24"/>
          <w:szCs w:val="24"/>
        </w:rPr>
        <w:t>Ministru prezidenta biedrs,</w:t>
      </w:r>
    </w:p>
    <w:p w:rsidR="00B411C5" w:rsidRPr="00F87074" w:rsidP="008B4B8F" w14:paraId="64912912" w14:textId="77777777">
      <w:pPr>
        <w:tabs>
          <w:tab w:val="left" w:pos="6740"/>
        </w:tabs>
        <w:rPr>
          <w:rFonts w:cs="Times New Roman"/>
          <w:b/>
          <w:sz w:val="24"/>
          <w:szCs w:val="24"/>
        </w:rPr>
      </w:pPr>
      <w:r w:rsidRPr="00F87074">
        <w:rPr>
          <w:rFonts w:cs="Times New Roman"/>
          <w:b/>
          <w:sz w:val="24"/>
          <w:szCs w:val="24"/>
        </w:rPr>
        <w:t>Ekonomikas ministrs</w:t>
      </w:r>
      <w:r w:rsidRPr="00F87074">
        <w:rPr>
          <w:rFonts w:cs="Times New Roman"/>
          <w:b/>
          <w:sz w:val="24"/>
          <w:szCs w:val="24"/>
        </w:rPr>
        <w:tab/>
      </w:r>
      <w:r w:rsidRPr="00F87074">
        <w:rPr>
          <w:rFonts w:cs="Times New Roman"/>
          <w:b/>
          <w:sz w:val="24"/>
          <w:szCs w:val="24"/>
        </w:rPr>
        <w:tab/>
      </w:r>
      <w:r w:rsidRPr="00F87074">
        <w:rPr>
          <w:rFonts w:cs="Times New Roman"/>
          <w:b/>
          <w:sz w:val="24"/>
          <w:szCs w:val="24"/>
        </w:rPr>
        <w:t>A.Ašeradens</w:t>
      </w:r>
    </w:p>
    <w:p w:rsidR="00695C9B" w:rsidP="008B4B8F" w14:paraId="2FE17E31" w14:textId="77777777">
      <w:pPr>
        <w:tabs>
          <w:tab w:val="left" w:pos="6740"/>
        </w:tabs>
        <w:rPr>
          <w:rFonts w:cs="Times New Roman"/>
          <w:sz w:val="20"/>
          <w:szCs w:val="20"/>
        </w:rPr>
      </w:pPr>
    </w:p>
    <w:p w:rsidR="00416908" w:rsidP="008B4B8F" w14:paraId="78B2F1CB" w14:textId="77777777">
      <w:pPr>
        <w:tabs>
          <w:tab w:val="left" w:pos="6740"/>
        </w:tabs>
        <w:rPr>
          <w:rFonts w:cs="Times New Roman"/>
          <w:sz w:val="20"/>
          <w:szCs w:val="20"/>
        </w:rPr>
      </w:pPr>
    </w:p>
    <w:p w:rsidR="00416908" w:rsidP="008B4B8F" w14:paraId="03F2EA57" w14:textId="77777777">
      <w:pPr>
        <w:tabs>
          <w:tab w:val="left" w:pos="6740"/>
        </w:tabs>
        <w:rPr>
          <w:rFonts w:cs="Times New Roman"/>
          <w:sz w:val="20"/>
          <w:szCs w:val="20"/>
        </w:rPr>
      </w:pPr>
    </w:p>
    <w:p w:rsidR="00695C9B" w:rsidP="008B4B8F" w14:paraId="1914CD2C" w14:textId="77777777">
      <w:pPr>
        <w:tabs>
          <w:tab w:val="left" w:pos="6740"/>
        </w:tabs>
        <w:rPr>
          <w:rFonts w:cs="Times New Roman"/>
          <w:sz w:val="20"/>
          <w:szCs w:val="20"/>
        </w:rPr>
      </w:pPr>
      <w:r>
        <w:rPr>
          <w:rFonts w:cs="Times New Roman"/>
          <w:sz w:val="20"/>
          <w:szCs w:val="20"/>
        </w:rPr>
        <w:t>L.Immermane</w:t>
      </w:r>
      <w:r>
        <w:rPr>
          <w:rFonts w:cs="Times New Roman"/>
          <w:sz w:val="20"/>
          <w:szCs w:val="20"/>
        </w:rPr>
        <w:t>, 67013131</w:t>
      </w:r>
    </w:p>
    <w:p w:rsidR="00695C9B" w:rsidRPr="00695C9B" w:rsidP="008B4B8F" w14:paraId="4E0FC1FD" w14:textId="77777777">
      <w:pPr>
        <w:tabs>
          <w:tab w:val="left" w:pos="6740"/>
        </w:tabs>
        <w:rPr>
          <w:rFonts w:cs="Times New Roman"/>
          <w:sz w:val="20"/>
          <w:szCs w:val="20"/>
        </w:rPr>
      </w:pPr>
      <w:r>
        <w:fldChar w:fldCharType="begin"/>
      </w:r>
      <w:r>
        <w:instrText xml:space="preserve"> HYPERLINK "mailto:Liva.Immermane@em.gov.lv" </w:instrText>
      </w:r>
      <w:r>
        <w:fldChar w:fldCharType="separate"/>
      </w:r>
      <w:r w:rsidRPr="008208E3">
        <w:rPr>
          <w:rStyle w:val="Hyperlink"/>
          <w:rFonts w:cs="Times New Roman"/>
          <w:sz w:val="20"/>
          <w:szCs w:val="20"/>
        </w:rPr>
        <w:t>Liva.Immermane@em.gov.lv</w:t>
      </w:r>
      <w:r>
        <w:fldChar w:fldCharType="end"/>
      </w:r>
      <w:r>
        <w:rPr>
          <w:rFonts w:cs="Times New Roman"/>
          <w:sz w:val="20"/>
          <w:szCs w:val="20"/>
        </w:rPr>
        <w:t xml:space="preserve"> </w:t>
      </w:r>
    </w:p>
    <w:p w:rsidR="008B4B8F" w:rsidRPr="00695C9B" w:rsidP="00056565" w14:paraId="30074A5A" w14:textId="71393C5E">
      <w:pPr>
        <w:rPr>
          <w:rFonts w:cs="Times New Roman"/>
          <w:sz w:val="24"/>
          <w:szCs w:val="24"/>
        </w:rPr>
      </w:pPr>
      <w:r w:rsidRPr="00695C9B">
        <w:rPr>
          <w:rFonts w:cs="Times New Roman"/>
          <w:sz w:val="24"/>
          <w:szCs w:val="24"/>
        </w:rPr>
        <w:t xml:space="preserve"> </w:t>
      </w:r>
    </w:p>
    <w:sectPr w:rsidSect="00695C9B">
      <w:footerReference w:type="default" r:id="rId6"/>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695001"/>
      <w:docPartObj>
        <w:docPartGallery w:val="Page Numbers (Bottom of Page)"/>
        <w:docPartUnique/>
      </w:docPartObj>
    </w:sdtPr>
    <w:sdtEndPr>
      <w:rPr>
        <w:noProof/>
        <w:sz w:val="24"/>
        <w:szCs w:val="24"/>
      </w:rPr>
    </w:sdtEndPr>
    <w:sdtContent>
      <w:p w:rsidR="005D084F" w:rsidRPr="00695C9B" w14:paraId="37D64F4F" w14:textId="77777777">
        <w:pPr>
          <w:pStyle w:val="Footer"/>
          <w:jc w:val="center"/>
          <w:rPr>
            <w:sz w:val="24"/>
            <w:szCs w:val="24"/>
          </w:rPr>
        </w:pPr>
        <w:r w:rsidRPr="00695C9B">
          <w:rPr>
            <w:sz w:val="24"/>
            <w:szCs w:val="24"/>
          </w:rPr>
          <w:fldChar w:fldCharType="begin"/>
        </w:r>
        <w:r w:rsidRPr="00695C9B">
          <w:rPr>
            <w:sz w:val="24"/>
            <w:szCs w:val="24"/>
          </w:rPr>
          <w:instrText xml:space="preserve"> PAGE   \* MERGEFORMAT </w:instrText>
        </w:r>
        <w:r w:rsidRPr="00695C9B">
          <w:rPr>
            <w:sz w:val="24"/>
            <w:szCs w:val="24"/>
          </w:rPr>
          <w:fldChar w:fldCharType="separate"/>
        </w:r>
        <w:r w:rsidR="00172036">
          <w:rPr>
            <w:noProof/>
            <w:sz w:val="24"/>
            <w:szCs w:val="24"/>
          </w:rPr>
          <w:t>3</w:t>
        </w:r>
        <w:r w:rsidRPr="00695C9B">
          <w:rPr>
            <w:noProof/>
            <w:sz w:val="24"/>
            <w:szCs w:val="24"/>
          </w:rPr>
          <w:fldChar w:fldCharType="end"/>
        </w:r>
      </w:p>
    </w:sdtContent>
  </w:sdt>
  <w:p w:rsidR="005D084F" w14:paraId="33AD50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4034" w:rsidP="008B4B8F" w14:paraId="58945A18" w14:textId="77777777">
      <w:r>
        <w:separator/>
      </w:r>
    </w:p>
  </w:footnote>
  <w:footnote w:type="continuationSeparator" w:id="1">
    <w:p w:rsidR="00DB4034" w:rsidP="008B4B8F" w14:paraId="1B5023FA" w14:textId="77777777">
      <w:r>
        <w:continuationSeparator/>
      </w:r>
    </w:p>
  </w:footnote>
  <w:footnote w:id="2">
    <w:p w:rsidR="0040691D" w:rsidP="0040691D" w14:paraId="01757930" w14:textId="77777777">
      <w:pPr>
        <w:pStyle w:val="FootnoteText"/>
      </w:pPr>
      <w:r>
        <w:rPr>
          <w:rStyle w:val="FootnoteReference"/>
        </w:rPr>
        <w:footnoteRef/>
      </w:r>
      <w:r>
        <w:t xml:space="preserve"> Šeit un turpmāk pārrēķins no latiem uz </w:t>
      </w:r>
      <w:r w:rsidRPr="00572BF4">
        <w:rPr>
          <w:i/>
        </w:rPr>
        <w:t>euro</w:t>
      </w:r>
      <w:r>
        <w:t xml:space="preserve"> pēc Eiropas Savienības Padomes noteiktā fiksētā maiņas kursa (1 LVL = 0.702804 </w:t>
      </w:r>
      <w:r w:rsidRPr="00572BF4">
        <w:rPr>
          <w:i/>
        </w:rPr>
        <w:t>euro</w:t>
      </w:r>
      <w:r>
        <w:t>).</w:t>
      </w:r>
    </w:p>
  </w:footnote>
  <w:footnote w:id="3">
    <w:p w:rsidR="0040691D" w:rsidP="0040691D" w14:paraId="12B6E288" w14:textId="77777777">
      <w:pPr>
        <w:pStyle w:val="FootnoteText"/>
      </w:pPr>
      <w:r>
        <w:rPr>
          <w:rStyle w:val="FootnoteReference"/>
        </w:rPr>
        <w:footnoteRef/>
      </w:r>
      <w:r>
        <w:t xml:space="preserve"> Finanšu</w:t>
      </w:r>
      <w:r w:rsidRPr="00A04F7B">
        <w:t xml:space="preserve"> ministrijas</w:t>
      </w:r>
      <w:r>
        <w:t xml:space="preserve"> s</w:t>
      </w:r>
      <w:r w:rsidRPr="00A04F7B">
        <w:rPr>
          <w:bCs/>
        </w:rPr>
        <w:t>kaidrojums par saņemtajām vai ieturētajām soda naudām no izpildītāja ES fondu projektos</w:t>
      </w:r>
      <w:r>
        <w:rPr>
          <w:bCs/>
        </w:rPr>
        <w:t xml:space="preserve"> </w:t>
      </w:r>
      <w:r>
        <w:fldChar w:fldCharType="begin"/>
      </w:r>
      <w:r>
        <w:instrText xml:space="preserve"> HYPERLINK "http://www.esfondi.lv/upload/00-vadlinijas/vadlinijas_2013/7.1._skaidrojums_aktualizets.pdf" </w:instrText>
      </w:r>
      <w:r>
        <w:fldChar w:fldCharType="separate"/>
      </w:r>
      <w:r w:rsidRPr="00550F4E">
        <w:rPr>
          <w:rStyle w:val="Hyperlink"/>
          <w:bCs/>
        </w:rPr>
        <w:t>http://www.esfondi.lv/upload/00-vadlinijas/vadlinijas_2013/7.1._skaidrojums_aktualizets.pdf</w:t>
      </w:r>
      <w:r>
        <w:fldChar w:fldCharType="end"/>
      </w:r>
      <w:r>
        <w:rPr>
          <w:bCs/>
        </w:rPr>
        <w:t xml:space="preserve">  </w:t>
      </w:r>
    </w:p>
  </w:footnote>
  <w:footnote w:id="4">
    <w:p w:rsidR="0040691D" w:rsidP="0040691D" w14:paraId="0D1D48D0" w14:textId="77777777">
      <w:pPr>
        <w:pStyle w:val="FootnoteText"/>
      </w:pPr>
      <w:r>
        <w:rPr>
          <w:rStyle w:val="FootnoteReference"/>
        </w:rPr>
        <w:footnoteRef/>
      </w:r>
      <w:r>
        <w:t xml:space="preserve"> V</w:t>
      </w:r>
      <w:r w:rsidRPr="00AE594D">
        <w:t>adošās iestādes vadlīnij</w:t>
      </w:r>
      <w:r>
        <w:t>u</w:t>
      </w:r>
      <w:r w:rsidRPr="00AE594D">
        <w:t xml:space="preserve"> Nr. 10.7. “Vadlīnijas par projekta attiecināmo izmaksu pamatojošiem dokumentiem un to pārbaudēm”</w:t>
      </w:r>
      <w:r>
        <w:t xml:space="preserve"> 3.43. punkts </w:t>
      </w:r>
      <w:r>
        <w:fldChar w:fldCharType="begin"/>
      </w:r>
      <w:r>
        <w:instrText xml:space="preserve"> HYPERLINK "http://www.esfondi.lv/upload/00-vadlinijas/vadlinijas_2014/2.1._vadlinijas_05.06.14.pdf" </w:instrText>
      </w:r>
      <w:r>
        <w:fldChar w:fldCharType="separate"/>
      </w:r>
      <w:r w:rsidRPr="0016167E">
        <w:rPr>
          <w:rStyle w:val="Hyperlink"/>
        </w:rPr>
        <w:t>http://www.esfondi.lv/upload/00-vadlinijas/vadlinijas_2014/2.1._vadlinijas_05.06.14.pdf</w:t>
      </w:r>
      <w:r>
        <w:fldChar w:fldCharType="end"/>
      </w:r>
      <w:r>
        <w:t xml:space="preserve"> </w:t>
      </w:r>
    </w:p>
  </w:footnote>
  <w:footnote w:id="5">
    <w:p w:rsidR="0040691D" w:rsidRPr="00521079" w:rsidP="0040691D" w14:paraId="377F0487" w14:textId="77777777">
      <w:pPr>
        <w:pStyle w:val="FootnoteText"/>
      </w:pPr>
      <w:r>
        <w:rPr>
          <w:rStyle w:val="FootnoteReference"/>
        </w:rPr>
        <w:footnoteRef/>
      </w:r>
      <w:r>
        <w:t xml:space="preserve"> </w:t>
      </w:r>
      <w:r w:rsidRPr="00521079">
        <w:t>Padomes Regulas (EK) Nr.1083/2006, ar ko paredz vispārīgus noteikumus par Eiropas Reģionālās attīstības fondu, Eiropas Sociālo fondu un Kohēzijas fondu un atceļ Regulu (EK) Nr.1260/1999</w:t>
      </w:r>
      <w:r>
        <w:t xml:space="preserve"> </w:t>
      </w:r>
      <w:r w:rsidRPr="00521079">
        <w:t>78(1)</w:t>
      </w:r>
      <w:r>
        <w:t>. pants “</w:t>
      </w:r>
      <w:r w:rsidRPr="00521079">
        <w:t xml:space="preserve">Visas izdevumu deklarācijas attiecībā uz katru prioritāro virzienu ietver to atbilstīgo izdevumu kopapjomu, kā noteikts 56. pantā, </w:t>
      </w:r>
      <w:r w:rsidRPr="00521079">
        <w:rPr>
          <w:u w:val="single"/>
        </w:rPr>
        <w:t>ko maksājuši atbalsta saņēmēji</w:t>
      </w:r>
      <w:r w:rsidRPr="00521079">
        <w:t>, īstenojot darbības, un attiecīgo valsts ieguldījumu, kurš maksāts vai jāmaksā atbalsta saņēmējiem saskaņā ar nosacījumiem, kas reglamentē valsts ieguldījumu</w:t>
      </w:r>
      <w:r>
        <w:t>”.</w:t>
      </w:r>
    </w:p>
  </w:footnote>
  <w:footnote w:id="6">
    <w:p w:rsidR="00252AB0" w:rsidRPr="000936D7" w:rsidP="00252AB0" w14:paraId="1EDD90A4" w14:textId="77777777">
      <w:pPr>
        <w:rPr>
          <w:sz w:val="20"/>
        </w:rPr>
      </w:pPr>
      <w:r>
        <w:rPr>
          <w:rStyle w:val="FootnoteReference"/>
        </w:rPr>
        <w:footnoteRef/>
      </w:r>
      <w:r>
        <w:t xml:space="preserve"> </w:t>
      </w:r>
      <w:r w:rsidRPr="000936D7">
        <w:rPr>
          <w:sz w:val="20"/>
        </w:rPr>
        <w:t>Atbilstoši LIAA informācijai vienošanās grozījumus, kas skar izmaksu pozīcijas, varē</w:t>
      </w:r>
      <w:r>
        <w:rPr>
          <w:sz w:val="20"/>
        </w:rPr>
        <w:t>ja</w:t>
      </w:r>
      <w:r w:rsidRPr="000936D7">
        <w:rPr>
          <w:sz w:val="20"/>
        </w:rPr>
        <w:t xml:space="preserve"> ierosināt un apstiprināt līdz noslēguma maksājuma veikšanai. </w:t>
      </w:r>
    </w:p>
  </w:footnote>
  <w:footnote w:id="7">
    <w:p w:rsidR="0040691D" w:rsidRPr="0051498D" w:rsidP="0040691D" w14:paraId="35029A6D" w14:textId="77777777">
      <w:pPr>
        <w:autoSpaceDE w:val="0"/>
        <w:autoSpaceDN w:val="0"/>
        <w:adjustRightInd w:val="0"/>
        <w:rPr>
          <w:sz w:val="20"/>
        </w:rPr>
      </w:pPr>
      <w:r w:rsidRPr="0051498D">
        <w:rPr>
          <w:rStyle w:val="FootnoteReference"/>
          <w:sz w:val="20"/>
        </w:rPr>
        <w:footnoteRef/>
      </w:r>
      <w:r w:rsidRPr="0051498D">
        <w:rPr>
          <w:sz w:val="20"/>
        </w:rPr>
        <w:t xml:space="preserve"> Revīzijas iestādes 2016. gada 20. janvāra revīzijas ziņojum</w:t>
      </w:r>
      <w:r>
        <w:rPr>
          <w:sz w:val="20"/>
        </w:rPr>
        <w:t>s</w:t>
      </w:r>
      <w:r w:rsidRPr="0051498D">
        <w:rPr>
          <w:sz w:val="20"/>
        </w:rPr>
        <w:t xml:space="preserve"> Nr.PDR-15/10</w:t>
      </w:r>
      <w:r>
        <w:rPr>
          <w:sz w:val="20"/>
        </w:rPr>
        <w:t>-</w:t>
      </w:r>
      <w:r w:rsidRPr="0051498D">
        <w:rPr>
          <w:sz w:val="20"/>
        </w:rPr>
        <w:t>11</w:t>
      </w:r>
      <w:r>
        <w:rPr>
          <w:sz w:val="20"/>
        </w:rPr>
        <w:t>. Revīzijas ziņojuma projekts un ziņojums ir nosūtīts Domei ar Finanšu ministrijas 2015. gada 23. decembra vēstuli Nr.</w:t>
      </w:r>
      <w:r w:rsidRPr="00572BF4">
        <w:rPr>
          <w:sz w:val="20"/>
        </w:rPr>
        <w:t>14-26/6834</w:t>
      </w:r>
      <w:r>
        <w:rPr>
          <w:sz w:val="20"/>
        </w:rPr>
        <w:t xml:space="preserve"> un 2016. gada 20. janvāra vēstuli Nr. </w:t>
      </w:r>
      <w:r w:rsidRPr="001669BD">
        <w:rPr>
          <w:sz w:val="20"/>
        </w:rPr>
        <w:t>14-25/398</w:t>
      </w:r>
      <w:r>
        <w:rPr>
          <w:sz w:val="20"/>
        </w:rPr>
        <w:t>.</w:t>
      </w:r>
    </w:p>
  </w:footnote>
  <w:footnote w:id="8">
    <w:p w:rsidR="00252AB0" w:rsidP="00252AB0" w14:paraId="3FEB1FF0" w14:textId="77777777">
      <w:pPr>
        <w:pStyle w:val="FootnoteText"/>
      </w:pPr>
      <w:r w:rsidRPr="000936D7">
        <w:rPr>
          <w:rStyle w:val="FootnoteReference"/>
        </w:rPr>
        <w:footnoteRef/>
      </w:r>
      <w:r w:rsidRPr="000936D7">
        <w:t xml:space="preserve"> Gan rakstiski (</w:t>
      </w:r>
      <w:r w:rsidRPr="00366F46">
        <w:t>LIAA 2016.gada 14.janvāra elektro</w:t>
      </w:r>
      <w:r>
        <w:t>niskā pasta vēstule Pašvaldībai un</w:t>
      </w:r>
      <w:r w:rsidRPr="00366F46">
        <w:t xml:space="preserve"> LIAA 2016</w:t>
      </w:r>
      <w:r>
        <w:t xml:space="preserve">. gada 5.maija vēstule </w:t>
      </w:r>
      <w:r w:rsidRPr="00E24954">
        <w:t>Nr.7.3-5.2/1501SF “Par neatbilstoši veikto izdevumu atmaksu projektā Nr.PPA/3.4.2.1.1/09/02/007”</w:t>
      </w:r>
      <w:r w:rsidRPr="000936D7">
        <w:t>) , gan klātienē (</w:t>
      </w:r>
      <w:r>
        <w:t>2016.gada 23.decembrī</w:t>
      </w:r>
      <w:r w:rsidRPr="000936D7">
        <w:t>), piedaloties</w:t>
      </w:r>
      <w:r w:rsidRPr="000936D7">
        <w:rPr>
          <w:szCs w:val="24"/>
        </w:rPr>
        <w:t xml:space="preserve"> </w:t>
      </w:r>
      <w:r w:rsidRPr="00CC301B">
        <w:rPr>
          <w:szCs w:val="24"/>
        </w:rPr>
        <w:t>Ekonomikas un Finanšu ministrijas pārstāvjiem</w:t>
      </w:r>
      <w:r>
        <w:rPr>
          <w:szCs w:val="24"/>
        </w:rPr>
        <w:t>.</w:t>
      </w:r>
    </w:p>
  </w:footnote>
  <w:footnote w:id="9">
    <w:p w:rsidR="007F6331" w:rsidP="007F6331" w14:paraId="3A3519F2" w14:textId="77777777">
      <w:pPr>
        <w:pStyle w:val="FootnoteText"/>
      </w:pPr>
      <w:r>
        <w:rPr>
          <w:rStyle w:val="FootnoteReference"/>
        </w:rPr>
        <w:footnoteRef/>
      </w:r>
      <w:r>
        <w:t xml:space="preserve">  2010.gada 10.augusta MK noteikumi Nr. 740 „Kārtība, kādā ziņo par Eiropas Savienības struktūrfondu un</w:t>
      </w:r>
    </w:p>
    <w:p w:rsidR="007F6331" w:rsidP="007F6331" w14:paraId="22313800" w14:textId="77777777">
      <w:pPr>
        <w:pStyle w:val="FootnoteText"/>
      </w:pPr>
      <w:r>
        <w:t>Kohēzijas fonda ieviešanā konstatētajām neatbilstībām, pieņem lēmumu par piešķirtā finansējuma izlietojumu un</w:t>
      </w:r>
    </w:p>
    <w:p w:rsidR="007F6331" w:rsidP="007F6331" w14:paraId="553E1EBB" w14:textId="77777777">
      <w:pPr>
        <w:pStyle w:val="FootnoteText"/>
      </w:pPr>
      <w:r>
        <w:t>atgūst neatbilstošos izdevumus”</w:t>
      </w:r>
    </w:p>
  </w:footnote>
  <w:footnote w:id="10">
    <w:p w:rsidR="007F6331" w:rsidP="007F6331" w14:paraId="4B2DD7C1" w14:textId="77777777">
      <w:pPr>
        <w:pStyle w:val="FootnoteText"/>
      </w:pPr>
      <w:r>
        <w:rPr>
          <w:rStyle w:val="FootnoteReference"/>
        </w:rPr>
        <w:footnoteRef/>
      </w:r>
      <w:r>
        <w:t xml:space="preserve"> Informatīvais ziņojums par Kohēzijas politikas Eiropas Savienības fondu investīciju progresu līdz 2017. gada 31. decembrim un 2018. gada februāra ikmēneša operatīvā informācija. </w:t>
      </w:r>
    </w:p>
  </w:footnote>
  <w:footnote w:id="11">
    <w:p w:rsidR="005D084F" w14:paraId="38BAEF90" w14:textId="77777777">
      <w:pPr>
        <w:pStyle w:val="FootnoteText"/>
      </w:pPr>
      <w:r>
        <w:rPr>
          <w:rStyle w:val="FootnoteReference"/>
        </w:rPr>
        <w:footnoteRef/>
      </w:r>
      <w:r>
        <w:t xml:space="preserve"> </w:t>
      </w:r>
      <w:r w:rsidRPr="005D084F">
        <w:t xml:space="preserve">10 693,00 </w:t>
      </w:r>
      <w:r w:rsidRPr="005D084F">
        <w:rPr>
          <w:i/>
        </w:rPr>
        <w:t>euro</w:t>
      </w:r>
      <w:r w:rsidRPr="005D084F">
        <w:t xml:space="preserve"> – atmaksājamais finansējums par Domes līgumsoda ieņēmumiem; 249,86 </w:t>
      </w:r>
      <w:r w:rsidRPr="005D084F">
        <w:rPr>
          <w:i/>
        </w:rPr>
        <w:t>euro</w:t>
      </w:r>
      <w:r w:rsidRPr="005D084F">
        <w:t xml:space="preserve"> – citi neatbilstoši veiktie izdevumi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9E6DD0"/>
    <w:multiLevelType w:val="hybridMultilevel"/>
    <w:tmpl w:val="23A6046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84"/>
    <w:rsid w:val="00056565"/>
    <w:rsid w:val="0006001C"/>
    <w:rsid w:val="0007596F"/>
    <w:rsid w:val="000936D7"/>
    <w:rsid w:val="000F3DD8"/>
    <w:rsid w:val="0015626C"/>
    <w:rsid w:val="0016167E"/>
    <w:rsid w:val="001669BD"/>
    <w:rsid w:val="00172036"/>
    <w:rsid w:val="00176059"/>
    <w:rsid w:val="00252AB0"/>
    <w:rsid w:val="002D4F1C"/>
    <w:rsid w:val="00334E10"/>
    <w:rsid w:val="00355B94"/>
    <w:rsid w:val="00366F46"/>
    <w:rsid w:val="0040691D"/>
    <w:rsid w:val="00416908"/>
    <w:rsid w:val="00433B7A"/>
    <w:rsid w:val="00444807"/>
    <w:rsid w:val="00453FC0"/>
    <w:rsid w:val="00456D97"/>
    <w:rsid w:val="00506943"/>
    <w:rsid w:val="0051498D"/>
    <w:rsid w:val="00521079"/>
    <w:rsid w:val="0054338F"/>
    <w:rsid w:val="00550F4E"/>
    <w:rsid w:val="00572BF4"/>
    <w:rsid w:val="005D084F"/>
    <w:rsid w:val="005E3D92"/>
    <w:rsid w:val="00695C9B"/>
    <w:rsid w:val="006A6139"/>
    <w:rsid w:val="00752FB4"/>
    <w:rsid w:val="0075381C"/>
    <w:rsid w:val="007F6331"/>
    <w:rsid w:val="008208E3"/>
    <w:rsid w:val="00834BD0"/>
    <w:rsid w:val="00865F52"/>
    <w:rsid w:val="008B4B8F"/>
    <w:rsid w:val="009367B3"/>
    <w:rsid w:val="00954559"/>
    <w:rsid w:val="00A04F7B"/>
    <w:rsid w:val="00AE594D"/>
    <w:rsid w:val="00B058BC"/>
    <w:rsid w:val="00B411C5"/>
    <w:rsid w:val="00B715B8"/>
    <w:rsid w:val="00B853EF"/>
    <w:rsid w:val="00C112ED"/>
    <w:rsid w:val="00CC301B"/>
    <w:rsid w:val="00DA4B10"/>
    <w:rsid w:val="00DB4034"/>
    <w:rsid w:val="00E24954"/>
    <w:rsid w:val="00F8530B"/>
    <w:rsid w:val="00F87074"/>
    <w:rsid w:val="00FB418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4E37C3F-21DC-48DE-BDC8-C518B53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B4B8F"/>
    <w:pPr>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8B4B8F"/>
    <w:rPr>
      <w:rFonts w:eastAsia="Times New Roman" w:cs="Times New Roman"/>
      <w:sz w:val="20"/>
      <w:szCs w:val="20"/>
    </w:rPr>
  </w:style>
  <w:style w:type="character" w:styleId="FootnoteReference">
    <w:name w:val="footnote reference"/>
    <w:semiHidden/>
    <w:rsid w:val="008B4B8F"/>
    <w:rPr>
      <w:rFonts w:ascii="Times New Roman" w:hAnsi="Times New Roman"/>
      <w:vertAlign w:val="superscript"/>
    </w:rPr>
  </w:style>
  <w:style w:type="character" w:styleId="Hyperlink">
    <w:name w:val="Hyperlink"/>
    <w:rsid w:val="008B4B8F"/>
    <w:rPr>
      <w:color w:val="0000FF"/>
      <w:u w:val="single"/>
    </w:rPr>
  </w:style>
  <w:style w:type="paragraph" w:styleId="BodyTextIndent">
    <w:name w:val="Body Text Indent"/>
    <w:basedOn w:val="Normal"/>
    <w:link w:val="BodyTextIndentChar"/>
    <w:uiPriority w:val="99"/>
    <w:unhideWhenUsed/>
    <w:rsid w:val="008B4B8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8B4B8F"/>
    <w:rPr>
      <w:rFonts w:eastAsia="Times New Roman" w:cs="Times New Roman"/>
      <w:sz w:val="20"/>
      <w:szCs w:val="20"/>
    </w:rPr>
  </w:style>
  <w:style w:type="table" w:styleId="TableGrid">
    <w:name w:val="Table Grid"/>
    <w:basedOn w:val="TableNormal"/>
    <w:uiPriority w:val="59"/>
    <w:rsid w:val="008B4B8F"/>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97"/>
    <w:pPr>
      <w:ind w:left="720"/>
      <w:contextualSpacing/>
    </w:pPr>
  </w:style>
  <w:style w:type="paragraph" w:styleId="Header">
    <w:name w:val="header"/>
    <w:basedOn w:val="Normal"/>
    <w:link w:val="HeaderChar"/>
    <w:uiPriority w:val="99"/>
    <w:unhideWhenUsed/>
    <w:rsid w:val="005D084F"/>
    <w:pPr>
      <w:tabs>
        <w:tab w:val="center" w:pos="4153"/>
        <w:tab w:val="right" w:pos="8306"/>
      </w:tabs>
    </w:pPr>
  </w:style>
  <w:style w:type="character" w:customStyle="1" w:styleId="HeaderChar">
    <w:name w:val="Header Char"/>
    <w:basedOn w:val="DefaultParagraphFont"/>
    <w:link w:val="Header"/>
    <w:uiPriority w:val="99"/>
    <w:rsid w:val="005D084F"/>
  </w:style>
  <w:style w:type="paragraph" w:styleId="Footer">
    <w:name w:val="footer"/>
    <w:basedOn w:val="Normal"/>
    <w:link w:val="FooterChar"/>
    <w:uiPriority w:val="99"/>
    <w:unhideWhenUsed/>
    <w:rsid w:val="005D084F"/>
    <w:pPr>
      <w:tabs>
        <w:tab w:val="center" w:pos="4153"/>
        <w:tab w:val="right" w:pos="8306"/>
      </w:tabs>
    </w:pPr>
  </w:style>
  <w:style w:type="character" w:customStyle="1" w:styleId="FooterChar">
    <w:name w:val="Footer Char"/>
    <w:basedOn w:val="DefaultParagraphFont"/>
    <w:link w:val="Footer"/>
    <w:uiPriority w:val="99"/>
    <w:rsid w:val="005D084F"/>
  </w:style>
  <w:style w:type="character" w:customStyle="1" w:styleId="UnresolvedMention1">
    <w:name w:val="Unresolved Mention1"/>
    <w:basedOn w:val="DefaultParagraphFont"/>
    <w:uiPriority w:val="99"/>
    <w:semiHidden/>
    <w:unhideWhenUsed/>
    <w:rsid w:val="00695C9B"/>
    <w:rPr>
      <w:color w:val="808080"/>
      <w:shd w:val="clear" w:color="auto" w:fill="E6E6E6"/>
    </w:rPr>
  </w:style>
  <w:style w:type="character" w:styleId="CommentReference">
    <w:name w:val="annotation reference"/>
    <w:basedOn w:val="DefaultParagraphFont"/>
    <w:uiPriority w:val="99"/>
    <w:semiHidden/>
    <w:unhideWhenUsed/>
    <w:rsid w:val="0007596F"/>
    <w:rPr>
      <w:sz w:val="16"/>
      <w:szCs w:val="16"/>
    </w:rPr>
  </w:style>
  <w:style w:type="paragraph" w:styleId="CommentText">
    <w:name w:val="annotation text"/>
    <w:basedOn w:val="Normal"/>
    <w:link w:val="CommentTextChar"/>
    <w:uiPriority w:val="99"/>
    <w:semiHidden/>
    <w:unhideWhenUsed/>
    <w:rsid w:val="0007596F"/>
    <w:rPr>
      <w:sz w:val="20"/>
      <w:szCs w:val="20"/>
    </w:rPr>
  </w:style>
  <w:style w:type="character" w:customStyle="1" w:styleId="CommentTextChar">
    <w:name w:val="Comment Text Char"/>
    <w:basedOn w:val="DefaultParagraphFont"/>
    <w:link w:val="CommentText"/>
    <w:uiPriority w:val="99"/>
    <w:semiHidden/>
    <w:rsid w:val="0007596F"/>
    <w:rPr>
      <w:sz w:val="20"/>
      <w:szCs w:val="20"/>
    </w:rPr>
  </w:style>
  <w:style w:type="paragraph" w:styleId="CommentSubject">
    <w:name w:val="annotation subject"/>
    <w:basedOn w:val="CommentText"/>
    <w:next w:val="CommentText"/>
    <w:link w:val="CommentSubjectChar"/>
    <w:uiPriority w:val="99"/>
    <w:semiHidden/>
    <w:unhideWhenUsed/>
    <w:rsid w:val="0007596F"/>
    <w:rPr>
      <w:b/>
      <w:bCs/>
    </w:rPr>
  </w:style>
  <w:style w:type="character" w:customStyle="1" w:styleId="CommentSubjectChar">
    <w:name w:val="Comment Subject Char"/>
    <w:basedOn w:val="CommentTextChar"/>
    <w:link w:val="CommentSubject"/>
    <w:uiPriority w:val="99"/>
    <w:semiHidden/>
    <w:rsid w:val="0007596F"/>
    <w:rPr>
      <w:b/>
      <w:bCs/>
      <w:sz w:val="20"/>
      <w:szCs w:val="20"/>
    </w:rPr>
  </w:style>
  <w:style w:type="paragraph" w:styleId="BalloonText">
    <w:name w:val="Balloon Text"/>
    <w:basedOn w:val="Normal"/>
    <w:link w:val="BalloonTextChar"/>
    <w:uiPriority w:val="99"/>
    <w:semiHidden/>
    <w:unhideWhenUsed/>
    <w:rsid w:val="00075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D385-A710-4E94-AEEE-A99AD2A7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5643</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Ekonomikas ministrija</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Eiropas Savienības fondu 2007. – 2013.gada plānošanas periodā Durbes novada domes īstenoto projektu</dc:subject>
  <dc:creator>Līva Immermane</dc:creator>
  <dc:description>67013131, Liva.Immermane@em.gov.lv</dc:description>
  <cp:lastModifiedBy>Līva Immermane</cp:lastModifiedBy>
  <cp:revision>6</cp:revision>
  <dcterms:created xsi:type="dcterms:W3CDTF">2018-10-03T08:33:00Z</dcterms:created>
  <dcterms:modified xsi:type="dcterms:W3CDTF">2018-10-04T05:11:00Z</dcterms:modified>
</cp:coreProperties>
</file>