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A2ACB" w:rsidP="009B5AF2" w14:paraId="5A267AE4" w14:textId="1601E568">
      <w:pPr>
        <w:spacing w:before="100" w:beforeAutospacing="1" w:after="240"/>
        <w:jc w:val="center"/>
        <w:rPr>
          <w:rStyle w:val="Strong"/>
        </w:rPr>
      </w:pPr>
      <w:r w:rsidRPr="00C927DB">
        <w:rPr>
          <w:rStyle w:val="Strong"/>
        </w:rPr>
        <w:t xml:space="preserve">Ministru kabineta noteikumu projekta </w:t>
      </w:r>
      <w:r w:rsidR="00C363A4">
        <w:rPr>
          <w:rStyle w:val="Strong"/>
        </w:rPr>
        <w:t>“</w:t>
      </w:r>
      <w:r w:rsidR="00046AC9">
        <w:rPr>
          <w:rStyle w:val="Strong"/>
        </w:rPr>
        <w:t>Grozījums</w:t>
      </w:r>
      <w:r w:rsidR="000937CE">
        <w:rPr>
          <w:rStyle w:val="Strong"/>
        </w:rPr>
        <w:t xml:space="preserve"> Ministru kabineta 2014.gada 25.marta noteikumos Nr.156 </w:t>
      </w:r>
      <w:r w:rsidR="00C363A4">
        <w:rPr>
          <w:rStyle w:val="Strong"/>
        </w:rPr>
        <w:t>“</w:t>
      </w:r>
      <w:r w:rsidR="00CE4D99">
        <w:rPr>
          <w:rStyle w:val="Strong"/>
        </w:rPr>
        <w:t>Būvizstrādājumu tirgus uzraudzības kārtība</w:t>
      </w:r>
      <w:r w:rsidR="00C927DB">
        <w:rPr>
          <w:rStyle w:val="Strong"/>
        </w:rPr>
        <w:t>”</w:t>
      </w:r>
      <w:r w:rsidR="000937CE">
        <w:rPr>
          <w:rStyle w:val="Strong"/>
        </w:rPr>
        <w:t>”</w:t>
      </w:r>
      <w:r w:rsidR="00CE4D99">
        <w:rPr>
          <w:rStyle w:val="Strong"/>
        </w:rPr>
        <w:t xml:space="preserve"> </w:t>
      </w:r>
      <w:r w:rsidRPr="00C927DB">
        <w:rPr>
          <w:rStyle w:val="Strong"/>
        </w:rPr>
        <w:t>sākotnējās ietekmes novērtējuma ziņojums (anotācija)</w:t>
      </w:r>
    </w:p>
    <w:tbl>
      <w:tblPr>
        <w:tblStyle w:val="TableGrid"/>
        <w:tblW w:w="9067" w:type="dxa"/>
        <w:tblBorders>
          <w:top w:val="thickThinLargeGap" w:sz="12" w:space="0" w:color="BFBFBF" w:themeColor="background1" w:themeShade="BF"/>
          <w:left w:val="thickThinLargeGap" w:sz="12" w:space="0" w:color="BFBFBF" w:themeColor="background1" w:themeShade="BF"/>
          <w:bottom w:val="thickThinLargeGap" w:sz="12" w:space="0" w:color="BFBFBF" w:themeColor="background1" w:themeShade="BF"/>
          <w:right w:val="thickThinLargeGap" w:sz="12" w:space="0" w:color="BFBFBF" w:themeColor="background1" w:themeShade="BF"/>
          <w:insideH w:val="thickThinLargeGap" w:sz="12" w:space="0" w:color="BFBFBF" w:themeColor="background1" w:themeShade="BF"/>
          <w:insideV w:val="thickThinLargeGap" w:sz="12" w:space="0" w:color="BFBFBF" w:themeColor="background1" w:themeShade="BF"/>
        </w:tblBorders>
        <w:tblLook w:val="04A0"/>
      </w:tblPr>
      <w:tblGrid>
        <w:gridCol w:w="3114"/>
        <w:gridCol w:w="5953"/>
      </w:tblGrid>
      <w:tr w14:paraId="32DA7A31" w14:textId="77777777" w:rsidTr="002A3126">
        <w:tblPrEx>
          <w:tblW w:w="9067" w:type="dxa"/>
          <w:tblBorders>
            <w:top w:val="thickThinLargeGap" w:sz="12" w:space="0" w:color="BFBFBF" w:themeColor="background1" w:themeShade="BF"/>
            <w:left w:val="thickThinLargeGap" w:sz="12" w:space="0" w:color="BFBFBF" w:themeColor="background1" w:themeShade="BF"/>
            <w:bottom w:val="thickThinLargeGap" w:sz="12" w:space="0" w:color="BFBFBF" w:themeColor="background1" w:themeShade="BF"/>
            <w:right w:val="thickThinLargeGap" w:sz="12" w:space="0" w:color="BFBFBF" w:themeColor="background1" w:themeShade="BF"/>
            <w:insideH w:val="thickThinLargeGap" w:sz="12" w:space="0" w:color="BFBFBF" w:themeColor="background1" w:themeShade="BF"/>
            <w:insideV w:val="thickThinLargeGap" w:sz="12" w:space="0" w:color="BFBFBF" w:themeColor="background1" w:themeShade="BF"/>
          </w:tblBorders>
          <w:tblLook w:val="04A0"/>
        </w:tblPrEx>
        <w:tc>
          <w:tcPr>
            <w:tcW w:w="9067" w:type="dxa"/>
            <w:gridSpan w:val="2"/>
          </w:tcPr>
          <w:p w:rsidR="002A633C" w:rsidRPr="00A14AD8" w:rsidP="002A633C" w14:paraId="73CDA25B" w14:textId="5D8F56BE">
            <w:pPr>
              <w:spacing w:before="100" w:beforeAutospacing="1" w:after="240"/>
              <w:jc w:val="center"/>
              <w:rPr>
                <w:rFonts w:eastAsia="SimSun" w:cs="Times New Roman"/>
                <w:szCs w:val="28"/>
                <w:lang w:eastAsia="zh-CN"/>
              </w:rPr>
            </w:pPr>
            <w:r w:rsidRPr="002A633C">
              <w:rPr>
                <w:rStyle w:val="Strong"/>
              </w:rPr>
              <w:t>Tiesību akta projekta anotācijas kopsavilkums</w:t>
            </w:r>
          </w:p>
        </w:tc>
      </w:tr>
      <w:tr w14:paraId="2923772B" w14:textId="77777777" w:rsidTr="002A3126">
        <w:tblPrEx>
          <w:tblW w:w="9067" w:type="dxa"/>
          <w:tblLook w:val="04A0"/>
        </w:tblPrEx>
        <w:tc>
          <w:tcPr>
            <w:tcW w:w="3114" w:type="dxa"/>
          </w:tcPr>
          <w:p w:rsidR="00A14AD8" w:rsidP="00A14AD8" w14:paraId="63CB5A61" w14:textId="7A0585A2">
            <w:pPr>
              <w:ind w:left="82" w:right="97" w:firstLine="284"/>
              <w:jc w:val="both"/>
              <w:rPr>
                <w:rStyle w:val="Strong"/>
              </w:rPr>
            </w:pPr>
            <w:r w:rsidRPr="00A14AD8">
              <w:rPr>
                <w:rFonts w:eastAsia="Times New Roman" w:cs="Times New Roman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953" w:type="dxa"/>
          </w:tcPr>
          <w:p w:rsidR="00A14AD8" w:rsidP="00A14AD8" w14:paraId="0B572497" w14:textId="419FCBCA">
            <w:pPr>
              <w:spacing w:before="100" w:beforeAutospacing="1" w:after="240"/>
              <w:rPr>
                <w:rStyle w:val="Strong"/>
              </w:rPr>
            </w:pPr>
            <w:r w:rsidRPr="00A14AD8">
              <w:rPr>
                <w:rFonts w:eastAsia="SimSun" w:cs="Times New Roman"/>
                <w:szCs w:val="28"/>
                <w:lang w:eastAsia="zh-CN"/>
              </w:rPr>
              <w:t>Nav attiecināms.</w:t>
            </w:r>
          </w:p>
        </w:tc>
      </w:tr>
    </w:tbl>
    <w:p w:rsidR="00C21FFA" w:rsidP="002A633C" w14:paraId="61CA7516" w14:textId="6E727599">
      <w:pPr>
        <w:spacing w:before="120" w:after="120"/>
        <w:jc w:val="center"/>
        <w:rPr>
          <w:rStyle w:val="Strong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2404"/>
        <w:gridCol w:w="6180"/>
      </w:tblGrid>
      <w:tr w14:paraId="2B379A03" w14:textId="77777777" w:rsidTr="009B5AF2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5C7D63" w:rsidP="005A2ACB" w14:paraId="114550C0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14:paraId="41DE1FB4" w14:textId="77777777" w:rsidTr="002A633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5A2ACB" w14:paraId="0F1C2AC7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46A1C4EC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Pamatojums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7FD" w:rsidP="003D7F1F" w14:paraId="2C7C2C90" w14:textId="21396C99">
            <w:pPr>
              <w:ind w:left="208" w:right="140" w:firstLine="284"/>
              <w:jc w:val="both"/>
              <w:rPr>
                <w:rFonts w:eastAsia="SimSun" w:cs="Times New Roman"/>
                <w:szCs w:val="28"/>
                <w:lang w:eastAsia="zh-CN"/>
              </w:rPr>
            </w:pPr>
            <w:r w:rsidRPr="005C7D63">
              <w:rPr>
                <w:rFonts w:eastAsia="SimSun" w:cs="Times New Roman"/>
                <w:szCs w:val="28"/>
                <w:lang w:eastAsia="zh-CN"/>
              </w:rPr>
              <w:t>Ministru kabine</w:t>
            </w:r>
            <w:r w:rsidR="00046AC9">
              <w:rPr>
                <w:rFonts w:eastAsia="SimSun" w:cs="Times New Roman"/>
                <w:szCs w:val="28"/>
                <w:lang w:eastAsia="zh-CN"/>
              </w:rPr>
              <w:t>ta noteikumu projekts „Grozījums</w:t>
            </w:r>
            <w:r w:rsidRPr="005C7D63">
              <w:rPr>
                <w:rFonts w:eastAsia="SimSun" w:cs="Times New Roman"/>
                <w:szCs w:val="28"/>
                <w:lang w:eastAsia="zh-CN"/>
              </w:rPr>
              <w:t xml:space="preserve"> Ministru kabineta 2014.gada 25.marta noteikumos Nr.156 </w:t>
            </w:r>
            <w:r w:rsidR="00C363A4">
              <w:rPr>
                <w:rFonts w:eastAsia="SimSun" w:cs="Times New Roman"/>
                <w:szCs w:val="28"/>
                <w:lang w:eastAsia="zh-CN"/>
              </w:rPr>
              <w:t>“</w:t>
            </w:r>
            <w:r w:rsidRPr="005C7D63">
              <w:rPr>
                <w:rFonts w:eastAsia="SimSun" w:cs="Times New Roman"/>
                <w:szCs w:val="28"/>
                <w:lang w:eastAsia="zh-CN"/>
              </w:rPr>
              <w:t xml:space="preserve">Būvizstrādājumu tirgus uzraudzības kārtība”” (turpmāk – noteikumu projekts) ir izstrādāts </w:t>
            </w:r>
            <w:r w:rsidR="00C21FFA">
              <w:rPr>
                <w:rFonts w:eastAsia="SimSun" w:cs="Times New Roman"/>
                <w:szCs w:val="28"/>
                <w:lang w:eastAsia="zh-CN"/>
              </w:rPr>
              <w:t xml:space="preserve">pēc Ekonomikas ministrijas iniciatīvas. </w:t>
            </w:r>
          </w:p>
          <w:p w:rsidR="008E6B98" w:rsidRPr="005C7D63" w:rsidP="003D7F1F" w14:paraId="470C6727" w14:textId="68BCC270">
            <w:pPr>
              <w:ind w:left="208" w:right="140" w:firstLine="284"/>
              <w:jc w:val="both"/>
              <w:rPr>
                <w:rFonts w:eastAsia="SimSun" w:cs="Times New Roman"/>
                <w:szCs w:val="28"/>
                <w:lang w:eastAsia="zh-CN"/>
              </w:rPr>
            </w:pPr>
          </w:p>
        </w:tc>
      </w:tr>
      <w:tr w14:paraId="05232394" w14:textId="77777777" w:rsidTr="002A633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5A2ACB" w14:paraId="017322BF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3908B182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B22" w:rsidP="00EB6323" w14:paraId="79860F5D" w14:textId="4A536D6B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 w:rsidRPr="005C7D63">
              <w:rPr>
                <w:rFonts w:eastAsia="Times New Roman" w:cs="Times New Roman"/>
                <w:szCs w:val="28"/>
              </w:rPr>
              <w:t xml:space="preserve">Ministru kabineta 2014.gada 25.marta noteikumu Nr.156 “Būvizstrādājumu tirgus </w:t>
            </w:r>
            <w:r w:rsidRPr="005C7D63" w:rsidR="00E06B80">
              <w:rPr>
                <w:rFonts w:eastAsia="Times New Roman" w:cs="Times New Roman"/>
                <w:szCs w:val="28"/>
              </w:rPr>
              <w:t>uzraudzības kārtība”</w:t>
            </w:r>
            <w:r>
              <w:rPr>
                <w:rFonts w:eastAsia="Times New Roman" w:cs="Times New Roman"/>
                <w:szCs w:val="28"/>
              </w:rPr>
              <w:t xml:space="preserve"> (turpmāk – MK noteikumi Nr.156)</w:t>
            </w:r>
            <w:r w:rsidRPr="005C7D63">
              <w:rPr>
                <w:rFonts w:eastAsia="Times New Roman" w:cs="Times New Roman"/>
                <w:szCs w:val="28"/>
              </w:rPr>
              <w:t xml:space="preserve">  </w:t>
            </w:r>
            <w:r w:rsidRPr="00EB6323" w:rsidR="00EB6323">
              <w:rPr>
                <w:rFonts w:eastAsia="Times New Roman" w:cs="Times New Roman"/>
                <w:szCs w:val="28"/>
              </w:rPr>
              <w:t>30.</w:t>
            </w:r>
            <w:r w:rsidRPr="00EB6323" w:rsidR="00EB6323">
              <w:rPr>
                <w:rFonts w:eastAsia="Times New Roman" w:cs="Times New Roman"/>
                <w:szCs w:val="28"/>
                <w:vertAlign w:val="superscript"/>
              </w:rPr>
              <w:t>10</w:t>
            </w:r>
            <w:r w:rsidRPr="00EB6323" w:rsidR="00EB6323">
              <w:rPr>
                <w:rFonts w:eastAsia="Times New Roman" w:cs="Times New Roman"/>
                <w:szCs w:val="28"/>
              </w:rPr>
              <w:t>3.</w:t>
            </w:r>
            <w:r w:rsidR="00EB6323">
              <w:rPr>
                <w:rFonts w:eastAsia="Times New Roman" w:cs="Times New Roman"/>
                <w:szCs w:val="28"/>
              </w:rPr>
              <w:t>apakš</w:t>
            </w:r>
            <w:r w:rsidRPr="005C7D63">
              <w:rPr>
                <w:rFonts w:eastAsia="Times New Roman" w:cs="Times New Roman"/>
                <w:szCs w:val="28"/>
              </w:rPr>
              <w:t>punk</w:t>
            </w:r>
            <w:r w:rsidR="00EB6323">
              <w:rPr>
                <w:rFonts w:eastAsia="Times New Roman" w:cs="Times New Roman"/>
                <w:szCs w:val="28"/>
              </w:rPr>
              <w:t xml:space="preserve">ts nosaka ražotājam pienākumu </w:t>
            </w:r>
            <w:r w:rsidRPr="00EB6323" w:rsidR="00EB6323">
              <w:rPr>
                <w:rFonts w:eastAsia="Times New Roman" w:cs="Times New Roman"/>
                <w:szCs w:val="28"/>
              </w:rPr>
              <w:t>katrai saražotajai stiegrojuma tērauda partijai pievienot produkta tehnisko pasi, instrukciju vai cita veida dokumentu, kurā no</w:t>
            </w:r>
            <w:r w:rsidR="00EB6323">
              <w:rPr>
                <w:rFonts w:eastAsia="Times New Roman" w:cs="Times New Roman"/>
                <w:szCs w:val="28"/>
              </w:rPr>
              <w:t xml:space="preserve">rādīta vismaz šāda informācija: </w:t>
            </w:r>
          </w:p>
          <w:p w:rsidR="00184B22" w:rsidP="00EB6323" w14:paraId="4C42EF1F" w14:textId="77777777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1) </w:t>
            </w:r>
            <w:r w:rsidRPr="00EB6323" w:rsidR="00EB6323">
              <w:rPr>
                <w:rFonts w:eastAsia="Times New Roman" w:cs="Times New Roman"/>
                <w:szCs w:val="28"/>
              </w:rPr>
              <w:t xml:space="preserve">ražotāja nosaukums, reģistrētais </w:t>
            </w:r>
            <w:r w:rsidRPr="00EB6323" w:rsidR="00EB6323">
              <w:rPr>
                <w:rFonts w:eastAsia="Times New Roman" w:cs="Times New Roman"/>
                <w:szCs w:val="28"/>
              </w:rPr>
              <w:t>komercnosaukums</w:t>
            </w:r>
            <w:r w:rsidRPr="00EB6323" w:rsidR="00EB6323">
              <w:rPr>
                <w:rFonts w:eastAsia="Times New Roman" w:cs="Times New Roman"/>
                <w:szCs w:val="28"/>
              </w:rPr>
              <w:t xml:space="preserve"> vai reģistrē</w:t>
            </w:r>
            <w:r w:rsidR="00EB6323">
              <w:rPr>
                <w:rFonts w:eastAsia="Times New Roman" w:cs="Times New Roman"/>
                <w:szCs w:val="28"/>
              </w:rPr>
              <w:t xml:space="preserve">tā preču zīme un kontaktadrese; </w:t>
            </w:r>
          </w:p>
          <w:p w:rsidR="00184B22" w:rsidP="00EB6323" w14:paraId="4C21F20C" w14:textId="4600772F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2) </w:t>
            </w:r>
            <w:r w:rsidRPr="00EB6323" w:rsidR="00EB6323">
              <w:rPr>
                <w:rFonts w:eastAsia="Times New Roman" w:cs="Times New Roman"/>
                <w:szCs w:val="28"/>
              </w:rPr>
              <w:t>stiegrojuma tē</w:t>
            </w:r>
            <w:r w:rsidR="00EB6323">
              <w:rPr>
                <w:rFonts w:eastAsia="Times New Roman" w:cs="Times New Roman"/>
                <w:szCs w:val="28"/>
              </w:rPr>
              <w:t xml:space="preserve">rauda identifikācijas elements; </w:t>
            </w:r>
          </w:p>
          <w:p w:rsidR="00184B22" w:rsidP="00EB6323" w14:paraId="0451E7D2" w14:textId="7D85F581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3) </w:t>
            </w:r>
            <w:r w:rsidRPr="00EB6323" w:rsidR="00EB6323">
              <w:rPr>
                <w:rFonts w:eastAsia="Times New Roman" w:cs="Times New Roman"/>
                <w:szCs w:val="28"/>
              </w:rPr>
              <w:t>Eiropas Ekonomikas zonas dalībvalsts nacionālais standarts, kuram stiegrojuma tēr</w:t>
            </w:r>
            <w:r w:rsidR="00EB6323">
              <w:rPr>
                <w:rFonts w:eastAsia="Times New Roman" w:cs="Times New Roman"/>
                <w:szCs w:val="28"/>
              </w:rPr>
              <w:t xml:space="preserve">auds atbilst; </w:t>
            </w:r>
          </w:p>
          <w:p w:rsidR="00184B22" w:rsidP="00EB6323" w14:paraId="0761297B" w14:textId="47FA8BBA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4) </w:t>
            </w:r>
            <w:r w:rsidRPr="00EB6323" w:rsidR="00EB6323">
              <w:rPr>
                <w:rFonts w:eastAsia="Times New Roman" w:cs="Times New Roman"/>
                <w:szCs w:val="28"/>
              </w:rPr>
              <w:t xml:space="preserve"> garantētās t</w:t>
            </w:r>
            <w:r w:rsidR="00EB6323">
              <w:rPr>
                <w:rFonts w:eastAsia="Times New Roman" w:cs="Times New Roman"/>
                <w:szCs w:val="28"/>
              </w:rPr>
              <w:t xml:space="preserve">ehniskās un fizikālās īpašības; </w:t>
            </w:r>
          </w:p>
          <w:p w:rsidR="00B21247" w:rsidP="00EB6323" w14:paraId="57BFC894" w14:textId="77777777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5) </w:t>
            </w:r>
            <w:r w:rsidR="00EB6323">
              <w:rPr>
                <w:rFonts w:eastAsia="Times New Roman" w:cs="Times New Roman"/>
                <w:szCs w:val="28"/>
              </w:rPr>
              <w:t>paredzētais izmantojums.</w:t>
            </w:r>
          </w:p>
          <w:p w:rsidR="001C3951" w:rsidP="00EB6323" w14:paraId="04CE43A1" w14:textId="36239A37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Vienlaikus</w:t>
            </w:r>
            <w:r w:rsidR="00EB6323">
              <w:rPr>
                <w:rFonts w:eastAsia="Times New Roman" w:cs="Times New Roman"/>
                <w:szCs w:val="28"/>
              </w:rPr>
              <w:t xml:space="preserve"> saskaņā ar </w:t>
            </w:r>
            <w:r w:rsidR="00184B22">
              <w:rPr>
                <w:rFonts w:eastAsia="Times New Roman" w:cs="Times New Roman"/>
                <w:szCs w:val="28"/>
              </w:rPr>
              <w:t xml:space="preserve">MK </w:t>
            </w:r>
            <w:r w:rsidR="00EB6323">
              <w:rPr>
                <w:rFonts w:eastAsia="Times New Roman" w:cs="Times New Roman"/>
                <w:szCs w:val="28"/>
              </w:rPr>
              <w:t>noteikumu</w:t>
            </w:r>
            <w:r w:rsidR="00184B22">
              <w:rPr>
                <w:rFonts w:eastAsia="Times New Roman" w:cs="Times New Roman"/>
                <w:szCs w:val="28"/>
              </w:rPr>
              <w:t xml:space="preserve"> Nr.156</w:t>
            </w:r>
            <w:r w:rsidR="00EB6323">
              <w:rPr>
                <w:rFonts w:eastAsia="Times New Roman" w:cs="Times New Roman"/>
                <w:szCs w:val="28"/>
              </w:rPr>
              <w:t xml:space="preserve"> </w:t>
            </w:r>
            <w:r w:rsidRPr="00EB6323" w:rsidR="00EB6323">
              <w:rPr>
                <w:rFonts w:eastAsia="Times New Roman" w:cs="Times New Roman"/>
                <w:szCs w:val="28"/>
              </w:rPr>
              <w:t>30.</w:t>
            </w:r>
            <w:r w:rsidRPr="00EB6323" w:rsidR="00EB6323">
              <w:rPr>
                <w:rFonts w:eastAsia="Times New Roman" w:cs="Times New Roman"/>
                <w:szCs w:val="28"/>
                <w:vertAlign w:val="superscript"/>
              </w:rPr>
              <w:t>10</w:t>
            </w:r>
            <w:r w:rsidRPr="00EB6323" w:rsidR="00EB6323">
              <w:rPr>
                <w:rFonts w:eastAsia="Times New Roman" w:cs="Times New Roman"/>
                <w:szCs w:val="28"/>
              </w:rPr>
              <w:t>4.</w:t>
            </w:r>
            <w:r w:rsidR="00EB6323">
              <w:rPr>
                <w:rFonts w:eastAsia="Times New Roman" w:cs="Times New Roman"/>
                <w:szCs w:val="28"/>
              </w:rPr>
              <w:t xml:space="preserve">1.apakšpunktu ražotājam ir pienākums </w:t>
            </w:r>
            <w:r w:rsidRPr="00EB6323" w:rsidR="00EB6323">
              <w:rPr>
                <w:rFonts w:eastAsia="Times New Roman" w:cs="Times New Roman"/>
                <w:szCs w:val="28"/>
              </w:rPr>
              <w:t>katrai saražotajai stie</w:t>
            </w:r>
            <w:bookmarkStart w:id="0" w:name="_GoBack"/>
            <w:bookmarkEnd w:id="0"/>
            <w:r w:rsidRPr="00EB6323" w:rsidR="00EB6323">
              <w:rPr>
                <w:rFonts w:eastAsia="Times New Roman" w:cs="Times New Roman"/>
                <w:szCs w:val="28"/>
              </w:rPr>
              <w:t xml:space="preserve">grojuma tērauda partijai </w:t>
            </w:r>
            <w:r w:rsidRPr="00EB6323" w:rsidR="00EB6323">
              <w:rPr>
                <w:rFonts w:eastAsia="Times New Roman" w:cs="Times New Roman"/>
                <w:szCs w:val="28"/>
              </w:rPr>
              <w:t>pievienot</w:t>
            </w:r>
            <w:r w:rsidR="00EB6323">
              <w:rPr>
                <w:rFonts w:eastAsia="Times New Roman" w:cs="Times New Roman"/>
                <w:szCs w:val="28"/>
              </w:rPr>
              <w:t xml:space="preserve">  inspicēšanas sertifikātu Nr.</w:t>
            </w:r>
            <w:r w:rsidRPr="00EB6323" w:rsidR="00EB6323">
              <w:rPr>
                <w:rFonts w:eastAsia="Times New Roman" w:cs="Times New Roman"/>
                <w:szCs w:val="28"/>
              </w:rPr>
              <w:t>3.1. atbilstoši standartam LVS EN 10204:2006 L "Metālu izstrādājum</w:t>
            </w:r>
            <w:r w:rsidR="00EB6323">
              <w:rPr>
                <w:rFonts w:eastAsia="Times New Roman" w:cs="Times New Roman"/>
                <w:szCs w:val="28"/>
              </w:rPr>
              <w:t>i. Inspicēšanas dokumentu tipi".</w:t>
            </w:r>
          </w:p>
          <w:p w:rsidR="003F7B65" w:rsidP="00EB6323" w14:paraId="789DADF0" w14:textId="122514C9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S</w:t>
            </w:r>
            <w:r w:rsidRPr="003F7B65">
              <w:rPr>
                <w:rFonts w:eastAsia="Times New Roman" w:cs="Times New Roman"/>
                <w:szCs w:val="28"/>
              </w:rPr>
              <w:t>aska</w:t>
            </w:r>
            <w:r>
              <w:rPr>
                <w:rFonts w:eastAsia="Times New Roman" w:cs="Times New Roman"/>
                <w:szCs w:val="28"/>
              </w:rPr>
              <w:t xml:space="preserve">ņā ar </w:t>
            </w:r>
            <w:r>
              <w:rPr>
                <w:rFonts w:eastAsia="Times New Roman" w:cs="Times New Roman"/>
                <w:szCs w:val="28"/>
              </w:rPr>
              <w:t xml:space="preserve">standarta </w:t>
            </w:r>
            <w:r>
              <w:rPr>
                <w:rFonts w:eastAsia="Times New Roman" w:cs="Times New Roman"/>
                <w:szCs w:val="28"/>
              </w:rPr>
              <w:t>LVS EN 10204:2006 L  4.1.</w:t>
            </w:r>
            <w:r w:rsidRPr="003F7B65">
              <w:rPr>
                <w:rFonts w:eastAsia="Times New Roman" w:cs="Times New Roman"/>
                <w:szCs w:val="28"/>
              </w:rPr>
              <w:t xml:space="preserve">apakšpunkta prasībām </w:t>
            </w:r>
            <w:r>
              <w:rPr>
                <w:rFonts w:eastAsia="Times New Roman" w:cs="Times New Roman"/>
                <w:szCs w:val="28"/>
              </w:rPr>
              <w:t>i</w:t>
            </w:r>
            <w:r w:rsidRPr="003F7B65">
              <w:rPr>
                <w:rFonts w:eastAsia="Times New Roman" w:cs="Times New Roman"/>
                <w:szCs w:val="28"/>
              </w:rPr>
              <w:t>nspicēšanas sertifikātu Nr.3.1.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F7B65">
              <w:rPr>
                <w:rFonts w:eastAsia="Times New Roman" w:cs="Times New Roman"/>
                <w:szCs w:val="28"/>
              </w:rPr>
              <w:t>izsniedz ražotājs, un iekļauj tajā informāciju par pasūtījuma prasībām un testēšanas rezultātiem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3F7B65" w:rsidP="00EB6323" w14:paraId="6F190878" w14:textId="76B99903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I</w:t>
            </w:r>
            <w:r w:rsidRPr="003F7B65">
              <w:rPr>
                <w:rFonts w:eastAsia="Times New Roman" w:cs="Times New Roman"/>
                <w:szCs w:val="28"/>
              </w:rPr>
              <w:t>nspicēšanas sertifikātā Nr. 3.1. ti</w:t>
            </w:r>
            <w:r w:rsidR="00D169E1">
              <w:rPr>
                <w:rFonts w:eastAsia="Times New Roman" w:cs="Times New Roman"/>
                <w:szCs w:val="28"/>
              </w:rPr>
              <w:t xml:space="preserve">ek norādīta </w:t>
            </w:r>
            <w:r>
              <w:rPr>
                <w:rFonts w:eastAsia="Times New Roman" w:cs="Times New Roman"/>
                <w:szCs w:val="28"/>
              </w:rPr>
              <w:t xml:space="preserve"> visa </w:t>
            </w:r>
            <w:r w:rsidR="00184B22">
              <w:rPr>
                <w:rFonts w:eastAsia="Times New Roman" w:cs="Times New Roman"/>
                <w:szCs w:val="28"/>
              </w:rPr>
              <w:t>MK</w:t>
            </w:r>
            <w:r w:rsidRPr="00D169E1" w:rsidR="00D169E1">
              <w:rPr>
                <w:rFonts w:eastAsia="Times New Roman" w:cs="Times New Roman"/>
                <w:szCs w:val="28"/>
              </w:rPr>
              <w:t xml:space="preserve"> noteikumu Nr.156 “Būvizstrādājumu tirgus uzraudzības kārtība”</w:t>
            </w:r>
            <w:r w:rsidR="00D169E1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30.</w:t>
            </w:r>
            <w:r w:rsidRPr="003F7B65">
              <w:rPr>
                <w:rFonts w:eastAsia="Times New Roman" w:cs="Times New Roman"/>
                <w:szCs w:val="28"/>
                <w:vertAlign w:val="superscript"/>
              </w:rPr>
              <w:t>10</w:t>
            </w:r>
            <w:r>
              <w:rPr>
                <w:rFonts w:eastAsia="Times New Roman" w:cs="Times New Roman"/>
                <w:szCs w:val="28"/>
              </w:rPr>
              <w:t>3</w:t>
            </w:r>
            <w:r w:rsidR="001C7137">
              <w:rPr>
                <w:rFonts w:eastAsia="Times New Roman" w:cs="Times New Roman"/>
                <w:szCs w:val="28"/>
              </w:rPr>
              <w:t>.</w:t>
            </w:r>
            <w:r w:rsidRPr="003F7B65">
              <w:rPr>
                <w:rFonts w:eastAsia="Times New Roman" w:cs="Times New Roman"/>
                <w:szCs w:val="28"/>
              </w:rPr>
              <w:t>apakšpunktā pieprasītā informācija, izņemot paredzēto izmantojumu</w:t>
            </w:r>
            <w:r w:rsidR="00D169E1">
              <w:rPr>
                <w:rFonts w:eastAsia="Times New Roman" w:cs="Times New Roman"/>
                <w:szCs w:val="28"/>
              </w:rPr>
              <w:t>. Inspicēšanas sertifikātā</w:t>
            </w:r>
            <w:r w:rsidRPr="003F7B65">
              <w:rPr>
                <w:rFonts w:eastAsia="Times New Roman" w:cs="Times New Roman"/>
                <w:szCs w:val="28"/>
              </w:rPr>
              <w:t xml:space="preserve"> N</w:t>
            </w:r>
            <w:r w:rsidR="00D169E1">
              <w:rPr>
                <w:rFonts w:eastAsia="Times New Roman" w:cs="Times New Roman"/>
                <w:szCs w:val="28"/>
              </w:rPr>
              <w:t xml:space="preserve">r.3.1 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F7B65">
              <w:rPr>
                <w:rFonts w:eastAsia="Times New Roman" w:cs="Times New Roman"/>
                <w:szCs w:val="28"/>
              </w:rPr>
              <w:t>tiek iekļauta informācija par ražotāju, par izstrādājuma identifikāciju, tā fizikālām un tehniskām īpašībām, kas novērtētas saskaņā ar konkrētiem standartiem.</w:t>
            </w:r>
          </w:p>
          <w:p w:rsidR="003F7B65" w:rsidP="00EB6323" w14:paraId="703738CE" w14:textId="118EC99A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Ņemot vērā,</w:t>
            </w:r>
            <w:r>
              <w:rPr>
                <w:rFonts w:eastAsia="Times New Roman" w:cs="Times New Roman"/>
                <w:szCs w:val="28"/>
              </w:rPr>
              <w:t xml:space="preserve"> kā inspicēšanas sertifikātā Nr.3.</w:t>
            </w:r>
            <w:r w:rsidR="0020005E">
              <w:rPr>
                <w:rFonts w:eastAsia="Times New Roman" w:cs="Times New Roman"/>
                <w:szCs w:val="28"/>
              </w:rPr>
              <w:t>1. ir iekļauta visa būtiskā</w:t>
            </w:r>
            <w:r>
              <w:rPr>
                <w:rFonts w:eastAsia="Times New Roman" w:cs="Times New Roman"/>
                <w:szCs w:val="28"/>
              </w:rPr>
              <w:t xml:space="preserve"> informācija</w:t>
            </w:r>
            <w:r w:rsidR="00D169E1">
              <w:rPr>
                <w:rFonts w:eastAsia="Times New Roman" w:cs="Times New Roman"/>
                <w:szCs w:val="28"/>
              </w:rPr>
              <w:t xml:space="preserve">, </w:t>
            </w:r>
            <w:r w:rsidR="00010940">
              <w:rPr>
                <w:rFonts w:eastAsia="Times New Roman" w:cs="Times New Roman"/>
                <w:szCs w:val="28"/>
              </w:rPr>
              <w:t>MK</w:t>
            </w:r>
            <w:r w:rsidRPr="00D169E1" w:rsidR="00D169E1">
              <w:rPr>
                <w:rFonts w:eastAsia="Times New Roman" w:cs="Times New Roman"/>
                <w:szCs w:val="28"/>
              </w:rPr>
              <w:t xml:space="preserve"> noteikumu Nr.156  30.</w:t>
            </w:r>
            <w:r w:rsidRPr="00D169E1" w:rsidR="00D169E1">
              <w:rPr>
                <w:rFonts w:eastAsia="Times New Roman" w:cs="Times New Roman"/>
                <w:szCs w:val="28"/>
                <w:vertAlign w:val="superscript"/>
              </w:rPr>
              <w:t>10</w:t>
            </w:r>
            <w:r>
              <w:rPr>
                <w:rFonts w:eastAsia="Times New Roman" w:cs="Times New Roman"/>
                <w:szCs w:val="28"/>
              </w:rPr>
              <w:t>3.</w:t>
            </w:r>
            <w:r w:rsidRPr="00D169E1" w:rsidR="00D169E1">
              <w:rPr>
                <w:rFonts w:eastAsia="Times New Roman" w:cs="Times New Roman"/>
                <w:szCs w:val="28"/>
              </w:rPr>
              <w:t>apakšpun</w:t>
            </w:r>
            <w:r w:rsidR="00D169E1">
              <w:rPr>
                <w:rFonts w:eastAsia="Times New Roman" w:cs="Times New Roman"/>
                <w:szCs w:val="28"/>
              </w:rPr>
              <w:t>kts</w:t>
            </w:r>
            <w:r w:rsidRPr="00D169E1" w:rsidR="00D169E1">
              <w:rPr>
                <w:rFonts w:eastAsia="Times New Roman" w:cs="Times New Roman"/>
                <w:szCs w:val="28"/>
              </w:rPr>
              <w:t xml:space="preserve"> </w:t>
            </w:r>
            <w:r w:rsidR="00D169E1">
              <w:rPr>
                <w:rFonts w:eastAsia="Times New Roman" w:cs="Times New Roman"/>
                <w:szCs w:val="28"/>
              </w:rPr>
              <w:t>svītrojams.</w:t>
            </w:r>
          </w:p>
          <w:p w:rsidR="00181092" w:rsidRPr="00321A9A" w:rsidP="00D169E1" w14:paraId="5E5BDC66" w14:textId="0228CEC7">
            <w:pPr>
              <w:ind w:right="196"/>
              <w:jc w:val="both"/>
              <w:rPr>
                <w:rFonts w:eastAsia="SimSun" w:cs="Times New Roman"/>
                <w:color w:val="FF0000"/>
                <w:szCs w:val="28"/>
                <w:lang w:eastAsia="zh-CN"/>
              </w:rPr>
            </w:pPr>
            <w:r w:rsidRPr="00321A9A">
              <w:rPr>
                <w:rFonts w:eastAsia="SimSun" w:cs="Times New Roman"/>
                <w:szCs w:val="28"/>
                <w:lang w:eastAsia="zh-CN"/>
              </w:rPr>
              <w:t xml:space="preserve"> </w:t>
            </w:r>
          </w:p>
        </w:tc>
      </w:tr>
      <w:tr w14:paraId="5979CC7F" w14:textId="77777777" w:rsidTr="002A633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5A2ACB" w14:paraId="3018952C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3A1F7980" w14:textId="185E02C8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1C3951">
              <w:rPr>
                <w:rFonts w:eastAsia="Times New Roman" w:cs="Times New Roman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6484E609" w14:textId="77777777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Ekonomikas</w:t>
            </w:r>
            <w:r w:rsidRPr="005C7D63" w:rsidR="000B4C1D">
              <w:rPr>
                <w:rFonts w:eastAsia="Times New Roman" w:cs="Times New Roman"/>
                <w:szCs w:val="28"/>
                <w:lang w:eastAsia="lv-LV"/>
              </w:rPr>
              <w:t xml:space="preserve"> ministrija, </w:t>
            </w:r>
            <w:r w:rsidRPr="005C7D63" w:rsidR="004E4BBF">
              <w:rPr>
                <w:rFonts w:eastAsia="Times New Roman" w:cs="Times New Roman"/>
                <w:szCs w:val="28"/>
                <w:lang w:eastAsia="lv-LV"/>
              </w:rPr>
              <w:t>Patērētāju tiesību aizsardzības centrs.</w:t>
            </w:r>
          </w:p>
        </w:tc>
      </w:tr>
      <w:tr w14:paraId="6A6D1AA4" w14:textId="77777777" w:rsidTr="002A633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5A2ACB" w14:paraId="30A70D30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13B1B73E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23CF7FF8" w14:textId="77777777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:rsidR="005A2ACB" w:rsidRPr="005C7D63" w:rsidP="00EA086E" w14:paraId="76A405B4" w14:textId="77777777">
      <w:pPr>
        <w:rPr>
          <w:rFonts w:eastAsia="Times New Roman" w:cs="Times New Roman"/>
          <w:szCs w:val="28"/>
          <w:lang w:eastAsia="lv-LV"/>
        </w:rPr>
      </w:pPr>
      <w:r w:rsidRPr="005C7D63">
        <w:rPr>
          <w:rFonts w:eastAsia="Times New Roman" w:cs="Times New Roman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2"/>
        <w:gridCol w:w="2800"/>
        <w:gridCol w:w="5763"/>
      </w:tblGrid>
      <w:tr w14:paraId="5ED35516" w14:textId="77777777" w:rsidTr="005A2AC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5C7D63" w:rsidP="005A2ACB" w14:paraId="0D7BBB76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73010FDC" w14:textId="77777777" w:rsidTr="005A2AC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6C74282C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3F361180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 xml:space="preserve">Sabiedrības </w:t>
            </w:r>
            <w:r w:rsidRPr="005C7D63">
              <w:rPr>
                <w:rFonts w:eastAsia="Times New Roman" w:cs="Times New Roman"/>
                <w:szCs w:val="28"/>
                <w:lang w:eastAsia="lv-LV"/>
              </w:rPr>
              <w:t>mērķgrupas</w:t>
            </w:r>
            <w:r w:rsidRPr="005C7D63">
              <w:rPr>
                <w:rFonts w:eastAsia="Times New Roman" w:cs="Times New Roman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Pr="005C7D63" w:rsidP="003B2C2B" w14:paraId="184A3C89" w14:textId="3C444E15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cs="Times New Roman"/>
                <w:iCs/>
                <w:szCs w:val="28"/>
              </w:rPr>
              <w:t xml:space="preserve">Noteikumu projekta tiesiskais regulējums attiecas uz </w:t>
            </w:r>
            <w:r w:rsidR="008E6B98">
              <w:rPr>
                <w:rFonts w:cs="Times New Roman"/>
                <w:iCs/>
                <w:szCs w:val="28"/>
              </w:rPr>
              <w:t>stiegrojuma tērauda</w:t>
            </w:r>
            <w:r w:rsidRPr="005C7D63">
              <w:rPr>
                <w:rFonts w:cs="Times New Roman"/>
                <w:iCs/>
                <w:szCs w:val="28"/>
              </w:rPr>
              <w:t xml:space="preserve"> ražotājiem, importētājiem un izplatītājiem, kas piedāvā būvizstrādājumus Latvijas tirgū.</w:t>
            </w:r>
          </w:p>
        </w:tc>
      </w:tr>
      <w:tr w14:paraId="45FCBB75" w14:textId="77777777" w:rsidTr="005A2AC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0ACA5EB1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109F51D8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A60" w:rsidRPr="005C7D63" w:rsidP="003B2C2B" w14:paraId="4B137F05" w14:textId="288277E6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iCs/>
                <w:szCs w:val="28"/>
                <w:lang w:eastAsia="lv-LV"/>
              </w:rPr>
              <w:t xml:space="preserve">Ar grozījumiem tiks </w:t>
            </w:r>
            <w:r w:rsidR="008E6B98">
              <w:rPr>
                <w:rFonts w:eastAsia="Times New Roman" w:cs="Times New Roman"/>
                <w:iCs/>
                <w:szCs w:val="28"/>
                <w:lang w:eastAsia="lv-LV"/>
              </w:rPr>
              <w:t>samazināts</w:t>
            </w:r>
            <w:r w:rsidRPr="005C7D63">
              <w:rPr>
                <w:rFonts w:eastAsia="Times New Roman" w:cs="Times New Roman"/>
                <w:iCs/>
                <w:szCs w:val="28"/>
                <w:lang w:eastAsia="lv-LV"/>
              </w:rPr>
              <w:t xml:space="preserve"> birokrātiskais slogs, vienlaicīgi saglabājot kvalitātes un drošības garantijas.</w:t>
            </w:r>
          </w:p>
        </w:tc>
      </w:tr>
      <w:tr w14:paraId="328475F4" w14:textId="77777777" w:rsidTr="005A2AC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0BB04CC7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057E1689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513327A3" w14:textId="77777777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Projekts šo jomu neskar.</w:t>
            </w:r>
          </w:p>
        </w:tc>
      </w:tr>
      <w:tr w14:paraId="3EEEF073" w14:textId="77777777" w:rsidTr="005A2AC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951" w:rsidRPr="005C7D63" w:rsidP="003B2C2B" w14:paraId="4F936262" w14:textId="7F6DDDD3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951" w:rsidRPr="005C7D63" w:rsidP="003B2C2B" w14:paraId="643234AC" w14:textId="10F414D1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1C3951">
              <w:rPr>
                <w:rFonts w:eastAsia="Times New Roman" w:cs="Times New Roman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951" w:rsidRPr="005C7D63" w:rsidP="003B2C2B" w14:paraId="751B99FA" w14:textId="6D6FC72C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Projekts šo jomu neskar.</w:t>
            </w:r>
          </w:p>
        </w:tc>
      </w:tr>
      <w:tr w14:paraId="19C4CD51" w14:textId="77777777" w:rsidTr="005A2AC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1EADCE09" w14:textId="181BACBE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</w:t>
            </w:r>
            <w:r w:rsidRPr="005C7D63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0CC5F22F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20E8B06B" w14:textId="77777777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:rsidR="005A2ACB" w:rsidP="00EA086E" w14:paraId="2E056B1A" w14:textId="6247288D">
      <w:pPr>
        <w:rPr>
          <w:rFonts w:eastAsia="Times New Roman" w:cs="Times New Roman"/>
          <w:szCs w:val="28"/>
          <w:lang w:eastAsia="lv-LV"/>
        </w:rPr>
      </w:pPr>
      <w:r w:rsidRPr="005C7D63">
        <w:rPr>
          <w:rFonts w:eastAsia="Times New Roman" w:cs="Times New Roman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30DE04C0" w14:textId="77777777" w:rsidTr="009F7942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C79" w:rsidRPr="005C7D63" w:rsidP="00641C79" w14:paraId="1646B016" w14:textId="1C6628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/>
                <w:bCs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14:paraId="5EE7850F" w14:textId="77777777" w:rsidTr="009F7942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C79" w:rsidRPr="00641C79" w:rsidP="009F7942" w14:paraId="23285F94" w14:textId="78ADA8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Cs/>
                <w:szCs w:val="28"/>
                <w:lang w:eastAsia="lv-LV"/>
              </w:rPr>
              <w:t>Projekts šo jomu neskar</w:t>
            </w:r>
          </w:p>
        </w:tc>
      </w:tr>
    </w:tbl>
    <w:p w:rsidR="00321A9A" w:rsidP="00EA086E" w14:paraId="5EEB9B30" w14:textId="6E18038F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00D6412E" w14:textId="77777777" w:rsidTr="009F7942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C79" w:rsidRPr="005C7D63" w:rsidP="009F7942" w14:paraId="2C743306" w14:textId="395D42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/>
                <w:bCs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14:paraId="2CC7BD55" w14:textId="77777777" w:rsidTr="009F7942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C79" w:rsidRPr="00641C79" w:rsidP="009F7942" w14:paraId="368F2694" w14:textId="604B55F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Cs/>
                <w:szCs w:val="28"/>
                <w:lang w:eastAsia="lv-LV"/>
              </w:rPr>
              <w:t>Projekts šo jomu neskar</w:t>
            </w:r>
          </w:p>
        </w:tc>
      </w:tr>
    </w:tbl>
    <w:p w:rsidR="00641C79" w:rsidP="00EA086E" w14:paraId="2A4D70DA" w14:textId="4982442C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512A2609" w14:textId="77777777" w:rsidTr="009F7942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C79" w:rsidRPr="005C7D63" w:rsidP="009F7942" w14:paraId="117F0687" w14:textId="01D928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/>
                <w:bCs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14:paraId="3C1CAA6A" w14:textId="77777777" w:rsidTr="009F7942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C79" w:rsidRPr="00641C79" w:rsidP="009F7942" w14:paraId="5901FB90" w14:textId="3ADF09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Cs/>
                <w:szCs w:val="28"/>
                <w:lang w:eastAsia="lv-LV"/>
              </w:rPr>
              <w:t>Projekts šo jomu neskar</w:t>
            </w:r>
          </w:p>
        </w:tc>
      </w:tr>
    </w:tbl>
    <w:p w:rsidR="00641C79" w:rsidP="00EA086E" w14:paraId="257E1AD0" w14:textId="77777777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3"/>
        <w:gridCol w:w="2800"/>
        <w:gridCol w:w="5762"/>
      </w:tblGrid>
      <w:tr w14:paraId="622EFA8E" w14:textId="77777777" w:rsidTr="005B186D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86" w:rsidRPr="005C7D63" w:rsidP="005B186D" w14:paraId="20EA93A6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VI. Sabiedrības līdzdalība un komunikācijas aktivitātes</w:t>
            </w:r>
          </w:p>
        </w:tc>
      </w:tr>
      <w:tr w14:paraId="18B2FDE0" w14:textId="77777777" w:rsidTr="004A033E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3F4EFCB7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5441DE3B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P="005B186D" w14:paraId="4933A46C" w14:textId="39706E6C">
            <w:pPr>
              <w:ind w:left="208" w:right="140" w:firstLine="284"/>
              <w:jc w:val="both"/>
              <w:rPr>
                <w:rFonts w:cs="Times New Roman"/>
                <w:iCs/>
                <w:szCs w:val="28"/>
              </w:rPr>
            </w:pPr>
            <w:r w:rsidRPr="005C7D63">
              <w:rPr>
                <w:rFonts w:cs="Times New Roman"/>
                <w:iCs/>
                <w:szCs w:val="28"/>
              </w:rPr>
              <w:t xml:space="preserve">Ekonomikas ministrija </w:t>
            </w:r>
            <w:r w:rsidR="00792AE6">
              <w:rPr>
                <w:rFonts w:cs="Times New Roman"/>
                <w:iCs/>
                <w:szCs w:val="28"/>
              </w:rPr>
              <w:t>informēja</w:t>
            </w:r>
            <w:r w:rsidR="0095716E">
              <w:rPr>
                <w:rFonts w:cs="Times New Roman"/>
                <w:iCs/>
                <w:szCs w:val="28"/>
              </w:rPr>
              <w:t xml:space="preserve"> </w:t>
            </w:r>
            <w:r w:rsidR="00792AE6">
              <w:rPr>
                <w:rFonts w:cs="Times New Roman"/>
                <w:iCs/>
                <w:szCs w:val="28"/>
              </w:rPr>
              <w:t>būvniecības nozares pārstāvjus par saņemto</w:t>
            </w:r>
            <w:r w:rsidR="0095716E">
              <w:rPr>
                <w:rFonts w:cs="Times New Roman"/>
                <w:iCs/>
                <w:szCs w:val="28"/>
              </w:rPr>
              <w:t xml:space="preserve"> priekšlikumu noteikumos s</w:t>
            </w:r>
            <w:r w:rsidR="00792AE6">
              <w:rPr>
                <w:rFonts w:cs="Times New Roman"/>
                <w:iCs/>
                <w:szCs w:val="28"/>
              </w:rPr>
              <w:t>vītrot dublējošo tiesību normu.</w:t>
            </w:r>
          </w:p>
          <w:p w:rsidR="008E6B98" w:rsidRPr="005C7D63" w:rsidP="005B186D" w14:paraId="7DF770E5" w14:textId="677D33A8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14:paraId="6FA08ACF" w14:textId="77777777" w:rsidTr="004A033E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25C23772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26D5C551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E6" w:rsidP="005B186D" w14:paraId="5C84C4A0" w14:textId="6ECD505C">
            <w:pPr>
              <w:ind w:left="208" w:right="140" w:firstLine="284"/>
              <w:jc w:val="both"/>
              <w:rPr>
                <w:rFonts w:eastAsia="Times New Roman" w:cs="Times New Roman"/>
                <w:iCs/>
                <w:szCs w:val="28"/>
                <w:lang w:eastAsia="lv-LV"/>
              </w:rPr>
            </w:pPr>
            <w:r>
              <w:rPr>
                <w:rFonts w:eastAsia="Times New Roman" w:cs="Times New Roman"/>
                <w:iCs/>
                <w:szCs w:val="28"/>
                <w:lang w:eastAsia="lv-LV"/>
              </w:rPr>
              <w:t xml:space="preserve">Noteikumu izstrādes procesā notika konsultācijas ar </w:t>
            </w:r>
            <w:r w:rsidRPr="00792AE6">
              <w:rPr>
                <w:rFonts w:eastAsia="Times New Roman" w:cs="Times New Roman"/>
                <w:iCs/>
                <w:szCs w:val="28"/>
                <w:lang w:eastAsia="lv-LV"/>
              </w:rPr>
              <w:t>būvniecī</w:t>
            </w:r>
            <w:r>
              <w:rPr>
                <w:rFonts w:eastAsia="Times New Roman" w:cs="Times New Roman"/>
                <w:iCs/>
                <w:szCs w:val="28"/>
                <w:lang w:eastAsia="lv-LV"/>
              </w:rPr>
              <w:t xml:space="preserve">bas nozares pārstāvjiem, </w:t>
            </w:r>
            <w:r w:rsidRPr="00792AE6">
              <w:rPr>
                <w:rFonts w:eastAsia="Times New Roman" w:cs="Times New Roman"/>
                <w:iCs/>
                <w:szCs w:val="28"/>
                <w:lang w:eastAsia="lv-LV"/>
              </w:rPr>
              <w:t>Patērē</w:t>
            </w:r>
            <w:r>
              <w:rPr>
                <w:rFonts w:eastAsia="Times New Roman" w:cs="Times New Roman"/>
                <w:iCs/>
                <w:szCs w:val="28"/>
                <w:lang w:eastAsia="lv-LV"/>
              </w:rPr>
              <w:t xml:space="preserve">tāju tiesību aizsardzības centru un </w:t>
            </w:r>
            <w:r w:rsidRPr="005C7D63">
              <w:rPr>
                <w:rFonts w:cs="Times New Roman"/>
                <w:iCs/>
                <w:szCs w:val="28"/>
              </w:rPr>
              <w:t>B</w:t>
            </w:r>
            <w:r>
              <w:rPr>
                <w:rFonts w:cs="Times New Roman"/>
                <w:iCs/>
                <w:szCs w:val="28"/>
              </w:rPr>
              <w:t>ūvmateriālu ražotāju asociāciju.</w:t>
            </w:r>
          </w:p>
          <w:p w:rsidR="00B37986" w:rsidRPr="005C7D63" w:rsidP="00792AE6" w14:paraId="71FF710A" w14:textId="702CAEC3">
            <w:pPr>
              <w:ind w:right="140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14:paraId="2C23F635" w14:textId="77777777" w:rsidTr="004A033E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7CFA22E7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2319F3ED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P="005B186D" w14:paraId="07C0BB7C" w14:textId="1253DAD3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Sabiedrības</w:t>
            </w:r>
            <w:r w:rsidR="002D5DC6">
              <w:rPr>
                <w:rFonts w:eastAsia="Times New Roman" w:cs="Times New Roman"/>
                <w:szCs w:val="28"/>
                <w:lang w:eastAsia="lv-LV"/>
              </w:rPr>
              <w:t xml:space="preserve"> pārstāvji </w:t>
            </w:r>
            <w:r>
              <w:rPr>
                <w:rFonts w:eastAsia="Times New Roman" w:cs="Times New Roman"/>
                <w:szCs w:val="28"/>
                <w:lang w:eastAsia="lv-LV"/>
              </w:rPr>
              <w:t>atbalsta izstrādāto n</w:t>
            </w:r>
            <w:r w:rsidR="004A033E">
              <w:rPr>
                <w:rFonts w:eastAsia="Times New Roman" w:cs="Times New Roman"/>
                <w:szCs w:val="28"/>
                <w:lang w:eastAsia="lv-LV"/>
              </w:rPr>
              <w:t>oteikumu projekt</w:t>
            </w:r>
            <w:r>
              <w:rPr>
                <w:rFonts w:eastAsia="Times New Roman" w:cs="Times New Roman"/>
                <w:szCs w:val="28"/>
                <w:lang w:eastAsia="lv-LV"/>
              </w:rPr>
              <w:t>u.</w:t>
            </w:r>
          </w:p>
          <w:p w:rsidR="008E6B98" w:rsidRPr="005C7D63" w:rsidP="005B186D" w14:paraId="35AF9640" w14:textId="153AB1B9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14:paraId="2AECAD88" w14:textId="77777777" w:rsidTr="004A033E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7AA92ABD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46D98C8C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22F1A250" w14:textId="77777777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:rsidR="00B37986" w:rsidRPr="005C7D63" w:rsidP="00EA086E" w14:paraId="54CA0569" w14:textId="77777777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"/>
        <w:gridCol w:w="4255"/>
        <w:gridCol w:w="4320"/>
      </w:tblGrid>
      <w:tr w14:paraId="24FC0EFD" w14:textId="77777777" w:rsidTr="00B26993">
        <w:tblPrEx>
          <w:tblW w:w="5000" w:type="pct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5C7D63" w:rsidP="005A2ACB" w14:paraId="653E602A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14:paraId="2AB373B0" w14:textId="77777777" w:rsidTr="00B26993">
        <w:tblPrEx>
          <w:tblW w:w="5000" w:type="pct"/>
          <w:jc w:val="center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0"/>
          <w:tblCellSpacing w:w="15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74D7D0AE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166D9C13" w14:textId="77777777">
            <w:pPr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CB1EF6" w14:paraId="060937EF" w14:textId="77777777">
            <w:pPr>
              <w:ind w:left="138" w:right="140" w:firstLine="142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cs="Times New Roman"/>
                <w:iCs/>
                <w:szCs w:val="28"/>
              </w:rPr>
              <w:t>Patērētāju</w:t>
            </w:r>
            <w:r w:rsidRPr="005C7D63" w:rsidR="00376DAF">
              <w:rPr>
                <w:rFonts w:cs="Times New Roman"/>
                <w:iCs/>
                <w:szCs w:val="28"/>
              </w:rPr>
              <w:t xml:space="preserve"> tiesību aizsardzības centrs</w:t>
            </w:r>
            <w:r w:rsidRPr="005C7D63" w:rsidR="002A42FF">
              <w:rPr>
                <w:rFonts w:cs="Times New Roman"/>
                <w:iCs/>
                <w:szCs w:val="28"/>
              </w:rPr>
              <w:t>.</w:t>
            </w:r>
          </w:p>
        </w:tc>
      </w:tr>
      <w:tr w14:paraId="7470D8CA" w14:textId="77777777" w:rsidTr="00B26993">
        <w:tblPrEx>
          <w:tblW w:w="5000" w:type="pct"/>
          <w:jc w:val="center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  <w:tblCellSpacing w:w="15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4169F2B1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18903C48" w14:textId="77777777">
            <w:pPr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:rsidR="005A2ACB" w:rsidRPr="005C7D63" w:rsidP="002A42FF" w14:paraId="706550AC" w14:textId="77777777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B26993" w14:paraId="79D4D15D" w14:textId="77777777">
            <w:pPr>
              <w:ind w:left="138" w:right="140" w:firstLine="142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Jauna institūcija netiek veidota, kā arī netiek paredzēta esošu institūciju likvidācija vai reorganizācija.</w:t>
            </w:r>
          </w:p>
        </w:tc>
      </w:tr>
      <w:tr w14:paraId="6DE621AD" w14:textId="77777777" w:rsidTr="00B26993">
        <w:tblPrEx>
          <w:tblW w:w="5000" w:type="pct"/>
          <w:jc w:val="center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90"/>
          <w:tblCellSpacing w:w="15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2839AEE7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47F78E96" w14:textId="77777777">
            <w:pPr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7F25F2F2" w14:textId="77777777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:rsidR="00733BFD" w:rsidRPr="005C7D63" w:rsidP="00733BFD" w14:paraId="0C571E87" w14:textId="77777777">
      <w:pPr>
        <w:rPr>
          <w:rFonts w:cs="Times New Roman"/>
          <w:szCs w:val="28"/>
        </w:rPr>
      </w:pPr>
    </w:p>
    <w:p w:rsidR="00733BFD" w:rsidRPr="005C7D63" w:rsidP="00733BFD" w14:paraId="053ADA4B" w14:textId="77777777">
      <w:pPr>
        <w:rPr>
          <w:rFonts w:cs="Times New Roman"/>
          <w:bCs/>
          <w:szCs w:val="28"/>
        </w:rPr>
      </w:pPr>
      <w:r w:rsidRPr="005C7D63">
        <w:rPr>
          <w:rFonts w:cs="Times New Roman"/>
          <w:bCs/>
          <w:szCs w:val="28"/>
        </w:rPr>
        <w:t xml:space="preserve">Iesniedzējs: </w:t>
      </w:r>
    </w:p>
    <w:p w:rsidR="00572459" w:rsidRPr="005C7D63" w:rsidP="00572459" w14:paraId="3DD51A08" w14:textId="77777777">
      <w:pPr>
        <w:rPr>
          <w:rFonts w:eastAsia="Times New Roman" w:cs="Times New Roman"/>
          <w:bCs/>
          <w:szCs w:val="28"/>
        </w:rPr>
      </w:pPr>
      <w:r w:rsidRPr="005C7D63">
        <w:rPr>
          <w:rFonts w:eastAsia="Times New Roman" w:cs="Times New Roman"/>
          <w:bCs/>
          <w:szCs w:val="28"/>
        </w:rPr>
        <w:t>Ministru prezidenta biedrs,</w:t>
      </w:r>
    </w:p>
    <w:p w:rsidR="00572459" w:rsidRPr="005C7D63" w:rsidP="00572459" w14:paraId="335473E2" w14:textId="77777777">
      <w:pPr>
        <w:rPr>
          <w:rFonts w:eastAsia="Times New Roman" w:cs="Times New Roman"/>
          <w:bCs/>
          <w:szCs w:val="28"/>
        </w:rPr>
      </w:pPr>
      <w:r w:rsidRPr="005C7D63">
        <w:rPr>
          <w:rFonts w:eastAsia="Times New Roman" w:cs="Times New Roman"/>
          <w:bCs/>
          <w:szCs w:val="28"/>
        </w:rPr>
        <w:t xml:space="preserve">ekonomikas ministrs </w:t>
      </w:r>
      <w:r w:rsidRPr="005C7D63">
        <w:rPr>
          <w:rFonts w:eastAsia="Times New Roman" w:cs="Times New Roman"/>
          <w:bCs/>
          <w:szCs w:val="28"/>
        </w:rPr>
        <w:tab/>
      </w:r>
      <w:r w:rsidRPr="005C7D63">
        <w:rPr>
          <w:rFonts w:eastAsia="Times New Roman" w:cs="Times New Roman"/>
          <w:bCs/>
          <w:szCs w:val="28"/>
        </w:rPr>
        <w:tab/>
      </w:r>
      <w:r w:rsidRPr="005C7D63">
        <w:rPr>
          <w:rFonts w:eastAsia="Times New Roman" w:cs="Times New Roman"/>
          <w:bCs/>
          <w:szCs w:val="28"/>
        </w:rPr>
        <w:tab/>
      </w:r>
      <w:r w:rsidRPr="005C7D63">
        <w:rPr>
          <w:rFonts w:eastAsia="Times New Roman" w:cs="Times New Roman"/>
          <w:bCs/>
          <w:szCs w:val="28"/>
        </w:rPr>
        <w:tab/>
        <w:t xml:space="preserve"> </w:t>
      </w:r>
      <w:r w:rsidRPr="005C7D63">
        <w:rPr>
          <w:rFonts w:eastAsia="Times New Roman" w:cs="Times New Roman"/>
          <w:bCs/>
          <w:szCs w:val="28"/>
        </w:rPr>
        <w:tab/>
      </w:r>
      <w:r w:rsidRPr="005C7D63">
        <w:rPr>
          <w:rFonts w:eastAsia="Times New Roman" w:cs="Times New Roman"/>
          <w:bCs/>
          <w:szCs w:val="28"/>
        </w:rPr>
        <w:tab/>
      </w:r>
      <w:r w:rsidRPr="005C7D63">
        <w:rPr>
          <w:rFonts w:eastAsia="Times New Roman" w:cs="Times New Roman"/>
          <w:bCs/>
          <w:szCs w:val="28"/>
        </w:rPr>
        <w:tab/>
        <w:t>      </w:t>
      </w:r>
      <w:r w:rsidRPr="005C7D63">
        <w:rPr>
          <w:rFonts w:eastAsia="Times New Roman" w:cs="Times New Roman"/>
          <w:bCs/>
          <w:szCs w:val="28"/>
        </w:rPr>
        <w:t>A.Ašeradens</w:t>
      </w:r>
    </w:p>
    <w:p w:rsidR="00572459" w:rsidRPr="005C7D63" w:rsidP="00572459" w14:paraId="49EE69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8"/>
        </w:rPr>
      </w:pPr>
      <w:r w:rsidRPr="005C7D63">
        <w:rPr>
          <w:rFonts w:eastAsia="Times New Roman" w:cs="Times New Roman"/>
          <w:bCs/>
          <w:szCs w:val="28"/>
        </w:rPr>
        <w:t xml:space="preserve"> </w:t>
      </w:r>
    </w:p>
    <w:p w:rsidR="00572459" w:rsidRPr="005C7D63" w:rsidP="00572459" w14:paraId="5A5E19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8"/>
        </w:rPr>
      </w:pPr>
      <w:r w:rsidRPr="005C7D63">
        <w:rPr>
          <w:rFonts w:eastAsia="Times New Roman" w:cs="Times New Roman"/>
          <w:bCs/>
          <w:szCs w:val="28"/>
        </w:rPr>
        <w:t xml:space="preserve">Vīza: </w:t>
      </w:r>
    </w:p>
    <w:p w:rsidR="00572459" w:rsidRPr="005C7D63" w:rsidP="00572459" w14:paraId="670C7FED" w14:textId="36B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  <w:r w:rsidRPr="005C7D63">
        <w:rPr>
          <w:rFonts w:eastAsia="Times New Roman" w:cs="Times New Roman"/>
          <w:szCs w:val="28"/>
        </w:rPr>
        <w:t>Valsts sekretārs</w:t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  <w:t>           </w:t>
      </w:r>
      <w:r w:rsidR="00861BCB">
        <w:rPr>
          <w:rFonts w:eastAsia="Times New Roman" w:cs="Times New Roman"/>
          <w:szCs w:val="28"/>
        </w:rPr>
        <w:t>Ē.Eglītis</w:t>
      </w:r>
    </w:p>
    <w:p w:rsidR="00733BFD" w:rsidP="009B5AF2" w14:paraId="6594A520" w14:textId="704E9972">
      <w:pPr>
        <w:spacing w:before="360"/>
        <w:rPr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</w:p>
    <w:p w:rsidR="00641C79" w:rsidP="009B5AF2" w14:paraId="126194D1" w14:textId="49C85DBE">
      <w:pPr>
        <w:spacing w:before="360"/>
        <w:rPr>
          <w:sz w:val="20"/>
          <w:szCs w:val="20"/>
        </w:rPr>
      </w:pPr>
    </w:p>
    <w:p w:rsidR="00F2694F" w:rsidP="009B5AF2" w14:paraId="54A0BC1F" w14:textId="25769A61">
      <w:pPr>
        <w:spacing w:before="360"/>
        <w:rPr>
          <w:sz w:val="20"/>
          <w:szCs w:val="20"/>
        </w:rPr>
      </w:pPr>
    </w:p>
    <w:p w:rsidR="00F2694F" w:rsidP="009B5AF2" w14:paraId="520D541A" w14:textId="77777777">
      <w:pPr>
        <w:spacing w:before="360"/>
        <w:rPr>
          <w:sz w:val="20"/>
          <w:szCs w:val="20"/>
        </w:rPr>
      </w:pPr>
    </w:p>
    <w:p w:rsidR="00641C79" w:rsidP="009B5AF2" w14:paraId="6902CED2" w14:textId="061A95C4">
      <w:pPr>
        <w:spacing w:before="360"/>
        <w:rPr>
          <w:sz w:val="20"/>
          <w:szCs w:val="20"/>
        </w:rPr>
      </w:pPr>
    </w:p>
    <w:p w:rsidR="00641C79" w:rsidP="009B5AF2" w14:paraId="44F03E2B" w14:textId="77777777">
      <w:pPr>
        <w:spacing w:before="360"/>
        <w:rPr>
          <w:sz w:val="20"/>
          <w:szCs w:val="20"/>
        </w:rPr>
      </w:pPr>
    </w:p>
    <w:p w:rsidR="002A42FF" w14:paraId="128FAA66" w14:textId="77777777">
      <w:pPr>
        <w:rPr>
          <w:sz w:val="20"/>
          <w:szCs w:val="20"/>
        </w:rPr>
      </w:pPr>
      <w:r>
        <w:rPr>
          <w:sz w:val="20"/>
          <w:szCs w:val="20"/>
        </w:rPr>
        <w:t>Mālnieks</w:t>
      </w:r>
      <w:bookmarkEnd w:id="1"/>
      <w:bookmarkEnd w:id="2"/>
      <w:bookmarkEnd w:id="3"/>
      <w:bookmarkEnd w:id="4"/>
      <w:r>
        <w:rPr>
          <w:sz w:val="20"/>
          <w:szCs w:val="20"/>
        </w:rPr>
        <w:t xml:space="preserve"> 67013086</w:t>
      </w:r>
    </w:p>
    <w:p w:rsidR="002A42FF" w:rsidRPr="002A42FF" w:rsidP="002A42FF" w14:paraId="2C88C281" w14:textId="77777777">
      <w:pPr>
        <w:rPr>
          <w:rFonts w:eastAsia="Times New Roman" w:cs="Times New Roman"/>
          <w:sz w:val="20"/>
          <w:szCs w:val="20"/>
          <w:lang w:eastAsia="lv-LV"/>
        </w:rPr>
      </w:pPr>
      <w:r>
        <w:fldChar w:fldCharType="begin"/>
      </w:r>
      <w:r>
        <w:instrText xml:space="preserve"> HYPERLINK "mailto:Andris.Malnieks@em.gov.lv" </w:instrText>
      </w:r>
      <w:r>
        <w:fldChar w:fldCharType="separate"/>
      </w:r>
      <w:r w:rsidRPr="002A42FF">
        <w:rPr>
          <w:rFonts w:eastAsia="Times New Roman" w:cs="Times New Roman"/>
          <w:color w:val="0000FF"/>
          <w:sz w:val="20"/>
          <w:szCs w:val="20"/>
          <w:u w:val="single"/>
          <w:lang w:eastAsia="lv-LV"/>
        </w:rPr>
        <w:t>Andris.Malnieks@em.gov.lv</w:t>
      </w:r>
      <w:r>
        <w:fldChar w:fldCharType="end"/>
      </w:r>
    </w:p>
    <w:sectPr w:rsidSect="003F5A60">
      <w:headerReference w:type="default" r:id="rId4"/>
      <w:footerReference w:type="default" r:id="rId5"/>
      <w:footerReference w:type="first" r:id="rId6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A60" w:rsidRPr="007A016B" w:rsidP="007A016B" w14:paraId="4DDC5FED" w14:textId="5D9A6746">
    <w:pPr>
      <w:pStyle w:val="Footer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Pr="005E6216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A60" w:rsidP="003F5A60" w14:paraId="5DC5D3DA" w14:textId="33B78D64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Pr="005E6216">
      <w:rPr>
        <w:sz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7468179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P="003F5A60" w14:paraId="27CD6B7A" w14:textId="27AB3C8A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B21247">
          <w:rPr>
            <w:noProof/>
            <w:sz w:val="24"/>
            <w:szCs w:val="24"/>
          </w:rPr>
          <w:t>4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5B3673EE"/>
    <w:multiLevelType w:val="hybridMultilevel"/>
    <w:tmpl w:val="65029564"/>
    <w:lvl w:ilvl="0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CB"/>
    <w:rsid w:val="000077FD"/>
    <w:rsid w:val="00010940"/>
    <w:rsid w:val="00043C26"/>
    <w:rsid w:val="00046AC9"/>
    <w:rsid w:val="000937CE"/>
    <w:rsid w:val="000A549B"/>
    <w:rsid w:val="000B4C1D"/>
    <w:rsid w:val="000E3507"/>
    <w:rsid w:val="000E3BB0"/>
    <w:rsid w:val="000E6A47"/>
    <w:rsid w:val="000F355C"/>
    <w:rsid w:val="00107FAE"/>
    <w:rsid w:val="001141BA"/>
    <w:rsid w:val="0013332F"/>
    <w:rsid w:val="001449C1"/>
    <w:rsid w:val="001466D0"/>
    <w:rsid w:val="001773AE"/>
    <w:rsid w:val="00181092"/>
    <w:rsid w:val="001821FB"/>
    <w:rsid w:val="00184B22"/>
    <w:rsid w:val="001926D1"/>
    <w:rsid w:val="001B0AE7"/>
    <w:rsid w:val="001B1B37"/>
    <w:rsid w:val="001C3951"/>
    <w:rsid w:val="001C7137"/>
    <w:rsid w:val="001D084F"/>
    <w:rsid w:val="001E49DF"/>
    <w:rsid w:val="0020005E"/>
    <w:rsid w:val="00205A17"/>
    <w:rsid w:val="00225515"/>
    <w:rsid w:val="00240021"/>
    <w:rsid w:val="002646F4"/>
    <w:rsid w:val="00291AA5"/>
    <w:rsid w:val="002A3126"/>
    <w:rsid w:val="002A42FF"/>
    <w:rsid w:val="002A633C"/>
    <w:rsid w:val="002B3762"/>
    <w:rsid w:val="002D026B"/>
    <w:rsid w:val="002D5DC6"/>
    <w:rsid w:val="002F0D3D"/>
    <w:rsid w:val="0031092A"/>
    <w:rsid w:val="003158B0"/>
    <w:rsid w:val="00321A9A"/>
    <w:rsid w:val="0036132A"/>
    <w:rsid w:val="00376BF2"/>
    <w:rsid w:val="00376DAF"/>
    <w:rsid w:val="00377AF8"/>
    <w:rsid w:val="003851A1"/>
    <w:rsid w:val="003A3175"/>
    <w:rsid w:val="003B1DB9"/>
    <w:rsid w:val="003B2C2B"/>
    <w:rsid w:val="003D6F25"/>
    <w:rsid w:val="003D7F1F"/>
    <w:rsid w:val="003E6E20"/>
    <w:rsid w:val="003F5A60"/>
    <w:rsid w:val="003F7B65"/>
    <w:rsid w:val="00411D03"/>
    <w:rsid w:val="0042674D"/>
    <w:rsid w:val="00447D82"/>
    <w:rsid w:val="00466D77"/>
    <w:rsid w:val="00467A2D"/>
    <w:rsid w:val="004846F5"/>
    <w:rsid w:val="00486F09"/>
    <w:rsid w:val="004936B3"/>
    <w:rsid w:val="004A033E"/>
    <w:rsid w:val="004A4E49"/>
    <w:rsid w:val="004B5426"/>
    <w:rsid w:val="004B594F"/>
    <w:rsid w:val="004C2752"/>
    <w:rsid w:val="004D0675"/>
    <w:rsid w:val="004E4BBF"/>
    <w:rsid w:val="00540A1C"/>
    <w:rsid w:val="005552B9"/>
    <w:rsid w:val="00565402"/>
    <w:rsid w:val="00571B0A"/>
    <w:rsid w:val="00572459"/>
    <w:rsid w:val="00574538"/>
    <w:rsid w:val="00585C9E"/>
    <w:rsid w:val="005A0087"/>
    <w:rsid w:val="005A2ACB"/>
    <w:rsid w:val="005A555C"/>
    <w:rsid w:val="005B186D"/>
    <w:rsid w:val="005C5348"/>
    <w:rsid w:val="005C7D63"/>
    <w:rsid w:val="005E1E70"/>
    <w:rsid w:val="005E6216"/>
    <w:rsid w:val="006205D8"/>
    <w:rsid w:val="006348E2"/>
    <w:rsid w:val="00641C79"/>
    <w:rsid w:val="0064540E"/>
    <w:rsid w:val="0064625D"/>
    <w:rsid w:val="006636FF"/>
    <w:rsid w:val="00673896"/>
    <w:rsid w:val="006838E4"/>
    <w:rsid w:val="006927CE"/>
    <w:rsid w:val="006C1C3C"/>
    <w:rsid w:val="006D03B0"/>
    <w:rsid w:val="006D441F"/>
    <w:rsid w:val="007274A4"/>
    <w:rsid w:val="00733BFD"/>
    <w:rsid w:val="00765932"/>
    <w:rsid w:val="00776262"/>
    <w:rsid w:val="0079298C"/>
    <w:rsid w:val="00792AE6"/>
    <w:rsid w:val="00796AEF"/>
    <w:rsid w:val="007A016B"/>
    <w:rsid w:val="007A25ED"/>
    <w:rsid w:val="007A2714"/>
    <w:rsid w:val="007F062A"/>
    <w:rsid w:val="007F71CA"/>
    <w:rsid w:val="0082515C"/>
    <w:rsid w:val="00827605"/>
    <w:rsid w:val="00847CB8"/>
    <w:rsid w:val="00861BCB"/>
    <w:rsid w:val="00862BDB"/>
    <w:rsid w:val="008704BE"/>
    <w:rsid w:val="0087223A"/>
    <w:rsid w:val="008722DF"/>
    <w:rsid w:val="00876FA6"/>
    <w:rsid w:val="00883F14"/>
    <w:rsid w:val="008B0472"/>
    <w:rsid w:val="008B4CDF"/>
    <w:rsid w:val="008D1E6A"/>
    <w:rsid w:val="008E26B3"/>
    <w:rsid w:val="008E6B98"/>
    <w:rsid w:val="009166A0"/>
    <w:rsid w:val="00916ECF"/>
    <w:rsid w:val="00923747"/>
    <w:rsid w:val="00947E99"/>
    <w:rsid w:val="009565B3"/>
    <w:rsid w:val="0095716E"/>
    <w:rsid w:val="009722EA"/>
    <w:rsid w:val="00996739"/>
    <w:rsid w:val="00996DB1"/>
    <w:rsid w:val="00997CFA"/>
    <w:rsid w:val="009B5AF2"/>
    <w:rsid w:val="009B6BB0"/>
    <w:rsid w:val="009D4526"/>
    <w:rsid w:val="009E5083"/>
    <w:rsid w:val="009F6217"/>
    <w:rsid w:val="009F7942"/>
    <w:rsid w:val="00A14AD8"/>
    <w:rsid w:val="00A57D7F"/>
    <w:rsid w:val="00A75945"/>
    <w:rsid w:val="00A76ED5"/>
    <w:rsid w:val="00A84CB4"/>
    <w:rsid w:val="00A9041E"/>
    <w:rsid w:val="00AB5CE5"/>
    <w:rsid w:val="00AC31A2"/>
    <w:rsid w:val="00AD0B23"/>
    <w:rsid w:val="00AE25C4"/>
    <w:rsid w:val="00AE5508"/>
    <w:rsid w:val="00AE5C6D"/>
    <w:rsid w:val="00B017E8"/>
    <w:rsid w:val="00B21247"/>
    <w:rsid w:val="00B22F9F"/>
    <w:rsid w:val="00B26993"/>
    <w:rsid w:val="00B37986"/>
    <w:rsid w:val="00B702AB"/>
    <w:rsid w:val="00BA6B06"/>
    <w:rsid w:val="00BB7344"/>
    <w:rsid w:val="00BF2756"/>
    <w:rsid w:val="00BF380B"/>
    <w:rsid w:val="00C02E47"/>
    <w:rsid w:val="00C041F1"/>
    <w:rsid w:val="00C17105"/>
    <w:rsid w:val="00C21FFA"/>
    <w:rsid w:val="00C2613C"/>
    <w:rsid w:val="00C363A4"/>
    <w:rsid w:val="00C927DB"/>
    <w:rsid w:val="00CA0CD4"/>
    <w:rsid w:val="00CB1EF6"/>
    <w:rsid w:val="00CB4971"/>
    <w:rsid w:val="00CB6882"/>
    <w:rsid w:val="00CC3C32"/>
    <w:rsid w:val="00CD02B2"/>
    <w:rsid w:val="00CD4A47"/>
    <w:rsid w:val="00CD5BD2"/>
    <w:rsid w:val="00CE4D99"/>
    <w:rsid w:val="00CE526E"/>
    <w:rsid w:val="00CF1933"/>
    <w:rsid w:val="00D169E1"/>
    <w:rsid w:val="00D202E3"/>
    <w:rsid w:val="00D205C2"/>
    <w:rsid w:val="00D52911"/>
    <w:rsid w:val="00D560DB"/>
    <w:rsid w:val="00D57131"/>
    <w:rsid w:val="00D87F78"/>
    <w:rsid w:val="00D96370"/>
    <w:rsid w:val="00DC6897"/>
    <w:rsid w:val="00DC7EA7"/>
    <w:rsid w:val="00DD4ABD"/>
    <w:rsid w:val="00E06B80"/>
    <w:rsid w:val="00E07E16"/>
    <w:rsid w:val="00E231C6"/>
    <w:rsid w:val="00E2739F"/>
    <w:rsid w:val="00E44233"/>
    <w:rsid w:val="00E7186D"/>
    <w:rsid w:val="00E90DF1"/>
    <w:rsid w:val="00E926D4"/>
    <w:rsid w:val="00EA086E"/>
    <w:rsid w:val="00EA243F"/>
    <w:rsid w:val="00EB6323"/>
    <w:rsid w:val="00EC4649"/>
    <w:rsid w:val="00EC47AF"/>
    <w:rsid w:val="00EC75A1"/>
    <w:rsid w:val="00ED21A7"/>
    <w:rsid w:val="00F065E5"/>
    <w:rsid w:val="00F2278C"/>
    <w:rsid w:val="00F2694F"/>
    <w:rsid w:val="00F33FC5"/>
    <w:rsid w:val="00F53C75"/>
    <w:rsid w:val="00FA0673"/>
    <w:rsid w:val="00FA3BE6"/>
    <w:rsid w:val="00FB0B20"/>
    <w:rsid w:val="00FF0CE0"/>
    <w:rsid w:val="00FF363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2C0012-6C52-4395-9821-4C24545D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B22"/>
    <w:pPr>
      <w:ind w:left="720"/>
      <w:contextualSpacing/>
    </w:pPr>
  </w:style>
  <w:style w:type="table" w:styleId="TableGrid">
    <w:name w:val="Table Grid"/>
    <w:basedOn w:val="TableNormal"/>
    <w:uiPriority w:val="59"/>
    <w:rsid w:val="0082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3172</Words>
  <Characters>1809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2014.gada 25.marta noteikumos Nr.156 "Būvizstrādājumu tirgus uzraudzības kārtība"</vt:lpstr>
      <vt:lpstr>Grozījumi MK 2014.gada 25.marta noteikumos Nr.156 "Būvizstrādājumu tirgus uzraudzības kārtība"</vt:lpstr>
    </vt:vector>
  </TitlesOfParts>
  <Company>Ekonomikas ministrija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2014.gada 25.marta noteikumos Nr.156 "Būvizstrādājumu tirgus uzraudzības kārtība"</dc:title>
  <dc:subject>Sākotnējās ietekmes novērtējuma ziņojums (anotācija)</dc:subject>
  <dc:creator>Andris Mālnieks</dc:creator>
  <dc:description>67013086, Andris.Malnieks@em.gov.lv</dc:description>
  <cp:lastModifiedBy>Andris Mālnieks</cp:lastModifiedBy>
  <cp:revision>5</cp:revision>
  <cp:lastPrinted>2017-08-02T08:16:00Z</cp:lastPrinted>
  <dcterms:created xsi:type="dcterms:W3CDTF">2018-08-28T06:19:00Z</dcterms:created>
  <dcterms:modified xsi:type="dcterms:W3CDTF">2018-08-28T07:40:00Z</dcterms:modified>
</cp:coreProperties>
</file>