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AC4F" w14:textId="77777777" w:rsidR="00A02F54" w:rsidRDefault="00A02F54" w:rsidP="001D19C2">
      <w:pPr>
        <w:spacing w:after="120"/>
        <w:jc w:val="center"/>
        <w:rPr>
          <w:b/>
        </w:rPr>
      </w:pPr>
      <w:bookmarkStart w:id="0" w:name="_GoBack"/>
      <w:bookmarkEnd w:id="0"/>
    </w:p>
    <w:p w14:paraId="2D76C1EF" w14:textId="5D1FF778" w:rsidR="000115B5" w:rsidRDefault="00686AB5" w:rsidP="001D19C2">
      <w:pPr>
        <w:spacing w:after="120"/>
        <w:jc w:val="center"/>
        <w:rPr>
          <w:b/>
          <w:lang w:eastAsia="en-US"/>
        </w:rPr>
      </w:pPr>
      <w:r>
        <w:rPr>
          <w:b/>
        </w:rPr>
        <w:t xml:space="preserve"> </w:t>
      </w:r>
      <w:r w:rsidR="00B51894" w:rsidRPr="00B51894">
        <w:rPr>
          <w:b/>
        </w:rPr>
        <w:t xml:space="preserve">Ministru kabineta rīkojuma projekta </w:t>
      </w:r>
      <w:r w:rsidR="007B3D26">
        <w:rPr>
          <w:b/>
        </w:rPr>
        <w:t>“</w:t>
      </w:r>
      <w:r w:rsidR="00B51894" w:rsidRPr="00B51894">
        <w:rPr>
          <w:b/>
        </w:rPr>
        <w:t xml:space="preserve">Par informācijas sabiedrības attīstības pamatnostādņu ieviešanu publiskās pārvaldes informācijas sistēmu jomā </w:t>
      </w:r>
      <w:r w:rsidR="002B3B06" w:rsidRPr="002B3B06">
        <w:rPr>
          <w:b/>
        </w:rPr>
        <w:t>(</w:t>
      </w:r>
      <w:proofErr w:type="spellStart"/>
      <w:r w:rsidR="0021089F" w:rsidRPr="0021089F">
        <w:rPr>
          <w:b/>
        </w:rPr>
        <w:t>mērķarhitektūras</w:t>
      </w:r>
      <w:proofErr w:type="spellEnd"/>
      <w:r w:rsidR="0021089F" w:rsidRPr="0021089F">
        <w:rPr>
          <w:b/>
        </w:rPr>
        <w:t xml:space="preserve"> 40.0 versija - Nodokļu informācijas pakalpojumu modernizācija </w:t>
      </w:r>
      <w:r w:rsidR="00932F5B">
        <w:rPr>
          <w:b/>
        </w:rPr>
        <w:t>(</w:t>
      </w:r>
      <w:r w:rsidR="0021089F" w:rsidRPr="0021089F">
        <w:rPr>
          <w:b/>
        </w:rPr>
        <w:t>Maksājumu uzskaites un uzkrājuma princips</w:t>
      </w:r>
      <w:r w:rsidR="00932F5B">
        <w:rPr>
          <w:b/>
        </w:rPr>
        <w:t>)</w:t>
      </w:r>
      <w:r w:rsidR="008E65E7">
        <w:rPr>
          <w:b/>
        </w:rPr>
        <w:t>)</w:t>
      </w:r>
      <w:r w:rsidR="002B3B06" w:rsidRPr="002B3B06">
        <w:rPr>
          <w:b/>
        </w:rPr>
        <w:t>”</w:t>
      </w:r>
      <w:r w:rsidR="001D19C2" w:rsidRPr="005E0196">
        <w:rPr>
          <w:b/>
        </w:rPr>
        <w:t xml:space="preserve"> </w:t>
      </w:r>
      <w:r w:rsidR="001D19C2" w:rsidRPr="005E0196">
        <w:rPr>
          <w:b/>
          <w:bCs/>
          <w:lang w:eastAsia="en-US"/>
        </w:rPr>
        <w:t>sākotnējās ietekmes novērtējuma ziņojums (</w:t>
      </w:r>
      <w:r w:rsidR="00B66D03" w:rsidRPr="00B66D03">
        <w:rPr>
          <w:b/>
          <w:bCs/>
          <w:lang w:eastAsia="en-US"/>
        </w:rPr>
        <w:t>anotācija</w:t>
      </w:r>
      <w:r w:rsidR="001D19C2" w:rsidRPr="005E0196">
        <w:rPr>
          <w:b/>
          <w:bCs/>
          <w:lang w:eastAsia="en-US"/>
        </w:rPr>
        <w:t>)</w:t>
      </w:r>
      <w:r w:rsidRPr="005E0196">
        <w:rPr>
          <w:b/>
          <w:lang w:eastAsia="en-US"/>
        </w:rPr>
        <w:t> </w:t>
      </w:r>
    </w:p>
    <w:p w14:paraId="68C584EA" w14:textId="77777777" w:rsidR="00A02F54" w:rsidRDefault="00A02F54" w:rsidP="001D19C2">
      <w:pPr>
        <w:spacing w:after="120"/>
        <w:jc w:val="center"/>
        <w:rPr>
          <w:b/>
          <w:lang w:eastAsia="en-US"/>
        </w:rPr>
      </w:pPr>
    </w:p>
    <w:tbl>
      <w:tblPr>
        <w:tblW w:w="9508" w:type="dxa"/>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0" w:type="dxa"/>
          <w:right w:w="0" w:type="dxa"/>
        </w:tblCellMar>
        <w:tblLook w:val="0000" w:firstRow="0" w:lastRow="0" w:firstColumn="0" w:lastColumn="0" w:noHBand="0" w:noVBand="0"/>
      </w:tblPr>
      <w:tblGrid>
        <w:gridCol w:w="2410"/>
        <w:gridCol w:w="7098"/>
      </w:tblGrid>
      <w:tr w:rsidR="00B30D6D" w14:paraId="3645B2C9" w14:textId="77777777" w:rsidTr="00B25A30">
        <w:trPr>
          <w:trHeight w:val="311"/>
        </w:trPr>
        <w:tc>
          <w:tcPr>
            <w:tcW w:w="9508" w:type="dxa"/>
            <w:gridSpan w:val="2"/>
          </w:tcPr>
          <w:p w14:paraId="12071F3A" w14:textId="77777777" w:rsidR="00C97C20" w:rsidRPr="00060F34" w:rsidRDefault="00686AB5" w:rsidP="006C20A6">
            <w:pPr>
              <w:ind w:right="142"/>
              <w:jc w:val="center"/>
              <w:outlineLvl w:val="2"/>
            </w:pPr>
            <w:r w:rsidRPr="00060F34">
              <w:rPr>
                <w:b/>
              </w:rPr>
              <w:t>Tiesību akta projekta anotācijas kopsavilkums</w:t>
            </w:r>
          </w:p>
        </w:tc>
      </w:tr>
      <w:tr w:rsidR="00B30D6D" w14:paraId="2F599D58" w14:textId="77777777" w:rsidTr="00B25A30">
        <w:trPr>
          <w:trHeight w:val="557"/>
        </w:trPr>
        <w:tc>
          <w:tcPr>
            <w:tcW w:w="2410" w:type="dxa"/>
          </w:tcPr>
          <w:p w14:paraId="2AE8A422" w14:textId="77777777" w:rsidR="00C97C20" w:rsidRPr="00060F34" w:rsidRDefault="00686AB5" w:rsidP="006C20A6">
            <w:pPr>
              <w:pStyle w:val="naiskr"/>
              <w:tabs>
                <w:tab w:val="left" w:pos="170"/>
              </w:tabs>
              <w:spacing w:before="0" w:after="0"/>
              <w:ind w:left="99"/>
              <w:rPr>
                <w:sz w:val="22"/>
                <w:szCs w:val="22"/>
              </w:rPr>
            </w:pPr>
            <w:r w:rsidRPr="00060F34">
              <w:rPr>
                <w:sz w:val="22"/>
                <w:szCs w:val="22"/>
              </w:rPr>
              <w:t>Mērķis, risinājums un projekta spēkā stāšanās laiks</w:t>
            </w:r>
          </w:p>
        </w:tc>
        <w:tc>
          <w:tcPr>
            <w:tcW w:w="7098" w:type="dxa"/>
          </w:tcPr>
          <w:p w14:paraId="39ED8165" w14:textId="77777777" w:rsidR="00C97C20" w:rsidRPr="002D564F" w:rsidRDefault="00686AB5" w:rsidP="006C20A6">
            <w:pPr>
              <w:ind w:left="145" w:right="282"/>
              <w:jc w:val="both"/>
              <w:rPr>
                <w:rFonts w:eastAsia="MS Mincho"/>
                <w:bCs/>
                <w:lang w:eastAsia="en-US"/>
              </w:rPr>
            </w:pPr>
            <w:r w:rsidRPr="00060F34">
              <w:t xml:space="preserve"> </w:t>
            </w:r>
            <w:r w:rsidR="00D63565" w:rsidRPr="006C20A6">
              <w:t>Ministru kabineta rīkojuma projekta “Par informācijas sabiedrības attīstības pamatnostādņu ieviešanu publiskās pārvaldes informācijas sistēmu jomā (</w:t>
            </w:r>
            <w:proofErr w:type="spellStart"/>
            <w:r w:rsidR="00D63565" w:rsidRPr="006C20A6">
              <w:t>mērķarhitektūras</w:t>
            </w:r>
            <w:proofErr w:type="spellEnd"/>
            <w:r w:rsidR="00D63565" w:rsidRPr="006C20A6">
              <w:t xml:space="preserve"> 40.0 versija - Nodokļu informācijas pakalpojumu modernizācija (Maksājumu uzskaites un uzkrājuma princips))”</w:t>
            </w:r>
            <w:r w:rsidR="00D63565" w:rsidRPr="00060F34">
              <w:t xml:space="preserve"> mērķis ir</w:t>
            </w:r>
            <w:r w:rsidR="006178B2" w:rsidRPr="00060F34">
              <w:t xml:space="preserve"> apstiprināt un</w:t>
            </w:r>
            <w:r w:rsidR="00D63565" w:rsidRPr="00060F34">
              <w:t xml:space="preserve"> </w:t>
            </w:r>
            <w:r w:rsidR="00CB42F8" w:rsidRPr="00060F34">
              <w:rPr>
                <w:rFonts w:eastAsia="MS Mincho"/>
                <w:bCs/>
                <w:lang w:eastAsia="en-US"/>
              </w:rPr>
              <w:t>iekļaut</w:t>
            </w:r>
            <w:r w:rsidR="00E51937" w:rsidRPr="00060F34">
              <w:rPr>
                <w:rFonts w:eastAsia="MS Mincho"/>
                <w:bCs/>
                <w:lang w:eastAsia="en-US"/>
              </w:rPr>
              <w:t xml:space="preserve"> informācijas un komunikāciju tehnoloģiju </w:t>
            </w:r>
            <w:proofErr w:type="spellStart"/>
            <w:r w:rsidR="00E51937" w:rsidRPr="00060F34">
              <w:rPr>
                <w:rFonts w:eastAsia="MS Mincho"/>
                <w:bCs/>
                <w:lang w:eastAsia="en-US"/>
              </w:rPr>
              <w:t>mērķarhitektūras</w:t>
            </w:r>
            <w:proofErr w:type="spellEnd"/>
            <w:r w:rsidR="00E51937" w:rsidRPr="00060F34">
              <w:rPr>
                <w:rFonts w:eastAsia="MS Mincho"/>
                <w:bCs/>
                <w:lang w:eastAsia="en-US"/>
              </w:rPr>
              <w:t xml:space="preserve"> 40.0 versijā projekta aprakstu</w:t>
            </w:r>
            <w:r w:rsidR="00E51937" w:rsidRPr="002B7FF9">
              <w:rPr>
                <w:rFonts w:eastAsia="MS Mincho"/>
                <w:bCs/>
                <w:lang w:eastAsia="en-US"/>
              </w:rPr>
              <w:t xml:space="preserve"> “Nodokļu informācijas pakalpojumu modernizācija (Maksājumu uzskaites un uzkrājuma princips)”</w:t>
            </w:r>
            <w:r w:rsidR="00CB42F8" w:rsidRPr="002B7FF9">
              <w:rPr>
                <w:rFonts w:eastAsia="MS Mincho"/>
                <w:bCs/>
                <w:lang w:eastAsia="en-US"/>
              </w:rPr>
              <w:t>.</w:t>
            </w:r>
          </w:p>
          <w:p w14:paraId="6789DFBF" w14:textId="77777777" w:rsidR="00CB42F8" w:rsidRPr="002D564F" w:rsidRDefault="00686AB5" w:rsidP="006C20A6">
            <w:pPr>
              <w:ind w:left="145" w:right="282"/>
              <w:jc w:val="both"/>
            </w:pPr>
            <w:r w:rsidRPr="002D564F">
              <w:t>Ministru kabineta rīkojuma projekta spēkā stāšanās paredzēta</w:t>
            </w:r>
            <w:r w:rsidR="005760B9">
              <w:t xml:space="preserve"> rīkojuma parakstīšanas brīdī.</w:t>
            </w:r>
          </w:p>
        </w:tc>
      </w:tr>
    </w:tbl>
    <w:p w14:paraId="1BF61595" w14:textId="77777777" w:rsidR="00E51937" w:rsidRPr="005E0196" w:rsidRDefault="00E51937" w:rsidP="006C20A6">
      <w:pPr>
        <w:spacing w:after="120"/>
        <w:rPr>
          <w:b/>
        </w:rPr>
      </w:pP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6"/>
        <w:gridCol w:w="1982"/>
        <w:gridCol w:w="7055"/>
      </w:tblGrid>
      <w:tr w:rsidR="00B30D6D" w14:paraId="798A725A" w14:textId="77777777" w:rsidTr="00AB2B61">
        <w:trPr>
          <w:trHeight w:val="557"/>
        </w:trPr>
        <w:tc>
          <w:tcPr>
            <w:tcW w:w="9493" w:type="dxa"/>
            <w:gridSpan w:val="3"/>
            <w:shd w:val="clear" w:color="auto" w:fill="auto"/>
          </w:tcPr>
          <w:p w14:paraId="4AA6BC16" w14:textId="77777777" w:rsidR="000115B5" w:rsidRPr="005E0196" w:rsidRDefault="00686AB5" w:rsidP="00B41841">
            <w:pPr>
              <w:jc w:val="center"/>
              <w:rPr>
                <w:lang w:eastAsia="en-US"/>
              </w:rPr>
            </w:pPr>
            <w:r w:rsidRPr="00B41841">
              <w:rPr>
                <w:b/>
                <w:bCs/>
                <w:lang w:eastAsia="en-US"/>
              </w:rPr>
              <w:t xml:space="preserve"> I. </w:t>
            </w:r>
            <w:r w:rsidR="00E211A8" w:rsidRPr="00B41841">
              <w:rPr>
                <w:b/>
                <w:bCs/>
                <w:lang w:eastAsia="en-US"/>
              </w:rPr>
              <w:t>Tiesību akta</w:t>
            </w:r>
            <w:r w:rsidRPr="00B41841">
              <w:rPr>
                <w:b/>
                <w:bCs/>
                <w:lang w:eastAsia="en-US"/>
              </w:rPr>
              <w:t xml:space="preserve"> izstrādes nepieciešamība</w:t>
            </w:r>
          </w:p>
        </w:tc>
      </w:tr>
      <w:tr w:rsidR="00B30D6D" w14:paraId="68C03C52" w14:textId="77777777" w:rsidTr="00AB2B61">
        <w:trPr>
          <w:trHeight w:val="271"/>
        </w:trPr>
        <w:tc>
          <w:tcPr>
            <w:tcW w:w="456" w:type="dxa"/>
            <w:shd w:val="clear" w:color="auto" w:fill="auto"/>
          </w:tcPr>
          <w:p w14:paraId="4F51E925" w14:textId="77777777" w:rsidR="000115B5" w:rsidRPr="005E0196" w:rsidRDefault="00686AB5" w:rsidP="00B22BC5">
            <w:pPr>
              <w:rPr>
                <w:lang w:eastAsia="en-US"/>
              </w:rPr>
            </w:pPr>
            <w:r w:rsidRPr="005E0196">
              <w:rPr>
                <w:lang w:eastAsia="en-US"/>
              </w:rPr>
              <w:t> 1.</w:t>
            </w:r>
          </w:p>
        </w:tc>
        <w:tc>
          <w:tcPr>
            <w:tcW w:w="1982" w:type="dxa"/>
            <w:shd w:val="clear" w:color="auto" w:fill="auto"/>
          </w:tcPr>
          <w:p w14:paraId="146A136D" w14:textId="77777777" w:rsidR="000115B5" w:rsidRPr="005E0196" w:rsidRDefault="00686AB5" w:rsidP="00B22BC5">
            <w:pPr>
              <w:rPr>
                <w:lang w:eastAsia="en-US"/>
              </w:rPr>
            </w:pPr>
            <w:r w:rsidRPr="005E0196">
              <w:rPr>
                <w:lang w:eastAsia="en-US"/>
              </w:rPr>
              <w:t>Pamatojums</w:t>
            </w:r>
          </w:p>
        </w:tc>
        <w:tc>
          <w:tcPr>
            <w:tcW w:w="7055" w:type="dxa"/>
            <w:shd w:val="clear" w:color="auto" w:fill="auto"/>
          </w:tcPr>
          <w:p w14:paraId="4477EE0D" w14:textId="77777777" w:rsidR="000612AA" w:rsidRDefault="00686AB5" w:rsidP="00B41841">
            <w:pPr>
              <w:numPr>
                <w:ilvl w:val="0"/>
                <w:numId w:val="4"/>
              </w:numPr>
              <w:ind w:right="212"/>
              <w:jc w:val="both"/>
            </w:pPr>
            <w:r>
              <w:t>Deklarācijas par Māra Kučinska vadītā Ministru kabineta iecerēto darbību 35</w:t>
            </w:r>
            <w:r w:rsidR="005D6468">
              <w:t>.</w:t>
            </w:r>
            <w:r>
              <w:t xml:space="preserve"> uzdevums “Nodrošināsim IKT publisko investīciju un e-pakalpojumu orientāciju uz jaunu produktu un pakalpojumu veidošanu un </w:t>
            </w:r>
            <w:proofErr w:type="spellStart"/>
            <w:r>
              <w:t>komercializāciju</w:t>
            </w:r>
            <w:proofErr w:type="spellEnd"/>
            <w:r>
              <w:t>.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 darbības rezultāts “Nodrošināta IKT procesu koordinācija un pārvaldība, paaugstināta VARAM kapacitāte, nodrošinot 38 ERAF līdzfinansēto projektu iekļaušanos publiskās pārvaldes vienotajā arhitektūrā”</w:t>
            </w:r>
            <w:r w:rsidR="00A35FC2">
              <w:t>.</w:t>
            </w:r>
          </w:p>
          <w:p w14:paraId="47F43E11" w14:textId="60F07FEC" w:rsidR="005359FF" w:rsidRDefault="00686AB5" w:rsidP="00B41841">
            <w:pPr>
              <w:numPr>
                <w:ilvl w:val="0"/>
                <w:numId w:val="4"/>
              </w:numPr>
              <w:ind w:right="212"/>
              <w:jc w:val="both"/>
            </w:pPr>
            <w:r>
              <w:t>M</w:t>
            </w:r>
            <w:r w:rsidR="008770E0">
              <w:t>inistru kabineta 2015. gada 17.</w:t>
            </w:r>
            <w:r>
              <w:t xml:space="preserve">novembra noteikumu Nr. 653 “Darbības programmas “Izaugsme un nodarbinātība” 2.2.1. specifiskā atbalsta mērķa “Nodrošināt publisko datu </w:t>
            </w:r>
            <w:proofErr w:type="spellStart"/>
            <w:r>
              <w:t>atkalizmantošanas</w:t>
            </w:r>
            <w:proofErr w:type="spellEnd"/>
            <w:r>
              <w:t xml:space="preserve"> pieaugumu un efektīvu publiskās pārvaldes un privātā sektora mijiedarbību” 2.2.1.1. pasākuma “Centralizētu publiskās pārvaldes IKT platformu izveide, publiskās pārvaldes procesu optimizēšana un att</w:t>
            </w:r>
            <w:r w:rsidR="00BB02B7">
              <w:t>īstība” īstenošanas noteikumi”</w:t>
            </w:r>
            <w:r>
              <w:t xml:space="preserve"> 4. punkts un 13.2.apakšpunkts.</w:t>
            </w:r>
          </w:p>
          <w:p w14:paraId="7FFDE7BE" w14:textId="1C3ABF72" w:rsidR="00967174" w:rsidRDefault="00686AB5" w:rsidP="00B41841">
            <w:pPr>
              <w:numPr>
                <w:ilvl w:val="0"/>
                <w:numId w:val="4"/>
              </w:numPr>
              <w:ind w:right="212"/>
              <w:jc w:val="both"/>
            </w:pPr>
            <w:r>
              <w:t>Ministru kabineta 2016.gada 10.februāra rīkojum</w:t>
            </w:r>
            <w:r w:rsidR="00A35FC2">
              <w:t>a</w:t>
            </w:r>
            <w:r>
              <w:t xml:space="preserve"> Nr.136 </w:t>
            </w:r>
            <w:r w:rsidR="00D4209D">
              <w:t>“</w:t>
            </w:r>
            <w:r w:rsidR="00D4209D" w:rsidRPr="00D4209D">
              <w:t>Par informācijas sabiedrības attīstības pamatnostādņu ieviešanu publiskās pārvaldes informācijas sistēmu jomā</w:t>
            </w:r>
            <w:r w:rsidR="00D4209D">
              <w:t xml:space="preserve">” </w:t>
            </w:r>
            <w:r>
              <w:t>4.punkts un 7.punkts.</w:t>
            </w:r>
          </w:p>
          <w:p w14:paraId="4AB04E7F" w14:textId="77777777" w:rsidR="00D803F5" w:rsidRPr="005E0196" w:rsidRDefault="00686AB5" w:rsidP="00B41841">
            <w:pPr>
              <w:numPr>
                <w:ilvl w:val="0"/>
                <w:numId w:val="4"/>
              </w:numPr>
              <w:ind w:right="212"/>
              <w:jc w:val="both"/>
            </w:pPr>
            <w:r>
              <w:t xml:space="preserve">Ministru kabineta 2016.gada </w:t>
            </w:r>
            <w:r w:rsidR="00CE23F0">
              <w:t>5.janvāra Informatīvā ziņojuma “</w:t>
            </w:r>
            <w:r>
              <w:t xml:space="preserve">Par Valsts ieņēmumu dienesta administrēto valsts budžeta ieņēmumu </w:t>
            </w:r>
            <w:r>
              <w:lastRenderedPageBreak/>
              <w:t>administrēšanā un uzskaitē risināmajiem jautājumiem administratīvā sloga mazināšanai nodokļu maksātājiem un efektīvam Valsts ieņēmumu diene</w:t>
            </w:r>
            <w:r w:rsidR="00CE23F0">
              <w:t>sta organizatoriskajam procesam”</w:t>
            </w:r>
            <w:r>
              <w:t xml:space="preserve"> </w:t>
            </w:r>
            <w:proofErr w:type="spellStart"/>
            <w:r>
              <w:t>protokllēmuma</w:t>
            </w:r>
            <w:proofErr w:type="spellEnd"/>
            <w:r>
              <w:t xml:space="preserve"> 5. punkts “Atbalstīt un prioritārajā secībā virzīt Val</w:t>
            </w:r>
            <w:r w:rsidR="002B3B06">
              <w:t>sts ieņēmumu dienesta projekta “</w:t>
            </w:r>
            <w:r>
              <w:t>Nodokļu informā</w:t>
            </w:r>
            <w:r w:rsidR="00CE23F0">
              <w:t>cijas pakalpojumu modernizācija”</w:t>
            </w:r>
            <w:r>
              <w:t xml:space="preserve"> kārtas līdzfinansēšanai n</w:t>
            </w:r>
            <w:r w:rsidR="002B3B06">
              <w:t>o darbības programmas “Izaugsme un nodarbinātība”</w:t>
            </w:r>
            <w:r>
              <w:t xml:space="preserve"> 2</w:t>
            </w:r>
            <w:r w:rsidR="002B3B06">
              <w:t>.2.1.specifiskā atbalsta mērķa “</w:t>
            </w:r>
            <w:r>
              <w:t xml:space="preserve">Nodrošināt publisko datu </w:t>
            </w:r>
            <w:proofErr w:type="spellStart"/>
            <w:r>
              <w:t>atkalizmantošanas</w:t>
            </w:r>
            <w:proofErr w:type="spellEnd"/>
            <w:r>
              <w:t xml:space="preserve"> pieaugumu un efektīvu publiskās pārvaldes un privātā sektora mijiedarbību</w:t>
            </w:r>
            <w:r w:rsidR="002B3B06">
              <w:t>”</w:t>
            </w:r>
            <w:r w:rsidR="00CE23F0">
              <w:t xml:space="preserve"> 2.2.1.1.pasākuma “</w:t>
            </w:r>
            <w:r>
              <w:t>Centralizētu publiskās pārvaldes IKT platformu izveide, publiskās pārvaldes procesu optimizēšana un attīstība</w:t>
            </w:r>
            <w:r w:rsidR="00CE23F0">
              <w:t>”</w:t>
            </w:r>
            <w:r>
              <w:t>, ja projekta iesniegums atbildīs projektu iesniegumu vērtēšanas kritērijiem un Ministru kabineta 2015.gada</w:t>
            </w:r>
            <w:r w:rsidR="002B3B06">
              <w:t xml:space="preserve"> 17.novembra noteikumos Nr.653 “</w:t>
            </w:r>
            <w:r>
              <w:t xml:space="preserve">Darbības programmas </w:t>
            </w:r>
            <w:r w:rsidR="002B3B06">
              <w:t>“</w:t>
            </w:r>
            <w:r>
              <w:t>Izaugsme un nodarbinātī</w:t>
            </w:r>
            <w:r w:rsidR="002B3B06">
              <w:t>ba”</w:t>
            </w:r>
            <w:r>
              <w:t xml:space="preserve"> 2.2.1. specifiskā atbalsta mērķa </w:t>
            </w:r>
            <w:r w:rsidR="002B3B06">
              <w:t>“</w:t>
            </w:r>
            <w:r>
              <w:t xml:space="preserve">Nodrošināt publisko datu </w:t>
            </w:r>
            <w:proofErr w:type="spellStart"/>
            <w:r>
              <w:t>atkalizmantošanas</w:t>
            </w:r>
            <w:proofErr w:type="spellEnd"/>
            <w:r>
              <w:t xml:space="preserve"> pieaugumu un efektīvu publiskās pārvaldes </w:t>
            </w:r>
            <w:r w:rsidR="002B3B06">
              <w:t>un privātā sektora mijiedarbību”</w:t>
            </w:r>
            <w:r>
              <w:t xml:space="preserve"> 2.2.1.1. pasākuma </w:t>
            </w:r>
            <w:r w:rsidR="002B3B06">
              <w:t>“</w:t>
            </w:r>
            <w:r>
              <w:t>Centralizētu publiskās pārvaldes IKT platformu izveide, publiskās pārvaldes proce</w:t>
            </w:r>
            <w:r w:rsidR="002B3B06">
              <w:t>su optimizēšana un attīstība” īstenošanas noteikumi”</w:t>
            </w:r>
            <w:r w:rsidR="00CE23F0">
              <w:t xml:space="preserve"> iekļautajiem </w:t>
            </w:r>
            <w:r>
              <w:t>ieviešanas nosacījumiem.</w:t>
            </w:r>
            <w:r w:rsidR="00932F5B">
              <w:t xml:space="preserve"> </w:t>
            </w:r>
          </w:p>
        </w:tc>
      </w:tr>
      <w:tr w:rsidR="00B30D6D" w14:paraId="7B51FCD0" w14:textId="77777777" w:rsidTr="00AB2B61">
        <w:trPr>
          <w:trHeight w:val="553"/>
        </w:trPr>
        <w:tc>
          <w:tcPr>
            <w:tcW w:w="456" w:type="dxa"/>
            <w:shd w:val="clear" w:color="auto" w:fill="auto"/>
          </w:tcPr>
          <w:p w14:paraId="31D6FBFE" w14:textId="77777777" w:rsidR="000115B5" w:rsidRPr="005E0196" w:rsidRDefault="00686AB5" w:rsidP="00B22BC5">
            <w:pPr>
              <w:rPr>
                <w:lang w:eastAsia="en-US"/>
              </w:rPr>
            </w:pPr>
            <w:r w:rsidRPr="005E0196">
              <w:rPr>
                <w:lang w:eastAsia="en-US"/>
              </w:rPr>
              <w:lastRenderedPageBreak/>
              <w:t> 2.</w:t>
            </w:r>
          </w:p>
        </w:tc>
        <w:tc>
          <w:tcPr>
            <w:tcW w:w="1982" w:type="dxa"/>
            <w:shd w:val="clear" w:color="auto" w:fill="auto"/>
          </w:tcPr>
          <w:p w14:paraId="1F8E0FD3" w14:textId="77777777" w:rsidR="000115B5" w:rsidRPr="005E0196" w:rsidRDefault="00686AB5" w:rsidP="00B22BC5">
            <w:pPr>
              <w:rPr>
                <w:lang w:eastAsia="en-US"/>
              </w:rPr>
            </w:pPr>
            <w:r w:rsidRPr="005E0196">
              <w:rPr>
                <w:lang w:eastAsia="en-US"/>
              </w:rPr>
              <w:t>Pašreizējā situācija un problēmas</w:t>
            </w:r>
            <w:r w:rsidR="00681198" w:rsidRPr="005E0196">
              <w:rPr>
                <w:lang w:eastAsia="en-US"/>
              </w:rPr>
              <w:t>, kuru risināšanai tiesību akta projekts izstrādāts, tiesiskā regulējuma mērķis un būtība</w:t>
            </w:r>
          </w:p>
        </w:tc>
        <w:tc>
          <w:tcPr>
            <w:tcW w:w="7055" w:type="dxa"/>
            <w:shd w:val="clear" w:color="auto" w:fill="auto"/>
          </w:tcPr>
          <w:p w14:paraId="2801CF3F" w14:textId="2A3F10F4" w:rsidR="0069180D" w:rsidRPr="00B41841" w:rsidRDefault="00686AB5" w:rsidP="00B41841">
            <w:pPr>
              <w:contextualSpacing/>
              <w:jc w:val="both"/>
              <w:rPr>
                <w:rFonts w:eastAsia="MS Mincho"/>
                <w:bCs/>
                <w:lang w:eastAsia="en-US"/>
              </w:rPr>
            </w:pPr>
            <w:r w:rsidRPr="00B41841">
              <w:rPr>
                <w:rFonts w:eastAsia="MS Mincho"/>
                <w:bCs/>
                <w:lang w:eastAsia="en-US"/>
              </w:rPr>
              <w:t xml:space="preserve">Ar Ministru kabineta rīkojuma projektu tiek apstiprināts un iekļauts informācijas un komunikāciju tehnoloģiju (turpmāk – IKT) </w:t>
            </w:r>
            <w:proofErr w:type="spellStart"/>
            <w:r w:rsidRPr="00B41841">
              <w:rPr>
                <w:rFonts w:eastAsia="MS Mincho"/>
                <w:bCs/>
                <w:lang w:eastAsia="en-US"/>
              </w:rPr>
              <w:t>mērķarhitektūras</w:t>
            </w:r>
            <w:proofErr w:type="spellEnd"/>
            <w:r w:rsidRPr="00B41841">
              <w:rPr>
                <w:rFonts w:eastAsia="MS Mincho"/>
                <w:bCs/>
                <w:lang w:eastAsia="en-US"/>
              </w:rPr>
              <w:t xml:space="preserve"> 40.0 versijā projekta apraksts “Nodokļu informācijas pakalpojumu modernizācija (Maksājumu uzskaites un uzkrājuma princips)” (turpmāk – Maksājumu uzskaites un uzkrājuma principa projekts), kas tika izvērtēts </w:t>
            </w:r>
            <w:r w:rsidR="005824DC" w:rsidRPr="00B41841">
              <w:rPr>
                <w:rFonts w:eastAsia="MS Mincho"/>
                <w:bCs/>
                <w:lang w:eastAsia="en-US"/>
              </w:rPr>
              <w:t xml:space="preserve">un atbalstīts </w:t>
            </w:r>
            <w:r w:rsidRPr="00B41841">
              <w:rPr>
                <w:rFonts w:eastAsia="MS Mincho"/>
                <w:bCs/>
                <w:lang w:eastAsia="en-US"/>
              </w:rPr>
              <w:t>atbilstoši Vides aizsardzības un reģionālās attīstības ministrijas</w:t>
            </w:r>
            <w:r w:rsidR="005824DC" w:rsidRPr="00B41841">
              <w:rPr>
                <w:rFonts w:eastAsia="MS Mincho"/>
                <w:bCs/>
                <w:lang w:eastAsia="en-US"/>
              </w:rPr>
              <w:t xml:space="preserve"> </w:t>
            </w:r>
            <w:r w:rsidRPr="00B41841">
              <w:rPr>
                <w:rFonts w:eastAsia="MS Mincho"/>
                <w:bCs/>
                <w:lang w:eastAsia="en-US"/>
              </w:rPr>
              <w:t xml:space="preserve">izstrādātajai un apstiprinātajai metodikai par projektu iekļaušanu IKT </w:t>
            </w:r>
            <w:proofErr w:type="spellStart"/>
            <w:r w:rsidRPr="00B41841">
              <w:rPr>
                <w:rFonts w:eastAsia="MS Mincho"/>
                <w:bCs/>
                <w:lang w:eastAsia="en-US"/>
              </w:rPr>
              <w:t>mērķarhitektūrā</w:t>
            </w:r>
            <w:proofErr w:type="spellEnd"/>
            <w:r w:rsidRPr="00B41841">
              <w:rPr>
                <w:rFonts w:eastAsia="MS Mincho"/>
                <w:bCs/>
                <w:lang w:eastAsia="en-US"/>
              </w:rPr>
              <w:t>.</w:t>
            </w:r>
            <w:r w:rsidR="005824DC">
              <w:t xml:space="preserve"> </w:t>
            </w:r>
            <w:r w:rsidRPr="00B41841">
              <w:rPr>
                <w:rFonts w:eastAsia="MS Mincho"/>
                <w:bCs/>
                <w:lang w:eastAsia="en-US"/>
              </w:rPr>
              <w:t xml:space="preserve">Maksājumu uzskaites un uzkrājuma principa projekts veicina darbības programmas “Izaugsme un nodarbinātība” specifiskā atbalsta mērķa “Nodrošināt publisko datu </w:t>
            </w:r>
            <w:proofErr w:type="spellStart"/>
            <w:r w:rsidRPr="00B41841">
              <w:rPr>
                <w:rFonts w:eastAsia="MS Mincho"/>
                <w:bCs/>
                <w:lang w:eastAsia="en-US"/>
              </w:rPr>
              <w:t>atkalizmantošanas</w:t>
            </w:r>
            <w:proofErr w:type="spellEnd"/>
            <w:r w:rsidRPr="00B41841">
              <w:rPr>
                <w:rFonts w:eastAsia="MS Mincho"/>
                <w:bCs/>
                <w:lang w:eastAsia="en-US"/>
              </w:rPr>
              <w:t xml:space="preserve"> pieaugumu un efektīvu publiskās pārvaldes un privātā sektora mijiedarbību” 2.2.1.1. pasākumam “Centralizētu publiskās pārvaldes IKT platformu izveide, publiskās pārvaldes procesu optimizēšana un attīstība” izvirzīto rādītāju sasniegšanu, pilnveidojot 13 pamatdarbības procesus un 21 e-pakalpojumu, izveidojot 1</w:t>
            </w:r>
            <w:r w:rsidR="00061F99">
              <w:rPr>
                <w:rFonts w:eastAsia="MS Mincho"/>
                <w:bCs/>
                <w:lang w:eastAsia="en-US"/>
              </w:rPr>
              <w:t>1</w:t>
            </w:r>
            <w:r w:rsidRPr="00B41841">
              <w:rPr>
                <w:rFonts w:eastAsia="MS Mincho"/>
                <w:bCs/>
                <w:lang w:eastAsia="en-US"/>
              </w:rPr>
              <w:t xml:space="preserve"> datu kopas publicēšanai </w:t>
            </w:r>
            <w:proofErr w:type="spellStart"/>
            <w:r w:rsidRPr="00B41841">
              <w:rPr>
                <w:rFonts w:eastAsia="MS Mincho"/>
                <w:bCs/>
                <w:lang w:eastAsia="en-US"/>
              </w:rPr>
              <w:t>atkalizmantojamo</w:t>
            </w:r>
            <w:proofErr w:type="spellEnd"/>
            <w:r w:rsidRPr="00B41841">
              <w:rPr>
                <w:rFonts w:eastAsia="MS Mincho"/>
                <w:bCs/>
                <w:lang w:eastAsia="en-US"/>
              </w:rPr>
              <w:t xml:space="preserve"> datu formātos, kā arī ieviešot uzkrājuma principu Valsts ieņēmumu dienesta (turpmāk – VID) administrēto nodokļu, nodevu un citu maksājumu valsts budžetā uzskaitē. Maksājumu uzskaites un uzkrājuma principa projekts ir </w:t>
            </w:r>
            <w:r w:rsidR="00AD6D58">
              <w:rPr>
                <w:rFonts w:eastAsia="MS Mincho"/>
                <w:bCs/>
                <w:lang w:eastAsia="en-US"/>
              </w:rPr>
              <w:t xml:space="preserve">projekta </w:t>
            </w:r>
            <w:r w:rsidRPr="00B41841">
              <w:rPr>
                <w:rFonts w:eastAsia="MS Mincho"/>
                <w:bCs/>
                <w:lang w:eastAsia="en-US"/>
              </w:rPr>
              <w:t>“Nodokļu informācijas pakalpojumu modernizācija” 2.kārtas projekts.</w:t>
            </w:r>
          </w:p>
          <w:p w14:paraId="68786333" w14:textId="77777777" w:rsidR="0069180D" w:rsidRPr="00B41841" w:rsidRDefault="00686AB5" w:rsidP="00B41841">
            <w:pPr>
              <w:contextualSpacing/>
              <w:jc w:val="both"/>
              <w:rPr>
                <w:rFonts w:eastAsia="MS Mincho"/>
                <w:bCs/>
                <w:lang w:eastAsia="en-US"/>
              </w:rPr>
            </w:pPr>
            <w:r w:rsidRPr="00B41841">
              <w:rPr>
                <w:rFonts w:eastAsia="MS Mincho"/>
                <w:bCs/>
                <w:lang w:eastAsia="en-US"/>
              </w:rPr>
              <w:t xml:space="preserve">Viss projekts “Nodokļu informācijas pakalpojumu modernizācija” risinās problēmas, kas saistīti ar esošo VID pamatdarbības IKT atbalstu: </w:t>
            </w:r>
          </w:p>
          <w:p w14:paraId="6D828805" w14:textId="25B727A3" w:rsidR="0069180D" w:rsidRPr="00B41841" w:rsidRDefault="00686AB5" w:rsidP="00B41841">
            <w:pPr>
              <w:contextualSpacing/>
              <w:jc w:val="both"/>
              <w:rPr>
                <w:rFonts w:eastAsia="MS Mincho"/>
                <w:bCs/>
                <w:lang w:eastAsia="en-US"/>
              </w:rPr>
            </w:pPr>
            <w:r w:rsidRPr="00B41841">
              <w:rPr>
                <w:rFonts w:eastAsia="MS Mincho"/>
                <w:bCs/>
                <w:lang w:eastAsia="en-US"/>
              </w:rPr>
              <w:t>•</w:t>
            </w:r>
            <w:r w:rsidRPr="00B41841">
              <w:rPr>
                <w:rFonts w:eastAsia="MS Mincho"/>
                <w:bCs/>
                <w:lang w:eastAsia="en-US"/>
              </w:rPr>
              <w:tab/>
              <w:t>Galveno informācijas sistēmu (Nodokļu informācijas sistēma (turpmāk – NIS) un Centrālā muitas informāc</w:t>
            </w:r>
            <w:r w:rsidR="00BB02B7">
              <w:rPr>
                <w:rFonts w:eastAsia="MS Mincho"/>
                <w:bCs/>
                <w:lang w:eastAsia="en-US"/>
              </w:rPr>
              <w:t>ijas sistēma (turpmāk – CMIS)</w:t>
            </w:r>
            <w:r w:rsidRPr="00B41841">
              <w:rPr>
                <w:rFonts w:eastAsia="MS Mincho"/>
                <w:bCs/>
                <w:lang w:eastAsia="en-US"/>
              </w:rPr>
              <w:t>, kas VID tiek izmantotas VID administrēto valsts budžeta maksājumu informācijas apstrādei, izstrāde tika uzsākta 1996.gadā, izmantojot tā laika tehnoloģiskos risinājumus, kas šobrīd ir morāli novecojuši un nespēj nodrošināt VID nepieciešamo funkcionalitātes, pieejamības, veiktspējas un drošības prasību īstenošanu optimālā veidā.</w:t>
            </w:r>
          </w:p>
          <w:p w14:paraId="43A9289E" w14:textId="334C7103" w:rsidR="0069180D" w:rsidRPr="00B41841" w:rsidRDefault="00686AB5" w:rsidP="00B41841">
            <w:pPr>
              <w:contextualSpacing/>
              <w:jc w:val="both"/>
              <w:rPr>
                <w:rFonts w:eastAsia="MS Mincho"/>
                <w:bCs/>
                <w:lang w:eastAsia="en-US"/>
              </w:rPr>
            </w:pPr>
            <w:r w:rsidRPr="00B41841">
              <w:rPr>
                <w:rFonts w:eastAsia="MS Mincho"/>
                <w:bCs/>
                <w:lang w:eastAsia="en-US"/>
              </w:rPr>
              <w:lastRenderedPageBreak/>
              <w:t>•</w:t>
            </w:r>
            <w:r w:rsidRPr="00B41841">
              <w:rPr>
                <w:rFonts w:eastAsia="MS Mincho"/>
                <w:bCs/>
                <w:lang w:eastAsia="en-US"/>
              </w:rPr>
              <w:tab/>
              <w:t xml:space="preserve">Kopš NIS un CMIS izveidošanas ir ievērojami pieaudzis un ar katru gadu pieaug apstrādājamās informācijas apjoms, kuram ir liela ietekme uz sistēmu veiktspēju. Esošajā situācijā veiktspējas problēmas VID risina, galvenokārt palielinot tehnisko resursu jaudas. Efektīvam un kompleksam risinājumam, kas ļautu optimizēt un mazināt sistēmā notiekošo procesu savstarpējo ietekmi, nepieciešamas izmaiņas </w:t>
            </w:r>
            <w:r w:rsidR="00BB02B7">
              <w:rPr>
                <w:rFonts w:eastAsia="MS Mincho"/>
                <w:bCs/>
                <w:lang w:eastAsia="en-US"/>
              </w:rPr>
              <w:t>informācijas sistēmas</w:t>
            </w:r>
            <w:r w:rsidRPr="00B41841">
              <w:rPr>
                <w:rFonts w:eastAsia="MS Mincho"/>
                <w:bCs/>
                <w:lang w:eastAsia="en-US"/>
              </w:rPr>
              <w:t xml:space="preserve"> arhitektūrā, veidojot </w:t>
            </w:r>
            <w:r w:rsidR="00BB02B7">
              <w:rPr>
                <w:rFonts w:eastAsia="MS Mincho"/>
                <w:bCs/>
                <w:lang w:eastAsia="en-US"/>
              </w:rPr>
              <w:t>informācijas sistēmu</w:t>
            </w:r>
            <w:r w:rsidRPr="00B41841">
              <w:rPr>
                <w:rFonts w:eastAsia="MS Mincho"/>
                <w:bCs/>
                <w:lang w:eastAsia="en-US"/>
              </w:rPr>
              <w:t xml:space="preserve"> modulāru, mērogojamu, paplašināmu un caurskatāmu.</w:t>
            </w:r>
          </w:p>
          <w:p w14:paraId="4B881887" w14:textId="77777777" w:rsidR="0069180D" w:rsidRPr="00B41841" w:rsidRDefault="00686AB5" w:rsidP="00B41841">
            <w:pPr>
              <w:contextualSpacing/>
              <w:jc w:val="both"/>
              <w:rPr>
                <w:rFonts w:eastAsia="MS Mincho"/>
                <w:bCs/>
                <w:lang w:eastAsia="en-US"/>
              </w:rPr>
            </w:pPr>
            <w:r w:rsidRPr="00B41841">
              <w:rPr>
                <w:rFonts w:eastAsia="MS Mincho"/>
                <w:bCs/>
                <w:lang w:eastAsia="en-US"/>
              </w:rPr>
              <w:t>•</w:t>
            </w:r>
            <w:r w:rsidRPr="00B41841">
              <w:rPr>
                <w:rFonts w:eastAsia="MS Mincho"/>
                <w:bCs/>
                <w:lang w:eastAsia="en-US"/>
              </w:rPr>
              <w:tab/>
              <w:t>Izmantojot novecojušas tehnoloģijas pieaug drošības risku iestāšanās varbūtība, tiek ierobežota mūsdienu riskiem (terorisms, kibernoziegumi, datu falsificēšana u.c.) atbilstoša informācijas aprites drošības līmeņa nodrošināšana, neieviešot papildu kontroles mehānismus. Tehnoloģisku ierobežojumu dēļ esošos VID tehnoloģiskos risinājumus ir sarežģīti apvienot ar augstu sistēmas veiktspēju.</w:t>
            </w:r>
          </w:p>
          <w:p w14:paraId="3F21D8CC" w14:textId="77777777" w:rsidR="0069180D" w:rsidRPr="00B41841" w:rsidRDefault="00686AB5" w:rsidP="00B41841">
            <w:pPr>
              <w:contextualSpacing/>
              <w:jc w:val="both"/>
              <w:rPr>
                <w:rFonts w:eastAsia="MS Mincho"/>
                <w:bCs/>
                <w:lang w:eastAsia="en-US"/>
              </w:rPr>
            </w:pPr>
            <w:r w:rsidRPr="00B41841">
              <w:rPr>
                <w:rFonts w:eastAsia="MS Mincho"/>
                <w:bCs/>
                <w:lang w:eastAsia="en-US"/>
              </w:rPr>
              <w:t>•</w:t>
            </w:r>
            <w:r w:rsidRPr="00B41841">
              <w:rPr>
                <w:rFonts w:eastAsia="MS Mincho"/>
                <w:bCs/>
                <w:lang w:eastAsia="en-US"/>
              </w:rPr>
              <w:tab/>
              <w:t xml:space="preserve">VID esošā IKT arhitektūra apgrūtina VID iespējas nodrošināt Eiropas Savienības un Latvijas tiesību aktu mainīgo prasību izpildi, jo ir fiziski un morāli novecojusi, un papildu pielāgojumi vēl vairāk </w:t>
            </w:r>
            <w:proofErr w:type="spellStart"/>
            <w:r w:rsidRPr="00B41841">
              <w:rPr>
                <w:rFonts w:eastAsia="MS Mincho"/>
                <w:bCs/>
                <w:lang w:eastAsia="en-US"/>
              </w:rPr>
              <w:t>sarežģī</w:t>
            </w:r>
            <w:proofErr w:type="spellEnd"/>
            <w:r w:rsidRPr="00B41841">
              <w:rPr>
                <w:rFonts w:eastAsia="MS Mincho"/>
                <w:bCs/>
                <w:lang w:eastAsia="en-US"/>
              </w:rPr>
              <w:t xml:space="preserve"> ar IKT arhitektūras uzturēšanu un VID pamatdarbības īstenošanu saistītos procesus un palielina izmaksas.</w:t>
            </w:r>
          </w:p>
          <w:p w14:paraId="1086D737" w14:textId="743B25B9" w:rsidR="0069180D" w:rsidRPr="00B41841" w:rsidRDefault="00686AB5" w:rsidP="00B41841">
            <w:pPr>
              <w:contextualSpacing/>
              <w:jc w:val="both"/>
              <w:rPr>
                <w:rFonts w:eastAsia="MS Mincho"/>
                <w:bCs/>
                <w:lang w:eastAsia="en-US"/>
              </w:rPr>
            </w:pPr>
            <w:r w:rsidRPr="00B41841">
              <w:rPr>
                <w:rFonts w:eastAsia="MS Mincho"/>
                <w:bCs/>
                <w:lang w:eastAsia="en-US"/>
              </w:rPr>
              <w:t>•</w:t>
            </w:r>
            <w:r w:rsidRPr="00B41841">
              <w:rPr>
                <w:rFonts w:eastAsia="MS Mincho"/>
                <w:bCs/>
                <w:lang w:eastAsia="en-US"/>
              </w:rPr>
              <w:tab/>
              <w:t xml:space="preserve">Valsts budžeta maksājumu uzskaitei VID tiek izmantotas divas paralēlas </w:t>
            </w:r>
            <w:r w:rsidR="00BB02B7">
              <w:rPr>
                <w:rFonts w:eastAsia="MS Mincho"/>
                <w:bCs/>
                <w:lang w:eastAsia="en-US"/>
              </w:rPr>
              <w:t>informācijas sistēmas</w:t>
            </w:r>
            <w:r w:rsidRPr="00B41841">
              <w:rPr>
                <w:rFonts w:eastAsia="MS Mincho"/>
                <w:bCs/>
                <w:lang w:eastAsia="en-US"/>
              </w:rPr>
              <w:t xml:space="preserve"> – NIS un CMIS, kas palielina ar informācijas iegūšanu un apstrādi saistīto darba apjomu VID darbiniekiem, kā arī paildzina VID procesu norisi un ietekmē VID sniegto pakalpojumu kvalitāti – pakalpojuma saņemšanas laiku un pakalpojuma caurskatāmību.</w:t>
            </w:r>
          </w:p>
          <w:p w14:paraId="1FFB08F0" w14:textId="77777777" w:rsidR="0069180D" w:rsidRPr="00B41841" w:rsidRDefault="00686AB5" w:rsidP="00B41841">
            <w:pPr>
              <w:contextualSpacing/>
              <w:jc w:val="both"/>
              <w:rPr>
                <w:rFonts w:eastAsia="MS Mincho"/>
                <w:bCs/>
                <w:lang w:eastAsia="en-US"/>
              </w:rPr>
            </w:pPr>
            <w:r w:rsidRPr="00B41841">
              <w:rPr>
                <w:rFonts w:eastAsia="MS Mincho"/>
                <w:bCs/>
                <w:lang w:eastAsia="en-US"/>
              </w:rPr>
              <w:t>•</w:t>
            </w:r>
            <w:r w:rsidRPr="00B41841">
              <w:rPr>
                <w:rFonts w:eastAsia="MS Mincho"/>
                <w:bCs/>
                <w:lang w:eastAsia="en-US"/>
              </w:rPr>
              <w:tab/>
              <w:t xml:space="preserve">Esošā NIS nodrošina valsts budžeta maksājumu uzskaiti pēc naudas plūsmas principa, kas nozīmē, ka tiek uzskaitītas nodokļu maksātāja saistības norēķinos ar budžetu par katru maksājuma veidu, kas attiecīgi tiek samazinātas brīdī, kad NIS ir saņemta informācija par veikto maksājumu. Esošais NIS risinājums nav piemērots nodokļu uzskaitei pēc uzkrājuma principa bez būtisku izmaiņu veikšanas.   </w:t>
            </w:r>
          </w:p>
          <w:p w14:paraId="7C929C40" w14:textId="77777777" w:rsidR="0069180D" w:rsidRPr="00B41841" w:rsidRDefault="00686AB5" w:rsidP="00B41841">
            <w:pPr>
              <w:contextualSpacing/>
              <w:jc w:val="both"/>
              <w:rPr>
                <w:rFonts w:eastAsia="MS Mincho"/>
                <w:bCs/>
                <w:lang w:eastAsia="en-US"/>
              </w:rPr>
            </w:pPr>
            <w:r w:rsidRPr="00B41841">
              <w:rPr>
                <w:rFonts w:eastAsia="MS Mincho"/>
                <w:bCs/>
                <w:lang w:eastAsia="en-US"/>
              </w:rPr>
              <w:t>•</w:t>
            </w:r>
            <w:r w:rsidRPr="00B41841">
              <w:rPr>
                <w:rFonts w:eastAsia="MS Mincho"/>
                <w:bCs/>
                <w:lang w:eastAsia="en-US"/>
              </w:rPr>
              <w:tab/>
              <w:t>Esošais Elektroniskās deklarēšanas sistēmas autentifikācijas risinājums nenodrošina iespēju autentificēties Latvijas nerezidentiem (izņemot reģistrāciju pievienotās vērtības nodokļa īpašajā režīmā (M1SS)) un ārvalstu juridiskajām personām, kā arī neatbalsta risinājumu, kas paredz informācijas par juridiskām personām sniegtajiem publiskajiem pakalpojumiem pieejamību vienuviet.</w:t>
            </w:r>
          </w:p>
          <w:p w14:paraId="1F8144E1" w14:textId="77777777" w:rsidR="0069180D" w:rsidRDefault="00686AB5" w:rsidP="00B41841">
            <w:pPr>
              <w:contextualSpacing/>
              <w:jc w:val="both"/>
              <w:rPr>
                <w:rFonts w:eastAsia="MS Mincho"/>
                <w:bCs/>
                <w:lang w:eastAsia="en-US"/>
              </w:rPr>
            </w:pPr>
            <w:r w:rsidRPr="00B41841">
              <w:rPr>
                <w:rFonts w:eastAsia="MS Mincho"/>
                <w:bCs/>
                <w:lang w:eastAsia="en-US"/>
              </w:rPr>
              <w:t>•</w:t>
            </w:r>
            <w:r w:rsidRPr="00B41841">
              <w:rPr>
                <w:rFonts w:eastAsia="MS Mincho"/>
                <w:bCs/>
                <w:lang w:eastAsia="en-US"/>
              </w:rPr>
              <w:tab/>
              <w:t>Esošā tehnoloģiskā platforma nenodrošina iekļaušanos vienotajā valsts IKT arhitektūrā bez papildu pielāgojumiem.</w:t>
            </w:r>
          </w:p>
          <w:p w14:paraId="3D3C2881" w14:textId="77777777" w:rsidR="0069180D" w:rsidRPr="00B41841" w:rsidRDefault="00686AB5" w:rsidP="00B41841">
            <w:pPr>
              <w:contextualSpacing/>
              <w:jc w:val="both"/>
              <w:rPr>
                <w:rFonts w:eastAsia="MS Mincho"/>
                <w:bCs/>
                <w:lang w:eastAsia="en-US"/>
              </w:rPr>
            </w:pPr>
            <w:r w:rsidRPr="00B41841">
              <w:rPr>
                <w:rFonts w:eastAsia="MS Mincho"/>
                <w:bCs/>
                <w:lang w:eastAsia="en-US"/>
              </w:rPr>
              <w:t>Ministru kabineta rīkojuma pielikumā ir iekļauts Maksājumu uzskaites un uzkrājuma principa Projekta apraksts (kopsavilkums). Maksājumu uzskaites un uzkrājuma principa projekts iekļaujas projekta “Nodokļu informācijas pakalpojumu modernizācija” mērķu struktūrā un tam ir izvirzīti šādi mērķi - ieviest uzkrājuma principu, ieviest vienoto nodokļu kontu un nodrošināt pilnīgu informāciju par faktiskajiem konkrētā perioda VID administrētajiem valsts budžeta ieņēmumiem.</w:t>
            </w:r>
          </w:p>
          <w:p w14:paraId="47EAC29E" w14:textId="77777777" w:rsidR="0069180D" w:rsidRPr="00B41841" w:rsidRDefault="00686AB5" w:rsidP="00B41841">
            <w:pPr>
              <w:contextualSpacing/>
              <w:jc w:val="both"/>
              <w:rPr>
                <w:rFonts w:eastAsia="MS Mincho"/>
                <w:bCs/>
                <w:lang w:eastAsia="en-US"/>
              </w:rPr>
            </w:pPr>
            <w:r w:rsidRPr="00B41841">
              <w:rPr>
                <w:rFonts w:eastAsia="MS Mincho"/>
                <w:bCs/>
                <w:lang w:eastAsia="en-US"/>
              </w:rPr>
              <w:t>Maksājumu uzskaites un uzkrājuma principa projekta mērķu sasniegšanai nepieciešams:</w:t>
            </w:r>
          </w:p>
          <w:p w14:paraId="1438F481" w14:textId="77777777" w:rsidR="0069180D" w:rsidRPr="00B41841" w:rsidRDefault="00686AB5" w:rsidP="00B41841">
            <w:pPr>
              <w:contextualSpacing/>
              <w:jc w:val="both"/>
              <w:rPr>
                <w:rFonts w:eastAsia="MS Mincho"/>
                <w:bCs/>
                <w:lang w:eastAsia="en-US"/>
              </w:rPr>
            </w:pPr>
            <w:r w:rsidRPr="00B41841">
              <w:rPr>
                <w:rFonts w:eastAsia="MS Mincho"/>
                <w:bCs/>
                <w:lang w:eastAsia="en-US"/>
              </w:rPr>
              <w:t>•</w:t>
            </w:r>
            <w:r w:rsidRPr="00B41841">
              <w:rPr>
                <w:rFonts w:eastAsia="MS Mincho"/>
                <w:bCs/>
                <w:lang w:eastAsia="en-US"/>
              </w:rPr>
              <w:tab/>
              <w:t xml:space="preserve">izstrādāt mūsdienu tehnoloģijās balstītu ar iekšzemes nodokļiem un VID administrētajām nodevām saistīto maksājumu uzskaites un </w:t>
            </w:r>
            <w:r w:rsidRPr="00B41841">
              <w:rPr>
                <w:rFonts w:eastAsia="MS Mincho"/>
                <w:bCs/>
                <w:lang w:eastAsia="en-US"/>
              </w:rPr>
              <w:lastRenderedPageBreak/>
              <w:t>administrēšanas, un nodokļu ieņēmumu grāmatvedības uzskaites funkcionalitāti;</w:t>
            </w:r>
          </w:p>
          <w:p w14:paraId="6808A8D1" w14:textId="77777777" w:rsidR="0069180D" w:rsidRPr="00B41841" w:rsidRDefault="00686AB5" w:rsidP="00B41841">
            <w:pPr>
              <w:contextualSpacing/>
              <w:jc w:val="both"/>
              <w:rPr>
                <w:rFonts w:eastAsia="MS Mincho"/>
                <w:bCs/>
                <w:lang w:eastAsia="en-US"/>
              </w:rPr>
            </w:pPr>
            <w:r w:rsidRPr="00B41841">
              <w:rPr>
                <w:rFonts w:eastAsia="MS Mincho"/>
                <w:bCs/>
                <w:lang w:eastAsia="en-US"/>
              </w:rPr>
              <w:t>•</w:t>
            </w:r>
            <w:r w:rsidRPr="00B41841">
              <w:rPr>
                <w:rFonts w:eastAsia="MS Mincho"/>
                <w:bCs/>
                <w:lang w:eastAsia="en-US"/>
              </w:rPr>
              <w:tab/>
              <w:t>pilnveidot VID nodokļu administrēšanas un pakalpojumu sniegšanas procesus;</w:t>
            </w:r>
          </w:p>
          <w:p w14:paraId="2F413D5B" w14:textId="4192B6AC" w:rsidR="0069180D" w:rsidRPr="00B41841" w:rsidRDefault="00686AB5" w:rsidP="00B41841">
            <w:pPr>
              <w:contextualSpacing/>
              <w:jc w:val="both"/>
              <w:rPr>
                <w:rFonts w:eastAsia="MS Mincho"/>
                <w:bCs/>
                <w:lang w:eastAsia="en-US"/>
              </w:rPr>
            </w:pPr>
            <w:r w:rsidRPr="00B41841">
              <w:rPr>
                <w:rFonts w:eastAsia="MS Mincho"/>
                <w:bCs/>
                <w:lang w:eastAsia="en-US"/>
              </w:rPr>
              <w:t>•</w:t>
            </w:r>
            <w:r w:rsidRPr="00B41841">
              <w:rPr>
                <w:rFonts w:eastAsia="MS Mincho"/>
                <w:bCs/>
                <w:lang w:eastAsia="en-US"/>
              </w:rPr>
              <w:tab/>
              <w:t xml:space="preserve">nodrošināt </w:t>
            </w:r>
            <w:r w:rsidR="00BB02B7">
              <w:rPr>
                <w:rFonts w:eastAsia="MS Mincho"/>
                <w:bCs/>
                <w:lang w:eastAsia="en-US"/>
              </w:rPr>
              <w:t>informācijas sistēmu</w:t>
            </w:r>
            <w:r w:rsidRPr="00B41841">
              <w:rPr>
                <w:rFonts w:eastAsia="MS Mincho"/>
                <w:bCs/>
                <w:lang w:eastAsia="en-US"/>
              </w:rPr>
              <w:t xml:space="preserve"> atbalstu VID administrēto nodokļu, nodevu un citu maksājumu valsts budžetā uzskaitei pēc uzkrājuma principa;</w:t>
            </w:r>
          </w:p>
          <w:p w14:paraId="74DBA751" w14:textId="7331CBCD" w:rsidR="0069180D" w:rsidRPr="00B41841" w:rsidRDefault="00686AB5" w:rsidP="00B41841">
            <w:pPr>
              <w:contextualSpacing/>
              <w:jc w:val="both"/>
              <w:rPr>
                <w:rFonts w:eastAsia="MS Mincho"/>
                <w:bCs/>
                <w:lang w:eastAsia="en-US"/>
              </w:rPr>
            </w:pPr>
            <w:r w:rsidRPr="00B41841">
              <w:rPr>
                <w:rFonts w:eastAsia="MS Mincho"/>
                <w:bCs/>
                <w:lang w:eastAsia="en-US"/>
              </w:rPr>
              <w:t>•</w:t>
            </w:r>
            <w:r w:rsidRPr="00B41841">
              <w:rPr>
                <w:rFonts w:eastAsia="MS Mincho"/>
                <w:bCs/>
                <w:lang w:eastAsia="en-US"/>
              </w:rPr>
              <w:tab/>
              <w:t xml:space="preserve">nodrošināt </w:t>
            </w:r>
            <w:r w:rsidR="00BB02B7">
              <w:rPr>
                <w:rFonts w:eastAsia="MS Mincho"/>
                <w:bCs/>
                <w:lang w:eastAsia="en-US"/>
              </w:rPr>
              <w:t>informācijas sistēmu</w:t>
            </w:r>
            <w:r w:rsidRPr="00B41841">
              <w:rPr>
                <w:rFonts w:eastAsia="MS Mincho"/>
                <w:bCs/>
                <w:lang w:eastAsia="en-US"/>
              </w:rPr>
              <w:t xml:space="preserve"> atbalstu vienotajā nodokļu kontā veikto maksājumu administrēšanu VID administrētajiem valsts budžeta ieņēmumiem;</w:t>
            </w:r>
          </w:p>
          <w:p w14:paraId="29AED7C5" w14:textId="77777777" w:rsidR="0069180D" w:rsidRPr="00B41841" w:rsidRDefault="00686AB5" w:rsidP="00B41841">
            <w:pPr>
              <w:contextualSpacing/>
              <w:jc w:val="both"/>
              <w:rPr>
                <w:rFonts w:eastAsia="MS Mincho"/>
                <w:bCs/>
                <w:lang w:eastAsia="en-US"/>
              </w:rPr>
            </w:pPr>
            <w:r w:rsidRPr="00B41841">
              <w:rPr>
                <w:rFonts w:eastAsia="MS Mincho"/>
                <w:bCs/>
                <w:lang w:eastAsia="en-US"/>
              </w:rPr>
              <w:t>•</w:t>
            </w:r>
            <w:r w:rsidRPr="00B41841">
              <w:rPr>
                <w:rFonts w:eastAsia="MS Mincho"/>
                <w:bCs/>
                <w:lang w:eastAsia="en-US"/>
              </w:rPr>
              <w:tab/>
              <w:t xml:space="preserve">publicēt VID datu kopas </w:t>
            </w:r>
            <w:proofErr w:type="spellStart"/>
            <w:r w:rsidRPr="00B41841">
              <w:rPr>
                <w:rFonts w:eastAsia="MS Mincho"/>
                <w:bCs/>
                <w:lang w:eastAsia="en-US"/>
              </w:rPr>
              <w:t>atkalizmantojamu</w:t>
            </w:r>
            <w:proofErr w:type="spellEnd"/>
            <w:r w:rsidRPr="00B41841">
              <w:rPr>
                <w:rFonts w:eastAsia="MS Mincho"/>
                <w:bCs/>
                <w:lang w:eastAsia="en-US"/>
              </w:rPr>
              <w:t xml:space="preserve"> datu formātos.</w:t>
            </w:r>
          </w:p>
          <w:p w14:paraId="33987875" w14:textId="77777777" w:rsidR="00644AB9" w:rsidRPr="00C25AA9" w:rsidRDefault="00686AB5" w:rsidP="00B41841">
            <w:pPr>
              <w:ind w:firstLine="709"/>
              <w:jc w:val="both"/>
            </w:pPr>
            <w:r w:rsidRPr="00B41841">
              <w:rPr>
                <w:rFonts w:eastAsia="MS Mincho"/>
                <w:bCs/>
                <w:lang w:eastAsia="en-US"/>
              </w:rPr>
              <w:t>Valsts budžeta maksājumu administrēšanas process VID ir saistīts ar liela apjoma informācijas un datu apstrādi un ir viens no resursu ietilpīgākajiem un nozīmīgākajiem publiskās pārvaldes pamatdarbības procesiem. VID pamatdarbības procesu standartizācija ļaus samazināt neefektīvu procesu soļu daudzumu, novērst atbildību dublēšanos, ietaupot laiku un līdzekļus, kas novirzāmi darba procesu pārvaldībai un administrēšanai, padarot kopējo VID pamatdarbību efektīvāku un pārskatāmāku. Balstot pamatdarbības procesu izpildi uz automatizētām darba plūsmām un procesiem tiek plānots, ka tiks samazināts procesu izpildes laiks, veicinot nodokļu maksātāju apmierinātību ar VID sniegtajiem pakalpojumiem, savukārt atvērto datu kopu publicēšana ietekmēs valsts pārvaldes darba efektivitāti un datu kvalitāti.</w:t>
            </w:r>
          </w:p>
        </w:tc>
      </w:tr>
      <w:tr w:rsidR="00B30D6D" w14:paraId="49FD459C" w14:textId="77777777" w:rsidTr="00AB2B61">
        <w:trPr>
          <w:trHeight w:val="476"/>
        </w:trPr>
        <w:tc>
          <w:tcPr>
            <w:tcW w:w="456" w:type="dxa"/>
            <w:shd w:val="clear" w:color="auto" w:fill="auto"/>
          </w:tcPr>
          <w:p w14:paraId="135CAF60" w14:textId="77777777" w:rsidR="000115B5" w:rsidRPr="005E0196" w:rsidRDefault="00686AB5" w:rsidP="00B22BC5">
            <w:pPr>
              <w:rPr>
                <w:lang w:eastAsia="en-US"/>
              </w:rPr>
            </w:pPr>
            <w:r w:rsidRPr="005E0196">
              <w:rPr>
                <w:lang w:eastAsia="en-US"/>
              </w:rPr>
              <w:lastRenderedPageBreak/>
              <w:t> 3.</w:t>
            </w:r>
          </w:p>
        </w:tc>
        <w:tc>
          <w:tcPr>
            <w:tcW w:w="1982" w:type="dxa"/>
            <w:shd w:val="clear" w:color="auto" w:fill="auto"/>
          </w:tcPr>
          <w:p w14:paraId="65C0BA6F" w14:textId="77777777" w:rsidR="000115B5" w:rsidRPr="005E0196" w:rsidRDefault="00686AB5" w:rsidP="00B22BC5">
            <w:pPr>
              <w:rPr>
                <w:lang w:eastAsia="en-US"/>
              </w:rPr>
            </w:pPr>
            <w:r w:rsidRPr="005E0196">
              <w:rPr>
                <w:lang w:eastAsia="en-US"/>
              </w:rPr>
              <w:t>Projekta izstrādē iesaistītās institūcijas</w:t>
            </w:r>
          </w:p>
        </w:tc>
        <w:tc>
          <w:tcPr>
            <w:tcW w:w="7055" w:type="dxa"/>
            <w:shd w:val="clear" w:color="auto" w:fill="auto"/>
          </w:tcPr>
          <w:p w14:paraId="2DBD15E2" w14:textId="3EE1D9BB" w:rsidR="00BF28DA" w:rsidRPr="00B41841" w:rsidRDefault="0067476B" w:rsidP="002B1A88">
            <w:pPr>
              <w:pStyle w:val="ISBodyText"/>
              <w:rPr>
                <w:rFonts w:ascii="Times New Roman" w:eastAsia="Times New Roman" w:hAnsi="Times New Roman"/>
                <w:bCs w:val="0"/>
                <w:sz w:val="24"/>
                <w:szCs w:val="24"/>
                <w:lang w:eastAsia="zh-CN"/>
              </w:rPr>
            </w:pPr>
            <w:r>
              <w:rPr>
                <w:rFonts w:ascii="Times New Roman" w:eastAsia="Times New Roman" w:hAnsi="Times New Roman"/>
                <w:bCs w:val="0"/>
                <w:sz w:val="24"/>
                <w:szCs w:val="24"/>
                <w:lang w:eastAsia="zh-CN"/>
              </w:rPr>
              <w:t>VID</w:t>
            </w:r>
            <w:r w:rsidR="00C1718C" w:rsidRPr="00B41841">
              <w:rPr>
                <w:rFonts w:ascii="Times New Roman" w:eastAsia="Times New Roman" w:hAnsi="Times New Roman"/>
                <w:bCs w:val="0"/>
                <w:sz w:val="24"/>
                <w:szCs w:val="24"/>
                <w:lang w:eastAsia="zh-CN"/>
              </w:rPr>
              <w:t>, Finanšu ministrija</w:t>
            </w:r>
          </w:p>
        </w:tc>
      </w:tr>
      <w:tr w:rsidR="00B30D6D" w14:paraId="7779D53F" w14:textId="77777777" w:rsidTr="00AB2B61">
        <w:tc>
          <w:tcPr>
            <w:tcW w:w="456" w:type="dxa"/>
            <w:shd w:val="clear" w:color="auto" w:fill="auto"/>
          </w:tcPr>
          <w:p w14:paraId="14644897" w14:textId="77777777" w:rsidR="000115B5" w:rsidRPr="005E0196" w:rsidRDefault="00686AB5" w:rsidP="00B22BC5">
            <w:pPr>
              <w:rPr>
                <w:lang w:eastAsia="en-US"/>
              </w:rPr>
            </w:pPr>
            <w:r w:rsidRPr="005E0196">
              <w:rPr>
                <w:lang w:eastAsia="en-US"/>
              </w:rPr>
              <w:t> 4.</w:t>
            </w:r>
          </w:p>
        </w:tc>
        <w:tc>
          <w:tcPr>
            <w:tcW w:w="1982" w:type="dxa"/>
            <w:shd w:val="clear" w:color="auto" w:fill="auto"/>
          </w:tcPr>
          <w:p w14:paraId="6641974E" w14:textId="77777777" w:rsidR="000115B5" w:rsidRPr="005E0196" w:rsidRDefault="00686AB5" w:rsidP="00B22BC5">
            <w:pPr>
              <w:rPr>
                <w:lang w:eastAsia="en-US"/>
              </w:rPr>
            </w:pPr>
            <w:r w:rsidRPr="005E0196">
              <w:rPr>
                <w:lang w:eastAsia="en-US"/>
              </w:rPr>
              <w:t> Cita informācija</w:t>
            </w:r>
          </w:p>
        </w:tc>
        <w:tc>
          <w:tcPr>
            <w:tcW w:w="7055" w:type="dxa"/>
            <w:shd w:val="clear" w:color="auto" w:fill="auto"/>
          </w:tcPr>
          <w:p w14:paraId="7D566BFD" w14:textId="365FC5EB" w:rsidR="00A02F54" w:rsidRPr="005E0196" w:rsidRDefault="00686AB5" w:rsidP="00907408">
            <w:pPr>
              <w:jc w:val="both"/>
              <w:rPr>
                <w:lang w:eastAsia="en-US"/>
              </w:rPr>
            </w:pPr>
            <w:r w:rsidRPr="005E0196">
              <w:rPr>
                <w:lang w:eastAsia="en-US"/>
              </w:rPr>
              <w:t>Nav.</w:t>
            </w:r>
          </w:p>
        </w:tc>
      </w:tr>
    </w:tbl>
    <w:p w14:paraId="17F6DA55" w14:textId="77777777" w:rsidR="000115B5" w:rsidRDefault="00686AB5" w:rsidP="00D67767">
      <w:pPr>
        <w:jc w:val="both"/>
        <w:rPr>
          <w:lang w:eastAsia="en-US"/>
        </w:rPr>
      </w:pPr>
      <w:r w:rsidRPr="005E0196">
        <w:rPr>
          <w:lang w:eastAsia="en-US"/>
        </w:rPr>
        <w:t> </w:t>
      </w: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5"/>
        <w:gridCol w:w="2694"/>
        <w:gridCol w:w="6374"/>
      </w:tblGrid>
      <w:tr w:rsidR="00B30D6D" w14:paraId="7427DBC6" w14:textId="77777777" w:rsidTr="00AB2B61">
        <w:trPr>
          <w:trHeight w:val="585"/>
        </w:trPr>
        <w:tc>
          <w:tcPr>
            <w:tcW w:w="9493" w:type="dxa"/>
            <w:gridSpan w:val="3"/>
            <w:shd w:val="clear" w:color="auto" w:fill="auto"/>
          </w:tcPr>
          <w:p w14:paraId="7422BFE0" w14:textId="77777777" w:rsidR="002626CB" w:rsidRPr="00B41841" w:rsidRDefault="00686AB5" w:rsidP="00B41841">
            <w:pPr>
              <w:jc w:val="center"/>
              <w:rPr>
                <w:b/>
                <w:bCs/>
              </w:rPr>
            </w:pPr>
            <w:r w:rsidRPr="00B41841">
              <w:rPr>
                <w:b/>
                <w:bCs/>
              </w:rPr>
              <w:t> II. Tiesību akta projekta ietekme uz sabiedrību, tautsaimniecības attīstību un administratīvo slogu</w:t>
            </w:r>
          </w:p>
        </w:tc>
      </w:tr>
      <w:tr w:rsidR="00B30D6D" w14:paraId="75A1E030" w14:textId="77777777" w:rsidTr="00AB2B61">
        <w:trPr>
          <w:trHeight w:val="905"/>
        </w:trPr>
        <w:tc>
          <w:tcPr>
            <w:tcW w:w="425" w:type="dxa"/>
            <w:shd w:val="clear" w:color="auto" w:fill="auto"/>
          </w:tcPr>
          <w:p w14:paraId="38272E3F" w14:textId="77777777" w:rsidR="002626CB" w:rsidRPr="005E0196" w:rsidRDefault="00686AB5" w:rsidP="00D743BC">
            <w:pPr>
              <w:rPr>
                <w:lang w:eastAsia="en-US"/>
              </w:rPr>
            </w:pPr>
            <w:r w:rsidRPr="005E0196">
              <w:rPr>
                <w:lang w:eastAsia="en-US"/>
              </w:rPr>
              <w:t>1.</w:t>
            </w:r>
          </w:p>
        </w:tc>
        <w:tc>
          <w:tcPr>
            <w:tcW w:w="2694" w:type="dxa"/>
            <w:shd w:val="clear" w:color="auto" w:fill="auto"/>
          </w:tcPr>
          <w:p w14:paraId="5225EF57" w14:textId="77777777" w:rsidR="002626CB" w:rsidRPr="004B414A" w:rsidRDefault="00686AB5" w:rsidP="00D743BC">
            <w:pPr>
              <w:rPr>
                <w:lang w:eastAsia="en-US"/>
              </w:rPr>
            </w:pPr>
            <w:r w:rsidRPr="004B414A">
              <w:rPr>
                <w:lang w:eastAsia="en-US"/>
              </w:rPr>
              <w:t xml:space="preserve">Sabiedrības </w:t>
            </w:r>
            <w:proofErr w:type="spellStart"/>
            <w:r w:rsidRPr="004B414A">
              <w:rPr>
                <w:lang w:eastAsia="en-US"/>
              </w:rPr>
              <w:t>mērķgrupas</w:t>
            </w:r>
            <w:proofErr w:type="spellEnd"/>
            <w:r w:rsidRPr="004B414A">
              <w:rPr>
                <w:lang w:eastAsia="en-US"/>
              </w:rPr>
              <w:t>, kuras tiesiskais regulējums ietekmē vai varētu ietekmēt</w:t>
            </w:r>
          </w:p>
        </w:tc>
        <w:tc>
          <w:tcPr>
            <w:tcW w:w="6374" w:type="dxa"/>
            <w:shd w:val="clear" w:color="auto" w:fill="auto"/>
          </w:tcPr>
          <w:p w14:paraId="145BCF40" w14:textId="77777777" w:rsidR="004B414A" w:rsidRPr="0020607B" w:rsidRDefault="00686AB5" w:rsidP="00B41841">
            <w:pPr>
              <w:pStyle w:val="naiskr"/>
              <w:spacing w:before="0" w:after="0"/>
              <w:ind w:left="71"/>
              <w:jc w:val="both"/>
              <w:rPr>
                <w:lang w:eastAsia="en-US"/>
              </w:rPr>
            </w:pPr>
            <w:r w:rsidRPr="0020607B">
              <w:rPr>
                <w:lang w:eastAsia="en-US"/>
              </w:rPr>
              <w:t>Visi nodokļu maksātāji</w:t>
            </w:r>
          </w:p>
          <w:p w14:paraId="212A7A48" w14:textId="77777777" w:rsidR="002626CB" w:rsidRPr="005E0196" w:rsidRDefault="002626CB" w:rsidP="00B41841">
            <w:pPr>
              <w:pStyle w:val="naiskr"/>
              <w:spacing w:before="0" w:after="0"/>
              <w:ind w:left="71"/>
              <w:jc w:val="both"/>
              <w:rPr>
                <w:lang w:eastAsia="en-US"/>
              </w:rPr>
            </w:pPr>
          </w:p>
        </w:tc>
      </w:tr>
      <w:tr w:rsidR="00B30D6D" w14:paraId="302276BF" w14:textId="77777777" w:rsidTr="00AB2B61">
        <w:trPr>
          <w:trHeight w:val="628"/>
        </w:trPr>
        <w:tc>
          <w:tcPr>
            <w:tcW w:w="425" w:type="dxa"/>
            <w:shd w:val="clear" w:color="auto" w:fill="auto"/>
          </w:tcPr>
          <w:p w14:paraId="5E228EF1" w14:textId="77777777" w:rsidR="002626CB" w:rsidRPr="005E0196" w:rsidRDefault="00686AB5" w:rsidP="00D743BC">
            <w:pPr>
              <w:rPr>
                <w:lang w:eastAsia="en-US"/>
              </w:rPr>
            </w:pPr>
            <w:r w:rsidRPr="005E0196">
              <w:rPr>
                <w:lang w:eastAsia="en-US"/>
              </w:rPr>
              <w:t>2.</w:t>
            </w:r>
          </w:p>
        </w:tc>
        <w:tc>
          <w:tcPr>
            <w:tcW w:w="2694" w:type="dxa"/>
            <w:shd w:val="clear" w:color="auto" w:fill="auto"/>
          </w:tcPr>
          <w:p w14:paraId="6ED296FA" w14:textId="77777777" w:rsidR="002626CB" w:rsidRPr="004B414A" w:rsidRDefault="00686AB5" w:rsidP="00D743BC">
            <w:pPr>
              <w:rPr>
                <w:lang w:eastAsia="en-US"/>
              </w:rPr>
            </w:pPr>
            <w:r w:rsidRPr="004B414A">
              <w:rPr>
                <w:lang w:eastAsia="en-US"/>
              </w:rPr>
              <w:t>Tiesiskā regulējuma ietekme uz tautsaimniecību un administratīvo slogu</w:t>
            </w:r>
          </w:p>
        </w:tc>
        <w:tc>
          <w:tcPr>
            <w:tcW w:w="6374" w:type="dxa"/>
            <w:shd w:val="clear" w:color="auto" w:fill="auto"/>
          </w:tcPr>
          <w:p w14:paraId="1FF6F673" w14:textId="77777777" w:rsidR="004B414A" w:rsidRDefault="00686AB5" w:rsidP="00B41841">
            <w:pPr>
              <w:jc w:val="both"/>
            </w:pPr>
            <w:r>
              <w:t>Administratīvā sloga samazināšana nodokļu maksātājiem:</w:t>
            </w:r>
          </w:p>
          <w:p w14:paraId="6059568B" w14:textId="77777777" w:rsidR="004B414A" w:rsidRDefault="00686AB5" w:rsidP="00B41841">
            <w:pPr>
              <w:jc w:val="both"/>
            </w:pPr>
            <w:r>
              <w:t>VID pamatdarbības procesu standartizācija ļaus samazināt lieku un neefektīvu procesu soļu daudzumu, novērst struktūrvienību atbildību dublēšanos, ietaupot laiku un līdzekļus, kas novirzāmi darba procesu pārvaldībai un administrēšanai, padarot kopējo VID pamatdarbību efektīvāku un pārskatāmāku.</w:t>
            </w:r>
          </w:p>
          <w:p w14:paraId="5E59F83F" w14:textId="77777777" w:rsidR="004B414A" w:rsidRDefault="00686AB5" w:rsidP="00B41841">
            <w:pPr>
              <w:jc w:val="both"/>
            </w:pPr>
            <w:r>
              <w:t>Balstot pamatdarbības procesu izpildi uz automatizētām darba plūsmām un procesiem tiks samazināts procesu izpildes laiks un manuālā darba apjoms, vienlaicīgi veicinot nodokļu maksātāju apmierinātību ar VID sniegtajiem pakalpojumiem.</w:t>
            </w:r>
          </w:p>
          <w:p w14:paraId="3C957C5A" w14:textId="77777777" w:rsidR="004B414A" w:rsidRDefault="00686AB5" w:rsidP="00B41841">
            <w:pPr>
              <w:jc w:val="both"/>
            </w:pPr>
            <w:r>
              <w:t xml:space="preserve">Publicējot datu kopas </w:t>
            </w:r>
            <w:proofErr w:type="spellStart"/>
            <w:r>
              <w:t>atkalizmantojamo</w:t>
            </w:r>
            <w:proofErr w:type="spellEnd"/>
            <w:r>
              <w:t xml:space="preserve"> datu formātos tiks samazināts lēmumu pieņemšanai būtiskās informācijas starp VID un valsts pārvaldes iestādēm vidējais aprites laiks.</w:t>
            </w:r>
          </w:p>
          <w:p w14:paraId="4DD05F03" w14:textId="77777777" w:rsidR="004B414A" w:rsidRDefault="00686AB5" w:rsidP="00B41841">
            <w:pPr>
              <w:jc w:val="both"/>
            </w:pPr>
            <w:r>
              <w:t>Pakalpojumu pieejamības uzlabošana:</w:t>
            </w:r>
          </w:p>
          <w:p w14:paraId="4DD9D985" w14:textId="77777777" w:rsidR="004B414A" w:rsidRDefault="00686AB5" w:rsidP="00B41841">
            <w:pPr>
              <w:jc w:val="both"/>
            </w:pPr>
            <w:r>
              <w:t>Izveidot</w:t>
            </w:r>
            <w:r w:rsidR="00DF636C">
              <w:t>ās 1</w:t>
            </w:r>
            <w:r w:rsidR="00011E64">
              <w:t>1</w:t>
            </w:r>
            <w:r>
              <w:t xml:space="preserve"> datu kopas publicēšanai </w:t>
            </w:r>
            <w:proofErr w:type="spellStart"/>
            <w:r>
              <w:t>atkalizmantojamo</w:t>
            </w:r>
            <w:proofErr w:type="spellEnd"/>
            <w:r>
              <w:t xml:space="preserve"> datu formātos uzlabos VID pakalpojumu pieejamību.</w:t>
            </w:r>
          </w:p>
          <w:p w14:paraId="397A9E94" w14:textId="3AA35200" w:rsidR="0054619B" w:rsidRPr="005E0196" w:rsidRDefault="00686AB5" w:rsidP="00B41841">
            <w:pPr>
              <w:jc w:val="both"/>
            </w:pPr>
            <w:r>
              <w:lastRenderedPageBreak/>
              <w:t xml:space="preserve">Tiks </w:t>
            </w:r>
            <w:r w:rsidR="00DF636C">
              <w:t>pilnveidots</w:t>
            </w:r>
            <w:r>
              <w:t xml:space="preserve"> 2</w:t>
            </w:r>
            <w:r w:rsidR="00DF636C">
              <w:t>1</w:t>
            </w:r>
            <w:r>
              <w:t xml:space="preserve"> e-pakalpojum</w:t>
            </w:r>
            <w:r w:rsidR="00DF636C">
              <w:t>s, padarot ātrāku</w:t>
            </w:r>
            <w:r>
              <w:t xml:space="preserve"> to piegādes procesu, tajā skait</w:t>
            </w:r>
            <w:r w:rsidR="0042724B">
              <w:t>ā radot iespējas paaugstināt e-</w:t>
            </w:r>
            <w:r>
              <w:t>pakalpojumu elektronizācijas līmeni.</w:t>
            </w:r>
          </w:p>
        </w:tc>
      </w:tr>
      <w:tr w:rsidR="00B30D6D" w14:paraId="780FCA41" w14:textId="77777777" w:rsidTr="00AB2B61">
        <w:tc>
          <w:tcPr>
            <w:tcW w:w="425" w:type="dxa"/>
            <w:shd w:val="clear" w:color="auto" w:fill="auto"/>
          </w:tcPr>
          <w:p w14:paraId="35325534" w14:textId="77777777" w:rsidR="002626CB" w:rsidRPr="005E0196" w:rsidRDefault="00686AB5" w:rsidP="00D743BC">
            <w:pPr>
              <w:rPr>
                <w:lang w:eastAsia="en-US"/>
              </w:rPr>
            </w:pPr>
            <w:r w:rsidRPr="005E0196">
              <w:rPr>
                <w:lang w:eastAsia="en-US"/>
              </w:rPr>
              <w:lastRenderedPageBreak/>
              <w:t>3.</w:t>
            </w:r>
          </w:p>
        </w:tc>
        <w:tc>
          <w:tcPr>
            <w:tcW w:w="2694" w:type="dxa"/>
            <w:shd w:val="clear" w:color="auto" w:fill="auto"/>
          </w:tcPr>
          <w:p w14:paraId="66FB813B" w14:textId="77777777" w:rsidR="002626CB" w:rsidRPr="005E0196" w:rsidRDefault="00686AB5" w:rsidP="00D743BC">
            <w:pPr>
              <w:rPr>
                <w:lang w:eastAsia="en-US"/>
              </w:rPr>
            </w:pPr>
            <w:r w:rsidRPr="005E0196">
              <w:rPr>
                <w:lang w:eastAsia="en-US"/>
              </w:rPr>
              <w:t>Administratīvo izmaksu monetārais novērtējums</w:t>
            </w:r>
          </w:p>
        </w:tc>
        <w:tc>
          <w:tcPr>
            <w:tcW w:w="6374" w:type="dxa"/>
            <w:shd w:val="clear" w:color="auto" w:fill="auto"/>
          </w:tcPr>
          <w:p w14:paraId="5999B05D" w14:textId="77777777" w:rsidR="00EB2229" w:rsidRPr="005E0196" w:rsidRDefault="00686AB5" w:rsidP="00B41841">
            <w:pPr>
              <w:jc w:val="both"/>
              <w:rPr>
                <w:lang w:eastAsia="en-US"/>
              </w:rPr>
            </w:pPr>
            <w:r>
              <w:t>Nav attiecināms</w:t>
            </w:r>
          </w:p>
        </w:tc>
      </w:tr>
      <w:tr w:rsidR="00B30D6D" w14:paraId="6F962E31" w14:textId="77777777" w:rsidTr="00AB2B61">
        <w:tc>
          <w:tcPr>
            <w:tcW w:w="425" w:type="dxa"/>
            <w:shd w:val="clear" w:color="auto" w:fill="auto"/>
          </w:tcPr>
          <w:p w14:paraId="6BB2ACE2" w14:textId="0CB541CC" w:rsidR="00366CA6" w:rsidRPr="005E0196" w:rsidRDefault="00686AB5" w:rsidP="00D743BC">
            <w:pPr>
              <w:rPr>
                <w:lang w:eastAsia="en-US"/>
              </w:rPr>
            </w:pPr>
            <w:r>
              <w:rPr>
                <w:lang w:eastAsia="en-US"/>
              </w:rPr>
              <w:t>4.</w:t>
            </w:r>
          </w:p>
        </w:tc>
        <w:tc>
          <w:tcPr>
            <w:tcW w:w="2694" w:type="dxa"/>
            <w:shd w:val="clear" w:color="auto" w:fill="auto"/>
          </w:tcPr>
          <w:p w14:paraId="409F58E1" w14:textId="1E6F4FE1" w:rsidR="00366CA6" w:rsidRPr="005E0196" w:rsidRDefault="00686AB5" w:rsidP="00D743BC">
            <w:pPr>
              <w:rPr>
                <w:lang w:eastAsia="en-US"/>
              </w:rPr>
            </w:pPr>
            <w:r>
              <w:rPr>
                <w:lang w:eastAsia="en-US"/>
              </w:rPr>
              <w:t>Atbilstības izmaksu monetārs novērtējums</w:t>
            </w:r>
          </w:p>
        </w:tc>
        <w:tc>
          <w:tcPr>
            <w:tcW w:w="6374" w:type="dxa"/>
            <w:shd w:val="clear" w:color="auto" w:fill="auto"/>
          </w:tcPr>
          <w:p w14:paraId="3C219677" w14:textId="3B2ED871" w:rsidR="00366CA6" w:rsidRDefault="00686AB5" w:rsidP="00B41841">
            <w:pPr>
              <w:jc w:val="both"/>
            </w:pPr>
            <w:r w:rsidRPr="005E0196">
              <w:rPr>
                <w:lang w:eastAsia="en-US"/>
              </w:rPr>
              <w:t>Nav attiecināms</w:t>
            </w:r>
          </w:p>
        </w:tc>
      </w:tr>
      <w:tr w:rsidR="00B30D6D" w14:paraId="3C54FE64" w14:textId="77777777" w:rsidTr="00EA09FA">
        <w:trPr>
          <w:trHeight w:val="297"/>
        </w:trPr>
        <w:tc>
          <w:tcPr>
            <w:tcW w:w="425" w:type="dxa"/>
            <w:shd w:val="clear" w:color="auto" w:fill="auto"/>
          </w:tcPr>
          <w:p w14:paraId="10CF2417" w14:textId="7AFF3BFC" w:rsidR="002626CB" w:rsidRPr="005E0196" w:rsidRDefault="00686AB5" w:rsidP="00D743BC">
            <w:pPr>
              <w:rPr>
                <w:lang w:eastAsia="en-US"/>
              </w:rPr>
            </w:pPr>
            <w:r>
              <w:rPr>
                <w:lang w:eastAsia="en-US"/>
              </w:rPr>
              <w:t>5</w:t>
            </w:r>
            <w:r w:rsidRPr="005E0196">
              <w:rPr>
                <w:lang w:eastAsia="en-US"/>
              </w:rPr>
              <w:t>.</w:t>
            </w:r>
          </w:p>
        </w:tc>
        <w:tc>
          <w:tcPr>
            <w:tcW w:w="2694" w:type="dxa"/>
            <w:shd w:val="clear" w:color="auto" w:fill="auto"/>
          </w:tcPr>
          <w:p w14:paraId="75A83F39" w14:textId="77777777" w:rsidR="002626CB" w:rsidRPr="005E0196" w:rsidRDefault="00686AB5" w:rsidP="00D743BC">
            <w:pPr>
              <w:rPr>
                <w:lang w:eastAsia="en-US"/>
              </w:rPr>
            </w:pPr>
            <w:r w:rsidRPr="005E0196">
              <w:rPr>
                <w:lang w:eastAsia="en-US"/>
              </w:rPr>
              <w:t>Cita informācija</w:t>
            </w:r>
          </w:p>
        </w:tc>
        <w:tc>
          <w:tcPr>
            <w:tcW w:w="6374" w:type="dxa"/>
            <w:shd w:val="clear" w:color="auto" w:fill="auto"/>
          </w:tcPr>
          <w:p w14:paraId="159F87D6" w14:textId="77777777" w:rsidR="002626CB" w:rsidRDefault="00686AB5" w:rsidP="00B41841">
            <w:pPr>
              <w:jc w:val="both"/>
              <w:rPr>
                <w:lang w:eastAsia="en-US"/>
              </w:rPr>
            </w:pPr>
            <w:r w:rsidRPr="005E0196">
              <w:rPr>
                <w:lang w:eastAsia="en-US"/>
              </w:rPr>
              <w:t xml:space="preserve">Nav attiecināms </w:t>
            </w:r>
          </w:p>
          <w:p w14:paraId="528E68BD" w14:textId="65A21228" w:rsidR="00A02F54" w:rsidRPr="005E0196" w:rsidRDefault="00A02F54" w:rsidP="00B41841">
            <w:pPr>
              <w:jc w:val="both"/>
              <w:rPr>
                <w:lang w:eastAsia="en-US"/>
              </w:rPr>
            </w:pPr>
          </w:p>
        </w:tc>
      </w:tr>
    </w:tbl>
    <w:p w14:paraId="23B0131A" w14:textId="77777777" w:rsidR="002626CB" w:rsidRDefault="002626CB" w:rsidP="00D67767">
      <w:pPr>
        <w:jc w:val="both"/>
        <w:rPr>
          <w:lang w:eastAsia="en-US"/>
        </w:rPr>
      </w:pP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988"/>
        <w:gridCol w:w="996"/>
        <w:gridCol w:w="992"/>
        <w:gridCol w:w="1134"/>
        <w:gridCol w:w="851"/>
        <w:gridCol w:w="1276"/>
        <w:gridCol w:w="1276"/>
      </w:tblGrid>
      <w:tr w:rsidR="00B30D6D" w14:paraId="1BB35CDE" w14:textId="77777777" w:rsidTr="00754542">
        <w:tc>
          <w:tcPr>
            <w:tcW w:w="9493" w:type="dxa"/>
            <w:gridSpan w:val="8"/>
          </w:tcPr>
          <w:p w14:paraId="34D99EF1" w14:textId="35244E8A" w:rsidR="00DC156C" w:rsidRPr="00EB0FBE" w:rsidRDefault="00686AB5" w:rsidP="00EB0FBE">
            <w:pPr>
              <w:pStyle w:val="ListParagraph"/>
              <w:tabs>
                <w:tab w:val="left" w:pos="2268"/>
                <w:tab w:val="left" w:pos="2410"/>
              </w:tabs>
              <w:ind w:left="1080"/>
              <w:jc w:val="center"/>
              <w:rPr>
                <w:b/>
                <w:bCs/>
              </w:rPr>
            </w:pPr>
            <w:r w:rsidRPr="00EB0FBE">
              <w:rPr>
                <w:b/>
                <w:bCs/>
              </w:rPr>
              <w:t>III. Tiesību akta projekta ietekme uz valsts budžetu un pašvaldību budžetiem</w:t>
            </w:r>
          </w:p>
        </w:tc>
      </w:tr>
      <w:tr w:rsidR="00B30D6D" w14:paraId="7870E5C1" w14:textId="77777777" w:rsidTr="00754542">
        <w:tc>
          <w:tcPr>
            <w:tcW w:w="1980" w:type="dxa"/>
            <w:vMerge w:val="restart"/>
            <w:shd w:val="clear" w:color="auto" w:fill="auto"/>
            <w:hideMark/>
          </w:tcPr>
          <w:p w14:paraId="4AFE77E8" w14:textId="77777777" w:rsidR="00DC156C" w:rsidRPr="00EB0FBE" w:rsidRDefault="00686AB5" w:rsidP="00EB0FBE">
            <w:pPr>
              <w:jc w:val="center"/>
              <w:rPr>
                <w:b/>
                <w:lang w:eastAsia="en-US"/>
              </w:rPr>
            </w:pPr>
            <w:r w:rsidRPr="00EB0FBE">
              <w:rPr>
                <w:b/>
              </w:rPr>
              <w:t>Rādītāji</w:t>
            </w:r>
          </w:p>
        </w:tc>
        <w:tc>
          <w:tcPr>
            <w:tcW w:w="1984" w:type="dxa"/>
            <w:gridSpan w:val="2"/>
            <w:vMerge w:val="restart"/>
            <w:shd w:val="clear" w:color="auto" w:fill="auto"/>
            <w:hideMark/>
          </w:tcPr>
          <w:p w14:paraId="1F4ACF28" w14:textId="77777777" w:rsidR="00DC156C" w:rsidRPr="00EB0FBE" w:rsidRDefault="00686AB5" w:rsidP="00EB0FBE">
            <w:pPr>
              <w:jc w:val="center"/>
              <w:rPr>
                <w:b/>
                <w:lang w:eastAsia="en-US"/>
              </w:rPr>
            </w:pPr>
            <w:r w:rsidRPr="00EB0FBE">
              <w:rPr>
                <w:b/>
              </w:rPr>
              <w:t>2018.gads</w:t>
            </w:r>
          </w:p>
        </w:tc>
        <w:tc>
          <w:tcPr>
            <w:tcW w:w="5529" w:type="dxa"/>
            <w:gridSpan w:val="5"/>
          </w:tcPr>
          <w:p w14:paraId="13F9FD23" w14:textId="26D829C8" w:rsidR="00DC156C" w:rsidRPr="00EB0FBE" w:rsidRDefault="00686AB5" w:rsidP="00EB0FBE">
            <w:pPr>
              <w:jc w:val="center"/>
              <w:rPr>
                <w:b/>
                <w:lang w:eastAsia="en-US"/>
              </w:rPr>
            </w:pPr>
            <w:r w:rsidRPr="00EB0FBE">
              <w:rPr>
                <w:b/>
              </w:rPr>
              <w:t>Turpmākie trīs gadi (</w:t>
            </w:r>
            <w:r w:rsidRPr="00EB0FBE">
              <w:rPr>
                <w:b/>
                <w:i/>
              </w:rPr>
              <w:t>euro</w:t>
            </w:r>
            <w:r w:rsidRPr="00EB0FBE">
              <w:rPr>
                <w:b/>
              </w:rPr>
              <w:t>)</w:t>
            </w:r>
          </w:p>
        </w:tc>
      </w:tr>
      <w:tr w:rsidR="00B30D6D" w14:paraId="3B00C0F6" w14:textId="77777777" w:rsidTr="00DC156C">
        <w:tc>
          <w:tcPr>
            <w:tcW w:w="1980" w:type="dxa"/>
            <w:vMerge/>
            <w:shd w:val="clear" w:color="auto" w:fill="auto"/>
            <w:hideMark/>
          </w:tcPr>
          <w:p w14:paraId="1E2B063D" w14:textId="77777777" w:rsidR="00DC156C" w:rsidRPr="00EB0FBE" w:rsidRDefault="00DC156C" w:rsidP="000F5C7E">
            <w:pPr>
              <w:rPr>
                <w:b/>
                <w:lang w:eastAsia="en-US"/>
              </w:rPr>
            </w:pPr>
          </w:p>
        </w:tc>
        <w:tc>
          <w:tcPr>
            <w:tcW w:w="1984" w:type="dxa"/>
            <w:gridSpan w:val="2"/>
            <w:vMerge/>
            <w:shd w:val="clear" w:color="auto" w:fill="auto"/>
            <w:hideMark/>
          </w:tcPr>
          <w:p w14:paraId="739B2601" w14:textId="77777777" w:rsidR="00DC156C" w:rsidRPr="00EB0FBE" w:rsidRDefault="00DC156C" w:rsidP="000F5C7E">
            <w:pPr>
              <w:rPr>
                <w:b/>
                <w:lang w:eastAsia="en-US"/>
              </w:rPr>
            </w:pPr>
          </w:p>
        </w:tc>
        <w:tc>
          <w:tcPr>
            <w:tcW w:w="2126" w:type="dxa"/>
            <w:gridSpan w:val="2"/>
          </w:tcPr>
          <w:p w14:paraId="220DD805" w14:textId="17AFB5F1" w:rsidR="00DC156C" w:rsidRPr="00EB0FBE" w:rsidRDefault="00686AB5" w:rsidP="00EB0FBE">
            <w:pPr>
              <w:jc w:val="center"/>
              <w:rPr>
                <w:b/>
                <w:lang w:eastAsia="en-US"/>
              </w:rPr>
            </w:pPr>
            <w:r w:rsidRPr="00EB0FBE">
              <w:rPr>
                <w:b/>
              </w:rPr>
              <w:t>2019</w:t>
            </w:r>
          </w:p>
        </w:tc>
        <w:tc>
          <w:tcPr>
            <w:tcW w:w="2127" w:type="dxa"/>
            <w:gridSpan w:val="2"/>
          </w:tcPr>
          <w:p w14:paraId="082501C6" w14:textId="4AE393D3" w:rsidR="00DC156C" w:rsidRPr="00EB0FBE" w:rsidRDefault="00686AB5" w:rsidP="00EB0FBE">
            <w:pPr>
              <w:jc w:val="center"/>
              <w:rPr>
                <w:b/>
                <w:lang w:eastAsia="en-US"/>
              </w:rPr>
            </w:pPr>
            <w:r w:rsidRPr="00EB0FBE">
              <w:rPr>
                <w:b/>
              </w:rPr>
              <w:t>2020</w:t>
            </w:r>
          </w:p>
        </w:tc>
        <w:tc>
          <w:tcPr>
            <w:tcW w:w="1276" w:type="dxa"/>
            <w:shd w:val="clear" w:color="auto" w:fill="auto"/>
            <w:hideMark/>
          </w:tcPr>
          <w:p w14:paraId="0EC1C720" w14:textId="17AAE51D" w:rsidR="00DC156C" w:rsidRPr="00EB0FBE" w:rsidRDefault="00686AB5" w:rsidP="00EB0FBE">
            <w:pPr>
              <w:jc w:val="center"/>
              <w:rPr>
                <w:b/>
                <w:lang w:eastAsia="en-US"/>
              </w:rPr>
            </w:pPr>
            <w:r w:rsidRPr="00EB0FBE">
              <w:rPr>
                <w:b/>
              </w:rPr>
              <w:t>2021</w:t>
            </w:r>
          </w:p>
        </w:tc>
      </w:tr>
      <w:tr w:rsidR="00B30D6D" w14:paraId="677EFF53" w14:textId="77777777" w:rsidTr="00754542">
        <w:tc>
          <w:tcPr>
            <w:tcW w:w="1980" w:type="dxa"/>
            <w:vMerge/>
            <w:shd w:val="clear" w:color="auto" w:fill="auto"/>
            <w:hideMark/>
          </w:tcPr>
          <w:p w14:paraId="26F768E6" w14:textId="77777777" w:rsidR="00DC156C" w:rsidRPr="00EB0FBE" w:rsidRDefault="00DC156C" w:rsidP="000F5C7E">
            <w:pPr>
              <w:rPr>
                <w:b/>
                <w:lang w:eastAsia="en-US"/>
              </w:rPr>
            </w:pPr>
          </w:p>
        </w:tc>
        <w:tc>
          <w:tcPr>
            <w:tcW w:w="988" w:type="dxa"/>
            <w:shd w:val="clear" w:color="auto" w:fill="auto"/>
            <w:hideMark/>
          </w:tcPr>
          <w:p w14:paraId="7C7FF6A0" w14:textId="77777777" w:rsidR="00DC156C" w:rsidRPr="00EB0FBE" w:rsidRDefault="00686AB5" w:rsidP="00EB0FBE">
            <w:pPr>
              <w:jc w:val="center"/>
              <w:rPr>
                <w:b/>
                <w:lang w:eastAsia="en-US"/>
              </w:rPr>
            </w:pPr>
            <w:r w:rsidRPr="00EB0FBE">
              <w:rPr>
                <w:b/>
              </w:rPr>
              <w:t>saskaņā ar valsts budžetu kārtējam gadam</w:t>
            </w:r>
          </w:p>
        </w:tc>
        <w:tc>
          <w:tcPr>
            <w:tcW w:w="996" w:type="dxa"/>
            <w:shd w:val="clear" w:color="auto" w:fill="auto"/>
            <w:hideMark/>
          </w:tcPr>
          <w:p w14:paraId="5425455F" w14:textId="77777777" w:rsidR="00DC156C" w:rsidRPr="00EB0FBE" w:rsidRDefault="00686AB5" w:rsidP="00EB0FBE">
            <w:pPr>
              <w:jc w:val="center"/>
              <w:rPr>
                <w:b/>
                <w:lang w:eastAsia="en-US"/>
              </w:rPr>
            </w:pPr>
            <w:r w:rsidRPr="00EB0FBE">
              <w:rPr>
                <w:b/>
              </w:rPr>
              <w:t>izmaiņas kārtējā gadā, salīdzinot ar valsts budžetu kārtējam gadam</w:t>
            </w:r>
          </w:p>
        </w:tc>
        <w:tc>
          <w:tcPr>
            <w:tcW w:w="992" w:type="dxa"/>
          </w:tcPr>
          <w:p w14:paraId="15F08CF7" w14:textId="4012C671" w:rsidR="00DC156C" w:rsidRPr="00EB0FBE" w:rsidRDefault="00686AB5" w:rsidP="00EB0FBE">
            <w:pPr>
              <w:jc w:val="center"/>
              <w:rPr>
                <w:b/>
              </w:rPr>
            </w:pPr>
            <w:r>
              <w:rPr>
                <w:b/>
              </w:rPr>
              <w:t>saskaņā ar vidēja termiņa budžeta ietvaru</w:t>
            </w:r>
          </w:p>
        </w:tc>
        <w:tc>
          <w:tcPr>
            <w:tcW w:w="1134" w:type="dxa"/>
            <w:shd w:val="clear" w:color="auto" w:fill="auto"/>
            <w:hideMark/>
          </w:tcPr>
          <w:p w14:paraId="34E3210F" w14:textId="28CB2FAB" w:rsidR="00DC156C" w:rsidRPr="00EB0FBE" w:rsidRDefault="00686AB5" w:rsidP="00EB0FBE">
            <w:pPr>
              <w:jc w:val="center"/>
              <w:rPr>
                <w:b/>
                <w:lang w:eastAsia="en-US"/>
              </w:rPr>
            </w:pPr>
            <w:r w:rsidRPr="00EB0FBE">
              <w:rPr>
                <w:b/>
              </w:rPr>
              <w:t>izmaiņas, salīdzinot ar kārtējo (n) gadu</w:t>
            </w:r>
          </w:p>
        </w:tc>
        <w:tc>
          <w:tcPr>
            <w:tcW w:w="851" w:type="dxa"/>
          </w:tcPr>
          <w:p w14:paraId="3ECCE0B3" w14:textId="728FA244" w:rsidR="00DC156C" w:rsidRPr="00EB0FBE" w:rsidRDefault="00686AB5" w:rsidP="00EB0FBE">
            <w:pPr>
              <w:jc w:val="center"/>
              <w:rPr>
                <w:b/>
              </w:rPr>
            </w:pPr>
            <w:r>
              <w:rPr>
                <w:b/>
              </w:rPr>
              <w:t>saskaņā ar vidēja termiņa budžeta ietvaru</w:t>
            </w:r>
          </w:p>
        </w:tc>
        <w:tc>
          <w:tcPr>
            <w:tcW w:w="1276" w:type="dxa"/>
            <w:shd w:val="clear" w:color="auto" w:fill="auto"/>
            <w:hideMark/>
          </w:tcPr>
          <w:p w14:paraId="0878043C" w14:textId="6EBF5FD8" w:rsidR="00DC156C" w:rsidRPr="00EB0FBE" w:rsidRDefault="00686AB5" w:rsidP="00EB0FBE">
            <w:pPr>
              <w:jc w:val="center"/>
              <w:rPr>
                <w:b/>
                <w:lang w:eastAsia="en-US"/>
              </w:rPr>
            </w:pPr>
            <w:r w:rsidRPr="00EB0FBE">
              <w:rPr>
                <w:b/>
              </w:rPr>
              <w:t>izmaiņas, salīdzinot ar kārtējo (n) gadu</w:t>
            </w:r>
          </w:p>
        </w:tc>
        <w:tc>
          <w:tcPr>
            <w:tcW w:w="1276" w:type="dxa"/>
            <w:shd w:val="clear" w:color="auto" w:fill="auto"/>
            <w:hideMark/>
          </w:tcPr>
          <w:p w14:paraId="7F4725B8" w14:textId="77777777" w:rsidR="00DC156C" w:rsidRPr="00EB0FBE" w:rsidRDefault="00686AB5" w:rsidP="00EB0FBE">
            <w:pPr>
              <w:jc w:val="center"/>
              <w:rPr>
                <w:b/>
                <w:lang w:eastAsia="en-US"/>
              </w:rPr>
            </w:pPr>
            <w:r w:rsidRPr="00EB0FBE">
              <w:rPr>
                <w:b/>
              </w:rPr>
              <w:t>izmaiņas, salīdzinot ar kārtējo (n) gadu</w:t>
            </w:r>
          </w:p>
        </w:tc>
      </w:tr>
      <w:tr w:rsidR="00B30D6D" w14:paraId="060BF884" w14:textId="77777777" w:rsidTr="00754542">
        <w:tc>
          <w:tcPr>
            <w:tcW w:w="1980" w:type="dxa"/>
            <w:shd w:val="clear" w:color="auto" w:fill="auto"/>
            <w:hideMark/>
          </w:tcPr>
          <w:p w14:paraId="0E15FA2F" w14:textId="77777777" w:rsidR="00DC156C" w:rsidRPr="002D3245" w:rsidRDefault="00686AB5" w:rsidP="00EB0FBE">
            <w:pPr>
              <w:jc w:val="center"/>
              <w:rPr>
                <w:lang w:eastAsia="en-US"/>
              </w:rPr>
            </w:pPr>
            <w:r w:rsidRPr="002D3245">
              <w:t>1</w:t>
            </w:r>
          </w:p>
        </w:tc>
        <w:tc>
          <w:tcPr>
            <w:tcW w:w="988" w:type="dxa"/>
            <w:shd w:val="clear" w:color="auto" w:fill="auto"/>
            <w:hideMark/>
          </w:tcPr>
          <w:p w14:paraId="7C2B872E" w14:textId="77777777" w:rsidR="00DC156C" w:rsidRPr="002D3245" w:rsidRDefault="00686AB5" w:rsidP="00EB0FBE">
            <w:pPr>
              <w:jc w:val="center"/>
              <w:rPr>
                <w:lang w:eastAsia="en-US"/>
              </w:rPr>
            </w:pPr>
            <w:r w:rsidRPr="002D3245">
              <w:t>2</w:t>
            </w:r>
          </w:p>
        </w:tc>
        <w:tc>
          <w:tcPr>
            <w:tcW w:w="996" w:type="dxa"/>
            <w:shd w:val="clear" w:color="auto" w:fill="auto"/>
            <w:hideMark/>
          </w:tcPr>
          <w:p w14:paraId="2CEDF310" w14:textId="77777777" w:rsidR="00DC156C" w:rsidRPr="002D3245" w:rsidRDefault="00686AB5" w:rsidP="00EB0FBE">
            <w:pPr>
              <w:jc w:val="center"/>
              <w:rPr>
                <w:lang w:eastAsia="en-US"/>
              </w:rPr>
            </w:pPr>
            <w:r w:rsidRPr="002D3245">
              <w:t>3</w:t>
            </w:r>
          </w:p>
        </w:tc>
        <w:tc>
          <w:tcPr>
            <w:tcW w:w="992" w:type="dxa"/>
          </w:tcPr>
          <w:p w14:paraId="214ED806" w14:textId="4CB3EB47" w:rsidR="00DC156C" w:rsidRPr="002D3245" w:rsidRDefault="00686AB5" w:rsidP="00EB0FBE">
            <w:pPr>
              <w:jc w:val="center"/>
            </w:pPr>
            <w:r>
              <w:t>4</w:t>
            </w:r>
          </w:p>
        </w:tc>
        <w:tc>
          <w:tcPr>
            <w:tcW w:w="1134" w:type="dxa"/>
            <w:shd w:val="clear" w:color="auto" w:fill="auto"/>
            <w:hideMark/>
          </w:tcPr>
          <w:p w14:paraId="3F927053" w14:textId="12244CC0" w:rsidR="00DC156C" w:rsidRPr="002D3245" w:rsidRDefault="00686AB5" w:rsidP="00EB0FBE">
            <w:pPr>
              <w:jc w:val="center"/>
              <w:rPr>
                <w:lang w:eastAsia="en-US"/>
              </w:rPr>
            </w:pPr>
            <w:r>
              <w:t>5</w:t>
            </w:r>
          </w:p>
        </w:tc>
        <w:tc>
          <w:tcPr>
            <w:tcW w:w="851" w:type="dxa"/>
          </w:tcPr>
          <w:p w14:paraId="09141816" w14:textId="7304E641" w:rsidR="00DC156C" w:rsidRPr="002D3245" w:rsidRDefault="00686AB5" w:rsidP="00EB0FBE">
            <w:pPr>
              <w:jc w:val="center"/>
            </w:pPr>
            <w:r>
              <w:t>6</w:t>
            </w:r>
          </w:p>
        </w:tc>
        <w:tc>
          <w:tcPr>
            <w:tcW w:w="1276" w:type="dxa"/>
            <w:shd w:val="clear" w:color="auto" w:fill="auto"/>
            <w:hideMark/>
          </w:tcPr>
          <w:p w14:paraId="6FEBECE0" w14:textId="15A1129B" w:rsidR="00DC156C" w:rsidRPr="002D3245" w:rsidRDefault="00686AB5" w:rsidP="00EB0FBE">
            <w:pPr>
              <w:jc w:val="center"/>
              <w:rPr>
                <w:lang w:eastAsia="en-US"/>
              </w:rPr>
            </w:pPr>
            <w:r>
              <w:t>7</w:t>
            </w:r>
          </w:p>
        </w:tc>
        <w:tc>
          <w:tcPr>
            <w:tcW w:w="1276" w:type="dxa"/>
            <w:shd w:val="clear" w:color="auto" w:fill="auto"/>
            <w:hideMark/>
          </w:tcPr>
          <w:p w14:paraId="48EB4D94" w14:textId="5F538844" w:rsidR="00DC156C" w:rsidRPr="002D3245" w:rsidRDefault="00686AB5" w:rsidP="00EB0FBE">
            <w:pPr>
              <w:jc w:val="center"/>
              <w:rPr>
                <w:lang w:eastAsia="en-US"/>
              </w:rPr>
            </w:pPr>
            <w:r>
              <w:t>8</w:t>
            </w:r>
          </w:p>
        </w:tc>
      </w:tr>
      <w:tr w:rsidR="00B30D6D" w14:paraId="02FF26EE" w14:textId="77777777" w:rsidTr="00754542">
        <w:tc>
          <w:tcPr>
            <w:tcW w:w="1980" w:type="dxa"/>
            <w:shd w:val="clear" w:color="auto" w:fill="auto"/>
            <w:hideMark/>
          </w:tcPr>
          <w:p w14:paraId="144999F3" w14:textId="77777777" w:rsidR="00DC156C" w:rsidRPr="002D3245" w:rsidRDefault="00686AB5" w:rsidP="00DC156C">
            <w:pPr>
              <w:rPr>
                <w:lang w:eastAsia="en-US"/>
              </w:rPr>
            </w:pPr>
            <w:r w:rsidRPr="002D3245">
              <w:t>1. Budžeta ieņēmumi:</w:t>
            </w:r>
          </w:p>
        </w:tc>
        <w:tc>
          <w:tcPr>
            <w:tcW w:w="988" w:type="dxa"/>
            <w:shd w:val="clear" w:color="auto" w:fill="auto"/>
            <w:hideMark/>
          </w:tcPr>
          <w:p w14:paraId="66A3C961" w14:textId="77777777" w:rsidR="00DC156C" w:rsidRPr="0021089F" w:rsidRDefault="00686AB5" w:rsidP="00DC156C">
            <w:pPr>
              <w:jc w:val="right"/>
              <w:rPr>
                <w:lang w:eastAsia="en-US"/>
              </w:rPr>
            </w:pPr>
            <w:r w:rsidRPr="0021089F">
              <w:rPr>
                <w:lang w:eastAsia="en-US"/>
              </w:rPr>
              <w:t>0</w:t>
            </w:r>
          </w:p>
        </w:tc>
        <w:tc>
          <w:tcPr>
            <w:tcW w:w="996" w:type="dxa"/>
            <w:shd w:val="clear" w:color="auto" w:fill="auto"/>
            <w:hideMark/>
          </w:tcPr>
          <w:p w14:paraId="347180BB" w14:textId="77777777" w:rsidR="00DC156C" w:rsidRPr="0021089F" w:rsidRDefault="00686AB5" w:rsidP="00DC156C">
            <w:pPr>
              <w:jc w:val="right"/>
              <w:rPr>
                <w:lang w:eastAsia="en-US"/>
              </w:rPr>
            </w:pPr>
            <w:r w:rsidRPr="0021089F">
              <w:rPr>
                <w:lang w:eastAsia="en-US"/>
              </w:rPr>
              <w:t>0</w:t>
            </w:r>
          </w:p>
        </w:tc>
        <w:tc>
          <w:tcPr>
            <w:tcW w:w="992" w:type="dxa"/>
          </w:tcPr>
          <w:p w14:paraId="7C2E5D88" w14:textId="5432AAF5" w:rsidR="00DC156C" w:rsidRPr="0021089F" w:rsidRDefault="00686AB5" w:rsidP="00DC156C">
            <w:pPr>
              <w:jc w:val="right"/>
              <w:rPr>
                <w:lang w:eastAsia="en-US"/>
              </w:rPr>
            </w:pPr>
            <w:r w:rsidRPr="0053552C">
              <w:t>0</w:t>
            </w:r>
          </w:p>
        </w:tc>
        <w:tc>
          <w:tcPr>
            <w:tcW w:w="1134" w:type="dxa"/>
            <w:shd w:val="clear" w:color="auto" w:fill="auto"/>
            <w:hideMark/>
          </w:tcPr>
          <w:p w14:paraId="01644E65" w14:textId="68C22C67" w:rsidR="00DC156C" w:rsidRPr="0021089F" w:rsidRDefault="00686AB5" w:rsidP="00DC156C">
            <w:pPr>
              <w:jc w:val="right"/>
              <w:rPr>
                <w:lang w:eastAsia="en-US"/>
              </w:rPr>
            </w:pPr>
            <w:r w:rsidRPr="0021089F">
              <w:rPr>
                <w:lang w:eastAsia="en-US"/>
              </w:rPr>
              <w:t>697 000</w:t>
            </w:r>
          </w:p>
        </w:tc>
        <w:tc>
          <w:tcPr>
            <w:tcW w:w="851" w:type="dxa"/>
          </w:tcPr>
          <w:p w14:paraId="305270BB" w14:textId="29DBA30C" w:rsidR="00DC156C" w:rsidRPr="0021089F" w:rsidRDefault="00686AB5" w:rsidP="00DC156C">
            <w:pPr>
              <w:jc w:val="right"/>
              <w:rPr>
                <w:lang w:eastAsia="en-US"/>
              </w:rPr>
            </w:pPr>
            <w:r w:rsidRPr="00E43AF4">
              <w:t>0</w:t>
            </w:r>
          </w:p>
        </w:tc>
        <w:tc>
          <w:tcPr>
            <w:tcW w:w="1276" w:type="dxa"/>
            <w:shd w:val="clear" w:color="auto" w:fill="auto"/>
            <w:hideMark/>
          </w:tcPr>
          <w:p w14:paraId="00201E9C" w14:textId="62ECC51A" w:rsidR="00DC156C" w:rsidRPr="0021089F" w:rsidRDefault="00686AB5" w:rsidP="00DC156C">
            <w:pPr>
              <w:jc w:val="right"/>
              <w:rPr>
                <w:lang w:eastAsia="en-US"/>
              </w:rPr>
            </w:pPr>
            <w:r w:rsidRPr="0021089F">
              <w:rPr>
                <w:lang w:eastAsia="en-US"/>
              </w:rPr>
              <w:t>1 020 000</w:t>
            </w:r>
          </w:p>
        </w:tc>
        <w:tc>
          <w:tcPr>
            <w:tcW w:w="1276" w:type="dxa"/>
            <w:shd w:val="clear" w:color="auto" w:fill="auto"/>
          </w:tcPr>
          <w:p w14:paraId="6B42F6B3" w14:textId="77777777" w:rsidR="00DC156C" w:rsidRPr="0021089F" w:rsidRDefault="00686AB5" w:rsidP="00DC156C">
            <w:pPr>
              <w:jc w:val="right"/>
              <w:rPr>
                <w:lang w:eastAsia="en-US"/>
              </w:rPr>
            </w:pPr>
            <w:r w:rsidRPr="0021089F">
              <w:rPr>
                <w:lang w:eastAsia="en-US"/>
              </w:rPr>
              <w:t>2 133 500</w:t>
            </w:r>
          </w:p>
        </w:tc>
      </w:tr>
      <w:tr w:rsidR="00B30D6D" w14:paraId="2F58885C" w14:textId="77777777" w:rsidTr="00754542">
        <w:tc>
          <w:tcPr>
            <w:tcW w:w="1980" w:type="dxa"/>
            <w:shd w:val="clear" w:color="auto" w:fill="auto"/>
            <w:hideMark/>
          </w:tcPr>
          <w:p w14:paraId="118523D9" w14:textId="77777777" w:rsidR="00DC156C" w:rsidRPr="002D3245" w:rsidRDefault="00686AB5" w:rsidP="00DC156C">
            <w:pPr>
              <w:rPr>
                <w:lang w:eastAsia="en-US"/>
              </w:rPr>
            </w:pPr>
            <w:r w:rsidRPr="002D3245">
              <w:t>1.1. valsts pamatbudžets, tai skaitā ieņēmumi no maksas pakalpojumiem un citi pašu ieņēmumi</w:t>
            </w:r>
          </w:p>
        </w:tc>
        <w:tc>
          <w:tcPr>
            <w:tcW w:w="988" w:type="dxa"/>
            <w:shd w:val="clear" w:color="auto" w:fill="auto"/>
            <w:hideMark/>
          </w:tcPr>
          <w:p w14:paraId="3BBCF5D4" w14:textId="77777777" w:rsidR="00DC156C" w:rsidRPr="0021089F" w:rsidRDefault="00686AB5" w:rsidP="00DC156C">
            <w:pPr>
              <w:jc w:val="right"/>
              <w:rPr>
                <w:lang w:eastAsia="en-US"/>
              </w:rPr>
            </w:pPr>
            <w:r w:rsidRPr="0021089F">
              <w:rPr>
                <w:lang w:eastAsia="en-US"/>
              </w:rPr>
              <w:t>0</w:t>
            </w:r>
          </w:p>
        </w:tc>
        <w:tc>
          <w:tcPr>
            <w:tcW w:w="996" w:type="dxa"/>
            <w:shd w:val="clear" w:color="auto" w:fill="auto"/>
            <w:hideMark/>
          </w:tcPr>
          <w:p w14:paraId="5B2FA71F" w14:textId="77777777" w:rsidR="00DC156C" w:rsidRPr="0021089F" w:rsidRDefault="00686AB5" w:rsidP="00DC156C">
            <w:pPr>
              <w:jc w:val="right"/>
              <w:rPr>
                <w:lang w:eastAsia="en-US"/>
              </w:rPr>
            </w:pPr>
            <w:r w:rsidRPr="0021089F">
              <w:rPr>
                <w:lang w:eastAsia="en-US"/>
              </w:rPr>
              <w:t>0</w:t>
            </w:r>
          </w:p>
        </w:tc>
        <w:tc>
          <w:tcPr>
            <w:tcW w:w="992" w:type="dxa"/>
          </w:tcPr>
          <w:p w14:paraId="06A6AC6C" w14:textId="36D54941" w:rsidR="00DC156C" w:rsidRPr="0021089F" w:rsidRDefault="00686AB5" w:rsidP="00DC156C">
            <w:pPr>
              <w:jc w:val="right"/>
              <w:rPr>
                <w:lang w:eastAsia="en-US"/>
              </w:rPr>
            </w:pPr>
            <w:r w:rsidRPr="0053552C">
              <w:t>0</w:t>
            </w:r>
          </w:p>
        </w:tc>
        <w:tc>
          <w:tcPr>
            <w:tcW w:w="1134" w:type="dxa"/>
            <w:shd w:val="clear" w:color="auto" w:fill="auto"/>
            <w:hideMark/>
          </w:tcPr>
          <w:p w14:paraId="4E2B39AF" w14:textId="19C71CC0" w:rsidR="00DC156C" w:rsidRPr="0021089F" w:rsidRDefault="00686AB5" w:rsidP="00DC156C">
            <w:pPr>
              <w:jc w:val="right"/>
              <w:rPr>
                <w:lang w:eastAsia="en-US"/>
              </w:rPr>
            </w:pPr>
            <w:r w:rsidRPr="0021089F">
              <w:rPr>
                <w:lang w:eastAsia="en-US"/>
              </w:rPr>
              <w:t>697 000</w:t>
            </w:r>
          </w:p>
        </w:tc>
        <w:tc>
          <w:tcPr>
            <w:tcW w:w="851" w:type="dxa"/>
          </w:tcPr>
          <w:p w14:paraId="644B95D8" w14:textId="6A0AD46E" w:rsidR="00DC156C" w:rsidRPr="0021089F" w:rsidRDefault="00686AB5" w:rsidP="00DC156C">
            <w:pPr>
              <w:jc w:val="right"/>
              <w:rPr>
                <w:lang w:eastAsia="en-US"/>
              </w:rPr>
            </w:pPr>
            <w:r w:rsidRPr="00E43AF4">
              <w:t>0</w:t>
            </w:r>
          </w:p>
        </w:tc>
        <w:tc>
          <w:tcPr>
            <w:tcW w:w="1276" w:type="dxa"/>
            <w:shd w:val="clear" w:color="auto" w:fill="auto"/>
            <w:hideMark/>
          </w:tcPr>
          <w:p w14:paraId="6B50DE37" w14:textId="65BB7A31" w:rsidR="00DC156C" w:rsidRPr="0021089F" w:rsidRDefault="00686AB5" w:rsidP="00DC156C">
            <w:pPr>
              <w:jc w:val="right"/>
              <w:rPr>
                <w:lang w:eastAsia="en-US"/>
              </w:rPr>
            </w:pPr>
            <w:r w:rsidRPr="0021089F">
              <w:rPr>
                <w:lang w:eastAsia="en-US"/>
              </w:rPr>
              <w:t>1 020 000</w:t>
            </w:r>
          </w:p>
        </w:tc>
        <w:tc>
          <w:tcPr>
            <w:tcW w:w="1276" w:type="dxa"/>
            <w:shd w:val="clear" w:color="auto" w:fill="auto"/>
          </w:tcPr>
          <w:p w14:paraId="1869D68C" w14:textId="77777777" w:rsidR="00DC156C" w:rsidRPr="0021089F" w:rsidRDefault="00686AB5" w:rsidP="00DC156C">
            <w:pPr>
              <w:jc w:val="right"/>
              <w:rPr>
                <w:lang w:eastAsia="en-US"/>
              </w:rPr>
            </w:pPr>
            <w:r w:rsidRPr="0021089F">
              <w:rPr>
                <w:lang w:eastAsia="en-US"/>
              </w:rPr>
              <w:t>2 133 500</w:t>
            </w:r>
          </w:p>
        </w:tc>
      </w:tr>
      <w:tr w:rsidR="00B30D6D" w14:paraId="02B3E6DB" w14:textId="77777777" w:rsidTr="00754542">
        <w:tc>
          <w:tcPr>
            <w:tcW w:w="1980" w:type="dxa"/>
            <w:shd w:val="clear" w:color="auto" w:fill="auto"/>
            <w:hideMark/>
          </w:tcPr>
          <w:p w14:paraId="7274008B" w14:textId="77777777" w:rsidR="00DC156C" w:rsidRPr="002D3245" w:rsidRDefault="00686AB5" w:rsidP="00DC156C">
            <w:pPr>
              <w:rPr>
                <w:lang w:eastAsia="en-US"/>
              </w:rPr>
            </w:pPr>
            <w:r w:rsidRPr="002D3245">
              <w:t>1.2. valsts speciālais budžets</w:t>
            </w:r>
          </w:p>
        </w:tc>
        <w:tc>
          <w:tcPr>
            <w:tcW w:w="988" w:type="dxa"/>
            <w:shd w:val="clear" w:color="auto" w:fill="auto"/>
            <w:hideMark/>
          </w:tcPr>
          <w:p w14:paraId="6745CD81" w14:textId="77777777" w:rsidR="00DC156C" w:rsidRPr="0021089F" w:rsidRDefault="00686AB5" w:rsidP="00DC156C">
            <w:pPr>
              <w:jc w:val="right"/>
              <w:rPr>
                <w:lang w:eastAsia="en-US"/>
              </w:rPr>
            </w:pPr>
            <w:r w:rsidRPr="0021089F">
              <w:rPr>
                <w:lang w:eastAsia="en-US"/>
              </w:rPr>
              <w:t>0</w:t>
            </w:r>
          </w:p>
        </w:tc>
        <w:tc>
          <w:tcPr>
            <w:tcW w:w="996" w:type="dxa"/>
            <w:shd w:val="clear" w:color="auto" w:fill="auto"/>
            <w:hideMark/>
          </w:tcPr>
          <w:p w14:paraId="7BE9B530" w14:textId="77777777" w:rsidR="00DC156C" w:rsidRPr="0021089F" w:rsidRDefault="00686AB5" w:rsidP="00DC156C">
            <w:pPr>
              <w:jc w:val="right"/>
              <w:rPr>
                <w:lang w:eastAsia="en-US"/>
              </w:rPr>
            </w:pPr>
            <w:r w:rsidRPr="0021089F">
              <w:rPr>
                <w:lang w:eastAsia="en-US"/>
              </w:rPr>
              <w:t>0</w:t>
            </w:r>
          </w:p>
        </w:tc>
        <w:tc>
          <w:tcPr>
            <w:tcW w:w="992" w:type="dxa"/>
          </w:tcPr>
          <w:p w14:paraId="5955CEEA" w14:textId="2F680AB2" w:rsidR="00DC156C" w:rsidRPr="0021089F" w:rsidRDefault="00686AB5" w:rsidP="00DC156C">
            <w:pPr>
              <w:jc w:val="right"/>
              <w:rPr>
                <w:lang w:eastAsia="en-US"/>
              </w:rPr>
            </w:pPr>
            <w:r w:rsidRPr="0053552C">
              <w:t>0</w:t>
            </w:r>
          </w:p>
        </w:tc>
        <w:tc>
          <w:tcPr>
            <w:tcW w:w="1134" w:type="dxa"/>
            <w:shd w:val="clear" w:color="auto" w:fill="auto"/>
            <w:hideMark/>
          </w:tcPr>
          <w:p w14:paraId="4FD8DEC8" w14:textId="43316754" w:rsidR="00DC156C" w:rsidRPr="0021089F" w:rsidRDefault="00686AB5" w:rsidP="00DC156C">
            <w:pPr>
              <w:jc w:val="right"/>
              <w:rPr>
                <w:lang w:eastAsia="en-US"/>
              </w:rPr>
            </w:pPr>
            <w:r w:rsidRPr="0021089F">
              <w:rPr>
                <w:lang w:eastAsia="en-US"/>
              </w:rPr>
              <w:t>0</w:t>
            </w:r>
          </w:p>
        </w:tc>
        <w:tc>
          <w:tcPr>
            <w:tcW w:w="851" w:type="dxa"/>
          </w:tcPr>
          <w:p w14:paraId="6D818011" w14:textId="3C846E55" w:rsidR="00DC156C" w:rsidRPr="0021089F" w:rsidRDefault="00686AB5" w:rsidP="00DC156C">
            <w:pPr>
              <w:jc w:val="right"/>
              <w:rPr>
                <w:lang w:eastAsia="en-US"/>
              </w:rPr>
            </w:pPr>
            <w:r w:rsidRPr="00E43AF4">
              <w:t>0</w:t>
            </w:r>
          </w:p>
        </w:tc>
        <w:tc>
          <w:tcPr>
            <w:tcW w:w="1276" w:type="dxa"/>
            <w:shd w:val="clear" w:color="auto" w:fill="auto"/>
            <w:hideMark/>
          </w:tcPr>
          <w:p w14:paraId="4DE791AC" w14:textId="42C07CD3" w:rsidR="00DC156C" w:rsidRPr="0021089F" w:rsidRDefault="00686AB5" w:rsidP="00DC156C">
            <w:pPr>
              <w:jc w:val="right"/>
              <w:rPr>
                <w:lang w:eastAsia="en-US"/>
              </w:rPr>
            </w:pPr>
            <w:r w:rsidRPr="0021089F">
              <w:rPr>
                <w:lang w:eastAsia="en-US"/>
              </w:rPr>
              <w:t>0</w:t>
            </w:r>
          </w:p>
        </w:tc>
        <w:tc>
          <w:tcPr>
            <w:tcW w:w="1276" w:type="dxa"/>
            <w:shd w:val="clear" w:color="auto" w:fill="auto"/>
          </w:tcPr>
          <w:p w14:paraId="47CC465B" w14:textId="77777777" w:rsidR="00DC156C" w:rsidRPr="0021089F" w:rsidRDefault="00686AB5" w:rsidP="00DC156C">
            <w:pPr>
              <w:jc w:val="right"/>
              <w:rPr>
                <w:lang w:eastAsia="en-US"/>
              </w:rPr>
            </w:pPr>
            <w:r w:rsidRPr="0021089F">
              <w:rPr>
                <w:lang w:eastAsia="en-US"/>
              </w:rPr>
              <w:t>0</w:t>
            </w:r>
          </w:p>
        </w:tc>
      </w:tr>
      <w:tr w:rsidR="00B30D6D" w14:paraId="7EC338B4" w14:textId="77777777" w:rsidTr="00754542">
        <w:tc>
          <w:tcPr>
            <w:tcW w:w="1980" w:type="dxa"/>
            <w:shd w:val="clear" w:color="auto" w:fill="auto"/>
            <w:hideMark/>
          </w:tcPr>
          <w:p w14:paraId="4AAC1236" w14:textId="77777777" w:rsidR="00DC156C" w:rsidRPr="002D3245" w:rsidRDefault="00686AB5" w:rsidP="00DC156C">
            <w:pPr>
              <w:rPr>
                <w:lang w:eastAsia="en-US"/>
              </w:rPr>
            </w:pPr>
            <w:r w:rsidRPr="002D3245">
              <w:t>1.3. pašvaldību budžets</w:t>
            </w:r>
          </w:p>
        </w:tc>
        <w:tc>
          <w:tcPr>
            <w:tcW w:w="988" w:type="dxa"/>
            <w:shd w:val="clear" w:color="auto" w:fill="auto"/>
            <w:hideMark/>
          </w:tcPr>
          <w:p w14:paraId="4643735E" w14:textId="77777777" w:rsidR="00DC156C" w:rsidRPr="0021089F" w:rsidRDefault="00686AB5" w:rsidP="00DC156C">
            <w:pPr>
              <w:jc w:val="right"/>
              <w:rPr>
                <w:lang w:eastAsia="en-US"/>
              </w:rPr>
            </w:pPr>
            <w:r w:rsidRPr="0021089F">
              <w:rPr>
                <w:lang w:eastAsia="en-US"/>
              </w:rPr>
              <w:t>0</w:t>
            </w:r>
          </w:p>
        </w:tc>
        <w:tc>
          <w:tcPr>
            <w:tcW w:w="996" w:type="dxa"/>
            <w:shd w:val="clear" w:color="auto" w:fill="auto"/>
            <w:hideMark/>
          </w:tcPr>
          <w:p w14:paraId="24ADAE26" w14:textId="77777777" w:rsidR="00DC156C" w:rsidRPr="0021089F" w:rsidRDefault="00686AB5" w:rsidP="00DC156C">
            <w:pPr>
              <w:jc w:val="right"/>
              <w:rPr>
                <w:lang w:eastAsia="en-US"/>
              </w:rPr>
            </w:pPr>
            <w:r w:rsidRPr="0021089F">
              <w:rPr>
                <w:lang w:eastAsia="en-US"/>
              </w:rPr>
              <w:t>0</w:t>
            </w:r>
          </w:p>
        </w:tc>
        <w:tc>
          <w:tcPr>
            <w:tcW w:w="992" w:type="dxa"/>
          </w:tcPr>
          <w:p w14:paraId="4B6C4C79" w14:textId="456F1E76" w:rsidR="00DC156C" w:rsidRPr="0021089F" w:rsidRDefault="00686AB5" w:rsidP="00DC156C">
            <w:pPr>
              <w:jc w:val="right"/>
              <w:rPr>
                <w:lang w:eastAsia="en-US"/>
              </w:rPr>
            </w:pPr>
            <w:r w:rsidRPr="0053552C">
              <w:t>0</w:t>
            </w:r>
          </w:p>
        </w:tc>
        <w:tc>
          <w:tcPr>
            <w:tcW w:w="1134" w:type="dxa"/>
            <w:shd w:val="clear" w:color="auto" w:fill="auto"/>
            <w:hideMark/>
          </w:tcPr>
          <w:p w14:paraId="35FEA8D8" w14:textId="4BEFD933" w:rsidR="00DC156C" w:rsidRPr="0021089F" w:rsidRDefault="00686AB5" w:rsidP="00DC156C">
            <w:pPr>
              <w:jc w:val="right"/>
              <w:rPr>
                <w:lang w:eastAsia="en-US"/>
              </w:rPr>
            </w:pPr>
            <w:r w:rsidRPr="0021089F">
              <w:rPr>
                <w:lang w:eastAsia="en-US"/>
              </w:rPr>
              <w:t>0</w:t>
            </w:r>
          </w:p>
        </w:tc>
        <w:tc>
          <w:tcPr>
            <w:tcW w:w="851" w:type="dxa"/>
          </w:tcPr>
          <w:p w14:paraId="551E3254" w14:textId="3F897BB6" w:rsidR="00DC156C" w:rsidRPr="0021089F" w:rsidRDefault="00686AB5" w:rsidP="00DC156C">
            <w:pPr>
              <w:jc w:val="right"/>
              <w:rPr>
                <w:lang w:eastAsia="en-US"/>
              </w:rPr>
            </w:pPr>
            <w:r w:rsidRPr="00E43AF4">
              <w:t>0</w:t>
            </w:r>
          </w:p>
        </w:tc>
        <w:tc>
          <w:tcPr>
            <w:tcW w:w="1276" w:type="dxa"/>
            <w:shd w:val="clear" w:color="auto" w:fill="auto"/>
            <w:hideMark/>
          </w:tcPr>
          <w:p w14:paraId="05A0336D" w14:textId="1C1B0F14" w:rsidR="00DC156C" w:rsidRPr="0021089F" w:rsidRDefault="00686AB5" w:rsidP="00DC156C">
            <w:pPr>
              <w:jc w:val="right"/>
              <w:rPr>
                <w:lang w:eastAsia="en-US"/>
              </w:rPr>
            </w:pPr>
            <w:r w:rsidRPr="0021089F">
              <w:rPr>
                <w:lang w:eastAsia="en-US"/>
              </w:rPr>
              <w:t>0</w:t>
            </w:r>
          </w:p>
        </w:tc>
        <w:tc>
          <w:tcPr>
            <w:tcW w:w="1276" w:type="dxa"/>
            <w:shd w:val="clear" w:color="auto" w:fill="auto"/>
          </w:tcPr>
          <w:p w14:paraId="6DE17E9D" w14:textId="77777777" w:rsidR="00DC156C" w:rsidRPr="0021089F" w:rsidRDefault="00686AB5" w:rsidP="00DC156C">
            <w:pPr>
              <w:jc w:val="right"/>
              <w:rPr>
                <w:lang w:eastAsia="en-US"/>
              </w:rPr>
            </w:pPr>
            <w:r w:rsidRPr="0021089F">
              <w:rPr>
                <w:lang w:eastAsia="en-US"/>
              </w:rPr>
              <w:t>0</w:t>
            </w:r>
          </w:p>
        </w:tc>
      </w:tr>
      <w:tr w:rsidR="00B30D6D" w14:paraId="54FF448A" w14:textId="77777777" w:rsidTr="00754542">
        <w:tc>
          <w:tcPr>
            <w:tcW w:w="1980" w:type="dxa"/>
            <w:shd w:val="clear" w:color="auto" w:fill="auto"/>
            <w:hideMark/>
          </w:tcPr>
          <w:p w14:paraId="22635258" w14:textId="77777777" w:rsidR="00DC156C" w:rsidRPr="002D3245" w:rsidRDefault="00686AB5" w:rsidP="00DC156C">
            <w:pPr>
              <w:rPr>
                <w:lang w:eastAsia="en-US"/>
              </w:rPr>
            </w:pPr>
            <w:r w:rsidRPr="002D3245">
              <w:t>2. Budžeta izdevumi:</w:t>
            </w:r>
          </w:p>
        </w:tc>
        <w:tc>
          <w:tcPr>
            <w:tcW w:w="988" w:type="dxa"/>
            <w:shd w:val="clear" w:color="auto" w:fill="auto"/>
            <w:hideMark/>
          </w:tcPr>
          <w:p w14:paraId="575AC4AC" w14:textId="77777777" w:rsidR="00DC156C" w:rsidRPr="0021089F" w:rsidRDefault="00686AB5" w:rsidP="00DC156C">
            <w:pPr>
              <w:jc w:val="right"/>
              <w:rPr>
                <w:lang w:eastAsia="en-US"/>
              </w:rPr>
            </w:pPr>
            <w:r w:rsidRPr="0021089F">
              <w:rPr>
                <w:lang w:eastAsia="en-US"/>
              </w:rPr>
              <w:t>0</w:t>
            </w:r>
          </w:p>
        </w:tc>
        <w:tc>
          <w:tcPr>
            <w:tcW w:w="996" w:type="dxa"/>
            <w:shd w:val="clear" w:color="auto" w:fill="auto"/>
            <w:hideMark/>
          </w:tcPr>
          <w:p w14:paraId="5037D7FF" w14:textId="77777777" w:rsidR="00DC156C" w:rsidRPr="0021089F" w:rsidRDefault="00686AB5" w:rsidP="00DC156C">
            <w:pPr>
              <w:jc w:val="right"/>
              <w:rPr>
                <w:lang w:eastAsia="en-US"/>
              </w:rPr>
            </w:pPr>
            <w:r w:rsidRPr="0021089F">
              <w:rPr>
                <w:lang w:eastAsia="en-US"/>
              </w:rPr>
              <w:t>0</w:t>
            </w:r>
          </w:p>
        </w:tc>
        <w:tc>
          <w:tcPr>
            <w:tcW w:w="992" w:type="dxa"/>
          </w:tcPr>
          <w:p w14:paraId="6F4259BC" w14:textId="52F07FDD" w:rsidR="00DC156C" w:rsidRPr="009B2F60" w:rsidRDefault="00686AB5" w:rsidP="00DC156C">
            <w:pPr>
              <w:jc w:val="right"/>
              <w:rPr>
                <w:lang w:eastAsia="en-US"/>
              </w:rPr>
            </w:pPr>
            <w:r w:rsidRPr="0053552C">
              <w:t>0</w:t>
            </w:r>
          </w:p>
        </w:tc>
        <w:tc>
          <w:tcPr>
            <w:tcW w:w="1134" w:type="dxa"/>
            <w:shd w:val="clear" w:color="auto" w:fill="auto"/>
          </w:tcPr>
          <w:p w14:paraId="09661F7E" w14:textId="14BE9AB9" w:rsidR="00DC156C" w:rsidRPr="0021089F" w:rsidRDefault="00686AB5" w:rsidP="00DC156C">
            <w:pPr>
              <w:jc w:val="right"/>
              <w:rPr>
                <w:lang w:eastAsia="en-US"/>
              </w:rPr>
            </w:pPr>
            <w:r w:rsidRPr="009B2F60">
              <w:rPr>
                <w:lang w:eastAsia="en-US"/>
              </w:rPr>
              <w:t>820 000</w:t>
            </w:r>
          </w:p>
        </w:tc>
        <w:tc>
          <w:tcPr>
            <w:tcW w:w="851" w:type="dxa"/>
          </w:tcPr>
          <w:p w14:paraId="2954F2B0" w14:textId="185BBDE0" w:rsidR="00DC156C" w:rsidRPr="009B2F60" w:rsidRDefault="00686AB5" w:rsidP="00DC156C">
            <w:pPr>
              <w:jc w:val="right"/>
              <w:rPr>
                <w:lang w:eastAsia="en-US"/>
              </w:rPr>
            </w:pPr>
            <w:r w:rsidRPr="00E43AF4">
              <w:t>0</w:t>
            </w:r>
          </w:p>
        </w:tc>
        <w:tc>
          <w:tcPr>
            <w:tcW w:w="1276" w:type="dxa"/>
            <w:shd w:val="clear" w:color="auto" w:fill="auto"/>
          </w:tcPr>
          <w:p w14:paraId="2DD2CDB0" w14:textId="027DA5F9" w:rsidR="00DC156C" w:rsidRPr="0021089F" w:rsidRDefault="00686AB5" w:rsidP="00DC156C">
            <w:pPr>
              <w:jc w:val="right"/>
              <w:rPr>
                <w:lang w:eastAsia="en-US"/>
              </w:rPr>
            </w:pPr>
            <w:r w:rsidRPr="009B2F60">
              <w:rPr>
                <w:lang w:eastAsia="en-US"/>
              </w:rPr>
              <w:t>1 200 000</w:t>
            </w:r>
          </w:p>
        </w:tc>
        <w:tc>
          <w:tcPr>
            <w:tcW w:w="1276" w:type="dxa"/>
            <w:shd w:val="clear" w:color="auto" w:fill="auto"/>
          </w:tcPr>
          <w:p w14:paraId="0B299329" w14:textId="66149F81" w:rsidR="00DC156C" w:rsidRPr="0021089F" w:rsidRDefault="00686AB5" w:rsidP="00DC156C">
            <w:pPr>
              <w:jc w:val="right"/>
              <w:rPr>
                <w:lang w:eastAsia="en-US"/>
              </w:rPr>
            </w:pPr>
            <w:r w:rsidRPr="00AE53E5">
              <w:rPr>
                <w:lang w:eastAsia="en-US"/>
              </w:rPr>
              <w:t>2 510 000</w:t>
            </w:r>
          </w:p>
        </w:tc>
      </w:tr>
      <w:tr w:rsidR="00B30D6D" w14:paraId="39284CE5" w14:textId="77777777" w:rsidTr="00754542">
        <w:tc>
          <w:tcPr>
            <w:tcW w:w="1980" w:type="dxa"/>
            <w:shd w:val="clear" w:color="auto" w:fill="auto"/>
            <w:hideMark/>
          </w:tcPr>
          <w:p w14:paraId="5FF54842" w14:textId="77777777" w:rsidR="00DC156C" w:rsidRPr="002D3245" w:rsidRDefault="00686AB5" w:rsidP="00DC156C">
            <w:pPr>
              <w:rPr>
                <w:lang w:eastAsia="en-US"/>
              </w:rPr>
            </w:pPr>
            <w:r w:rsidRPr="002D3245">
              <w:t>2.1. valsts pamatbudžets</w:t>
            </w:r>
          </w:p>
        </w:tc>
        <w:tc>
          <w:tcPr>
            <w:tcW w:w="988" w:type="dxa"/>
            <w:shd w:val="clear" w:color="auto" w:fill="auto"/>
            <w:hideMark/>
          </w:tcPr>
          <w:p w14:paraId="5FE1FBEB" w14:textId="77777777" w:rsidR="00DC156C" w:rsidRPr="0021089F" w:rsidRDefault="00686AB5" w:rsidP="00DC156C">
            <w:pPr>
              <w:jc w:val="right"/>
              <w:rPr>
                <w:lang w:eastAsia="en-US"/>
              </w:rPr>
            </w:pPr>
            <w:r w:rsidRPr="0021089F">
              <w:rPr>
                <w:lang w:eastAsia="en-US"/>
              </w:rPr>
              <w:t>0</w:t>
            </w:r>
          </w:p>
        </w:tc>
        <w:tc>
          <w:tcPr>
            <w:tcW w:w="996" w:type="dxa"/>
            <w:shd w:val="clear" w:color="auto" w:fill="auto"/>
            <w:hideMark/>
          </w:tcPr>
          <w:p w14:paraId="7B8A4E71" w14:textId="77777777" w:rsidR="00DC156C" w:rsidRPr="0021089F" w:rsidRDefault="00686AB5" w:rsidP="00DC156C">
            <w:pPr>
              <w:jc w:val="right"/>
              <w:rPr>
                <w:lang w:eastAsia="en-US"/>
              </w:rPr>
            </w:pPr>
            <w:r w:rsidRPr="0021089F">
              <w:rPr>
                <w:lang w:eastAsia="en-US"/>
              </w:rPr>
              <w:t>0</w:t>
            </w:r>
          </w:p>
        </w:tc>
        <w:tc>
          <w:tcPr>
            <w:tcW w:w="992" w:type="dxa"/>
          </w:tcPr>
          <w:p w14:paraId="5241CA7E" w14:textId="6F6629CF" w:rsidR="00DC156C" w:rsidRPr="009B2F60" w:rsidRDefault="00686AB5" w:rsidP="00DC156C">
            <w:pPr>
              <w:jc w:val="right"/>
              <w:rPr>
                <w:lang w:eastAsia="en-US"/>
              </w:rPr>
            </w:pPr>
            <w:r w:rsidRPr="0053552C">
              <w:t>0</w:t>
            </w:r>
          </w:p>
        </w:tc>
        <w:tc>
          <w:tcPr>
            <w:tcW w:w="1134" w:type="dxa"/>
            <w:shd w:val="clear" w:color="auto" w:fill="auto"/>
          </w:tcPr>
          <w:p w14:paraId="03F050B9" w14:textId="5F7979C8" w:rsidR="00DC156C" w:rsidRPr="0021089F" w:rsidRDefault="00686AB5" w:rsidP="00DC156C">
            <w:pPr>
              <w:jc w:val="right"/>
              <w:rPr>
                <w:lang w:eastAsia="en-US"/>
              </w:rPr>
            </w:pPr>
            <w:r w:rsidRPr="009B2F60">
              <w:rPr>
                <w:lang w:eastAsia="en-US"/>
              </w:rPr>
              <w:t>820 000</w:t>
            </w:r>
          </w:p>
        </w:tc>
        <w:tc>
          <w:tcPr>
            <w:tcW w:w="851" w:type="dxa"/>
          </w:tcPr>
          <w:p w14:paraId="7F6DFDCE" w14:textId="128FFC2A" w:rsidR="00DC156C" w:rsidRPr="009B2F60" w:rsidRDefault="00686AB5" w:rsidP="00DC156C">
            <w:pPr>
              <w:jc w:val="right"/>
              <w:rPr>
                <w:lang w:eastAsia="en-US"/>
              </w:rPr>
            </w:pPr>
            <w:r w:rsidRPr="00E43AF4">
              <w:t>0</w:t>
            </w:r>
          </w:p>
        </w:tc>
        <w:tc>
          <w:tcPr>
            <w:tcW w:w="1276" w:type="dxa"/>
            <w:shd w:val="clear" w:color="auto" w:fill="auto"/>
          </w:tcPr>
          <w:p w14:paraId="35556C80" w14:textId="3AEF0A61" w:rsidR="00DC156C" w:rsidRPr="0021089F" w:rsidRDefault="00686AB5" w:rsidP="00DC156C">
            <w:pPr>
              <w:jc w:val="right"/>
              <w:rPr>
                <w:lang w:eastAsia="en-US"/>
              </w:rPr>
            </w:pPr>
            <w:r w:rsidRPr="009B2F60">
              <w:rPr>
                <w:lang w:eastAsia="en-US"/>
              </w:rPr>
              <w:t>1 200 000</w:t>
            </w:r>
          </w:p>
        </w:tc>
        <w:tc>
          <w:tcPr>
            <w:tcW w:w="1276" w:type="dxa"/>
            <w:shd w:val="clear" w:color="auto" w:fill="auto"/>
          </w:tcPr>
          <w:p w14:paraId="2930332F" w14:textId="590D3831" w:rsidR="00DC156C" w:rsidRPr="00A165BE" w:rsidRDefault="00686AB5" w:rsidP="00DC156C">
            <w:pPr>
              <w:jc w:val="right"/>
              <w:rPr>
                <w:lang w:eastAsia="en-US"/>
              </w:rPr>
            </w:pPr>
            <w:r w:rsidRPr="00B946B9">
              <w:rPr>
                <w:lang w:eastAsia="en-US"/>
              </w:rPr>
              <w:t>2 510 000</w:t>
            </w:r>
          </w:p>
        </w:tc>
      </w:tr>
      <w:tr w:rsidR="00B30D6D" w14:paraId="0F349771" w14:textId="77777777" w:rsidTr="00754542">
        <w:tc>
          <w:tcPr>
            <w:tcW w:w="1980" w:type="dxa"/>
            <w:shd w:val="clear" w:color="auto" w:fill="auto"/>
            <w:hideMark/>
          </w:tcPr>
          <w:p w14:paraId="5A1AB738" w14:textId="77777777" w:rsidR="00DC156C" w:rsidRPr="002D3245" w:rsidRDefault="00686AB5" w:rsidP="00DC156C">
            <w:pPr>
              <w:rPr>
                <w:lang w:eastAsia="en-US"/>
              </w:rPr>
            </w:pPr>
            <w:r w:rsidRPr="002D3245">
              <w:t>2.2. valsts speciālais budžets</w:t>
            </w:r>
          </w:p>
        </w:tc>
        <w:tc>
          <w:tcPr>
            <w:tcW w:w="988" w:type="dxa"/>
            <w:shd w:val="clear" w:color="auto" w:fill="auto"/>
            <w:hideMark/>
          </w:tcPr>
          <w:p w14:paraId="4DF3CADE" w14:textId="77777777" w:rsidR="00DC156C" w:rsidRPr="0021089F" w:rsidRDefault="00686AB5" w:rsidP="00DC156C">
            <w:pPr>
              <w:jc w:val="right"/>
              <w:rPr>
                <w:lang w:eastAsia="en-US"/>
              </w:rPr>
            </w:pPr>
            <w:r w:rsidRPr="0021089F">
              <w:rPr>
                <w:lang w:eastAsia="en-US"/>
              </w:rPr>
              <w:t>0</w:t>
            </w:r>
          </w:p>
        </w:tc>
        <w:tc>
          <w:tcPr>
            <w:tcW w:w="996" w:type="dxa"/>
            <w:shd w:val="clear" w:color="auto" w:fill="auto"/>
            <w:hideMark/>
          </w:tcPr>
          <w:p w14:paraId="1CBA733A" w14:textId="77777777" w:rsidR="00DC156C" w:rsidRPr="0021089F" w:rsidRDefault="00686AB5" w:rsidP="00DC156C">
            <w:pPr>
              <w:jc w:val="right"/>
              <w:rPr>
                <w:lang w:eastAsia="en-US"/>
              </w:rPr>
            </w:pPr>
            <w:r w:rsidRPr="0021089F">
              <w:rPr>
                <w:lang w:eastAsia="en-US"/>
              </w:rPr>
              <w:t>0</w:t>
            </w:r>
          </w:p>
        </w:tc>
        <w:tc>
          <w:tcPr>
            <w:tcW w:w="992" w:type="dxa"/>
          </w:tcPr>
          <w:p w14:paraId="09847E38" w14:textId="3D5ED2F3" w:rsidR="00DC156C" w:rsidRPr="0021089F" w:rsidRDefault="00686AB5" w:rsidP="00DC156C">
            <w:pPr>
              <w:jc w:val="right"/>
              <w:rPr>
                <w:lang w:eastAsia="en-US"/>
              </w:rPr>
            </w:pPr>
            <w:r w:rsidRPr="0053552C">
              <w:t>0</w:t>
            </w:r>
          </w:p>
        </w:tc>
        <w:tc>
          <w:tcPr>
            <w:tcW w:w="1134" w:type="dxa"/>
            <w:shd w:val="clear" w:color="auto" w:fill="auto"/>
          </w:tcPr>
          <w:p w14:paraId="37E343F9" w14:textId="41021FA3" w:rsidR="00DC156C" w:rsidRPr="0021089F" w:rsidRDefault="00686AB5" w:rsidP="00DC156C">
            <w:pPr>
              <w:jc w:val="right"/>
              <w:rPr>
                <w:lang w:eastAsia="en-US"/>
              </w:rPr>
            </w:pPr>
            <w:r w:rsidRPr="0021089F">
              <w:rPr>
                <w:lang w:eastAsia="en-US"/>
              </w:rPr>
              <w:t>0</w:t>
            </w:r>
          </w:p>
        </w:tc>
        <w:tc>
          <w:tcPr>
            <w:tcW w:w="851" w:type="dxa"/>
          </w:tcPr>
          <w:p w14:paraId="02342E43" w14:textId="38C99D2B" w:rsidR="00DC156C" w:rsidRPr="0021089F" w:rsidRDefault="00686AB5" w:rsidP="00DC156C">
            <w:pPr>
              <w:jc w:val="right"/>
              <w:rPr>
                <w:lang w:eastAsia="en-US"/>
              </w:rPr>
            </w:pPr>
            <w:r w:rsidRPr="00E43AF4">
              <w:t>0</w:t>
            </w:r>
          </w:p>
        </w:tc>
        <w:tc>
          <w:tcPr>
            <w:tcW w:w="1276" w:type="dxa"/>
            <w:shd w:val="clear" w:color="auto" w:fill="auto"/>
          </w:tcPr>
          <w:p w14:paraId="24B3815F" w14:textId="39AECE7C" w:rsidR="00DC156C" w:rsidRPr="0021089F" w:rsidRDefault="00686AB5" w:rsidP="00DC156C">
            <w:pPr>
              <w:jc w:val="right"/>
              <w:rPr>
                <w:lang w:eastAsia="en-US"/>
              </w:rPr>
            </w:pPr>
            <w:r w:rsidRPr="0021089F">
              <w:rPr>
                <w:lang w:eastAsia="en-US"/>
              </w:rPr>
              <w:t>0</w:t>
            </w:r>
          </w:p>
        </w:tc>
        <w:tc>
          <w:tcPr>
            <w:tcW w:w="1276" w:type="dxa"/>
            <w:shd w:val="clear" w:color="auto" w:fill="auto"/>
          </w:tcPr>
          <w:p w14:paraId="1576F228" w14:textId="77777777" w:rsidR="00DC156C" w:rsidRPr="0021089F" w:rsidRDefault="00686AB5" w:rsidP="00DC156C">
            <w:pPr>
              <w:jc w:val="right"/>
              <w:rPr>
                <w:lang w:eastAsia="en-US"/>
              </w:rPr>
            </w:pPr>
            <w:r w:rsidRPr="0021089F">
              <w:rPr>
                <w:lang w:eastAsia="en-US"/>
              </w:rPr>
              <w:t>0</w:t>
            </w:r>
          </w:p>
        </w:tc>
      </w:tr>
      <w:tr w:rsidR="00B30D6D" w14:paraId="45A96343" w14:textId="77777777" w:rsidTr="00754542">
        <w:tc>
          <w:tcPr>
            <w:tcW w:w="1980" w:type="dxa"/>
            <w:shd w:val="clear" w:color="auto" w:fill="auto"/>
            <w:hideMark/>
          </w:tcPr>
          <w:p w14:paraId="6FA27249" w14:textId="77777777" w:rsidR="00DC156C" w:rsidRPr="00EB0FBE" w:rsidRDefault="00686AB5" w:rsidP="00DC156C">
            <w:pPr>
              <w:rPr>
                <w:sz w:val="22"/>
                <w:szCs w:val="22"/>
                <w:lang w:eastAsia="en-US"/>
              </w:rPr>
            </w:pPr>
            <w:r w:rsidRPr="00EB0FBE">
              <w:rPr>
                <w:sz w:val="22"/>
                <w:szCs w:val="22"/>
              </w:rPr>
              <w:t>2.3. pašvaldību budžets</w:t>
            </w:r>
          </w:p>
        </w:tc>
        <w:tc>
          <w:tcPr>
            <w:tcW w:w="988" w:type="dxa"/>
            <w:shd w:val="clear" w:color="auto" w:fill="auto"/>
            <w:hideMark/>
          </w:tcPr>
          <w:p w14:paraId="4607491D" w14:textId="77777777" w:rsidR="00DC156C" w:rsidRPr="0021089F" w:rsidRDefault="00686AB5" w:rsidP="00DC156C">
            <w:pPr>
              <w:jc w:val="right"/>
              <w:rPr>
                <w:lang w:eastAsia="en-US"/>
              </w:rPr>
            </w:pPr>
            <w:r w:rsidRPr="0021089F">
              <w:rPr>
                <w:lang w:eastAsia="en-US"/>
              </w:rPr>
              <w:t>0</w:t>
            </w:r>
          </w:p>
        </w:tc>
        <w:tc>
          <w:tcPr>
            <w:tcW w:w="996" w:type="dxa"/>
            <w:shd w:val="clear" w:color="auto" w:fill="auto"/>
            <w:hideMark/>
          </w:tcPr>
          <w:p w14:paraId="208CBB46" w14:textId="77777777" w:rsidR="00DC156C" w:rsidRPr="0021089F" w:rsidRDefault="00686AB5" w:rsidP="00DC156C">
            <w:pPr>
              <w:jc w:val="right"/>
              <w:rPr>
                <w:lang w:eastAsia="en-US"/>
              </w:rPr>
            </w:pPr>
            <w:r w:rsidRPr="0021089F">
              <w:rPr>
                <w:lang w:eastAsia="en-US"/>
              </w:rPr>
              <w:t>0</w:t>
            </w:r>
          </w:p>
        </w:tc>
        <w:tc>
          <w:tcPr>
            <w:tcW w:w="992" w:type="dxa"/>
          </w:tcPr>
          <w:p w14:paraId="5FCDED24" w14:textId="79CF8BB7" w:rsidR="00DC156C" w:rsidRPr="0021089F" w:rsidRDefault="00686AB5" w:rsidP="00DC156C">
            <w:pPr>
              <w:jc w:val="right"/>
              <w:rPr>
                <w:lang w:eastAsia="en-US"/>
              </w:rPr>
            </w:pPr>
            <w:r w:rsidRPr="0053552C">
              <w:t>0</w:t>
            </w:r>
          </w:p>
        </w:tc>
        <w:tc>
          <w:tcPr>
            <w:tcW w:w="1134" w:type="dxa"/>
            <w:shd w:val="clear" w:color="auto" w:fill="auto"/>
          </w:tcPr>
          <w:p w14:paraId="51F928D2" w14:textId="3AEAE131" w:rsidR="00DC156C" w:rsidRPr="0021089F" w:rsidRDefault="00686AB5" w:rsidP="00DC156C">
            <w:pPr>
              <w:jc w:val="right"/>
              <w:rPr>
                <w:lang w:eastAsia="en-US"/>
              </w:rPr>
            </w:pPr>
            <w:r w:rsidRPr="0021089F">
              <w:rPr>
                <w:lang w:eastAsia="en-US"/>
              </w:rPr>
              <w:t>0</w:t>
            </w:r>
          </w:p>
        </w:tc>
        <w:tc>
          <w:tcPr>
            <w:tcW w:w="851" w:type="dxa"/>
          </w:tcPr>
          <w:p w14:paraId="65064F20" w14:textId="299F4028" w:rsidR="00DC156C" w:rsidRPr="0021089F" w:rsidRDefault="00686AB5" w:rsidP="00DC156C">
            <w:pPr>
              <w:jc w:val="right"/>
              <w:rPr>
                <w:lang w:eastAsia="en-US"/>
              </w:rPr>
            </w:pPr>
            <w:r w:rsidRPr="00E43AF4">
              <w:t>0</w:t>
            </w:r>
          </w:p>
        </w:tc>
        <w:tc>
          <w:tcPr>
            <w:tcW w:w="1276" w:type="dxa"/>
            <w:shd w:val="clear" w:color="auto" w:fill="auto"/>
          </w:tcPr>
          <w:p w14:paraId="5E9FE990" w14:textId="26DF7132" w:rsidR="00DC156C" w:rsidRPr="0021089F" w:rsidRDefault="00686AB5" w:rsidP="00DC156C">
            <w:pPr>
              <w:jc w:val="right"/>
              <w:rPr>
                <w:lang w:eastAsia="en-US"/>
              </w:rPr>
            </w:pPr>
            <w:r w:rsidRPr="0021089F">
              <w:rPr>
                <w:lang w:eastAsia="en-US"/>
              </w:rPr>
              <w:t>0</w:t>
            </w:r>
          </w:p>
        </w:tc>
        <w:tc>
          <w:tcPr>
            <w:tcW w:w="1276" w:type="dxa"/>
            <w:shd w:val="clear" w:color="auto" w:fill="auto"/>
          </w:tcPr>
          <w:p w14:paraId="37D01B05" w14:textId="77777777" w:rsidR="00DC156C" w:rsidRPr="0021089F" w:rsidRDefault="00686AB5" w:rsidP="00DC156C">
            <w:pPr>
              <w:jc w:val="right"/>
              <w:rPr>
                <w:lang w:eastAsia="en-US"/>
              </w:rPr>
            </w:pPr>
            <w:r w:rsidRPr="0021089F">
              <w:rPr>
                <w:lang w:eastAsia="en-US"/>
              </w:rPr>
              <w:t>0</w:t>
            </w:r>
          </w:p>
        </w:tc>
      </w:tr>
      <w:tr w:rsidR="00B30D6D" w14:paraId="77BEB876" w14:textId="77777777" w:rsidTr="00754542">
        <w:tc>
          <w:tcPr>
            <w:tcW w:w="1980" w:type="dxa"/>
            <w:shd w:val="clear" w:color="auto" w:fill="auto"/>
            <w:hideMark/>
          </w:tcPr>
          <w:p w14:paraId="0E51D005" w14:textId="77777777" w:rsidR="00DC156C" w:rsidRPr="002D3245" w:rsidRDefault="00686AB5" w:rsidP="00DC156C">
            <w:pPr>
              <w:rPr>
                <w:lang w:eastAsia="en-US"/>
              </w:rPr>
            </w:pPr>
            <w:r w:rsidRPr="002D3245">
              <w:t>3. Finansiālā ietekme:</w:t>
            </w:r>
          </w:p>
        </w:tc>
        <w:tc>
          <w:tcPr>
            <w:tcW w:w="988" w:type="dxa"/>
            <w:shd w:val="clear" w:color="auto" w:fill="auto"/>
            <w:hideMark/>
          </w:tcPr>
          <w:p w14:paraId="73A5F8A6" w14:textId="77777777" w:rsidR="00DC156C" w:rsidRPr="0021089F" w:rsidRDefault="00686AB5" w:rsidP="00DC156C">
            <w:pPr>
              <w:jc w:val="right"/>
              <w:rPr>
                <w:lang w:eastAsia="en-US"/>
              </w:rPr>
            </w:pPr>
            <w:r w:rsidRPr="0021089F">
              <w:rPr>
                <w:lang w:eastAsia="en-US"/>
              </w:rPr>
              <w:t>0</w:t>
            </w:r>
          </w:p>
        </w:tc>
        <w:tc>
          <w:tcPr>
            <w:tcW w:w="996" w:type="dxa"/>
            <w:shd w:val="clear" w:color="auto" w:fill="auto"/>
            <w:hideMark/>
          </w:tcPr>
          <w:p w14:paraId="4140F848" w14:textId="77777777" w:rsidR="00DC156C" w:rsidRPr="0021089F" w:rsidRDefault="00686AB5" w:rsidP="00DC156C">
            <w:pPr>
              <w:jc w:val="right"/>
              <w:rPr>
                <w:lang w:eastAsia="en-US"/>
              </w:rPr>
            </w:pPr>
            <w:r w:rsidRPr="0021089F">
              <w:rPr>
                <w:lang w:eastAsia="en-US"/>
              </w:rPr>
              <w:t>0</w:t>
            </w:r>
          </w:p>
        </w:tc>
        <w:tc>
          <w:tcPr>
            <w:tcW w:w="992" w:type="dxa"/>
          </w:tcPr>
          <w:p w14:paraId="3A8FB9D4" w14:textId="2A2FEAB6" w:rsidR="00DC156C" w:rsidRPr="0021089F" w:rsidRDefault="00686AB5" w:rsidP="00DC156C">
            <w:pPr>
              <w:jc w:val="right"/>
              <w:rPr>
                <w:lang w:eastAsia="en-US"/>
              </w:rPr>
            </w:pPr>
            <w:r w:rsidRPr="0053552C">
              <w:t>0</w:t>
            </w:r>
          </w:p>
        </w:tc>
        <w:tc>
          <w:tcPr>
            <w:tcW w:w="1134" w:type="dxa"/>
            <w:shd w:val="clear" w:color="auto" w:fill="auto"/>
          </w:tcPr>
          <w:p w14:paraId="7481C549" w14:textId="7A0F5DD5" w:rsidR="00DC156C" w:rsidRPr="0021089F" w:rsidRDefault="00686AB5" w:rsidP="00DC156C">
            <w:pPr>
              <w:jc w:val="right"/>
              <w:rPr>
                <w:lang w:eastAsia="en-US"/>
              </w:rPr>
            </w:pPr>
            <w:r w:rsidRPr="0021089F">
              <w:rPr>
                <w:lang w:eastAsia="en-US"/>
              </w:rPr>
              <w:t>-123 000</w:t>
            </w:r>
          </w:p>
        </w:tc>
        <w:tc>
          <w:tcPr>
            <w:tcW w:w="851" w:type="dxa"/>
          </w:tcPr>
          <w:p w14:paraId="7C4C47E1" w14:textId="5D6D0796" w:rsidR="00DC156C" w:rsidRPr="0021089F" w:rsidRDefault="00686AB5" w:rsidP="00DC156C">
            <w:pPr>
              <w:jc w:val="right"/>
              <w:rPr>
                <w:lang w:eastAsia="en-US"/>
              </w:rPr>
            </w:pPr>
            <w:r w:rsidRPr="00E43AF4">
              <w:t>0</w:t>
            </w:r>
          </w:p>
        </w:tc>
        <w:tc>
          <w:tcPr>
            <w:tcW w:w="1276" w:type="dxa"/>
            <w:shd w:val="clear" w:color="auto" w:fill="auto"/>
          </w:tcPr>
          <w:p w14:paraId="317A6746" w14:textId="3E1665CD" w:rsidR="00DC156C" w:rsidRPr="0021089F" w:rsidRDefault="00686AB5" w:rsidP="00DC156C">
            <w:pPr>
              <w:jc w:val="right"/>
              <w:rPr>
                <w:lang w:eastAsia="en-US"/>
              </w:rPr>
            </w:pPr>
            <w:r w:rsidRPr="0021089F">
              <w:rPr>
                <w:lang w:eastAsia="en-US"/>
              </w:rPr>
              <w:t>-180 000</w:t>
            </w:r>
          </w:p>
        </w:tc>
        <w:tc>
          <w:tcPr>
            <w:tcW w:w="1276" w:type="dxa"/>
            <w:shd w:val="clear" w:color="auto" w:fill="auto"/>
          </w:tcPr>
          <w:p w14:paraId="3FD8B5AE" w14:textId="3F683F3B" w:rsidR="00DC156C" w:rsidRPr="0021089F" w:rsidRDefault="00686AB5" w:rsidP="00DC156C">
            <w:pPr>
              <w:jc w:val="right"/>
              <w:rPr>
                <w:lang w:eastAsia="en-US"/>
              </w:rPr>
            </w:pPr>
            <w:r w:rsidRPr="00AE53E5">
              <w:rPr>
                <w:lang w:eastAsia="en-US"/>
              </w:rPr>
              <w:t>-376 500</w:t>
            </w:r>
          </w:p>
        </w:tc>
      </w:tr>
      <w:tr w:rsidR="00B30D6D" w14:paraId="2BBEC728" w14:textId="77777777" w:rsidTr="00754542">
        <w:tc>
          <w:tcPr>
            <w:tcW w:w="1980" w:type="dxa"/>
            <w:shd w:val="clear" w:color="auto" w:fill="auto"/>
            <w:hideMark/>
          </w:tcPr>
          <w:p w14:paraId="6AB7886A" w14:textId="77777777" w:rsidR="00DC156C" w:rsidRPr="002D3245" w:rsidRDefault="00686AB5" w:rsidP="00DC156C">
            <w:pPr>
              <w:rPr>
                <w:lang w:eastAsia="en-US"/>
              </w:rPr>
            </w:pPr>
            <w:r w:rsidRPr="002D3245">
              <w:t>3.1. valsts pamatbudžets</w:t>
            </w:r>
          </w:p>
        </w:tc>
        <w:tc>
          <w:tcPr>
            <w:tcW w:w="988" w:type="dxa"/>
            <w:shd w:val="clear" w:color="auto" w:fill="auto"/>
            <w:hideMark/>
          </w:tcPr>
          <w:p w14:paraId="1DF94CF6" w14:textId="77777777" w:rsidR="00DC156C" w:rsidRPr="0021089F" w:rsidRDefault="00686AB5" w:rsidP="00DC156C">
            <w:pPr>
              <w:jc w:val="right"/>
              <w:rPr>
                <w:lang w:eastAsia="en-US"/>
              </w:rPr>
            </w:pPr>
            <w:r w:rsidRPr="0021089F">
              <w:rPr>
                <w:lang w:eastAsia="en-US"/>
              </w:rPr>
              <w:t>0</w:t>
            </w:r>
          </w:p>
        </w:tc>
        <w:tc>
          <w:tcPr>
            <w:tcW w:w="996" w:type="dxa"/>
            <w:shd w:val="clear" w:color="auto" w:fill="auto"/>
            <w:hideMark/>
          </w:tcPr>
          <w:p w14:paraId="000A35EA" w14:textId="77777777" w:rsidR="00DC156C" w:rsidRPr="0021089F" w:rsidRDefault="00686AB5" w:rsidP="00DC156C">
            <w:pPr>
              <w:jc w:val="right"/>
              <w:rPr>
                <w:lang w:eastAsia="en-US"/>
              </w:rPr>
            </w:pPr>
            <w:r w:rsidRPr="0021089F">
              <w:rPr>
                <w:lang w:eastAsia="en-US"/>
              </w:rPr>
              <w:t>0</w:t>
            </w:r>
          </w:p>
        </w:tc>
        <w:tc>
          <w:tcPr>
            <w:tcW w:w="992" w:type="dxa"/>
          </w:tcPr>
          <w:p w14:paraId="346A2B15" w14:textId="0B4C0C15" w:rsidR="00DC156C" w:rsidRPr="0021089F" w:rsidRDefault="00686AB5" w:rsidP="00DC156C">
            <w:pPr>
              <w:jc w:val="right"/>
              <w:rPr>
                <w:lang w:eastAsia="en-US"/>
              </w:rPr>
            </w:pPr>
            <w:r w:rsidRPr="0053552C">
              <w:t>0</w:t>
            </w:r>
          </w:p>
        </w:tc>
        <w:tc>
          <w:tcPr>
            <w:tcW w:w="1134" w:type="dxa"/>
            <w:shd w:val="clear" w:color="auto" w:fill="auto"/>
          </w:tcPr>
          <w:p w14:paraId="22C2FC7F" w14:textId="36D8C0D3" w:rsidR="00DC156C" w:rsidRPr="0021089F" w:rsidRDefault="00686AB5" w:rsidP="00DC156C">
            <w:pPr>
              <w:jc w:val="right"/>
              <w:rPr>
                <w:lang w:eastAsia="en-US"/>
              </w:rPr>
            </w:pPr>
            <w:r w:rsidRPr="0021089F">
              <w:rPr>
                <w:lang w:eastAsia="en-US"/>
              </w:rPr>
              <w:t>-123 000</w:t>
            </w:r>
          </w:p>
        </w:tc>
        <w:tc>
          <w:tcPr>
            <w:tcW w:w="851" w:type="dxa"/>
          </w:tcPr>
          <w:p w14:paraId="4ADEB217" w14:textId="3AC8E327" w:rsidR="00DC156C" w:rsidRPr="0021089F" w:rsidRDefault="00686AB5" w:rsidP="00DC156C">
            <w:pPr>
              <w:jc w:val="right"/>
              <w:rPr>
                <w:lang w:eastAsia="en-US"/>
              </w:rPr>
            </w:pPr>
            <w:r w:rsidRPr="00E43AF4">
              <w:t>0</w:t>
            </w:r>
          </w:p>
        </w:tc>
        <w:tc>
          <w:tcPr>
            <w:tcW w:w="1276" w:type="dxa"/>
            <w:shd w:val="clear" w:color="auto" w:fill="auto"/>
          </w:tcPr>
          <w:p w14:paraId="2D5D473E" w14:textId="156E7DD9" w:rsidR="00DC156C" w:rsidRPr="0021089F" w:rsidRDefault="00686AB5" w:rsidP="00DC156C">
            <w:pPr>
              <w:jc w:val="right"/>
              <w:rPr>
                <w:lang w:eastAsia="en-US"/>
              </w:rPr>
            </w:pPr>
            <w:r w:rsidRPr="0021089F">
              <w:rPr>
                <w:lang w:eastAsia="en-US"/>
              </w:rPr>
              <w:t>-180 000</w:t>
            </w:r>
          </w:p>
        </w:tc>
        <w:tc>
          <w:tcPr>
            <w:tcW w:w="1276" w:type="dxa"/>
            <w:shd w:val="clear" w:color="auto" w:fill="auto"/>
          </w:tcPr>
          <w:p w14:paraId="6E82D1FD" w14:textId="667C9396" w:rsidR="00DC156C" w:rsidRPr="00A165BE" w:rsidRDefault="00686AB5" w:rsidP="00DC156C">
            <w:pPr>
              <w:jc w:val="right"/>
              <w:rPr>
                <w:lang w:eastAsia="en-US"/>
              </w:rPr>
            </w:pPr>
            <w:r w:rsidRPr="00B946B9">
              <w:rPr>
                <w:lang w:eastAsia="en-US"/>
              </w:rPr>
              <w:t>-376 500</w:t>
            </w:r>
          </w:p>
        </w:tc>
      </w:tr>
      <w:tr w:rsidR="00B30D6D" w14:paraId="0A98657A" w14:textId="77777777" w:rsidTr="00754542">
        <w:tc>
          <w:tcPr>
            <w:tcW w:w="1980" w:type="dxa"/>
            <w:shd w:val="clear" w:color="auto" w:fill="auto"/>
            <w:hideMark/>
          </w:tcPr>
          <w:p w14:paraId="50EB00E7" w14:textId="77777777" w:rsidR="003E7AAB" w:rsidRPr="002D3245" w:rsidRDefault="00686AB5" w:rsidP="003E7AAB">
            <w:pPr>
              <w:rPr>
                <w:lang w:eastAsia="en-US"/>
              </w:rPr>
            </w:pPr>
            <w:r w:rsidRPr="002D3245">
              <w:lastRenderedPageBreak/>
              <w:t>3.2. speciālais budžets</w:t>
            </w:r>
          </w:p>
        </w:tc>
        <w:tc>
          <w:tcPr>
            <w:tcW w:w="988" w:type="dxa"/>
            <w:shd w:val="clear" w:color="auto" w:fill="auto"/>
            <w:hideMark/>
          </w:tcPr>
          <w:p w14:paraId="628E80AC" w14:textId="77777777" w:rsidR="003E7AAB" w:rsidRPr="0021089F" w:rsidRDefault="00686AB5" w:rsidP="003E7AAB">
            <w:pPr>
              <w:jc w:val="right"/>
              <w:rPr>
                <w:lang w:eastAsia="en-US"/>
              </w:rPr>
            </w:pPr>
            <w:r w:rsidRPr="0021089F">
              <w:rPr>
                <w:lang w:eastAsia="en-US"/>
              </w:rPr>
              <w:t>0</w:t>
            </w:r>
          </w:p>
        </w:tc>
        <w:tc>
          <w:tcPr>
            <w:tcW w:w="996" w:type="dxa"/>
            <w:shd w:val="clear" w:color="auto" w:fill="auto"/>
            <w:hideMark/>
          </w:tcPr>
          <w:p w14:paraId="0FEB2FC3" w14:textId="77777777" w:rsidR="003E7AAB" w:rsidRPr="0021089F" w:rsidRDefault="00686AB5" w:rsidP="003E7AAB">
            <w:pPr>
              <w:jc w:val="right"/>
              <w:rPr>
                <w:lang w:eastAsia="en-US"/>
              </w:rPr>
            </w:pPr>
            <w:r w:rsidRPr="0021089F">
              <w:rPr>
                <w:lang w:eastAsia="en-US"/>
              </w:rPr>
              <w:t>0</w:t>
            </w:r>
          </w:p>
        </w:tc>
        <w:tc>
          <w:tcPr>
            <w:tcW w:w="992" w:type="dxa"/>
          </w:tcPr>
          <w:p w14:paraId="69B5E35F" w14:textId="1D15996F" w:rsidR="003E7AAB" w:rsidRPr="0021089F" w:rsidRDefault="00686AB5" w:rsidP="003E7AAB">
            <w:pPr>
              <w:jc w:val="right"/>
              <w:rPr>
                <w:lang w:eastAsia="en-US"/>
              </w:rPr>
            </w:pPr>
            <w:r w:rsidRPr="00FA3241">
              <w:rPr>
                <w:lang w:eastAsia="en-US"/>
              </w:rPr>
              <w:t>0</w:t>
            </w:r>
          </w:p>
        </w:tc>
        <w:tc>
          <w:tcPr>
            <w:tcW w:w="1134" w:type="dxa"/>
            <w:shd w:val="clear" w:color="auto" w:fill="auto"/>
          </w:tcPr>
          <w:p w14:paraId="4C94072F" w14:textId="68038298" w:rsidR="003E7AAB" w:rsidRPr="0021089F" w:rsidRDefault="00686AB5" w:rsidP="003E7AAB">
            <w:pPr>
              <w:jc w:val="right"/>
              <w:rPr>
                <w:lang w:eastAsia="en-US"/>
              </w:rPr>
            </w:pPr>
            <w:r w:rsidRPr="0021089F">
              <w:rPr>
                <w:lang w:eastAsia="en-US"/>
              </w:rPr>
              <w:t>0</w:t>
            </w:r>
          </w:p>
        </w:tc>
        <w:tc>
          <w:tcPr>
            <w:tcW w:w="851" w:type="dxa"/>
          </w:tcPr>
          <w:p w14:paraId="5E462E68" w14:textId="466B67DF" w:rsidR="003E7AAB" w:rsidRPr="0021089F" w:rsidRDefault="00686AB5" w:rsidP="003E7AAB">
            <w:pPr>
              <w:jc w:val="right"/>
              <w:rPr>
                <w:lang w:eastAsia="en-US"/>
              </w:rPr>
            </w:pPr>
            <w:r w:rsidRPr="0032730A">
              <w:rPr>
                <w:lang w:eastAsia="en-US"/>
              </w:rPr>
              <w:t>0</w:t>
            </w:r>
          </w:p>
        </w:tc>
        <w:tc>
          <w:tcPr>
            <w:tcW w:w="1276" w:type="dxa"/>
            <w:shd w:val="clear" w:color="auto" w:fill="auto"/>
          </w:tcPr>
          <w:p w14:paraId="65E46A84" w14:textId="5C630867" w:rsidR="003E7AAB" w:rsidRPr="0021089F" w:rsidRDefault="00686AB5" w:rsidP="003E7AAB">
            <w:pPr>
              <w:jc w:val="right"/>
              <w:rPr>
                <w:lang w:eastAsia="en-US"/>
              </w:rPr>
            </w:pPr>
            <w:r w:rsidRPr="0021089F">
              <w:rPr>
                <w:lang w:eastAsia="en-US"/>
              </w:rPr>
              <w:t>0</w:t>
            </w:r>
          </w:p>
        </w:tc>
        <w:tc>
          <w:tcPr>
            <w:tcW w:w="1276" w:type="dxa"/>
            <w:shd w:val="clear" w:color="auto" w:fill="auto"/>
          </w:tcPr>
          <w:p w14:paraId="06D73EFF" w14:textId="77777777" w:rsidR="003E7AAB" w:rsidRPr="0021089F" w:rsidRDefault="00686AB5" w:rsidP="003E7AAB">
            <w:pPr>
              <w:jc w:val="right"/>
              <w:rPr>
                <w:lang w:eastAsia="en-US"/>
              </w:rPr>
            </w:pPr>
            <w:r w:rsidRPr="0021089F">
              <w:rPr>
                <w:lang w:eastAsia="en-US"/>
              </w:rPr>
              <w:t>0</w:t>
            </w:r>
          </w:p>
        </w:tc>
      </w:tr>
      <w:tr w:rsidR="00B30D6D" w14:paraId="53D867B4" w14:textId="77777777" w:rsidTr="00754542">
        <w:tc>
          <w:tcPr>
            <w:tcW w:w="1980" w:type="dxa"/>
            <w:shd w:val="clear" w:color="auto" w:fill="auto"/>
            <w:hideMark/>
          </w:tcPr>
          <w:p w14:paraId="1379AC93" w14:textId="77777777" w:rsidR="003E7AAB" w:rsidRPr="002D3245" w:rsidRDefault="00686AB5" w:rsidP="003E7AAB">
            <w:pPr>
              <w:rPr>
                <w:lang w:eastAsia="en-US"/>
              </w:rPr>
            </w:pPr>
            <w:r w:rsidRPr="002D3245">
              <w:t>3.3. pašvaldību budžets</w:t>
            </w:r>
          </w:p>
        </w:tc>
        <w:tc>
          <w:tcPr>
            <w:tcW w:w="988" w:type="dxa"/>
            <w:shd w:val="clear" w:color="auto" w:fill="auto"/>
            <w:hideMark/>
          </w:tcPr>
          <w:p w14:paraId="3DDE402B" w14:textId="77777777" w:rsidR="003E7AAB" w:rsidRPr="0021089F" w:rsidRDefault="00686AB5" w:rsidP="003E7AAB">
            <w:pPr>
              <w:jc w:val="right"/>
              <w:rPr>
                <w:lang w:eastAsia="en-US"/>
              </w:rPr>
            </w:pPr>
            <w:r w:rsidRPr="0021089F">
              <w:rPr>
                <w:lang w:eastAsia="en-US"/>
              </w:rPr>
              <w:t>0</w:t>
            </w:r>
          </w:p>
        </w:tc>
        <w:tc>
          <w:tcPr>
            <w:tcW w:w="996" w:type="dxa"/>
            <w:shd w:val="clear" w:color="auto" w:fill="auto"/>
            <w:hideMark/>
          </w:tcPr>
          <w:p w14:paraId="12509760" w14:textId="77777777" w:rsidR="003E7AAB" w:rsidRPr="0021089F" w:rsidRDefault="00686AB5" w:rsidP="003E7AAB">
            <w:pPr>
              <w:jc w:val="right"/>
              <w:rPr>
                <w:lang w:eastAsia="en-US"/>
              </w:rPr>
            </w:pPr>
            <w:r w:rsidRPr="0021089F">
              <w:rPr>
                <w:lang w:eastAsia="en-US"/>
              </w:rPr>
              <w:t>0</w:t>
            </w:r>
          </w:p>
        </w:tc>
        <w:tc>
          <w:tcPr>
            <w:tcW w:w="992" w:type="dxa"/>
          </w:tcPr>
          <w:p w14:paraId="24108884" w14:textId="60ABE6FA" w:rsidR="003E7AAB" w:rsidRPr="0021089F" w:rsidRDefault="00686AB5" w:rsidP="003E7AAB">
            <w:pPr>
              <w:jc w:val="right"/>
              <w:rPr>
                <w:lang w:eastAsia="en-US"/>
              </w:rPr>
            </w:pPr>
            <w:r w:rsidRPr="00FA3241">
              <w:rPr>
                <w:lang w:eastAsia="en-US"/>
              </w:rPr>
              <w:t>0</w:t>
            </w:r>
          </w:p>
        </w:tc>
        <w:tc>
          <w:tcPr>
            <w:tcW w:w="1134" w:type="dxa"/>
            <w:shd w:val="clear" w:color="auto" w:fill="auto"/>
          </w:tcPr>
          <w:p w14:paraId="38CC0AFA" w14:textId="01E0B1C5" w:rsidR="003E7AAB" w:rsidRPr="0021089F" w:rsidRDefault="00686AB5" w:rsidP="003E7AAB">
            <w:pPr>
              <w:jc w:val="right"/>
              <w:rPr>
                <w:lang w:eastAsia="en-US"/>
              </w:rPr>
            </w:pPr>
            <w:r w:rsidRPr="0021089F">
              <w:rPr>
                <w:lang w:eastAsia="en-US"/>
              </w:rPr>
              <w:t>0</w:t>
            </w:r>
          </w:p>
        </w:tc>
        <w:tc>
          <w:tcPr>
            <w:tcW w:w="851" w:type="dxa"/>
          </w:tcPr>
          <w:p w14:paraId="59193BD9" w14:textId="217CA823" w:rsidR="003E7AAB" w:rsidRPr="0021089F" w:rsidRDefault="00686AB5" w:rsidP="003E7AAB">
            <w:pPr>
              <w:jc w:val="right"/>
              <w:rPr>
                <w:lang w:eastAsia="en-US"/>
              </w:rPr>
            </w:pPr>
            <w:r w:rsidRPr="0032730A">
              <w:rPr>
                <w:lang w:eastAsia="en-US"/>
              </w:rPr>
              <w:t>0</w:t>
            </w:r>
          </w:p>
        </w:tc>
        <w:tc>
          <w:tcPr>
            <w:tcW w:w="1276" w:type="dxa"/>
            <w:shd w:val="clear" w:color="auto" w:fill="auto"/>
          </w:tcPr>
          <w:p w14:paraId="06CDEF24" w14:textId="456F4790" w:rsidR="003E7AAB" w:rsidRPr="0021089F" w:rsidRDefault="00686AB5" w:rsidP="003E7AAB">
            <w:pPr>
              <w:jc w:val="right"/>
              <w:rPr>
                <w:lang w:eastAsia="en-US"/>
              </w:rPr>
            </w:pPr>
            <w:r w:rsidRPr="0021089F">
              <w:rPr>
                <w:lang w:eastAsia="en-US"/>
              </w:rPr>
              <w:t>0</w:t>
            </w:r>
          </w:p>
        </w:tc>
        <w:tc>
          <w:tcPr>
            <w:tcW w:w="1276" w:type="dxa"/>
            <w:shd w:val="clear" w:color="auto" w:fill="auto"/>
          </w:tcPr>
          <w:p w14:paraId="255BF526" w14:textId="77777777" w:rsidR="003E7AAB" w:rsidRPr="0021089F" w:rsidRDefault="00686AB5" w:rsidP="003E7AAB">
            <w:pPr>
              <w:jc w:val="right"/>
              <w:rPr>
                <w:lang w:eastAsia="en-US"/>
              </w:rPr>
            </w:pPr>
            <w:r w:rsidRPr="0021089F">
              <w:rPr>
                <w:lang w:eastAsia="en-US"/>
              </w:rPr>
              <w:t>0</w:t>
            </w:r>
          </w:p>
        </w:tc>
      </w:tr>
      <w:tr w:rsidR="00B30D6D" w14:paraId="1CF772A3" w14:textId="77777777" w:rsidTr="00754542">
        <w:trPr>
          <w:trHeight w:val="1380"/>
        </w:trPr>
        <w:tc>
          <w:tcPr>
            <w:tcW w:w="1980" w:type="dxa"/>
            <w:shd w:val="clear" w:color="auto" w:fill="auto"/>
            <w:hideMark/>
          </w:tcPr>
          <w:p w14:paraId="300F475F" w14:textId="77777777" w:rsidR="003E7AAB" w:rsidRPr="002D3245" w:rsidRDefault="00686AB5" w:rsidP="003E7AAB">
            <w:pPr>
              <w:rPr>
                <w:lang w:eastAsia="en-US"/>
              </w:rPr>
            </w:pPr>
            <w:r w:rsidRPr="002D3245">
              <w:t>4. Finanšu līdzekļi papildu izdevumu finansēšanai (kompensējošu izdevumu samazinājumu norāda ar "+" zīmi</w:t>
            </w:r>
          </w:p>
        </w:tc>
        <w:tc>
          <w:tcPr>
            <w:tcW w:w="988" w:type="dxa"/>
            <w:shd w:val="clear" w:color="auto" w:fill="auto"/>
            <w:hideMark/>
          </w:tcPr>
          <w:p w14:paraId="5531DF54" w14:textId="77777777" w:rsidR="003E7AAB" w:rsidRPr="0021089F" w:rsidRDefault="00686AB5" w:rsidP="003E7AAB">
            <w:pPr>
              <w:jc w:val="right"/>
              <w:rPr>
                <w:lang w:eastAsia="en-US"/>
              </w:rPr>
            </w:pPr>
            <w:r w:rsidRPr="0021089F">
              <w:rPr>
                <w:lang w:eastAsia="en-US"/>
              </w:rPr>
              <w:t>0</w:t>
            </w:r>
          </w:p>
        </w:tc>
        <w:tc>
          <w:tcPr>
            <w:tcW w:w="996" w:type="dxa"/>
            <w:shd w:val="clear" w:color="auto" w:fill="auto"/>
            <w:hideMark/>
          </w:tcPr>
          <w:p w14:paraId="75516EDB" w14:textId="77777777" w:rsidR="003E7AAB" w:rsidRPr="0021089F" w:rsidRDefault="00686AB5" w:rsidP="003E7AAB">
            <w:pPr>
              <w:jc w:val="right"/>
              <w:rPr>
                <w:lang w:eastAsia="en-US"/>
              </w:rPr>
            </w:pPr>
            <w:r w:rsidRPr="0021089F">
              <w:rPr>
                <w:lang w:eastAsia="en-US"/>
              </w:rPr>
              <w:t>0</w:t>
            </w:r>
          </w:p>
        </w:tc>
        <w:tc>
          <w:tcPr>
            <w:tcW w:w="992" w:type="dxa"/>
          </w:tcPr>
          <w:p w14:paraId="4A0CA7E8" w14:textId="3DC8F2BE" w:rsidR="003E7AAB" w:rsidRPr="0021089F" w:rsidRDefault="00686AB5" w:rsidP="003E7AAB">
            <w:pPr>
              <w:jc w:val="right"/>
              <w:rPr>
                <w:lang w:eastAsia="en-US"/>
              </w:rPr>
            </w:pPr>
            <w:r w:rsidRPr="00FA3241">
              <w:rPr>
                <w:lang w:eastAsia="en-US"/>
              </w:rPr>
              <w:t>0</w:t>
            </w:r>
          </w:p>
        </w:tc>
        <w:tc>
          <w:tcPr>
            <w:tcW w:w="1134" w:type="dxa"/>
            <w:shd w:val="clear" w:color="auto" w:fill="auto"/>
            <w:hideMark/>
          </w:tcPr>
          <w:p w14:paraId="5016C37D" w14:textId="29520167" w:rsidR="003E7AAB" w:rsidRPr="0021089F" w:rsidRDefault="00686AB5" w:rsidP="003E7AAB">
            <w:pPr>
              <w:jc w:val="right"/>
              <w:rPr>
                <w:lang w:eastAsia="en-US"/>
              </w:rPr>
            </w:pPr>
            <w:r w:rsidRPr="0021089F">
              <w:rPr>
                <w:lang w:eastAsia="en-US"/>
              </w:rPr>
              <w:t>0</w:t>
            </w:r>
          </w:p>
        </w:tc>
        <w:tc>
          <w:tcPr>
            <w:tcW w:w="851" w:type="dxa"/>
          </w:tcPr>
          <w:p w14:paraId="52D41B8F" w14:textId="464AFD30" w:rsidR="003E7AAB" w:rsidRPr="0021089F" w:rsidRDefault="00686AB5" w:rsidP="003E7AAB">
            <w:pPr>
              <w:jc w:val="right"/>
              <w:rPr>
                <w:lang w:eastAsia="en-US"/>
              </w:rPr>
            </w:pPr>
            <w:r w:rsidRPr="0032730A">
              <w:rPr>
                <w:lang w:eastAsia="en-US"/>
              </w:rPr>
              <w:t>0</w:t>
            </w:r>
          </w:p>
        </w:tc>
        <w:tc>
          <w:tcPr>
            <w:tcW w:w="1276" w:type="dxa"/>
            <w:shd w:val="clear" w:color="auto" w:fill="auto"/>
            <w:hideMark/>
          </w:tcPr>
          <w:p w14:paraId="14567D09" w14:textId="3819DA2F" w:rsidR="003E7AAB" w:rsidRPr="0021089F" w:rsidRDefault="00686AB5" w:rsidP="003E7AAB">
            <w:pPr>
              <w:jc w:val="right"/>
              <w:rPr>
                <w:lang w:eastAsia="en-US"/>
              </w:rPr>
            </w:pPr>
            <w:r w:rsidRPr="0021089F">
              <w:rPr>
                <w:lang w:eastAsia="en-US"/>
              </w:rPr>
              <w:t>0</w:t>
            </w:r>
          </w:p>
        </w:tc>
        <w:tc>
          <w:tcPr>
            <w:tcW w:w="1276" w:type="dxa"/>
            <w:shd w:val="clear" w:color="auto" w:fill="auto"/>
            <w:hideMark/>
          </w:tcPr>
          <w:p w14:paraId="550787F4" w14:textId="722E50E9" w:rsidR="003E7AAB" w:rsidRPr="00A165BE" w:rsidRDefault="00686AB5" w:rsidP="003E7AAB">
            <w:pPr>
              <w:jc w:val="right"/>
              <w:rPr>
                <w:lang w:eastAsia="en-US"/>
              </w:rPr>
            </w:pPr>
            <w:r w:rsidRPr="00B946B9">
              <w:rPr>
                <w:lang w:eastAsia="en-US"/>
              </w:rPr>
              <w:t>0</w:t>
            </w:r>
          </w:p>
        </w:tc>
      </w:tr>
      <w:tr w:rsidR="00B30D6D" w14:paraId="6A42BAD2" w14:textId="77777777" w:rsidTr="00754542">
        <w:tc>
          <w:tcPr>
            <w:tcW w:w="1980" w:type="dxa"/>
            <w:shd w:val="clear" w:color="auto" w:fill="auto"/>
            <w:hideMark/>
          </w:tcPr>
          <w:p w14:paraId="5BF58645" w14:textId="77777777" w:rsidR="003D65E5" w:rsidRPr="002D3245" w:rsidRDefault="00686AB5" w:rsidP="003D65E5">
            <w:pPr>
              <w:rPr>
                <w:lang w:eastAsia="en-US"/>
              </w:rPr>
            </w:pPr>
            <w:r w:rsidRPr="002D3245">
              <w:t>5. Precizēta finansiālā ietekme:</w:t>
            </w:r>
          </w:p>
        </w:tc>
        <w:tc>
          <w:tcPr>
            <w:tcW w:w="988" w:type="dxa"/>
            <w:vMerge w:val="restart"/>
            <w:shd w:val="clear" w:color="auto" w:fill="auto"/>
            <w:vAlign w:val="center"/>
            <w:hideMark/>
          </w:tcPr>
          <w:p w14:paraId="752CE19A" w14:textId="229F8F3E" w:rsidR="003D65E5" w:rsidRPr="0021089F" w:rsidRDefault="00686AB5" w:rsidP="00754542">
            <w:pPr>
              <w:jc w:val="center"/>
              <w:rPr>
                <w:lang w:eastAsia="en-US"/>
              </w:rPr>
            </w:pPr>
            <w:r>
              <w:rPr>
                <w:lang w:eastAsia="en-US"/>
              </w:rPr>
              <w:t>X</w:t>
            </w:r>
          </w:p>
        </w:tc>
        <w:tc>
          <w:tcPr>
            <w:tcW w:w="996" w:type="dxa"/>
            <w:shd w:val="clear" w:color="auto" w:fill="auto"/>
            <w:hideMark/>
          </w:tcPr>
          <w:p w14:paraId="55D7B74C" w14:textId="77777777" w:rsidR="003D65E5" w:rsidRPr="0021089F" w:rsidRDefault="00686AB5" w:rsidP="003D65E5">
            <w:pPr>
              <w:jc w:val="right"/>
              <w:rPr>
                <w:lang w:eastAsia="en-US"/>
              </w:rPr>
            </w:pPr>
            <w:r w:rsidRPr="0021089F">
              <w:rPr>
                <w:lang w:eastAsia="en-US"/>
              </w:rPr>
              <w:t>0</w:t>
            </w:r>
          </w:p>
        </w:tc>
        <w:tc>
          <w:tcPr>
            <w:tcW w:w="992" w:type="dxa"/>
            <w:vMerge w:val="restart"/>
            <w:vAlign w:val="center"/>
          </w:tcPr>
          <w:p w14:paraId="1FCCEA4B" w14:textId="1C3FDA4A" w:rsidR="003D65E5" w:rsidRPr="0021089F" w:rsidRDefault="00686AB5" w:rsidP="00754542">
            <w:pPr>
              <w:jc w:val="center"/>
              <w:rPr>
                <w:lang w:eastAsia="en-US"/>
              </w:rPr>
            </w:pPr>
            <w:r>
              <w:rPr>
                <w:lang w:eastAsia="en-US"/>
              </w:rPr>
              <w:t>X</w:t>
            </w:r>
          </w:p>
        </w:tc>
        <w:tc>
          <w:tcPr>
            <w:tcW w:w="1134" w:type="dxa"/>
            <w:shd w:val="clear" w:color="auto" w:fill="auto"/>
            <w:hideMark/>
          </w:tcPr>
          <w:p w14:paraId="4F9FBD3E" w14:textId="5E46FEA2" w:rsidR="003D65E5" w:rsidRPr="0021089F" w:rsidRDefault="00686AB5" w:rsidP="003D65E5">
            <w:pPr>
              <w:jc w:val="right"/>
              <w:rPr>
                <w:lang w:eastAsia="en-US"/>
              </w:rPr>
            </w:pPr>
            <w:r>
              <w:rPr>
                <w:lang w:eastAsia="en-US"/>
              </w:rPr>
              <w:t>-</w:t>
            </w:r>
            <w:r w:rsidRPr="0021089F">
              <w:rPr>
                <w:lang w:eastAsia="en-US"/>
              </w:rPr>
              <w:t>123 000</w:t>
            </w:r>
          </w:p>
        </w:tc>
        <w:tc>
          <w:tcPr>
            <w:tcW w:w="851" w:type="dxa"/>
            <w:vMerge w:val="restart"/>
            <w:vAlign w:val="center"/>
          </w:tcPr>
          <w:p w14:paraId="52E8F1D2" w14:textId="348D3481" w:rsidR="003D65E5" w:rsidRPr="0021089F" w:rsidRDefault="00686AB5" w:rsidP="00754542">
            <w:pPr>
              <w:jc w:val="center"/>
              <w:rPr>
                <w:lang w:eastAsia="en-US"/>
              </w:rPr>
            </w:pPr>
            <w:r>
              <w:rPr>
                <w:lang w:eastAsia="en-US"/>
              </w:rPr>
              <w:t>X</w:t>
            </w:r>
          </w:p>
        </w:tc>
        <w:tc>
          <w:tcPr>
            <w:tcW w:w="1276" w:type="dxa"/>
            <w:shd w:val="clear" w:color="auto" w:fill="auto"/>
            <w:hideMark/>
          </w:tcPr>
          <w:p w14:paraId="3E2BDD2C" w14:textId="64A38722" w:rsidR="003D65E5" w:rsidRPr="0021089F" w:rsidRDefault="00686AB5" w:rsidP="003D65E5">
            <w:pPr>
              <w:jc w:val="right"/>
              <w:rPr>
                <w:lang w:eastAsia="en-US"/>
              </w:rPr>
            </w:pPr>
            <w:r>
              <w:rPr>
                <w:lang w:eastAsia="en-US"/>
              </w:rPr>
              <w:t>-</w:t>
            </w:r>
            <w:r w:rsidRPr="0021089F">
              <w:rPr>
                <w:lang w:eastAsia="en-US"/>
              </w:rPr>
              <w:t>180</w:t>
            </w:r>
            <w:r>
              <w:rPr>
                <w:lang w:eastAsia="en-US"/>
              </w:rPr>
              <w:t> </w:t>
            </w:r>
            <w:r w:rsidRPr="0021089F">
              <w:rPr>
                <w:lang w:eastAsia="en-US"/>
              </w:rPr>
              <w:t>000</w:t>
            </w:r>
          </w:p>
        </w:tc>
        <w:tc>
          <w:tcPr>
            <w:tcW w:w="1276" w:type="dxa"/>
            <w:shd w:val="clear" w:color="auto" w:fill="auto"/>
            <w:hideMark/>
          </w:tcPr>
          <w:p w14:paraId="33D0BF2C" w14:textId="70840DF9" w:rsidR="003D65E5" w:rsidRPr="0021089F" w:rsidRDefault="00686AB5" w:rsidP="003D65E5">
            <w:pPr>
              <w:jc w:val="right"/>
              <w:rPr>
                <w:lang w:eastAsia="en-US"/>
              </w:rPr>
            </w:pPr>
            <w:r w:rsidRPr="00B946B9">
              <w:rPr>
                <w:lang w:eastAsia="en-US"/>
              </w:rPr>
              <w:t>-376 500</w:t>
            </w:r>
          </w:p>
        </w:tc>
      </w:tr>
      <w:tr w:rsidR="00B30D6D" w14:paraId="27595B66" w14:textId="77777777" w:rsidTr="008A3BE1">
        <w:tc>
          <w:tcPr>
            <w:tcW w:w="1980" w:type="dxa"/>
            <w:shd w:val="clear" w:color="auto" w:fill="auto"/>
            <w:hideMark/>
          </w:tcPr>
          <w:p w14:paraId="1D060134" w14:textId="77777777" w:rsidR="003D65E5" w:rsidRPr="002D3245" w:rsidRDefault="00686AB5" w:rsidP="003D65E5">
            <w:pPr>
              <w:rPr>
                <w:lang w:eastAsia="en-US"/>
              </w:rPr>
            </w:pPr>
            <w:r w:rsidRPr="002D3245">
              <w:t>5.1. valsts pamatbudžets</w:t>
            </w:r>
          </w:p>
        </w:tc>
        <w:tc>
          <w:tcPr>
            <w:tcW w:w="988" w:type="dxa"/>
            <w:vMerge/>
            <w:shd w:val="clear" w:color="auto" w:fill="auto"/>
            <w:hideMark/>
          </w:tcPr>
          <w:p w14:paraId="0A68E57C" w14:textId="77777777" w:rsidR="003D65E5" w:rsidRPr="0021089F" w:rsidRDefault="003D65E5" w:rsidP="003D65E5">
            <w:pPr>
              <w:rPr>
                <w:lang w:eastAsia="en-US"/>
              </w:rPr>
            </w:pPr>
          </w:p>
        </w:tc>
        <w:tc>
          <w:tcPr>
            <w:tcW w:w="996" w:type="dxa"/>
            <w:shd w:val="clear" w:color="auto" w:fill="auto"/>
            <w:hideMark/>
          </w:tcPr>
          <w:p w14:paraId="7538855C" w14:textId="77777777" w:rsidR="003D65E5" w:rsidRPr="0021089F" w:rsidRDefault="00686AB5" w:rsidP="003D65E5">
            <w:pPr>
              <w:jc w:val="right"/>
              <w:rPr>
                <w:lang w:eastAsia="en-US"/>
              </w:rPr>
            </w:pPr>
            <w:r w:rsidRPr="0021089F">
              <w:rPr>
                <w:lang w:eastAsia="en-US"/>
              </w:rPr>
              <w:t>0</w:t>
            </w:r>
          </w:p>
        </w:tc>
        <w:tc>
          <w:tcPr>
            <w:tcW w:w="992" w:type="dxa"/>
            <w:vMerge/>
          </w:tcPr>
          <w:p w14:paraId="569F1AB3" w14:textId="77777777" w:rsidR="003D65E5" w:rsidRDefault="003D65E5" w:rsidP="003D65E5">
            <w:pPr>
              <w:jc w:val="right"/>
              <w:rPr>
                <w:lang w:eastAsia="en-US"/>
              </w:rPr>
            </w:pPr>
          </w:p>
        </w:tc>
        <w:tc>
          <w:tcPr>
            <w:tcW w:w="1134" w:type="dxa"/>
            <w:shd w:val="clear" w:color="auto" w:fill="auto"/>
            <w:hideMark/>
          </w:tcPr>
          <w:p w14:paraId="146106EC" w14:textId="1344EF5A" w:rsidR="003D65E5" w:rsidRPr="0021089F" w:rsidRDefault="00686AB5" w:rsidP="003D65E5">
            <w:pPr>
              <w:jc w:val="right"/>
              <w:rPr>
                <w:lang w:eastAsia="en-US"/>
              </w:rPr>
            </w:pPr>
            <w:r>
              <w:rPr>
                <w:lang w:eastAsia="en-US"/>
              </w:rPr>
              <w:t>-</w:t>
            </w:r>
            <w:r w:rsidRPr="0021089F">
              <w:rPr>
                <w:lang w:eastAsia="en-US"/>
              </w:rPr>
              <w:t>123 000</w:t>
            </w:r>
          </w:p>
        </w:tc>
        <w:tc>
          <w:tcPr>
            <w:tcW w:w="851" w:type="dxa"/>
            <w:vMerge/>
          </w:tcPr>
          <w:p w14:paraId="71E7529D" w14:textId="77777777" w:rsidR="003D65E5" w:rsidRDefault="003D65E5" w:rsidP="003D65E5">
            <w:pPr>
              <w:jc w:val="right"/>
              <w:rPr>
                <w:lang w:eastAsia="en-US"/>
              </w:rPr>
            </w:pPr>
          </w:p>
        </w:tc>
        <w:tc>
          <w:tcPr>
            <w:tcW w:w="1276" w:type="dxa"/>
            <w:shd w:val="clear" w:color="auto" w:fill="auto"/>
            <w:hideMark/>
          </w:tcPr>
          <w:p w14:paraId="69533FCF" w14:textId="4D91EABE" w:rsidR="003D65E5" w:rsidRPr="0021089F" w:rsidRDefault="00686AB5" w:rsidP="003D65E5">
            <w:pPr>
              <w:jc w:val="right"/>
              <w:rPr>
                <w:lang w:eastAsia="en-US"/>
              </w:rPr>
            </w:pPr>
            <w:r>
              <w:rPr>
                <w:lang w:eastAsia="en-US"/>
              </w:rPr>
              <w:t>-</w:t>
            </w:r>
            <w:r w:rsidRPr="0021089F">
              <w:rPr>
                <w:lang w:eastAsia="en-US"/>
              </w:rPr>
              <w:t>180 000</w:t>
            </w:r>
          </w:p>
        </w:tc>
        <w:tc>
          <w:tcPr>
            <w:tcW w:w="1276" w:type="dxa"/>
            <w:shd w:val="clear" w:color="auto" w:fill="auto"/>
            <w:hideMark/>
          </w:tcPr>
          <w:p w14:paraId="39C3CB41" w14:textId="4BFB729E" w:rsidR="003D65E5" w:rsidRPr="00A165BE" w:rsidRDefault="00686AB5" w:rsidP="003D65E5">
            <w:pPr>
              <w:jc w:val="right"/>
              <w:rPr>
                <w:lang w:eastAsia="en-US"/>
              </w:rPr>
            </w:pPr>
            <w:r w:rsidRPr="00B946B9">
              <w:rPr>
                <w:lang w:eastAsia="en-US"/>
              </w:rPr>
              <w:t>-376 500</w:t>
            </w:r>
          </w:p>
        </w:tc>
      </w:tr>
      <w:tr w:rsidR="00B30D6D" w14:paraId="3C430FBD" w14:textId="77777777" w:rsidTr="008A3BE1">
        <w:tc>
          <w:tcPr>
            <w:tcW w:w="1980" w:type="dxa"/>
            <w:shd w:val="clear" w:color="auto" w:fill="auto"/>
            <w:hideMark/>
          </w:tcPr>
          <w:p w14:paraId="2A142947" w14:textId="77777777" w:rsidR="003D65E5" w:rsidRPr="002D3245" w:rsidRDefault="00686AB5" w:rsidP="003D65E5">
            <w:pPr>
              <w:rPr>
                <w:lang w:eastAsia="en-US"/>
              </w:rPr>
            </w:pPr>
            <w:r w:rsidRPr="002D3245">
              <w:t>5.2. speciālais budžets</w:t>
            </w:r>
          </w:p>
        </w:tc>
        <w:tc>
          <w:tcPr>
            <w:tcW w:w="988" w:type="dxa"/>
            <w:vMerge/>
            <w:shd w:val="clear" w:color="auto" w:fill="auto"/>
            <w:hideMark/>
          </w:tcPr>
          <w:p w14:paraId="62805EBC" w14:textId="77777777" w:rsidR="003D65E5" w:rsidRPr="0021089F" w:rsidRDefault="003D65E5" w:rsidP="003D65E5">
            <w:pPr>
              <w:rPr>
                <w:lang w:eastAsia="en-US"/>
              </w:rPr>
            </w:pPr>
          </w:p>
        </w:tc>
        <w:tc>
          <w:tcPr>
            <w:tcW w:w="996" w:type="dxa"/>
            <w:shd w:val="clear" w:color="auto" w:fill="auto"/>
            <w:hideMark/>
          </w:tcPr>
          <w:p w14:paraId="71BF393F" w14:textId="77777777" w:rsidR="003D65E5" w:rsidRPr="0021089F" w:rsidRDefault="00686AB5" w:rsidP="003D65E5">
            <w:pPr>
              <w:jc w:val="right"/>
              <w:rPr>
                <w:lang w:eastAsia="en-US"/>
              </w:rPr>
            </w:pPr>
            <w:r w:rsidRPr="0021089F">
              <w:rPr>
                <w:lang w:eastAsia="en-US"/>
              </w:rPr>
              <w:t>0</w:t>
            </w:r>
          </w:p>
        </w:tc>
        <w:tc>
          <w:tcPr>
            <w:tcW w:w="992" w:type="dxa"/>
            <w:vMerge/>
          </w:tcPr>
          <w:p w14:paraId="3A376817" w14:textId="77777777" w:rsidR="003D65E5" w:rsidRPr="0021089F" w:rsidRDefault="003D65E5" w:rsidP="003D65E5">
            <w:pPr>
              <w:jc w:val="right"/>
              <w:rPr>
                <w:lang w:eastAsia="en-US"/>
              </w:rPr>
            </w:pPr>
          </w:p>
        </w:tc>
        <w:tc>
          <w:tcPr>
            <w:tcW w:w="1134" w:type="dxa"/>
            <w:shd w:val="clear" w:color="auto" w:fill="auto"/>
            <w:hideMark/>
          </w:tcPr>
          <w:p w14:paraId="500415C1" w14:textId="30D0180D" w:rsidR="003D65E5" w:rsidRPr="0021089F" w:rsidRDefault="00686AB5" w:rsidP="003D65E5">
            <w:pPr>
              <w:jc w:val="right"/>
              <w:rPr>
                <w:lang w:eastAsia="en-US"/>
              </w:rPr>
            </w:pPr>
            <w:r w:rsidRPr="0021089F">
              <w:rPr>
                <w:lang w:eastAsia="en-US"/>
              </w:rPr>
              <w:t>0</w:t>
            </w:r>
          </w:p>
        </w:tc>
        <w:tc>
          <w:tcPr>
            <w:tcW w:w="851" w:type="dxa"/>
            <w:vMerge/>
          </w:tcPr>
          <w:p w14:paraId="43BFEEAC" w14:textId="77777777" w:rsidR="003D65E5" w:rsidRPr="0021089F" w:rsidRDefault="003D65E5" w:rsidP="003D65E5">
            <w:pPr>
              <w:jc w:val="right"/>
              <w:rPr>
                <w:lang w:eastAsia="en-US"/>
              </w:rPr>
            </w:pPr>
          </w:p>
        </w:tc>
        <w:tc>
          <w:tcPr>
            <w:tcW w:w="1276" w:type="dxa"/>
            <w:shd w:val="clear" w:color="auto" w:fill="auto"/>
            <w:hideMark/>
          </w:tcPr>
          <w:p w14:paraId="47C36E4C" w14:textId="525937D6" w:rsidR="003D65E5" w:rsidRPr="0021089F" w:rsidRDefault="00686AB5" w:rsidP="003D65E5">
            <w:pPr>
              <w:jc w:val="right"/>
              <w:rPr>
                <w:lang w:eastAsia="en-US"/>
              </w:rPr>
            </w:pPr>
            <w:r w:rsidRPr="0021089F">
              <w:rPr>
                <w:lang w:eastAsia="en-US"/>
              </w:rPr>
              <w:t>0</w:t>
            </w:r>
          </w:p>
        </w:tc>
        <w:tc>
          <w:tcPr>
            <w:tcW w:w="1276" w:type="dxa"/>
            <w:shd w:val="clear" w:color="auto" w:fill="auto"/>
            <w:hideMark/>
          </w:tcPr>
          <w:p w14:paraId="2F6B23A4" w14:textId="77777777" w:rsidR="003D65E5" w:rsidRPr="0021089F" w:rsidRDefault="00686AB5" w:rsidP="003D65E5">
            <w:pPr>
              <w:jc w:val="right"/>
              <w:rPr>
                <w:lang w:eastAsia="en-US"/>
              </w:rPr>
            </w:pPr>
            <w:r w:rsidRPr="0021089F">
              <w:rPr>
                <w:lang w:eastAsia="en-US"/>
              </w:rPr>
              <w:t>0</w:t>
            </w:r>
          </w:p>
        </w:tc>
      </w:tr>
      <w:tr w:rsidR="00B30D6D" w14:paraId="75EC77A5" w14:textId="77777777" w:rsidTr="008A3BE1">
        <w:tc>
          <w:tcPr>
            <w:tcW w:w="1980" w:type="dxa"/>
            <w:shd w:val="clear" w:color="auto" w:fill="auto"/>
            <w:hideMark/>
          </w:tcPr>
          <w:p w14:paraId="73BF923C" w14:textId="77777777" w:rsidR="003D65E5" w:rsidRPr="002D3245" w:rsidRDefault="00686AB5" w:rsidP="003D65E5">
            <w:pPr>
              <w:rPr>
                <w:lang w:eastAsia="en-US"/>
              </w:rPr>
            </w:pPr>
            <w:r w:rsidRPr="002D3245">
              <w:t>5.3. pašvaldību budžets</w:t>
            </w:r>
          </w:p>
        </w:tc>
        <w:tc>
          <w:tcPr>
            <w:tcW w:w="988" w:type="dxa"/>
            <w:vMerge/>
            <w:shd w:val="clear" w:color="auto" w:fill="auto"/>
            <w:hideMark/>
          </w:tcPr>
          <w:p w14:paraId="1759FA11" w14:textId="77777777" w:rsidR="003D65E5" w:rsidRPr="00EB0FBE" w:rsidRDefault="003D65E5" w:rsidP="003D65E5">
            <w:pPr>
              <w:rPr>
                <w:sz w:val="22"/>
                <w:szCs w:val="22"/>
                <w:lang w:eastAsia="en-US"/>
              </w:rPr>
            </w:pPr>
          </w:p>
        </w:tc>
        <w:tc>
          <w:tcPr>
            <w:tcW w:w="996" w:type="dxa"/>
            <w:shd w:val="clear" w:color="auto" w:fill="auto"/>
            <w:hideMark/>
          </w:tcPr>
          <w:p w14:paraId="71DB11CC" w14:textId="77777777" w:rsidR="003D65E5" w:rsidRPr="00EB0FBE" w:rsidRDefault="00686AB5" w:rsidP="003D65E5">
            <w:pPr>
              <w:jc w:val="right"/>
              <w:rPr>
                <w:sz w:val="22"/>
                <w:szCs w:val="22"/>
                <w:lang w:eastAsia="en-US"/>
              </w:rPr>
            </w:pPr>
            <w:r w:rsidRPr="00EB0FBE">
              <w:rPr>
                <w:sz w:val="22"/>
                <w:szCs w:val="22"/>
                <w:lang w:eastAsia="en-US"/>
              </w:rPr>
              <w:t>0</w:t>
            </w:r>
          </w:p>
        </w:tc>
        <w:tc>
          <w:tcPr>
            <w:tcW w:w="992" w:type="dxa"/>
            <w:vMerge/>
          </w:tcPr>
          <w:p w14:paraId="0F34C37D" w14:textId="77777777" w:rsidR="003D65E5" w:rsidRPr="00EB0FBE" w:rsidRDefault="003D65E5" w:rsidP="003D65E5">
            <w:pPr>
              <w:jc w:val="right"/>
              <w:rPr>
                <w:sz w:val="22"/>
                <w:szCs w:val="22"/>
                <w:lang w:eastAsia="en-US"/>
              </w:rPr>
            </w:pPr>
          </w:p>
        </w:tc>
        <w:tc>
          <w:tcPr>
            <w:tcW w:w="1134" w:type="dxa"/>
            <w:shd w:val="clear" w:color="auto" w:fill="auto"/>
            <w:hideMark/>
          </w:tcPr>
          <w:p w14:paraId="7C46C514" w14:textId="7AA10B20" w:rsidR="003D65E5" w:rsidRPr="00EB0FBE" w:rsidRDefault="00686AB5" w:rsidP="003D65E5">
            <w:pPr>
              <w:jc w:val="right"/>
              <w:rPr>
                <w:sz w:val="22"/>
                <w:szCs w:val="22"/>
                <w:lang w:eastAsia="en-US"/>
              </w:rPr>
            </w:pPr>
            <w:r w:rsidRPr="00EB0FBE">
              <w:rPr>
                <w:sz w:val="22"/>
                <w:szCs w:val="22"/>
                <w:lang w:eastAsia="en-US"/>
              </w:rPr>
              <w:t>0</w:t>
            </w:r>
          </w:p>
        </w:tc>
        <w:tc>
          <w:tcPr>
            <w:tcW w:w="851" w:type="dxa"/>
            <w:vMerge/>
          </w:tcPr>
          <w:p w14:paraId="2C9C450E" w14:textId="77777777" w:rsidR="003D65E5" w:rsidRPr="00EB0FBE" w:rsidRDefault="003D65E5" w:rsidP="003D65E5">
            <w:pPr>
              <w:jc w:val="right"/>
              <w:rPr>
                <w:sz w:val="22"/>
                <w:szCs w:val="22"/>
                <w:lang w:eastAsia="en-US"/>
              </w:rPr>
            </w:pPr>
          </w:p>
        </w:tc>
        <w:tc>
          <w:tcPr>
            <w:tcW w:w="1276" w:type="dxa"/>
            <w:shd w:val="clear" w:color="auto" w:fill="auto"/>
            <w:hideMark/>
          </w:tcPr>
          <w:p w14:paraId="420387C7" w14:textId="353425D6" w:rsidR="003D65E5" w:rsidRPr="00EB0FBE" w:rsidRDefault="00686AB5" w:rsidP="003D65E5">
            <w:pPr>
              <w:jc w:val="right"/>
              <w:rPr>
                <w:sz w:val="22"/>
                <w:szCs w:val="22"/>
                <w:lang w:eastAsia="en-US"/>
              </w:rPr>
            </w:pPr>
            <w:r w:rsidRPr="00EB0FBE">
              <w:rPr>
                <w:sz w:val="22"/>
                <w:szCs w:val="22"/>
                <w:lang w:eastAsia="en-US"/>
              </w:rPr>
              <w:t>0</w:t>
            </w:r>
          </w:p>
        </w:tc>
        <w:tc>
          <w:tcPr>
            <w:tcW w:w="1276" w:type="dxa"/>
            <w:shd w:val="clear" w:color="auto" w:fill="auto"/>
            <w:hideMark/>
          </w:tcPr>
          <w:p w14:paraId="1C7CAC58" w14:textId="77777777" w:rsidR="003D65E5" w:rsidRPr="00EB0FBE" w:rsidRDefault="00686AB5" w:rsidP="003D65E5">
            <w:pPr>
              <w:jc w:val="right"/>
              <w:rPr>
                <w:sz w:val="22"/>
                <w:szCs w:val="22"/>
                <w:lang w:eastAsia="en-US"/>
              </w:rPr>
            </w:pPr>
            <w:r w:rsidRPr="00EB0FBE">
              <w:rPr>
                <w:sz w:val="22"/>
                <w:szCs w:val="22"/>
                <w:lang w:eastAsia="en-US"/>
              </w:rPr>
              <w:t>0</w:t>
            </w:r>
          </w:p>
        </w:tc>
      </w:tr>
      <w:tr w:rsidR="00B30D6D" w14:paraId="2866A773" w14:textId="77777777" w:rsidTr="00754542">
        <w:tc>
          <w:tcPr>
            <w:tcW w:w="1980" w:type="dxa"/>
            <w:shd w:val="clear" w:color="auto" w:fill="auto"/>
            <w:hideMark/>
          </w:tcPr>
          <w:p w14:paraId="0BB6E051" w14:textId="77777777" w:rsidR="003D65E5" w:rsidRPr="002D3245" w:rsidRDefault="00686AB5" w:rsidP="003D65E5">
            <w:pPr>
              <w:rPr>
                <w:lang w:eastAsia="en-US"/>
              </w:rPr>
            </w:pPr>
            <w:r w:rsidRPr="002D3245">
              <w:t>6. Detalizēts ieņēmumu un izdevumu aprēķins (ja nepieciešams, detalizētu ieņēmumu un izdevumu aprēķinu var pievienot anotācijas pielikumā):</w:t>
            </w:r>
          </w:p>
        </w:tc>
        <w:tc>
          <w:tcPr>
            <w:tcW w:w="7513" w:type="dxa"/>
            <w:gridSpan w:val="7"/>
            <w:vMerge w:val="restart"/>
          </w:tcPr>
          <w:p w14:paraId="01C84225" w14:textId="328E857A" w:rsidR="003D65E5" w:rsidRDefault="00686AB5" w:rsidP="003D65E5">
            <w:pPr>
              <w:jc w:val="both"/>
              <w:rPr>
                <w:lang w:eastAsia="en-US"/>
              </w:rPr>
            </w:pPr>
            <w:r w:rsidRPr="00EB0FBE">
              <w:rPr>
                <w:bCs/>
                <w:lang w:eastAsia="en-US"/>
              </w:rPr>
              <w:t>Maksājumu uzskaites un uzkrājuma principa</w:t>
            </w:r>
            <w:r>
              <w:rPr>
                <w:lang w:eastAsia="en-US"/>
              </w:rPr>
              <w:t xml:space="preserve"> projekts tiks līdzfinansēts no Eiropas reģionālās attīstības fonda (ERAF) līdzekļiem un tā </w:t>
            </w:r>
            <w:r w:rsidRPr="0088590F">
              <w:rPr>
                <w:lang w:eastAsia="en-US"/>
              </w:rPr>
              <w:t xml:space="preserve">kopējais finansējuma apjoms ir </w:t>
            </w:r>
            <w:r>
              <w:rPr>
                <w:lang w:eastAsia="en-US"/>
              </w:rPr>
              <w:t>4 530 000 </w:t>
            </w:r>
            <w:r w:rsidRPr="00EB0FBE">
              <w:rPr>
                <w:i/>
                <w:lang w:eastAsia="en-US"/>
              </w:rPr>
              <w:t>euro</w:t>
            </w:r>
            <w:r w:rsidRPr="0088590F">
              <w:rPr>
                <w:lang w:eastAsia="en-US"/>
              </w:rPr>
              <w:t>. No tiem 201</w:t>
            </w:r>
            <w:r>
              <w:rPr>
                <w:lang w:eastAsia="en-US"/>
              </w:rPr>
              <w:t>9</w:t>
            </w:r>
            <w:r w:rsidRPr="0088590F">
              <w:rPr>
                <w:lang w:eastAsia="en-US"/>
              </w:rPr>
              <w:t xml:space="preserve">.gadā – </w:t>
            </w:r>
            <w:r>
              <w:rPr>
                <w:lang w:eastAsia="en-US"/>
              </w:rPr>
              <w:t>820 000 </w:t>
            </w:r>
            <w:r w:rsidRPr="00EB0FBE">
              <w:rPr>
                <w:i/>
                <w:lang w:eastAsia="en-US"/>
              </w:rPr>
              <w:t>euro</w:t>
            </w:r>
            <w:r>
              <w:rPr>
                <w:lang w:eastAsia="en-US"/>
              </w:rPr>
              <w:t>, 2020</w:t>
            </w:r>
            <w:r w:rsidRPr="0088590F">
              <w:rPr>
                <w:lang w:eastAsia="en-US"/>
              </w:rPr>
              <w:t xml:space="preserve">.gadā – </w:t>
            </w:r>
            <w:r>
              <w:rPr>
                <w:lang w:eastAsia="en-US"/>
              </w:rPr>
              <w:t>1 200 000 </w:t>
            </w:r>
            <w:r w:rsidRPr="00EB0FBE">
              <w:rPr>
                <w:i/>
                <w:lang w:eastAsia="en-US"/>
              </w:rPr>
              <w:t>euro</w:t>
            </w:r>
            <w:r w:rsidRPr="0088590F">
              <w:rPr>
                <w:lang w:eastAsia="en-US"/>
              </w:rPr>
              <w:t>, 20</w:t>
            </w:r>
            <w:r>
              <w:rPr>
                <w:lang w:eastAsia="en-US"/>
              </w:rPr>
              <w:t>21</w:t>
            </w:r>
            <w:r w:rsidRPr="0088590F">
              <w:rPr>
                <w:lang w:eastAsia="en-US"/>
              </w:rPr>
              <w:t>.gadā</w:t>
            </w:r>
            <w:r>
              <w:rPr>
                <w:lang w:eastAsia="en-US"/>
              </w:rPr>
              <w:t xml:space="preserve"> </w:t>
            </w:r>
            <w:r w:rsidRPr="0088590F">
              <w:rPr>
                <w:lang w:eastAsia="en-US"/>
              </w:rPr>
              <w:t>–</w:t>
            </w:r>
            <w:r>
              <w:rPr>
                <w:lang w:eastAsia="en-US"/>
              </w:rPr>
              <w:t xml:space="preserve"> 2 510 000 </w:t>
            </w:r>
            <w:r w:rsidRPr="00EB0FBE">
              <w:rPr>
                <w:i/>
                <w:lang w:eastAsia="en-US"/>
              </w:rPr>
              <w:t>euro</w:t>
            </w:r>
            <w:r>
              <w:rPr>
                <w:lang w:eastAsia="en-US"/>
              </w:rPr>
              <w:t>, sadalījumā pa finansējuma avotiem:</w:t>
            </w:r>
          </w:p>
          <w:p w14:paraId="002FEC65" w14:textId="77777777" w:rsidR="00A02F54" w:rsidRDefault="00A02F54" w:rsidP="003D65E5">
            <w:pPr>
              <w:jc w:val="both"/>
              <w:rPr>
                <w:lang w:eastAsia="en-US"/>
              </w:rPr>
            </w:pPr>
          </w:p>
          <w:tbl>
            <w:tblPr>
              <w:tblW w:w="7400" w:type="dxa"/>
              <w:tblLayout w:type="fixed"/>
              <w:tblLook w:val="04A0" w:firstRow="1" w:lastRow="0" w:firstColumn="1" w:lastColumn="0" w:noHBand="0" w:noVBand="1"/>
            </w:tblPr>
            <w:tblGrid>
              <w:gridCol w:w="2722"/>
              <w:gridCol w:w="1140"/>
              <w:gridCol w:w="1180"/>
              <w:gridCol w:w="1224"/>
              <w:gridCol w:w="1134"/>
            </w:tblGrid>
            <w:tr w:rsidR="00B30D6D" w14:paraId="31ABDA39" w14:textId="77777777" w:rsidTr="00754542">
              <w:trPr>
                <w:trHeight w:val="255"/>
              </w:trPr>
              <w:tc>
                <w:tcPr>
                  <w:tcW w:w="2722" w:type="dxa"/>
                  <w:tcBorders>
                    <w:top w:val="single" w:sz="4" w:space="0" w:color="auto"/>
                    <w:left w:val="single" w:sz="4" w:space="0" w:color="auto"/>
                    <w:bottom w:val="single" w:sz="4" w:space="0" w:color="auto"/>
                    <w:right w:val="single" w:sz="4" w:space="0" w:color="auto"/>
                  </w:tcBorders>
                  <w:shd w:val="clear" w:color="000000" w:fill="ACB9CA"/>
                  <w:vAlign w:val="bottom"/>
                  <w:hideMark/>
                </w:tcPr>
                <w:p w14:paraId="7A9E3A30" w14:textId="77777777" w:rsidR="003D65E5" w:rsidRPr="000D708F" w:rsidRDefault="00686AB5" w:rsidP="003D65E5">
                  <w:pPr>
                    <w:jc w:val="center"/>
                    <w:rPr>
                      <w:sz w:val="22"/>
                      <w:szCs w:val="22"/>
                    </w:rPr>
                  </w:pPr>
                  <w:r w:rsidRPr="000D708F">
                    <w:rPr>
                      <w:sz w:val="22"/>
                      <w:szCs w:val="22"/>
                    </w:rPr>
                    <w:t>Finansējuma avots</w:t>
                  </w:r>
                </w:p>
              </w:tc>
              <w:tc>
                <w:tcPr>
                  <w:tcW w:w="1140" w:type="dxa"/>
                  <w:tcBorders>
                    <w:top w:val="single" w:sz="4" w:space="0" w:color="auto"/>
                    <w:left w:val="nil"/>
                    <w:bottom w:val="single" w:sz="4" w:space="0" w:color="auto"/>
                    <w:right w:val="single" w:sz="4" w:space="0" w:color="auto"/>
                  </w:tcBorders>
                  <w:shd w:val="clear" w:color="000000" w:fill="ACB9CA"/>
                  <w:vAlign w:val="bottom"/>
                  <w:hideMark/>
                </w:tcPr>
                <w:p w14:paraId="232B3ED9" w14:textId="77777777" w:rsidR="003D65E5" w:rsidRPr="000D708F" w:rsidRDefault="00686AB5" w:rsidP="003D65E5">
                  <w:pPr>
                    <w:rPr>
                      <w:sz w:val="22"/>
                      <w:szCs w:val="22"/>
                    </w:rPr>
                  </w:pPr>
                  <w:r w:rsidRPr="000D708F">
                    <w:rPr>
                      <w:sz w:val="22"/>
                      <w:szCs w:val="22"/>
                    </w:rPr>
                    <w:t>2019.gads</w:t>
                  </w:r>
                </w:p>
              </w:tc>
              <w:tc>
                <w:tcPr>
                  <w:tcW w:w="1180" w:type="dxa"/>
                  <w:tcBorders>
                    <w:top w:val="single" w:sz="4" w:space="0" w:color="auto"/>
                    <w:left w:val="nil"/>
                    <w:bottom w:val="single" w:sz="4" w:space="0" w:color="auto"/>
                    <w:right w:val="single" w:sz="4" w:space="0" w:color="auto"/>
                  </w:tcBorders>
                  <w:shd w:val="clear" w:color="000000" w:fill="ACB9CA"/>
                  <w:vAlign w:val="bottom"/>
                  <w:hideMark/>
                </w:tcPr>
                <w:p w14:paraId="4D16DB88" w14:textId="77777777" w:rsidR="003D65E5" w:rsidRPr="000D708F" w:rsidRDefault="00686AB5" w:rsidP="003D65E5">
                  <w:pPr>
                    <w:rPr>
                      <w:sz w:val="22"/>
                      <w:szCs w:val="22"/>
                    </w:rPr>
                  </w:pPr>
                  <w:r w:rsidRPr="000D708F">
                    <w:rPr>
                      <w:sz w:val="22"/>
                      <w:szCs w:val="22"/>
                    </w:rPr>
                    <w:t>2020.gads</w:t>
                  </w:r>
                </w:p>
              </w:tc>
              <w:tc>
                <w:tcPr>
                  <w:tcW w:w="1224" w:type="dxa"/>
                  <w:tcBorders>
                    <w:top w:val="single" w:sz="4" w:space="0" w:color="auto"/>
                    <w:left w:val="nil"/>
                    <w:bottom w:val="single" w:sz="4" w:space="0" w:color="auto"/>
                    <w:right w:val="single" w:sz="4" w:space="0" w:color="auto"/>
                  </w:tcBorders>
                  <w:shd w:val="clear" w:color="000000" w:fill="ACB9CA"/>
                  <w:vAlign w:val="bottom"/>
                  <w:hideMark/>
                </w:tcPr>
                <w:p w14:paraId="00F0BBF0" w14:textId="77777777" w:rsidR="003D65E5" w:rsidRPr="000D708F" w:rsidRDefault="00686AB5" w:rsidP="003D65E5">
                  <w:pPr>
                    <w:rPr>
                      <w:sz w:val="22"/>
                      <w:szCs w:val="22"/>
                    </w:rPr>
                  </w:pPr>
                  <w:r w:rsidRPr="000D708F">
                    <w:rPr>
                      <w:sz w:val="22"/>
                      <w:szCs w:val="22"/>
                    </w:rPr>
                    <w:t>2021.gads</w:t>
                  </w:r>
                </w:p>
              </w:tc>
              <w:tc>
                <w:tcPr>
                  <w:tcW w:w="1134" w:type="dxa"/>
                  <w:tcBorders>
                    <w:top w:val="single" w:sz="4" w:space="0" w:color="auto"/>
                    <w:left w:val="nil"/>
                    <w:bottom w:val="single" w:sz="4" w:space="0" w:color="auto"/>
                    <w:right w:val="single" w:sz="4" w:space="0" w:color="auto"/>
                  </w:tcBorders>
                  <w:shd w:val="clear" w:color="000000" w:fill="ACB9CA"/>
                  <w:vAlign w:val="bottom"/>
                  <w:hideMark/>
                </w:tcPr>
                <w:p w14:paraId="2E669D43" w14:textId="77777777" w:rsidR="003D65E5" w:rsidRPr="000D708F" w:rsidRDefault="00686AB5" w:rsidP="003D65E5">
                  <w:pPr>
                    <w:jc w:val="center"/>
                    <w:rPr>
                      <w:sz w:val="22"/>
                      <w:szCs w:val="22"/>
                    </w:rPr>
                  </w:pPr>
                  <w:r w:rsidRPr="000D708F">
                    <w:rPr>
                      <w:sz w:val="22"/>
                      <w:szCs w:val="22"/>
                    </w:rPr>
                    <w:t>Kopā</w:t>
                  </w:r>
                </w:p>
              </w:tc>
            </w:tr>
            <w:tr w:rsidR="00B30D6D" w14:paraId="5D07C8CC" w14:textId="77777777" w:rsidTr="00754542">
              <w:trPr>
                <w:trHeight w:val="255"/>
              </w:trPr>
              <w:tc>
                <w:tcPr>
                  <w:tcW w:w="2722" w:type="dxa"/>
                  <w:tcBorders>
                    <w:top w:val="nil"/>
                    <w:left w:val="single" w:sz="4" w:space="0" w:color="auto"/>
                    <w:bottom w:val="single" w:sz="4" w:space="0" w:color="auto"/>
                    <w:right w:val="single" w:sz="4" w:space="0" w:color="auto"/>
                  </w:tcBorders>
                  <w:shd w:val="clear" w:color="000000" w:fill="FFFFFF"/>
                  <w:vAlign w:val="bottom"/>
                  <w:hideMark/>
                </w:tcPr>
                <w:p w14:paraId="28DF9B9B" w14:textId="571C1768" w:rsidR="003D65E5" w:rsidRPr="000D708F" w:rsidRDefault="00686AB5" w:rsidP="003D65E5">
                  <w:pPr>
                    <w:rPr>
                      <w:sz w:val="22"/>
                      <w:szCs w:val="22"/>
                    </w:rPr>
                  </w:pPr>
                  <w:r w:rsidRPr="000D708F">
                    <w:rPr>
                      <w:sz w:val="22"/>
                      <w:szCs w:val="22"/>
                    </w:rPr>
                    <w:t>ERAF finansējums</w:t>
                  </w:r>
                  <w:r>
                    <w:rPr>
                      <w:sz w:val="22"/>
                      <w:szCs w:val="22"/>
                    </w:rPr>
                    <w:t xml:space="preserve"> (85%)</w:t>
                  </w:r>
                </w:p>
              </w:tc>
              <w:tc>
                <w:tcPr>
                  <w:tcW w:w="1140" w:type="dxa"/>
                  <w:tcBorders>
                    <w:top w:val="nil"/>
                    <w:left w:val="nil"/>
                    <w:bottom w:val="single" w:sz="4" w:space="0" w:color="auto"/>
                    <w:right w:val="single" w:sz="4" w:space="0" w:color="auto"/>
                  </w:tcBorders>
                  <w:shd w:val="clear" w:color="auto" w:fill="auto"/>
                  <w:noWrap/>
                  <w:vAlign w:val="bottom"/>
                  <w:hideMark/>
                </w:tcPr>
                <w:p w14:paraId="256151CE" w14:textId="77777777" w:rsidR="003D65E5" w:rsidRPr="00A775F6" w:rsidRDefault="00686AB5" w:rsidP="003D65E5">
                  <w:pPr>
                    <w:jc w:val="right"/>
                    <w:rPr>
                      <w:sz w:val="22"/>
                      <w:szCs w:val="22"/>
                    </w:rPr>
                  </w:pPr>
                  <w:r w:rsidRPr="00A775F6">
                    <w:rPr>
                      <w:sz w:val="22"/>
                      <w:szCs w:val="22"/>
                    </w:rPr>
                    <w:t>697 000</w:t>
                  </w:r>
                </w:p>
              </w:tc>
              <w:tc>
                <w:tcPr>
                  <w:tcW w:w="1180" w:type="dxa"/>
                  <w:tcBorders>
                    <w:top w:val="nil"/>
                    <w:left w:val="nil"/>
                    <w:bottom w:val="single" w:sz="4" w:space="0" w:color="auto"/>
                    <w:right w:val="single" w:sz="4" w:space="0" w:color="auto"/>
                  </w:tcBorders>
                  <w:shd w:val="clear" w:color="auto" w:fill="auto"/>
                  <w:noWrap/>
                  <w:vAlign w:val="bottom"/>
                  <w:hideMark/>
                </w:tcPr>
                <w:p w14:paraId="218C086B" w14:textId="77777777" w:rsidR="003D65E5" w:rsidRPr="00A775F6" w:rsidRDefault="00686AB5" w:rsidP="003D65E5">
                  <w:pPr>
                    <w:jc w:val="right"/>
                    <w:rPr>
                      <w:sz w:val="22"/>
                      <w:szCs w:val="22"/>
                    </w:rPr>
                  </w:pPr>
                  <w:r w:rsidRPr="00A775F6">
                    <w:rPr>
                      <w:sz w:val="22"/>
                      <w:szCs w:val="22"/>
                    </w:rPr>
                    <w:t>1 020 000</w:t>
                  </w:r>
                </w:p>
              </w:tc>
              <w:tc>
                <w:tcPr>
                  <w:tcW w:w="1224" w:type="dxa"/>
                  <w:tcBorders>
                    <w:top w:val="nil"/>
                    <w:left w:val="nil"/>
                    <w:bottom w:val="single" w:sz="4" w:space="0" w:color="auto"/>
                    <w:right w:val="single" w:sz="4" w:space="0" w:color="auto"/>
                  </w:tcBorders>
                  <w:shd w:val="clear" w:color="auto" w:fill="auto"/>
                  <w:noWrap/>
                  <w:vAlign w:val="bottom"/>
                  <w:hideMark/>
                </w:tcPr>
                <w:p w14:paraId="142BB206" w14:textId="77777777" w:rsidR="003D65E5" w:rsidRPr="00A775F6" w:rsidRDefault="00686AB5" w:rsidP="003D65E5">
                  <w:pPr>
                    <w:jc w:val="right"/>
                    <w:rPr>
                      <w:sz w:val="22"/>
                      <w:szCs w:val="22"/>
                    </w:rPr>
                  </w:pPr>
                  <w:r w:rsidRPr="00A775F6">
                    <w:rPr>
                      <w:sz w:val="22"/>
                      <w:szCs w:val="22"/>
                    </w:rPr>
                    <w:t>2 133 500</w:t>
                  </w:r>
                </w:p>
              </w:tc>
              <w:tc>
                <w:tcPr>
                  <w:tcW w:w="1134" w:type="dxa"/>
                  <w:tcBorders>
                    <w:top w:val="nil"/>
                    <w:left w:val="nil"/>
                    <w:bottom w:val="single" w:sz="4" w:space="0" w:color="auto"/>
                    <w:right w:val="single" w:sz="4" w:space="0" w:color="auto"/>
                  </w:tcBorders>
                  <w:shd w:val="clear" w:color="000000" w:fill="FFFFFF"/>
                  <w:noWrap/>
                  <w:vAlign w:val="bottom"/>
                  <w:hideMark/>
                </w:tcPr>
                <w:p w14:paraId="6B595466" w14:textId="77777777" w:rsidR="003D65E5" w:rsidRPr="00A775F6" w:rsidRDefault="00686AB5" w:rsidP="003D65E5">
                  <w:pPr>
                    <w:jc w:val="right"/>
                    <w:rPr>
                      <w:sz w:val="22"/>
                      <w:szCs w:val="22"/>
                    </w:rPr>
                  </w:pPr>
                  <w:r w:rsidRPr="00A775F6">
                    <w:rPr>
                      <w:sz w:val="22"/>
                      <w:szCs w:val="22"/>
                    </w:rPr>
                    <w:t>3 850 500</w:t>
                  </w:r>
                </w:p>
              </w:tc>
            </w:tr>
            <w:tr w:rsidR="00B30D6D" w14:paraId="4ACC95D8" w14:textId="77777777" w:rsidTr="00754542">
              <w:trPr>
                <w:trHeight w:val="255"/>
              </w:trPr>
              <w:tc>
                <w:tcPr>
                  <w:tcW w:w="2722" w:type="dxa"/>
                  <w:tcBorders>
                    <w:top w:val="nil"/>
                    <w:left w:val="single" w:sz="4" w:space="0" w:color="auto"/>
                    <w:bottom w:val="single" w:sz="4" w:space="0" w:color="auto"/>
                    <w:right w:val="single" w:sz="4" w:space="0" w:color="auto"/>
                  </w:tcBorders>
                  <w:shd w:val="clear" w:color="000000" w:fill="FFFFFF"/>
                  <w:vAlign w:val="bottom"/>
                  <w:hideMark/>
                </w:tcPr>
                <w:p w14:paraId="0EAF2662" w14:textId="25484765" w:rsidR="003D65E5" w:rsidRPr="000D708F" w:rsidRDefault="00686AB5" w:rsidP="003D65E5">
                  <w:pPr>
                    <w:rPr>
                      <w:sz w:val="22"/>
                      <w:szCs w:val="22"/>
                    </w:rPr>
                  </w:pPr>
                  <w:r w:rsidRPr="000D708F">
                    <w:rPr>
                      <w:sz w:val="22"/>
                      <w:szCs w:val="22"/>
                    </w:rPr>
                    <w:t>Attiecināmais valsts budžeta finansējums</w:t>
                  </w:r>
                  <w:r>
                    <w:rPr>
                      <w:sz w:val="22"/>
                      <w:szCs w:val="22"/>
                    </w:rPr>
                    <w:t xml:space="preserve"> (15%)</w:t>
                  </w:r>
                </w:p>
              </w:tc>
              <w:tc>
                <w:tcPr>
                  <w:tcW w:w="1140" w:type="dxa"/>
                  <w:tcBorders>
                    <w:top w:val="nil"/>
                    <w:left w:val="nil"/>
                    <w:bottom w:val="single" w:sz="4" w:space="0" w:color="auto"/>
                    <w:right w:val="single" w:sz="4" w:space="0" w:color="auto"/>
                  </w:tcBorders>
                  <w:shd w:val="clear" w:color="000000" w:fill="FFFFFF"/>
                  <w:noWrap/>
                  <w:vAlign w:val="bottom"/>
                  <w:hideMark/>
                </w:tcPr>
                <w:p w14:paraId="70604322" w14:textId="77777777" w:rsidR="003D65E5" w:rsidRPr="00A775F6" w:rsidRDefault="00686AB5" w:rsidP="003D65E5">
                  <w:pPr>
                    <w:jc w:val="right"/>
                    <w:rPr>
                      <w:sz w:val="22"/>
                      <w:szCs w:val="22"/>
                    </w:rPr>
                  </w:pPr>
                  <w:r w:rsidRPr="00A775F6">
                    <w:rPr>
                      <w:sz w:val="22"/>
                      <w:szCs w:val="22"/>
                    </w:rPr>
                    <w:t>123 000</w:t>
                  </w:r>
                </w:p>
              </w:tc>
              <w:tc>
                <w:tcPr>
                  <w:tcW w:w="1180" w:type="dxa"/>
                  <w:tcBorders>
                    <w:top w:val="nil"/>
                    <w:left w:val="nil"/>
                    <w:bottom w:val="single" w:sz="4" w:space="0" w:color="auto"/>
                    <w:right w:val="single" w:sz="4" w:space="0" w:color="auto"/>
                  </w:tcBorders>
                  <w:shd w:val="clear" w:color="000000" w:fill="FFFFFF"/>
                  <w:noWrap/>
                  <w:vAlign w:val="bottom"/>
                  <w:hideMark/>
                </w:tcPr>
                <w:p w14:paraId="37FC5EC5" w14:textId="77777777" w:rsidR="003D65E5" w:rsidRPr="00A775F6" w:rsidRDefault="00686AB5" w:rsidP="003D65E5">
                  <w:pPr>
                    <w:jc w:val="right"/>
                    <w:rPr>
                      <w:sz w:val="22"/>
                      <w:szCs w:val="22"/>
                    </w:rPr>
                  </w:pPr>
                  <w:r w:rsidRPr="00A775F6">
                    <w:rPr>
                      <w:sz w:val="22"/>
                      <w:szCs w:val="22"/>
                    </w:rPr>
                    <w:t>180 000</w:t>
                  </w:r>
                </w:p>
              </w:tc>
              <w:tc>
                <w:tcPr>
                  <w:tcW w:w="1224" w:type="dxa"/>
                  <w:tcBorders>
                    <w:top w:val="nil"/>
                    <w:left w:val="nil"/>
                    <w:bottom w:val="single" w:sz="4" w:space="0" w:color="auto"/>
                    <w:right w:val="single" w:sz="4" w:space="0" w:color="auto"/>
                  </w:tcBorders>
                  <w:shd w:val="clear" w:color="000000" w:fill="FFFFFF"/>
                  <w:noWrap/>
                  <w:vAlign w:val="bottom"/>
                  <w:hideMark/>
                </w:tcPr>
                <w:p w14:paraId="67CC894D" w14:textId="77777777" w:rsidR="003D65E5" w:rsidRPr="00A775F6" w:rsidRDefault="00686AB5" w:rsidP="003D65E5">
                  <w:pPr>
                    <w:jc w:val="right"/>
                    <w:rPr>
                      <w:sz w:val="22"/>
                      <w:szCs w:val="22"/>
                    </w:rPr>
                  </w:pPr>
                  <w:r w:rsidRPr="00A775F6">
                    <w:rPr>
                      <w:sz w:val="22"/>
                      <w:szCs w:val="22"/>
                    </w:rPr>
                    <w:t>376 500</w:t>
                  </w:r>
                </w:p>
              </w:tc>
              <w:tc>
                <w:tcPr>
                  <w:tcW w:w="1134" w:type="dxa"/>
                  <w:tcBorders>
                    <w:top w:val="nil"/>
                    <w:left w:val="nil"/>
                    <w:bottom w:val="single" w:sz="4" w:space="0" w:color="auto"/>
                    <w:right w:val="single" w:sz="4" w:space="0" w:color="auto"/>
                  </w:tcBorders>
                  <w:shd w:val="clear" w:color="000000" w:fill="FFFFFF"/>
                  <w:noWrap/>
                  <w:vAlign w:val="bottom"/>
                  <w:hideMark/>
                </w:tcPr>
                <w:p w14:paraId="2CBC31BB" w14:textId="77777777" w:rsidR="003D65E5" w:rsidRPr="00A775F6" w:rsidRDefault="00686AB5" w:rsidP="003D65E5">
                  <w:pPr>
                    <w:jc w:val="right"/>
                    <w:rPr>
                      <w:sz w:val="22"/>
                      <w:szCs w:val="22"/>
                    </w:rPr>
                  </w:pPr>
                  <w:r w:rsidRPr="00A775F6">
                    <w:rPr>
                      <w:sz w:val="22"/>
                      <w:szCs w:val="22"/>
                    </w:rPr>
                    <w:t>679 500</w:t>
                  </w:r>
                </w:p>
              </w:tc>
            </w:tr>
            <w:tr w:rsidR="00B30D6D" w14:paraId="3243F831" w14:textId="77777777" w:rsidTr="00754542">
              <w:trPr>
                <w:trHeight w:val="300"/>
              </w:trPr>
              <w:tc>
                <w:tcPr>
                  <w:tcW w:w="2722" w:type="dxa"/>
                  <w:tcBorders>
                    <w:top w:val="nil"/>
                    <w:left w:val="single" w:sz="4" w:space="0" w:color="auto"/>
                    <w:bottom w:val="single" w:sz="4" w:space="0" w:color="auto"/>
                    <w:right w:val="single" w:sz="4" w:space="0" w:color="auto"/>
                  </w:tcBorders>
                  <w:shd w:val="clear" w:color="000000" w:fill="FFFFFF"/>
                  <w:vAlign w:val="bottom"/>
                  <w:hideMark/>
                </w:tcPr>
                <w:p w14:paraId="259D612D" w14:textId="4FBBE8F8" w:rsidR="003D65E5" w:rsidRPr="000D708F" w:rsidRDefault="00686AB5" w:rsidP="003D65E5">
                  <w:pPr>
                    <w:rPr>
                      <w:sz w:val="22"/>
                      <w:szCs w:val="22"/>
                    </w:rPr>
                  </w:pPr>
                  <w:r w:rsidRPr="000D708F">
                    <w:rPr>
                      <w:sz w:val="22"/>
                      <w:szCs w:val="22"/>
                    </w:rPr>
                    <w:t>Kopējās izmaksas</w:t>
                  </w:r>
                  <w:r>
                    <w:rPr>
                      <w:sz w:val="22"/>
                      <w:szCs w:val="22"/>
                    </w:rPr>
                    <w:t xml:space="preserve"> (100%)</w:t>
                  </w:r>
                </w:p>
              </w:tc>
              <w:tc>
                <w:tcPr>
                  <w:tcW w:w="1140" w:type="dxa"/>
                  <w:tcBorders>
                    <w:top w:val="nil"/>
                    <w:left w:val="nil"/>
                    <w:bottom w:val="single" w:sz="4" w:space="0" w:color="auto"/>
                    <w:right w:val="single" w:sz="4" w:space="0" w:color="auto"/>
                  </w:tcBorders>
                  <w:shd w:val="clear" w:color="auto" w:fill="auto"/>
                  <w:noWrap/>
                  <w:vAlign w:val="bottom"/>
                  <w:hideMark/>
                </w:tcPr>
                <w:p w14:paraId="21A5CFCB" w14:textId="77777777" w:rsidR="003D65E5" w:rsidRPr="00A775F6" w:rsidRDefault="00686AB5" w:rsidP="003D65E5">
                  <w:pPr>
                    <w:jc w:val="right"/>
                    <w:rPr>
                      <w:sz w:val="22"/>
                      <w:szCs w:val="22"/>
                    </w:rPr>
                  </w:pPr>
                  <w:r w:rsidRPr="00A775F6">
                    <w:rPr>
                      <w:sz w:val="22"/>
                      <w:szCs w:val="22"/>
                    </w:rPr>
                    <w:t>820 000</w:t>
                  </w:r>
                </w:p>
              </w:tc>
              <w:tc>
                <w:tcPr>
                  <w:tcW w:w="1180" w:type="dxa"/>
                  <w:tcBorders>
                    <w:top w:val="nil"/>
                    <w:left w:val="nil"/>
                    <w:bottom w:val="single" w:sz="4" w:space="0" w:color="auto"/>
                    <w:right w:val="single" w:sz="4" w:space="0" w:color="auto"/>
                  </w:tcBorders>
                  <w:shd w:val="clear" w:color="auto" w:fill="auto"/>
                  <w:noWrap/>
                  <w:vAlign w:val="bottom"/>
                  <w:hideMark/>
                </w:tcPr>
                <w:p w14:paraId="71216D6B" w14:textId="77777777" w:rsidR="003D65E5" w:rsidRPr="00A775F6" w:rsidRDefault="00686AB5" w:rsidP="003D65E5">
                  <w:pPr>
                    <w:jc w:val="right"/>
                    <w:rPr>
                      <w:sz w:val="22"/>
                      <w:szCs w:val="22"/>
                    </w:rPr>
                  </w:pPr>
                  <w:r w:rsidRPr="00A775F6">
                    <w:rPr>
                      <w:sz w:val="22"/>
                      <w:szCs w:val="22"/>
                    </w:rPr>
                    <w:t>1 200 000</w:t>
                  </w:r>
                </w:p>
              </w:tc>
              <w:tc>
                <w:tcPr>
                  <w:tcW w:w="1224" w:type="dxa"/>
                  <w:tcBorders>
                    <w:top w:val="nil"/>
                    <w:left w:val="nil"/>
                    <w:bottom w:val="single" w:sz="4" w:space="0" w:color="auto"/>
                    <w:right w:val="single" w:sz="4" w:space="0" w:color="auto"/>
                  </w:tcBorders>
                  <w:shd w:val="clear" w:color="auto" w:fill="auto"/>
                  <w:noWrap/>
                  <w:vAlign w:val="bottom"/>
                  <w:hideMark/>
                </w:tcPr>
                <w:p w14:paraId="2A6F976F" w14:textId="77777777" w:rsidR="003D65E5" w:rsidRPr="00A775F6" w:rsidRDefault="00686AB5" w:rsidP="003D65E5">
                  <w:pPr>
                    <w:jc w:val="right"/>
                    <w:rPr>
                      <w:sz w:val="22"/>
                      <w:szCs w:val="22"/>
                    </w:rPr>
                  </w:pPr>
                  <w:r w:rsidRPr="00A775F6">
                    <w:rPr>
                      <w:sz w:val="22"/>
                      <w:szCs w:val="22"/>
                    </w:rPr>
                    <w:t>2 510 000</w:t>
                  </w:r>
                </w:p>
              </w:tc>
              <w:tc>
                <w:tcPr>
                  <w:tcW w:w="1134" w:type="dxa"/>
                  <w:tcBorders>
                    <w:top w:val="nil"/>
                    <w:left w:val="nil"/>
                    <w:bottom w:val="single" w:sz="4" w:space="0" w:color="auto"/>
                    <w:right w:val="single" w:sz="4" w:space="0" w:color="auto"/>
                  </w:tcBorders>
                  <w:shd w:val="clear" w:color="000000" w:fill="FFFFFF"/>
                  <w:noWrap/>
                  <w:vAlign w:val="bottom"/>
                  <w:hideMark/>
                </w:tcPr>
                <w:p w14:paraId="16115704" w14:textId="77777777" w:rsidR="003D65E5" w:rsidRPr="00A775F6" w:rsidRDefault="00686AB5" w:rsidP="003D65E5">
                  <w:pPr>
                    <w:jc w:val="right"/>
                    <w:rPr>
                      <w:sz w:val="22"/>
                      <w:szCs w:val="22"/>
                    </w:rPr>
                  </w:pPr>
                  <w:r w:rsidRPr="00A775F6">
                    <w:rPr>
                      <w:sz w:val="22"/>
                      <w:szCs w:val="22"/>
                    </w:rPr>
                    <w:t>4 530 000</w:t>
                  </w:r>
                </w:p>
              </w:tc>
            </w:tr>
          </w:tbl>
          <w:p w14:paraId="74952B11" w14:textId="77777777" w:rsidR="003D65E5" w:rsidRDefault="003D65E5" w:rsidP="003D65E5">
            <w:pPr>
              <w:jc w:val="both"/>
              <w:rPr>
                <w:lang w:eastAsia="en-US"/>
              </w:rPr>
            </w:pPr>
          </w:p>
          <w:p w14:paraId="19A21F05" w14:textId="77777777" w:rsidR="003D65E5" w:rsidRDefault="00686AB5" w:rsidP="003D65E5">
            <w:pPr>
              <w:jc w:val="both"/>
              <w:rPr>
                <w:lang w:eastAsia="en-US"/>
              </w:rPr>
            </w:pPr>
            <w:r>
              <w:rPr>
                <w:lang w:eastAsia="en-US"/>
              </w:rPr>
              <w:t xml:space="preserve">Provizorisks izmaksu aprēķins: </w:t>
            </w:r>
          </w:p>
          <w:p w14:paraId="7B8CAF65" w14:textId="18DA3727" w:rsidR="003D65E5" w:rsidRPr="009B3535" w:rsidRDefault="00686AB5" w:rsidP="003D65E5">
            <w:pPr>
              <w:numPr>
                <w:ilvl w:val="0"/>
                <w:numId w:val="17"/>
              </w:numPr>
              <w:jc w:val="both"/>
              <w:rPr>
                <w:lang w:eastAsia="en-US"/>
              </w:rPr>
            </w:pPr>
            <w:r>
              <w:rPr>
                <w:lang w:eastAsia="en-US"/>
              </w:rPr>
              <w:t>procesu pilnveidošana/ izstrāde – 2 916 537 </w:t>
            </w:r>
            <w:r w:rsidRPr="00EB0FBE">
              <w:rPr>
                <w:i/>
                <w:lang w:eastAsia="en-US"/>
              </w:rPr>
              <w:t>euro</w:t>
            </w:r>
            <w:r>
              <w:rPr>
                <w:lang w:eastAsia="en-US"/>
              </w:rPr>
              <w:t>;</w:t>
            </w:r>
          </w:p>
          <w:p w14:paraId="5F31B8D0" w14:textId="586B9A00" w:rsidR="003D65E5" w:rsidRPr="009B3535" w:rsidRDefault="00686AB5" w:rsidP="003D65E5">
            <w:pPr>
              <w:numPr>
                <w:ilvl w:val="0"/>
                <w:numId w:val="17"/>
              </w:numPr>
              <w:jc w:val="both"/>
              <w:rPr>
                <w:lang w:eastAsia="en-US"/>
              </w:rPr>
            </w:pPr>
            <w:r>
              <w:rPr>
                <w:lang w:eastAsia="en-US"/>
              </w:rPr>
              <w:t>publicitātes – 45 </w:t>
            </w:r>
            <w:r w:rsidRPr="00EB0FBE">
              <w:rPr>
                <w:i/>
                <w:lang w:eastAsia="en-US"/>
              </w:rPr>
              <w:t>euro</w:t>
            </w:r>
            <w:r>
              <w:rPr>
                <w:lang w:eastAsia="en-US"/>
              </w:rPr>
              <w:t>;</w:t>
            </w:r>
          </w:p>
          <w:p w14:paraId="118BFEF9" w14:textId="32FFD7C1" w:rsidR="003D65E5" w:rsidRPr="009B3535" w:rsidRDefault="00686AB5" w:rsidP="003D65E5">
            <w:pPr>
              <w:numPr>
                <w:ilvl w:val="0"/>
                <w:numId w:val="17"/>
              </w:numPr>
              <w:jc w:val="both"/>
              <w:rPr>
                <w:lang w:eastAsia="en-US"/>
              </w:rPr>
            </w:pPr>
            <w:r>
              <w:rPr>
                <w:lang w:eastAsia="en-US"/>
              </w:rPr>
              <w:t>projekta ieviešanas uzraudzība – 241 634 </w:t>
            </w:r>
            <w:r w:rsidRPr="00EB0FBE">
              <w:rPr>
                <w:i/>
                <w:lang w:eastAsia="en-US"/>
              </w:rPr>
              <w:t>euro</w:t>
            </w:r>
            <w:r>
              <w:rPr>
                <w:lang w:eastAsia="en-US"/>
              </w:rPr>
              <w:t>;</w:t>
            </w:r>
          </w:p>
          <w:p w14:paraId="42C15027" w14:textId="1C04D438" w:rsidR="003D65E5" w:rsidRPr="009B3535" w:rsidRDefault="00686AB5" w:rsidP="003D65E5">
            <w:pPr>
              <w:numPr>
                <w:ilvl w:val="0"/>
                <w:numId w:val="17"/>
              </w:numPr>
              <w:jc w:val="both"/>
              <w:rPr>
                <w:lang w:eastAsia="en-US"/>
              </w:rPr>
            </w:pPr>
            <w:r>
              <w:rPr>
                <w:lang w:eastAsia="en-US"/>
              </w:rPr>
              <w:t>i</w:t>
            </w:r>
            <w:r w:rsidRPr="009B3535">
              <w:rPr>
                <w:lang w:eastAsia="en-US"/>
              </w:rPr>
              <w:t>nformācijas sistēmas veiktspējas un drošības auditi</w:t>
            </w:r>
            <w:r>
              <w:rPr>
                <w:lang w:eastAsia="en-US"/>
              </w:rPr>
              <w:t xml:space="preserve"> – 75 439 </w:t>
            </w:r>
            <w:r w:rsidRPr="00EB0FBE">
              <w:rPr>
                <w:i/>
                <w:lang w:eastAsia="en-US"/>
              </w:rPr>
              <w:t>euro</w:t>
            </w:r>
            <w:r>
              <w:rPr>
                <w:lang w:eastAsia="en-US"/>
              </w:rPr>
              <w:t>;</w:t>
            </w:r>
          </w:p>
          <w:p w14:paraId="0D2CBCC4" w14:textId="004E184D" w:rsidR="003D65E5" w:rsidRPr="009B3535" w:rsidRDefault="00686AB5" w:rsidP="003D65E5">
            <w:pPr>
              <w:numPr>
                <w:ilvl w:val="0"/>
                <w:numId w:val="17"/>
              </w:numPr>
              <w:jc w:val="both"/>
              <w:rPr>
                <w:lang w:eastAsia="en-US"/>
              </w:rPr>
            </w:pPr>
            <w:r>
              <w:rPr>
                <w:lang w:eastAsia="en-US"/>
              </w:rPr>
              <w:t>datu migrācija – 973 718 </w:t>
            </w:r>
            <w:r w:rsidRPr="00EB0FBE">
              <w:rPr>
                <w:i/>
                <w:lang w:eastAsia="en-US"/>
              </w:rPr>
              <w:t>euro</w:t>
            </w:r>
            <w:r>
              <w:rPr>
                <w:lang w:eastAsia="en-US"/>
              </w:rPr>
              <w:t>;</w:t>
            </w:r>
          </w:p>
          <w:p w14:paraId="08526174" w14:textId="5A72FDE5" w:rsidR="003D65E5" w:rsidRPr="00EB0FBE" w:rsidRDefault="00686AB5" w:rsidP="003D65E5">
            <w:pPr>
              <w:numPr>
                <w:ilvl w:val="0"/>
                <w:numId w:val="17"/>
              </w:numPr>
              <w:jc w:val="both"/>
              <w:rPr>
                <w:strike/>
                <w:lang w:eastAsia="en-US"/>
              </w:rPr>
            </w:pPr>
            <w:r>
              <w:rPr>
                <w:lang w:eastAsia="en-US"/>
              </w:rPr>
              <w:t>saistīto informācijas sistēmu pielāgošana – 322 627 </w:t>
            </w:r>
            <w:r w:rsidRPr="00EB0FBE">
              <w:rPr>
                <w:i/>
                <w:lang w:eastAsia="en-US"/>
              </w:rPr>
              <w:t>euro</w:t>
            </w:r>
            <w:r>
              <w:rPr>
                <w:lang w:eastAsia="en-US"/>
              </w:rPr>
              <w:t>.</w:t>
            </w:r>
          </w:p>
          <w:p w14:paraId="7E11A143" w14:textId="77777777" w:rsidR="00BB3BA0" w:rsidRDefault="00686AB5" w:rsidP="00EA715F">
            <w:pPr>
              <w:jc w:val="both"/>
              <w:rPr>
                <w:lang w:eastAsia="en-US"/>
              </w:rPr>
            </w:pPr>
            <w:r>
              <w:rPr>
                <w:lang w:eastAsia="en-US"/>
              </w:rPr>
              <w:t xml:space="preserve">IKT risinājumu uzturēšanas izmaksas sākot ar </w:t>
            </w:r>
            <w:r w:rsidRPr="00EA09FA">
              <w:rPr>
                <w:lang w:eastAsia="en-US"/>
              </w:rPr>
              <w:t xml:space="preserve">2022.gadu </w:t>
            </w:r>
            <w:r>
              <w:rPr>
                <w:lang w:eastAsia="en-US"/>
              </w:rPr>
              <w:t>plānotas 453 000 </w:t>
            </w:r>
            <w:r w:rsidRPr="00EB0FBE">
              <w:rPr>
                <w:i/>
                <w:lang w:eastAsia="en-US"/>
              </w:rPr>
              <w:t>euro</w:t>
            </w:r>
            <w:r>
              <w:rPr>
                <w:lang w:eastAsia="en-US"/>
              </w:rPr>
              <w:t xml:space="preserve"> gadā (10% no projekta apjoma 4 530 000 </w:t>
            </w:r>
            <w:r w:rsidRPr="00EB0FBE">
              <w:rPr>
                <w:i/>
                <w:lang w:eastAsia="en-US"/>
              </w:rPr>
              <w:t>euro</w:t>
            </w:r>
            <w:r>
              <w:rPr>
                <w:lang w:eastAsia="en-US"/>
              </w:rPr>
              <w:t>).</w:t>
            </w:r>
          </w:p>
          <w:p w14:paraId="354889D4" w14:textId="786E9D00" w:rsidR="00F02F4B" w:rsidRDefault="00686AB5" w:rsidP="00EA715F">
            <w:pPr>
              <w:jc w:val="both"/>
              <w:rPr>
                <w:lang w:eastAsia="en-US"/>
              </w:rPr>
            </w:pPr>
            <w:r>
              <w:rPr>
                <w:lang w:eastAsia="en-US"/>
              </w:rPr>
              <w:t>Provizoriskais IKT risinājumu uzturēšanas izmaksu aprēķins:</w:t>
            </w:r>
          </w:p>
          <w:p w14:paraId="468A0ED2" w14:textId="77777777" w:rsidR="00A02F54" w:rsidRDefault="00A02F54" w:rsidP="00EA715F">
            <w:pPr>
              <w:jc w:val="both"/>
              <w:rPr>
                <w:lang w:eastAsia="en-US"/>
              </w:rPr>
            </w:pPr>
          </w:p>
          <w:tbl>
            <w:tblPr>
              <w:tblW w:w="7258" w:type="dxa"/>
              <w:tblLayout w:type="fixed"/>
              <w:tblLook w:val="04A0" w:firstRow="1" w:lastRow="0" w:firstColumn="1" w:lastColumn="0" w:noHBand="0" w:noVBand="1"/>
            </w:tblPr>
            <w:tblGrid>
              <w:gridCol w:w="3431"/>
              <w:gridCol w:w="1275"/>
              <w:gridCol w:w="1276"/>
              <w:gridCol w:w="1276"/>
            </w:tblGrid>
            <w:tr w:rsidR="00B30D6D" w14:paraId="4ECDD695" w14:textId="77777777" w:rsidTr="005B60C5">
              <w:trPr>
                <w:trHeight w:val="765"/>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8F7DA" w14:textId="77777777" w:rsidR="003D71F8" w:rsidRPr="00657EE8" w:rsidRDefault="00686AB5" w:rsidP="005B60C5">
                  <w:pPr>
                    <w:jc w:val="center"/>
                    <w:rPr>
                      <w:color w:val="000000"/>
                      <w:sz w:val="20"/>
                      <w:szCs w:val="20"/>
                    </w:rPr>
                  </w:pPr>
                  <w:r w:rsidRPr="00657EE8">
                    <w:rPr>
                      <w:color w:val="000000"/>
                      <w:sz w:val="20"/>
                      <w:szCs w:val="20"/>
                    </w:rPr>
                    <w:t>Izmaksu pozīcija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EA8C0D" w14:textId="77777777" w:rsidR="003D71F8" w:rsidRPr="00657EE8" w:rsidRDefault="00686AB5" w:rsidP="00BB3BA0">
                  <w:pPr>
                    <w:jc w:val="center"/>
                    <w:rPr>
                      <w:color w:val="000000"/>
                      <w:sz w:val="20"/>
                      <w:szCs w:val="20"/>
                    </w:rPr>
                  </w:pPr>
                  <w:r w:rsidRPr="00657EE8">
                    <w:rPr>
                      <w:color w:val="000000"/>
                      <w:sz w:val="20"/>
                      <w:szCs w:val="20"/>
                    </w:rPr>
                    <w:t xml:space="preserve">Izmaksas </w:t>
                  </w:r>
                  <w:r w:rsidRPr="00657EE8">
                    <w:rPr>
                      <w:i/>
                      <w:iCs/>
                      <w:color w:val="000000"/>
                      <w:sz w:val="20"/>
                      <w:szCs w:val="20"/>
                    </w:rPr>
                    <w:t>euro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0B94EE" w14:textId="37515E7A" w:rsidR="003D71F8" w:rsidRPr="00657EE8" w:rsidRDefault="00686AB5" w:rsidP="003D71F8">
                  <w:pPr>
                    <w:jc w:val="center"/>
                    <w:rPr>
                      <w:color w:val="000000"/>
                      <w:sz w:val="20"/>
                      <w:szCs w:val="20"/>
                    </w:rPr>
                  </w:pPr>
                  <w:proofErr w:type="spellStart"/>
                  <w:r w:rsidRPr="00657EE8">
                    <w:rPr>
                      <w:color w:val="000000"/>
                      <w:sz w:val="20"/>
                      <w:szCs w:val="20"/>
                    </w:rPr>
                    <w:t>Persondienu</w:t>
                  </w:r>
                  <w:proofErr w:type="spellEnd"/>
                  <w:r w:rsidRPr="00657EE8">
                    <w:rPr>
                      <w:color w:val="000000"/>
                      <w:sz w:val="20"/>
                      <w:szCs w:val="20"/>
                    </w:rPr>
                    <w:t xml:space="preserve"> skaits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5D4FDF" w14:textId="1F74AE22" w:rsidR="003D71F8" w:rsidRPr="00657EE8" w:rsidRDefault="00686AB5" w:rsidP="003D71F8">
                  <w:pPr>
                    <w:jc w:val="center"/>
                    <w:rPr>
                      <w:color w:val="000000"/>
                      <w:sz w:val="20"/>
                      <w:szCs w:val="20"/>
                    </w:rPr>
                  </w:pPr>
                  <w:r w:rsidRPr="00657EE8">
                    <w:rPr>
                      <w:color w:val="000000"/>
                      <w:sz w:val="20"/>
                      <w:szCs w:val="20"/>
                    </w:rPr>
                    <w:t xml:space="preserve">1 </w:t>
                  </w:r>
                  <w:proofErr w:type="spellStart"/>
                  <w:r w:rsidRPr="00657EE8">
                    <w:rPr>
                      <w:color w:val="000000"/>
                      <w:sz w:val="20"/>
                      <w:szCs w:val="20"/>
                    </w:rPr>
                    <w:t>person</w:t>
                  </w:r>
                  <w:proofErr w:type="spellEnd"/>
                  <w:r>
                    <w:rPr>
                      <w:color w:val="000000"/>
                      <w:sz w:val="20"/>
                      <w:szCs w:val="20"/>
                    </w:rPr>
                    <w:t>-</w:t>
                  </w:r>
                  <w:r w:rsidRPr="00657EE8">
                    <w:rPr>
                      <w:color w:val="000000"/>
                      <w:sz w:val="20"/>
                      <w:szCs w:val="20"/>
                    </w:rPr>
                    <w:t xml:space="preserve">dienas cena </w:t>
                  </w:r>
                  <w:r w:rsidRPr="00657EE8">
                    <w:rPr>
                      <w:i/>
                      <w:iCs/>
                      <w:color w:val="000000"/>
                      <w:sz w:val="20"/>
                      <w:szCs w:val="20"/>
                    </w:rPr>
                    <w:t>euro</w:t>
                  </w:r>
                  <w:r w:rsidRPr="00657EE8">
                    <w:rPr>
                      <w:color w:val="000000"/>
                      <w:sz w:val="20"/>
                      <w:szCs w:val="20"/>
                    </w:rPr>
                    <w:t xml:space="preserve"> ar PVN</w:t>
                  </w:r>
                </w:p>
              </w:tc>
            </w:tr>
            <w:tr w:rsidR="00B30D6D" w14:paraId="3B9617F5" w14:textId="77777777" w:rsidTr="005B60C5">
              <w:trPr>
                <w:trHeight w:val="255"/>
              </w:trPr>
              <w:tc>
                <w:tcPr>
                  <w:tcW w:w="3431" w:type="dxa"/>
                  <w:tcBorders>
                    <w:top w:val="nil"/>
                    <w:left w:val="single" w:sz="4" w:space="0" w:color="auto"/>
                    <w:bottom w:val="single" w:sz="4" w:space="0" w:color="auto"/>
                    <w:right w:val="single" w:sz="4" w:space="0" w:color="auto"/>
                  </w:tcBorders>
                  <w:shd w:val="clear" w:color="auto" w:fill="auto"/>
                  <w:vAlign w:val="bottom"/>
                  <w:hideMark/>
                </w:tcPr>
                <w:p w14:paraId="49ADF14A" w14:textId="47A23EDE" w:rsidR="003D71F8" w:rsidRPr="00657EE8" w:rsidRDefault="00686AB5" w:rsidP="00657EE8">
                  <w:pPr>
                    <w:rPr>
                      <w:color w:val="000000"/>
                      <w:sz w:val="20"/>
                      <w:szCs w:val="20"/>
                    </w:rPr>
                  </w:pPr>
                  <w:r w:rsidRPr="00657EE8">
                    <w:rPr>
                      <w:color w:val="000000"/>
                      <w:sz w:val="20"/>
                      <w:szCs w:val="20"/>
                    </w:rPr>
                    <w:t xml:space="preserve">Izstrādāto procesu </w:t>
                  </w:r>
                  <w:proofErr w:type="spellStart"/>
                  <w:r w:rsidRPr="00657EE8">
                    <w:rPr>
                      <w:color w:val="000000"/>
                      <w:sz w:val="20"/>
                      <w:szCs w:val="20"/>
                    </w:rPr>
                    <w:t>uzturēsana</w:t>
                  </w:r>
                  <w:proofErr w:type="spellEnd"/>
                  <w:r>
                    <w:rPr>
                      <w:color w:val="000000"/>
                      <w:sz w:val="20"/>
                      <w:szCs w:val="20"/>
                    </w:rPr>
                    <w:t xml:space="preserve"> (70%)</w:t>
                  </w:r>
                </w:p>
              </w:tc>
              <w:tc>
                <w:tcPr>
                  <w:tcW w:w="1275" w:type="dxa"/>
                  <w:tcBorders>
                    <w:top w:val="nil"/>
                    <w:left w:val="nil"/>
                    <w:bottom w:val="single" w:sz="4" w:space="0" w:color="auto"/>
                    <w:right w:val="single" w:sz="4" w:space="0" w:color="auto"/>
                  </w:tcBorders>
                  <w:shd w:val="clear" w:color="auto" w:fill="auto"/>
                  <w:noWrap/>
                  <w:vAlign w:val="center"/>
                  <w:hideMark/>
                </w:tcPr>
                <w:p w14:paraId="122848D5" w14:textId="518CD342" w:rsidR="003D71F8" w:rsidRPr="00657EE8" w:rsidRDefault="00686AB5" w:rsidP="003D71F8">
                  <w:pPr>
                    <w:jc w:val="right"/>
                    <w:rPr>
                      <w:color w:val="000000"/>
                      <w:sz w:val="20"/>
                      <w:szCs w:val="20"/>
                    </w:rPr>
                  </w:pPr>
                  <w:r>
                    <w:rPr>
                      <w:color w:val="000000"/>
                      <w:sz w:val="20"/>
                      <w:szCs w:val="20"/>
                    </w:rPr>
                    <w:t>317 044</w:t>
                  </w:r>
                </w:p>
              </w:tc>
              <w:tc>
                <w:tcPr>
                  <w:tcW w:w="1276" w:type="dxa"/>
                  <w:tcBorders>
                    <w:top w:val="nil"/>
                    <w:left w:val="nil"/>
                    <w:bottom w:val="single" w:sz="4" w:space="0" w:color="auto"/>
                    <w:right w:val="single" w:sz="4" w:space="0" w:color="auto"/>
                  </w:tcBorders>
                  <w:shd w:val="clear" w:color="auto" w:fill="auto"/>
                  <w:noWrap/>
                  <w:vAlign w:val="center"/>
                  <w:hideMark/>
                </w:tcPr>
                <w:p w14:paraId="2E7ED5D7" w14:textId="2291656B" w:rsidR="003D71F8" w:rsidRPr="00657EE8" w:rsidRDefault="00686AB5" w:rsidP="003D71F8">
                  <w:pPr>
                    <w:jc w:val="right"/>
                    <w:rPr>
                      <w:color w:val="000000"/>
                      <w:sz w:val="20"/>
                      <w:szCs w:val="20"/>
                    </w:rPr>
                  </w:pPr>
                  <w:r>
                    <w:rPr>
                      <w:color w:val="000000"/>
                      <w:sz w:val="20"/>
                      <w:szCs w:val="20"/>
                    </w:rPr>
                    <w:t>660</w:t>
                  </w:r>
                </w:p>
              </w:tc>
              <w:tc>
                <w:tcPr>
                  <w:tcW w:w="1276" w:type="dxa"/>
                  <w:tcBorders>
                    <w:top w:val="nil"/>
                    <w:left w:val="nil"/>
                    <w:bottom w:val="single" w:sz="4" w:space="0" w:color="auto"/>
                    <w:right w:val="single" w:sz="4" w:space="0" w:color="auto"/>
                  </w:tcBorders>
                  <w:shd w:val="clear" w:color="auto" w:fill="auto"/>
                  <w:noWrap/>
                  <w:vAlign w:val="center"/>
                  <w:hideMark/>
                </w:tcPr>
                <w:p w14:paraId="52DE775D" w14:textId="44FCC33B" w:rsidR="003D71F8" w:rsidRPr="00657EE8" w:rsidRDefault="00686AB5" w:rsidP="003D71F8">
                  <w:pPr>
                    <w:jc w:val="right"/>
                    <w:rPr>
                      <w:color w:val="000000"/>
                      <w:sz w:val="20"/>
                      <w:szCs w:val="20"/>
                    </w:rPr>
                  </w:pPr>
                  <w:r w:rsidRPr="00657EE8">
                    <w:rPr>
                      <w:color w:val="000000"/>
                      <w:sz w:val="20"/>
                      <w:szCs w:val="20"/>
                    </w:rPr>
                    <w:t>480</w:t>
                  </w:r>
                  <w:r>
                    <w:rPr>
                      <w:color w:val="000000"/>
                      <w:sz w:val="20"/>
                      <w:szCs w:val="20"/>
                    </w:rPr>
                    <w:t>,37*</w:t>
                  </w:r>
                </w:p>
              </w:tc>
            </w:tr>
            <w:tr w:rsidR="00B30D6D" w14:paraId="534523B8" w14:textId="77777777" w:rsidTr="005B60C5">
              <w:trPr>
                <w:trHeight w:val="329"/>
              </w:trPr>
              <w:tc>
                <w:tcPr>
                  <w:tcW w:w="3431" w:type="dxa"/>
                  <w:tcBorders>
                    <w:top w:val="nil"/>
                    <w:left w:val="single" w:sz="4" w:space="0" w:color="auto"/>
                    <w:bottom w:val="single" w:sz="4" w:space="0" w:color="auto"/>
                    <w:right w:val="single" w:sz="4" w:space="0" w:color="auto"/>
                  </w:tcBorders>
                  <w:shd w:val="clear" w:color="auto" w:fill="auto"/>
                  <w:vAlign w:val="bottom"/>
                  <w:hideMark/>
                </w:tcPr>
                <w:p w14:paraId="0821DE6F" w14:textId="61A687E3" w:rsidR="003D71F8" w:rsidRPr="00657EE8" w:rsidRDefault="00686AB5" w:rsidP="00B50350">
                  <w:pPr>
                    <w:rPr>
                      <w:color w:val="000000"/>
                      <w:sz w:val="20"/>
                      <w:szCs w:val="20"/>
                    </w:rPr>
                  </w:pPr>
                  <w:r w:rsidRPr="00657EE8">
                    <w:rPr>
                      <w:color w:val="000000"/>
                      <w:sz w:val="20"/>
                      <w:szCs w:val="20"/>
                    </w:rPr>
                    <w:t xml:space="preserve">Saistīto </w:t>
                  </w:r>
                  <w:r>
                    <w:rPr>
                      <w:color w:val="000000"/>
                      <w:sz w:val="20"/>
                      <w:szCs w:val="20"/>
                    </w:rPr>
                    <w:t xml:space="preserve">un </w:t>
                  </w:r>
                  <w:r w:rsidRPr="00657EE8">
                    <w:rPr>
                      <w:color w:val="000000"/>
                      <w:sz w:val="20"/>
                      <w:szCs w:val="20"/>
                    </w:rPr>
                    <w:t xml:space="preserve">pielāgoto </w:t>
                  </w:r>
                  <w:r>
                    <w:rPr>
                      <w:color w:val="000000"/>
                      <w:sz w:val="20"/>
                      <w:szCs w:val="20"/>
                    </w:rPr>
                    <w:t>informācijas sistēmu</w:t>
                  </w:r>
                  <w:r w:rsidRPr="00657EE8">
                    <w:rPr>
                      <w:color w:val="000000"/>
                      <w:sz w:val="20"/>
                      <w:szCs w:val="20"/>
                    </w:rPr>
                    <w:t xml:space="preserve"> uzturēšana </w:t>
                  </w:r>
                  <w:r>
                    <w:rPr>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14:paraId="5681270A" w14:textId="3EEC7690" w:rsidR="003D71F8" w:rsidRPr="00657EE8" w:rsidRDefault="00686AB5" w:rsidP="003D71F8">
                  <w:pPr>
                    <w:jc w:val="right"/>
                    <w:rPr>
                      <w:color w:val="000000"/>
                      <w:sz w:val="20"/>
                      <w:szCs w:val="20"/>
                    </w:rPr>
                  </w:pPr>
                  <w:r>
                    <w:rPr>
                      <w:color w:val="000000"/>
                      <w:sz w:val="20"/>
                      <w:szCs w:val="20"/>
                    </w:rPr>
                    <w:t>135 900</w:t>
                  </w:r>
                </w:p>
              </w:tc>
              <w:tc>
                <w:tcPr>
                  <w:tcW w:w="1276" w:type="dxa"/>
                  <w:tcBorders>
                    <w:top w:val="nil"/>
                    <w:left w:val="nil"/>
                    <w:bottom w:val="single" w:sz="4" w:space="0" w:color="auto"/>
                    <w:right w:val="single" w:sz="4" w:space="0" w:color="auto"/>
                  </w:tcBorders>
                  <w:shd w:val="clear" w:color="auto" w:fill="auto"/>
                  <w:noWrap/>
                  <w:vAlign w:val="center"/>
                  <w:hideMark/>
                </w:tcPr>
                <w:p w14:paraId="33C38286" w14:textId="0A375364" w:rsidR="003D71F8" w:rsidRPr="00657EE8" w:rsidRDefault="00686AB5" w:rsidP="003D71F8">
                  <w:pPr>
                    <w:jc w:val="right"/>
                    <w:rPr>
                      <w:color w:val="000000"/>
                      <w:sz w:val="20"/>
                      <w:szCs w:val="20"/>
                    </w:rPr>
                  </w:pPr>
                  <w:r>
                    <w:rPr>
                      <w:color w:val="000000"/>
                      <w:sz w:val="20"/>
                      <w:szCs w:val="20"/>
                    </w:rPr>
                    <w:t>343</w:t>
                  </w:r>
                </w:p>
              </w:tc>
              <w:tc>
                <w:tcPr>
                  <w:tcW w:w="1276" w:type="dxa"/>
                  <w:tcBorders>
                    <w:top w:val="nil"/>
                    <w:left w:val="nil"/>
                    <w:bottom w:val="single" w:sz="4" w:space="0" w:color="auto"/>
                    <w:right w:val="single" w:sz="4" w:space="0" w:color="auto"/>
                  </w:tcBorders>
                  <w:shd w:val="clear" w:color="auto" w:fill="auto"/>
                  <w:noWrap/>
                  <w:vAlign w:val="center"/>
                  <w:hideMark/>
                </w:tcPr>
                <w:p w14:paraId="6E732AFD" w14:textId="021F6F46" w:rsidR="003D71F8" w:rsidRPr="00657EE8" w:rsidRDefault="00686AB5" w:rsidP="003D71F8">
                  <w:pPr>
                    <w:jc w:val="right"/>
                    <w:rPr>
                      <w:color w:val="000000"/>
                      <w:sz w:val="20"/>
                      <w:szCs w:val="20"/>
                    </w:rPr>
                  </w:pPr>
                  <w:r w:rsidRPr="00657EE8">
                    <w:rPr>
                      <w:color w:val="000000"/>
                      <w:sz w:val="20"/>
                      <w:szCs w:val="20"/>
                    </w:rPr>
                    <w:t>396</w:t>
                  </w:r>
                  <w:r>
                    <w:rPr>
                      <w:color w:val="000000"/>
                      <w:sz w:val="20"/>
                      <w:szCs w:val="20"/>
                    </w:rPr>
                    <w:t>,21**</w:t>
                  </w:r>
                </w:p>
              </w:tc>
            </w:tr>
            <w:tr w:rsidR="00B30D6D" w14:paraId="77CF18AF" w14:textId="77777777" w:rsidTr="005B60C5">
              <w:trPr>
                <w:trHeight w:val="255"/>
              </w:trPr>
              <w:tc>
                <w:tcPr>
                  <w:tcW w:w="3431" w:type="dxa"/>
                  <w:tcBorders>
                    <w:top w:val="nil"/>
                    <w:left w:val="single" w:sz="4" w:space="0" w:color="auto"/>
                    <w:bottom w:val="single" w:sz="4" w:space="0" w:color="auto"/>
                    <w:right w:val="single" w:sz="4" w:space="0" w:color="auto"/>
                  </w:tcBorders>
                  <w:shd w:val="clear" w:color="auto" w:fill="auto"/>
                  <w:vAlign w:val="bottom"/>
                  <w:hideMark/>
                </w:tcPr>
                <w:p w14:paraId="1E7834C5" w14:textId="12776BB0" w:rsidR="003D71F8" w:rsidRPr="00657EE8" w:rsidRDefault="00686AB5" w:rsidP="00657EE8">
                  <w:pPr>
                    <w:rPr>
                      <w:color w:val="000000"/>
                      <w:sz w:val="20"/>
                      <w:szCs w:val="20"/>
                    </w:rPr>
                  </w:pPr>
                  <w:r w:rsidRPr="00657EE8">
                    <w:rPr>
                      <w:color w:val="000000"/>
                      <w:sz w:val="20"/>
                      <w:szCs w:val="20"/>
                    </w:rPr>
                    <w:t>Kopā</w:t>
                  </w:r>
                  <w:r>
                    <w:rPr>
                      <w:color w:val="000000"/>
                      <w:sz w:val="20"/>
                      <w:szCs w:val="20"/>
                    </w:rPr>
                    <w:t xml:space="preserve"> (100%)</w:t>
                  </w:r>
                </w:p>
              </w:tc>
              <w:tc>
                <w:tcPr>
                  <w:tcW w:w="1275" w:type="dxa"/>
                  <w:tcBorders>
                    <w:top w:val="nil"/>
                    <w:left w:val="nil"/>
                    <w:bottom w:val="single" w:sz="4" w:space="0" w:color="auto"/>
                    <w:right w:val="single" w:sz="4" w:space="0" w:color="auto"/>
                  </w:tcBorders>
                  <w:shd w:val="clear" w:color="auto" w:fill="auto"/>
                  <w:noWrap/>
                  <w:vAlign w:val="center"/>
                  <w:hideMark/>
                </w:tcPr>
                <w:p w14:paraId="35C81359" w14:textId="283E6F48" w:rsidR="003D71F8" w:rsidRPr="00657EE8" w:rsidRDefault="00686AB5" w:rsidP="003D71F8">
                  <w:pPr>
                    <w:jc w:val="right"/>
                    <w:rPr>
                      <w:color w:val="000000"/>
                      <w:sz w:val="20"/>
                      <w:szCs w:val="20"/>
                    </w:rPr>
                  </w:pPr>
                  <w:r>
                    <w:rPr>
                      <w:color w:val="000000"/>
                      <w:sz w:val="20"/>
                      <w:szCs w:val="20"/>
                    </w:rPr>
                    <w:t>452 944</w:t>
                  </w:r>
                </w:p>
              </w:tc>
              <w:tc>
                <w:tcPr>
                  <w:tcW w:w="1276" w:type="dxa"/>
                  <w:tcBorders>
                    <w:top w:val="nil"/>
                    <w:left w:val="nil"/>
                    <w:bottom w:val="single" w:sz="4" w:space="0" w:color="auto"/>
                    <w:right w:val="single" w:sz="4" w:space="0" w:color="auto"/>
                  </w:tcBorders>
                  <w:shd w:val="clear" w:color="auto" w:fill="auto"/>
                  <w:noWrap/>
                  <w:vAlign w:val="center"/>
                  <w:hideMark/>
                </w:tcPr>
                <w:p w14:paraId="579B143F" w14:textId="732AB1E3" w:rsidR="003D71F8" w:rsidRPr="00657EE8" w:rsidRDefault="00686AB5" w:rsidP="003D71F8">
                  <w:pPr>
                    <w:jc w:val="right"/>
                    <w:rPr>
                      <w:color w:val="000000"/>
                      <w:sz w:val="20"/>
                      <w:szCs w:val="20"/>
                    </w:rPr>
                  </w:pPr>
                  <w:r>
                    <w:rPr>
                      <w:color w:val="000000"/>
                      <w:sz w:val="20"/>
                      <w:szCs w:val="20"/>
                    </w:rPr>
                    <w:t>1 003</w:t>
                  </w:r>
                </w:p>
              </w:tc>
              <w:tc>
                <w:tcPr>
                  <w:tcW w:w="1276" w:type="dxa"/>
                  <w:tcBorders>
                    <w:top w:val="nil"/>
                    <w:left w:val="nil"/>
                    <w:bottom w:val="single" w:sz="4" w:space="0" w:color="auto"/>
                    <w:right w:val="single" w:sz="4" w:space="0" w:color="auto"/>
                  </w:tcBorders>
                  <w:shd w:val="clear" w:color="auto" w:fill="auto"/>
                  <w:noWrap/>
                  <w:vAlign w:val="center"/>
                  <w:hideMark/>
                </w:tcPr>
                <w:p w14:paraId="7364A9B2" w14:textId="47F75903" w:rsidR="003D71F8" w:rsidRPr="00657EE8" w:rsidRDefault="003D71F8" w:rsidP="005B60C5">
                  <w:pPr>
                    <w:jc w:val="right"/>
                    <w:rPr>
                      <w:color w:val="000000"/>
                      <w:sz w:val="20"/>
                      <w:szCs w:val="20"/>
                    </w:rPr>
                  </w:pPr>
                </w:p>
              </w:tc>
            </w:tr>
          </w:tbl>
          <w:p w14:paraId="7077D0F5" w14:textId="77777777" w:rsidR="00A02F54" w:rsidRDefault="00A02F54">
            <w:pPr>
              <w:jc w:val="both"/>
              <w:rPr>
                <w:lang w:eastAsia="en-US"/>
              </w:rPr>
            </w:pPr>
          </w:p>
          <w:p w14:paraId="425A125B" w14:textId="50588F21" w:rsidR="00657EE8" w:rsidRDefault="00686AB5">
            <w:pPr>
              <w:jc w:val="both"/>
              <w:rPr>
                <w:lang w:eastAsia="en-US"/>
              </w:rPr>
            </w:pPr>
            <w:r>
              <w:rPr>
                <w:lang w:eastAsia="en-US"/>
              </w:rPr>
              <w:t xml:space="preserve">* izmaksas </w:t>
            </w:r>
            <w:r w:rsidR="00422437">
              <w:rPr>
                <w:lang w:eastAsia="en-US"/>
              </w:rPr>
              <w:t>saskaņā ar noslēgto līgumu Nr. FM VID 20</w:t>
            </w:r>
            <w:r w:rsidR="0043646D">
              <w:rPr>
                <w:lang w:eastAsia="en-US"/>
              </w:rPr>
              <w:t>1</w:t>
            </w:r>
            <w:r w:rsidR="00422437">
              <w:rPr>
                <w:lang w:eastAsia="en-US"/>
              </w:rPr>
              <w:t>6</w:t>
            </w:r>
            <w:r w:rsidR="0043646D">
              <w:rPr>
                <w:lang w:eastAsia="en-US"/>
              </w:rPr>
              <w:t>/</w:t>
            </w:r>
            <w:r w:rsidR="00422437">
              <w:rPr>
                <w:lang w:eastAsia="en-US"/>
              </w:rPr>
              <w:t xml:space="preserve">153/ERAF </w:t>
            </w:r>
            <w:r w:rsidR="00B763CC">
              <w:rPr>
                <w:lang w:eastAsia="en-US"/>
              </w:rPr>
              <w:t>“Maksājumu administrēšanas informācijas sistēmas izstrāde, ieviešana un uzturēšana”</w:t>
            </w:r>
          </w:p>
          <w:p w14:paraId="3E6383B8" w14:textId="245A4295" w:rsidR="003D65E5" w:rsidRDefault="00686AB5">
            <w:pPr>
              <w:jc w:val="both"/>
              <w:rPr>
                <w:lang w:eastAsia="en-US"/>
              </w:rPr>
            </w:pPr>
            <w:r>
              <w:rPr>
                <w:lang w:eastAsia="en-US"/>
              </w:rPr>
              <w:t xml:space="preserve">** vidējā 1 </w:t>
            </w:r>
            <w:proofErr w:type="spellStart"/>
            <w:r>
              <w:rPr>
                <w:lang w:eastAsia="en-US"/>
              </w:rPr>
              <w:t>persondienas</w:t>
            </w:r>
            <w:proofErr w:type="spellEnd"/>
            <w:r>
              <w:rPr>
                <w:lang w:eastAsia="en-US"/>
              </w:rPr>
              <w:t xml:space="preserve"> cena, kas aprēķināta ņemot vērā 1 </w:t>
            </w:r>
            <w:proofErr w:type="spellStart"/>
            <w:r>
              <w:rPr>
                <w:lang w:eastAsia="en-US"/>
              </w:rPr>
              <w:t>persondienas</w:t>
            </w:r>
            <w:proofErr w:type="spellEnd"/>
            <w:r>
              <w:rPr>
                <w:lang w:eastAsia="en-US"/>
              </w:rPr>
              <w:t xml:space="preserve"> cenu šobrīd spēkā esošajos līgumos par</w:t>
            </w:r>
            <w:r w:rsidR="00B763CC">
              <w:rPr>
                <w:lang w:eastAsia="en-US"/>
              </w:rPr>
              <w:t xml:space="preserve"> saistīto informācijas sistēmu (</w:t>
            </w:r>
            <w:r w:rsidR="00570C45">
              <w:rPr>
                <w:lang w:eastAsia="en-US"/>
              </w:rPr>
              <w:t>NIS</w:t>
            </w:r>
            <w:r w:rsidR="00B763CC">
              <w:rPr>
                <w:lang w:eastAsia="en-US"/>
              </w:rPr>
              <w:t>, Elektroniskās deklarēšanas sistēmas, Datu noliktavas sistēmas, Akcīzes preču</w:t>
            </w:r>
            <w:r w:rsidR="00611525">
              <w:rPr>
                <w:lang w:eastAsia="en-US"/>
              </w:rPr>
              <w:t xml:space="preserve"> pārvietošanas un kontroles sistēmas, Audita atbalsta informācijas sistēmas, VID informācijas sistēmu </w:t>
            </w:r>
            <w:proofErr w:type="spellStart"/>
            <w:r w:rsidR="00611525">
              <w:rPr>
                <w:lang w:eastAsia="en-US"/>
              </w:rPr>
              <w:t>savietotāja</w:t>
            </w:r>
            <w:proofErr w:type="spellEnd"/>
            <w:r w:rsidR="00611525">
              <w:rPr>
                <w:lang w:eastAsia="en-US"/>
              </w:rPr>
              <w:t xml:space="preserve">, </w:t>
            </w:r>
            <w:proofErr w:type="spellStart"/>
            <w:r w:rsidR="00611525">
              <w:rPr>
                <w:lang w:eastAsia="en-US"/>
              </w:rPr>
              <w:t>Publiskojāmās</w:t>
            </w:r>
            <w:proofErr w:type="spellEnd"/>
            <w:r w:rsidR="00611525">
              <w:rPr>
                <w:lang w:eastAsia="en-US"/>
              </w:rPr>
              <w:t xml:space="preserve"> informācijas sistēmu datubāzes sistēma, Eiropas Savienības datu sagatavošanas sistēmas, Fizisko personu risku analīzes sistēmas, Datorizētas nodokļu maksātāju riska novērtēšanas </w:t>
            </w:r>
            <w:r w:rsidR="00EA715F">
              <w:rPr>
                <w:lang w:eastAsia="en-US"/>
              </w:rPr>
              <w:t>sistēmas) pilnveidošanu un uzturēšanu</w:t>
            </w:r>
            <w:r>
              <w:rPr>
                <w:lang w:eastAsia="en-US"/>
              </w:rPr>
              <w:t>.</w:t>
            </w:r>
            <w:r w:rsidR="00EA715F">
              <w:rPr>
                <w:lang w:eastAsia="en-US"/>
              </w:rPr>
              <w:t xml:space="preserve"> </w:t>
            </w:r>
          </w:p>
          <w:p w14:paraId="5B716619" w14:textId="00D4A7CA" w:rsidR="001E5D45" w:rsidRPr="00EA715F" w:rsidRDefault="00686AB5">
            <w:pPr>
              <w:jc w:val="both"/>
              <w:rPr>
                <w:b/>
                <w:lang w:eastAsia="en-US"/>
              </w:rPr>
            </w:pPr>
            <w:r>
              <w:rPr>
                <w:lang w:eastAsia="en-US"/>
              </w:rPr>
              <w:t xml:space="preserve">Uzturēšanas ietvaros tiks novērstas </w:t>
            </w:r>
            <w:r w:rsidR="00F01AC4">
              <w:rPr>
                <w:lang w:eastAsia="en-US"/>
              </w:rPr>
              <w:t>Maksājumu administrēšanas informācijas sistēmā, minētajās saistītajās un p</w:t>
            </w:r>
            <w:r w:rsidR="0043646D">
              <w:rPr>
                <w:lang w:eastAsia="en-US"/>
              </w:rPr>
              <w:t>ielāgotajās informācijas sistēmā</w:t>
            </w:r>
            <w:r w:rsidR="00F01AC4">
              <w:rPr>
                <w:lang w:eastAsia="en-US"/>
              </w:rPr>
              <w:t xml:space="preserve">s konstatētās </w:t>
            </w:r>
            <w:r>
              <w:rPr>
                <w:lang w:eastAsia="en-US"/>
              </w:rPr>
              <w:t>garantijai nepakļautās kļūdas,</w:t>
            </w:r>
            <w:r w:rsidR="00F01AC4">
              <w:rPr>
                <w:lang w:eastAsia="en-US"/>
              </w:rPr>
              <w:t xml:space="preserve"> kā arī apmaksātas</w:t>
            </w:r>
            <w:r>
              <w:rPr>
                <w:lang w:eastAsia="en-US"/>
              </w:rPr>
              <w:t xml:space="preserve"> </w:t>
            </w:r>
            <w:r w:rsidR="00F01AC4">
              <w:rPr>
                <w:lang w:eastAsia="en-US"/>
              </w:rPr>
              <w:t xml:space="preserve">attiecīgās informācijas sistēmas </w:t>
            </w:r>
            <w:proofErr w:type="spellStart"/>
            <w:r w:rsidR="00F01AC4">
              <w:rPr>
                <w:lang w:eastAsia="en-US"/>
              </w:rPr>
              <w:t>izstrādātaja</w:t>
            </w:r>
            <w:proofErr w:type="spellEnd"/>
            <w:r w:rsidR="00F01AC4">
              <w:rPr>
                <w:lang w:eastAsia="en-US"/>
              </w:rPr>
              <w:t xml:space="preserve"> sniegtās konsultācijas un darbināšanas atbalsts</w:t>
            </w:r>
            <w:r w:rsidR="006F5334">
              <w:rPr>
                <w:lang w:eastAsia="en-US"/>
              </w:rPr>
              <w:t>.</w:t>
            </w:r>
          </w:p>
        </w:tc>
      </w:tr>
      <w:tr w:rsidR="00B30D6D" w14:paraId="0E310FA2" w14:textId="77777777" w:rsidTr="00754542">
        <w:tc>
          <w:tcPr>
            <w:tcW w:w="1980" w:type="dxa"/>
            <w:shd w:val="clear" w:color="auto" w:fill="auto"/>
            <w:hideMark/>
          </w:tcPr>
          <w:p w14:paraId="05329C81" w14:textId="77777777" w:rsidR="003D65E5" w:rsidRPr="002D3245" w:rsidRDefault="00686AB5" w:rsidP="003D65E5">
            <w:pPr>
              <w:rPr>
                <w:lang w:eastAsia="en-US"/>
              </w:rPr>
            </w:pPr>
            <w:r w:rsidRPr="002D3245">
              <w:t>6.1. detalizēts ieņēmumu aprēķins</w:t>
            </w:r>
          </w:p>
        </w:tc>
        <w:tc>
          <w:tcPr>
            <w:tcW w:w="7513" w:type="dxa"/>
            <w:gridSpan w:val="7"/>
            <w:vMerge/>
          </w:tcPr>
          <w:p w14:paraId="01AABD69" w14:textId="1CC412D9" w:rsidR="003D65E5" w:rsidRPr="002D3245" w:rsidRDefault="003D65E5" w:rsidP="003D65E5">
            <w:pPr>
              <w:rPr>
                <w:lang w:eastAsia="en-US"/>
              </w:rPr>
            </w:pPr>
          </w:p>
        </w:tc>
      </w:tr>
      <w:tr w:rsidR="00B30D6D" w14:paraId="2F18CEAC" w14:textId="77777777" w:rsidTr="00754542">
        <w:tc>
          <w:tcPr>
            <w:tcW w:w="1980" w:type="dxa"/>
            <w:shd w:val="clear" w:color="auto" w:fill="auto"/>
            <w:hideMark/>
          </w:tcPr>
          <w:p w14:paraId="0B316CF5" w14:textId="77777777" w:rsidR="003D65E5" w:rsidRPr="002D3245" w:rsidRDefault="00686AB5" w:rsidP="003D65E5">
            <w:pPr>
              <w:rPr>
                <w:lang w:eastAsia="en-US"/>
              </w:rPr>
            </w:pPr>
            <w:r w:rsidRPr="002D3245">
              <w:t>6.2. detalizēts izdevumu aprēķins</w:t>
            </w:r>
          </w:p>
        </w:tc>
        <w:tc>
          <w:tcPr>
            <w:tcW w:w="7513" w:type="dxa"/>
            <w:gridSpan w:val="7"/>
            <w:vMerge/>
          </w:tcPr>
          <w:p w14:paraId="022DB8D7" w14:textId="766522A5" w:rsidR="003D65E5" w:rsidRPr="002D3245" w:rsidRDefault="003D65E5" w:rsidP="003D65E5">
            <w:pPr>
              <w:rPr>
                <w:lang w:eastAsia="en-US"/>
              </w:rPr>
            </w:pPr>
          </w:p>
        </w:tc>
      </w:tr>
      <w:tr w:rsidR="00B30D6D" w14:paraId="1E1147C1" w14:textId="77777777" w:rsidTr="00754542">
        <w:tc>
          <w:tcPr>
            <w:tcW w:w="1980" w:type="dxa"/>
            <w:shd w:val="clear" w:color="auto" w:fill="auto"/>
          </w:tcPr>
          <w:p w14:paraId="063A51DB" w14:textId="733A0123" w:rsidR="003D65E5" w:rsidRPr="002D3245" w:rsidRDefault="00686AB5" w:rsidP="003D65E5">
            <w:r>
              <w:t>7. Amata vietu skaita izmaiņas</w:t>
            </w:r>
          </w:p>
        </w:tc>
        <w:tc>
          <w:tcPr>
            <w:tcW w:w="7513" w:type="dxa"/>
            <w:gridSpan w:val="7"/>
          </w:tcPr>
          <w:p w14:paraId="0662F9AE" w14:textId="0B7F185A" w:rsidR="003D65E5" w:rsidRPr="002D3245" w:rsidRDefault="00686AB5" w:rsidP="003D65E5">
            <w:pPr>
              <w:rPr>
                <w:lang w:eastAsia="en-US"/>
              </w:rPr>
            </w:pPr>
            <w:r>
              <w:rPr>
                <w:lang w:eastAsia="en-US"/>
              </w:rPr>
              <w:t>Nav paredzēts samazināt amata vietas, ietaupītais darba laiks tiks novirzīts citu uzdevumu izpildei.</w:t>
            </w:r>
          </w:p>
        </w:tc>
      </w:tr>
      <w:tr w:rsidR="00B30D6D" w14:paraId="52CA6D63" w14:textId="77777777" w:rsidTr="00754542">
        <w:tc>
          <w:tcPr>
            <w:tcW w:w="1980" w:type="dxa"/>
            <w:shd w:val="clear" w:color="auto" w:fill="auto"/>
            <w:hideMark/>
          </w:tcPr>
          <w:p w14:paraId="65BD69A9" w14:textId="0D04D01E" w:rsidR="003D65E5" w:rsidRPr="002D3245" w:rsidRDefault="00686AB5" w:rsidP="003D65E5">
            <w:pPr>
              <w:rPr>
                <w:lang w:eastAsia="en-US"/>
              </w:rPr>
            </w:pPr>
            <w:r>
              <w:t>8</w:t>
            </w:r>
            <w:r w:rsidRPr="002D3245">
              <w:t>. Cita informācija</w:t>
            </w:r>
          </w:p>
        </w:tc>
        <w:tc>
          <w:tcPr>
            <w:tcW w:w="7513" w:type="dxa"/>
            <w:gridSpan w:val="7"/>
          </w:tcPr>
          <w:p w14:paraId="2E8B6CAF" w14:textId="18D161D3" w:rsidR="003D65E5" w:rsidRDefault="00686AB5" w:rsidP="003D65E5">
            <w:pPr>
              <w:jc w:val="both"/>
              <w:rPr>
                <w:lang w:eastAsia="en-US"/>
              </w:rPr>
            </w:pPr>
            <w:r w:rsidRPr="006879D8">
              <w:t>Projekta īstenošanai nepieciešamos valsts budžeta līdzekļus pēc projekta apstiprināšanas</w:t>
            </w:r>
            <w:r>
              <w:t xml:space="preserve"> sedz</w:t>
            </w:r>
            <w:r>
              <w:rPr>
                <w:lang w:eastAsia="en-US"/>
              </w:rPr>
              <w:t xml:space="preserve"> </w:t>
            </w:r>
            <w:r w:rsidRPr="00B2077A">
              <w:rPr>
                <w:lang w:eastAsia="en-US"/>
              </w:rPr>
              <w:t>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5D54BD1" w14:textId="3588CE6E" w:rsidR="003D65E5" w:rsidRPr="002D3245" w:rsidRDefault="00686AB5" w:rsidP="00570C45">
            <w:pPr>
              <w:jc w:val="both"/>
              <w:rPr>
                <w:lang w:eastAsia="en-US"/>
              </w:rPr>
            </w:pPr>
            <w:r>
              <w:rPr>
                <w:lang w:eastAsia="en-US"/>
              </w:rPr>
              <w:t xml:space="preserve">Sākot ar </w:t>
            </w:r>
            <w:r w:rsidRPr="00EA09FA">
              <w:rPr>
                <w:lang w:eastAsia="en-US"/>
              </w:rPr>
              <w:t>2022.gadu</w:t>
            </w:r>
            <w:r>
              <w:rPr>
                <w:lang w:eastAsia="en-US"/>
              </w:rPr>
              <w:t xml:space="preserve"> daļa no kopējām IKT risinājumu uzturēšanas izmaksām </w:t>
            </w:r>
            <w:r w:rsidRPr="00B2077A">
              <w:rPr>
                <w:lang w:eastAsia="en-US"/>
              </w:rPr>
              <w:t>271</w:t>
            </w:r>
            <w:r>
              <w:rPr>
                <w:lang w:eastAsia="en-US"/>
              </w:rPr>
              <w:t> </w:t>
            </w:r>
            <w:r w:rsidRPr="00B2077A">
              <w:rPr>
                <w:lang w:eastAsia="en-US"/>
              </w:rPr>
              <w:t>800</w:t>
            </w:r>
            <w:r>
              <w:rPr>
                <w:lang w:eastAsia="en-US"/>
              </w:rPr>
              <w:t> </w:t>
            </w:r>
            <w:r w:rsidRPr="00754542">
              <w:rPr>
                <w:i/>
                <w:lang w:eastAsia="en-US"/>
              </w:rPr>
              <w:t>euro</w:t>
            </w:r>
            <w:r w:rsidRPr="00B2077A">
              <w:rPr>
                <w:lang w:eastAsia="en-US"/>
              </w:rPr>
              <w:t xml:space="preserve"> </w:t>
            </w:r>
            <w:r>
              <w:rPr>
                <w:lang w:eastAsia="en-US"/>
              </w:rPr>
              <w:t xml:space="preserve">apmērā </w:t>
            </w:r>
            <w:r w:rsidRPr="00B2077A">
              <w:rPr>
                <w:lang w:eastAsia="en-US"/>
              </w:rPr>
              <w:t xml:space="preserve">tiks segtas no </w:t>
            </w:r>
            <w:r w:rsidR="00570C45">
              <w:rPr>
                <w:lang w:eastAsia="en-US"/>
              </w:rPr>
              <w:t>VID</w:t>
            </w:r>
            <w:r w:rsidRPr="00B2077A">
              <w:rPr>
                <w:lang w:eastAsia="en-US"/>
              </w:rPr>
              <w:t xml:space="preserve"> budžeta programmas 33.00.00 “Valsts ieņēmumu un muitas politikas nodrošināšana” budžeta līdzekļiem (veicot iekšēju līdzekļu pārdali), </w:t>
            </w:r>
            <w:r>
              <w:rPr>
                <w:lang w:eastAsia="en-US"/>
              </w:rPr>
              <w:t>savukārt</w:t>
            </w:r>
            <w:r w:rsidRPr="00B2077A">
              <w:rPr>
                <w:lang w:eastAsia="en-US"/>
              </w:rPr>
              <w:t xml:space="preserve"> </w:t>
            </w:r>
            <w:r w:rsidRPr="00DC1FFC">
              <w:t xml:space="preserve">jautājums par papildu valsts budžeta līdzekļu </w:t>
            </w:r>
            <w:r>
              <w:t>pieprasīšanu</w:t>
            </w:r>
            <w:r w:rsidRPr="00DC1FFC">
              <w:t xml:space="preserve"> </w:t>
            </w:r>
            <w:r>
              <w:t xml:space="preserve">atlikušajai </w:t>
            </w:r>
            <w:r>
              <w:rPr>
                <w:lang w:eastAsia="en-US"/>
              </w:rPr>
              <w:t xml:space="preserve">IKT risinājumu uzturēšanas izmaksu daļai </w:t>
            </w:r>
            <w:r w:rsidRPr="00657449">
              <w:rPr>
                <w:lang w:eastAsia="en-US"/>
              </w:rPr>
              <w:t>181 200 </w:t>
            </w:r>
            <w:r w:rsidRPr="00EB0FBE">
              <w:rPr>
                <w:i/>
                <w:lang w:eastAsia="en-US"/>
              </w:rPr>
              <w:t>euro</w:t>
            </w:r>
            <w:r w:rsidRPr="00657449">
              <w:rPr>
                <w:lang w:eastAsia="en-US"/>
              </w:rPr>
              <w:t xml:space="preserve"> </w:t>
            </w:r>
            <w:r>
              <w:rPr>
                <w:lang w:eastAsia="en-US"/>
              </w:rPr>
              <w:t xml:space="preserve">apmērā </w:t>
            </w:r>
            <w:r w:rsidRPr="00DC1FFC">
              <w:t>tiks virzīts normatīvajos aktos noteiktajā kārtībā.</w:t>
            </w:r>
          </w:p>
        </w:tc>
      </w:tr>
    </w:tbl>
    <w:p w14:paraId="3AD34E59" w14:textId="77777777" w:rsidR="00C047B3" w:rsidRDefault="00C047B3" w:rsidP="00B22BC5">
      <w:pPr>
        <w:rPr>
          <w:iCs/>
          <w:lang w:eastAsia="en-US"/>
        </w:rPr>
      </w:pPr>
    </w:p>
    <w:tbl>
      <w:tblPr>
        <w:tblW w:w="532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4"/>
      </w:tblGrid>
      <w:tr w:rsidR="00B30D6D" w14:paraId="3A856887" w14:textId="77777777" w:rsidTr="00AB2B61">
        <w:trPr>
          <w:trHeight w:val="404"/>
        </w:trPr>
        <w:tc>
          <w:tcPr>
            <w:tcW w:w="9493" w:type="dxa"/>
            <w:shd w:val="clear" w:color="auto" w:fill="auto"/>
            <w:hideMark/>
          </w:tcPr>
          <w:p w14:paraId="57718EF0" w14:textId="77777777" w:rsidR="002C623E" w:rsidRPr="00EB0FBE" w:rsidRDefault="00686AB5" w:rsidP="00EB0FBE">
            <w:pPr>
              <w:jc w:val="center"/>
              <w:rPr>
                <w:b/>
                <w:bCs/>
              </w:rPr>
            </w:pPr>
            <w:r w:rsidRPr="00EB0FBE">
              <w:rPr>
                <w:b/>
                <w:bCs/>
              </w:rPr>
              <w:t>IV. Tiesību akta projekta ietekme uz spēkā esošo tiesību normu sistēmu</w:t>
            </w:r>
          </w:p>
        </w:tc>
      </w:tr>
      <w:tr w:rsidR="00B30D6D" w14:paraId="645BE22E" w14:textId="77777777" w:rsidTr="00AB2B61">
        <w:trPr>
          <w:trHeight w:val="404"/>
        </w:trPr>
        <w:tc>
          <w:tcPr>
            <w:tcW w:w="9493" w:type="dxa"/>
            <w:shd w:val="clear" w:color="auto" w:fill="auto"/>
          </w:tcPr>
          <w:p w14:paraId="7548F388" w14:textId="77777777" w:rsidR="002C623E" w:rsidRDefault="00686AB5" w:rsidP="00EB0FBE">
            <w:pPr>
              <w:jc w:val="center"/>
              <w:rPr>
                <w:bCs/>
              </w:rPr>
            </w:pPr>
            <w:r w:rsidRPr="00EB0FBE">
              <w:rPr>
                <w:bCs/>
              </w:rPr>
              <w:t>Projekts šo jomu neskar.</w:t>
            </w:r>
          </w:p>
          <w:p w14:paraId="2B07C6A1" w14:textId="15B5AA0A" w:rsidR="00A02F54" w:rsidRPr="00EB0FBE" w:rsidRDefault="00A02F54" w:rsidP="00EB0FBE">
            <w:pPr>
              <w:jc w:val="center"/>
              <w:rPr>
                <w:bCs/>
              </w:rPr>
            </w:pPr>
          </w:p>
        </w:tc>
      </w:tr>
    </w:tbl>
    <w:p w14:paraId="3400FACB" w14:textId="77777777" w:rsidR="003A3352" w:rsidRDefault="003A3352" w:rsidP="00B22BC5">
      <w:pPr>
        <w:rPr>
          <w:iCs/>
          <w:lang w:eastAsia="en-US"/>
        </w:rPr>
      </w:pPr>
    </w:p>
    <w:tbl>
      <w:tblPr>
        <w:tblW w:w="532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4"/>
      </w:tblGrid>
      <w:tr w:rsidR="00B30D6D" w14:paraId="7844B49C" w14:textId="77777777" w:rsidTr="00AB2B61">
        <w:trPr>
          <w:trHeight w:val="404"/>
        </w:trPr>
        <w:tc>
          <w:tcPr>
            <w:tcW w:w="9493" w:type="dxa"/>
            <w:shd w:val="clear" w:color="auto" w:fill="auto"/>
            <w:hideMark/>
          </w:tcPr>
          <w:p w14:paraId="24A20FCB" w14:textId="77777777" w:rsidR="00D8065F" w:rsidRPr="00EB0FBE" w:rsidRDefault="00686AB5" w:rsidP="0025673F">
            <w:pPr>
              <w:jc w:val="center"/>
              <w:rPr>
                <w:b/>
                <w:bCs/>
              </w:rPr>
            </w:pPr>
            <w:r w:rsidRPr="00EB0FBE">
              <w:rPr>
                <w:b/>
                <w:bCs/>
              </w:rPr>
              <w:t>V. Tiesību akta projekta atbilstība Latvijas Republikas starptautiskajām saistībām</w:t>
            </w:r>
          </w:p>
        </w:tc>
      </w:tr>
      <w:tr w:rsidR="00B30D6D" w14:paraId="51664C84" w14:textId="77777777" w:rsidTr="00AB2B61">
        <w:trPr>
          <w:trHeight w:val="404"/>
        </w:trPr>
        <w:tc>
          <w:tcPr>
            <w:tcW w:w="9493" w:type="dxa"/>
            <w:shd w:val="clear" w:color="auto" w:fill="auto"/>
          </w:tcPr>
          <w:p w14:paraId="587ECCAA" w14:textId="77777777" w:rsidR="00D8065F" w:rsidRDefault="00686AB5" w:rsidP="0025673F">
            <w:pPr>
              <w:jc w:val="center"/>
              <w:rPr>
                <w:bCs/>
              </w:rPr>
            </w:pPr>
            <w:r w:rsidRPr="00EB0FBE">
              <w:rPr>
                <w:bCs/>
              </w:rPr>
              <w:t>Projekts šo jomu neskar.</w:t>
            </w:r>
          </w:p>
          <w:p w14:paraId="7ED1CB04" w14:textId="3A6F3CDD" w:rsidR="00A02F54" w:rsidRPr="00EB0FBE" w:rsidRDefault="00A02F54" w:rsidP="0025673F">
            <w:pPr>
              <w:jc w:val="center"/>
              <w:rPr>
                <w:bCs/>
              </w:rPr>
            </w:pPr>
          </w:p>
        </w:tc>
      </w:tr>
    </w:tbl>
    <w:p w14:paraId="5C924BBA" w14:textId="77777777" w:rsidR="00D8065F" w:rsidRDefault="00D8065F" w:rsidP="00B22BC5">
      <w:pPr>
        <w:rPr>
          <w:iCs/>
          <w:lang w:eastAsia="en-US"/>
        </w:rPr>
      </w:pPr>
    </w:p>
    <w:tbl>
      <w:tblPr>
        <w:tblW w:w="532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4"/>
      </w:tblGrid>
      <w:tr w:rsidR="00B30D6D" w14:paraId="2CE3DFED" w14:textId="77777777" w:rsidTr="00AB2B61">
        <w:trPr>
          <w:trHeight w:val="404"/>
        </w:trPr>
        <w:tc>
          <w:tcPr>
            <w:tcW w:w="9493" w:type="dxa"/>
            <w:shd w:val="clear" w:color="auto" w:fill="auto"/>
            <w:hideMark/>
          </w:tcPr>
          <w:p w14:paraId="73700E5C" w14:textId="77777777" w:rsidR="00D96C3C" w:rsidRPr="00EB0FBE" w:rsidRDefault="00686AB5" w:rsidP="00EB0FBE">
            <w:pPr>
              <w:jc w:val="center"/>
              <w:rPr>
                <w:b/>
                <w:bCs/>
              </w:rPr>
            </w:pPr>
            <w:r w:rsidRPr="00EB0FBE">
              <w:rPr>
                <w:b/>
                <w:bCs/>
              </w:rPr>
              <w:t>VI. Sabiedrības līdzdalība un komunikācijas aktivitātes</w:t>
            </w:r>
          </w:p>
        </w:tc>
      </w:tr>
      <w:tr w:rsidR="00B30D6D" w14:paraId="0254C8F0" w14:textId="77777777" w:rsidTr="00AB2B61">
        <w:trPr>
          <w:trHeight w:val="404"/>
        </w:trPr>
        <w:tc>
          <w:tcPr>
            <w:tcW w:w="9493" w:type="dxa"/>
            <w:shd w:val="clear" w:color="auto" w:fill="auto"/>
          </w:tcPr>
          <w:p w14:paraId="78C825A8" w14:textId="77777777" w:rsidR="00D96C3C" w:rsidRDefault="00686AB5" w:rsidP="00EB0FBE">
            <w:pPr>
              <w:jc w:val="center"/>
              <w:rPr>
                <w:bCs/>
              </w:rPr>
            </w:pPr>
            <w:r w:rsidRPr="00EB0FBE">
              <w:rPr>
                <w:bCs/>
              </w:rPr>
              <w:t>Projekts šo jomu neskar.</w:t>
            </w:r>
          </w:p>
          <w:p w14:paraId="3D124E5B" w14:textId="76C4D910" w:rsidR="00A02F54" w:rsidRPr="00EB0FBE" w:rsidRDefault="00A02F54" w:rsidP="00EB0FBE">
            <w:pPr>
              <w:jc w:val="center"/>
              <w:rPr>
                <w:bCs/>
              </w:rPr>
            </w:pPr>
          </w:p>
        </w:tc>
      </w:tr>
    </w:tbl>
    <w:p w14:paraId="09AD446E" w14:textId="77777777" w:rsidR="00D96C3C" w:rsidRDefault="00D96C3C" w:rsidP="00B22BC5">
      <w:pPr>
        <w:rPr>
          <w:iCs/>
          <w:lang w:eastAsia="en-US"/>
        </w:rPr>
      </w:pPr>
    </w:p>
    <w:tbl>
      <w:tblPr>
        <w:tblW w:w="5340" w:type="pct"/>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4"/>
        <w:gridCol w:w="4469"/>
        <w:gridCol w:w="4325"/>
      </w:tblGrid>
      <w:tr w:rsidR="00B30D6D" w14:paraId="0B85761F" w14:textId="77777777" w:rsidTr="00AB2B61">
        <w:trPr>
          <w:trHeight w:val="355"/>
        </w:trPr>
        <w:tc>
          <w:tcPr>
            <w:tcW w:w="9527" w:type="dxa"/>
            <w:gridSpan w:val="3"/>
            <w:shd w:val="clear" w:color="auto" w:fill="auto"/>
          </w:tcPr>
          <w:p w14:paraId="5726EE01" w14:textId="77777777" w:rsidR="007018E8" w:rsidRPr="005E0196" w:rsidRDefault="00686AB5" w:rsidP="00EB0FBE">
            <w:pPr>
              <w:pStyle w:val="naisnod"/>
              <w:spacing w:before="0" w:after="0"/>
              <w:ind w:left="57" w:right="57"/>
            </w:pPr>
            <w:r w:rsidRPr="005E0196">
              <w:t>VII. Tiesību akta projekta izpildes nodrošināšana un tās ietekme uz institūcijām</w:t>
            </w:r>
          </w:p>
        </w:tc>
      </w:tr>
      <w:tr w:rsidR="00B30D6D" w14:paraId="22A72AC9" w14:textId="77777777" w:rsidTr="00AB2B61">
        <w:trPr>
          <w:trHeight w:val="225"/>
        </w:trPr>
        <w:tc>
          <w:tcPr>
            <w:tcW w:w="733" w:type="dxa"/>
            <w:shd w:val="clear" w:color="auto" w:fill="auto"/>
          </w:tcPr>
          <w:p w14:paraId="1A113EAF" w14:textId="77777777" w:rsidR="007018E8" w:rsidRPr="00EB0FBE" w:rsidRDefault="00686AB5" w:rsidP="00EB0FBE">
            <w:pPr>
              <w:pStyle w:val="naisnod"/>
              <w:spacing w:before="0" w:after="0"/>
              <w:ind w:left="57" w:right="57"/>
              <w:jc w:val="left"/>
              <w:rPr>
                <w:b w:val="0"/>
              </w:rPr>
            </w:pPr>
            <w:r w:rsidRPr="00EB0FBE">
              <w:rPr>
                <w:b w:val="0"/>
              </w:rPr>
              <w:t>1.</w:t>
            </w:r>
          </w:p>
        </w:tc>
        <w:tc>
          <w:tcPr>
            <w:tcW w:w="4469" w:type="dxa"/>
            <w:shd w:val="clear" w:color="auto" w:fill="auto"/>
          </w:tcPr>
          <w:p w14:paraId="229E74A0" w14:textId="77777777" w:rsidR="007018E8" w:rsidRPr="005E0196" w:rsidRDefault="00686AB5" w:rsidP="00EB0FBE">
            <w:pPr>
              <w:pStyle w:val="naisf"/>
              <w:spacing w:before="0" w:after="0"/>
              <w:ind w:left="57" w:right="57" w:firstLine="0"/>
              <w:jc w:val="left"/>
            </w:pPr>
            <w:r w:rsidRPr="005E0196">
              <w:t xml:space="preserve">Projekta izpildē iesaistītās institūcijas </w:t>
            </w:r>
          </w:p>
        </w:tc>
        <w:tc>
          <w:tcPr>
            <w:tcW w:w="4325" w:type="dxa"/>
            <w:shd w:val="clear" w:color="auto" w:fill="auto"/>
          </w:tcPr>
          <w:p w14:paraId="3F87493F" w14:textId="77777777" w:rsidR="007018E8" w:rsidRDefault="00686AB5" w:rsidP="00EB0FBE">
            <w:pPr>
              <w:pStyle w:val="naiskr"/>
              <w:spacing w:before="0" w:after="0"/>
              <w:jc w:val="both"/>
            </w:pPr>
            <w:r>
              <w:t>VID</w:t>
            </w:r>
            <w:r w:rsidR="00C1718C">
              <w:t>, F</w:t>
            </w:r>
            <w:r w:rsidR="005D6468">
              <w:t>inanšu ministrija</w:t>
            </w:r>
          </w:p>
          <w:p w14:paraId="33ECE8AE" w14:textId="478474F2" w:rsidR="00907408" w:rsidRPr="005E0196" w:rsidRDefault="00907408" w:rsidP="00EB0FBE">
            <w:pPr>
              <w:pStyle w:val="naiskr"/>
              <w:spacing w:before="0" w:after="0"/>
              <w:jc w:val="both"/>
            </w:pPr>
          </w:p>
        </w:tc>
      </w:tr>
      <w:tr w:rsidR="00B30D6D" w14:paraId="053BAEC4" w14:textId="77777777" w:rsidTr="00AB2B61">
        <w:trPr>
          <w:trHeight w:val="609"/>
        </w:trPr>
        <w:tc>
          <w:tcPr>
            <w:tcW w:w="733" w:type="dxa"/>
            <w:shd w:val="clear" w:color="auto" w:fill="auto"/>
          </w:tcPr>
          <w:p w14:paraId="0221371E" w14:textId="77777777" w:rsidR="007018E8" w:rsidRPr="00EB0FBE" w:rsidRDefault="00686AB5" w:rsidP="00EB0FBE">
            <w:pPr>
              <w:pStyle w:val="naisnod"/>
              <w:spacing w:before="0" w:after="0"/>
              <w:ind w:left="57" w:right="57"/>
              <w:jc w:val="left"/>
              <w:rPr>
                <w:b w:val="0"/>
              </w:rPr>
            </w:pPr>
            <w:r w:rsidRPr="00EB0FBE">
              <w:rPr>
                <w:b w:val="0"/>
              </w:rPr>
              <w:t>2.</w:t>
            </w:r>
          </w:p>
        </w:tc>
        <w:tc>
          <w:tcPr>
            <w:tcW w:w="4469" w:type="dxa"/>
            <w:shd w:val="clear" w:color="auto" w:fill="auto"/>
          </w:tcPr>
          <w:p w14:paraId="4F4C220F" w14:textId="77777777" w:rsidR="007018E8" w:rsidRPr="005E0196" w:rsidRDefault="00686AB5" w:rsidP="00EB0FBE">
            <w:pPr>
              <w:pStyle w:val="naisf"/>
              <w:spacing w:before="0" w:after="0"/>
              <w:ind w:left="57" w:right="57" w:firstLine="0"/>
              <w:jc w:val="left"/>
            </w:pPr>
            <w:r w:rsidRPr="005E0196">
              <w:t>Projekta izpildes ietekme uz pārvaldes funkcijām un institucionālo struktūru</w:t>
            </w:r>
          </w:p>
        </w:tc>
        <w:tc>
          <w:tcPr>
            <w:tcW w:w="4325" w:type="dxa"/>
            <w:shd w:val="clear" w:color="auto" w:fill="auto"/>
          </w:tcPr>
          <w:p w14:paraId="36C38114" w14:textId="77777777" w:rsidR="007018E8" w:rsidRPr="00DD51F9" w:rsidRDefault="00686AB5" w:rsidP="00EB0FBE">
            <w:pPr>
              <w:pStyle w:val="naisnod"/>
              <w:spacing w:before="0" w:after="0"/>
              <w:ind w:right="57"/>
              <w:jc w:val="both"/>
              <w:rPr>
                <w:b w:val="0"/>
              </w:rPr>
            </w:pPr>
            <w:r w:rsidRPr="00EB0FBE">
              <w:rPr>
                <w:b w:val="0"/>
              </w:rPr>
              <w:t xml:space="preserve"> </w:t>
            </w:r>
            <w:r w:rsidR="00DD51F9" w:rsidRPr="006C20A6">
              <w:rPr>
                <w:b w:val="0"/>
              </w:rPr>
              <w:t>Projekts šo jomu neskar.</w:t>
            </w:r>
          </w:p>
        </w:tc>
      </w:tr>
      <w:tr w:rsidR="00B30D6D" w14:paraId="3BA66594" w14:textId="77777777" w:rsidTr="00AB2B61">
        <w:trPr>
          <w:trHeight w:val="298"/>
        </w:trPr>
        <w:tc>
          <w:tcPr>
            <w:tcW w:w="733" w:type="dxa"/>
            <w:shd w:val="clear" w:color="auto" w:fill="auto"/>
          </w:tcPr>
          <w:p w14:paraId="5DAC4827" w14:textId="77777777" w:rsidR="007018E8" w:rsidRPr="005E0196" w:rsidRDefault="00686AB5" w:rsidP="00EB0FBE">
            <w:pPr>
              <w:pStyle w:val="naiskr"/>
              <w:spacing w:before="0" w:after="0"/>
              <w:ind w:left="57" w:right="57"/>
            </w:pPr>
            <w:r w:rsidRPr="005E0196">
              <w:lastRenderedPageBreak/>
              <w:t>3.</w:t>
            </w:r>
          </w:p>
        </w:tc>
        <w:tc>
          <w:tcPr>
            <w:tcW w:w="4469" w:type="dxa"/>
            <w:shd w:val="clear" w:color="auto" w:fill="auto"/>
          </w:tcPr>
          <w:p w14:paraId="3558EDCA" w14:textId="77777777" w:rsidR="007018E8" w:rsidRPr="005E0196" w:rsidRDefault="00686AB5" w:rsidP="00EB0FBE">
            <w:pPr>
              <w:pStyle w:val="naiskr"/>
              <w:spacing w:before="0" w:after="0"/>
              <w:ind w:left="57" w:right="57"/>
            </w:pPr>
            <w:r w:rsidRPr="005E0196">
              <w:t>Cita informācija</w:t>
            </w:r>
          </w:p>
        </w:tc>
        <w:tc>
          <w:tcPr>
            <w:tcW w:w="4325" w:type="dxa"/>
            <w:shd w:val="clear" w:color="auto" w:fill="auto"/>
          </w:tcPr>
          <w:p w14:paraId="2739474B" w14:textId="77777777" w:rsidR="007018E8" w:rsidRDefault="00686AB5" w:rsidP="00EB0FBE">
            <w:pPr>
              <w:pStyle w:val="naiskr"/>
              <w:spacing w:before="0" w:after="0"/>
              <w:ind w:left="57" w:right="57"/>
            </w:pPr>
            <w:r>
              <w:t>Nav</w:t>
            </w:r>
          </w:p>
          <w:p w14:paraId="2FA72E42" w14:textId="151D7C61" w:rsidR="00A02F54" w:rsidRPr="005E0196" w:rsidRDefault="00A02F54" w:rsidP="00EB0FBE">
            <w:pPr>
              <w:pStyle w:val="naiskr"/>
              <w:spacing w:before="0" w:after="0"/>
              <w:ind w:left="57" w:right="57"/>
            </w:pPr>
          </w:p>
        </w:tc>
      </w:tr>
    </w:tbl>
    <w:p w14:paraId="493E9D7E" w14:textId="77777777" w:rsidR="00A02F54" w:rsidRDefault="00A02F54" w:rsidP="00AB2B61">
      <w:pPr>
        <w:rPr>
          <w:sz w:val="28"/>
          <w:szCs w:val="28"/>
        </w:rPr>
      </w:pPr>
    </w:p>
    <w:p w14:paraId="1BE5237B" w14:textId="77777777" w:rsidR="00A02F54" w:rsidRDefault="00A02F54" w:rsidP="00AB2B61">
      <w:pPr>
        <w:rPr>
          <w:sz w:val="28"/>
          <w:szCs w:val="28"/>
        </w:rPr>
      </w:pPr>
    </w:p>
    <w:p w14:paraId="5988403B" w14:textId="747A88F5" w:rsidR="00C66C11" w:rsidRDefault="00686AB5" w:rsidP="00AB2B61">
      <w:pPr>
        <w:rPr>
          <w:sz w:val="28"/>
          <w:szCs w:val="28"/>
        </w:rPr>
      </w:pPr>
      <w:r>
        <w:rPr>
          <w:sz w:val="28"/>
          <w:szCs w:val="28"/>
        </w:rPr>
        <w:t>Finanšu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14C93">
        <w:rPr>
          <w:sz w:val="28"/>
          <w:szCs w:val="28"/>
        </w:rPr>
        <w:t>Dana Reizniece-Ozola</w:t>
      </w:r>
    </w:p>
    <w:p w14:paraId="5B14FB16" w14:textId="77777777" w:rsidR="00114C93" w:rsidRDefault="00114C93" w:rsidP="00B51894">
      <w:pPr>
        <w:ind w:left="-426"/>
        <w:rPr>
          <w:sz w:val="28"/>
          <w:szCs w:val="28"/>
        </w:rPr>
      </w:pPr>
    </w:p>
    <w:p w14:paraId="4EF16B29" w14:textId="77777777" w:rsidR="00C12791" w:rsidRDefault="00C12791" w:rsidP="00B51894">
      <w:pPr>
        <w:ind w:left="-426"/>
        <w:rPr>
          <w:sz w:val="28"/>
          <w:szCs w:val="28"/>
        </w:rPr>
      </w:pPr>
    </w:p>
    <w:p w14:paraId="1EA8DA84" w14:textId="77777777" w:rsidR="00114C93" w:rsidRPr="00114C93" w:rsidRDefault="00686AB5" w:rsidP="00AB2B61">
      <w:pPr>
        <w:rPr>
          <w:sz w:val="28"/>
          <w:szCs w:val="28"/>
        </w:rPr>
      </w:pPr>
      <w:r w:rsidRPr="00114C93">
        <w:rPr>
          <w:sz w:val="28"/>
          <w:szCs w:val="28"/>
        </w:rPr>
        <w:t xml:space="preserve">Vīza: valsts sekretārs </w:t>
      </w:r>
      <w:r w:rsidRPr="00114C93">
        <w:rPr>
          <w:sz w:val="28"/>
          <w:szCs w:val="28"/>
        </w:rPr>
        <w:tab/>
      </w:r>
      <w:r w:rsidRPr="00114C93">
        <w:rPr>
          <w:sz w:val="28"/>
          <w:szCs w:val="28"/>
        </w:rPr>
        <w:tab/>
      </w:r>
      <w:r w:rsidRPr="00114C93">
        <w:rPr>
          <w:sz w:val="28"/>
          <w:szCs w:val="28"/>
        </w:rPr>
        <w:tab/>
      </w:r>
      <w:r w:rsidRPr="00114C93">
        <w:rPr>
          <w:sz w:val="28"/>
          <w:szCs w:val="28"/>
        </w:rPr>
        <w:tab/>
      </w:r>
      <w:r w:rsidRPr="00114C93">
        <w:rPr>
          <w:sz w:val="28"/>
          <w:szCs w:val="28"/>
        </w:rPr>
        <w:tab/>
      </w:r>
      <w:r w:rsidR="00262282">
        <w:rPr>
          <w:sz w:val="28"/>
          <w:szCs w:val="28"/>
        </w:rPr>
        <w:t xml:space="preserve">          </w:t>
      </w:r>
      <w:r w:rsidRPr="00114C93">
        <w:rPr>
          <w:sz w:val="28"/>
          <w:szCs w:val="28"/>
        </w:rPr>
        <w:t xml:space="preserve">Baiba </w:t>
      </w:r>
      <w:proofErr w:type="spellStart"/>
      <w:r w:rsidRPr="00114C93">
        <w:rPr>
          <w:sz w:val="28"/>
          <w:szCs w:val="28"/>
        </w:rPr>
        <w:t>Bāne</w:t>
      </w:r>
      <w:proofErr w:type="spellEnd"/>
    </w:p>
    <w:p w14:paraId="4ED3AC87" w14:textId="4A405B84" w:rsidR="00114C93" w:rsidRDefault="00114C93" w:rsidP="00B51894">
      <w:pPr>
        <w:ind w:left="-426"/>
        <w:rPr>
          <w:sz w:val="28"/>
          <w:szCs w:val="28"/>
        </w:rPr>
      </w:pPr>
    </w:p>
    <w:p w14:paraId="2203BA4F" w14:textId="12EF03CC" w:rsidR="00A02F54" w:rsidRDefault="00A02F54" w:rsidP="00B51894">
      <w:pPr>
        <w:ind w:left="-426"/>
        <w:rPr>
          <w:sz w:val="28"/>
          <w:szCs w:val="28"/>
        </w:rPr>
      </w:pPr>
    </w:p>
    <w:p w14:paraId="767164E6" w14:textId="11915DED" w:rsidR="00A02F54" w:rsidRDefault="00A02F54" w:rsidP="00B51894">
      <w:pPr>
        <w:ind w:left="-426"/>
        <w:rPr>
          <w:sz w:val="28"/>
          <w:szCs w:val="28"/>
        </w:rPr>
      </w:pPr>
    </w:p>
    <w:p w14:paraId="10CD0645" w14:textId="77777777" w:rsidR="00A02F54" w:rsidRPr="00114C93" w:rsidRDefault="00A02F54" w:rsidP="00B51894">
      <w:pPr>
        <w:ind w:left="-426"/>
        <w:rPr>
          <w:sz w:val="28"/>
          <w:szCs w:val="28"/>
        </w:rPr>
      </w:pPr>
    </w:p>
    <w:p w14:paraId="31E3CC51" w14:textId="77777777" w:rsidR="001711C6" w:rsidRPr="00C047B3" w:rsidRDefault="00686AB5" w:rsidP="006C20A6">
      <w:pPr>
        <w:ind w:left="-426"/>
        <w:rPr>
          <w:sz w:val="16"/>
          <w:szCs w:val="16"/>
        </w:rPr>
      </w:pPr>
      <w:r>
        <w:tab/>
      </w:r>
      <w:r>
        <w:tab/>
      </w:r>
      <w:r>
        <w:tab/>
      </w:r>
      <w:r w:rsidR="00B51894">
        <w:tab/>
      </w:r>
      <w:r w:rsidR="00B51894">
        <w:tab/>
      </w:r>
      <w:r>
        <w:tab/>
      </w:r>
      <w:r w:rsidR="008D6DBC">
        <w:tab/>
      </w:r>
      <w:r w:rsidR="004B26AB">
        <w:tab/>
      </w:r>
    </w:p>
    <w:p w14:paraId="0B220F14" w14:textId="77777777" w:rsidR="001711C6" w:rsidRPr="001F487F" w:rsidRDefault="00686AB5" w:rsidP="001711C6">
      <w:pPr>
        <w:overflowPunct w:val="0"/>
        <w:autoSpaceDE w:val="0"/>
        <w:autoSpaceDN w:val="0"/>
        <w:adjustRightInd w:val="0"/>
        <w:jc w:val="both"/>
        <w:textAlignment w:val="baseline"/>
        <w:rPr>
          <w:sz w:val="20"/>
          <w:szCs w:val="20"/>
        </w:rPr>
      </w:pPr>
      <w:r w:rsidRPr="001F487F">
        <w:rPr>
          <w:sz w:val="20"/>
          <w:szCs w:val="20"/>
        </w:rPr>
        <w:t>Bormane 67122069,</w:t>
      </w:r>
    </w:p>
    <w:p w14:paraId="34A928F7" w14:textId="77777777" w:rsidR="001711C6" w:rsidRPr="00C17FEB" w:rsidRDefault="00564573" w:rsidP="001711C6">
      <w:pPr>
        <w:overflowPunct w:val="0"/>
        <w:autoSpaceDE w:val="0"/>
        <w:autoSpaceDN w:val="0"/>
        <w:adjustRightInd w:val="0"/>
        <w:jc w:val="both"/>
        <w:textAlignment w:val="baseline"/>
        <w:rPr>
          <w:color w:val="000000"/>
          <w:sz w:val="20"/>
          <w:szCs w:val="20"/>
        </w:rPr>
      </w:pPr>
      <w:hyperlink r:id="rId8" w:history="1">
        <w:r w:rsidR="00686AB5" w:rsidRPr="00C17FEB">
          <w:rPr>
            <w:color w:val="000000"/>
            <w:sz w:val="20"/>
            <w:szCs w:val="20"/>
          </w:rPr>
          <w:t>iveta.bormane@vid.gov.lv</w:t>
        </w:r>
      </w:hyperlink>
    </w:p>
    <w:p w14:paraId="58955622" w14:textId="77777777" w:rsidR="00274C16" w:rsidRDefault="00274C16" w:rsidP="0026395B">
      <w:pPr>
        <w:jc w:val="both"/>
        <w:rPr>
          <w:sz w:val="16"/>
          <w:szCs w:val="16"/>
        </w:rPr>
      </w:pPr>
    </w:p>
    <w:p w14:paraId="74163E59" w14:textId="77777777" w:rsidR="009750D1" w:rsidRPr="00C047B3" w:rsidRDefault="009750D1" w:rsidP="0026395B">
      <w:pPr>
        <w:jc w:val="both"/>
        <w:rPr>
          <w:sz w:val="16"/>
          <w:szCs w:val="16"/>
        </w:rPr>
      </w:pPr>
    </w:p>
    <w:p w14:paraId="1462E108" w14:textId="77777777" w:rsidR="009750D1" w:rsidRPr="009750D1" w:rsidRDefault="00686AB5" w:rsidP="009750D1">
      <w:pPr>
        <w:overflowPunct w:val="0"/>
        <w:autoSpaceDE w:val="0"/>
        <w:autoSpaceDN w:val="0"/>
        <w:adjustRightInd w:val="0"/>
        <w:jc w:val="both"/>
        <w:textAlignment w:val="baseline"/>
        <w:rPr>
          <w:color w:val="000000"/>
          <w:sz w:val="20"/>
          <w:szCs w:val="20"/>
        </w:rPr>
      </w:pPr>
      <w:r w:rsidRPr="009750D1">
        <w:rPr>
          <w:color w:val="000000"/>
          <w:sz w:val="20"/>
          <w:szCs w:val="20"/>
        </w:rPr>
        <w:t>Siliņa 67121847</w:t>
      </w:r>
    </w:p>
    <w:p w14:paraId="305FBDC2" w14:textId="6D63D158" w:rsidR="0004545A" w:rsidRPr="00C17FEB" w:rsidRDefault="0067476B" w:rsidP="006C20A6">
      <w:pPr>
        <w:overflowPunct w:val="0"/>
        <w:autoSpaceDE w:val="0"/>
        <w:autoSpaceDN w:val="0"/>
        <w:adjustRightInd w:val="0"/>
        <w:jc w:val="both"/>
        <w:textAlignment w:val="baseline"/>
      </w:pPr>
      <w:r w:rsidRPr="00C17FEB">
        <w:rPr>
          <w:color w:val="000000"/>
          <w:sz w:val="20"/>
          <w:szCs w:val="20"/>
        </w:rPr>
        <w:t>z</w:t>
      </w:r>
      <w:r w:rsidR="00686AB5" w:rsidRPr="00C17FEB">
        <w:rPr>
          <w:color w:val="000000"/>
          <w:sz w:val="20"/>
          <w:szCs w:val="20"/>
        </w:rPr>
        <w:t>ane.silina@vid.gov.lv</w:t>
      </w:r>
    </w:p>
    <w:sectPr w:rsidR="0004545A" w:rsidRPr="00C17FEB" w:rsidSect="000A38C1">
      <w:headerReference w:type="default" r:id="rId9"/>
      <w:footerReference w:type="default" r:id="rId10"/>
      <w:footerReference w:type="first" r:id="rId11"/>
      <w:pgSz w:w="11907" w:h="16839" w:code="9"/>
      <w:pgMar w:top="1276" w:right="1275"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62F7B" w14:textId="77777777" w:rsidR="00564573" w:rsidRDefault="00564573">
      <w:r>
        <w:separator/>
      </w:r>
    </w:p>
  </w:endnote>
  <w:endnote w:type="continuationSeparator" w:id="0">
    <w:p w14:paraId="719F5C00" w14:textId="77777777" w:rsidR="00564573" w:rsidRDefault="0056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entury Schoolbook">
    <w:altName w:val="Century"/>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9A03" w14:textId="77777777" w:rsidR="00662368" w:rsidRDefault="00662368" w:rsidP="00B13903">
    <w:pPr>
      <w:pStyle w:val="Footer"/>
      <w:rPr>
        <w:sz w:val="20"/>
        <w:szCs w:val="20"/>
      </w:rPr>
    </w:pPr>
  </w:p>
  <w:p w14:paraId="7D4E4EF6" w14:textId="35DB7A73" w:rsidR="00812D19" w:rsidRPr="00B13903" w:rsidRDefault="00686AB5" w:rsidP="00B13903">
    <w:pPr>
      <w:pStyle w:val="Footer"/>
    </w:pPr>
    <w:r>
      <w:rPr>
        <w:sz w:val="20"/>
        <w:szCs w:val="20"/>
      </w:rPr>
      <w:t>FM</w:t>
    </w:r>
    <w:r w:rsidR="00637F6E">
      <w:rPr>
        <w:sz w:val="20"/>
        <w:szCs w:val="20"/>
      </w:rPr>
      <w:t>Anot</w:t>
    </w:r>
    <w:r w:rsidR="00B13903" w:rsidRPr="00B13903">
      <w:rPr>
        <w:sz w:val="20"/>
        <w:szCs w:val="20"/>
      </w:rPr>
      <w:t>_</w:t>
    </w:r>
    <w:r w:rsidR="00C17FEB">
      <w:rPr>
        <w:sz w:val="20"/>
        <w:szCs w:val="20"/>
      </w:rPr>
      <w:t>04102018</w:t>
    </w:r>
    <w:r w:rsidR="00B13903" w:rsidRPr="00B13903">
      <w:rPr>
        <w:sz w:val="20"/>
        <w:szCs w:val="20"/>
      </w:rPr>
      <w:t>_</w:t>
    </w:r>
    <w:r w:rsidR="00637F6E">
      <w:rPr>
        <w:sz w:val="20"/>
        <w:szCs w:val="20"/>
      </w:rPr>
      <w:t>MA_40_0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3058" w14:textId="77777777" w:rsidR="002923D7" w:rsidRDefault="002923D7" w:rsidP="00281452">
    <w:pPr>
      <w:jc w:val="both"/>
      <w:rPr>
        <w:sz w:val="20"/>
        <w:szCs w:val="20"/>
      </w:rPr>
    </w:pPr>
  </w:p>
  <w:p w14:paraId="31D371A4" w14:textId="6273CC94" w:rsidR="00281452" w:rsidRPr="0021712F" w:rsidRDefault="00686AB5" w:rsidP="00281452">
    <w:pPr>
      <w:jc w:val="both"/>
    </w:pPr>
    <w:r>
      <w:rPr>
        <w:sz w:val="20"/>
        <w:szCs w:val="20"/>
      </w:rPr>
      <w:t>FM</w:t>
    </w:r>
    <w:r w:rsidR="00AF2473">
      <w:rPr>
        <w:sz w:val="20"/>
        <w:szCs w:val="20"/>
      </w:rPr>
      <w:t>Anot</w:t>
    </w:r>
    <w:r w:rsidR="007B090B">
      <w:rPr>
        <w:sz w:val="20"/>
        <w:szCs w:val="20"/>
      </w:rPr>
      <w:t>_</w:t>
    </w:r>
    <w:r w:rsidR="00294079">
      <w:rPr>
        <w:sz w:val="20"/>
        <w:szCs w:val="20"/>
      </w:rPr>
      <w:t>04102018</w:t>
    </w:r>
    <w:r w:rsidRPr="00D01C0A">
      <w:rPr>
        <w:sz w:val="20"/>
        <w:szCs w:val="20"/>
      </w:rPr>
      <w:t>_</w:t>
    </w:r>
    <w:r w:rsidR="00AF2473">
      <w:rPr>
        <w:sz w:val="20"/>
        <w:szCs w:val="20"/>
      </w:rPr>
      <w:t>MA_40_0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6C7CD" w14:textId="77777777" w:rsidR="00564573" w:rsidRDefault="00564573">
      <w:r>
        <w:separator/>
      </w:r>
    </w:p>
  </w:footnote>
  <w:footnote w:type="continuationSeparator" w:id="0">
    <w:p w14:paraId="4449B460" w14:textId="77777777" w:rsidR="00564573" w:rsidRDefault="0056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A199" w14:textId="38E3FF11" w:rsidR="00812D19" w:rsidRDefault="00686AB5">
    <w:pPr>
      <w:pStyle w:val="Header"/>
      <w:jc w:val="center"/>
    </w:pPr>
    <w:r>
      <w:fldChar w:fldCharType="begin"/>
    </w:r>
    <w:r>
      <w:instrText xml:space="preserve"> PAGE   \* MERGEFORMAT </w:instrText>
    </w:r>
    <w:r>
      <w:fldChar w:fldCharType="separate"/>
    </w:r>
    <w:r w:rsidR="00173547">
      <w:rPr>
        <w:noProof/>
      </w:rPr>
      <w:t>8</w:t>
    </w:r>
    <w:r>
      <w:fldChar w:fldCharType="end"/>
    </w:r>
  </w:p>
  <w:p w14:paraId="640460F8" w14:textId="77777777" w:rsidR="00812D19" w:rsidRDefault="0081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115566"/>
    <w:multiLevelType w:val="hybridMultilevel"/>
    <w:tmpl w:val="5FE07DBC"/>
    <w:lvl w:ilvl="0" w:tplc="2B06D3F0">
      <w:start w:val="1"/>
      <w:numFmt w:val="bullet"/>
      <w:lvlText w:val=""/>
      <w:lvlJc w:val="left"/>
      <w:pPr>
        <w:ind w:left="1800" w:hanging="360"/>
      </w:pPr>
      <w:rPr>
        <w:rFonts w:ascii="Symbol" w:hAnsi="Symbol" w:hint="default"/>
      </w:rPr>
    </w:lvl>
    <w:lvl w:ilvl="1" w:tplc="5EE29A64" w:tentative="1">
      <w:start w:val="1"/>
      <w:numFmt w:val="bullet"/>
      <w:lvlText w:val="o"/>
      <w:lvlJc w:val="left"/>
      <w:pPr>
        <w:ind w:left="2520" w:hanging="360"/>
      </w:pPr>
      <w:rPr>
        <w:rFonts w:ascii="Courier New" w:hAnsi="Courier New" w:cs="Courier New" w:hint="default"/>
      </w:rPr>
    </w:lvl>
    <w:lvl w:ilvl="2" w:tplc="6AC8167A" w:tentative="1">
      <w:start w:val="1"/>
      <w:numFmt w:val="bullet"/>
      <w:lvlText w:val=""/>
      <w:lvlJc w:val="left"/>
      <w:pPr>
        <w:ind w:left="3240" w:hanging="360"/>
      </w:pPr>
      <w:rPr>
        <w:rFonts w:ascii="Wingdings" w:hAnsi="Wingdings" w:hint="default"/>
      </w:rPr>
    </w:lvl>
    <w:lvl w:ilvl="3" w:tplc="84FEAA74" w:tentative="1">
      <w:start w:val="1"/>
      <w:numFmt w:val="bullet"/>
      <w:lvlText w:val=""/>
      <w:lvlJc w:val="left"/>
      <w:pPr>
        <w:ind w:left="3960" w:hanging="360"/>
      </w:pPr>
      <w:rPr>
        <w:rFonts w:ascii="Symbol" w:hAnsi="Symbol" w:hint="default"/>
      </w:rPr>
    </w:lvl>
    <w:lvl w:ilvl="4" w:tplc="9796F376" w:tentative="1">
      <w:start w:val="1"/>
      <w:numFmt w:val="bullet"/>
      <w:lvlText w:val="o"/>
      <w:lvlJc w:val="left"/>
      <w:pPr>
        <w:ind w:left="4680" w:hanging="360"/>
      </w:pPr>
      <w:rPr>
        <w:rFonts w:ascii="Courier New" w:hAnsi="Courier New" w:cs="Courier New" w:hint="default"/>
      </w:rPr>
    </w:lvl>
    <w:lvl w:ilvl="5" w:tplc="A97A17B8" w:tentative="1">
      <w:start w:val="1"/>
      <w:numFmt w:val="bullet"/>
      <w:lvlText w:val=""/>
      <w:lvlJc w:val="left"/>
      <w:pPr>
        <w:ind w:left="5400" w:hanging="360"/>
      </w:pPr>
      <w:rPr>
        <w:rFonts w:ascii="Wingdings" w:hAnsi="Wingdings" w:hint="default"/>
      </w:rPr>
    </w:lvl>
    <w:lvl w:ilvl="6" w:tplc="6C9C05D6" w:tentative="1">
      <w:start w:val="1"/>
      <w:numFmt w:val="bullet"/>
      <w:lvlText w:val=""/>
      <w:lvlJc w:val="left"/>
      <w:pPr>
        <w:ind w:left="6120" w:hanging="360"/>
      </w:pPr>
      <w:rPr>
        <w:rFonts w:ascii="Symbol" w:hAnsi="Symbol" w:hint="default"/>
      </w:rPr>
    </w:lvl>
    <w:lvl w:ilvl="7" w:tplc="210891FC" w:tentative="1">
      <w:start w:val="1"/>
      <w:numFmt w:val="bullet"/>
      <w:lvlText w:val="o"/>
      <w:lvlJc w:val="left"/>
      <w:pPr>
        <w:ind w:left="6840" w:hanging="360"/>
      </w:pPr>
      <w:rPr>
        <w:rFonts w:ascii="Courier New" w:hAnsi="Courier New" w:cs="Courier New" w:hint="default"/>
      </w:rPr>
    </w:lvl>
    <w:lvl w:ilvl="8" w:tplc="D8EEA0FA" w:tentative="1">
      <w:start w:val="1"/>
      <w:numFmt w:val="bullet"/>
      <w:lvlText w:val=""/>
      <w:lvlJc w:val="left"/>
      <w:pPr>
        <w:ind w:left="7560" w:hanging="360"/>
      </w:pPr>
      <w:rPr>
        <w:rFonts w:ascii="Wingdings" w:hAnsi="Wingdings" w:hint="default"/>
      </w:rPr>
    </w:lvl>
  </w:abstractNum>
  <w:abstractNum w:abstractNumId="1" w15:restartNumberingAfterBreak="1">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1">
    <w:nsid w:val="09E416F2"/>
    <w:multiLevelType w:val="hybridMultilevel"/>
    <w:tmpl w:val="4ACE5996"/>
    <w:lvl w:ilvl="0" w:tplc="F70ADAA0">
      <w:start w:val="1"/>
      <w:numFmt w:val="bullet"/>
      <w:pStyle w:val="VPBullet1"/>
      <w:lvlText w:val=""/>
      <w:lvlJc w:val="left"/>
      <w:pPr>
        <w:ind w:left="720" w:hanging="360"/>
      </w:pPr>
      <w:rPr>
        <w:rFonts w:ascii="Wingdings" w:hAnsi="Wingdings" w:hint="default"/>
        <w:color w:val="808080"/>
        <w:sz w:val="24"/>
      </w:rPr>
    </w:lvl>
    <w:lvl w:ilvl="1" w:tplc="E0769BE0">
      <w:start w:val="1"/>
      <w:numFmt w:val="bullet"/>
      <w:lvlText w:val="o"/>
      <w:lvlJc w:val="left"/>
      <w:pPr>
        <w:ind w:left="1440" w:hanging="360"/>
      </w:pPr>
      <w:rPr>
        <w:rFonts w:ascii="Courier New" w:hAnsi="Courier New" w:cs="Courier New" w:hint="default"/>
      </w:rPr>
    </w:lvl>
    <w:lvl w:ilvl="2" w:tplc="652A9B8A">
      <w:start w:val="1"/>
      <w:numFmt w:val="bullet"/>
      <w:lvlText w:val=""/>
      <w:lvlJc w:val="left"/>
      <w:pPr>
        <w:ind w:left="2160" w:hanging="360"/>
      </w:pPr>
      <w:rPr>
        <w:rFonts w:ascii="Wingdings" w:hAnsi="Wingdings" w:hint="default"/>
      </w:rPr>
    </w:lvl>
    <w:lvl w:ilvl="3" w:tplc="81A07894">
      <w:start w:val="1"/>
      <w:numFmt w:val="bullet"/>
      <w:lvlText w:val=""/>
      <w:lvlJc w:val="left"/>
      <w:pPr>
        <w:ind w:left="2880" w:hanging="360"/>
      </w:pPr>
      <w:rPr>
        <w:rFonts w:ascii="Symbol" w:hAnsi="Symbol" w:hint="default"/>
      </w:rPr>
    </w:lvl>
    <w:lvl w:ilvl="4" w:tplc="606ED144">
      <w:start w:val="1"/>
      <w:numFmt w:val="bullet"/>
      <w:lvlText w:val="o"/>
      <w:lvlJc w:val="left"/>
      <w:pPr>
        <w:ind w:left="3600" w:hanging="360"/>
      </w:pPr>
      <w:rPr>
        <w:rFonts w:ascii="Courier New" w:hAnsi="Courier New" w:cs="Courier New" w:hint="default"/>
      </w:rPr>
    </w:lvl>
    <w:lvl w:ilvl="5" w:tplc="D4A0AA32">
      <w:start w:val="1"/>
      <w:numFmt w:val="bullet"/>
      <w:lvlText w:val=""/>
      <w:lvlJc w:val="left"/>
      <w:pPr>
        <w:ind w:left="4320" w:hanging="360"/>
      </w:pPr>
      <w:rPr>
        <w:rFonts w:ascii="Wingdings" w:hAnsi="Wingdings" w:hint="default"/>
      </w:rPr>
    </w:lvl>
    <w:lvl w:ilvl="6" w:tplc="D7DCD046">
      <w:start w:val="1"/>
      <w:numFmt w:val="bullet"/>
      <w:lvlText w:val=""/>
      <w:lvlJc w:val="left"/>
      <w:pPr>
        <w:ind w:left="5040" w:hanging="360"/>
      </w:pPr>
      <w:rPr>
        <w:rFonts w:ascii="Symbol" w:hAnsi="Symbol" w:hint="default"/>
      </w:rPr>
    </w:lvl>
    <w:lvl w:ilvl="7" w:tplc="B1C0AEBA">
      <w:start w:val="1"/>
      <w:numFmt w:val="bullet"/>
      <w:lvlText w:val="o"/>
      <w:lvlJc w:val="left"/>
      <w:pPr>
        <w:ind w:left="5760" w:hanging="360"/>
      </w:pPr>
      <w:rPr>
        <w:rFonts w:ascii="Courier New" w:hAnsi="Courier New" w:cs="Courier New" w:hint="default"/>
      </w:rPr>
    </w:lvl>
    <w:lvl w:ilvl="8" w:tplc="BD24A0B8">
      <w:start w:val="1"/>
      <w:numFmt w:val="bullet"/>
      <w:lvlText w:val=""/>
      <w:lvlJc w:val="left"/>
      <w:pPr>
        <w:ind w:left="6480" w:hanging="360"/>
      </w:pPr>
      <w:rPr>
        <w:rFonts w:ascii="Wingdings" w:hAnsi="Wingdings" w:hint="default"/>
      </w:rPr>
    </w:lvl>
  </w:abstractNum>
  <w:abstractNum w:abstractNumId="3" w15:restartNumberingAfterBreak="1">
    <w:nsid w:val="10D579DF"/>
    <w:multiLevelType w:val="hybridMultilevel"/>
    <w:tmpl w:val="2EE6A0FA"/>
    <w:lvl w:ilvl="0" w:tplc="1B06FEE0">
      <w:start w:val="1"/>
      <w:numFmt w:val="bullet"/>
      <w:lvlText w:val=""/>
      <w:lvlJc w:val="left"/>
      <w:pPr>
        <w:ind w:left="720" w:hanging="360"/>
      </w:pPr>
      <w:rPr>
        <w:rFonts w:ascii="Symbol" w:hAnsi="Symbol" w:hint="default"/>
      </w:rPr>
    </w:lvl>
    <w:lvl w:ilvl="1" w:tplc="6CD23AB2" w:tentative="1">
      <w:start w:val="1"/>
      <w:numFmt w:val="bullet"/>
      <w:lvlText w:val="o"/>
      <w:lvlJc w:val="left"/>
      <w:pPr>
        <w:ind w:left="1440" w:hanging="360"/>
      </w:pPr>
      <w:rPr>
        <w:rFonts w:ascii="Courier New" w:hAnsi="Courier New" w:cs="Courier New" w:hint="default"/>
      </w:rPr>
    </w:lvl>
    <w:lvl w:ilvl="2" w:tplc="08B2FD4A" w:tentative="1">
      <w:start w:val="1"/>
      <w:numFmt w:val="bullet"/>
      <w:lvlText w:val=""/>
      <w:lvlJc w:val="left"/>
      <w:pPr>
        <w:ind w:left="2160" w:hanging="360"/>
      </w:pPr>
      <w:rPr>
        <w:rFonts w:ascii="Wingdings" w:hAnsi="Wingdings" w:hint="default"/>
      </w:rPr>
    </w:lvl>
    <w:lvl w:ilvl="3" w:tplc="89621BDC" w:tentative="1">
      <w:start w:val="1"/>
      <w:numFmt w:val="bullet"/>
      <w:lvlText w:val=""/>
      <w:lvlJc w:val="left"/>
      <w:pPr>
        <w:ind w:left="2880" w:hanging="360"/>
      </w:pPr>
      <w:rPr>
        <w:rFonts w:ascii="Symbol" w:hAnsi="Symbol" w:hint="default"/>
      </w:rPr>
    </w:lvl>
    <w:lvl w:ilvl="4" w:tplc="1EF4FC02" w:tentative="1">
      <w:start w:val="1"/>
      <w:numFmt w:val="bullet"/>
      <w:lvlText w:val="o"/>
      <w:lvlJc w:val="left"/>
      <w:pPr>
        <w:ind w:left="3600" w:hanging="360"/>
      </w:pPr>
      <w:rPr>
        <w:rFonts w:ascii="Courier New" w:hAnsi="Courier New" w:cs="Courier New" w:hint="default"/>
      </w:rPr>
    </w:lvl>
    <w:lvl w:ilvl="5" w:tplc="A4F4D0AA" w:tentative="1">
      <w:start w:val="1"/>
      <w:numFmt w:val="bullet"/>
      <w:lvlText w:val=""/>
      <w:lvlJc w:val="left"/>
      <w:pPr>
        <w:ind w:left="4320" w:hanging="360"/>
      </w:pPr>
      <w:rPr>
        <w:rFonts w:ascii="Wingdings" w:hAnsi="Wingdings" w:hint="default"/>
      </w:rPr>
    </w:lvl>
    <w:lvl w:ilvl="6" w:tplc="94F06654" w:tentative="1">
      <w:start w:val="1"/>
      <w:numFmt w:val="bullet"/>
      <w:lvlText w:val=""/>
      <w:lvlJc w:val="left"/>
      <w:pPr>
        <w:ind w:left="5040" w:hanging="360"/>
      </w:pPr>
      <w:rPr>
        <w:rFonts w:ascii="Symbol" w:hAnsi="Symbol" w:hint="default"/>
      </w:rPr>
    </w:lvl>
    <w:lvl w:ilvl="7" w:tplc="0234D4CC" w:tentative="1">
      <w:start w:val="1"/>
      <w:numFmt w:val="bullet"/>
      <w:lvlText w:val="o"/>
      <w:lvlJc w:val="left"/>
      <w:pPr>
        <w:ind w:left="5760" w:hanging="360"/>
      </w:pPr>
      <w:rPr>
        <w:rFonts w:ascii="Courier New" w:hAnsi="Courier New" w:cs="Courier New" w:hint="default"/>
      </w:rPr>
    </w:lvl>
    <w:lvl w:ilvl="8" w:tplc="5574CAC8" w:tentative="1">
      <w:start w:val="1"/>
      <w:numFmt w:val="bullet"/>
      <w:lvlText w:val=""/>
      <w:lvlJc w:val="left"/>
      <w:pPr>
        <w:ind w:left="6480" w:hanging="360"/>
      </w:pPr>
      <w:rPr>
        <w:rFonts w:ascii="Wingdings" w:hAnsi="Wingdings" w:hint="default"/>
      </w:rPr>
    </w:lvl>
  </w:abstractNum>
  <w:abstractNum w:abstractNumId="4" w15:restartNumberingAfterBreak="1">
    <w:nsid w:val="1BF24796"/>
    <w:multiLevelType w:val="multilevel"/>
    <w:tmpl w:val="266EA8B4"/>
    <w:lvl w:ilvl="0">
      <w:numFmt w:val="bullet"/>
      <w:lvlText w:val="-"/>
      <w:lvlJc w:val="left"/>
      <w:pPr>
        <w:ind w:left="1080" w:hanging="360"/>
      </w:pPr>
      <w:rPr>
        <w:rFonts w:ascii="Times New Roman" w:eastAsia="Calibri" w:hAnsi="Times New Roman" w:cs="Times New Roman" w:hint="default"/>
        <w:color w:val="C00000"/>
        <w:sz w:val="18"/>
      </w:rPr>
    </w:lvl>
    <w:lvl w:ilvl="1">
      <w:start w:val="2"/>
      <w:numFmt w:val="bullet"/>
      <w:lvlText w:val="−"/>
      <w:lvlJc w:val="left"/>
      <w:pPr>
        <w:tabs>
          <w:tab w:val="num" w:pos="2160"/>
        </w:tabs>
        <w:ind w:left="2160" w:hanging="360"/>
      </w:pPr>
      <w:rPr>
        <w:rFonts w:ascii="Times New Roman" w:hAnsi="Times New Roman" w:hint="default"/>
        <w:sz w:val="28"/>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214D2EC5"/>
    <w:multiLevelType w:val="hybridMultilevel"/>
    <w:tmpl w:val="1C0EA4DA"/>
    <w:lvl w:ilvl="0" w:tplc="9912E354">
      <w:start w:val="1"/>
      <w:numFmt w:val="bullet"/>
      <w:lvlText w:val=""/>
      <w:lvlJc w:val="left"/>
      <w:pPr>
        <w:ind w:left="1080" w:hanging="360"/>
      </w:pPr>
      <w:rPr>
        <w:rFonts w:ascii="Symbol" w:hAnsi="Symbol" w:hint="default"/>
      </w:rPr>
    </w:lvl>
    <w:lvl w:ilvl="1" w:tplc="A252BDCC" w:tentative="1">
      <w:start w:val="1"/>
      <w:numFmt w:val="bullet"/>
      <w:lvlText w:val="o"/>
      <w:lvlJc w:val="left"/>
      <w:pPr>
        <w:ind w:left="1800" w:hanging="360"/>
      </w:pPr>
      <w:rPr>
        <w:rFonts w:ascii="Courier New" w:hAnsi="Courier New" w:cs="Courier New" w:hint="default"/>
      </w:rPr>
    </w:lvl>
    <w:lvl w:ilvl="2" w:tplc="D8CEED28" w:tentative="1">
      <w:start w:val="1"/>
      <w:numFmt w:val="bullet"/>
      <w:lvlText w:val=""/>
      <w:lvlJc w:val="left"/>
      <w:pPr>
        <w:ind w:left="2520" w:hanging="360"/>
      </w:pPr>
      <w:rPr>
        <w:rFonts w:ascii="Wingdings" w:hAnsi="Wingdings" w:hint="default"/>
      </w:rPr>
    </w:lvl>
    <w:lvl w:ilvl="3" w:tplc="B7249352" w:tentative="1">
      <w:start w:val="1"/>
      <w:numFmt w:val="bullet"/>
      <w:lvlText w:val=""/>
      <w:lvlJc w:val="left"/>
      <w:pPr>
        <w:ind w:left="3240" w:hanging="360"/>
      </w:pPr>
      <w:rPr>
        <w:rFonts w:ascii="Symbol" w:hAnsi="Symbol" w:hint="default"/>
      </w:rPr>
    </w:lvl>
    <w:lvl w:ilvl="4" w:tplc="58868132" w:tentative="1">
      <w:start w:val="1"/>
      <w:numFmt w:val="bullet"/>
      <w:lvlText w:val="o"/>
      <w:lvlJc w:val="left"/>
      <w:pPr>
        <w:ind w:left="3960" w:hanging="360"/>
      </w:pPr>
      <w:rPr>
        <w:rFonts w:ascii="Courier New" w:hAnsi="Courier New" w:cs="Courier New" w:hint="default"/>
      </w:rPr>
    </w:lvl>
    <w:lvl w:ilvl="5" w:tplc="DC960B34" w:tentative="1">
      <w:start w:val="1"/>
      <w:numFmt w:val="bullet"/>
      <w:lvlText w:val=""/>
      <w:lvlJc w:val="left"/>
      <w:pPr>
        <w:ind w:left="4680" w:hanging="360"/>
      </w:pPr>
      <w:rPr>
        <w:rFonts w:ascii="Wingdings" w:hAnsi="Wingdings" w:hint="default"/>
      </w:rPr>
    </w:lvl>
    <w:lvl w:ilvl="6" w:tplc="473E7B14" w:tentative="1">
      <w:start w:val="1"/>
      <w:numFmt w:val="bullet"/>
      <w:lvlText w:val=""/>
      <w:lvlJc w:val="left"/>
      <w:pPr>
        <w:ind w:left="5400" w:hanging="360"/>
      </w:pPr>
      <w:rPr>
        <w:rFonts w:ascii="Symbol" w:hAnsi="Symbol" w:hint="default"/>
      </w:rPr>
    </w:lvl>
    <w:lvl w:ilvl="7" w:tplc="41CE0D42" w:tentative="1">
      <w:start w:val="1"/>
      <w:numFmt w:val="bullet"/>
      <w:lvlText w:val="o"/>
      <w:lvlJc w:val="left"/>
      <w:pPr>
        <w:ind w:left="6120" w:hanging="360"/>
      </w:pPr>
      <w:rPr>
        <w:rFonts w:ascii="Courier New" w:hAnsi="Courier New" w:cs="Courier New" w:hint="default"/>
      </w:rPr>
    </w:lvl>
    <w:lvl w:ilvl="8" w:tplc="DEEEEB34" w:tentative="1">
      <w:start w:val="1"/>
      <w:numFmt w:val="bullet"/>
      <w:lvlText w:val=""/>
      <w:lvlJc w:val="left"/>
      <w:pPr>
        <w:ind w:left="6840" w:hanging="360"/>
      </w:pPr>
      <w:rPr>
        <w:rFonts w:ascii="Wingdings" w:hAnsi="Wingdings" w:hint="default"/>
      </w:rPr>
    </w:lvl>
  </w:abstractNum>
  <w:abstractNum w:abstractNumId="6" w15:restartNumberingAfterBreak="1">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1">
    <w:nsid w:val="261B1553"/>
    <w:multiLevelType w:val="hybridMultilevel"/>
    <w:tmpl w:val="DEC48F78"/>
    <w:lvl w:ilvl="0" w:tplc="1646E7F0">
      <w:start w:val="1"/>
      <w:numFmt w:val="bullet"/>
      <w:lvlText w:val=""/>
      <w:lvlJc w:val="left"/>
      <w:pPr>
        <w:ind w:left="1080" w:hanging="360"/>
      </w:pPr>
      <w:rPr>
        <w:rFonts w:ascii="Symbol" w:hAnsi="Symbol" w:hint="default"/>
      </w:rPr>
    </w:lvl>
    <w:lvl w:ilvl="1" w:tplc="79788DE6" w:tentative="1">
      <w:start w:val="1"/>
      <w:numFmt w:val="bullet"/>
      <w:lvlText w:val="o"/>
      <w:lvlJc w:val="left"/>
      <w:pPr>
        <w:ind w:left="1800" w:hanging="360"/>
      </w:pPr>
      <w:rPr>
        <w:rFonts w:ascii="Courier New" w:hAnsi="Courier New" w:cs="Courier New" w:hint="default"/>
      </w:rPr>
    </w:lvl>
    <w:lvl w:ilvl="2" w:tplc="342CFC90" w:tentative="1">
      <w:start w:val="1"/>
      <w:numFmt w:val="bullet"/>
      <w:lvlText w:val=""/>
      <w:lvlJc w:val="left"/>
      <w:pPr>
        <w:ind w:left="2520" w:hanging="360"/>
      </w:pPr>
      <w:rPr>
        <w:rFonts w:ascii="Wingdings" w:hAnsi="Wingdings" w:hint="default"/>
      </w:rPr>
    </w:lvl>
    <w:lvl w:ilvl="3" w:tplc="DBA83B2C" w:tentative="1">
      <w:start w:val="1"/>
      <w:numFmt w:val="bullet"/>
      <w:lvlText w:val=""/>
      <w:lvlJc w:val="left"/>
      <w:pPr>
        <w:ind w:left="3240" w:hanging="360"/>
      </w:pPr>
      <w:rPr>
        <w:rFonts w:ascii="Symbol" w:hAnsi="Symbol" w:hint="default"/>
      </w:rPr>
    </w:lvl>
    <w:lvl w:ilvl="4" w:tplc="896422E2" w:tentative="1">
      <w:start w:val="1"/>
      <w:numFmt w:val="bullet"/>
      <w:lvlText w:val="o"/>
      <w:lvlJc w:val="left"/>
      <w:pPr>
        <w:ind w:left="3960" w:hanging="360"/>
      </w:pPr>
      <w:rPr>
        <w:rFonts w:ascii="Courier New" w:hAnsi="Courier New" w:cs="Courier New" w:hint="default"/>
      </w:rPr>
    </w:lvl>
    <w:lvl w:ilvl="5" w:tplc="88360F3A" w:tentative="1">
      <w:start w:val="1"/>
      <w:numFmt w:val="bullet"/>
      <w:lvlText w:val=""/>
      <w:lvlJc w:val="left"/>
      <w:pPr>
        <w:ind w:left="4680" w:hanging="360"/>
      </w:pPr>
      <w:rPr>
        <w:rFonts w:ascii="Wingdings" w:hAnsi="Wingdings" w:hint="default"/>
      </w:rPr>
    </w:lvl>
    <w:lvl w:ilvl="6" w:tplc="A7B8C1CE" w:tentative="1">
      <w:start w:val="1"/>
      <w:numFmt w:val="bullet"/>
      <w:lvlText w:val=""/>
      <w:lvlJc w:val="left"/>
      <w:pPr>
        <w:ind w:left="5400" w:hanging="360"/>
      </w:pPr>
      <w:rPr>
        <w:rFonts w:ascii="Symbol" w:hAnsi="Symbol" w:hint="default"/>
      </w:rPr>
    </w:lvl>
    <w:lvl w:ilvl="7" w:tplc="AF1EA06A" w:tentative="1">
      <w:start w:val="1"/>
      <w:numFmt w:val="bullet"/>
      <w:lvlText w:val="o"/>
      <w:lvlJc w:val="left"/>
      <w:pPr>
        <w:ind w:left="6120" w:hanging="360"/>
      </w:pPr>
      <w:rPr>
        <w:rFonts w:ascii="Courier New" w:hAnsi="Courier New" w:cs="Courier New" w:hint="default"/>
      </w:rPr>
    </w:lvl>
    <w:lvl w:ilvl="8" w:tplc="723832B2" w:tentative="1">
      <w:start w:val="1"/>
      <w:numFmt w:val="bullet"/>
      <w:lvlText w:val=""/>
      <w:lvlJc w:val="left"/>
      <w:pPr>
        <w:ind w:left="6840" w:hanging="360"/>
      </w:pPr>
      <w:rPr>
        <w:rFonts w:ascii="Wingdings" w:hAnsi="Wingdings" w:hint="default"/>
      </w:rPr>
    </w:lvl>
  </w:abstractNum>
  <w:abstractNum w:abstractNumId="8" w15:restartNumberingAfterBreak="1">
    <w:nsid w:val="28C53829"/>
    <w:multiLevelType w:val="hybridMultilevel"/>
    <w:tmpl w:val="78F4B824"/>
    <w:lvl w:ilvl="0" w:tplc="7C58BCB4">
      <w:start w:val="1"/>
      <w:numFmt w:val="decimal"/>
      <w:pStyle w:val="Style1"/>
      <w:lvlText w:val="%1."/>
      <w:lvlJc w:val="left"/>
      <w:pPr>
        <w:tabs>
          <w:tab w:val="num" w:pos="360"/>
        </w:tabs>
        <w:ind w:left="360" w:hanging="360"/>
      </w:pPr>
      <w:rPr>
        <w:rFonts w:cs="Times New Roman"/>
      </w:rPr>
    </w:lvl>
    <w:lvl w:ilvl="1" w:tplc="EAD6AD8E">
      <w:start w:val="1"/>
      <w:numFmt w:val="lowerLetter"/>
      <w:lvlText w:val="%2."/>
      <w:lvlJc w:val="left"/>
      <w:pPr>
        <w:tabs>
          <w:tab w:val="num" w:pos="1080"/>
        </w:tabs>
        <w:ind w:left="1080" w:hanging="360"/>
      </w:pPr>
      <w:rPr>
        <w:rFonts w:cs="Times New Roman"/>
      </w:rPr>
    </w:lvl>
    <w:lvl w:ilvl="2" w:tplc="B5643E8C" w:tentative="1">
      <w:start w:val="1"/>
      <w:numFmt w:val="lowerRoman"/>
      <w:lvlText w:val="%3."/>
      <w:lvlJc w:val="right"/>
      <w:pPr>
        <w:tabs>
          <w:tab w:val="num" w:pos="1800"/>
        </w:tabs>
        <w:ind w:left="1800" w:hanging="180"/>
      </w:pPr>
      <w:rPr>
        <w:rFonts w:cs="Times New Roman"/>
      </w:rPr>
    </w:lvl>
    <w:lvl w:ilvl="3" w:tplc="FC980DC4" w:tentative="1">
      <w:start w:val="1"/>
      <w:numFmt w:val="decimal"/>
      <w:lvlText w:val="%4."/>
      <w:lvlJc w:val="left"/>
      <w:pPr>
        <w:tabs>
          <w:tab w:val="num" w:pos="2520"/>
        </w:tabs>
        <w:ind w:left="2520" w:hanging="360"/>
      </w:pPr>
      <w:rPr>
        <w:rFonts w:cs="Times New Roman"/>
      </w:rPr>
    </w:lvl>
    <w:lvl w:ilvl="4" w:tplc="54FEF3B4" w:tentative="1">
      <w:start w:val="1"/>
      <w:numFmt w:val="lowerLetter"/>
      <w:lvlText w:val="%5."/>
      <w:lvlJc w:val="left"/>
      <w:pPr>
        <w:tabs>
          <w:tab w:val="num" w:pos="3240"/>
        </w:tabs>
        <w:ind w:left="3240" w:hanging="360"/>
      </w:pPr>
      <w:rPr>
        <w:rFonts w:cs="Times New Roman"/>
      </w:rPr>
    </w:lvl>
    <w:lvl w:ilvl="5" w:tplc="D4EE5F2A" w:tentative="1">
      <w:start w:val="1"/>
      <w:numFmt w:val="lowerRoman"/>
      <w:lvlText w:val="%6."/>
      <w:lvlJc w:val="right"/>
      <w:pPr>
        <w:tabs>
          <w:tab w:val="num" w:pos="3960"/>
        </w:tabs>
        <w:ind w:left="3960" w:hanging="180"/>
      </w:pPr>
      <w:rPr>
        <w:rFonts w:cs="Times New Roman"/>
      </w:rPr>
    </w:lvl>
    <w:lvl w:ilvl="6" w:tplc="3FB8D0FE" w:tentative="1">
      <w:start w:val="1"/>
      <w:numFmt w:val="decimal"/>
      <w:lvlText w:val="%7."/>
      <w:lvlJc w:val="left"/>
      <w:pPr>
        <w:tabs>
          <w:tab w:val="num" w:pos="4680"/>
        </w:tabs>
        <w:ind w:left="4680" w:hanging="360"/>
      </w:pPr>
      <w:rPr>
        <w:rFonts w:cs="Times New Roman"/>
      </w:rPr>
    </w:lvl>
    <w:lvl w:ilvl="7" w:tplc="4CAAAE36" w:tentative="1">
      <w:start w:val="1"/>
      <w:numFmt w:val="lowerLetter"/>
      <w:lvlText w:val="%8."/>
      <w:lvlJc w:val="left"/>
      <w:pPr>
        <w:tabs>
          <w:tab w:val="num" w:pos="5400"/>
        </w:tabs>
        <w:ind w:left="5400" w:hanging="360"/>
      </w:pPr>
      <w:rPr>
        <w:rFonts w:cs="Times New Roman"/>
      </w:rPr>
    </w:lvl>
    <w:lvl w:ilvl="8" w:tplc="BBBCC820" w:tentative="1">
      <w:start w:val="1"/>
      <w:numFmt w:val="lowerRoman"/>
      <w:lvlText w:val="%9."/>
      <w:lvlJc w:val="right"/>
      <w:pPr>
        <w:tabs>
          <w:tab w:val="num" w:pos="6120"/>
        </w:tabs>
        <w:ind w:left="6120" w:hanging="180"/>
      </w:pPr>
      <w:rPr>
        <w:rFonts w:cs="Times New Roman"/>
      </w:rPr>
    </w:lvl>
  </w:abstractNum>
  <w:abstractNum w:abstractNumId="9" w15:restartNumberingAfterBreak="1">
    <w:nsid w:val="2A4254C9"/>
    <w:multiLevelType w:val="multilevel"/>
    <w:tmpl w:val="6BDC6FFA"/>
    <w:lvl w:ilvl="0">
      <w:start w:val="1"/>
      <w:numFmt w:val="bullet"/>
      <w:lvlText w:val=""/>
      <w:lvlJc w:val="left"/>
      <w:pPr>
        <w:ind w:left="1080" w:hanging="360"/>
      </w:pPr>
      <w:rPr>
        <w:rFonts w:ascii="Wingdings" w:hAnsi="Wingdings" w:hint="default"/>
        <w:color w:val="C00000"/>
        <w:sz w:val="18"/>
      </w:rPr>
    </w:lvl>
    <w:lvl w:ilvl="1">
      <w:start w:val="2"/>
      <w:numFmt w:val="bullet"/>
      <w:lvlText w:val="−"/>
      <w:lvlJc w:val="left"/>
      <w:pPr>
        <w:tabs>
          <w:tab w:val="num" w:pos="2160"/>
        </w:tabs>
        <w:ind w:left="2160" w:hanging="360"/>
      </w:pPr>
      <w:rPr>
        <w:rFonts w:ascii="Times New Roman" w:hAnsi="Times New Roman" w:hint="default"/>
        <w:sz w:val="28"/>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1">
    <w:nsid w:val="2B906CFC"/>
    <w:multiLevelType w:val="hybridMultilevel"/>
    <w:tmpl w:val="93743BDC"/>
    <w:lvl w:ilvl="0" w:tplc="7F043678">
      <w:start w:val="1"/>
      <w:numFmt w:val="bullet"/>
      <w:lvlText w:val="o"/>
      <w:lvlJc w:val="left"/>
      <w:pPr>
        <w:ind w:left="720" w:hanging="360"/>
      </w:pPr>
      <w:rPr>
        <w:rFonts w:ascii="Courier New" w:hAnsi="Courier New" w:cs="Courier New" w:hint="default"/>
      </w:rPr>
    </w:lvl>
    <w:lvl w:ilvl="1" w:tplc="FEBAD69A">
      <w:start w:val="1"/>
      <w:numFmt w:val="bullet"/>
      <w:lvlText w:val="o"/>
      <w:lvlJc w:val="left"/>
      <w:pPr>
        <w:ind w:left="1440" w:hanging="360"/>
      </w:pPr>
      <w:rPr>
        <w:rFonts w:ascii="Courier New" w:hAnsi="Courier New" w:cs="Courier New" w:hint="default"/>
      </w:rPr>
    </w:lvl>
    <w:lvl w:ilvl="2" w:tplc="83388C04" w:tentative="1">
      <w:start w:val="1"/>
      <w:numFmt w:val="bullet"/>
      <w:lvlText w:val=""/>
      <w:lvlJc w:val="left"/>
      <w:pPr>
        <w:ind w:left="2160" w:hanging="360"/>
      </w:pPr>
      <w:rPr>
        <w:rFonts w:ascii="Wingdings" w:hAnsi="Wingdings" w:hint="default"/>
      </w:rPr>
    </w:lvl>
    <w:lvl w:ilvl="3" w:tplc="2132FE2E" w:tentative="1">
      <w:start w:val="1"/>
      <w:numFmt w:val="bullet"/>
      <w:lvlText w:val=""/>
      <w:lvlJc w:val="left"/>
      <w:pPr>
        <w:ind w:left="2880" w:hanging="360"/>
      </w:pPr>
      <w:rPr>
        <w:rFonts w:ascii="Symbol" w:hAnsi="Symbol" w:hint="default"/>
      </w:rPr>
    </w:lvl>
    <w:lvl w:ilvl="4" w:tplc="F7F284BA" w:tentative="1">
      <w:start w:val="1"/>
      <w:numFmt w:val="bullet"/>
      <w:lvlText w:val="o"/>
      <w:lvlJc w:val="left"/>
      <w:pPr>
        <w:ind w:left="3600" w:hanging="360"/>
      </w:pPr>
      <w:rPr>
        <w:rFonts w:ascii="Courier New" w:hAnsi="Courier New" w:cs="Courier New" w:hint="default"/>
      </w:rPr>
    </w:lvl>
    <w:lvl w:ilvl="5" w:tplc="6E925ADC" w:tentative="1">
      <w:start w:val="1"/>
      <w:numFmt w:val="bullet"/>
      <w:lvlText w:val=""/>
      <w:lvlJc w:val="left"/>
      <w:pPr>
        <w:ind w:left="4320" w:hanging="360"/>
      </w:pPr>
      <w:rPr>
        <w:rFonts w:ascii="Wingdings" w:hAnsi="Wingdings" w:hint="default"/>
      </w:rPr>
    </w:lvl>
    <w:lvl w:ilvl="6" w:tplc="3718F622" w:tentative="1">
      <w:start w:val="1"/>
      <w:numFmt w:val="bullet"/>
      <w:lvlText w:val=""/>
      <w:lvlJc w:val="left"/>
      <w:pPr>
        <w:ind w:left="5040" w:hanging="360"/>
      </w:pPr>
      <w:rPr>
        <w:rFonts w:ascii="Symbol" w:hAnsi="Symbol" w:hint="default"/>
      </w:rPr>
    </w:lvl>
    <w:lvl w:ilvl="7" w:tplc="2AE4E026" w:tentative="1">
      <w:start w:val="1"/>
      <w:numFmt w:val="bullet"/>
      <w:lvlText w:val="o"/>
      <w:lvlJc w:val="left"/>
      <w:pPr>
        <w:ind w:left="5760" w:hanging="360"/>
      </w:pPr>
      <w:rPr>
        <w:rFonts w:ascii="Courier New" w:hAnsi="Courier New" w:cs="Courier New" w:hint="default"/>
      </w:rPr>
    </w:lvl>
    <w:lvl w:ilvl="8" w:tplc="CC72C606" w:tentative="1">
      <w:start w:val="1"/>
      <w:numFmt w:val="bullet"/>
      <w:lvlText w:val=""/>
      <w:lvlJc w:val="left"/>
      <w:pPr>
        <w:ind w:left="6480" w:hanging="360"/>
      </w:pPr>
      <w:rPr>
        <w:rFonts w:ascii="Wingdings" w:hAnsi="Wingdings" w:hint="default"/>
      </w:rPr>
    </w:lvl>
  </w:abstractNum>
  <w:abstractNum w:abstractNumId="11" w15:restartNumberingAfterBreak="1">
    <w:nsid w:val="34097873"/>
    <w:multiLevelType w:val="hybridMultilevel"/>
    <w:tmpl w:val="637E2EC2"/>
    <w:lvl w:ilvl="0" w:tplc="F77CFA6C">
      <w:start w:val="1"/>
      <w:numFmt w:val="decimal"/>
      <w:lvlText w:val="%1."/>
      <w:lvlJc w:val="left"/>
      <w:pPr>
        <w:ind w:left="1080" w:hanging="360"/>
      </w:pPr>
    </w:lvl>
    <w:lvl w:ilvl="1" w:tplc="B73C0E9E" w:tentative="1">
      <w:start w:val="1"/>
      <w:numFmt w:val="lowerLetter"/>
      <w:lvlText w:val="%2."/>
      <w:lvlJc w:val="left"/>
      <w:pPr>
        <w:ind w:left="1800" w:hanging="360"/>
      </w:pPr>
    </w:lvl>
    <w:lvl w:ilvl="2" w:tplc="081EE138" w:tentative="1">
      <w:start w:val="1"/>
      <w:numFmt w:val="lowerRoman"/>
      <w:lvlText w:val="%3."/>
      <w:lvlJc w:val="right"/>
      <w:pPr>
        <w:ind w:left="2520" w:hanging="180"/>
      </w:pPr>
    </w:lvl>
    <w:lvl w:ilvl="3" w:tplc="E6969E9E" w:tentative="1">
      <w:start w:val="1"/>
      <w:numFmt w:val="decimal"/>
      <w:lvlText w:val="%4."/>
      <w:lvlJc w:val="left"/>
      <w:pPr>
        <w:ind w:left="3240" w:hanging="360"/>
      </w:pPr>
    </w:lvl>
    <w:lvl w:ilvl="4" w:tplc="7AB631C4" w:tentative="1">
      <w:start w:val="1"/>
      <w:numFmt w:val="lowerLetter"/>
      <w:lvlText w:val="%5."/>
      <w:lvlJc w:val="left"/>
      <w:pPr>
        <w:ind w:left="3960" w:hanging="360"/>
      </w:pPr>
    </w:lvl>
    <w:lvl w:ilvl="5" w:tplc="A1E65E6E" w:tentative="1">
      <w:start w:val="1"/>
      <w:numFmt w:val="lowerRoman"/>
      <w:lvlText w:val="%6."/>
      <w:lvlJc w:val="right"/>
      <w:pPr>
        <w:ind w:left="4680" w:hanging="180"/>
      </w:pPr>
    </w:lvl>
    <w:lvl w:ilvl="6" w:tplc="2C2A9DF4" w:tentative="1">
      <w:start w:val="1"/>
      <w:numFmt w:val="decimal"/>
      <w:lvlText w:val="%7."/>
      <w:lvlJc w:val="left"/>
      <w:pPr>
        <w:ind w:left="5400" w:hanging="360"/>
      </w:pPr>
    </w:lvl>
    <w:lvl w:ilvl="7" w:tplc="45E25D08" w:tentative="1">
      <w:start w:val="1"/>
      <w:numFmt w:val="lowerLetter"/>
      <w:lvlText w:val="%8."/>
      <w:lvlJc w:val="left"/>
      <w:pPr>
        <w:ind w:left="6120" w:hanging="360"/>
      </w:pPr>
    </w:lvl>
    <w:lvl w:ilvl="8" w:tplc="607AA998" w:tentative="1">
      <w:start w:val="1"/>
      <w:numFmt w:val="lowerRoman"/>
      <w:lvlText w:val="%9."/>
      <w:lvlJc w:val="right"/>
      <w:pPr>
        <w:ind w:left="6840" w:hanging="180"/>
      </w:pPr>
    </w:lvl>
  </w:abstractNum>
  <w:abstractNum w:abstractNumId="12" w15:restartNumberingAfterBreak="1">
    <w:nsid w:val="41DE3502"/>
    <w:multiLevelType w:val="hybridMultilevel"/>
    <w:tmpl w:val="80A81D6E"/>
    <w:lvl w:ilvl="0" w:tplc="F530F0DC">
      <w:start w:val="1"/>
      <w:numFmt w:val="bullet"/>
      <w:lvlText w:val=""/>
      <w:lvlJc w:val="left"/>
      <w:pPr>
        <w:ind w:left="720" w:hanging="360"/>
      </w:pPr>
      <w:rPr>
        <w:rFonts w:ascii="Symbol" w:hAnsi="Symbol" w:hint="default"/>
      </w:rPr>
    </w:lvl>
    <w:lvl w:ilvl="1" w:tplc="AF1689E6">
      <w:start w:val="1"/>
      <w:numFmt w:val="bullet"/>
      <w:lvlText w:val="o"/>
      <w:lvlJc w:val="left"/>
      <w:pPr>
        <w:ind w:left="1440" w:hanging="360"/>
      </w:pPr>
      <w:rPr>
        <w:rFonts w:ascii="Courier New" w:hAnsi="Courier New" w:cs="Courier New" w:hint="default"/>
      </w:rPr>
    </w:lvl>
    <w:lvl w:ilvl="2" w:tplc="9D789DF0">
      <w:start w:val="1"/>
      <w:numFmt w:val="bullet"/>
      <w:lvlText w:val=""/>
      <w:lvlJc w:val="left"/>
      <w:pPr>
        <w:ind w:left="2160" w:hanging="360"/>
      </w:pPr>
      <w:rPr>
        <w:rFonts w:ascii="Wingdings" w:hAnsi="Wingdings" w:hint="default"/>
      </w:rPr>
    </w:lvl>
    <w:lvl w:ilvl="3" w:tplc="AD44A8BC">
      <w:start w:val="1"/>
      <w:numFmt w:val="bullet"/>
      <w:lvlText w:val=""/>
      <w:lvlJc w:val="left"/>
      <w:pPr>
        <w:ind w:left="2880" w:hanging="360"/>
      </w:pPr>
      <w:rPr>
        <w:rFonts w:ascii="Symbol" w:hAnsi="Symbol" w:hint="default"/>
      </w:rPr>
    </w:lvl>
    <w:lvl w:ilvl="4" w:tplc="D938F7BE">
      <w:start w:val="1"/>
      <w:numFmt w:val="bullet"/>
      <w:lvlText w:val="o"/>
      <w:lvlJc w:val="left"/>
      <w:pPr>
        <w:ind w:left="3600" w:hanging="360"/>
      </w:pPr>
      <w:rPr>
        <w:rFonts w:ascii="Courier New" w:hAnsi="Courier New" w:cs="Courier New" w:hint="default"/>
      </w:rPr>
    </w:lvl>
    <w:lvl w:ilvl="5" w:tplc="D7AEE584">
      <w:start w:val="1"/>
      <w:numFmt w:val="bullet"/>
      <w:lvlText w:val=""/>
      <w:lvlJc w:val="left"/>
      <w:pPr>
        <w:ind w:left="4320" w:hanging="360"/>
      </w:pPr>
      <w:rPr>
        <w:rFonts w:ascii="Wingdings" w:hAnsi="Wingdings" w:hint="default"/>
      </w:rPr>
    </w:lvl>
    <w:lvl w:ilvl="6" w:tplc="BB008180">
      <w:start w:val="1"/>
      <w:numFmt w:val="bullet"/>
      <w:lvlText w:val=""/>
      <w:lvlJc w:val="left"/>
      <w:pPr>
        <w:ind w:left="5040" w:hanging="360"/>
      </w:pPr>
      <w:rPr>
        <w:rFonts w:ascii="Symbol" w:hAnsi="Symbol" w:hint="default"/>
      </w:rPr>
    </w:lvl>
    <w:lvl w:ilvl="7" w:tplc="6A4C49CC">
      <w:start w:val="1"/>
      <w:numFmt w:val="bullet"/>
      <w:lvlText w:val="o"/>
      <w:lvlJc w:val="left"/>
      <w:pPr>
        <w:ind w:left="5760" w:hanging="360"/>
      </w:pPr>
      <w:rPr>
        <w:rFonts w:ascii="Courier New" w:hAnsi="Courier New" w:cs="Courier New" w:hint="default"/>
      </w:rPr>
    </w:lvl>
    <w:lvl w:ilvl="8" w:tplc="8618B182">
      <w:start w:val="1"/>
      <w:numFmt w:val="bullet"/>
      <w:lvlText w:val=""/>
      <w:lvlJc w:val="left"/>
      <w:pPr>
        <w:ind w:left="6480" w:hanging="360"/>
      </w:pPr>
      <w:rPr>
        <w:rFonts w:ascii="Wingdings" w:hAnsi="Wingdings" w:hint="default"/>
      </w:rPr>
    </w:lvl>
  </w:abstractNum>
  <w:abstractNum w:abstractNumId="13" w15:restartNumberingAfterBreak="1">
    <w:nsid w:val="49D53776"/>
    <w:multiLevelType w:val="hybridMultilevel"/>
    <w:tmpl w:val="CEEA914E"/>
    <w:lvl w:ilvl="0" w:tplc="3C52A18A">
      <w:start w:val="1"/>
      <w:numFmt w:val="bullet"/>
      <w:lvlText w:val=""/>
      <w:lvlJc w:val="left"/>
      <w:pPr>
        <w:ind w:left="1429" w:hanging="360"/>
      </w:pPr>
      <w:rPr>
        <w:rFonts w:ascii="Symbol" w:hAnsi="Symbol" w:hint="default"/>
      </w:rPr>
    </w:lvl>
    <w:lvl w:ilvl="1" w:tplc="AFA010EC" w:tentative="1">
      <w:start w:val="1"/>
      <w:numFmt w:val="bullet"/>
      <w:lvlText w:val="o"/>
      <w:lvlJc w:val="left"/>
      <w:pPr>
        <w:ind w:left="2149" w:hanging="360"/>
      </w:pPr>
      <w:rPr>
        <w:rFonts w:ascii="Courier New" w:hAnsi="Courier New" w:cs="Courier New" w:hint="default"/>
      </w:rPr>
    </w:lvl>
    <w:lvl w:ilvl="2" w:tplc="6BBCADB2" w:tentative="1">
      <w:start w:val="1"/>
      <w:numFmt w:val="bullet"/>
      <w:lvlText w:val=""/>
      <w:lvlJc w:val="left"/>
      <w:pPr>
        <w:ind w:left="2869" w:hanging="360"/>
      </w:pPr>
      <w:rPr>
        <w:rFonts w:ascii="Wingdings" w:hAnsi="Wingdings" w:hint="default"/>
      </w:rPr>
    </w:lvl>
    <w:lvl w:ilvl="3" w:tplc="FAB210D4" w:tentative="1">
      <w:start w:val="1"/>
      <w:numFmt w:val="bullet"/>
      <w:lvlText w:val=""/>
      <w:lvlJc w:val="left"/>
      <w:pPr>
        <w:ind w:left="3589" w:hanging="360"/>
      </w:pPr>
      <w:rPr>
        <w:rFonts w:ascii="Symbol" w:hAnsi="Symbol" w:hint="default"/>
      </w:rPr>
    </w:lvl>
    <w:lvl w:ilvl="4" w:tplc="19B8EE86" w:tentative="1">
      <w:start w:val="1"/>
      <w:numFmt w:val="bullet"/>
      <w:lvlText w:val="o"/>
      <w:lvlJc w:val="left"/>
      <w:pPr>
        <w:ind w:left="4309" w:hanging="360"/>
      </w:pPr>
      <w:rPr>
        <w:rFonts w:ascii="Courier New" w:hAnsi="Courier New" w:cs="Courier New" w:hint="default"/>
      </w:rPr>
    </w:lvl>
    <w:lvl w:ilvl="5" w:tplc="0D9218E4" w:tentative="1">
      <w:start w:val="1"/>
      <w:numFmt w:val="bullet"/>
      <w:lvlText w:val=""/>
      <w:lvlJc w:val="left"/>
      <w:pPr>
        <w:ind w:left="5029" w:hanging="360"/>
      </w:pPr>
      <w:rPr>
        <w:rFonts w:ascii="Wingdings" w:hAnsi="Wingdings" w:hint="default"/>
      </w:rPr>
    </w:lvl>
    <w:lvl w:ilvl="6" w:tplc="5F66403C" w:tentative="1">
      <w:start w:val="1"/>
      <w:numFmt w:val="bullet"/>
      <w:lvlText w:val=""/>
      <w:lvlJc w:val="left"/>
      <w:pPr>
        <w:ind w:left="5749" w:hanging="360"/>
      </w:pPr>
      <w:rPr>
        <w:rFonts w:ascii="Symbol" w:hAnsi="Symbol" w:hint="default"/>
      </w:rPr>
    </w:lvl>
    <w:lvl w:ilvl="7" w:tplc="A2F87732" w:tentative="1">
      <w:start w:val="1"/>
      <w:numFmt w:val="bullet"/>
      <w:lvlText w:val="o"/>
      <w:lvlJc w:val="left"/>
      <w:pPr>
        <w:ind w:left="6469" w:hanging="360"/>
      </w:pPr>
      <w:rPr>
        <w:rFonts w:ascii="Courier New" w:hAnsi="Courier New" w:cs="Courier New" w:hint="default"/>
      </w:rPr>
    </w:lvl>
    <w:lvl w:ilvl="8" w:tplc="28547B90" w:tentative="1">
      <w:start w:val="1"/>
      <w:numFmt w:val="bullet"/>
      <w:lvlText w:val=""/>
      <w:lvlJc w:val="left"/>
      <w:pPr>
        <w:ind w:left="7189" w:hanging="360"/>
      </w:pPr>
      <w:rPr>
        <w:rFonts w:ascii="Wingdings" w:hAnsi="Wingdings" w:hint="default"/>
      </w:rPr>
    </w:lvl>
  </w:abstractNum>
  <w:abstractNum w:abstractNumId="14" w15:restartNumberingAfterBreak="1">
    <w:nsid w:val="54B84B73"/>
    <w:multiLevelType w:val="multilevel"/>
    <w:tmpl w:val="63D2FBD0"/>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1">
    <w:nsid w:val="57E54237"/>
    <w:multiLevelType w:val="hybridMultilevel"/>
    <w:tmpl w:val="B40A7DE2"/>
    <w:lvl w:ilvl="0" w:tplc="6B9A69C8">
      <w:numFmt w:val="bullet"/>
      <w:lvlText w:val="-"/>
      <w:lvlJc w:val="left"/>
      <w:pPr>
        <w:ind w:left="720" w:hanging="360"/>
      </w:pPr>
      <w:rPr>
        <w:rFonts w:ascii="Times New Roman" w:eastAsia="Times New Roman" w:hAnsi="Times New Roman" w:cs="Times New Roman" w:hint="default"/>
      </w:rPr>
    </w:lvl>
    <w:lvl w:ilvl="1" w:tplc="A620A8EC" w:tentative="1">
      <w:start w:val="1"/>
      <w:numFmt w:val="bullet"/>
      <w:lvlText w:val="o"/>
      <w:lvlJc w:val="left"/>
      <w:pPr>
        <w:ind w:left="1440" w:hanging="360"/>
      </w:pPr>
      <w:rPr>
        <w:rFonts w:ascii="Courier New" w:hAnsi="Courier New" w:cs="Courier New" w:hint="default"/>
      </w:rPr>
    </w:lvl>
    <w:lvl w:ilvl="2" w:tplc="ED5A58FE" w:tentative="1">
      <w:start w:val="1"/>
      <w:numFmt w:val="bullet"/>
      <w:lvlText w:val=""/>
      <w:lvlJc w:val="left"/>
      <w:pPr>
        <w:ind w:left="2160" w:hanging="360"/>
      </w:pPr>
      <w:rPr>
        <w:rFonts w:ascii="Wingdings" w:hAnsi="Wingdings" w:hint="default"/>
      </w:rPr>
    </w:lvl>
    <w:lvl w:ilvl="3" w:tplc="79F06440" w:tentative="1">
      <w:start w:val="1"/>
      <w:numFmt w:val="bullet"/>
      <w:lvlText w:val=""/>
      <w:lvlJc w:val="left"/>
      <w:pPr>
        <w:ind w:left="2880" w:hanging="360"/>
      </w:pPr>
      <w:rPr>
        <w:rFonts w:ascii="Symbol" w:hAnsi="Symbol" w:hint="default"/>
      </w:rPr>
    </w:lvl>
    <w:lvl w:ilvl="4" w:tplc="78DCFB04" w:tentative="1">
      <w:start w:val="1"/>
      <w:numFmt w:val="bullet"/>
      <w:lvlText w:val="o"/>
      <w:lvlJc w:val="left"/>
      <w:pPr>
        <w:ind w:left="3600" w:hanging="360"/>
      </w:pPr>
      <w:rPr>
        <w:rFonts w:ascii="Courier New" w:hAnsi="Courier New" w:cs="Courier New" w:hint="default"/>
      </w:rPr>
    </w:lvl>
    <w:lvl w:ilvl="5" w:tplc="62109B6A" w:tentative="1">
      <w:start w:val="1"/>
      <w:numFmt w:val="bullet"/>
      <w:lvlText w:val=""/>
      <w:lvlJc w:val="left"/>
      <w:pPr>
        <w:ind w:left="4320" w:hanging="360"/>
      </w:pPr>
      <w:rPr>
        <w:rFonts w:ascii="Wingdings" w:hAnsi="Wingdings" w:hint="default"/>
      </w:rPr>
    </w:lvl>
    <w:lvl w:ilvl="6" w:tplc="A7167DEE" w:tentative="1">
      <w:start w:val="1"/>
      <w:numFmt w:val="bullet"/>
      <w:lvlText w:val=""/>
      <w:lvlJc w:val="left"/>
      <w:pPr>
        <w:ind w:left="5040" w:hanging="360"/>
      </w:pPr>
      <w:rPr>
        <w:rFonts w:ascii="Symbol" w:hAnsi="Symbol" w:hint="default"/>
      </w:rPr>
    </w:lvl>
    <w:lvl w:ilvl="7" w:tplc="7FD47F6E" w:tentative="1">
      <w:start w:val="1"/>
      <w:numFmt w:val="bullet"/>
      <w:lvlText w:val="o"/>
      <w:lvlJc w:val="left"/>
      <w:pPr>
        <w:ind w:left="5760" w:hanging="360"/>
      </w:pPr>
      <w:rPr>
        <w:rFonts w:ascii="Courier New" w:hAnsi="Courier New" w:cs="Courier New" w:hint="default"/>
      </w:rPr>
    </w:lvl>
    <w:lvl w:ilvl="8" w:tplc="247CF858" w:tentative="1">
      <w:start w:val="1"/>
      <w:numFmt w:val="bullet"/>
      <w:lvlText w:val=""/>
      <w:lvlJc w:val="left"/>
      <w:pPr>
        <w:ind w:left="6480" w:hanging="360"/>
      </w:pPr>
      <w:rPr>
        <w:rFonts w:ascii="Wingdings" w:hAnsi="Wingdings" w:hint="default"/>
      </w:rPr>
    </w:lvl>
  </w:abstractNum>
  <w:abstractNum w:abstractNumId="16" w15:restartNumberingAfterBreak="1">
    <w:nsid w:val="5E471DEC"/>
    <w:multiLevelType w:val="hybridMultilevel"/>
    <w:tmpl w:val="9E42DE7A"/>
    <w:lvl w:ilvl="0" w:tplc="B5120154">
      <w:start w:val="1"/>
      <w:numFmt w:val="bullet"/>
      <w:lvlText w:val=""/>
      <w:lvlJc w:val="left"/>
      <w:pPr>
        <w:ind w:left="720" w:hanging="360"/>
      </w:pPr>
      <w:rPr>
        <w:rFonts w:ascii="Symbol" w:hAnsi="Symbol" w:hint="default"/>
      </w:rPr>
    </w:lvl>
    <w:lvl w:ilvl="1" w:tplc="3EDE18CA" w:tentative="1">
      <w:start w:val="1"/>
      <w:numFmt w:val="bullet"/>
      <w:lvlText w:val="o"/>
      <w:lvlJc w:val="left"/>
      <w:pPr>
        <w:ind w:left="1440" w:hanging="360"/>
      </w:pPr>
      <w:rPr>
        <w:rFonts w:ascii="Courier New" w:hAnsi="Courier New" w:cs="Courier New" w:hint="default"/>
      </w:rPr>
    </w:lvl>
    <w:lvl w:ilvl="2" w:tplc="6C3CBC1C" w:tentative="1">
      <w:start w:val="1"/>
      <w:numFmt w:val="bullet"/>
      <w:lvlText w:val=""/>
      <w:lvlJc w:val="left"/>
      <w:pPr>
        <w:ind w:left="2160" w:hanging="360"/>
      </w:pPr>
      <w:rPr>
        <w:rFonts w:ascii="Wingdings" w:hAnsi="Wingdings" w:hint="default"/>
      </w:rPr>
    </w:lvl>
    <w:lvl w:ilvl="3" w:tplc="3724DB02" w:tentative="1">
      <w:start w:val="1"/>
      <w:numFmt w:val="bullet"/>
      <w:lvlText w:val=""/>
      <w:lvlJc w:val="left"/>
      <w:pPr>
        <w:ind w:left="2880" w:hanging="360"/>
      </w:pPr>
      <w:rPr>
        <w:rFonts w:ascii="Symbol" w:hAnsi="Symbol" w:hint="default"/>
      </w:rPr>
    </w:lvl>
    <w:lvl w:ilvl="4" w:tplc="61C2D5D2" w:tentative="1">
      <w:start w:val="1"/>
      <w:numFmt w:val="bullet"/>
      <w:lvlText w:val="o"/>
      <w:lvlJc w:val="left"/>
      <w:pPr>
        <w:ind w:left="3600" w:hanging="360"/>
      </w:pPr>
      <w:rPr>
        <w:rFonts w:ascii="Courier New" w:hAnsi="Courier New" w:cs="Courier New" w:hint="default"/>
      </w:rPr>
    </w:lvl>
    <w:lvl w:ilvl="5" w:tplc="5DFE6758" w:tentative="1">
      <w:start w:val="1"/>
      <w:numFmt w:val="bullet"/>
      <w:lvlText w:val=""/>
      <w:lvlJc w:val="left"/>
      <w:pPr>
        <w:ind w:left="4320" w:hanging="360"/>
      </w:pPr>
      <w:rPr>
        <w:rFonts w:ascii="Wingdings" w:hAnsi="Wingdings" w:hint="default"/>
      </w:rPr>
    </w:lvl>
    <w:lvl w:ilvl="6" w:tplc="1F5EC0AA" w:tentative="1">
      <w:start w:val="1"/>
      <w:numFmt w:val="bullet"/>
      <w:lvlText w:val=""/>
      <w:lvlJc w:val="left"/>
      <w:pPr>
        <w:ind w:left="5040" w:hanging="360"/>
      </w:pPr>
      <w:rPr>
        <w:rFonts w:ascii="Symbol" w:hAnsi="Symbol" w:hint="default"/>
      </w:rPr>
    </w:lvl>
    <w:lvl w:ilvl="7" w:tplc="F25C36C2" w:tentative="1">
      <w:start w:val="1"/>
      <w:numFmt w:val="bullet"/>
      <w:lvlText w:val="o"/>
      <w:lvlJc w:val="left"/>
      <w:pPr>
        <w:ind w:left="5760" w:hanging="360"/>
      </w:pPr>
      <w:rPr>
        <w:rFonts w:ascii="Courier New" w:hAnsi="Courier New" w:cs="Courier New" w:hint="default"/>
      </w:rPr>
    </w:lvl>
    <w:lvl w:ilvl="8" w:tplc="1E2CC156" w:tentative="1">
      <w:start w:val="1"/>
      <w:numFmt w:val="bullet"/>
      <w:lvlText w:val=""/>
      <w:lvlJc w:val="left"/>
      <w:pPr>
        <w:ind w:left="6480" w:hanging="360"/>
      </w:pPr>
      <w:rPr>
        <w:rFonts w:ascii="Wingdings" w:hAnsi="Wingdings" w:hint="default"/>
      </w:rPr>
    </w:lvl>
  </w:abstractNum>
  <w:abstractNum w:abstractNumId="17" w15:restartNumberingAfterBreak="1">
    <w:nsid w:val="62022AAE"/>
    <w:multiLevelType w:val="hybridMultilevel"/>
    <w:tmpl w:val="52D8C1D4"/>
    <w:lvl w:ilvl="0" w:tplc="F692EE18">
      <w:start w:val="1"/>
      <w:numFmt w:val="decimal"/>
      <w:lvlText w:val="%1)"/>
      <w:lvlJc w:val="left"/>
      <w:pPr>
        <w:ind w:left="360" w:hanging="360"/>
      </w:pPr>
    </w:lvl>
    <w:lvl w:ilvl="1" w:tplc="95186880" w:tentative="1">
      <w:start w:val="1"/>
      <w:numFmt w:val="lowerLetter"/>
      <w:lvlText w:val="%2."/>
      <w:lvlJc w:val="left"/>
      <w:pPr>
        <w:ind w:left="1080" w:hanging="360"/>
      </w:pPr>
    </w:lvl>
    <w:lvl w:ilvl="2" w:tplc="69B490FE" w:tentative="1">
      <w:start w:val="1"/>
      <w:numFmt w:val="lowerRoman"/>
      <w:lvlText w:val="%3."/>
      <w:lvlJc w:val="right"/>
      <w:pPr>
        <w:ind w:left="1800" w:hanging="180"/>
      </w:pPr>
    </w:lvl>
    <w:lvl w:ilvl="3" w:tplc="D8EA45FE" w:tentative="1">
      <w:start w:val="1"/>
      <w:numFmt w:val="decimal"/>
      <w:lvlText w:val="%4."/>
      <w:lvlJc w:val="left"/>
      <w:pPr>
        <w:ind w:left="2520" w:hanging="360"/>
      </w:pPr>
    </w:lvl>
    <w:lvl w:ilvl="4" w:tplc="895AABF0" w:tentative="1">
      <w:start w:val="1"/>
      <w:numFmt w:val="lowerLetter"/>
      <w:lvlText w:val="%5."/>
      <w:lvlJc w:val="left"/>
      <w:pPr>
        <w:ind w:left="3240" w:hanging="360"/>
      </w:pPr>
    </w:lvl>
    <w:lvl w:ilvl="5" w:tplc="AC048848" w:tentative="1">
      <w:start w:val="1"/>
      <w:numFmt w:val="lowerRoman"/>
      <w:lvlText w:val="%6."/>
      <w:lvlJc w:val="right"/>
      <w:pPr>
        <w:ind w:left="3960" w:hanging="180"/>
      </w:pPr>
    </w:lvl>
    <w:lvl w:ilvl="6" w:tplc="D1D20ABE" w:tentative="1">
      <w:start w:val="1"/>
      <w:numFmt w:val="decimal"/>
      <w:lvlText w:val="%7."/>
      <w:lvlJc w:val="left"/>
      <w:pPr>
        <w:ind w:left="4680" w:hanging="360"/>
      </w:pPr>
    </w:lvl>
    <w:lvl w:ilvl="7" w:tplc="9AB4925E" w:tentative="1">
      <w:start w:val="1"/>
      <w:numFmt w:val="lowerLetter"/>
      <w:lvlText w:val="%8."/>
      <w:lvlJc w:val="left"/>
      <w:pPr>
        <w:ind w:left="5400" w:hanging="360"/>
      </w:pPr>
    </w:lvl>
    <w:lvl w:ilvl="8" w:tplc="9B463C6E" w:tentative="1">
      <w:start w:val="1"/>
      <w:numFmt w:val="lowerRoman"/>
      <w:lvlText w:val="%9."/>
      <w:lvlJc w:val="right"/>
      <w:pPr>
        <w:ind w:left="6120" w:hanging="180"/>
      </w:pPr>
    </w:lvl>
  </w:abstractNum>
  <w:abstractNum w:abstractNumId="18" w15:restartNumberingAfterBreak="1">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15:restartNumberingAfterBreak="1">
    <w:nsid w:val="7A1C4969"/>
    <w:multiLevelType w:val="hybridMultilevel"/>
    <w:tmpl w:val="ECE2348E"/>
    <w:lvl w:ilvl="0" w:tplc="AD44A4D4">
      <w:start w:val="1"/>
      <w:numFmt w:val="bullet"/>
      <w:lvlText w:val=""/>
      <w:lvlJc w:val="left"/>
      <w:pPr>
        <w:ind w:left="1507" w:hanging="360"/>
      </w:pPr>
      <w:rPr>
        <w:rFonts w:ascii="Symbol" w:hAnsi="Symbol" w:hint="default"/>
      </w:rPr>
    </w:lvl>
    <w:lvl w:ilvl="1" w:tplc="D6A03D88" w:tentative="1">
      <w:start w:val="1"/>
      <w:numFmt w:val="bullet"/>
      <w:lvlText w:val="o"/>
      <w:lvlJc w:val="left"/>
      <w:pPr>
        <w:ind w:left="2227" w:hanging="360"/>
      </w:pPr>
      <w:rPr>
        <w:rFonts w:ascii="Courier New" w:hAnsi="Courier New" w:hint="default"/>
      </w:rPr>
    </w:lvl>
    <w:lvl w:ilvl="2" w:tplc="FD647E6A" w:tentative="1">
      <w:start w:val="1"/>
      <w:numFmt w:val="bullet"/>
      <w:lvlText w:val=""/>
      <w:lvlJc w:val="left"/>
      <w:pPr>
        <w:ind w:left="2947" w:hanging="360"/>
      </w:pPr>
      <w:rPr>
        <w:rFonts w:ascii="Wingdings" w:hAnsi="Wingdings" w:hint="default"/>
      </w:rPr>
    </w:lvl>
    <w:lvl w:ilvl="3" w:tplc="3B06A234" w:tentative="1">
      <w:start w:val="1"/>
      <w:numFmt w:val="bullet"/>
      <w:lvlText w:val=""/>
      <w:lvlJc w:val="left"/>
      <w:pPr>
        <w:ind w:left="3667" w:hanging="360"/>
      </w:pPr>
      <w:rPr>
        <w:rFonts w:ascii="Symbol" w:hAnsi="Symbol" w:hint="default"/>
      </w:rPr>
    </w:lvl>
    <w:lvl w:ilvl="4" w:tplc="3E9C63DC" w:tentative="1">
      <w:start w:val="1"/>
      <w:numFmt w:val="bullet"/>
      <w:lvlText w:val="o"/>
      <w:lvlJc w:val="left"/>
      <w:pPr>
        <w:ind w:left="4387" w:hanging="360"/>
      </w:pPr>
      <w:rPr>
        <w:rFonts w:ascii="Courier New" w:hAnsi="Courier New" w:hint="default"/>
      </w:rPr>
    </w:lvl>
    <w:lvl w:ilvl="5" w:tplc="52DA01A4" w:tentative="1">
      <w:start w:val="1"/>
      <w:numFmt w:val="bullet"/>
      <w:lvlText w:val=""/>
      <w:lvlJc w:val="left"/>
      <w:pPr>
        <w:ind w:left="5107" w:hanging="360"/>
      </w:pPr>
      <w:rPr>
        <w:rFonts w:ascii="Wingdings" w:hAnsi="Wingdings" w:hint="default"/>
      </w:rPr>
    </w:lvl>
    <w:lvl w:ilvl="6" w:tplc="4BA6B1EA" w:tentative="1">
      <w:start w:val="1"/>
      <w:numFmt w:val="bullet"/>
      <w:lvlText w:val=""/>
      <w:lvlJc w:val="left"/>
      <w:pPr>
        <w:ind w:left="5827" w:hanging="360"/>
      </w:pPr>
      <w:rPr>
        <w:rFonts w:ascii="Symbol" w:hAnsi="Symbol" w:hint="default"/>
      </w:rPr>
    </w:lvl>
    <w:lvl w:ilvl="7" w:tplc="FD5A1ABE" w:tentative="1">
      <w:start w:val="1"/>
      <w:numFmt w:val="bullet"/>
      <w:lvlText w:val="o"/>
      <w:lvlJc w:val="left"/>
      <w:pPr>
        <w:ind w:left="6547" w:hanging="360"/>
      </w:pPr>
      <w:rPr>
        <w:rFonts w:ascii="Courier New" w:hAnsi="Courier New" w:hint="default"/>
      </w:rPr>
    </w:lvl>
    <w:lvl w:ilvl="8" w:tplc="2F762F0C" w:tentative="1">
      <w:start w:val="1"/>
      <w:numFmt w:val="bullet"/>
      <w:lvlText w:val=""/>
      <w:lvlJc w:val="left"/>
      <w:pPr>
        <w:ind w:left="7267" w:hanging="360"/>
      </w:pPr>
      <w:rPr>
        <w:rFonts w:ascii="Wingdings" w:hAnsi="Wingdings" w:hint="default"/>
      </w:rPr>
    </w:lvl>
  </w:abstractNum>
  <w:num w:numId="1">
    <w:abstractNumId w:val="1"/>
  </w:num>
  <w:num w:numId="2">
    <w:abstractNumId w:val="8"/>
  </w:num>
  <w:num w:numId="3">
    <w:abstractNumId w:val="6"/>
  </w:num>
  <w:num w:numId="4">
    <w:abstractNumId w:val="17"/>
  </w:num>
  <w:num w:numId="5">
    <w:abstractNumId w:val="18"/>
  </w:num>
  <w:num w:numId="6">
    <w:abstractNumId w:val="11"/>
  </w:num>
  <w:num w:numId="7">
    <w:abstractNumId w:val="2"/>
  </w:num>
  <w:num w:numId="8">
    <w:abstractNumId w:val="14"/>
  </w:num>
  <w:num w:numId="9">
    <w:abstractNumId w:val="9"/>
  </w:num>
  <w:num w:numId="10">
    <w:abstractNumId w:val="7"/>
  </w:num>
  <w:num w:numId="11">
    <w:abstractNumId w:val="4"/>
  </w:num>
  <w:num w:numId="12">
    <w:abstractNumId w:val="5"/>
  </w:num>
  <w:num w:numId="13">
    <w:abstractNumId w:val="13"/>
  </w:num>
  <w:num w:numId="14">
    <w:abstractNumId w:val="19"/>
  </w:num>
  <w:num w:numId="15">
    <w:abstractNumId w:val="10"/>
  </w:num>
  <w:num w:numId="16">
    <w:abstractNumId w:val="12"/>
  </w:num>
  <w:num w:numId="17">
    <w:abstractNumId w:val="15"/>
  </w:num>
  <w:num w:numId="18">
    <w:abstractNumId w:val="12"/>
  </w:num>
  <w:num w:numId="19">
    <w:abstractNumId w:val="16"/>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2470"/>
    <w:rsid w:val="00005D22"/>
    <w:rsid w:val="00006846"/>
    <w:rsid w:val="00006D90"/>
    <w:rsid w:val="000115B5"/>
    <w:rsid w:val="00011E64"/>
    <w:rsid w:val="00014430"/>
    <w:rsid w:val="00020DC3"/>
    <w:rsid w:val="0002284A"/>
    <w:rsid w:val="00023A03"/>
    <w:rsid w:val="00025AD8"/>
    <w:rsid w:val="00027571"/>
    <w:rsid w:val="00031459"/>
    <w:rsid w:val="00031E82"/>
    <w:rsid w:val="00033EF5"/>
    <w:rsid w:val="00034F90"/>
    <w:rsid w:val="0003612E"/>
    <w:rsid w:val="0004372B"/>
    <w:rsid w:val="00043B9C"/>
    <w:rsid w:val="0004545A"/>
    <w:rsid w:val="00045571"/>
    <w:rsid w:val="00047BD8"/>
    <w:rsid w:val="00050DCB"/>
    <w:rsid w:val="00051170"/>
    <w:rsid w:val="000523FB"/>
    <w:rsid w:val="000533F3"/>
    <w:rsid w:val="000539DF"/>
    <w:rsid w:val="00054EAA"/>
    <w:rsid w:val="00060F34"/>
    <w:rsid w:val="000612AA"/>
    <w:rsid w:val="00061F99"/>
    <w:rsid w:val="0006361C"/>
    <w:rsid w:val="00063C53"/>
    <w:rsid w:val="00067812"/>
    <w:rsid w:val="0007149C"/>
    <w:rsid w:val="00074328"/>
    <w:rsid w:val="0007470E"/>
    <w:rsid w:val="00074A22"/>
    <w:rsid w:val="00075B36"/>
    <w:rsid w:val="00084862"/>
    <w:rsid w:val="00090216"/>
    <w:rsid w:val="00092118"/>
    <w:rsid w:val="00092240"/>
    <w:rsid w:val="00092D55"/>
    <w:rsid w:val="000935C0"/>
    <w:rsid w:val="00094BC2"/>
    <w:rsid w:val="00094F92"/>
    <w:rsid w:val="000978F2"/>
    <w:rsid w:val="00097A9C"/>
    <w:rsid w:val="000A089B"/>
    <w:rsid w:val="000A0C78"/>
    <w:rsid w:val="000A2CB4"/>
    <w:rsid w:val="000A38C1"/>
    <w:rsid w:val="000A478F"/>
    <w:rsid w:val="000A5900"/>
    <w:rsid w:val="000A7D2D"/>
    <w:rsid w:val="000B0CAA"/>
    <w:rsid w:val="000B21FF"/>
    <w:rsid w:val="000B22EF"/>
    <w:rsid w:val="000B24D5"/>
    <w:rsid w:val="000B5BD8"/>
    <w:rsid w:val="000B6365"/>
    <w:rsid w:val="000C085F"/>
    <w:rsid w:val="000C10FB"/>
    <w:rsid w:val="000C2D68"/>
    <w:rsid w:val="000C2E55"/>
    <w:rsid w:val="000C325B"/>
    <w:rsid w:val="000C3B3B"/>
    <w:rsid w:val="000C4562"/>
    <w:rsid w:val="000C4D86"/>
    <w:rsid w:val="000D0F56"/>
    <w:rsid w:val="000D17C5"/>
    <w:rsid w:val="000D2EF6"/>
    <w:rsid w:val="000D5525"/>
    <w:rsid w:val="000D708F"/>
    <w:rsid w:val="000E2EB6"/>
    <w:rsid w:val="000E3C2D"/>
    <w:rsid w:val="000E7240"/>
    <w:rsid w:val="000E75C1"/>
    <w:rsid w:val="000E7F98"/>
    <w:rsid w:val="000F02F6"/>
    <w:rsid w:val="000F1A94"/>
    <w:rsid w:val="000F4451"/>
    <w:rsid w:val="000F51B7"/>
    <w:rsid w:val="000F5956"/>
    <w:rsid w:val="000F5C7E"/>
    <w:rsid w:val="000F64E1"/>
    <w:rsid w:val="000F6824"/>
    <w:rsid w:val="0010486A"/>
    <w:rsid w:val="00104EDB"/>
    <w:rsid w:val="00105459"/>
    <w:rsid w:val="00107EF6"/>
    <w:rsid w:val="00112A34"/>
    <w:rsid w:val="00114C93"/>
    <w:rsid w:val="001161CF"/>
    <w:rsid w:val="0011632E"/>
    <w:rsid w:val="00121B65"/>
    <w:rsid w:val="00124A21"/>
    <w:rsid w:val="00125799"/>
    <w:rsid w:val="001265A2"/>
    <w:rsid w:val="00126E45"/>
    <w:rsid w:val="00130A94"/>
    <w:rsid w:val="00133BBF"/>
    <w:rsid w:val="00134B00"/>
    <w:rsid w:val="00141470"/>
    <w:rsid w:val="001423B7"/>
    <w:rsid w:val="00143EE5"/>
    <w:rsid w:val="00144E72"/>
    <w:rsid w:val="001456B5"/>
    <w:rsid w:val="00147976"/>
    <w:rsid w:val="00152253"/>
    <w:rsid w:val="001526E2"/>
    <w:rsid w:val="001528BF"/>
    <w:rsid w:val="00153E62"/>
    <w:rsid w:val="00154B1B"/>
    <w:rsid w:val="00155FC4"/>
    <w:rsid w:val="0015679D"/>
    <w:rsid w:val="00157CF5"/>
    <w:rsid w:val="001605CE"/>
    <w:rsid w:val="001608FC"/>
    <w:rsid w:val="00160B0E"/>
    <w:rsid w:val="00161B5D"/>
    <w:rsid w:val="0016287C"/>
    <w:rsid w:val="0016560B"/>
    <w:rsid w:val="00167BEA"/>
    <w:rsid w:val="0017092D"/>
    <w:rsid w:val="001711C6"/>
    <w:rsid w:val="00172186"/>
    <w:rsid w:val="00172490"/>
    <w:rsid w:val="001730DF"/>
    <w:rsid w:val="00173237"/>
    <w:rsid w:val="00173547"/>
    <w:rsid w:val="001744E1"/>
    <w:rsid w:val="001774F8"/>
    <w:rsid w:val="00177D39"/>
    <w:rsid w:val="00180511"/>
    <w:rsid w:val="001855B1"/>
    <w:rsid w:val="00185DF1"/>
    <w:rsid w:val="001875B7"/>
    <w:rsid w:val="00187C18"/>
    <w:rsid w:val="001915B0"/>
    <w:rsid w:val="00191A4B"/>
    <w:rsid w:val="00192746"/>
    <w:rsid w:val="00195736"/>
    <w:rsid w:val="001A1418"/>
    <w:rsid w:val="001A1468"/>
    <w:rsid w:val="001A163E"/>
    <w:rsid w:val="001A1F58"/>
    <w:rsid w:val="001A4B81"/>
    <w:rsid w:val="001A4CB4"/>
    <w:rsid w:val="001A6A19"/>
    <w:rsid w:val="001A728F"/>
    <w:rsid w:val="001A7D46"/>
    <w:rsid w:val="001A7E70"/>
    <w:rsid w:val="001B1193"/>
    <w:rsid w:val="001B1CB7"/>
    <w:rsid w:val="001C1473"/>
    <w:rsid w:val="001C2319"/>
    <w:rsid w:val="001C3EC6"/>
    <w:rsid w:val="001C5719"/>
    <w:rsid w:val="001C57F1"/>
    <w:rsid w:val="001C7616"/>
    <w:rsid w:val="001D19C2"/>
    <w:rsid w:val="001D26C0"/>
    <w:rsid w:val="001D73C8"/>
    <w:rsid w:val="001D7407"/>
    <w:rsid w:val="001E09C2"/>
    <w:rsid w:val="001E1731"/>
    <w:rsid w:val="001E1FA4"/>
    <w:rsid w:val="001E28D1"/>
    <w:rsid w:val="001E4DF6"/>
    <w:rsid w:val="001E5D45"/>
    <w:rsid w:val="001E6828"/>
    <w:rsid w:val="001E6D75"/>
    <w:rsid w:val="001F0508"/>
    <w:rsid w:val="001F0D69"/>
    <w:rsid w:val="001F24B1"/>
    <w:rsid w:val="001F3A04"/>
    <w:rsid w:val="001F487F"/>
    <w:rsid w:val="001F5F63"/>
    <w:rsid w:val="001F746B"/>
    <w:rsid w:val="00200C4C"/>
    <w:rsid w:val="002030B7"/>
    <w:rsid w:val="002032A5"/>
    <w:rsid w:val="00205EE7"/>
    <w:rsid w:val="0020607B"/>
    <w:rsid w:val="00207EE6"/>
    <w:rsid w:val="0021089F"/>
    <w:rsid w:val="00210BD4"/>
    <w:rsid w:val="00213AD8"/>
    <w:rsid w:val="00213B97"/>
    <w:rsid w:val="002140B6"/>
    <w:rsid w:val="00216776"/>
    <w:rsid w:val="0021712F"/>
    <w:rsid w:val="00220CDE"/>
    <w:rsid w:val="0022151E"/>
    <w:rsid w:val="00222785"/>
    <w:rsid w:val="00226E8D"/>
    <w:rsid w:val="00232632"/>
    <w:rsid w:val="00234E4D"/>
    <w:rsid w:val="0023720F"/>
    <w:rsid w:val="002425DD"/>
    <w:rsid w:val="002438DE"/>
    <w:rsid w:val="002456F7"/>
    <w:rsid w:val="00246565"/>
    <w:rsid w:val="0024678F"/>
    <w:rsid w:val="00247CE0"/>
    <w:rsid w:val="00251A6C"/>
    <w:rsid w:val="00254343"/>
    <w:rsid w:val="002559ED"/>
    <w:rsid w:val="002564A2"/>
    <w:rsid w:val="0025673F"/>
    <w:rsid w:val="00256916"/>
    <w:rsid w:val="00257808"/>
    <w:rsid w:val="00261807"/>
    <w:rsid w:val="00262282"/>
    <w:rsid w:val="002626CB"/>
    <w:rsid w:val="002635DD"/>
    <w:rsid w:val="0026395B"/>
    <w:rsid w:val="002658A9"/>
    <w:rsid w:val="002671B5"/>
    <w:rsid w:val="00267422"/>
    <w:rsid w:val="00271D04"/>
    <w:rsid w:val="002725CA"/>
    <w:rsid w:val="00274C16"/>
    <w:rsid w:val="00277B6E"/>
    <w:rsid w:val="0028133E"/>
    <w:rsid w:val="00281452"/>
    <w:rsid w:val="002814AE"/>
    <w:rsid w:val="00281DB4"/>
    <w:rsid w:val="00282259"/>
    <w:rsid w:val="0028440A"/>
    <w:rsid w:val="00290785"/>
    <w:rsid w:val="00290AA7"/>
    <w:rsid w:val="002923D7"/>
    <w:rsid w:val="00293105"/>
    <w:rsid w:val="00294079"/>
    <w:rsid w:val="002941DA"/>
    <w:rsid w:val="00294E2D"/>
    <w:rsid w:val="0029696A"/>
    <w:rsid w:val="002A4B27"/>
    <w:rsid w:val="002A4C03"/>
    <w:rsid w:val="002A4D4D"/>
    <w:rsid w:val="002A56AC"/>
    <w:rsid w:val="002B1A88"/>
    <w:rsid w:val="002B1FEC"/>
    <w:rsid w:val="002B261A"/>
    <w:rsid w:val="002B275D"/>
    <w:rsid w:val="002B2A5E"/>
    <w:rsid w:val="002B3B06"/>
    <w:rsid w:val="002B3EF2"/>
    <w:rsid w:val="002B3FA2"/>
    <w:rsid w:val="002B6524"/>
    <w:rsid w:val="002B7960"/>
    <w:rsid w:val="002B7C68"/>
    <w:rsid w:val="002B7FF9"/>
    <w:rsid w:val="002C1CD7"/>
    <w:rsid w:val="002C284E"/>
    <w:rsid w:val="002C2A27"/>
    <w:rsid w:val="002C2BF8"/>
    <w:rsid w:val="002C4939"/>
    <w:rsid w:val="002C57B6"/>
    <w:rsid w:val="002C623E"/>
    <w:rsid w:val="002D1083"/>
    <w:rsid w:val="002D3245"/>
    <w:rsid w:val="002D35FA"/>
    <w:rsid w:val="002D4D2A"/>
    <w:rsid w:val="002D564F"/>
    <w:rsid w:val="002D5805"/>
    <w:rsid w:val="002D68F9"/>
    <w:rsid w:val="002E5EEF"/>
    <w:rsid w:val="002E77D9"/>
    <w:rsid w:val="002E7AAE"/>
    <w:rsid w:val="002E7ECA"/>
    <w:rsid w:val="002F0FE6"/>
    <w:rsid w:val="002F171B"/>
    <w:rsid w:val="002F5B1C"/>
    <w:rsid w:val="002F613E"/>
    <w:rsid w:val="002F6AFE"/>
    <w:rsid w:val="00303313"/>
    <w:rsid w:val="003048BE"/>
    <w:rsid w:val="00305925"/>
    <w:rsid w:val="003078D5"/>
    <w:rsid w:val="00307925"/>
    <w:rsid w:val="00307CF7"/>
    <w:rsid w:val="00310928"/>
    <w:rsid w:val="00311D6F"/>
    <w:rsid w:val="00315D50"/>
    <w:rsid w:val="00317991"/>
    <w:rsid w:val="00320D21"/>
    <w:rsid w:val="003218FB"/>
    <w:rsid w:val="00322573"/>
    <w:rsid w:val="0032453C"/>
    <w:rsid w:val="00325007"/>
    <w:rsid w:val="0032730A"/>
    <w:rsid w:val="00332078"/>
    <w:rsid w:val="00335FCF"/>
    <w:rsid w:val="00337A32"/>
    <w:rsid w:val="00340C1B"/>
    <w:rsid w:val="00340E23"/>
    <w:rsid w:val="003428C3"/>
    <w:rsid w:val="003470D9"/>
    <w:rsid w:val="00347579"/>
    <w:rsid w:val="00350515"/>
    <w:rsid w:val="00350620"/>
    <w:rsid w:val="0035099C"/>
    <w:rsid w:val="00350D03"/>
    <w:rsid w:val="00350D84"/>
    <w:rsid w:val="00353E1D"/>
    <w:rsid w:val="0035581C"/>
    <w:rsid w:val="0035582C"/>
    <w:rsid w:val="00360612"/>
    <w:rsid w:val="00362C2C"/>
    <w:rsid w:val="00366CA6"/>
    <w:rsid w:val="003679A1"/>
    <w:rsid w:val="003706F7"/>
    <w:rsid w:val="0037545F"/>
    <w:rsid w:val="0037556E"/>
    <w:rsid w:val="003803C2"/>
    <w:rsid w:val="00383F77"/>
    <w:rsid w:val="003849C4"/>
    <w:rsid w:val="00385B2E"/>
    <w:rsid w:val="00392AAB"/>
    <w:rsid w:val="00393C88"/>
    <w:rsid w:val="00394B3A"/>
    <w:rsid w:val="003A018D"/>
    <w:rsid w:val="003A31B7"/>
    <w:rsid w:val="003A3352"/>
    <w:rsid w:val="003A4191"/>
    <w:rsid w:val="003A4D40"/>
    <w:rsid w:val="003A6552"/>
    <w:rsid w:val="003A7305"/>
    <w:rsid w:val="003B2A73"/>
    <w:rsid w:val="003B36C4"/>
    <w:rsid w:val="003B3EE6"/>
    <w:rsid w:val="003B4D31"/>
    <w:rsid w:val="003B6B29"/>
    <w:rsid w:val="003B7028"/>
    <w:rsid w:val="003B7BE5"/>
    <w:rsid w:val="003C07EF"/>
    <w:rsid w:val="003C0AE0"/>
    <w:rsid w:val="003C0FF7"/>
    <w:rsid w:val="003C111A"/>
    <w:rsid w:val="003C67D2"/>
    <w:rsid w:val="003D5B57"/>
    <w:rsid w:val="003D65E5"/>
    <w:rsid w:val="003D71F8"/>
    <w:rsid w:val="003D732B"/>
    <w:rsid w:val="003E01A6"/>
    <w:rsid w:val="003E1F15"/>
    <w:rsid w:val="003E3EAD"/>
    <w:rsid w:val="003E4CBC"/>
    <w:rsid w:val="003E7AAB"/>
    <w:rsid w:val="003F0881"/>
    <w:rsid w:val="003F4DFC"/>
    <w:rsid w:val="0040008D"/>
    <w:rsid w:val="00403750"/>
    <w:rsid w:val="004049B6"/>
    <w:rsid w:val="00405914"/>
    <w:rsid w:val="0040687A"/>
    <w:rsid w:val="00406AB0"/>
    <w:rsid w:val="00410BB0"/>
    <w:rsid w:val="00411CEA"/>
    <w:rsid w:val="00413303"/>
    <w:rsid w:val="00413353"/>
    <w:rsid w:val="0041441B"/>
    <w:rsid w:val="00414AF0"/>
    <w:rsid w:val="00415AD8"/>
    <w:rsid w:val="0041753B"/>
    <w:rsid w:val="00417AAC"/>
    <w:rsid w:val="00422437"/>
    <w:rsid w:val="004225F6"/>
    <w:rsid w:val="00426235"/>
    <w:rsid w:val="004264C9"/>
    <w:rsid w:val="004269FF"/>
    <w:rsid w:val="00426EE1"/>
    <w:rsid w:val="0042724B"/>
    <w:rsid w:val="00432745"/>
    <w:rsid w:val="0043299C"/>
    <w:rsid w:val="0043321D"/>
    <w:rsid w:val="00434D3E"/>
    <w:rsid w:val="0043646D"/>
    <w:rsid w:val="0043701A"/>
    <w:rsid w:val="00440838"/>
    <w:rsid w:val="00440947"/>
    <w:rsid w:val="00442BD8"/>
    <w:rsid w:val="00443261"/>
    <w:rsid w:val="00445306"/>
    <w:rsid w:val="00446111"/>
    <w:rsid w:val="00446376"/>
    <w:rsid w:val="0044740E"/>
    <w:rsid w:val="0045034C"/>
    <w:rsid w:val="004525DA"/>
    <w:rsid w:val="00453300"/>
    <w:rsid w:val="00453BC5"/>
    <w:rsid w:val="00454AE2"/>
    <w:rsid w:val="004558D6"/>
    <w:rsid w:val="004633A5"/>
    <w:rsid w:val="00463D23"/>
    <w:rsid w:val="004661D5"/>
    <w:rsid w:val="0047218D"/>
    <w:rsid w:val="00474017"/>
    <w:rsid w:val="00474ED1"/>
    <w:rsid w:val="00475D36"/>
    <w:rsid w:val="0047693C"/>
    <w:rsid w:val="00477A04"/>
    <w:rsid w:val="00485248"/>
    <w:rsid w:val="00486032"/>
    <w:rsid w:val="00487F79"/>
    <w:rsid w:val="00492C22"/>
    <w:rsid w:val="00496A73"/>
    <w:rsid w:val="00497E79"/>
    <w:rsid w:val="00497EC5"/>
    <w:rsid w:val="004A0179"/>
    <w:rsid w:val="004A17EB"/>
    <w:rsid w:val="004A39DB"/>
    <w:rsid w:val="004A4C66"/>
    <w:rsid w:val="004A6804"/>
    <w:rsid w:val="004B00AB"/>
    <w:rsid w:val="004B26AB"/>
    <w:rsid w:val="004B414A"/>
    <w:rsid w:val="004B45CE"/>
    <w:rsid w:val="004B7000"/>
    <w:rsid w:val="004C2C83"/>
    <w:rsid w:val="004C31DA"/>
    <w:rsid w:val="004C3708"/>
    <w:rsid w:val="004C50ED"/>
    <w:rsid w:val="004C6F07"/>
    <w:rsid w:val="004D0754"/>
    <w:rsid w:val="004D0CAA"/>
    <w:rsid w:val="004D2B1C"/>
    <w:rsid w:val="004D4604"/>
    <w:rsid w:val="004D7537"/>
    <w:rsid w:val="004D7678"/>
    <w:rsid w:val="004E0148"/>
    <w:rsid w:val="004E1B81"/>
    <w:rsid w:val="004E201C"/>
    <w:rsid w:val="004E580C"/>
    <w:rsid w:val="004E70C7"/>
    <w:rsid w:val="004F055A"/>
    <w:rsid w:val="004F4813"/>
    <w:rsid w:val="004F5DCB"/>
    <w:rsid w:val="004F5E7D"/>
    <w:rsid w:val="004F626E"/>
    <w:rsid w:val="0050534F"/>
    <w:rsid w:val="00505DE9"/>
    <w:rsid w:val="005065DD"/>
    <w:rsid w:val="00506B99"/>
    <w:rsid w:val="00511455"/>
    <w:rsid w:val="00512219"/>
    <w:rsid w:val="0051328A"/>
    <w:rsid w:val="00513362"/>
    <w:rsid w:val="005148E7"/>
    <w:rsid w:val="00515CBA"/>
    <w:rsid w:val="00517451"/>
    <w:rsid w:val="005202FE"/>
    <w:rsid w:val="005208F8"/>
    <w:rsid w:val="00523D9B"/>
    <w:rsid w:val="00523F44"/>
    <w:rsid w:val="00524DA5"/>
    <w:rsid w:val="00527CFB"/>
    <w:rsid w:val="00527FB1"/>
    <w:rsid w:val="00530CFE"/>
    <w:rsid w:val="00531AD4"/>
    <w:rsid w:val="00534B9F"/>
    <w:rsid w:val="0053552C"/>
    <w:rsid w:val="005359FF"/>
    <w:rsid w:val="005363A5"/>
    <w:rsid w:val="00542935"/>
    <w:rsid w:val="00543571"/>
    <w:rsid w:val="00544DBF"/>
    <w:rsid w:val="00545D8D"/>
    <w:rsid w:val="0054619B"/>
    <w:rsid w:val="0055284C"/>
    <w:rsid w:val="005537AF"/>
    <w:rsid w:val="00554673"/>
    <w:rsid w:val="00557376"/>
    <w:rsid w:val="00560D43"/>
    <w:rsid w:val="005617A3"/>
    <w:rsid w:val="00562744"/>
    <w:rsid w:val="00564573"/>
    <w:rsid w:val="005707F3"/>
    <w:rsid w:val="00570C45"/>
    <w:rsid w:val="0057121A"/>
    <w:rsid w:val="00571B59"/>
    <w:rsid w:val="00572BD5"/>
    <w:rsid w:val="005760B9"/>
    <w:rsid w:val="00580DEC"/>
    <w:rsid w:val="00581E3B"/>
    <w:rsid w:val="005824DC"/>
    <w:rsid w:val="0058368D"/>
    <w:rsid w:val="00583F4C"/>
    <w:rsid w:val="00583FFD"/>
    <w:rsid w:val="00584847"/>
    <w:rsid w:val="005861D5"/>
    <w:rsid w:val="00594BA2"/>
    <w:rsid w:val="00596F7A"/>
    <w:rsid w:val="00597FBA"/>
    <w:rsid w:val="005A0EE2"/>
    <w:rsid w:val="005A73FB"/>
    <w:rsid w:val="005A75D7"/>
    <w:rsid w:val="005B07BC"/>
    <w:rsid w:val="005B1461"/>
    <w:rsid w:val="005B1748"/>
    <w:rsid w:val="005B1E20"/>
    <w:rsid w:val="005B208D"/>
    <w:rsid w:val="005B263A"/>
    <w:rsid w:val="005B2658"/>
    <w:rsid w:val="005B3540"/>
    <w:rsid w:val="005B3EEB"/>
    <w:rsid w:val="005B431E"/>
    <w:rsid w:val="005B477E"/>
    <w:rsid w:val="005B53D7"/>
    <w:rsid w:val="005B5D96"/>
    <w:rsid w:val="005B60C5"/>
    <w:rsid w:val="005B6765"/>
    <w:rsid w:val="005B73A7"/>
    <w:rsid w:val="005C2490"/>
    <w:rsid w:val="005C3B68"/>
    <w:rsid w:val="005C43AD"/>
    <w:rsid w:val="005C500C"/>
    <w:rsid w:val="005C573B"/>
    <w:rsid w:val="005C6BDF"/>
    <w:rsid w:val="005C722E"/>
    <w:rsid w:val="005C72A4"/>
    <w:rsid w:val="005C72F4"/>
    <w:rsid w:val="005D02D3"/>
    <w:rsid w:val="005D2574"/>
    <w:rsid w:val="005D279F"/>
    <w:rsid w:val="005D3235"/>
    <w:rsid w:val="005D56FB"/>
    <w:rsid w:val="005D6468"/>
    <w:rsid w:val="005D7469"/>
    <w:rsid w:val="005D7904"/>
    <w:rsid w:val="005D796C"/>
    <w:rsid w:val="005E0196"/>
    <w:rsid w:val="005E022D"/>
    <w:rsid w:val="005E3B28"/>
    <w:rsid w:val="005E42FA"/>
    <w:rsid w:val="005E5B4B"/>
    <w:rsid w:val="005E64FC"/>
    <w:rsid w:val="005F246D"/>
    <w:rsid w:val="005F2FFC"/>
    <w:rsid w:val="005F4EC2"/>
    <w:rsid w:val="005F7F61"/>
    <w:rsid w:val="006003E3"/>
    <w:rsid w:val="00601082"/>
    <w:rsid w:val="00601437"/>
    <w:rsid w:val="0060454D"/>
    <w:rsid w:val="00605959"/>
    <w:rsid w:val="006078A2"/>
    <w:rsid w:val="00611525"/>
    <w:rsid w:val="00612EDD"/>
    <w:rsid w:val="00615982"/>
    <w:rsid w:val="00616536"/>
    <w:rsid w:val="006174D6"/>
    <w:rsid w:val="006178B2"/>
    <w:rsid w:val="006221C9"/>
    <w:rsid w:val="00625258"/>
    <w:rsid w:val="006256E1"/>
    <w:rsid w:val="00625B35"/>
    <w:rsid w:val="0062665E"/>
    <w:rsid w:val="00631647"/>
    <w:rsid w:val="00631D12"/>
    <w:rsid w:val="00632560"/>
    <w:rsid w:val="00634173"/>
    <w:rsid w:val="00634C0A"/>
    <w:rsid w:val="0063568F"/>
    <w:rsid w:val="00635E8C"/>
    <w:rsid w:val="00636068"/>
    <w:rsid w:val="006372D0"/>
    <w:rsid w:val="0063748D"/>
    <w:rsid w:val="00637F6E"/>
    <w:rsid w:val="0064116B"/>
    <w:rsid w:val="00641802"/>
    <w:rsid w:val="00641CD4"/>
    <w:rsid w:val="00644401"/>
    <w:rsid w:val="00644AB9"/>
    <w:rsid w:val="00644DA5"/>
    <w:rsid w:val="00651013"/>
    <w:rsid w:val="00652136"/>
    <w:rsid w:val="006537F7"/>
    <w:rsid w:val="00655571"/>
    <w:rsid w:val="006565DE"/>
    <w:rsid w:val="00657449"/>
    <w:rsid w:val="00657E6E"/>
    <w:rsid w:val="00657EE8"/>
    <w:rsid w:val="006608A3"/>
    <w:rsid w:val="00662368"/>
    <w:rsid w:val="00665E22"/>
    <w:rsid w:val="00671CD1"/>
    <w:rsid w:val="006727C0"/>
    <w:rsid w:val="00672B88"/>
    <w:rsid w:val="00672D54"/>
    <w:rsid w:val="0067476B"/>
    <w:rsid w:val="006767E2"/>
    <w:rsid w:val="006778EB"/>
    <w:rsid w:val="00677BCD"/>
    <w:rsid w:val="0068057F"/>
    <w:rsid w:val="0068111B"/>
    <w:rsid w:val="00681198"/>
    <w:rsid w:val="00681869"/>
    <w:rsid w:val="00682B7C"/>
    <w:rsid w:val="00686AB5"/>
    <w:rsid w:val="006870EC"/>
    <w:rsid w:val="006879D8"/>
    <w:rsid w:val="0069022B"/>
    <w:rsid w:val="0069180D"/>
    <w:rsid w:val="006932BB"/>
    <w:rsid w:val="0069455B"/>
    <w:rsid w:val="006A108B"/>
    <w:rsid w:val="006A2434"/>
    <w:rsid w:val="006A4A48"/>
    <w:rsid w:val="006A4A49"/>
    <w:rsid w:val="006A5F25"/>
    <w:rsid w:val="006B2E7B"/>
    <w:rsid w:val="006B44EE"/>
    <w:rsid w:val="006B55BA"/>
    <w:rsid w:val="006B6A3D"/>
    <w:rsid w:val="006B6EC3"/>
    <w:rsid w:val="006B7B35"/>
    <w:rsid w:val="006C20A6"/>
    <w:rsid w:val="006C55D8"/>
    <w:rsid w:val="006D04F1"/>
    <w:rsid w:val="006D39CB"/>
    <w:rsid w:val="006D3BC4"/>
    <w:rsid w:val="006D4F51"/>
    <w:rsid w:val="006D5192"/>
    <w:rsid w:val="006D5E1D"/>
    <w:rsid w:val="006D61F3"/>
    <w:rsid w:val="006F0450"/>
    <w:rsid w:val="006F10C0"/>
    <w:rsid w:val="006F120A"/>
    <w:rsid w:val="006F155B"/>
    <w:rsid w:val="006F1D0C"/>
    <w:rsid w:val="006F5334"/>
    <w:rsid w:val="006F74E6"/>
    <w:rsid w:val="007018E8"/>
    <w:rsid w:val="00701AAC"/>
    <w:rsid w:val="0070276B"/>
    <w:rsid w:val="007033AD"/>
    <w:rsid w:val="00703571"/>
    <w:rsid w:val="007074F6"/>
    <w:rsid w:val="007077AA"/>
    <w:rsid w:val="007109EF"/>
    <w:rsid w:val="00711B98"/>
    <w:rsid w:val="00712923"/>
    <w:rsid w:val="0071583C"/>
    <w:rsid w:val="007160E1"/>
    <w:rsid w:val="0071760C"/>
    <w:rsid w:val="00720505"/>
    <w:rsid w:val="00720531"/>
    <w:rsid w:val="0072057C"/>
    <w:rsid w:val="007206A0"/>
    <w:rsid w:val="00721957"/>
    <w:rsid w:val="0072218F"/>
    <w:rsid w:val="0072225F"/>
    <w:rsid w:val="00722702"/>
    <w:rsid w:val="00725E55"/>
    <w:rsid w:val="00727705"/>
    <w:rsid w:val="007314BD"/>
    <w:rsid w:val="00732BED"/>
    <w:rsid w:val="00733530"/>
    <w:rsid w:val="00734B9C"/>
    <w:rsid w:val="0073531F"/>
    <w:rsid w:val="0073537A"/>
    <w:rsid w:val="0073749B"/>
    <w:rsid w:val="00740ECE"/>
    <w:rsid w:val="007437AA"/>
    <w:rsid w:val="007446A6"/>
    <w:rsid w:val="0074488A"/>
    <w:rsid w:val="007459A3"/>
    <w:rsid w:val="00745A91"/>
    <w:rsid w:val="00746180"/>
    <w:rsid w:val="00750390"/>
    <w:rsid w:val="00750C71"/>
    <w:rsid w:val="0075157F"/>
    <w:rsid w:val="007516D1"/>
    <w:rsid w:val="007523C1"/>
    <w:rsid w:val="00754542"/>
    <w:rsid w:val="0075651A"/>
    <w:rsid w:val="00757381"/>
    <w:rsid w:val="00760B26"/>
    <w:rsid w:val="00761F37"/>
    <w:rsid w:val="00761F67"/>
    <w:rsid w:val="007627D4"/>
    <w:rsid w:val="0076519B"/>
    <w:rsid w:val="00765925"/>
    <w:rsid w:val="007675AA"/>
    <w:rsid w:val="0076782E"/>
    <w:rsid w:val="00773A02"/>
    <w:rsid w:val="0077536D"/>
    <w:rsid w:val="00775B2A"/>
    <w:rsid w:val="0078182D"/>
    <w:rsid w:val="007835D7"/>
    <w:rsid w:val="00785AE6"/>
    <w:rsid w:val="007936F9"/>
    <w:rsid w:val="007940FB"/>
    <w:rsid w:val="00795117"/>
    <w:rsid w:val="00795FE2"/>
    <w:rsid w:val="007964BF"/>
    <w:rsid w:val="007974E7"/>
    <w:rsid w:val="007A0F5A"/>
    <w:rsid w:val="007A123B"/>
    <w:rsid w:val="007A25B7"/>
    <w:rsid w:val="007A30B5"/>
    <w:rsid w:val="007A4967"/>
    <w:rsid w:val="007A4E1E"/>
    <w:rsid w:val="007B090B"/>
    <w:rsid w:val="007B0A67"/>
    <w:rsid w:val="007B0D3B"/>
    <w:rsid w:val="007B138F"/>
    <w:rsid w:val="007B153A"/>
    <w:rsid w:val="007B1EAC"/>
    <w:rsid w:val="007B2061"/>
    <w:rsid w:val="007B3D26"/>
    <w:rsid w:val="007B626B"/>
    <w:rsid w:val="007C08E5"/>
    <w:rsid w:val="007C0D7E"/>
    <w:rsid w:val="007C1338"/>
    <w:rsid w:val="007C29BB"/>
    <w:rsid w:val="007C48F2"/>
    <w:rsid w:val="007C5AA4"/>
    <w:rsid w:val="007C6387"/>
    <w:rsid w:val="007C75B6"/>
    <w:rsid w:val="007D0363"/>
    <w:rsid w:val="007D3B83"/>
    <w:rsid w:val="007D4E7D"/>
    <w:rsid w:val="007D5F46"/>
    <w:rsid w:val="007D6C5A"/>
    <w:rsid w:val="007D76EE"/>
    <w:rsid w:val="007D7D02"/>
    <w:rsid w:val="007D7D89"/>
    <w:rsid w:val="007E0EDE"/>
    <w:rsid w:val="007E1178"/>
    <w:rsid w:val="007E2192"/>
    <w:rsid w:val="007E50E0"/>
    <w:rsid w:val="007E743C"/>
    <w:rsid w:val="007F02DF"/>
    <w:rsid w:val="007F0D56"/>
    <w:rsid w:val="007F0E6C"/>
    <w:rsid w:val="007F446A"/>
    <w:rsid w:val="007F4F21"/>
    <w:rsid w:val="007F5364"/>
    <w:rsid w:val="00802607"/>
    <w:rsid w:val="00802EA4"/>
    <w:rsid w:val="0080320A"/>
    <w:rsid w:val="00807AF7"/>
    <w:rsid w:val="008120F5"/>
    <w:rsid w:val="008124BF"/>
    <w:rsid w:val="00812CD9"/>
    <w:rsid w:val="00812D19"/>
    <w:rsid w:val="00814EC1"/>
    <w:rsid w:val="00815218"/>
    <w:rsid w:val="00816DAB"/>
    <w:rsid w:val="00817252"/>
    <w:rsid w:val="0081780A"/>
    <w:rsid w:val="00817ED0"/>
    <w:rsid w:val="008201F4"/>
    <w:rsid w:val="00821F5E"/>
    <w:rsid w:val="00823C0C"/>
    <w:rsid w:val="00824C8E"/>
    <w:rsid w:val="00830DFB"/>
    <w:rsid w:val="00834BA2"/>
    <w:rsid w:val="0083781E"/>
    <w:rsid w:val="008407CC"/>
    <w:rsid w:val="00840E4A"/>
    <w:rsid w:val="00841284"/>
    <w:rsid w:val="00842207"/>
    <w:rsid w:val="00844991"/>
    <w:rsid w:val="008516BF"/>
    <w:rsid w:val="0085465B"/>
    <w:rsid w:val="0085473E"/>
    <w:rsid w:val="00855199"/>
    <w:rsid w:val="008553A0"/>
    <w:rsid w:val="008602A2"/>
    <w:rsid w:val="00860C02"/>
    <w:rsid w:val="00860CAA"/>
    <w:rsid w:val="00862634"/>
    <w:rsid w:val="008644E8"/>
    <w:rsid w:val="00870910"/>
    <w:rsid w:val="0087275B"/>
    <w:rsid w:val="00874C63"/>
    <w:rsid w:val="008770E0"/>
    <w:rsid w:val="00882EA3"/>
    <w:rsid w:val="00883055"/>
    <w:rsid w:val="008837DB"/>
    <w:rsid w:val="00883D0B"/>
    <w:rsid w:val="0088590F"/>
    <w:rsid w:val="00885BF4"/>
    <w:rsid w:val="00887486"/>
    <w:rsid w:val="008874C9"/>
    <w:rsid w:val="008875DE"/>
    <w:rsid w:val="008945E2"/>
    <w:rsid w:val="00894956"/>
    <w:rsid w:val="00894AB8"/>
    <w:rsid w:val="00896E07"/>
    <w:rsid w:val="00897301"/>
    <w:rsid w:val="008A13CB"/>
    <w:rsid w:val="008A1E72"/>
    <w:rsid w:val="008A45D2"/>
    <w:rsid w:val="008A713E"/>
    <w:rsid w:val="008B09F0"/>
    <w:rsid w:val="008B0C45"/>
    <w:rsid w:val="008B2086"/>
    <w:rsid w:val="008B2CA9"/>
    <w:rsid w:val="008B2FEA"/>
    <w:rsid w:val="008B3A34"/>
    <w:rsid w:val="008B483C"/>
    <w:rsid w:val="008B737F"/>
    <w:rsid w:val="008C265D"/>
    <w:rsid w:val="008C4ADB"/>
    <w:rsid w:val="008C4BA2"/>
    <w:rsid w:val="008C59AF"/>
    <w:rsid w:val="008C7E26"/>
    <w:rsid w:val="008D22B6"/>
    <w:rsid w:val="008D2D19"/>
    <w:rsid w:val="008D35F7"/>
    <w:rsid w:val="008D38C8"/>
    <w:rsid w:val="008D4581"/>
    <w:rsid w:val="008D5DF5"/>
    <w:rsid w:val="008D6DBC"/>
    <w:rsid w:val="008E0B4B"/>
    <w:rsid w:val="008E318F"/>
    <w:rsid w:val="008E31D4"/>
    <w:rsid w:val="008E468F"/>
    <w:rsid w:val="008E65E7"/>
    <w:rsid w:val="008E6EE3"/>
    <w:rsid w:val="008E7E14"/>
    <w:rsid w:val="008F146D"/>
    <w:rsid w:val="008F18AF"/>
    <w:rsid w:val="008F22C4"/>
    <w:rsid w:val="008F34AE"/>
    <w:rsid w:val="008F3849"/>
    <w:rsid w:val="008F6852"/>
    <w:rsid w:val="008F6872"/>
    <w:rsid w:val="008F6AEE"/>
    <w:rsid w:val="009021B2"/>
    <w:rsid w:val="009036AB"/>
    <w:rsid w:val="00904EEA"/>
    <w:rsid w:val="00905F9D"/>
    <w:rsid w:val="00906FF6"/>
    <w:rsid w:val="00907408"/>
    <w:rsid w:val="00913A49"/>
    <w:rsid w:val="009154FC"/>
    <w:rsid w:val="009157C1"/>
    <w:rsid w:val="0091778F"/>
    <w:rsid w:val="009227C0"/>
    <w:rsid w:val="009256AE"/>
    <w:rsid w:val="00926DAD"/>
    <w:rsid w:val="00926EF0"/>
    <w:rsid w:val="00927358"/>
    <w:rsid w:val="00932D44"/>
    <w:rsid w:val="00932F5B"/>
    <w:rsid w:val="00934B88"/>
    <w:rsid w:val="0093528A"/>
    <w:rsid w:val="00936694"/>
    <w:rsid w:val="00936E5D"/>
    <w:rsid w:val="00937F4A"/>
    <w:rsid w:val="00944CA5"/>
    <w:rsid w:val="009463C8"/>
    <w:rsid w:val="00947DF1"/>
    <w:rsid w:val="009526B2"/>
    <w:rsid w:val="009529CF"/>
    <w:rsid w:val="00953636"/>
    <w:rsid w:val="009538EA"/>
    <w:rsid w:val="00954C92"/>
    <w:rsid w:val="00955F28"/>
    <w:rsid w:val="00956276"/>
    <w:rsid w:val="00957BCA"/>
    <w:rsid w:val="00960AD8"/>
    <w:rsid w:val="009611F4"/>
    <w:rsid w:val="009622D2"/>
    <w:rsid w:val="00963654"/>
    <w:rsid w:val="009637DD"/>
    <w:rsid w:val="00967174"/>
    <w:rsid w:val="009745C9"/>
    <w:rsid w:val="009750D1"/>
    <w:rsid w:val="0097687D"/>
    <w:rsid w:val="00977FC5"/>
    <w:rsid w:val="009844C8"/>
    <w:rsid w:val="00984B9B"/>
    <w:rsid w:val="00984DA4"/>
    <w:rsid w:val="00986478"/>
    <w:rsid w:val="00991243"/>
    <w:rsid w:val="00992B65"/>
    <w:rsid w:val="00993981"/>
    <w:rsid w:val="009948DC"/>
    <w:rsid w:val="00995E92"/>
    <w:rsid w:val="00995E99"/>
    <w:rsid w:val="009A334F"/>
    <w:rsid w:val="009A3AA4"/>
    <w:rsid w:val="009A4B3A"/>
    <w:rsid w:val="009B047B"/>
    <w:rsid w:val="009B0E4D"/>
    <w:rsid w:val="009B2F60"/>
    <w:rsid w:val="009B3535"/>
    <w:rsid w:val="009B3650"/>
    <w:rsid w:val="009B3BC2"/>
    <w:rsid w:val="009B3D86"/>
    <w:rsid w:val="009B4056"/>
    <w:rsid w:val="009B6544"/>
    <w:rsid w:val="009B6E41"/>
    <w:rsid w:val="009C0293"/>
    <w:rsid w:val="009C261E"/>
    <w:rsid w:val="009C3BA8"/>
    <w:rsid w:val="009C4C6C"/>
    <w:rsid w:val="009D1299"/>
    <w:rsid w:val="009D1D6F"/>
    <w:rsid w:val="009D3FF7"/>
    <w:rsid w:val="009D6817"/>
    <w:rsid w:val="009D7A24"/>
    <w:rsid w:val="009E0AD3"/>
    <w:rsid w:val="009E3325"/>
    <w:rsid w:val="009E34C3"/>
    <w:rsid w:val="009E48E0"/>
    <w:rsid w:val="009E7471"/>
    <w:rsid w:val="009F1065"/>
    <w:rsid w:val="009F3AAA"/>
    <w:rsid w:val="009F4105"/>
    <w:rsid w:val="009F519B"/>
    <w:rsid w:val="009F687F"/>
    <w:rsid w:val="009F7D1A"/>
    <w:rsid w:val="00A00562"/>
    <w:rsid w:val="00A01CBF"/>
    <w:rsid w:val="00A02F54"/>
    <w:rsid w:val="00A06C24"/>
    <w:rsid w:val="00A11860"/>
    <w:rsid w:val="00A11A26"/>
    <w:rsid w:val="00A12267"/>
    <w:rsid w:val="00A1295B"/>
    <w:rsid w:val="00A133DC"/>
    <w:rsid w:val="00A165BE"/>
    <w:rsid w:val="00A25A48"/>
    <w:rsid w:val="00A25F65"/>
    <w:rsid w:val="00A26216"/>
    <w:rsid w:val="00A262BB"/>
    <w:rsid w:val="00A27E50"/>
    <w:rsid w:val="00A30878"/>
    <w:rsid w:val="00A315D9"/>
    <w:rsid w:val="00A320CE"/>
    <w:rsid w:val="00A338F4"/>
    <w:rsid w:val="00A347FE"/>
    <w:rsid w:val="00A35FC2"/>
    <w:rsid w:val="00A3699D"/>
    <w:rsid w:val="00A37B95"/>
    <w:rsid w:val="00A37CEE"/>
    <w:rsid w:val="00A44D6E"/>
    <w:rsid w:val="00A45FFF"/>
    <w:rsid w:val="00A472F7"/>
    <w:rsid w:val="00A47817"/>
    <w:rsid w:val="00A50C7B"/>
    <w:rsid w:val="00A517DF"/>
    <w:rsid w:val="00A53A33"/>
    <w:rsid w:val="00A565E8"/>
    <w:rsid w:val="00A56BA2"/>
    <w:rsid w:val="00A56EA3"/>
    <w:rsid w:val="00A60352"/>
    <w:rsid w:val="00A603E8"/>
    <w:rsid w:val="00A60857"/>
    <w:rsid w:val="00A6230F"/>
    <w:rsid w:val="00A62E37"/>
    <w:rsid w:val="00A6443D"/>
    <w:rsid w:val="00A724D6"/>
    <w:rsid w:val="00A75D09"/>
    <w:rsid w:val="00A76A35"/>
    <w:rsid w:val="00A775F6"/>
    <w:rsid w:val="00A77D03"/>
    <w:rsid w:val="00A77D45"/>
    <w:rsid w:val="00A81E43"/>
    <w:rsid w:val="00A833C0"/>
    <w:rsid w:val="00A910C7"/>
    <w:rsid w:val="00A925BD"/>
    <w:rsid w:val="00A93440"/>
    <w:rsid w:val="00A95421"/>
    <w:rsid w:val="00AA07E4"/>
    <w:rsid w:val="00AA094E"/>
    <w:rsid w:val="00AA1C60"/>
    <w:rsid w:val="00AA43FE"/>
    <w:rsid w:val="00AA4703"/>
    <w:rsid w:val="00AA5A1F"/>
    <w:rsid w:val="00AA6DEF"/>
    <w:rsid w:val="00AB040F"/>
    <w:rsid w:val="00AB0FB1"/>
    <w:rsid w:val="00AB2B61"/>
    <w:rsid w:val="00AB40E7"/>
    <w:rsid w:val="00AC0632"/>
    <w:rsid w:val="00AC2994"/>
    <w:rsid w:val="00AC4C27"/>
    <w:rsid w:val="00AC5E2B"/>
    <w:rsid w:val="00AC723D"/>
    <w:rsid w:val="00AC75F2"/>
    <w:rsid w:val="00AD01D2"/>
    <w:rsid w:val="00AD0452"/>
    <w:rsid w:val="00AD2906"/>
    <w:rsid w:val="00AD5C98"/>
    <w:rsid w:val="00AD6D58"/>
    <w:rsid w:val="00AD6D84"/>
    <w:rsid w:val="00AE0440"/>
    <w:rsid w:val="00AE1467"/>
    <w:rsid w:val="00AE189F"/>
    <w:rsid w:val="00AE4833"/>
    <w:rsid w:val="00AE4EF6"/>
    <w:rsid w:val="00AE53E5"/>
    <w:rsid w:val="00AE6CF2"/>
    <w:rsid w:val="00AE75D0"/>
    <w:rsid w:val="00AF0607"/>
    <w:rsid w:val="00AF2473"/>
    <w:rsid w:val="00AF24F2"/>
    <w:rsid w:val="00AF2A8F"/>
    <w:rsid w:val="00AF3004"/>
    <w:rsid w:val="00AF4675"/>
    <w:rsid w:val="00AF4C81"/>
    <w:rsid w:val="00AF51BA"/>
    <w:rsid w:val="00AF6D9E"/>
    <w:rsid w:val="00AF6F82"/>
    <w:rsid w:val="00AF773F"/>
    <w:rsid w:val="00B01FAF"/>
    <w:rsid w:val="00B02F7C"/>
    <w:rsid w:val="00B0413C"/>
    <w:rsid w:val="00B06507"/>
    <w:rsid w:val="00B06856"/>
    <w:rsid w:val="00B06DBD"/>
    <w:rsid w:val="00B10EA2"/>
    <w:rsid w:val="00B1269F"/>
    <w:rsid w:val="00B13903"/>
    <w:rsid w:val="00B15093"/>
    <w:rsid w:val="00B2077A"/>
    <w:rsid w:val="00B2275C"/>
    <w:rsid w:val="00B2276C"/>
    <w:rsid w:val="00B22BC5"/>
    <w:rsid w:val="00B25A30"/>
    <w:rsid w:val="00B26F08"/>
    <w:rsid w:val="00B27118"/>
    <w:rsid w:val="00B2711C"/>
    <w:rsid w:val="00B30D6D"/>
    <w:rsid w:val="00B3127D"/>
    <w:rsid w:val="00B330AD"/>
    <w:rsid w:val="00B33EE7"/>
    <w:rsid w:val="00B350B4"/>
    <w:rsid w:val="00B36EBE"/>
    <w:rsid w:val="00B41371"/>
    <w:rsid w:val="00B41841"/>
    <w:rsid w:val="00B4222E"/>
    <w:rsid w:val="00B434BF"/>
    <w:rsid w:val="00B50350"/>
    <w:rsid w:val="00B51894"/>
    <w:rsid w:val="00B53687"/>
    <w:rsid w:val="00B53D59"/>
    <w:rsid w:val="00B577E3"/>
    <w:rsid w:val="00B662D9"/>
    <w:rsid w:val="00B66D03"/>
    <w:rsid w:val="00B71192"/>
    <w:rsid w:val="00B72D01"/>
    <w:rsid w:val="00B748B0"/>
    <w:rsid w:val="00B74E56"/>
    <w:rsid w:val="00B750D9"/>
    <w:rsid w:val="00B75E99"/>
    <w:rsid w:val="00B763CC"/>
    <w:rsid w:val="00B77391"/>
    <w:rsid w:val="00B77EF6"/>
    <w:rsid w:val="00B8124C"/>
    <w:rsid w:val="00B82481"/>
    <w:rsid w:val="00B82B11"/>
    <w:rsid w:val="00B836EF"/>
    <w:rsid w:val="00B84928"/>
    <w:rsid w:val="00B90F38"/>
    <w:rsid w:val="00B90FA2"/>
    <w:rsid w:val="00B90FBB"/>
    <w:rsid w:val="00B913DC"/>
    <w:rsid w:val="00B92EFD"/>
    <w:rsid w:val="00B9388D"/>
    <w:rsid w:val="00B946B9"/>
    <w:rsid w:val="00B94D6E"/>
    <w:rsid w:val="00BA1020"/>
    <w:rsid w:val="00BA1CE6"/>
    <w:rsid w:val="00BA3D37"/>
    <w:rsid w:val="00BA51CF"/>
    <w:rsid w:val="00BA6420"/>
    <w:rsid w:val="00BB02B7"/>
    <w:rsid w:val="00BB1303"/>
    <w:rsid w:val="00BB3BA0"/>
    <w:rsid w:val="00BB64CA"/>
    <w:rsid w:val="00BB7CC1"/>
    <w:rsid w:val="00BC15B9"/>
    <w:rsid w:val="00BC2876"/>
    <w:rsid w:val="00BC3690"/>
    <w:rsid w:val="00BC4925"/>
    <w:rsid w:val="00BC4C73"/>
    <w:rsid w:val="00BC6F8A"/>
    <w:rsid w:val="00BC7DB2"/>
    <w:rsid w:val="00BD2CEF"/>
    <w:rsid w:val="00BD3183"/>
    <w:rsid w:val="00BD4DEF"/>
    <w:rsid w:val="00BD67BC"/>
    <w:rsid w:val="00BD6944"/>
    <w:rsid w:val="00BE2297"/>
    <w:rsid w:val="00BE4409"/>
    <w:rsid w:val="00BF07B4"/>
    <w:rsid w:val="00BF14EB"/>
    <w:rsid w:val="00BF214E"/>
    <w:rsid w:val="00BF28DA"/>
    <w:rsid w:val="00BF4CA1"/>
    <w:rsid w:val="00C00707"/>
    <w:rsid w:val="00C035A7"/>
    <w:rsid w:val="00C045E5"/>
    <w:rsid w:val="00C047B3"/>
    <w:rsid w:val="00C12791"/>
    <w:rsid w:val="00C16138"/>
    <w:rsid w:val="00C16317"/>
    <w:rsid w:val="00C1718C"/>
    <w:rsid w:val="00C1736E"/>
    <w:rsid w:val="00C17657"/>
    <w:rsid w:val="00C17A08"/>
    <w:rsid w:val="00C17FEB"/>
    <w:rsid w:val="00C224FF"/>
    <w:rsid w:val="00C23DA9"/>
    <w:rsid w:val="00C25AA9"/>
    <w:rsid w:val="00C3012B"/>
    <w:rsid w:val="00C30153"/>
    <w:rsid w:val="00C3148C"/>
    <w:rsid w:val="00C36474"/>
    <w:rsid w:val="00C400DD"/>
    <w:rsid w:val="00C41901"/>
    <w:rsid w:val="00C430AB"/>
    <w:rsid w:val="00C43C2C"/>
    <w:rsid w:val="00C45C5B"/>
    <w:rsid w:val="00C466CB"/>
    <w:rsid w:val="00C47D54"/>
    <w:rsid w:val="00C542E2"/>
    <w:rsid w:val="00C5475A"/>
    <w:rsid w:val="00C54E0D"/>
    <w:rsid w:val="00C55AD9"/>
    <w:rsid w:val="00C567D2"/>
    <w:rsid w:val="00C60673"/>
    <w:rsid w:val="00C64292"/>
    <w:rsid w:val="00C653BE"/>
    <w:rsid w:val="00C658F3"/>
    <w:rsid w:val="00C66C11"/>
    <w:rsid w:val="00C70E90"/>
    <w:rsid w:val="00C73478"/>
    <w:rsid w:val="00C73BCC"/>
    <w:rsid w:val="00C7552F"/>
    <w:rsid w:val="00C779C4"/>
    <w:rsid w:val="00C77B0A"/>
    <w:rsid w:val="00C77F19"/>
    <w:rsid w:val="00C80775"/>
    <w:rsid w:val="00C82C55"/>
    <w:rsid w:val="00C912EC"/>
    <w:rsid w:val="00C93FA0"/>
    <w:rsid w:val="00C96209"/>
    <w:rsid w:val="00C962E8"/>
    <w:rsid w:val="00C96A94"/>
    <w:rsid w:val="00C97C20"/>
    <w:rsid w:val="00CA1B2E"/>
    <w:rsid w:val="00CA4974"/>
    <w:rsid w:val="00CA5D64"/>
    <w:rsid w:val="00CA5F3F"/>
    <w:rsid w:val="00CA6015"/>
    <w:rsid w:val="00CA6177"/>
    <w:rsid w:val="00CA65C6"/>
    <w:rsid w:val="00CA74EC"/>
    <w:rsid w:val="00CB0F76"/>
    <w:rsid w:val="00CB1E4D"/>
    <w:rsid w:val="00CB42F8"/>
    <w:rsid w:val="00CB4E62"/>
    <w:rsid w:val="00CB4FDA"/>
    <w:rsid w:val="00CB759F"/>
    <w:rsid w:val="00CB795C"/>
    <w:rsid w:val="00CC08F0"/>
    <w:rsid w:val="00CC0931"/>
    <w:rsid w:val="00CC0DD5"/>
    <w:rsid w:val="00CC0E15"/>
    <w:rsid w:val="00CC0F93"/>
    <w:rsid w:val="00CC1640"/>
    <w:rsid w:val="00CC17A2"/>
    <w:rsid w:val="00CC3A98"/>
    <w:rsid w:val="00CC4226"/>
    <w:rsid w:val="00CD0725"/>
    <w:rsid w:val="00CE219A"/>
    <w:rsid w:val="00CE23F0"/>
    <w:rsid w:val="00CE3906"/>
    <w:rsid w:val="00CE5D13"/>
    <w:rsid w:val="00CF08F5"/>
    <w:rsid w:val="00CF274E"/>
    <w:rsid w:val="00CF3023"/>
    <w:rsid w:val="00CF32FB"/>
    <w:rsid w:val="00CF4957"/>
    <w:rsid w:val="00CF6089"/>
    <w:rsid w:val="00D01BEA"/>
    <w:rsid w:val="00D01C0A"/>
    <w:rsid w:val="00D048F4"/>
    <w:rsid w:val="00D04AB3"/>
    <w:rsid w:val="00D05834"/>
    <w:rsid w:val="00D05B0B"/>
    <w:rsid w:val="00D07A39"/>
    <w:rsid w:val="00D11645"/>
    <w:rsid w:val="00D13048"/>
    <w:rsid w:val="00D156AE"/>
    <w:rsid w:val="00D15B22"/>
    <w:rsid w:val="00D163D4"/>
    <w:rsid w:val="00D17D19"/>
    <w:rsid w:val="00D21AD5"/>
    <w:rsid w:val="00D22DD1"/>
    <w:rsid w:val="00D234C6"/>
    <w:rsid w:val="00D23587"/>
    <w:rsid w:val="00D23D08"/>
    <w:rsid w:val="00D2666D"/>
    <w:rsid w:val="00D27B6F"/>
    <w:rsid w:val="00D301EF"/>
    <w:rsid w:val="00D30FCD"/>
    <w:rsid w:val="00D31A9E"/>
    <w:rsid w:val="00D32676"/>
    <w:rsid w:val="00D3666C"/>
    <w:rsid w:val="00D4106B"/>
    <w:rsid w:val="00D411F5"/>
    <w:rsid w:val="00D42046"/>
    <w:rsid w:val="00D4209D"/>
    <w:rsid w:val="00D439B5"/>
    <w:rsid w:val="00D44086"/>
    <w:rsid w:val="00D460ED"/>
    <w:rsid w:val="00D50AF4"/>
    <w:rsid w:val="00D5182A"/>
    <w:rsid w:val="00D626F4"/>
    <w:rsid w:val="00D6276F"/>
    <w:rsid w:val="00D63109"/>
    <w:rsid w:val="00D634CA"/>
    <w:rsid w:val="00D63565"/>
    <w:rsid w:val="00D63A53"/>
    <w:rsid w:val="00D67767"/>
    <w:rsid w:val="00D67D18"/>
    <w:rsid w:val="00D700CA"/>
    <w:rsid w:val="00D70E88"/>
    <w:rsid w:val="00D733A8"/>
    <w:rsid w:val="00D743BC"/>
    <w:rsid w:val="00D75241"/>
    <w:rsid w:val="00D77070"/>
    <w:rsid w:val="00D771AF"/>
    <w:rsid w:val="00D803F5"/>
    <w:rsid w:val="00D8065F"/>
    <w:rsid w:val="00D84F31"/>
    <w:rsid w:val="00D85278"/>
    <w:rsid w:val="00D87F01"/>
    <w:rsid w:val="00D947A4"/>
    <w:rsid w:val="00D94E94"/>
    <w:rsid w:val="00D962BA"/>
    <w:rsid w:val="00D96BD3"/>
    <w:rsid w:val="00D96C3C"/>
    <w:rsid w:val="00DA1FFF"/>
    <w:rsid w:val="00DA2525"/>
    <w:rsid w:val="00DA2F56"/>
    <w:rsid w:val="00DA3916"/>
    <w:rsid w:val="00DA3E22"/>
    <w:rsid w:val="00DA41E9"/>
    <w:rsid w:val="00DA4BEF"/>
    <w:rsid w:val="00DA4CD7"/>
    <w:rsid w:val="00DA5BE2"/>
    <w:rsid w:val="00DA63D7"/>
    <w:rsid w:val="00DA756C"/>
    <w:rsid w:val="00DB4EC0"/>
    <w:rsid w:val="00DB548C"/>
    <w:rsid w:val="00DB5FFD"/>
    <w:rsid w:val="00DB68C1"/>
    <w:rsid w:val="00DC03CA"/>
    <w:rsid w:val="00DC056D"/>
    <w:rsid w:val="00DC156C"/>
    <w:rsid w:val="00DC1FFC"/>
    <w:rsid w:val="00DC2910"/>
    <w:rsid w:val="00DC428C"/>
    <w:rsid w:val="00DC4A60"/>
    <w:rsid w:val="00DC5EA2"/>
    <w:rsid w:val="00DC655A"/>
    <w:rsid w:val="00DD1B7D"/>
    <w:rsid w:val="00DD2139"/>
    <w:rsid w:val="00DD22FA"/>
    <w:rsid w:val="00DD2684"/>
    <w:rsid w:val="00DD2D8E"/>
    <w:rsid w:val="00DD51F9"/>
    <w:rsid w:val="00DD64A2"/>
    <w:rsid w:val="00DD7EB7"/>
    <w:rsid w:val="00DE351D"/>
    <w:rsid w:val="00DE4AD5"/>
    <w:rsid w:val="00DE618A"/>
    <w:rsid w:val="00DF00F6"/>
    <w:rsid w:val="00DF1D6C"/>
    <w:rsid w:val="00DF2A98"/>
    <w:rsid w:val="00DF3CEC"/>
    <w:rsid w:val="00DF3E41"/>
    <w:rsid w:val="00DF4F66"/>
    <w:rsid w:val="00DF51AE"/>
    <w:rsid w:val="00DF57D6"/>
    <w:rsid w:val="00DF612F"/>
    <w:rsid w:val="00DF636C"/>
    <w:rsid w:val="00DF6762"/>
    <w:rsid w:val="00DF6B0F"/>
    <w:rsid w:val="00E0046A"/>
    <w:rsid w:val="00E00D73"/>
    <w:rsid w:val="00E00D9F"/>
    <w:rsid w:val="00E014E6"/>
    <w:rsid w:val="00E036C7"/>
    <w:rsid w:val="00E05632"/>
    <w:rsid w:val="00E0774B"/>
    <w:rsid w:val="00E10CA0"/>
    <w:rsid w:val="00E11DEE"/>
    <w:rsid w:val="00E122C9"/>
    <w:rsid w:val="00E13636"/>
    <w:rsid w:val="00E1522E"/>
    <w:rsid w:val="00E15D6C"/>
    <w:rsid w:val="00E16B63"/>
    <w:rsid w:val="00E16D5D"/>
    <w:rsid w:val="00E17639"/>
    <w:rsid w:val="00E179FC"/>
    <w:rsid w:val="00E20982"/>
    <w:rsid w:val="00E211A8"/>
    <w:rsid w:val="00E21681"/>
    <w:rsid w:val="00E24B6D"/>
    <w:rsid w:val="00E2566B"/>
    <w:rsid w:val="00E2585F"/>
    <w:rsid w:val="00E25DE5"/>
    <w:rsid w:val="00E3090F"/>
    <w:rsid w:val="00E32A3A"/>
    <w:rsid w:val="00E33BEA"/>
    <w:rsid w:val="00E3462B"/>
    <w:rsid w:val="00E40762"/>
    <w:rsid w:val="00E40A83"/>
    <w:rsid w:val="00E42DD2"/>
    <w:rsid w:val="00E43AF4"/>
    <w:rsid w:val="00E43D1D"/>
    <w:rsid w:val="00E44CB1"/>
    <w:rsid w:val="00E46643"/>
    <w:rsid w:val="00E472AB"/>
    <w:rsid w:val="00E50B2E"/>
    <w:rsid w:val="00E51937"/>
    <w:rsid w:val="00E547BD"/>
    <w:rsid w:val="00E548F1"/>
    <w:rsid w:val="00E551D6"/>
    <w:rsid w:val="00E6076B"/>
    <w:rsid w:val="00E62478"/>
    <w:rsid w:val="00E636EE"/>
    <w:rsid w:val="00E666CE"/>
    <w:rsid w:val="00E67541"/>
    <w:rsid w:val="00E7198F"/>
    <w:rsid w:val="00E7224B"/>
    <w:rsid w:val="00E73488"/>
    <w:rsid w:val="00E73DF5"/>
    <w:rsid w:val="00E74555"/>
    <w:rsid w:val="00E775C5"/>
    <w:rsid w:val="00E80585"/>
    <w:rsid w:val="00E81770"/>
    <w:rsid w:val="00E81E6A"/>
    <w:rsid w:val="00E8601B"/>
    <w:rsid w:val="00E86C99"/>
    <w:rsid w:val="00E94C3A"/>
    <w:rsid w:val="00E96A93"/>
    <w:rsid w:val="00E96D86"/>
    <w:rsid w:val="00E97237"/>
    <w:rsid w:val="00E974EF"/>
    <w:rsid w:val="00E97698"/>
    <w:rsid w:val="00EA09FA"/>
    <w:rsid w:val="00EA29D3"/>
    <w:rsid w:val="00EA503E"/>
    <w:rsid w:val="00EA538A"/>
    <w:rsid w:val="00EA715F"/>
    <w:rsid w:val="00EA737E"/>
    <w:rsid w:val="00EA76F0"/>
    <w:rsid w:val="00EB0FBE"/>
    <w:rsid w:val="00EB1003"/>
    <w:rsid w:val="00EB1178"/>
    <w:rsid w:val="00EB2229"/>
    <w:rsid w:val="00EB25C8"/>
    <w:rsid w:val="00EB3E8A"/>
    <w:rsid w:val="00EB42FA"/>
    <w:rsid w:val="00EB454D"/>
    <w:rsid w:val="00EC0CA6"/>
    <w:rsid w:val="00EC21D9"/>
    <w:rsid w:val="00EC2E60"/>
    <w:rsid w:val="00EC59E4"/>
    <w:rsid w:val="00EC5FBE"/>
    <w:rsid w:val="00ED0228"/>
    <w:rsid w:val="00ED368B"/>
    <w:rsid w:val="00ED36FF"/>
    <w:rsid w:val="00ED4AEF"/>
    <w:rsid w:val="00ED6541"/>
    <w:rsid w:val="00ED66F3"/>
    <w:rsid w:val="00EE06E8"/>
    <w:rsid w:val="00EE15DB"/>
    <w:rsid w:val="00EE4622"/>
    <w:rsid w:val="00EE48CB"/>
    <w:rsid w:val="00EE48E4"/>
    <w:rsid w:val="00EE5368"/>
    <w:rsid w:val="00EE576E"/>
    <w:rsid w:val="00EE63C6"/>
    <w:rsid w:val="00EE6493"/>
    <w:rsid w:val="00EE7534"/>
    <w:rsid w:val="00EF0316"/>
    <w:rsid w:val="00EF0415"/>
    <w:rsid w:val="00EF5BFE"/>
    <w:rsid w:val="00EF655D"/>
    <w:rsid w:val="00EF6D32"/>
    <w:rsid w:val="00F00AC0"/>
    <w:rsid w:val="00F00CBC"/>
    <w:rsid w:val="00F01AC4"/>
    <w:rsid w:val="00F02F4B"/>
    <w:rsid w:val="00F03ABA"/>
    <w:rsid w:val="00F04FD7"/>
    <w:rsid w:val="00F063BD"/>
    <w:rsid w:val="00F06970"/>
    <w:rsid w:val="00F06E88"/>
    <w:rsid w:val="00F07B1B"/>
    <w:rsid w:val="00F11EEC"/>
    <w:rsid w:val="00F158C5"/>
    <w:rsid w:val="00F15CEC"/>
    <w:rsid w:val="00F2129C"/>
    <w:rsid w:val="00F216DC"/>
    <w:rsid w:val="00F232DF"/>
    <w:rsid w:val="00F26F16"/>
    <w:rsid w:val="00F31906"/>
    <w:rsid w:val="00F31EC8"/>
    <w:rsid w:val="00F321C0"/>
    <w:rsid w:val="00F32333"/>
    <w:rsid w:val="00F33BE7"/>
    <w:rsid w:val="00F36628"/>
    <w:rsid w:val="00F376DE"/>
    <w:rsid w:val="00F41327"/>
    <w:rsid w:val="00F41E2A"/>
    <w:rsid w:val="00F430EC"/>
    <w:rsid w:val="00F44668"/>
    <w:rsid w:val="00F44BAF"/>
    <w:rsid w:val="00F46894"/>
    <w:rsid w:val="00F46AA8"/>
    <w:rsid w:val="00F4742D"/>
    <w:rsid w:val="00F51DA6"/>
    <w:rsid w:val="00F53AEC"/>
    <w:rsid w:val="00F5723C"/>
    <w:rsid w:val="00F62EC6"/>
    <w:rsid w:val="00F66A93"/>
    <w:rsid w:val="00F672AF"/>
    <w:rsid w:val="00F70AE3"/>
    <w:rsid w:val="00F72BD5"/>
    <w:rsid w:val="00F77AC8"/>
    <w:rsid w:val="00F81519"/>
    <w:rsid w:val="00F82C7F"/>
    <w:rsid w:val="00F8322D"/>
    <w:rsid w:val="00F83314"/>
    <w:rsid w:val="00F8616F"/>
    <w:rsid w:val="00F904A9"/>
    <w:rsid w:val="00F90603"/>
    <w:rsid w:val="00F93097"/>
    <w:rsid w:val="00F930E5"/>
    <w:rsid w:val="00F97CB1"/>
    <w:rsid w:val="00FA11CC"/>
    <w:rsid w:val="00FA2DF0"/>
    <w:rsid w:val="00FA3241"/>
    <w:rsid w:val="00FA36C2"/>
    <w:rsid w:val="00FA3BB1"/>
    <w:rsid w:val="00FA539D"/>
    <w:rsid w:val="00FA5B5F"/>
    <w:rsid w:val="00FA67C0"/>
    <w:rsid w:val="00FA7902"/>
    <w:rsid w:val="00FB5E0C"/>
    <w:rsid w:val="00FB7EF8"/>
    <w:rsid w:val="00FC01D2"/>
    <w:rsid w:val="00FC222D"/>
    <w:rsid w:val="00FC2474"/>
    <w:rsid w:val="00FC6261"/>
    <w:rsid w:val="00FC6B78"/>
    <w:rsid w:val="00FC765D"/>
    <w:rsid w:val="00FD0DA4"/>
    <w:rsid w:val="00FD19CA"/>
    <w:rsid w:val="00FD404E"/>
    <w:rsid w:val="00FD4D02"/>
    <w:rsid w:val="00FD4FC8"/>
    <w:rsid w:val="00FD59E8"/>
    <w:rsid w:val="00FE0260"/>
    <w:rsid w:val="00FE1C4F"/>
    <w:rsid w:val="00FE25AC"/>
    <w:rsid w:val="00FE3089"/>
    <w:rsid w:val="00FE46B5"/>
    <w:rsid w:val="00FE491A"/>
    <w:rsid w:val="00FF1D7A"/>
    <w:rsid w:val="00FF2E48"/>
    <w:rsid w:val="00FF30A0"/>
    <w:rsid w:val="00FF3E8F"/>
    <w:rsid w:val="00FF5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C615"/>
  <w15:chartTrackingRefBased/>
  <w15:docId w15:val="{1681C68C-7B4B-4649-9DD6-5D20C646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99"/>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rFonts w:cs="Times New Roman"/>
      <w:sz w:val="24"/>
      <w:szCs w:val="24"/>
      <w:lang w:val="x-none" w:eastAsia="x-none"/>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table" w:styleId="TableGridLight">
    <w:name w:val="Grid Table Light"/>
    <w:basedOn w:val="TableNormal"/>
    <w:uiPriority w:val="40"/>
    <w:rsid w:val="00C70E9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veta.bormane@vi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89F23-E9A2-4901-A30D-39AD311D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11342</Words>
  <Characters>6466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rīkojuma projekta “Par informācijas sabiedrības attīstības pamatnostādņu ieviešanu publiskās pārvaldes informācijas sistēmu jomā (mērķarhitektūras 40.0 versija - Nodokļu informācijas pakalpojumu modernizācija (Maksājumu uzskaites un uzkr</vt:lpstr>
    </vt:vector>
  </TitlesOfParts>
  <Company>Valsts ieņēmumu dienests</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40.0 versija - Nodokļu informācijas pakalpojumu modernizācija (Maksājumu uzskaites un uzkrājuma princips))” sākotnējās ietekmes novērtējuma ziņojums (anotācija)</dc:title>
  <dc:subject>MK rīkojuma anotācijas projekts</dc:subject>
  <dc:creator>Zane Siliņa</dc:creator>
  <dc:description>Zane.Siliņa@vid.gov.lv; _x000d_
tālr.67121847</dc:description>
  <cp:lastModifiedBy>Sanita Zakse</cp:lastModifiedBy>
  <cp:revision>9</cp:revision>
  <cp:lastPrinted>2018-10-04T12:56:00Z</cp:lastPrinted>
  <dcterms:created xsi:type="dcterms:W3CDTF">2018-10-04T12:55:00Z</dcterms:created>
  <dcterms:modified xsi:type="dcterms:W3CDTF">2018-10-08T06:35:00Z</dcterms:modified>
</cp:coreProperties>
</file>