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82235" w14:textId="38F7601A" w:rsidR="00BD5588" w:rsidRPr="00C17043" w:rsidRDefault="00E56C0F" w:rsidP="00E56C0F">
      <w:pPr>
        <w:pStyle w:val="Title"/>
        <w:spacing w:before="130" w:line="260" w:lineRule="exact"/>
        <w:ind w:firstLine="539"/>
        <w:rPr>
          <w:b/>
          <w:bCs/>
          <w:sz w:val="22"/>
          <w:szCs w:val="22"/>
          <w:lang w:eastAsia="lv-LV"/>
        </w:rPr>
      </w:pPr>
      <w:r w:rsidRPr="00C17043">
        <w:rPr>
          <w:b/>
          <w:bCs/>
          <w:sz w:val="22"/>
          <w:szCs w:val="22"/>
          <w:lang w:eastAsia="lv-LV"/>
        </w:rPr>
        <w:t>Ministru kabineta rīkojuma projekta</w:t>
      </w:r>
      <w:r w:rsidR="002925BA" w:rsidRPr="00C17043">
        <w:rPr>
          <w:b/>
          <w:bCs/>
          <w:sz w:val="22"/>
          <w:szCs w:val="22"/>
          <w:lang w:eastAsia="lv-LV"/>
        </w:rPr>
        <w:t xml:space="preserve"> </w:t>
      </w:r>
      <w:r w:rsidRPr="00C17043">
        <w:rPr>
          <w:b/>
          <w:bCs/>
          <w:sz w:val="22"/>
          <w:szCs w:val="22"/>
          <w:lang w:eastAsia="lv-LV"/>
        </w:rPr>
        <w:t>“Grozījumi Eiropas Savienības struktūrfondu un Kohēzijas fonda</w:t>
      </w:r>
      <w:r w:rsidR="002925BA" w:rsidRPr="00C17043">
        <w:rPr>
          <w:sz w:val="22"/>
          <w:szCs w:val="22"/>
        </w:rPr>
        <w:t xml:space="preserve"> </w:t>
      </w:r>
      <w:r w:rsidRPr="00C17043">
        <w:rPr>
          <w:b/>
          <w:bCs/>
          <w:sz w:val="22"/>
          <w:szCs w:val="22"/>
          <w:lang w:eastAsia="lv-LV"/>
        </w:rPr>
        <w:t>2014.–</w:t>
      </w:r>
      <w:r w:rsidR="002925BA" w:rsidRPr="00C17043">
        <w:rPr>
          <w:sz w:val="22"/>
          <w:szCs w:val="22"/>
        </w:rPr>
        <w:t> </w:t>
      </w:r>
      <w:r w:rsidR="002925BA" w:rsidRPr="00C17043">
        <w:rPr>
          <w:b/>
          <w:bCs/>
          <w:sz w:val="22"/>
          <w:szCs w:val="22"/>
          <w:lang w:eastAsia="lv-LV"/>
        </w:rPr>
        <w:t>2020.</w:t>
      </w:r>
      <w:r w:rsidR="00862131">
        <w:t> </w:t>
      </w:r>
      <w:r w:rsidR="002925BA" w:rsidRPr="00C17043">
        <w:rPr>
          <w:b/>
          <w:bCs/>
          <w:sz w:val="22"/>
          <w:szCs w:val="22"/>
          <w:lang w:eastAsia="lv-LV"/>
        </w:rPr>
        <w:t>gada</w:t>
      </w:r>
      <w:r w:rsidR="002925BA" w:rsidRPr="00C17043">
        <w:rPr>
          <w:sz w:val="22"/>
          <w:szCs w:val="22"/>
        </w:rPr>
        <w:t> </w:t>
      </w:r>
      <w:r w:rsidRPr="00C17043">
        <w:rPr>
          <w:b/>
          <w:bCs/>
          <w:sz w:val="22"/>
          <w:szCs w:val="22"/>
          <w:lang w:eastAsia="lv-LV"/>
        </w:rPr>
        <w:t xml:space="preserve">plānošanas perioda darbības </w:t>
      </w:r>
      <w:bookmarkStart w:id="0" w:name="_GoBack"/>
      <w:bookmarkEnd w:id="0"/>
      <w:r w:rsidRPr="00C17043">
        <w:rPr>
          <w:b/>
          <w:bCs/>
          <w:sz w:val="22"/>
          <w:szCs w:val="22"/>
          <w:lang w:eastAsia="lv-LV"/>
        </w:rPr>
        <w:t>programmā “Izaugsme un nodarbinātība”” sākotnējās ietekmes novērtējuma ziņojums (anotācija)</w:t>
      </w:r>
    </w:p>
    <w:p w14:paraId="2C75337B" w14:textId="77777777" w:rsidR="00E56C0F" w:rsidRPr="00C17043" w:rsidRDefault="00E56C0F" w:rsidP="00E56C0F">
      <w:pPr>
        <w:pStyle w:val="Title"/>
        <w:spacing w:before="130" w:line="260" w:lineRule="exact"/>
        <w:ind w:firstLine="539"/>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7"/>
        <w:gridCol w:w="5804"/>
      </w:tblGrid>
      <w:tr w:rsidR="00BD5588" w:rsidRPr="00C17043" w14:paraId="13E8CFBA" w14:textId="77777777" w:rsidTr="009E0502">
        <w:trPr>
          <w:cantSplit/>
        </w:trPr>
        <w:tc>
          <w:tcPr>
            <w:tcW w:w="9581" w:type="dxa"/>
            <w:gridSpan w:val="2"/>
            <w:shd w:val="clear" w:color="auto" w:fill="FFFFFF"/>
            <w:vAlign w:val="center"/>
            <w:hideMark/>
          </w:tcPr>
          <w:p w14:paraId="2744C290" w14:textId="77777777" w:rsidR="00BD5588" w:rsidRPr="00C17043" w:rsidRDefault="00BD5588" w:rsidP="009E0502">
            <w:pPr>
              <w:jc w:val="center"/>
              <w:rPr>
                <w:b/>
                <w:iCs/>
                <w:sz w:val="22"/>
                <w:szCs w:val="22"/>
                <w:lang w:eastAsia="en-US"/>
              </w:rPr>
            </w:pPr>
            <w:r w:rsidRPr="00C17043">
              <w:rPr>
                <w:b/>
                <w:iCs/>
                <w:sz w:val="22"/>
                <w:szCs w:val="22"/>
                <w:lang w:eastAsia="en-US"/>
              </w:rPr>
              <w:t>Tiesību akta projekta anotācijas kopsavilkums</w:t>
            </w:r>
          </w:p>
        </w:tc>
      </w:tr>
      <w:tr w:rsidR="00BD5588" w:rsidRPr="00E356D4" w14:paraId="280F1A43" w14:textId="77777777" w:rsidTr="00E356D4">
        <w:trPr>
          <w:cantSplit/>
          <w:trHeight w:val="42"/>
        </w:trPr>
        <w:tc>
          <w:tcPr>
            <w:tcW w:w="3430" w:type="dxa"/>
            <w:shd w:val="clear" w:color="auto" w:fill="auto"/>
            <w:hideMark/>
          </w:tcPr>
          <w:p w14:paraId="6575DC00" w14:textId="77777777" w:rsidR="00BD5588" w:rsidRPr="00E356D4" w:rsidRDefault="00BD5588" w:rsidP="009E0502">
            <w:pPr>
              <w:rPr>
                <w:iCs/>
                <w:sz w:val="22"/>
                <w:szCs w:val="22"/>
                <w:lang w:eastAsia="en-US"/>
              </w:rPr>
            </w:pPr>
            <w:r w:rsidRPr="00E356D4">
              <w:rPr>
                <w:iCs/>
                <w:sz w:val="22"/>
                <w:szCs w:val="22"/>
                <w:lang w:eastAsia="en-US"/>
              </w:rPr>
              <w:t>Mērķis, risinājums un projekta spēkā stāšanās laiks (500 zīmes bez atstarpēm)</w:t>
            </w:r>
          </w:p>
        </w:tc>
        <w:tc>
          <w:tcPr>
            <w:tcW w:w="6151" w:type="dxa"/>
            <w:shd w:val="clear" w:color="auto" w:fill="auto"/>
            <w:hideMark/>
          </w:tcPr>
          <w:p w14:paraId="7585C623" w14:textId="7A7CB20B" w:rsidR="00BD5588" w:rsidRPr="00E356D4" w:rsidRDefault="00E56C0F" w:rsidP="009E5FD5">
            <w:pPr>
              <w:jc w:val="both"/>
              <w:rPr>
                <w:i/>
                <w:iCs/>
                <w:sz w:val="22"/>
                <w:szCs w:val="22"/>
                <w:lang w:eastAsia="en-US"/>
              </w:rPr>
            </w:pPr>
            <w:r w:rsidRPr="00E356D4">
              <w:rPr>
                <w:sz w:val="22"/>
                <w:szCs w:val="22"/>
                <w:lang w:eastAsia="en-US"/>
              </w:rPr>
              <w:t>Netiek aizpildīts sas</w:t>
            </w:r>
            <w:r w:rsidR="00862131">
              <w:rPr>
                <w:sz w:val="22"/>
                <w:szCs w:val="22"/>
                <w:lang w:eastAsia="en-US"/>
              </w:rPr>
              <w:t>kaņā ar Ministru kabineta 2009.</w:t>
            </w:r>
            <w:r w:rsidR="00862131">
              <w:t> </w:t>
            </w:r>
            <w:r w:rsidR="00862131">
              <w:rPr>
                <w:sz w:val="22"/>
                <w:szCs w:val="22"/>
                <w:lang w:eastAsia="en-US"/>
              </w:rPr>
              <w:t>gada 15. </w:t>
            </w:r>
            <w:r w:rsidRPr="00E356D4">
              <w:rPr>
                <w:sz w:val="22"/>
                <w:szCs w:val="22"/>
                <w:lang w:eastAsia="en-US"/>
              </w:rPr>
              <w:t xml:space="preserve">decembra instrukcijas </w:t>
            </w:r>
            <w:r w:rsidR="00E3549F" w:rsidRPr="00E3549F">
              <w:rPr>
                <w:sz w:val="22"/>
                <w:szCs w:val="22"/>
                <w:lang w:eastAsia="en-US"/>
              </w:rPr>
              <w:t xml:space="preserve">“Tiesību akta projekta sākotnējās ietekmes izvērtēšanas kārtība” </w:t>
            </w:r>
            <w:r w:rsidRPr="00E356D4">
              <w:rPr>
                <w:sz w:val="22"/>
                <w:szCs w:val="22"/>
                <w:lang w:eastAsia="en-US"/>
              </w:rPr>
              <w:t>Nr. 19 5.</w:t>
            </w:r>
            <w:r w:rsidRPr="00E356D4">
              <w:rPr>
                <w:sz w:val="22"/>
                <w:szCs w:val="22"/>
                <w:vertAlign w:val="superscript"/>
                <w:lang w:eastAsia="en-US"/>
              </w:rPr>
              <w:t>1</w:t>
            </w:r>
            <w:r w:rsidR="00862131">
              <w:rPr>
                <w:sz w:val="22"/>
                <w:szCs w:val="22"/>
                <w:lang w:eastAsia="en-US"/>
              </w:rPr>
              <w:t> </w:t>
            </w:r>
            <w:r w:rsidRPr="00E356D4">
              <w:rPr>
                <w:sz w:val="22"/>
                <w:szCs w:val="22"/>
                <w:lang w:eastAsia="en-US"/>
              </w:rPr>
              <w:t>punktu.</w:t>
            </w:r>
          </w:p>
        </w:tc>
      </w:tr>
    </w:tbl>
    <w:p w14:paraId="666F4565" w14:textId="77777777" w:rsidR="00BD5588" w:rsidRPr="00C17043" w:rsidRDefault="00BD5588" w:rsidP="00BD5588">
      <w:pPr>
        <w:pStyle w:val="Title"/>
        <w:spacing w:before="130" w:line="260" w:lineRule="exact"/>
        <w:ind w:firstLine="539"/>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C17043" w14:paraId="2A94857C" w14:textId="77777777" w:rsidTr="00163248">
        <w:tc>
          <w:tcPr>
            <w:tcW w:w="5000" w:type="pct"/>
            <w:gridSpan w:val="3"/>
            <w:vAlign w:val="center"/>
            <w:hideMark/>
          </w:tcPr>
          <w:p w14:paraId="256C9E3A" w14:textId="38241350" w:rsidR="00BD5588" w:rsidRPr="00163248" w:rsidRDefault="00BD5588" w:rsidP="00163248">
            <w:pPr>
              <w:jc w:val="center"/>
              <w:rPr>
                <w:b/>
                <w:bCs/>
                <w:sz w:val="22"/>
                <w:szCs w:val="22"/>
              </w:rPr>
            </w:pPr>
            <w:r w:rsidRPr="00C17043">
              <w:rPr>
                <w:b/>
                <w:bCs/>
                <w:sz w:val="22"/>
                <w:szCs w:val="22"/>
              </w:rPr>
              <w:t>I. Tiesību akta projekta izstrādes nepieciešamība</w:t>
            </w:r>
          </w:p>
        </w:tc>
      </w:tr>
      <w:tr w:rsidR="00BD5588" w:rsidRPr="00C17043" w14:paraId="5E08886C" w14:textId="77777777" w:rsidTr="00163248">
        <w:tc>
          <w:tcPr>
            <w:tcW w:w="311" w:type="pct"/>
            <w:hideMark/>
          </w:tcPr>
          <w:p w14:paraId="1ED1AD15" w14:textId="77777777" w:rsidR="00BD5588" w:rsidRPr="00C17043" w:rsidRDefault="00BD5588" w:rsidP="009E0502">
            <w:pPr>
              <w:jc w:val="center"/>
              <w:rPr>
                <w:sz w:val="22"/>
                <w:szCs w:val="22"/>
              </w:rPr>
            </w:pPr>
            <w:r w:rsidRPr="00C17043">
              <w:rPr>
                <w:sz w:val="22"/>
                <w:szCs w:val="22"/>
              </w:rPr>
              <w:t>1.</w:t>
            </w:r>
          </w:p>
        </w:tc>
        <w:tc>
          <w:tcPr>
            <w:tcW w:w="1479" w:type="pct"/>
            <w:hideMark/>
          </w:tcPr>
          <w:p w14:paraId="6CE9B998" w14:textId="589AC483" w:rsidR="00517EBA" w:rsidRDefault="00BD5588" w:rsidP="009E0502">
            <w:pPr>
              <w:rPr>
                <w:sz w:val="22"/>
                <w:szCs w:val="22"/>
              </w:rPr>
            </w:pPr>
            <w:r w:rsidRPr="00C17043">
              <w:rPr>
                <w:sz w:val="22"/>
                <w:szCs w:val="22"/>
              </w:rPr>
              <w:t>Pamatojums</w:t>
            </w:r>
          </w:p>
          <w:p w14:paraId="324E811C" w14:textId="08BBD90E" w:rsidR="00BD5588" w:rsidRPr="00163248" w:rsidRDefault="00BD5588" w:rsidP="00163248">
            <w:pPr>
              <w:rPr>
                <w:sz w:val="22"/>
                <w:szCs w:val="22"/>
              </w:rPr>
            </w:pPr>
          </w:p>
        </w:tc>
        <w:tc>
          <w:tcPr>
            <w:tcW w:w="3210" w:type="pct"/>
            <w:hideMark/>
          </w:tcPr>
          <w:p w14:paraId="5D81FA8C" w14:textId="6EB22D89" w:rsidR="00BD5588" w:rsidRPr="00C17043" w:rsidRDefault="00E56C0F" w:rsidP="00A74089">
            <w:pPr>
              <w:jc w:val="both"/>
              <w:rPr>
                <w:sz w:val="22"/>
                <w:szCs w:val="22"/>
              </w:rPr>
            </w:pPr>
            <w:r w:rsidRPr="00C17043">
              <w:rPr>
                <w:sz w:val="22"/>
                <w:szCs w:val="22"/>
              </w:rPr>
              <w:t>Eiropas Savienības struktūrfondu un Kohēzijas fonda (turpmāk – ES fondi) 2014.–2020.</w:t>
            </w:r>
            <w:r w:rsidR="00862131">
              <w:t> </w:t>
            </w:r>
            <w:r w:rsidRPr="00C17043">
              <w:rPr>
                <w:sz w:val="22"/>
                <w:szCs w:val="22"/>
              </w:rPr>
              <w:t xml:space="preserve">gada plānošanas perioda darbības programma “Izaugsme un nodarbinātība” </w:t>
            </w:r>
            <w:r w:rsidR="00CF4EC3">
              <w:rPr>
                <w:sz w:val="22"/>
                <w:szCs w:val="22"/>
              </w:rPr>
              <w:br/>
            </w:r>
            <w:r w:rsidRPr="00C17043">
              <w:rPr>
                <w:sz w:val="22"/>
                <w:szCs w:val="22"/>
              </w:rPr>
              <w:t>(turpmāk – darbības programma) ir apstiprināta ar Ministru kabineta (turpmāk – MK) 2015.</w:t>
            </w:r>
            <w:r w:rsidR="00873ED0">
              <w:rPr>
                <w:sz w:val="22"/>
                <w:szCs w:val="22"/>
              </w:rPr>
              <w:t> </w:t>
            </w:r>
            <w:r w:rsidRPr="00C17043">
              <w:rPr>
                <w:sz w:val="22"/>
                <w:szCs w:val="22"/>
              </w:rPr>
              <w:t>gada 4.</w:t>
            </w:r>
            <w:r w:rsidR="00873ED0">
              <w:rPr>
                <w:sz w:val="22"/>
                <w:szCs w:val="22"/>
              </w:rPr>
              <w:t> </w:t>
            </w:r>
            <w:r w:rsidRPr="00C17043">
              <w:rPr>
                <w:sz w:val="22"/>
                <w:szCs w:val="22"/>
              </w:rPr>
              <w:t>februāra rīkojumu Nr.</w:t>
            </w:r>
            <w:r w:rsidR="00873ED0">
              <w:rPr>
                <w:sz w:val="22"/>
                <w:szCs w:val="22"/>
              </w:rPr>
              <w:t> </w:t>
            </w:r>
            <w:r w:rsidRPr="00C17043">
              <w:rPr>
                <w:sz w:val="22"/>
                <w:szCs w:val="22"/>
              </w:rPr>
              <w:t>62 “Par Eiropas Savienības struktūrfondu un Kohēzijas fonda 2014.–2020.</w:t>
            </w:r>
            <w:r w:rsidR="00862131">
              <w:rPr>
                <w:sz w:val="22"/>
                <w:szCs w:val="22"/>
              </w:rPr>
              <w:t> </w:t>
            </w:r>
            <w:r w:rsidRPr="00C17043">
              <w:rPr>
                <w:sz w:val="22"/>
                <w:szCs w:val="22"/>
              </w:rPr>
              <w:t>gada plānošanas perioda darbības programmu “Izaugsme un nodarbinātība””.</w:t>
            </w:r>
          </w:p>
          <w:p w14:paraId="63F8E225" w14:textId="0CB78CBB" w:rsidR="000F2CBB" w:rsidRPr="00C17043" w:rsidRDefault="000F2CBB" w:rsidP="00932C51">
            <w:pPr>
              <w:jc w:val="both"/>
              <w:rPr>
                <w:sz w:val="22"/>
                <w:szCs w:val="22"/>
              </w:rPr>
            </w:pPr>
            <w:r w:rsidRPr="00C17043">
              <w:rPr>
                <w:sz w:val="22"/>
                <w:szCs w:val="22"/>
              </w:rPr>
              <w:t>Darbības programma izstrādāta saskaņā ar Eiropas Parlamenta un Padomes 2013.</w:t>
            </w:r>
            <w:r w:rsidR="00873ED0">
              <w:rPr>
                <w:sz w:val="22"/>
                <w:szCs w:val="22"/>
              </w:rPr>
              <w:t> </w:t>
            </w:r>
            <w:r w:rsidRPr="00C17043">
              <w:rPr>
                <w:sz w:val="22"/>
                <w:szCs w:val="22"/>
              </w:rPr>
              <w:t>gada 17.</w:t>
            </w:r>
            <w:r w:rsidR="00873ED0">
              <w:rPr>
                <w:sz w:val="22"/>
                <w:szCs w:val="22"/>
              </w:rPr>
              <w:t> </w:t>
            </w:r>
            <w:r w:rsidRPr="00C17043">
              <w:rPr>
                <w:sz w:val="22"/>
                <w:szCs w:val="22"/>
              </w:rPr>
              <w:t>decembr</w:t>
            </w:r>
            <w:r w:rsidR="00862131">
              <w:rPr>
                <w:sz w:val="22"/>
                <w:szCs w:val="22"/>
              </w:rPr>
              <w:t>a</w:t>
            </w:r>
            <w:r w:rsidRPr="00C17043">
              <w:rPr>
                <w:sz w:val="22"/>
                <w:szCs w:val="22"/>
              </w:rPr>
              <w:t xml:space="preserve">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un Kohēzijas fondu un Eiropas Jūrlietu un zivsaimniecības</w:t>
            </w:r>
            <w:r w:rsidR="00862131">
              <w:rPr>
                <w:sz w:val="22"/>
                <w:szCs w:val="22"/>
              </w:rPr>
              <w:t xml:space="preserve"> fondu un atceļ Regulu (EK) Nr.</w:t>
            </w:r>
            <w:r w:rsidR="00862131">
              <w:t> </w:t>
            </w:r>
            <w:r w:rsidR="00862131">
              <w:rPr>
                <w:sz w:val="22"/>
                <w:szCs w:val="22"/>
              </w:rPr>
              <w:t>1083/2006 (turpmāk – Regula Nr. </w:t>
            </w:r>
            <w:r w:rsidRPr="00C17043">
              <w:rPr>
                <w:sz w:val="22"/>
                <w:szCs w:val="22"/>
              </w:rPr>
              <w:t>1303/2013), un saskaņā ar Regulas Nr.</w:t>
            </w:r>
            <w:r w:rsidR="00862131">
              <w:rPr>
                <w:sz w:val="22"/>
                <w:szCs w:val="22"/>
              </w:rPr>
              <w:t> </w:t>
            </w:r>
            <w:r w:rsidRPr="00C17043">
              <w:rPr>
                <w:sz w:val="22"/>
                <w:szCs w:val="22"/>
              </w:rPr>
              <w:t>1303/2013 30.</w:t>
            </w:r>
            <w:r w:rsidR="00862131">
              <w:rPr>
                <w:sz w:val="22"/>
                <w:szCs w:val="22"/>
              </w:rPr>
              <w:t> </w:t>
            </w:r>
            <w:r w:rsidRPr="00C17043">
              <w:rPr>
                <w:sz w:val="22"/>
                <w:szCs w:val="22"/>
              </w:rPr>
              <w:t>panta 1. un 2.</w:t>
            </w:r>
            <w:r w:rsidR="00862131">
              <w:rPr>
                <w:sz w:val="22"/>
                <w:szCs w:val="22"/>
              </w:rPr>
              <w:t> </w:t>
            </w:r>
            <w:r w:rsidRPr="00C17043">
              <w:rPr>
                <w:sz w:val="22"/>
                <w:szCs w:val="22"/>
              </w:rPr>
              <w:t>punktu dalībvalstij ir ties</w:t>
            </w:r>
            <w:r w:rsidR="00862131">
              <w:rPr>
                <w:sz w:val="22"/>
                <w:szCs w:val="22"/>
              </w:rPr>
              <w:t>ības iesniegt Eiropas Komisijai</w:t>
            </w:r>
            <w:r w:rsidR="00862131">
              <w:rPr>
                <w:sz w:val="22"/>
                <w:szCs w:val="22"/>
              </w:rPr>
              <w:br/>
            </w:r>
            <w:r w:rsidRPr="00C17043">
              <w:rPr>
                <w:sz w:val="22"/>
                <w:szCs w:val="22"/>
              </w:rPr>
              <w:t>(turpmāk – EK) pienācīgi pamatotu prasību veikt grozījumus darbības programmā, par kuriem EK attiecīgi nepieciešamības gadījumā sniedz savus apsvērumus.</w:t>
            </w:r>
          </w:p>
        </w:tc>
      </w:tr>
      <w:tr w:rsidR="008F0C62" w:rsidRPr="00C17043" w14:paraId="4E67868D" w14:textId="77777777" w:rsidTr="00163248">
        <w:tc>
          <w:tcPr>
            <w:tcW w:w="311" w:type="pct"/>
          </w:tcPr>
          <w:p w14:paraId="3CFF0902" w14:textId="4BFD79EF" w:rsidR="008F0C62" w:rsidRPr="00C17043" w:rsidRDefault="008F0C62" w:rsidP="008F0C62">
            <w:pPr>
              <w:jc w:val="center"/>
              <w:rPr>
                <w:sz w:val="22"/>
                <w:szCs w:val="22"/>
              </w:rPr>
            </w:pPr>
            <w:r w:rsidRPr="00C17043">
              <w:rPr>
                <w:sz w:val="22"/>
                <w:szCs w:val="22"/>
              </w:rPr>
              <w:t>2.</w:t>
            </w:r>
          </w:p>
        </w:tc>
        <w:tc>
          <w:tcPr>
            <w:tcW w:w="1479" w:type="pct"/>
          </w:tcPr>
          <w:p w14:paraId="1F097289" w14:textId="563B970C" w:rsidR="008F0C62" w:rsidRPr="00C17043" w:rsidRDefault="008F0C62" w:rsidP="008F0C62">
            <w:pPr>
              <w:rPr>
                <w:sz w:val="22"/>
                <w:szCs w:val="22"/>
              </w:rPr>
            </w:pPr>
            <w:r w:rsidRPr="00C17043">
              <w:rPr>
                <w:sz w:val="22"/>
                <w:szCs w:val="22"/>
              </w:rPr>
              <w:t>Pašreizējā situācija un problēmas, kuru risināšanai tiesību akta projekts izstrādāts, tiesiskā regulējuma mērķis un būtība</w:t>
            </w:r>
          </w:p>
        </w:tc>
        <w:tc>
          <w:tcPr>
            <w:tcW w:w="3210" w:type="pct"/>
          </w:tcPr>
          <w:p w14:paraId="7E423790" w14:textId="13433E38" w:rsidR="00705807" w:rsidRPr="00705807" w:rsidRDefault="00705807" w:rsidP="00705807">
            <w:pPr>
              <w:jc w:val="both"/>
              <w:rPr>
                <w:sz w:val="22"/>
                <w:szCs w:val="22"/>
              </w:rPr>
            </w:pPr>
            <w:r w:rsidRPr="00705807">
              <w:rPr>
                <w:sz w:val="22"/>
                <w:szCs w:val="22"/>
              </w:rPr>
              <w:t>Darbības programmas grozījumi paredz snieguma ietvara mērķu 2018.</w:t>
            </w:r>
            <w:r w:rsidR="00087CF0">
              <w:rPr>
                <w:sz w:val="22"/>
                <w:szCs w:val="22"/>
              </w:rPr>
              <w:t xml:space="preserve"> </w:t>
            </w:r>
            <w:r w:rsidRPr="00705807">
              <w:rPr>
                <w:sz w:val="22"/>
                <w:szCs w:val="22"/>
              </w:rPr>
              <w:t xml:space="preserve">gadam samazināšanu energoefektivitātes un vides jomas investīcijām, lai Latvija mazinātu riskus, kas saistīti ar EK maksājumu apturēšanu un iespēju nesaņemt konkrētā prioritātē izmantot papildu rezerves finansējumu, ņemot vērā faktisko </w:t>
            </w:r>
            <w:r>
              <w:rPr>
                <w:sz w:val="22"/>
                <w:szCs w:val="22"/>
              </w:rPr>
              <w:t>ES fondu</w:t>
            </w:r>
            <w:r w:rsidRPr="00705807">
              <w:rPr>
                <w:sz w:val="22"/>
                <w:szCs w:val="22"/>
              </w:rPr>
              <w:t xml:space="preserve"> investīciju ieviešanas progresu.</w:t>
            </w:r>
          </w:p>
          <w:p w14:paraId="14A0F776" w14:textId="26A4B888" w:rsidR="00705807" w:rsidRPr="00705807" w:rsidRDefault="00705807" w:rsidP="00705807">
            <w:pPr>
              <w:jc w:val="both"/>
              <w:rPr>
                <w:sz w:val="22"/>
                <w:szCs w:val="22"/>
              </w:rPr>
            </w:pPr>
            <w:r w:rsidRPr="00705807">
              <w:rPr>
                <w:iCs/>
                <w:sz w:val="22"/>
                <w:szCs w:val="22"/>
              </w:rPr>
              <w:t xml:space="preserve">MK 2018. gada 11. septembra </w:t>
            </w:r>
            <w:r w:rsidRPr="0029576A">
              <w:rPr>
                <w:iCs/>
                <w:sz w:val="22"/>
                <w:szCs w:val="22"/>
              </w:rPr>
              <w:t>sēdē</w:t>
            </w:r>
            <w:r w:rsidR="0029576A" w:rsidRPr="0029576A">
              <w:rPr>
                <w:iCs/>
                <w:sz w:val="22"/>
                <w:szCs w:val="22"/>
              </w:rPr>
              <w:t xml:space="preserve"> (</w:t>
            </w:r>
            <w:proofErr w:type="spellStart"/>
            <w:r w:rsidR="0029576A" w:rsidRPr="0029576A">
              <w:rPr>
                <w:iCs/>
                <w:sz w:val="22"/>
                <w:szCs w:val="22"/>
              </w:rPr>
              <w:t>protokollēmuma</w:t>
            </w:r>
            <w:proofErr w:type="spellEnd"/>
            <w:r w:rsidR="0029576A" w:rsidRPr="0029576A">
              <w:rPr>
                <w:iCs/>
                <w:sz w:val="22"/>
                <w:szCs w:val="22"/>
              </w:rPr>
              <w:t xml:space="preserve"> Nr</w:t>
            </w:r>
            <w:r w:rsidR="0029576A" w:rsidRPr="0029576A">
              <w:rPr>
                <w:sz w:val="22"/>
                <w:szCs w:val="22"/>
              </w:rPr>
              <w:t xml:space="preserve">. 42 41. § “Informatīvais ziņojums “Par Kohēzijas politikas Eiropas Savienības fondu investīciju progresu līdz </w:t>
            </w:r>
            <w:r w:rsidR="00087CF0">
              <w:rPr>
                <w:sz w:val="22"/>
                <w:szCs w:val="22"/>
              </w:rPr>
              <w:br/>
            </w:r>
            <w:r w:rsidR="0029576A" w:rsidRPr="0029576A">
              <w:rPr>
                <w:sz w:val="22"/>
                <w:szCs w:val="22"/>
              </w:rPr>
              <w:t>2018.</w:t>
            </w:r>
            <w:r w:rsidR="00087CF0">
              <w:rPr>
                <w:sz w:val="22"/>
                <w:szCs w:val="22"/>
              </w:rPr>
              <w:t xml:space="preserve"> </w:t>
            </w:r>
            <w:r w:rsidR="0029576A" w:rsidRPr="0029576A">
              <w:rPr>
                <w:sz w:val="22"/>
                <w:szCs w:val="22"/>
              </w:rPr>
              <w:t>gada 30.</w:t>
            </w:r>
            <w:r w:rsidR="00087CF0">
              <w:rPr>
                <w:sz w:val="22"/>
                <w:szCs w:val="22"/>
              </w:rPr>
              <w:t xml:space="preserve"> </w:t>
            </w:r>
            <w:r w:rsidR="0029576A" w:rsidRPr="0029576A">
              <w:rPr>
                <w:sz w:val="22"/>
                <w:szCs w:val="22"/>
              </w:rPr>
              <w:t>jūnijam un 2018.</w:t>
            </w:r>
            <w:r w:rsidR="00087CF0">
              <w:rPr>
                <w:sz w:val="22"/>
                <w:szCs w:val="22"/>
              </w:rPr>
              <w:t xml:space="preserve"> </w:t>
            </w:r>
            <w:r w:rsidR="0029576A" w:rsidRPr="0029576A">
              <w:rPr>
                <w:sz w:val="22"/>
                <w:szCs w:val="22"/>
              </w:rPr>
              <w:t>gada augusta ikmēneša operatīvā informācija””</w:t>
            </w:r>
            <w:r w:rsidR="00087CF0">
              <w:rPr>
                <w:sz w:val="22"/>
                <w:szCs w:val="22"/>
              </w:rPr>
              <w:t>,</w:t>
            </w:r>
            <w:r w:rsidR="0029576A" w:rsidRPr="0029576A">
              <w:rPr>
                <w:sz w:val="22"/>
                <w:szCs w:val="22"/>
              </w:rPr>
              <w:t xml:space="preserve"> 6.</w:t>
            </w:r>
            <w:r w:rsidR="00087CF0">
              <w:rPr>
                <w:sz w:val="22"/>
                <w:szCs w:val="22"/>
              </w:rPr>
              <w:t xml:space="preserve"> </w:t>
            </w:r>
            <w:r w:rsidR="0029576A" w:rsidRPr="0029576A">
              <w:rPr>
                <w:sz w:val="22"/>
                <w:szCs w:val="22"/>
              </w:rPr>
              <w:t>punkts</w:t>
            </w:r>
            <w:r w:rsidR="0029576A" w:rsidRPr="0029576A">
              <w:rPr>
                <w:iCs/>
                <w:sz w:val="22"/>
                <w:szCs w:val="22"/>
              </w:rPr>
              <w:t>)</w:t>
            </w:r>
            <w:r w:rsidRPr="0029576A">
              <w:rPr>
                <w:iCs/>
                <w:sz w:val="22"/>
                <w:szCs w:val="22"/>
              </w:rPr>
              <w:t>, izskatot</w:t>
            </w:r>
            <w:r w:rsidRPr="00705807">
              <w:rPr>
                <w:iCs/>
                <w:sz w:val="22"/>
                <w:szCs w:val="22"/>
              </w:rPr>
              <w:t xml:space="preserve"> Finanšu ministrijas izstrādāto informatīvo ziņojumu par Kohēzijas politikas ES fondu investīciju progresu līdz 2018. gada </w:t>
            </w:r>
            <w:r w:rsidR="00087CF0">
              <w:rPr>
                <w:iCs/>
                <w:sz w:val="22"/>
                <w:szCs w:val="22"/>
              </w:rPr>
              <w:br/>
            </w:r>
            <w:r w:rsidRPr="00705807">
              <w:rPr>
                <w:iCs/>
                <w:sz w:val="22"/>
                <w:szCs w:val="22"/>
              </w:rPr>
              <w:t xml:space="preserve">30. jūnijam un 2018. gada augusta </w:t>
            </w:r>
            <w:r w:rsidRPr="00705807">
              <w:rPr>
                <w:iCs/>
                <w:sz w:val="22"/>
                <w:szCs w:val="22"/>
                <w:lang w:eastAsia="ar-SA"/>
              </w:rPr>
              <w:t>ikmēneša operatīvo informāciju,</w:t>
            </w:r>
            <w:r w:rsidRPr="00705807">
              <w:rPr>
                <w:iCs/>
                <w:sz w:val="22"/>
                <w:szCs w:val="22"/>
              </w:rPr>
              <w:t xml:space="preserve"> Finanšu ministrijai uzdots sadarbībā ar attiecīgo jomu nozaru ministrijām steidzamības kārtībā līdz 2018. gada 20. septembrim iesniegt apstiprināšanai MK darbības programmas grozījumu Nr.</w:t>
            </w:r>
            <w:r w:rsidR="00087CF0">
              <w:rPr>
                <w:iCs/>
                <w:sz w:val="22"/>
                <w:szCs w:val="22"/>
              </w:rPr>
              <w:t xml:space="preserve"> </w:t>
            </w:r>
            <w:r w:rsidRPr="00705807">
              <w:rPr>
                <w:iCs/>
                <w:sz w:val="22"/>
                <w:szCs w:val="22"/>
              </w:rPr>
              <w:t>4 priekšlikumu un to iesniegt EK</w:t>
            </w:r>
            <w:r>
              <w:rPr>
                <w:iCs/>
                <w:sz w:val="22"/>
                <w:szCs w:val="22"/>
              </w:rPr>
              <w:t>.</w:t>
            </w:r>
          </w:p>
          <w:p w14:paraId="15183698" w14:textId="2DA0E35B" w:rsidR="008F0C62" w:rsidRPr="00705807" w:rsidRDefault="00C33E71" w:rsidP="008F0C62">
            <w:pPr>
              <w:jc w:val="both"/>
              <w:rPr>
                <w:sz w:val="22"/>
                <w:szCs w:val="22"/>
              </w:rPr>
            </w:pPr>
            <w:r>
              <w:rPr>
                <w:sz w:val="22"/>
                <w:szCs w:val="22"/>
              </w:rPr>
              <w:t xml:space="preserve">Darbības programmas grozījumi tiek virzīti, </w:t>
            </w:r>
            <w:r w:rsidR="008F0C62" w:rsidRPr="00705807">
              <w:rPr>
                <w:sz w:val="22"/>
                <w:szCs w:val="22"/>
              </w:rPr>
              <w:t>iekļaujot precizējums attiecībā uz šādām jomām:</w:t>
            </w:r>
          </w:p>
          <w:p w14:paraId="5CF322CF" w14:textId="67E0E3F6" w:rsidR="008F0C62" w:rsidRPr="00705807" w:rsidRDefault="008F0C62" w:rsidP="00B617ED">
            <w:pPr>
              <w:pStyle w:val="ListParagraph"/>
              <w:numPr>
                <w:ilvl w:val="0"/>
                <w:numId w:val="3"/>
              </w:numPr>
              <w:spacing w:after="120" w:line="240" w:lineRule="auto"/>
              <w:jc w:val="both"/>
              <w:rPr>
                <w:rFonts w:ascii="Times New Roman" w:hAnsi="Times New Roman" w:cs="Times New Roman"/>
              </w:rPr>
            </w:pPr>
            <w:r w:rsidRPr="00705807">
              <w:rPr>
                <w:rFonts w:ascii="Times New Roman" w:hAnsi="Times New Roman" w:cs="Times New Roman"/>
                <w:b/>
              </w:rPr>
              <w:lastRenderedPageBreak/>
              <w:t>energoefektivitāte:</w:t>
            </w:r>
            <w:r w:rsidR="00056D2E" w:rsidRPr="00705807">
              <w:rPr>
                <w:rFonts w:ascii="Times New Roman" w:hAnsi="Times New Roman" w:cs="Times New Roman"/>
              </w:rPr>
              <w:t xml:space="preserve"> darbības programmas 4.</w:t>
            </w:r>
            <w:r w:rsidR="00736BD6" w:rsidRPr="00705807">
              <w:t> </w:t>
            </w:r>
            <w:r w:rsidRPr="00705807">
              <w:rPr>
                <w:rFonts w:ascii="Times New Roman" w:hAnsi="Times New Roman" w:cs="Times New Roman"/>
              </w:rPr>
              <w:t xml:space="preserve">prioritārā virziena (turpmāk – PV) “Pāreja uz ekonomiku ar zemu oglekļa emisijas līmeni visās nozarēs” </w:t>
            </w:r>
            <w:r w:rsidR="00B617ED" w:rsidRPr="00705807">
              <w:rPr>
                <w:rFonts w:ascii="Times New Roman" w:hAnsi="Times New Roman" w:cs="Times New Roman"/>
              </w:rPr>
              <w:t xml:space="preserve">snieguma ietvara </w:t>
            </w:r>
            <w:r w:rsidRPr="00705807">
              <w:rPr>
                <w:rFonts w:ascii="Times New Roman" w:hAnsi="Times New Roman" w:cs="Times New Roman"/>
              </w:rPr>
              <w:t>finanšu mērķa 2018.</w:t>
            </w:r>
            <w:r w:rsidR="00736BD6" w:rsidRPr="00705807">
              <w:rPr>
                <w:rFonts w:ascii="Times New Roman" w:hAnsi="Times New Roman" w:cs="Times New Roman"/>
              </w:rPr>
              <w:t> </w:t>
            </w:r>
            <w:r w:rsidRPr="00705807">
              <w:rPr>
                <w:rFonts w:ascii="Times New Roman" w:hAnsi="Times New Roman" w:cs="Times New Roman"/>
              </w:rPr>
              <w:t>gadam samazināšana</w:t>
            </w:r>
            <w:r w:rsidR="00994652" w:rsidRPr="00705807">
              <w:rPr>
                <w:rFonts w:ascii="Times New Roman" w:hAnsi="Times New Roman" w:cs="Times New Roman"/>
              </w:rPr>
              <w:t xml:space="preserve"> </w:t>
            </w:r>
            <w:r w:rsidR="00056D2E" w:rsidRPr="00705807">
              <w:rPr>
                <w:rFonts w:ascii="Times New Roman" w:hAnsi="Times New Roman" w:cs="Times New Roman"/>
              </w:rPr>
              <w:t>Ekonomikas ministrijas</w:t>
            </w:r>
            <w:r w:rsidR="00736BD6" w:rsidRPr="00705807">
              <w:rPr>
                <w:rFonts w:ascii="Times New Roman" w:hAnsi="Times New Roman" w:cs="Times New Roman"/>
              </w:rPr>
              <w:t xml:space="preserve"> un Vides aizsardzības un reģionālās attīstības ministrija</w:t>
            </w:r>
            <w:r w:rsidR="00B617ED" w:rsidRPr="00705807">
              <w:rPr>
                <w:rFonts w:ascii="Times New Roman" w:hAnsi="Times New Roman" w:cs="Times New Roman"/>
              </w:rPr>
              <w:t>s</w:t>
            </w:r>
            <w:r w:rsidR="00056D2E" w:rsidRPr="00705807">
              <w:rPr>
                <w:rFonts w:ascii="Times New Roman" w:hAnsi="Times New Roman" w:cs="Times New Roman"/>
              </w:rPr>
              <w:t xml:space="preserve"> pārziņā esošajos specifiskajos atbalsta mērķos  (turpmāk  – SAM</w:t>
            </w:r>
            <w:r w:rsidR="00056D2E" w:rsidRPr="00C33E71">
              <w:rPr>
                <w:rFonts w:ascii="Times New Roman" w:hAnsi="Times New Roman" w:cs="Times New Roman"/>
              </w:rPr>
              <w:t>)</w:t>
            </w:r>
            <w:r w:rsidR="00C33E71" w:rsidRPr="00C33E71">
              <w:rPr>
                <w:rFonts w:ascii="Times New Roman" w:hAnsi="Times New Roman" w:cs="Times New Roman"/>
              </w:rPr>
              <w:t>. Pamatojoties uz novēloti sniegto Eiropas Komisijas skaidrojumu</w:t>
            </w:r>
            <w:r w:rsidR="00C33E71" w:rsidRPr="00C33E71">
              <w:rPr>
                <w:rStyle w:val="FootnoteReference"/>
                <w:rFonts w:ascii="Times New Roman" w:hAnsi="Times New Roman" w:cs="Times New Roman"/>
              </w:rPr>
              <w:footnoteReference w:id="1"/>
            </w:r>
            <w:r w:rsidR="00C33E71" w:rsidRPr="00C33E71">
              <w:rPr>
                <w:rFonts w:ascii="Times New Roman" w:hAnsi="Times New Roman" w:cs="Times New Roman"/>
              </w:rPr>
              <w:t xml:space="preserve"> par turpmākiem ieguldījumiem ilgtermiņa sociālās aprūpes ēkās, </w:t>
            </w:r>
            <w:r w:rsidR="00C33E71">
              <w:rPr>
                <w:rFonts w:ascii="Times New Roman" w:hAnsi="Times New Roman" w:cs="Times New Roman"/>
              </w:rPr>
              <w:t>tika ievērojami kavēta attiecīgā</w:t>
            </w:r>
            <w:r w:rsidR="00C33E71" w:rsidRPr="00C33E71">
              <w:rPr>
                <w:rFonts w:ascii="Times New Roman" w:hAnsi="Times New Roman" w:cs="Times New Roman"/>
              </w:rPr>
              <w:t xml:space="preserve"> 4.2.2.specifiskā atbalsta mērķa “Atbilstoši pašvaldības integrētajām attīstības programmām sekmēt energoefektivitātes paaugstināšanu un atjaunojamo energoresursu izmantošanu pašvaldību ēkās” un 4.2.1.2.pasākuma “Veicināt energoefektivitātes paaugstināšanu valsts ēkās” projektu īstenošana</w:t>
            </w:r>
            <w:r w:rsidR="00C33E71">
              <w:rPr>
                <w:rFonts w:ascii="Times New Roman" w:hAnsi="Times New Roman" w:cs="Times New Roman"/>
              </w:rPr>
              <w:t>,</w:t>
            </w:r>
            <w:r w:rsidR="00C33E71" w:rsidRPr="00C33E71">
              <w:rPr>
                <w:rFonts w:ascii="Times New Roman" w:hAnsi="Times New Roman" w:cs="Times New Roman"/>
              </w:rPr>
              <w:t xml:space="preserve"> atstājot negatīvu ietekmi uz 4.</w:t>
            </w:r>
            <w:r w:rsidR="00087CF0">
              <w:rPr>
                <w:rFonts w:ascii="Times New Roman" w:hAnsi="Times New Roman" w:cs="Times New Roman"/>
              </w:rPr>
              <w:t xml:space="preserve"> </w:t>
            </w:r>
            <w:r w:rsidR="00C33E71" w:rsidRPr="00C33E71">
              <w:rPr>
                <w:rFonts w:ascii="Times New Roman" w:hAnsi="Times New Roman" w:cs="Times New Roman"/>
              </w:rPr>
              <w:t>PV</w:t>
            </w:r>
            <w:r w:rsidR="00C33E71">
              <w:rPr>
                <w:rFonts w:ascii="Times New Roman" w:hAnsi="Times New Roman" w:cs="Times New Roman"/>
              </w:rPr>
              <w:t xml:space="preserve"> </w:t>
            </w:r>
            <w:r w:rsidR="00C33E71" w:rsidRPr="00705807">
              <w:rPr>
                <w:rFonts w:ascii="Times New Roman" w:hAnsi="Times New Roman" w:cs="Times New Roman"/>
              </w:rPr>
              <w:t>“Pāreja uz ekonomiku ar zemu oglekļa</w:t>
            </w:r>
            <w:r w:rsidR="00C33E71">
              <w:rPr>
                <w:rFonts w:ascii="Times New Roman" w:hAnsi="Times New Roman" w:cs="Times New Roman"/>
              </w:rPr>
              <w:t xml:space="preserve"> emisijas līmeni visās nozarēs”</w:t>
            </w:r>
            <w:r w:rsidR="00C33E71" w:rsidRPr="00C33E71">
              <w:rPr>
                <w:rFonts w:ascii="Times New Roman" w:hAnsi="Times New Roman" w:cs="Times New Roman"/>
              </w:rPr>
              <w:t xml:space="preserve"> snieguma ietvara finanšu mērķa izpildi</w:t>
            </w:r>
            <w:r w:rsidR="00B617ED" w:rsidRPr="00705807">
              <w:rPr>
                <w:rFonts w:ascii="Times New Roman" w:hAnsi="Times New Roman" w:cs="Times New Roman"/>
              </w:rPr>
              <w:t>;</w:t>
            </w:r>
          </w:p>
          <w:p w14:paraId="487BBF52" w14:textId="36458933" w:rsidR="008F0C62" w:rsidRPr="00705807" w:rsidRDefault="008F0C62" w:rsidP="00776DFF">
            <w:pPr>
              <w:pStyle w:val="ListParagraph"/>
              <w:numPr>
                <w:ilvl w:val="0"/>
                <w:numId w:val="3"/>
              </w:numPr>
              <w:spacing w:after="120" w:line="240" w:lineRule="auto"/>
              <w:jc w:val="both"/>
              <w:rPr>
                <w:rFonts w:ascii="Times New Roman" w:hAnsi="Times New Roman" w:cs="Times New Roman"/>
              </w:rPr>
            </w:pPr>
            <w:r w:rsidRPr="00705807">
              <w:rPr>
                <w:rFonts w:ascii="Times New Roman" w:hAnsi="Times New Roman" w:cs="Times New Roman"/>
                <w:b/>
              </w:rPr>
              <w:t>vides aizsardzība:</w:t>
            </w:r>
            <w:r w:rsidRPr="00705807">
              <w:rPr>
                <w:rFonts w:ascii="Times New Roman" w:hAnsi="Times New Roman" w:cs="Times New Roman"/>
              </w:rPr>
              <w:t xml:space="preserve"> </w:t>
            </w:r>
            <w:r w:rsidR="00994652" w:rsidRPr="00705807">
              <w:rPr>
                <w:rFonts w:ascii="Times New Roman" w:hAnsi="Times New Roman" w:cs="Times New Roman"/>
              </w:rPr>
              <w:t>darbības programmas 5.</w:t>
            </w:r>
            <w:r w:rsidR="00087CF0">
              <w:t xml:space="preserve"> </w:t>
            </w:r>
            <w:r w:rsidR="00994652" w:rsidRPr="00705807">
              <w:rPr>
                <w:rFonts w:ascii="Times New Roman" w:hAnsi="Times New Roman" w:cs="Times New Roman"/>
              </w:rPr>
              <w:t xml:space="preserve">PV “Vides aizsardzība un resursu izmantošanas efektivitāte” snieguma ietvara finanšu mērķa 2018. gadam </w:t>
            </w:r>
            <w:r w:rsidR="00994652" w:rsidRPr="00C33E71">
              <w:rPr>
                <w:rFonts w:ascii="Times New Roman" w:hAnsi="Times New Roman" w:cs="Times New Roman"/>
              </w:rPr>
              <w:t>samazināšana Vides aizsardzības un reģionālās attīstības ministrijas pārziņā esošajos SAM</w:t>
            </w:r>
            <w:r w:rsidR="00C33E71">
              <w:rPr>
                <w:rFonts w:ascii="Times New Roman" w:hAnsi="Times New Roman" w:cs="Times New Roman"/>
              </w:rPr>
              <w:t>,</w:t>
            </w:r>
            <w:r w:rsidR="00994652" w:rsidRPr="00C33E71">
              <w:rPr>
                <w:rFonts w:ascii="Times New Roman" w:hAnsi="Times New Roman" w:cs="Times New Roman"/>
              </w:rPr>
              <w:t xml:space="preserve"> </w:t>
            </w:r>
            <w:r w:rsidR="00C33E71" w:rsidRPr="00C33E71">
              <w:rPr>
                <w:rFonts w:ascii="Times New Roman" w:hAnsi="Times New Roman"/>
              </w:rPr>
              <w:t>ņemot vērā izmaiņas atkritumu apsaimniekošanas jomā un nozares vajadzību maiņu, kā rezultāt</w:t>
            </w:r>
            <w:r w:rsidR="00776DFF">
              <w:rPr>
                <w:rFonts w:ascii="Times New Roman" w:hAnsi="Times New Roman"/>
              </w:rPr>
              <w:t>ā bija nepieciešams pārskatīt Kohēzijas fonda</w:t>
            </w:r>
            <w:r w:rsidR="00C33E71" w:rsidRPr="00C33E71">
              <w:rPr>
                <w:rFonts w:ascii="Times New Roman" w:hAnsi="Times New Roman"/>
              </w:rPr>
              <w:t xml:space="preserve"> atbalsta piedāvājumu, kas prasīja arī investīciju nosacījumu grozījumu ilgstošu saskaņošanu ar </w:t>
            </w:r>
            <w:r w:rsidR="00776DFF">
              <w:rPr>
                <w:rFonts w:ascii="Times New Roman" w:hAnsi="Times New Roman"/>
              </w:rPr>
              <w:t>EK</w:t>
            </w:r>
            <w:r w:rsidR="00C33E71" w:rsidRPr="00C33E71">
              <w:rPr>
                <w:rFonts w:ascii="Times New Roman" w:hAnsi="Times New Roman"/>
              </w:rPr>
              <w:t xml:space="preserve"> un noteica vēlāku iesniegumu atlašu uzsākšanu</w:t>
            </w:r>
            <w:r w:rsidR="00FB0262" w:rsidRPr="00C33E71">
              <w:rPr>
                <w:rFonts w:ascii="Times New Roman" w:hAnsi="Times New Roman" w:cs="Times New Roman"/>
              </w:rPr>
              <w:t>.</w:t>
            </w:r>
            <w:r w:rsidR="00B617ED" w:rsidRPr="00705807">
              <w:rPr>
                <w:rFonts w:ascii="Times New Roman" w:hAnsi="Times New Roman" w:cs="Times New Roman"/>
              </w:rPr>
              <w:t xml:space="preserve"> </w:t>
            </w:r>
          </w:p>
        </w:tc>
      </w:tr>
      <w:tr w:rsidR="008F0C62" w:rsidRPr="00C17043" w14:paraId="04B45F8A" w14:textId="77777777" w:rsidTr="00163248">
        <w:tc>
          <w:tcPr>
            <w:tcW w:w="311" w:type="pct"/>
            <w:hideMark/>
          </w:tcPr>
          <w:p w14:paraId="30AA7E86" w14:textId="77777777" w:rsidR="008F0C62" w:rsidRPr="00C17043" w:rsidRDefault="008F0C62" w:rsidP="008F0C62">
            <w:pPr>
              <w:jc w:val="center"/>
              <w:rPr>
                <w:sz w:val="22"/>
                <w:szCs w:val="22"/>
              </w:rPr>
            </w:pPr>
            <w:r w:rsidRPr="00C17043">
              <w:rPr>
                <w:sz w:val="22"/>
                <w:szCs w:val="22"/>
              </w:rPr>
              <w:lastRenderedPageBreak/>
              <w:t>3.</w:t>
            </w:r>
          </w:p>
        </w:tc>
        <w:tc>
          <w:tcPr>
            <w:tcW w:w="1479" w:type="pct"/>
            <w:hideMark/>
          </w:tcPr>
          <w:p w14:paraId="17C4B50C" w14:textId="77777777" w:rsidR="008F0C62" w:rsidRPr="00C17043" w:rsidRDefault="008F0C62" w:rsidP="008F0C62">
            <w:pPr>
              <w:rPr>
                <w:sz w:val="22"/>
                <w:szCs w:val="22"/>
              </w:rPr>
            </w:pPr>
            <w:r w:rsidRPr="00C17043">
              <w:rPr>
                <w:sz w:val="22"/>
                <w:szCs w:val="22"/>
              </w:rPr>
              <w:t>Projekta izstrādē iesaistītās institūcijas un publiskas personas kapitālsabiedrības</w:t>
            </w:r>
          </w:p>
        </w:tc>
        <w:tc>
          <w:tcPr>
            <w:tcW w:w="3210" w:type="pct"/>
            <w:hideMark/>
          </w:tcPr>
          <w:p w14:paraId="70624315" w14:textId="50C49965" w:rsidR="008F0C62" w:rsidRPr="00C17043" w:rsidRDefault="00862131" w:rsidP="00CF4EC3">
            <w:pPr>
              <w:jc w:val="both"/>
              <w:rPr>
                <w:sz w:val="22"/>
                <w:szCs w:val="22"/>
              </w:rPr>
            </w:pPr>
            <w:r>
              <w:rPr>
                <w:bCs/>
                <w:sz w:val="22"/>
                <w:szCs w:val="22"/>
              </w:rPr>
              <w:t xml:space="preserve">Darbības </w:t>
            </w:r>
            <w:r w:rsidR="00BD0ADB" w:rsidRPr="00C17043">
              <w:rPr>
                <w:bCs/>
                <w:sz w:val="22"/>
                <w:szCs w:val="22"/>
              </w:rPr>
              <w:t xml:space="preserve">programmas grozījumu izstrādē iesaistīta </w:t>
            </w:r>
            <w:r w:rsidR="00BD0ADB">
              <w:rPr>
                <w:bCs/>
                <w:sz w:val="22"/>
                <w:szCs w:val="22"/>
              </w:rPr>
              <w:t>Ekonomikas ministrija</w:t>
            </w:r>
            <w:r w:rsidR="00CF4EC3">
              <w:rPr>
                <w:bCs/>
                <w:sz w:val="22"/>
                <w:szCs w:val="22"/>
              </w:rPr>
              <w:t>,</w:t>
            </w:r>
            <w:r w:rsidR="00703E95">
              <w:rPr>
                <w:bCs/>
                <w:sz w:val="22"/>
                <w:szCs w:val="22"/>
              </w:rPr>
              <w:t xml:space="preserve"> Labklājības ministrija,</w:t>
            </w:r>
            <w:r w:rsidR="00CF4EC3">
              <w:rPr>
                <w:bCs/>
                <w:sz w:val="22"/>
                <w:szCs w:val="22"/>
              </w:rPr>
              <w:t xml:space="preserve"> </w:t>
            </w:r>
            <w:r w:rsidR="00BD0ADB" w:rsidRPr="00C17043">
              <w:rPr>
                <w:bCs/>
                <w:sz w:val="22"/>
                <w:szCs w:val="22"/>
              </w:rPr>
              <w:t>Vides aizsardzības un re</w:t>
            </w:r>
            <w:r w:rsidR="00CF4EC3">
              <w:rPr>
                <w:bCs/>
                <w:sz w:val="22"/>
                <w:szCs w:val="22"/>
              </w:rPr>
              <w:t>ģionālās attīstības ministrija</w:t>
            </w:r>
            <w:r>
              <w:rPr>
                <w:bCs/>
                <w:sz w:val="22"/>
                <w:szCs w:val="22"/>
              </w:rPr>
              <w:t>,</w:t>
            </w:r>
            <w:r w:rsidR="00BD0ADB" w:rsidRPr="00C17043">
              <w:rPr>
                <w:bCs/>
                <w:sz w:val="22"/>
                <w:szCs w:val="22"/>
              </w:rPr>
              <w:t xml:space="preserve"> kā arī </w:t>
            </w:r>
            <w:r w:rsidR="00087CF0">
              <w:rPr>
                <w:bCs/>
                <w:sz w:val="22"/>
                <w:szCs w:val="22"/>
              </w:rPr>
              <w:t xml:space="preserve">grozījumu projekts </w:t>
            </w:r>
            <w:r w:rsidR="00BD0ADB" w:rsidRPr="00C17043">
              <w:rPr>
                <w:bCs/>
                <w:sz w:val="22"/>
                <w:szCs w:val="22"/>
              </w:rPr>
              <w:t>saskaņot</w:t>
            </w:r>
            <w:r w:rsidR="00BD0ADB">
              <w:rPr>
                <w:bCs/>
                <w:sz w:val="22"/>
                <w:szCs w:val="22"/>
              </w:rPr>
              <w:t>s</w:t>
            </w:r>
            <w:r w:rsidR="00BD0ADB" w:rsidRPr="00C17043">
              <w:rPr>
                <w:bCs/>
                <w:sz w:val="22"/>
                <w:szCs w:val="22"/>
              </w:rPr>
              <w:t xml:space="preserve"> ar Tieslietu ministriju.</w:t>
            </w:r>
          </w:p>
        </w:tc>
      </w:tr>
      <w:tr w:rsidR="008F0C62" w:rsidRPr="00C17043" w14:paraId="735EFA50" w14:textId="77777777" w:rsidTr="00163248">
        <w:tc>
          <w:tcPr>
            <w:tcW w:w="311" w:type="pct"/>
            <w:hideMark/>
          </w:tcPr>
          <w:p w14:paraId="16C1DB9F" w14:textId="77777777" w:rsidR="008F0C62" w:rsidRPr="00C17043" w:rsidRDefault="008F0C62" w:rsidP="008F0C62">
            <w:pPr>
              <w:jc w:val="center"/>
              <w:rPr>
                <w:sz w:val="22"/>
                <w:szCs w:val="22"/>
              </w:rPr>
            </w:pPr>
            <w:r w:rsidRPr="00C17043">
              <w:rPr>
                <w:sz w:val="22"/>
                <w:szCs w:val="22"/>
              </w:rPr>
              <w:t>4.</w:t>
            </w:r>
          </w:p>
        </w:tc>
        <w:tc>
          <w:tcPr>
            <w:tcW w:w="1479" w:type="pct"/>
            <w:hideMark/>
          </w:tcPr>
          <w:p w14:paraId="261315DD" w14:textId="77777777" w:rsidR="008F0C62" w:rsidRPr="00C17043" w:rsidRDefault="008F0C62" w:rsidP="008F0C62">
            <w:pPr>
              <w:rPr>
                <w:sz w:val="22"/>
                <w:szCs w:val="22"/>
              </w:rPr>
            </w:pPr>
            <w:r w:rsidRPr="00C17043">
              <w:rPr>
                <w:sz w:val="22"/>
                <w:szCs w:val="22"/>
              </w:rPr>
              <w:t>Cita informācija</w:t>
            </w:r>
          </w:p>
        </w:tc>
        <w:tc>
          <w:tcPr>
            <w:tcW w:w="3210" w:type="pct"/>
            <w:hideMark/>
          </w:tcPr>
          <w:p w14:paraId="453A947B" w14:textId="252546DF" w:rsidR="008F0C62" w:rsidRPr="00C17043" w:rsidRDefault="008F0C62" w:rsidP="008F0C62">
            <w:pPr>
              <w:rPr>
                <w:sz w:val="22"/>
                <w:szCs w:val="22"/>
              </w:rPr>
            </w:pPr>
            <w:r w:rsidRPr="00C17043">
              <w:rPr>
                <w:sz w:val="22"/>
                <w:szCs w:val="22"/>
              </w:rPr>
              <w:t>Nav.</w:t>
            </w:r>
          </w:p>
        </w:tc>
      </w:tr>
      <w:tr w:rsidR="00BD5588" w:rsidRPr="00C17043" w14:paraId="51D5E8D1" w14:textId="77777777" w:rsidTr="009E0502">
        <w:trPr>
          <w:cantSplit/>
        </w:trPr>
        <w:tc>
          <w:tcPr>
            <w:tcW w:w="5000" w:type="pct"/>
            <w:gridSpan w:val="3"/>
            <w:vAlign w:val="center"/>
            <w:hideMark/>
          </w:tcPr>
          <w:p w14:paraId="60D7CCBA" w14:textId="77777777" w:rsidR="00BD5588" w:rsidRPr="00C17043" w:rsidRDefault="00BD5588" w:rsidP="009E0502">
            <w:pPr>
              <w:jc w:val="center"/>
              <w:rPr>
                <w:b/>
                <w:bCs/>
                <w:sz w:val="22"/>
                <w:szCs w:val="22"/>
              </w:rPr>
            </w:pPr>
            <w:r w:rsidRPr="00C17043">
              <w:rPr>
                <w:b/>
                <w:bCs/>
                <w:sz w:val="22"/>
                <w:szCs w:val="22"/>
              </w:rPr>
              <w:t>II. Tiesību akta projekta ietekme uz sabiedrību, tautsaimniecības attīstību un administratīvo slogu</w:t>
            </w:r>
          </w:p>
        </w:tc>
      </w:tr>
      <w:tr w:rsidR="00BD5588" w:rsidRPr="00C17043" w14:paraId="671EACFD" w14:textId="77777777" w:rsidTr="009E0502">
        <w:trPr>
          <w:cantSplit/>
        </w:trPr>
        <w:tc>
          <w:tcPr>
            <w:tcW w:w="311" w:type="pct"/>
            <w:hideMark/>
          </w:tcPr>
          <w:p w14:paraId="16516D53" w14:textId="77777777" w:rsidR="00BD5588" w:rsidRPr="00C17043" w:rsidRDefault="00BD5588" w:rsidP="009E0502">
            <w:pPr>
              <w:jc w:val="center"/>
              <w:rPr>
                <w:sz w:val="22"/>
                <w:szCs w:val="22"/>
              </w:rPr>
            </w:pPr>
            <w:r w:rsidRPr="00C17043">
              <w:rPr>
                <w:sz w:val="22"/>
                <w:szCs w:val="22"/>
              </w:rPr>
              <w:t>1.</w:t>
            </w:r>
          </w:p>
        </w:tc>
        <w:tc>
          <w:tcPr>
            <w:tcW w:w="1479" w:type="pct"/>
            <w:hideMark/>
          </w:tcPr>
          <w:p w14:paraId="4CDBC2FF" w14:textId="77777777" w:rsidR="00BD5588" w:rsidRPr="00C17043" w:rsidRDefault="00BD5588" w:rsidP="009E0502">
            <w:pPr>
              <w:rPr>
                <w:sz w:val="22"/>
                <w:szCs w:val="22"/>
              </w:rPr>
            </w:pPr>
            <w:r w:rsidRPr="00C17043">
              <w:rPr>
                <w:sz w:val="22"/>
                <w:szCs w:val="22"/>
              </w:rPr>
              <w:t xml:space="preserve">Sabiedrības </w:t>
            </w:r>
            <w:proofErr w:type="spellStart"/>
            <w:r w:rsidRPr="00C17043">
              <w:rPr>
                <w:sz w:val="22"/>
                <w:szCs w:val="22"/>
              </w:rPr>
              <w:t>mērķgrupas</w:t>
            </w:r>
            <w:proofErr w:type="spellEnd"/>
            <w:r w:rsidRPr="00C17043">
              <w:rPr>
                <w:sz w:val="22"/>
                <w:szCs w:val="22"/>
              </w:rPr>
              <w:t>, kuras tiesiskais regulējums ietekmē vai varētu ietekmēt</w:t>
            </w:r>
          </w:p>
        </w:tc>
        <w:tc>
          <w:tcPr>
            <w:tcW w:w="3210" w:type="pct"/>
            <w:hideMark/>
          </w:tcPr>
          <w:p w14:paraId="25D4932B" w14:textId="77777777" w:rsidR="00BD5588" w:rsidRPr="00C17043" w:rsidRDefault="00461626" w:rsidP="00A75802">
            <w:pPr>
              <w:jc w:val="both"/>
              <w:rPr>
                <w:sz w:val="22"/>
                <w:szCs w:val="22"/>
              </w:rPr>
            </w:pPr>
            <w:r w:rsidRPr="00C17043">
              <w:rPr>
                <w:sz w:val="22"/>
                <w:szCs w:val="22"/>
              </w:rPr>
              <w:t>Potenciālie ES fondu finansējuma saņēmēji, to sadarbības partneri un gala labuma guvēji.</w:t>
            </w:r>
          </w:p>
        </w:tc>
      </w:tr>
      <w:tr w:rsidR="00BD5588" w:rsidRPr="00C17043" w14:paraId="437BF462" w14:textId="77777777" w:rsidTr="009E0502">
        <w:trPr>
          <w:cantSplit/>
        </w:trPr>
        <w:tc>
          <w:tcPr>
            <w:tcW w:w="311" w:type="pct"/>
            <w:hideMark/>
          </w:tcPr>
          <w:p w14:paraId="1EDF53FB" w14:textId="77777777" w:rsidR="00BD5588" w:rsidRPr="00C17043" w:rsidRDefault="00BD5588" w:rsidP="009E0502">
            <w:pPr>
              <w:jc w:val="center"/>
              <w:rPr>
                <w:sz w:val="22"/>
                <w:szCs w:val="22"/>
              </w:rPr>
            </w:pPr>
            <w:r w:rsidRPr="00C17043">
              <w:rPr>
                <w:sz w:val="22"/>
                <w:szCs w:val="22"/>
              </w:rPr>
              <w:t>2.</w:t>
            </w:r>
          </w:p>
        </w:tc>
        <w:tc>
          <w:tcPr>
            <w:tcW w:w="1479" w:type="pct"/>
            <w:hideMark/>
          </w:tcPr>
          <w:p w14:paraId="78A59780" w14:textId="77777777" w:rsidR="00BD5588" w:rsidRPr="00C17043" w:rsidRDefault="00BD5588" w:rsidP="009E0502">
            <w:pPr>
              <w:rPr>
                <w:sz w:val="22"/>
                <w:szCs w:val="22"/>
              </w:rPr>
            </w:pPr>
            <w:r w:rsidRPr="00C17043">
              <w:rPr>
                <w:sz w:val="22"/>
                <w:szCs w:val="22"/>
              </w:rPr>
              <w:t>Tiesiskā regulējuma ietekme uz tautsaimniecību un administratīvo slogu</w:t>
            </w:r>
          </w:p>
        </w:tc>
        <w:tc>
          <w:tcPr>
            <w:tcW w:w="3210" w:type="pct"/>
            <w:hideMark/>
          </w:tcPr>
          <w:p w14:paraId="03B2091B" w14:textId="77777777" w:rsidR="00461626" w:rsidRPr="00C17043" w:rsidRDefault="00461626" w:rsidP="00A75802">
            <w:pPr>
              <w:shd w:val="clear" w:color="auto" w:fill="FFFFFF"/>
              <w:jc w:val="both"/>
              <w:rPr>
                <w:sz w:val="22"/>
                <w:szCs w:val="22"/>
              </w:rPr>
            </w:pPr>
            <w:r w:rsidRPr="00C17043">
              <w:rPr>
                <w:sz w:val="22"/>
                <w:szCs w:val="22"/>
              </w:rPr>
              <w:t xml:space="preserve">Darbības programma kopumā pozitīvi ietekmē visas tautsaimniecības jomas. </w:t>
            </w:r>
          </w:p>
          <w:p w14:paraId="6014112C" w14:textId="77777777" w:rsidR="00461626" w:rsidRPr="00C17043" w:rsidRDefault="00461626" w:rsidP="00A75802">
            <w:pPr>
              <w:shd w:val="clear" w:color="auto" w:fill="FFFFFF"/>
              <w:jc w:val="both"/>
              <w:rPr>
                <w:sz w:val="22"/>
                <w:szCs w:val="22"/>
              </w:rPr>
            </w:pPr>
            <w:r w:rsidRPr="00C17043">
              <w:rPr>
                <w:sz w:val="22"/>
                <w:szCs w:val="22"/>
              </w:rPr>
              <w:t xml:space="preserve">Detalizētāki nosacījumi tiks ietverti attiecīgajos MK noteikumos par SAM un pasākumu īstenošanu, kurus skars rīkojuma projektā ietvertie grozījumi. </w:t>
            </w:r>
          </w:p>
          <w:p w14:paraId="7CE39FF2" w14:textId="77777777" w:rsidR="00BD5588" w:rsidRPr="00C17043" w:rsidRDefault="00461626" w:rsidP="00A75802">
            <w:pPr>
              <w:jc w:val="both"/>
              <w:rPr>
                <w:sz w:val="22"/>
                <w:szCs w:val="22"/>
              </w:rPr>
            </w:pPr>
            <w:r w:rsidRPr="00C17043">
              <w:rPr>
                <w:sz w:val="22"/>
                <w:szCs w:val="22"/>
              </w:rPr>
              <w:t>Sabiedrības grupām un institūcijām projekta tiesiskais regulējums nemaina tiesības un pienākumus, kā arī veicamās darbības.</w:t>
            </w:r>
          </w:p>
        </w:tc>
      </w:tr>
      <w:tr w:rsidR="00BD5588" w:rsidRPr="00C17043" w14:paraId="6C6D2E24" w14:textId="77777777" w:rsidTr="009E0502">
        <w:trPr>
          <w:cantSplit/>
        </w:trPr>
        <w:tc>
          <w:tcPr>
            <w:tcW w:w="311" w:type="pct"/>
            <w:hideMark/>
          </w:tcPr>
          <w:p w14:paraId="055B3BFB" w14:textId="77777777" w:rsidR="00BD5588" w:rsidRPr="00C17043" w:rsidRDefault="00BD5588" w:rsidP="009E0502">
            <w:pPr>
              <w:jc w:val="center"/>
              <w:rPr>
                <w:sz w:val="22"/>
                <w:szCs w:val="22"/>
              </w:rPr>
            </w:pPr>
            <w:r w:rsidRPr="00C17043">
              <w:rPr>
                <w:sz w:val="22"/>
                <w:szCs w:val="22"/>
              </w:rPr>
              <w:t>3.</w:t>
            </w:r>
          </w:p>
        </w:tc>
        <w:tc>
          <w:tcPr>
            <w:tcW w:w="1479" w:type="pct"/>
            <w:hideMark/>
          </w:tcPr>
          <w:p w14:paraId="1818C0A3" w14:textId="77777777" w:rsidR="00BD5588" w:rsidRPr="00C17043" w:rsidRDefault="00BD5588" w:rsidP="009E0502">
            <w:pPr>
              <w:rPr>
                <w:sz w:val="22"/>
                <w:szCs w:val="22"/>
              </w:rPr>
            </w:pPr>
            <w:r w:rsidRPr="00C17043">
              <w:rPr>
                <w:sz w:val="22"/>
                <w:szCs w:val="22"/>
              </w:rPr>
              <w:t>Administratīvo izmaksu monetārs novērtējums</w:t>
            </w:r>
          </w:p>
        </w:tc>
        <w:tc>
          <w:tcPr>
            <w:tcW w:w="3210" w:type="pct"/>
            <w:hideMark/>
          </w:tcPr>
          <w:p w14:paraId="08A2E664" w14:textId="77777777" w:rsidR="00BD5588" w:rsidRPr="00C17043" w:rsidRDefault="00461626" w:rsidP="009E0502">
            <w:pPr>
              <w:rPr>
                <w:sz w:val="22"/>
                <w:szCs w:val="22"/>
              </w:rPr>
            </w:pPr>
            <w:r w:rsidRPr="00C17043">
              <w:rPr>
                <w:sz w:val="22"/>
                <w:szCs w:val="22"/>
              </w:rPr>
              <w:t>Projekts šo jomu neskar.</w:t>
            </w:r>
          </w:p>
        </w:tc>
      </w:tr>
      <w:tr w:rsidR="00BD5588" w:rsidRPr="00C17043" w14:paraId="0F183BA7" w14:textId="77777777" w:rsidTr="009E0502">
        <w:trPr>
          <w:cantSplit/>
        </w:trPr>
        <w:tc>
          <w:tcPr>
            <w:tcW w:w="311" w:type="pct"/>
            <w:hideMark/>
          </w:tcPr>
          <w:p w14:paraId="3390148A" w14:textId="77777777" w:rsidR="00BD5588" w:rsidRPr="00517EBA" w:rsidRDefault="00BD5588" w:rsidP="009E0502">
            <w:pPr>
              <w:jc w:val="center"/>
              <w:rPr>
                <w:sz w:val="22"/>
                <w:szCs w:val="22"/>
              </w:rPr>
            </w:pPr>
            <w:r w:rsidRPr="00517EBA">
              <w:rPr>
                <w:sz w:val="22"/>
                <w:szCs w:val="22"/>
              </w:rPr>
              <w:t>4.</w:t>
            </w:r>
          </w:p>
        </w:tc>
        <w:tc>
          <w:tcPr>
            <w:tcW w:w="1479" w:type="pct"/>
            <w:hideMark/>
          </w:tcPr>
          <w:p w14:paraId="3970B68B" w14:textId="77777777" w:rsidR="00BD5588" w:rsidRPr="00517EBA" w:rsidRDefault="00BD5588" w:rsidP="009E0502">
            <w:pPr>
              <w:rPr>
                <w:sz w:val="22"/>
                <w:szCs w:val="22"/>
              </w:rPr>
            </w:pPr>
            <w:r w:rsidRPr="00517EBA">
              <w:rPr>
                <w:sz w:val="22"/>
                <w:szCs w:val="22"/>
              </w:rPr>
              <w:t>Atbilstības izmaksu monetārs novērtējums</w:t>
            </w:r>
          </w:p>
        </w:tc>
        <w:tc>
          <w:tcPr>
            <w:tcW w:w="3210" w:type="pct"/>
            <w:hideMark/>
          </w:tcPr>
          <w:p w14:paraId="3417C61E" w14:textId="7CB220A1" w:rsidR="00BD5588" w:rsidRPr="001B562B" w:rsidRDefault="001B562B" w:rsidP="009E0502">
            <w:pPr>
              <w:rPr>
                <w:sz w:val="22"/>
                <w:szCs w:val="22"/>
                <w:highlight w:val="yellow"/>
              </w:rPr>
            </w:pPr>
            <w:r w:rsidRPr="00517EBA">
              <w:rPr>
                <w:sz w:val="22"/>
                <w:szCs w:val="22"/>
              </w:rPr>
              <w:t>Projekts šo jomu neskar.</w:t>
            </w:r>
          </w:p>
        </w:tc>
      </w:tr>
      <w:tr w:rsidR="00BD5588" w:rsidRPr="00C17043" w14:paraId="50BF9763" w14:textId="77777777" w:rsidTr="009E0502">
        <w:trPr>
          <w:cantSplit/>
        </w:trPr>
        <w:tc>
          <w:tcPr>
            <w:tcW w:w="311" w:type="pct"/>
            <w:hideMark/>
          </w:tcPr>
          <w:p w14:paraId="2FB52579" w14:textId="77777777" w:rsidR="00BD5588" w:rsidRPr="00C17043" w:rsidRDefault="00BD5588" w:rsidP="009E0502">
            <w:pPr>
              <w:jc w:val="center"/>
              <w:rPr>
                <w:sz w:val="22"/>
                <w:szCs w:val="22"/>
              </w:rPr>
            </w:pPr>
            <w:r w:rsidRPr="00C17043">
              <w:rPr>
                <w:sz w:val="22"/>
                <w:szCs w:val="22"/>
              </w:rPr>
              <w:lastRenderedPageBreak/>
              <w:t>5.</w:t>
            </w:r>
          </w:p>
        </w:tc>
        <w:tc>
          <w:tcPr>
            <w:tcW w:w="1479" w:type="pct"/>
            <w:hideMark/>
          </w:tcPr>
          <w:p w14:paraId="536B6873" w14:textId="77777777" w:rsidR="00BD5588" w:rsidRPr="00C17043" w:rsidRDefault="00BD5588" w:rsidP="009E0502">
            <w:pPr>
              <w:rPr>
                <w:sz w:val="22"/>
                <w:szCs w:val="22"/>
              </w:rPr>
            </w:pPr>
            <w:r w:rsidRPr="00C17043">
              <w:rPr>
                <w:sz w:val="22"/>
                <w:szCs w:val="22"/>
              </w:rPr>
              <w:t>Cita informācija</w:t>
            </w:r>
          </w:p>
        </w:tc>
        <w:tc>
          <w:tcPr>
            <w:tcW w:w="3210" w:type="pct"/>
            <w:hideMark/>
          </w:tcPr>
          <w:p w14:paraId="5A92E748" w14:textId="77777777" w:rsidR="00BD5588" w:rsidRPr="00C17043" w:rsidRDefault="00461626" w:rsidP="009E0502">
            <w:pPr>
              <w:rPr>
                <w:sz w:val="22"/>
                <w:szCs w:val="22"/>
              </w:rPr>
            </w:pPr>
            <w:r w:rsidRPr="00C17043">
              <w:rPr>
                <w:sz w:val="22"/>
                <w:szCs w:val="22"/>
              </w:rPr>
              <w:t>Nav.</w:t>
            </w:r>
          </w:p>
        </w:tc>
      </w:tr>
    </w:tbl>
    <w:p w14:paraId="611F8FD3" w14:textId="77777777" w:rsidR="00BD5588" w:rsidRPr="00C17043" w:rsidRDefault="00BD5588" w:rsidP="00BD5588">
      <w:pPr>
        <w:pStyle w:val="Title"/>
        <w:spacing w:before="130" w:line="260" w:lineRule="exact"/>
        <w:ind w:firstLine="539"/>
        <w:jc w:val="both"/>
        <w:rPr>
          <w:sz w:val="22"/>
          <w:szCs w:val="22"/>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5"/>
      </w:tblGrid>
      <w:tr w:rsidR="00BD5588" w:rsidRPr="00C17043" w14:paraId="4CFEDF35" w14:textId="77777777" w:rsidTr="0083707D">
        <w:trPr>
          <w:cantSplit/>
        </w:trPr>
        <w:tc>
          <w:tcPr>
            <w:tcW w:w="8299" w:type="dxa"/>
            <w:shd w:val="clear" w:color="auto" w:fill="auto"/>
            <w:vAlign w:val="center"/>
            <w:hideMark/>
          </w:tcPr>
          <w:p w14:paraId="5332554A" w14:textId="77777777" w:rsidR="00BD5588" w:rsidRPr="00C17043" w:rsidRDefault="00BD5588" w:rsidP="009E0502">
            <w:pPr>
              <w:jc w:val="center"/>
              <w:rPr>
                <w:b/>
                <w:bCs/>
                <w:sz w:val="22"/>
                <w:szCs w:val="22"/>
                <w:lang w:eastAsia="en-US"/>
              </w:rPr>
            </w:pPr>
            <w:r w:rsidRPr="00C17043">
              <w:rPr>
                <w:b/>
                <w:bCs/>
                <w:sz w:val="22"/>
                <w:szCs w:val="22"/>
                <w:lang w:eastAsia="en-US"/>
              </w:rPr>
              <w:t>III. Tiesību akta projekta ietekme uz valsts budžetu un pašvaldību budžetiem</w:t>
            </w:r>
          </w:p>
        </w:tc>
      </w:tr>
      <w:tr w:rsidR="0083707D" w:rsidRPr="00C17043" w14:paraId="0A464073" w14:textId="77777777" w:rsidTr="009778EB">
        <w:tblPrEx>
          <w:tblCellMar>
            <w:top w:w="30" w:type="dxa"/>
            <w:left w:w="30" w:type="dxa"/>
            <w:bottom w:w="30" w:type="dxa"/>
            <w:right w:w="30" w:type="dxa"/>
          </w:tblCellMar>
        </w:tblPrEx>
        <w:trPr>
          <w:cantSplit/>
        </w:trPr>
        <w:tc>
          <w:tcPr>
            <w:tcW w:w="8299" w:type="dxa"/>
            <w:hideMark/>
          </w:tcPr>
          <w:p w14:paraId="68C5E099" w14:textId="2AAEE8B5" w:rsidR="0083707D" w:rsidRPr="00C17043" w:rsidRDefault="0083707D" w:rsidP="005E61EE">
            <w:pPr>
              <w:jc w:val="both"/>
              <w:rPr>
                <w:sz w:val="22"/>
                <w:szCs w:val="22"/>
              </w:rPr>
            </w:pPr>
            <w:r w:rsidRPr="00C17043">
              <w:rPr>
                <w:sz w:val="22"/>
                <w:szCs w:val="22"/>
              </w:rPr>
              <w:t xml:space="preserve">Tieša ietekme uz valsts un pašvaldību budžetiem tiks vērtēta, izstrādājot vai nepieciešamības gadījumā precizējot MK noteikumus par </w:t>
            </w:r>
            <w:r w:rsidR="005E61EE">
              <w:rPr>
                <w:sz w:val="22"/>
                <w:szCs w:val="22"/>
              </w:rPr>
              <w:t>SAM</w:t>
            </w:r>
            <w:r w:rsidRPr="00C17043">
              <w:rPr>
                <w:sz w:val="22"/>
                <w:szCs w:val="22"/>
              </w:rPr>
              <w:t xml:space="preserve"> vai to pasākumu īstenošanu, kurus skars grozījumi darbības programmā. </w:t>
            </w:r>
          </w:p>
        </w:tc>
      </w:tr>
    </w:tbl>
    <w:p w14:paraId="442340B6" w14:textId="77777777" w:rsidR="00BD5588" w:rsidRPr="00C17043" w:rsidRDefault="00BD5588" w:rsidP="00BD5588">
      <w:pPr>
        <w:pStyle w:val="Title"/>
        <w:spacing w:before="130" w:line="260" w:lineRule="exact"/>
        <w:ind w:firstLine="539"/>
        <w:jc w:val="both"/>
        <w:rPr>
          <w:sz w:val="22"/>
          <w:szCs w:val="22"/>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3"/>
        <w:gridCol w:w="2666"/>
        <w:gridCol w:w="5826"/>
      </w:tblGrid>
      <w:tr w:rsidR="0083707D" w:rsidRPr="00C17043" w14:paraId="33ED046F" w14:textId="77777777" w:rsidTr="00255CA2">
        <w:tc>
          <w:tcPr>
            <w:tcW w:w="8299" w:type="dxa"/>
            <w:gridSpan w:val="3"/>
            <w:vAlign w:val="center"/>
            <w:hideMark/>
          </w:tcPr>
          <w:p w14:paraId="17766428" w14:textId="77777777" w:rsidR="0083707D" w:rsidRPr="00C17043" w:rsidRDefault="0083707D" w:rsidP="00F034BD">
            <w:pPr>
              <w:jc w:val="center"/>
              <w:rPr>
                <w:b/>
                <w:bCs/>
                <w:sz w:val="22"/>
                <w:szCs w:val="22"/>
              </w:rPr>
            </w:pPr>
            <w:r w:rsidRPr="00C17043">
              <w:rPr>
                <w:b/>
                <w:bCs/>
                <w:sz w:val="22"/>
                <w:szCs w:val="22"/>
              </w:rPr>
              <w:t>IV. Tiesību akta projekta ietekme uz spēkā esošo tiesību normu sistēmu</w:t>
            </w:r>
          </w:p>
        </w:tc>
      </w:tr>
      <w:tr w:rsidR="0083707D" w:rsidRPr="00C17043" w14:paraId="484F5995" w14:textId="77777777" w:rsidTr="00255CA2">
        <w:tc>
          <w:tcPr>
            <w:tcW w:w="524" w:type="dxa"/>
            <w:hideMark/>
          </w:tcPr>
          <w:p w14:paraId="26CFEF1E" w14:textId="77777777" w:rsidR="0083707D" w:rsidRPr="00C17043" w:rsidRDefault="0083707D" w:rsidP="00F034BD">
            <w:pPr>
              <w:jc w:val="center"/>
              <w:rPr>
                <w:sz w:val="22"/>
                <w:szCs w:val="22"/>
              </w:rPr>
            </w:pPr>
            <w:r w:rsidRPr="00C17043">
              <w:rPr>
                <w:sz w:val="22"/>
                <w:szCs w:val="22"/>
              </w:rPr>
              <w:t>1.</w:t>
            </w:r>
          </w:p>
        </w:tc>
        <w:tc>
          <w:tcPr>
            <w:tcW w:w="2441" w:type="dxa"/>
            <w:hideMark/>
          </w:tcPr>
          <w:p w14:paraId="12150EBE" w14:textId="77777777" w:rsidR="0083707D" w:rsidRPr="00C17043" w:rsidRDefault="0083707D" w:rsidP="00F034BD">
            <w:pPr>
              <w:rPr>
                <w:sz w:val="22"/>
                <w:szCs w:val="22"/>
              </w:rPr>
            </w:pPr>
            <w:r w:rsidRPr="00C17043">
              <w:rPr>
                <w:sz w:val="22"/>
                <w:szCs w:val="22"/>
              </w:rPr>
              <w:t>Saistītie tiesību aktu projekti</w:t>
            </w:r>
          </w:p>
        </w:tc>
        <w:tc>
          <w:tcPr>
            <w:tcW w:w="5334" w:type="dxa"/>
            <w:hideMark/>
          </w:tcPr>
          <w:p w14:paraId="2036D8E7" w14:textId="77777777" w:rsidR="00A74089" w:rsidRPr="00BB47F6" w:rsidRDefault="00A74089" w:rsidP="006D31F5">
            <w:pPr>
              <w:ind w:right="44"/>
              <w:jc w:val="both"/>
              <w:rPr>
                <w:sz w:val="22"/>
                <w:szCs w:val="22"/>
              </w:rPr>
            </w:pPr>
            <w:r w:rsidRPr="00BB47F6">
              <w:rPr>
                <w:sz w:val="22"/>
                <w:szCs w:val="22"/>
              </w:rPr>
              <w:t>Ņemot vērā darbības programmā ierosinātās izmaiņas, pēc to iesniegšanas un saskaņošanas EK attiecīgas izmaiņas būs veicamas arī MK noteikumos par SAM un pasākumu īstenošanu, kurus skars grozījumi darbības programmā, tai skaitā attiecīgi atbildīgajām institūcijām veicot grozījumus MK noteikumos par šādu SAM un pasākumu īstenošanu:</w:t>
            </w:r>
          </w:p>
          <w:p w14:paraId="548F3EDC" w14:textId="775A0CB1" w:rsidR="00A35883" w:rsidRPr="00087CF0" w:rsidRDefault="00862131" w:rsidP="008C3F35">
            <w:pPr>
              <w:pStyle w:val="ListParagraph"/>
              <w:numPr>
                <w:ilvl w:val="0"/>
                <w:numId w:val="4"/>
              </w:numPr>
              <w:spacing w:after="0" w:line="240" w:lineRule="auto"/>
              <w:ind w:right="44"/>
              <w:jc w:val="both"/>
              <w:rPr>
                <w:rFonts w:ascii="Times New Roman" w:hAnsi="Times New Roman" w:cs="Times New Roman"/>
              </w:rPr>
            </w:pPr>
            <w:r>
              <w:rPr>
                <w:rFonts w:ascii="Times New Roman" w:hAnsi="Times New Roman" w:cs="Times New Roman"/>
              </w:rPr>
              <w:t>MK 2016. </w:t>
            </w:r>
            <w:r w:rsidR="005F20A4" w:rsidRPr="00A558DD">
              <w:rPr>
                <w:rFonts w:ascii="Times New Roman" w:hAnsi="Times New Roman" w:cs="Times New Roman"/>
              </w:rPr>
              <w:t xml:space="preserve">gada </w:t>
            </w:r>
            <w:r w:rsidR="008C3F35" w:rsidRPr="00A558DD">
              <w:rPr>
                <w:rFonts w:ascii="Times New Roman" w:hAnsi="Times New Roman" w:cs="Times New Roman"/>
              </w:rPr>
              <w:t>9</w:t>
            </w:r>
            <w:r>
              <w:rPr>
                <w:rFonts w:ascii="Times New Roman" w:hAnsi="Times New Roman" w:cs="Times New Roman"/>
              </w:rPr>
              <w:t>. </w:t>
            </w:r>
            <w:r w:rsidR="008C3F35" w:rsidRPr="00A558DD">
              <w:rPr>
                <w:rFonts w:ascii="Times New Roman" w:hAnsi="Times New Roman" w:cs="Times New Roman"/>
              </w:rPr>
              <w:t xml:space="preserve">augusta </w:t>
            </w:r>
            <w:r w:rsidR="0092501B" w:rsidRPr="00A558DD">
              <w:rPr>
                <w:rFonts w:ascii="Times New Roman" w:hAnsi="Times New Roman" w:cs="Times New Roman"/>
              </w:rPr>
              <w:t xml:space="preserve">noteikumi </w:t>
            </w:r>
            <w:r w:rsidR="005F20A4" w:rsidRPr="00A558DD">
              <w:rPr>
                <w:rFonts w:ascii="Times New Roman" w:hAnsi="Times New Roman" w:cs="Times New Roman"/>
              </w:rPr>
              <w:t>Nr.</w:t>
            </w:r>
            <w:r w:rsidR="0092501B" w:rsidRPr="00A558DD">
              <w:rPr>
                <w:rFonts w:ascii="Times New Roman" w:hAnsi="Times New Roman" w:cs="Times New Roman"/>
              </w:rPr>
              <w:t xml:space="preserve">  </w:t>
            </w:r>
            <w:r w:rsidR="008C3F35" w:rsidRPr="00A558DD">
              <w:rPr>
                <w:rFonts w:ascii="Times New Roman" w:hAnsi="Times New Roman" w:cs="Times New Roman"/>
              </w:rPr>
              <w:t>534</w:t>
            </w:r>
            <w:r w:rsidR="005F20A4" w:rsidRPr="00A558DD">
              <w:rPr>
                <w:rFonts w:ascii="Times New Roman" w:hAnsi="Times New Roman" w:cs="Times New Roman"/>
              </w:rPr>
              <w:t> </w:t>
            </w:r>
            <w:r w:rsidR="0092501B" w:rsidRPr="00A558DD">
              <w:rPr>
                <w:rFonts w:ascii="Times New Roman" w:hAnsi="Times New Roman" w:cs="Times New Roman"/>
              </w:rPr>
              <w:t xml:space="preserve"> </w:t>
            </w:r>
            <w:r w:rsidR="005F20A4" w:rsidRPr="00087CF0">
              <w:rPr>
                <w:rFonts w:ascii="Times New Roman" w:hAnsi="Times New Roman" w:cs="Times New Roman"/>
              </w:rPr>
              <w:t>“</w:t>
            </w:r>
            <w:r w:rsidR="00087CF0" w:rsidRPr="00087CF0">
              <w:rPr>
                <w:rFonts w:ascii="Times New Roman" w:hAnsi="Times New Roman" w:cs="Times New Roman"/>
                <w:bCs/>
              </w:rPr>
              <w:t>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w:t>
            </w:r>
            <w:r w:rsidR="006D011B" w:rsidRPr="00087CF0">
              <w:rPr>
                <w:rFonts w:ascii="Times New Roman" w:hAnsi="Times New Roman" w:cs="Times New Roman"/>
              </w:rPr>
              <w:t>”</w:t>
            </w:r>
            <w:r w:rsidR="004E5504" w:rsidRPr="00087CF0">
              <w:rPr>
                <w:rFonts w:ascii="Times New Roman" w:hAnsi="Times New Roman" w:cs="Times New Roman"/>
              </w:rPr>
              <w:t>;</w:t>
            </w:r>
          </w:p>
          <w:p w14:paraId="673D4AD2" w14:textId="191EBA13" w:rsidR="00A558DD" w:rsidRPr="00AD6A66" w:rsidRDefault="00862131" w:rsidP="00AD6A66">
            <w:pPr>
              <w:pStyle w:val="ListParagraph"/>
              <w:numPr>
                <w:ilvl w:val="0"/>
                <w:numId w:val="4"/>
              </w:numPr>
              <w:spacing w:after="0" w:line="240" w:lineRule="auto"/>
              <w:ind w:right="44"/>
              <w:jc w:val="both"/>
              <w:rPr>
                <w:rFonts w:ascii="Times New Roman" w:hAnsi="Times New Roman" w:cs="Times New Roman"/>
              </w:rPr>
            </w:pPr>
            <w:r>
              <w:rPr>
                <w:rFonts w:ascii="Times New Roman" w:hAnsi="Times New Roman" w:cs="Times New Roman"/>
              </w:rPr>
              <w:t>MK 2016. </w:t>
            </w:r>
            <w:r w:rsidR="00AD6A66" w:rsidRPr="00A558DD">
              <w:rPr>
                <w:rFonts w:ascii="Times New Roman" w:hAnsi="Times New Roman" w:cs="Times New Roman"/>
              </w:rPr>
              <w:t xml:space="preserve">gada </w:t>
            </w:r>
            <w:r w:rsidR="00AD6A66">
              <w:rPr>
                <w:rFonts w:ascii="Times New Roman" w:hAnsi="Times New Roman" w:cs="Times New Roman"/>
              </w:rPr>
              <w:t>8</w:t>
            </w:r>
            <w:r>
              <w:rPr>
                <w:rFonts w:ascii="Times New Roman" w:hAnsi="Times New Roman" w:cs="Times New Roman"/>
              </w:rPr>
              <w:t>. </w:t>
            </w:r>
            <w:r w:rsidR="00AD6A66">
              <w:rPr>
                <w:rFonts w:ascii="Times New Roman" w:hAnsi="Times New Roman" w:cs="Times New Roman"/>
              </w:rPr>
              <w:t>marta</w:t>
            </w:r>
            <w:r w:rsidR="00AD6A66" w:rsidRPr="00A558DD">
              <w:rPr>
                <w:rFonts w:ascii="Times New Roman" w:hAnsi="Times New Roman" w:cs="Times New Roman"/>
              </w:rPr>
              <w:t xml:space="preserve"> noteikumi Nr.  </w:t>
            </w:r>
            <w:r w:rsidR="00AD6A66">
              <w:rPr>
                <w:rFonts w:ascii="Times New Roman" w:hAnsi="Times New Roman" w:cs="Times New Roman"/>
              </w:rPr>
              <w:t>152</w:t>
            </w:r>
            <w:r w:rsidR="00AD6A66" w:rsidRPr="00A558DD">
              <w:rPr>
                <w:rFonts w:ascii="Times New Roman" w:hAnsi="Times New Roman" w:cs="Times New Roman"/>
              </w:rPr>
              <w:t>  “Darbības programmas “Izaugsme un nodarbinātība” 4.2.</w:t>
            </w:r>
            <w:r w:rsidR="00AD6A66">
              <w:rPr>
                <w:rFonts w:ascii="Times New Roman" w:hAnsi="Times New Roman" w:cs="Times New Roman"/>
              </w:rPr>
              <w:t>2</w:t>
            </w:r>
            <w:r>
              <w:rPr>
                <w:rFonts w:ascii="Times New Roman" w:hAnsi="Times New Roman" w:cs="Times New Roman"/>
              </w:rPr>
              <w:t>. </w:t>
            </w:r>
            <w:r w:rsidR="00AD6A66" w:rsidRPr="00A558DD">
              <w:rPr>
                <w:rFonts w:ascii="Times New Roman" w:hAnsi="Times New Roman" w:cs="Times New Roman"/>
              </w:rPr>
              <w:t>specifiskā atbalsta mērķa “</w:t>
            </w:r>
            <w:r w:rsidR="00AD6A66" w:rsidRPr="00AD6A66">
              <w:rPr>
                <w:rFonts w:ascii="Times New Roman" w:hAnsi="Times New Roman" w:cs="Times New Roman"/>
              </w:rPr>
              <w:t>Atbilstoši pašvaldības integrētajām attīstības programmām sekmēt energoefektivitātes paaugstināšanu un atjaunojamo energoresursu izmantošanu pašvaldību ēkās</w:t>
            </w:r>
            <w:r w:rsidR="00AD6A66">
              <w:rPr>
                <w:rFonts w:ascii="Times New Roman" w:hAnsi="Times New Roman" w:cs="Times New Roman"/>
              </w:rPr>
              <w:t>”</w:t>
            </w:r>
            <w:r w:rsidR="001377AB">
              <w:rPr>
                <w:rFonts w:ascii="Times New Roman" w:hAnsi="Times New Roman" w:cs="Times New Roman"/>
              </w:rPr>
              <w:t xml:space="preserve"> </w:t>
            </w:r>
            <w:r w:rsidR="001377AB" w:rsidRPr="006D011B">
              <w:rPr>
                <w:rFonts w:ascii="Times New Roman" w:hAnsi="Times New Roman" w:cs="Times New Roman"/>
                <w:bCs/>
              </w:rPr>
              <w:t>īstenošanas noteikumi</w:t>
            </w:r>
            <w:r w:rsidR="001377AB">
              <w:rPr>
                <w:rFonts w:ascii="Times New Roman" w:hAnsi="Times New Roman" w:cs="Times New Roman"/>
              </w:rPr>
              <w:t>”</w:t>
            </w:r>
            <w:r w:rsidR="00AD6A66">
              <w:rPr>
                <w:rFonts w:ascii="Times New Roman" w:hAnsi="Times New Roman" w:cs="Times New Roman"/>
              </w:rPr>
              <w:t>;</w:t>
            </w:r>
          </w:p>
          <w:p w14:paraId="4CE35561" w14:textId="57BB963E" w:rsidR="00A74089" w:rsidRPr="00BB47F6" w:rsidRDefault="00A35883" w:rsidP="00BB47F6">
            <w:pPr>
              <w:pStyle w:val="ListParagraph"/>
              <w:numPr>
                <w:ilvl w:val="0"/>
                <w:numId w:val="4"/>
              </w:numPr>
              <w:spacing w:after="0" w:line="240" w:lineRule="auto"/>
              <w:ind w:right="44"/>
              <w:jc w:val="both"/>
              <w:rPr>
                <w:rFonts w:ascii="Times New Roman" w:hAnsi="Times New Roman" w:cs="Times New Roman"/>
              </w:rPr>
            </w:pPr>
            <w:r w:rsidRPr="00BB47F6">
              <w:rPr>
                <w:rFonts w:ascii="Times New Roman" w:hAnsi="Times New Roman" w:cs="Times New Roman"/>
              </w:rPr>
              <w:t xml:space="preserve">MK </w:t>
            </w:r>
            <w:r w:rsidR="001377AB" w:rsidRPr="001377AB">
              <w:rPr>
                <w:rFonts w:ascii="Times New Roman" w:hAnsi="Times New Roman"/>
                <w:color w:val="000000"/>
              </w:rPr>
              <w:t>2016.</w:t>
            </w:r>
            <w:r w:rsidR="001377AB">
              <w:rPr>
                <w:rFonts w:ascii="Times New Roman" w:hAnsi="Times New Roman"/>
                <w:color w:val="000000"/>
              </w:rPr>
              <w:t xml:space="preserve"> </w:t>
            </w:r>
            <w:r w:rsidR="001377AB" w:rsidRPr="001377AB">
              <w:rPr>
                <w:rFonts w:ascii="Times New Roman" w:hAnsi="Times New Roman"/>
                <w:color w:val="000000"/>
              </w:rPr>
              <w:t>gada 30.</w:t>
            </w:r>
            <w:r w:rsidR="001377AB">
              <w:rPr>
                <w:rFonts w:ascii="Times New Roman" w:hAnsi="Times New Roman"/>
                <w:color w:val="000000"/>
              </w:rPr>
              <w:t xml:space="preserve"> </w:t>
            </w:r>
            <w:r w:rsidR="001377AB" w:rsidRPr="001377AB">
              <w:rPr>
                <w:rFonts w:ascii="Times New Roman" w:hAnsi="Times New Roman"/>
                <w:color w:val="000000"/>
              </w:rPr>
              <w:t>augusta noteikumi Nr.</w:t>
            </w:r>
            <w:r w:rsidR="001377AB">
              <w:rPr>
                <w:rFonts w:ascii="Times New Roman" w:hAnsi="Times New Roman"/>
                <w:color w:val="000000"/>
              </w:rPr>
              <w:t xml:space="preserve"> </w:t>
            </w:r>
            <w:r w:rsidR="001377AB" w:rsidRPr="001377AB">
              <w:rPr>
                <w:rFonts w:ascii="Times New Roman" w:hAnsi="Times New Roman"/>
                <w:color w:val="000000"/>
              </w:rPr>
              <w:t>588 “</w:t>
            </w:r>
            <w:r w:rsidR="001377AB" w:rsidRPr="001377AB">
              <w:rPr>
                <w:rFonts w:ascii="Times New Roman" w:hAnsi="Times New Roman"/>
                <w:bCs/>
                <w:color w:val="000000"/>
              </w:rPr>
              <w:t>Darbības programmas “Izaugsme un nodarbinātība” 5.2.1.</w:t>
            </w:r>
            <w:r w:rsidR="001377AB">
              <w:rPr>
                <w:rFonts w:ascii="Times New Roman" w:hAnsi="Times New Roman"/>
                <w:bCs/>
                <w:color w:val="000000"/>
              </w:rPr>
              <w:t xml:space="preserve"> </w:t>
            </w:r>
            <w:r w:rsidR="001377AB" w:rsidRPr="001377AB">
              <w:rPr>
                <w:rFonts w:ascii="Times New Roman" w:hAnsi="Times New Roman"/>
                <w:bCs/>
                <w:color w:val="000000"/>
              </w:rPr>
              <w:t>specifiskā atbalsta mērķa “Veicināt dažāda veida atkritumu atkārtotu izmantošanu, pārstrādi un reģenerāciju” 5.2.1.2. pasākuma “Atkritumu pārstrādes veicināšana” īstenošanas noteikumi</w:t>
            </w:r>
            <w:r w:rsidR="001377AB">
              <w:rPr>
                <w:rFonts w:ascii="Times New Roman" w:hAnsi="Times New Roman"/>
                <w:bCs/>
                <w:color w:val="000000"/>
              </w:rPr>
              <w:t>”</w:t>
            </w:r>
            <w:r w:rsidR="00BB47F6" w:rsidRPr="001377AB">
              <w:rPr>
                <w:rFonts w:ascii="Times New Roman" w:hAnsi="Times New Roman" w:cs="Times New Roman"/>
              </w:rPr>
              <w:t>.</w:t>
            </w:r>
          </w:p>
        </w:tc>
      </w:tr>
      <w:tr w:rsidR="0083707D" w:rsidRPr="00C17043" w14:paraId="68406200" w14:textId="77777777" w:rsidTr="00255CA2">
        <w:tc>
          <w:tcPr>
            <w:tcW w:w="524" w:type="dxa"/>
            <w:hideMark/>
          </w:tcPr>
          <w:p w14:paraId="272C7FD3" w14:textId="77777777" w:rsidR="0083707D" w:rsidRPr="00C17043" w:rsidRDefault="0083707D" w:rsidP="00F034BD">
            <w:pPr>
              <w:jc w:val="center"/>
              <w:rPr>
                <w:sz w:val="22"/>
                <w:szCs w:val="22"/>
              </w:rPr>
            </w:pPr>
            <w:r w:rsidRPr="00C17043">
              <w:rPr>
                <w:sz w:val="22"/>
                <w:szCs w:val="22"/>
              </w:rPr>
              <w:t>2.</w:t>
            </w:r>
          </w:p>
        </w:tc>
        <w:tc>
          <w:tcPr>
            <w:tcW w:w="2441" w:type="dxa"/>
            <w:hideMark/>
          </w:tcPr>
          <w:p w14:paraId="71307B32" w14:textId="77777777" w:rsidR="0083707D" w:rsidRPr="00C17043" w:rsidRDefault="0083707D" w:rsidP="00F034BD">
            <w:pPr>
              <w:rPr>
                <w:sz w:val="22"/>
                <w:szCs w:val="22"/>
              </w:rPr>
            </w:pPr>
            <w:r w:rsidRPr="00C17043">
              <w:rPr>
                <w:sz w:val="22"/>
                <w:szCs w:val="22"/>
              </w:rPr>
              <w:t>Atbildīgā institūcija</w:t>
            </w:r>
          </w:p>
        </w:tc>
        <w:tc>
          <w:tcPr>
            <w:tcW w:w="5334" w:type="dxa"/>
            <w:hideMark/>
          </w:tcPr>
          <w:p w14:paraId="6BF31A2F" w14:textId="0B2BA9FF" w:rsidR="0083707D" w:rsidRPr="00C17043" w:rsidRDefault="0083707D" w:rsidP="00F034BD">
            <w:pPr>
              <w:rPr>
                <w:sz w:val="22"/>
                <w:szCs w:val="22"/>
              </w:rPr>
            </w:pPr>
            <w:r w:rsidRPr="00C17043">
              <w:rPr>
                <w:sz w:val="22"/>
                <w:szCs w:val="22"/>
              </w:rPr>
              <w:t>Finanšu ministr</w:t>
            </w:r>
            <w:r w:rsidR="00B44450" w:rsidRPr="00C17043">
              <w:rPr>
                <w:sz w:val="22"/>
                <w:szCs w:val="22"/>
              </w:rPr>
              <w:t>ija</w:t>
            </w:r>
            <w:r w:rsidR="000A1590" w:rsidRPr="00C17043">
              <w:rPr>
                <w:sz w:val="22"/>
                <w:szCs w:val="22"/>
              </w:rPr>
              <w:t>.</w:t>
            </w:r>
          </w:p>
        </w:tc>
      </w:tr>
      <w:tr w:rsidR="0083707D" w:rsidRPr="00C17043" w14:paraId="3A5C3C8D" w14:textId="77777777" w:rsidTr="00255CA2">
        <w:tc>
          <w:tcPr>
            <w:tcW w:w="524" w:type="dxa"/>
            <w:hideMark/>
          </w:tcPr>
          <w:p w14:paraId="08FC8D9E" w14:textId="77777777" w:rsidR="0083707D" w:rsidRPr="00C17043" w:rsidRDefault="0083707D" w:rsidP="00F034BD">
            <w:pPr>
              <w:jc w:val="center"/>
              <w:rPr>
                <w:sz w:val="22"/>
                <w:szCs w:val="22"/>
              </w:rPr>
            </w:pPr>
            <w:r w:rsidRPr="00C17043">
              <w:rPr>
                <w:sz w:val="22"/>
                <w:szCs w:val="22"/>
              </w:rPr>
              <w:t>3.</w:t>
            </w:r>
          </w:p>
        </w:tc>
        <w:tc>
          <w:tcPr>
            <w:tcW w:w="2441" w:type="dxa"/>
            <w:hideMark/>
          </w:tcPr>
          <w:p w14:paraId="5BD1A44A" w14:textId="77777777" w:rsidR="0083707D" w:rsidRPr="00C17043" w:rsidRDefault="0083707D" w:rsidP="00F034BD">
            <w:pPr>
              <w:rPr>
                <w:sz w:val="22"/>
                <w:szCs w:val="22"/>
              </w:rPr>
            </w:pPr>
            <w:r w:rsidRPr="00C17043">
              <w:rPr>
                <w:sz w:val="22"/>
                <w:szCs w:val="22"/>
              </w:rPr>
              <w:t>Cita informācija</w:t>
            </w:r>
          </w:p>
        </w:tc>
        <w:tc>
          <w:tcPr>
            <w:tcW w:w="5334" w:type="dxa"/>
            <w:hideMark/>
          </w:tcPr>
          <w:p w14:paraId="14988613" w14:textId="5B4BEF64" w:rsidR="0083707D" w:rsidRPr="00C17043" w:rsidRDefault="00B44450" w:rsidP="00F034BD">
            <w:pPr>
              <w:rPr>
                <w:sz w:val="22"/>
                <w:szCs w:val="22"/>
              </w:rPr>
            </w:pPr>
            <w:r w:rsidRPr="00C17043">
              <w:rPr>
                <w:sz w:val="22"/>
                <w:szCs w:val="22"/>
              </w:rPr>
              <w:t>Nav</w:t>
            </w:r>
            <w:r w:rsidR="000A1590" w:rsidRPr="00C17043">
              <w:rPr>
                <w:sz w:val="22"/>
                <w:szCs w:val="22"/>
              </w:rPr>
              <w:t>.</w:t>
            </w:r>
          </w:p>
        </w:tc>
      </w:tr>
    </w:tbl>
    <w:p w14:paraId="59CB1822" w14:textId="49B2DC23" w:rsidR="00BD5588" w:rsidRDefault="00BD5588" w:rsidP="00BD5588">
      <w:pPr>
        <w:pStyle w:val="Title"/>
        <w:spacing w:before="130" w:line="260" w:lineRule="exact"/>
        <w:ind w:firstLine="539"/>
        <w:jc w:val="both"/>
        <w:rPr>
          <w:sz w:val="22"/>
          <w:szCs w:val="22"/>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6B4398" w:rsidRPr="00C17043" w14:paraId="0AF3C2DD" w14:textId="77777777" w:rsidTr="003B7782">
        <w:trPr>
          <w:cantSplit/>
        </w:trPr>
        <w:tc>
          <w:tcPr>
            <w:tcW w:w="8296" w:type="dxa"/>
            <w:vAlign w:val="center"/>
            <w:hideMark/>
          </w:tcPr>
          <w:p w14:paraId="0705F77A" w14:textId="77777777" w:rsidR="006B4398" w:rsidRPr="00C17043" w:rsidRDefault="006B4398" w:rsidP="003B7782">
            <w:pPr>
              <w:jc w:val="center"/>
              <w:rPr>
                <w:b/>
                <w:bCs/>
                <w:sz w:val="22"/>
                <w:szCs w:val="22"/>
              </w:rPr>
            </w:pPr>
            <w:r w:rsidRPr="00C17043">
              <w:rPr>
                <w:b/>
                <w:bCs/>
                <w:sz w:val="22"/>
                <w:szCs w:val="22"/>
              </w:rPr>
              <w:t>V. Tiesību akta projekta atbilstība Latvijas Republikas starptautiskajām saistībām</w:t>
            </w:r>
          </w:p>
        </w:tc>
      </w:tr>
      <w:tr w:rsidR="006B4398" w:rsidRPr="00C17043" w14:paraId="15A04772" w14:textId="77777777" w:rsidTr="003B7782">
        <w:trPr>
          <w:cantSplit/>
        </w:trPr>
        <w:tc>
          <w:tcPr>
            <w:tcW w:w="8296" w:type="dxa"/>
            <w:hideMark/>
          </w:tcPr>
          <w:p w14:paraId="44874CF6" w14:textId="77777777" w:rsidR="006B4398" w:rsidRPr="00C17043" w:rsidRDefault="006B4398" w:rsidP="003B7782">
            <w:pPr>
              <w:jc w:val="center"/>
              <w:rPr>
                <w:sz w:val="22"/>
                <w:szCs w:val="22"/>
              </w:rPr>
            </w:pPr>
            <w:r w:rsidRPr="00C17043">
              <w:rPr>
                <w:sz w:val="22"/>
                <w:szCs w:val="22"/>
              </w:rPr>
              <w:t>Projekts šo jomu neskar</w:t>
            </w:r>
          </w:p>
        </w:tc>
      </w:tr>
    </w:tbl>
    <w:p w14:paraId="6DB3F92A" w14:textId="27F0CFAC" w:rsidR="006B4398" w:rsidRDefault="006B4398" w:rsidP="00BD5588">
      <w:pPr>
        <w:pStyle w:val="Title"/>
        <w:spacing w:before="130" w:line="260" w:lineRule="exact"/>
        <w:ind w:firstLine="539"/>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C17043" w14:paraId="76C3A82A" w14:textId="77777777" w:rsidTr="009E0502">
        <w:trPr>
          <w:cantSplit/>
        </w:trPr>
        <w:tc>
          <w:tcPr>
            <w:tcW w:w="5000" w:type="pct"/>
            <w:gridSpan w:val="3"/>
            <w:vAlign w:val="center"/>
            <w:hideMark/>
          </w:tcPr>
          <w:p w14:paraId="5F69BEA5" w14:textId="77777777" w:rsidR="00BD5588" w:rsidRPr="00C17043" w:rsidRDefault="00BD5588" w:rsidP="009E0502">
            <w:pPr>
              <w:jc w:val="center"/>
              <w:rPr>
                <w:b/>
                <w:bCs/>
                <w:sz w:val="22"/>
                <w:szCs w:val="22"/>
                <w:highlight w:val="yellow"/>
              </w:rPr>
            </w:pPr>
            <w:r w:rsidRPr="00C17043">
              <w:rPr>
                <w:b/>
                <w:bCs/>
                <w:sz w:val="22"/>
                <w:szCs w:val="22"/>
              </w:rPr>
              <w:t>VI. Sabiedrības līdzdalība un komunikācijas aktivitātes</w:t>
            </w:r>
          </w:p>
        </w:tc>
      </w:tr>
      <w:tr w:rsidR="00BD5588" w:rsidRPr="00C17043" w14:paraId="7B12AD9B" w14:textId="77777777" w:rsidTr="00641154">
        <w:trPr>
          <w:cantSplit/>
        </w:trPr>
        <w:tc>
          <w:tcPr>
            <w:tcW w:w="311" w:type="pct"/>
            <w:hideMark/>
          </w:tcPr>
          <w:p w14:paraId="4B17467F" w14:textId="77777777" w:rsidR="00BD5588" w:rsidRPr="00C17043" w:rsidRDefault="00BD5588" w:rsidP="009E0502">
            <w:pPr>
              <w:jc w:val="center"/>
              <w:rPr>
                <w:sz w:val="22"/>
                <w:szCs w:val="22"/>
              </w:rPr>
            </w:pPr>
            <w:r w:rsidRPr="00C17043">
              <w:rPr>
                <w:sz w:val="22"/>
                <w:szCs w:val="22"/>
              </w:rPr>
              <w:t>1.</w:t>
            </w:r>
          </w:p>
        </w:tc>
        <w:tc>
          <w:tcPr>
            <w:tcW w:w="1479" w:type="pct"/>
            <w:shd w:val="clear" w:color="auto" w:fill="auto"/>
            <w:hideMark/>
          </w:tcPr>
          <w:p w14:paraId="56F85E10" w14:textId="77777777" w:rsidR="00BD5588" w:rsidRPr="00C17043" w:rsidRDefault="00BD5588" w:rsidP="009E0502">
            <w:pPr>
              <w:rPr>
                <w:sz w:val="22"/>
                <w:szCs w:val="22"/>
              </w:rPr>
            </w:pPr>
            <w:r w:rsidRPr="00C17043">
              <w:rPr>
                <w:sz w:val="22"/>
                <w:szCs w:val="22"/>
              </w:rPr>
              <w:t>Plānotās sabiedrības līdzdalības un komunikācijas aktivitātes saistībā ar projektu</w:t>
            </w:r>
          </w:p>
        </w:tc>
        <w:tc>
          <w:tcPr>
            <w:tcW w:w="3210" w:type="pct"/>
            <w:shd w:val="clear" w:color="auto" w:fill="auto"/>
            <w:hideMark/>
          </w:tcPr>
          <w:p w14:paraId="4A009194" w14:textId="297B02FD" w:rsidR="00641154" w:rsidRPr="007A743E" w:rsidRDefault="00641154" w:rsidP="00641154">
            <w:pPr>
              <w:jc w:val="both"/>
              <w:rPr>
                <w:sz w:val="22"/>
                <w:szCs w:val="22"/>
              </w:rPr>
            </w:pPr>
            <w:r w:rsidRPr="007A743E">
              <w:rPr>
                <w:sz w:val="22"/>
                <w:szCs w:val="22"/>
              </w:rPr>
              <w:t>Sabiedrības līdzdalīb</w:t>
            </w:r>
            <w:r w:rsidR="002F5146" w:rsidRPr="007A743E">
              <w:rPr>
                <w:sz w:val="22"/>
                <w:szCs w:val="22"/>
              </w:rPr>
              <w:t>u plānots</w:t>
            </w:r>
            <w:r w:rsidRPr="007A743E">
              <w:rPr>
                <w:sz w:val="22"/>
                <w:szCs w:val="22"/>
              </w:rPr>
              <w:t xml:space="preserve"> nodrošināt: </w:t>
            </w:r>
          </w:p>
          <w:p w14:paraId="7D2D59D4" w14:textId="135076AD" w:rsidR="00641154" w:rsidRPr="007A743E" w:rsidRDefault="00AE3564" w:rsidP="007A743E">
            <w:pPr>
              <w:pStyle w:val="ListParagraph"/>
              <w:numPr>
                <w:ilvl w:val="0"/>
                <w:numId w:val="5"/>
              </w:numPr>
              <w:spacing w:after="0" w:line="240" w:lineRule="auto"/>
              <w:ind w:left="394"/>
              <w:jc w:val="both"/>
              <w:rPr>
                <w:rFonts w:ascii="Times New Roman" w:hAnsi="Times New Roman" w:cs="Times New Roman"/>
              </w:rPr>
            </w:pPr>
            <w:r w:rsidRPr="007A743E">
              <w:rPr>
                <w:rFonts w:ascii="Times New Roman" w:hAnsi="Times New Roman" w:cs="Times New Roman"/>
              </w:rPr>
              <w:t>ES fondu 2014.–2020. gada plānošanas perioda uzraudzības</w:t>
            </w:r>
            <w:r w:rsidR="002F5146" w:rsidRPr="007A743E">
              <w:rPr>
                <w:rFonts w:ascii="Times New Roman" w:hAnsi="Times New Roman" w:cs="Times New Roman"/>
              </w:rPr>
              <w:t xml:space="preserve"> komitejas rakstisk</w:t>
            </w:r>
            <w:r w:rsidR="00641154" w:rsidRPr="007A743E">
              <w:rPr>
                <w:rFonts w:ascii="Times New Roman" w:hAnsi="Times New Roman" w:cs="Times New Roman"/>
              </w:rPr>
              <w:t>ā</w:t>
            </w:r>
            <w:r w:rsidR="002F5146" w:rsidRPr="007A743E">
              <w:rPr>
                <w:rFonts w:ascii="Times New Roman" w:hAnsi="Times New Roman" w:cs="Times New Roman"/>
              </w:rPr>
              <w:t>s</w:t>
            </w:r>
            <w:r w:rsidR="00641154" w:rsidRPr="007A743E">
              <w:rPr>
                <w:rFonts w:ascii="Times New Roman" w:hAnsi="Times New Roman" w:cs="Times New Roman"/>
              </w:rPr>
              <w:t xml:space="preserve"> procedūras ietvaros</w:t>
            </w:r>
            <w:r w:rsidR="007A743E" w:rsidRPr="007A743E">
              <w:rPr>
                <w:rFonts w:ascii="Times New Roman" w:hAnsi="Times New Roman" w:cs="Times New Roman"/>
              </w:rPr>
              <w:t>, publicējot grozījumu pr</w:t>
            </w:r>
            <w:r w:rsidR="00862131">
              <w:rPr>
                <w:rFonts w:ascii="Times New Roman" w:hAnsi="Times New Roman" w:cs="Times New Roman"/>
              </w:rPr>
              <w:t xml:space="preserve">iekšlikumu ES fondu </w:t>
            </w:r>
            <w:r w:rsidR="00862131">
              <w:rPr>
                <w:rFonts w:ascii="Times New Roman" w:hAnsi="Times New Roman" w:cs="Times New Roman"/>
              </w:rPr>
              <w:br/>
              <w:t>2014.–2020. </w:t>
            </w:r>
            <w:r w:rsidR="007A743E" w:rsidRPr="007A743E">
              <w:rPr>
                <w:rFonts w:ascii="Times New Roman" w:hAnsi="Times New Roman" w:cs="Times New Roman"/>
              </w:rPr>
              <w:t xml:space="preserve">gada plānošanas perioda uzraudzības komitejas tīmekļa vietnē </w:t>
            </w:r>
            <w:hyperlink r:id="rId8" w:history="1">
              <w:r w:rsidR="007A743E" w:rsidRPr="007A743E">
                <w:rPr>
                  <w:rStyle w:val="Hyperlink"/>
                  <w:rFonts w:ascii="Times New Roman" w:hAnsi="Times New Roman" w:cs="Times New Roman"/>
                </w:rPr>
                <w:t>https://komitejas.esfondi.lv</w:t>
              </w:r>
            </w:hyperlink>
            <w:r w:rsidR="00641154" w:rsidRPr="007A743E">
              <w:rPr>
                <w:rFonts w:ascii="Times New Roman" w:hAnsi="Times New Roman" w:cs="Times New Roman"/>
              </w:rPr>
              <w:t>;</w:t>
            </w:r>
          </w:p>
          <w:p w14:paraId="113D632F" w14:textId="7824CE11" w:rsidR="00BD5588" w:rsidRPr="007A743E" w:rsidRDefault="007A743E" w:rsidP="007A743E">
            <w:pPr>
              <w:pStyle w:val="ListParagraph"/>
              <w:numPr>
                <w:ilvl w:val="0"/>
                <w:numId w:val="5"/>
              </w:numPr>
              <w:spacing w:after="0" w:line="240" w:lineRule="auto"/>
              <w:ind w:left="394"/>
              <w:jc w:val="both"/>
              <w:rPr>
                <w:rFonts w:ascii="Times New Roman" w:hAnsi="Times New Roman" w:cs="Times New Roman"/>
              </w:rPr>
            </w:pPr>
            <w:r w:rsidRPr="007A743E">
              <w:rPr>
                <w:rFonts w:ascii="Times New Roman" w:eastAsia="Times New Roman" w:hAnsi="Times New Roman" w:cs="Times New Roman"/>
              </w:rPr>
              <w:t xml:space="preserve">publicējot </w:t>
            </w:r>
            <w:r>
              <w:rPr>
                <w:rFonts w:ascii="Times New Roman" w:eastAsia="Times New Roman" w:hAnsi="Times New Roman" w:cs="Times New Roman"/>
              </w:rPr>
              <w:t xml:space="preserve">MK </w:t>
            </w:r>
            <w:r w:rsidRPr="007A743E">
              <w:rPr>
                <w:rFonts w:ascii="Times New Roman" w:eastAsia="Times New Roman" w:hAnsi="Times New Roman" w:cs="Times New Roman"/>
              </w:rPr>
              <w:t>rīkojuma projektu tīmekļa vietnē</w:t>
            </w:r>
            <w:r>
              <w:rPr>
                <w:rFonts w:ascii="Times New Roman" w:eastAsia="Times New Roman" w:hAnsi="Times New Roman" w:cs="Times New Roman"/>
              </w:rPr>
              <w:t xml:space="preserve"> </w:t>
            </w:r>
            <w:hyperlink r:id="rId9" w:history="1">
              <w:r w:rsidRPr="009B356D">
                <w:rPr>
                  <w:rStyle w:val="Hyperlink"/>
                  <w:rFonts w:ascii="Times New Roman" w:eastAsia="Times New Roman" w:hAnsi="Times New Roman" w:cs="Times New Roman"/>
                </w:rPr>
                <w:t>www.esfondi.lv</w:t>
              </w:r>
            </w:hyperlink>
            <w:r>
              <w:rPr>
                <w:rFonts w:ascii="Times New Roman" w:eastAsia="Times New Roman" w:hAnsi="Times New Roman" w:cs="Times New Roman"/>
              </w:rPr>
              <w:t xml:space="preserve">. </w:t>
            </w:r>
          </w:p>
        </w:tc>
      </w:tr>
      <w:tr w:rsidR="00641154" w:rsidRPr="00C17043" w14:paraId="132D14B3" w14:textId="77777777" w:rsidTr="002D1644">
        <w:trPr>
          <w:cantSplit/>
        </w:trPr>
        <w:tc>
          <w:tcPr>
            <w:tcW w:w="311" w:type="pct"/>
            <w:shd w:val="clear" w:color="auto" w:fill="auto"/>
            <w:hideMark/>
          </w:tcPr>
          <w:p w14:paraId="169B019B" w14:textId="77777777" w:rsidR="00641154" w:rsidRPr="00C17043" w:rsidRDefault="00641154" w:rsidP="00641154">
            <w:pPr>
              <w:jc w:val="center"/>
              <w:rPr>
                <w:sz w:val="22"/>
                <w:szCs w:val="22"/>
              </w:rPr>
            </w:pPr>
            <w:r w:rsidRPr="00C17043">
              <w:rPr>
                <w:sz w:val="22"/>
                <w:szCs w:val="22"/>
              </w:rPr>
              <w:lastRenderedPageBreak/>
              <w:t>2.</w:t>
            </w:r>
          </w:p>
        </w:tc>
        <w:tc>
          <w:tcPr>
            <w:tcW w:w="1479" w:type="pct"/>
            <w:shd w:val="clear" w:color="auto" w:fill="auto"/>
            <w:hideMark/>
          </w:tcPr>
          <w:p w14:paraId="5399592B" w14:textId="77777777" w:rsidR="00641154" w:rsidRPr="00C17043" w:rsidRDefault="00641154" w:rsidP="00641154">
            <w:pPr>
              <w:rPr>
                <w:sz w:val="22"/>
                <w:szCs w:val="22"/>
              </w:rPr>
            </w:pPr>
            <w:r w:rsidRPr="00C17043">
              <w:rPr>
                <w:sz w:val="22"/>
                <w:szCs w:val="22"/>
              </w:rPr>
              <w:t>Sabiedrības līdzdalība projekta izstrādē</w:t>
            </w:r>
          </w:p>
        </w:tc>
        <w:tc>
          <w:tcPr>
            <w:tcW w:w="3210" w:type="pct"/>
            <w:shd w:val="clear" w:color="auto" w:fill="auto"/>
            <w:hideMark/>
          </w:tcPr>
          <w:p w14:paraId="3CFEB9DC" w14:textId="0EA9E8CA" w:rsidR="00641154" w:rsidRPr="001B562B" w:rsidRDefault="00641154" w:rsidP="00530E9C">
            <w:pPr>
              <w:ind w:right="44"/>
              <w:jc w:val="both"/>
              <w:rPr>
                <w:sz w:val="22"/>
                <w:szCs w:val="22"/>
              </w:rPr>
            </w:pPr>
            <w:r w:rsidRPr="001B562B">
              <w:rPr>
                <w:sz w:val="22"/>
                <w:szCs w:val="22"/>
              </w:rPr>
              <w:t>Sabiedrības līdzdalība ir nodrošināta</w:t>
            </w:r>
            <w:r w:rsidR="007A743E">
              <w:rPr>
                <w:sz w:val="22"/>
                <w:szCs w:val="22"/>
              </w:rPr>
              <w:t>,</w:t>
            </w:r>
            <w:r w:rsidRPr="001B562B">
              <w:rPr>
                <w:sz w:val="22"/>
                <w:szCs w:val="22"/>
              </w:rPr>
              <w:t xml:space="preserve"> </w:t>
            </w:r>
            <w:r w:rsidR="007A743E">
              <w:rPr>
                <w:sz w:val="22"/>
                <w:szCs w:val="22"/>
              </w:rPr>
              <w:t>saskaņojot grozījumu priekšlikumu darbības programmā</w:t>
            </w:r>
            <w:r w:rsidR="00862131">
              <w:rPr>
                <w:sz w:val="22"/>
                <w:szCs w:val="22"/>
              </w:rPr>
              <w:t xml:space="preserve"> ES fondu</w:t>
            </w:r>
            <w:r w:rsidR="00862131">
              <w:rPr>
                <w:sz w:val="22"/>
                <w:szCs w:val="22"/>
              </w:rPr>
              <w:br/>
              <w:t>2014.–2020. </w:t>
            </w:r>
            <w:r w:rsidRPr="001B562B">
              <w:rPr>
                <w:sz w:val="22"/>
                <w:szCs w:val="22"/>
              </w:rPr>
              <w:t xml:space="preserve">gada plānošanas perioda </w:t>
            </w:r>
            <w:r w:rsidRPr="00862131">
              <w:rPr>
                <w:sz w:val="22"/>
                <w:szCs w:val="22"/>
              </w:rPr>
              <w:t>uzraudzības komitej</w:t>
            </w:r>
            <w:r w:rsidR="007A743E" w:rsidRPr="00862131">
              <w:rPr>
                <w:sz w:val="22"/>
                <w:szCs w:val="22"/>
              </w:rPr>
              <w:t>ā rakstisk</w:t>
            </w:r>
            <w:r w:rsidRPr="00862131">
              <w:rPr>
                <w:sz w:val="22"/>
                <w:szCs w:val="22"/>
              </w:rPr>
              <w:t>ā</w:t>
            </w:r>
            <w:r w:rsidR="007A743E" w:rsidRPr="00862131">
              <w:rPr>
                <w:sz w:val="22"/>
                <w:szCs w:val="22"/>
              </w:rPr>
              <w:t>s procedūras ietvaros</w:t>
            </w:r>
            <w:r w:rsidRPr="00862131">
              <w:rPr>
                <w:sz w:val="22"/>
                <w:szCs w:val="22"/>
              </w:rPr>
              <w:t>, kas tika uzsākta 201</w:t>
            </w:r>
            <w:r w:rsidR="00862131" w:rsidRPr="00862131">
              <w:rPr>
                <w:sz w:val="22"/>
                <w:szCs w:val="22"/>
              </w:rPr>
              <w:t>8</w:t>
            </w:r>
            <w:r w:rsidR="00862131">
              <w:rPr>
                <w:sz w:val="22"/>
                <w:szCs w:val="22"/>
              </w:rPr>
              <w:t>. </w:t>
            </w:r>
            <w:r w:rsidRPr="00862131">
              <w:rPr>
                <w:sz w:val="22"/>
                <w:szCs w:val="22"/>
              </w:rPr>
              <w:t>gad</w:t>
            </w:r>
            <w:r w:rsidR="00DE23FF" w:rsidRPr="00862131">
              <w:rPr>
                <w:sz w:val="22"/>
                <w:szCs w:val="22"/>
              </w:rPr>
              <w:t xml:space="preserve">a </w:t>
            </w:r>
            <w:r w:rsidR="00DA6A88" w:rsidRPr="00DA6A88">
              <w:rPr>
                <w:sz w:val="22"/>
                <w:szCs w:val="22"/>
              </w:rPr>
              <w:t>13</w:t>
            </w:r>
            <w:r w:rsidR="00DE23FF" w:rsidRPr="00DA6A88">
              <w:rPr>
                <w:sz w:val="22"/>
                <w:szCs w:val="22"/>
              </w:rPr>
              <w:t>.</w:t>
            </w:r>
            <w:r w:rsidR="008C18E8" w:rsidRPr="00DA6A88">
              <w:t> </w:t>
            </w:r>
            <w:r w:rsidR="00862131" w:rsidRPr="00862131">
              <w:rPr>
                <w:sz w:val="22"/>
                <w:szCs w:val="22"/>
              </w:rPr>
              <w:t>septe</w:t>
            </w:r>
            <w:r w:rsidR="00DE23FF" w:rsidRPr="00862131">
              <w:rPr>
                <w:sz w:val="22"/>
                <w:szCs w:val="22"/>
              </w:rPr>
              <w:t>mbrī un noslē</w:t>
            </w:r>
            <w:r w:rsidR="00530E9C">
              <w:rPr>
                <w:sz w:val="22"/>
                <w:szCs w:val="22"/>
              </w:rPr>
              <w:t>dzās</w:t>
            </w:r>
            <w:r w:rsidR="00DE23FF" w:rsidRPr="00862131">
              <w:rPr>
                <w:sz w:val="22"/>
                <w:szCs w:val="22"/>
              </w:rPr>
              <w:t xml:space="preserve"> 2018</w:t>
            </w:r>
            <w:r w:rsidR="00862131">
              <w:rPr>
                <w:sz w:val="22"/>
                <w:szCs w:val="22"/>
              </w:rPr>
              <w:t>. </w:t>
            </w:r>
            <w:r w:rsidRPr="00862131">
              <w:rPr>
                <w:sz w:val="22"/>
                <w:szCs w:val="22"/>
              </w:rPr>
              <w:t xml:space="preserve">gada </w:t>
            </w:r>
            <w:r w:rsidR="00DA6A88">
              <w:rPr>
                <w:sz w:val="22"/>
                <w:szCs w:val="22"/>
              </w:rPr>
              <w:t>1</w:t>
            </w:r>
            <w:r w:rsidR="0087357A">
              <w:rPr>
                <w:sz w:val="22"/>
                <w:szCs w:val="22"/>
              </w:rPr>
              <w:t>9</w:t>
            </w:r>
            <w:r w:rsidR="00862131">
              <w:rPr>
                <w:sz w:val="22"/>
                <w:szCs w:val="22"/>
              </w:rPr>
              <w:t>. </w:t>
            </w:r>
            <w:r w:rsidR="00862131" w:rsidRPr="00862131">
              <w:rPr>
                <w:sz w:val="22"/>
                <w:szCs w:val="22"/>
              </w:rPr>
              <w:t>septemb</w:t>
            </w:r>
            <w:r w:rsidR="008C18E8" w:rsidRPr="00862131">
              <w:rPr>
                <w:sz w:val="22"/>
                <w:szCs w:val="22"/>
              </w:rPr>
              <w:t>rī,</w:t>
            </w:r>
            <w:r w:rsidRPr="00862131">
              <w:rPr>
                <w:sz w:val="22"/>
                <w:szCs w:val="22"/>
              </w:rPr>
              <w:t xml:space="preserve"> un </w:t>
            </w:r>
            <w:r w:rsidR="00DE23FF" w:rsidRPr="00862131">
              <w:rPr>
                <w:sz w:val="22"/>
                <w:szCs w:val="22"/>
              </w:rPr>
              <w:t>2018</w:t>
            </w:r>
            <w:r w:rsidR="004D6FE4" w:rsidRPr="00862131">
              <w:rPr>
                <w:sz w:val="22"/>
                <w:szCs w:val="22"/>
              </w:rPr>
              <w:t>.</w:t>
            </w:r>
            <w:r w:rsidR="00DE23FF" w:rsidRPr="00862131">
              <w:rPr>
                <w:sz w:val="22"/>
                <w:szCs w:val="22"/>
              </w:rPr>
              <w:t> </w:t>
            </w:r>
            <w:r w:rsidR="004D6FE4" w:rsidRPr="00862131">
              <w:rPr>
                <w:sz w:val="22"/>
                <w:szCs w:val="22"/>
              </w:rPr>
              <w:t xml:space="preserve">gada </w:t>
            </w:r>
            <w:r w:rsidR="00DA6A88">
              <w:rPr>
                <w:sz w:val="22"/>
                <w:szCs w:val="22"/>
              </w:rPr>
              <w:t>14</w:t>
            </w:r>
            <w:r w:rsidR="0060482C" w:rsidRPr="00862131">
              <w:rPr>
                <w:sz w:val="22"/>
                <w:szCs w:val="22"/>
              </w:rPr>
              <w:t>.</w:t>
            </w:r>
            <w:r w:rsidR="00862131">
              <w:rPr>
                <w:sz w:val="22"/>
                <w:szCs w:val="22"/>
              </w:rPr>
              <w:t> </w:t>
            </w:r>
            <w:r w:rsidR="00862131" w:rsidRPr="00862131">
              <w:rPr>
                <w:sz w:val="22"/>
                <w:szCs w:val="22"/>
              </w:rPr>
              <w:t>septembrī</w:t>
            </w:r>
            <w:r w:rsidR="0081609B" w:rsidRPr="00862131">
              <w:rPr>
                <w:sz w:val="22"/>
                <w:szCs w:val="22"/>
              </w:rPr>
              <w:t xml:space="preserve"> </w:t>
            </w:r>
            <w:r w:rsidRPr="00862131">
              <w:rPr>
                <w:sz w:val="22"/>
                <w:szCs w:val="22"/>
              </w:rPr>
              <w:t>publicējot grozījumu priekšlikumu</w:t>
            </w:r>
            <w:r w:rsidR="00862131">
              <w:rPr>
                <w:sz w:val="22"/>
                <w:szCs w:val="22"/>
              </w:rPr>
              <w:t xml:space="preserve"> ES fondu 2014.–2020. </w:t>
            </w:r>
            <w:r w:rsidRPr="007A743E">
              <w:rPr>
                <w:sz w:val="22"/>
                <w:szCs w:val="22"/>
              </w:rPr>
              <w:t xml:space="preserve">gada plānošanas perioda uzraudzības komitejas tīmekļa vietnē </w:t>
            </w:r>
            <w:hyperlink r:id="rId10" w:history="1">
              <w:r w:rsidR="007A743E" w:rsidRPr="007A743E">
                <w:rPr>
                  <w:rStyle w:val="Hyperlink"/>
                  <w:sz w:val="22"/>
                  <w:szCs w:val="22"/>
                </w:rPr>
                <w:t>www.esfondi.lv</w:t>
              </w:r>
            </w:hyperlink>
            <w:r w:rsidRPr="007A743E">
              <w:rPr>
                <w:sz w:val="22"/>
                <w:szCs w:val="22"/>
              </w:rPr>
              <w:t>.</w:t>
            </w:r>
          </w:p>
        </w:tc>
      </w:tr>
      <w:tr w:rsidR="00641154" w:rsidRPr="00C17043" w14:paraId="388BC388" w14:textId="77777777" w:rsidTr="002D1644">
        <w:trPr>
          <w:cantSplit/>
        </w:trPr>
        <w:tc>
          <w:tcPr>
            <w:tcW w:w="311" w:type="pct"/>
            <w:shd w:val="clear" w:color="auto" w:fill="auto"/>
            <w:hideMark/>
          </w:tcPr>
          <w:p w14:paraId="437FE075" w14:textId="77777777" w:rsidR="00641154" w:rsidRPr="00C17043" w:rsidRDefault="00641154" w:rsidP="00641154">
            <w:pPr>
              <w:jc w:val="center"/>
              <w:rPr>
                <w:sz w:val="22"/>
                <w:szCs w:val="22"/>
              </w:rPr>
            </w:pPr>
            <w:r w:rsidRPr="00C17043">
              <w:rPr>
                <w:sz w:val="22"/>
                <w:szCs w:val="22"/>
              </w:rPr>
              <w:t>3.</w:t>
            </w:r>
          </w:p>
        </w:tc>
        <w:tc>
          <w:tcPr>
            <w:tcW w:w="1479" w:type="pct"/>
            <w:shd w:val="clear" w:color="auto" w:fill="auto"/>
            <w:hideMark/>
          </w:tcPr>
          <w:p w14:paraId="1BD2C2A5" w14:textId="77777777" w:rsidR="00641154" w:rsidRPr="00C17043" w:rsidRDefault="00641154" w:rsidP="00641154">
            <w:pPr>
              <w:rPr>
                <w:sz w:val="22"/>
                <w:szCs w:val="22"/>
              </w:rPr>
            </w:pPr>
            <w:r w:rsidRPr="00C17043">
              <w:rPr>
                <w:sz w:val="22"/>
                <w:szCs w:val="22"/>
              </w:rPr>
              <w:t>Sabiedrības līdzdalības rezultāti</w:t>
            </w:r>
          </w:p>
        </w:tc>
        <w:tc>
          <w:tcPr>
            <w:tcW w:w="3210" w:type="pct"/>
            <w:shd w:val="clear" w:color="auto" w:fill="auto"/>
            <w:hideMark/>
          </w:tcPr>
          <w:p w14:paraId="7F81FB1F" w14:textId="63979A70" w:rsidR="00641154" w:rsidRPr="00C17043" w:rsidRDefault="00641154" w:rsidP="00641154">
            <w:pPr>
              <w:rPr>
                <w:sz w:val="22"/>
                <w:szCs w:val="22"/>
              </w:rPr>
            </w:pPr>
            <w:r w:rsidRPr="00C17043">
              <w:rPr>
                <w:sz w:val="22"/>
                <w:szCs w:val="22"/>
              </w:rPr>
              <w:t>Iebildumi un priekšlikumi nav saņemti.</w:t>
            </w:r>
          </w:p>
        </w:tc>
      </w:tr>
      <w:tr w:rsidR="00641154" w:rsidRPr="00C17043" w14:paraId="28A6D3BD" w14:textId="77777777" w:rsidTr="002D1644">
        <w:trPr>
          <w:cantSplit/>
        </w:trPr>
        <w:tc>
          <w:tcPr>
            <w:tcW w:w="311" w:type="pct"/>
            <w:shd w:val="clear" w:color="auto" w:fill="auto"/>
            <w:hideMark/>
          </w:tcPr>
          <w:p w14:paraId="64D90834" w14:textId="77777777" w:rsidR="00641154" w:rsidRPr="00C17043" w:rsidRDefault="00641154" w:rsidP="00641154">
            <w:pPr>
              <w:jc w:val="center"/>
              <w:rPr>
                <w:sz w:val="22"/>
                <w:szCs w:val="22"/>
              </w:rPr>
            </w:pPr>
            <w:r w:rsidRPr="00C17043">
              <w:rPr>
                <w:sz w:val="22"/>
                <w:szCs w:val="22"/>
              </w:rPr>
              <w:t>4.</w:t>
            </w:r>
          </w:p>
        </w:tc>
        <w:tc>
          <w:tcPr>
            <w:tcW w:w="1479" w:type="pct"/>
            <w:shd w:val="clear" w:color="auto" w:fill="auto"/>
            <w:hideMark/>
          </w:tcPr>
          <w:p w14:paraId="751C9DE3" w14:textId="77777777" w:rsidR="00641154" w:rsidRPr="00C17043" w:rsidRDefault="00641154" w:rsidP="00641154">
            <w:pPr>
              <w:rPr>
                <w:sz w:val="22"/>
                <w:szCs w:val="22"/>
              </w:rPr>
            </w:pPr>
            <w:r w:rsidRPr="00C17043">
              <w:rPr>
                <w:sz w:val="22"/>
                <w:szCs w:val="22"/>
              </w:rPr>
              <w:t>Cita informācija</w:t>
            </w:r>
          </w:p>
        </w:tc>
        <w:tc>
          <w:tcPr>
            <w:tcW w:w="3210" w:type="pct"/>
            <w:shd w:val="clear" w:color="auto" w:fill="auto"/>
            <w:hideMark/>
          </w:tcPr>
          <w:p w14:paraId="65E1F5FD" w14:textId="1C2712B8" w:rsidR="00641154" w:rsidRPr="00C17043" w:rsidRDefault="00641154" w:rsidP="00641154">
            <w:pPr>
              <w:rPr>
                <w:sz w:val="22"/>
                <w:szCs w:val="22"/>
              </w:rPr>
            </w:pPr>
            <w:r w:rsidRPr="00C17043">
              <w:rPr>
                <w:sz w:val="22"/>
                <w:szCs w:val="22"/>
              </w:rPr>
              <w:t>Nav.</w:t>
            </w:r>
          </w:p>
        </w:tc>
      </w:tr>
    </w:tbl>
    <w:p w14:paraId="71BA30F9" w14:textId="77777777" w:rsidR="001B1A3C" w:rsidRPr="00C17043" w:rsidRDefault="001B1A3C" w:rsidP="00BD5588">
      <w:pPr>
        <w:pStyle w:val="Title"/>
        <w:spacing w:before="130" w:line="260" w:lineRule="exact"/>
        <w:ind w:firstLine="539"/>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C17043" w14:paraId="2903BBE8" w14:textId="77777777" w:rsidTr="009E0502">
        <w:trPr>
          <w:cantSplit/>
        </w:trPr>
        <w:tc>
          <w:tcPr>
            <w:tcW w:w="5000" w:type="pct"/>
            <w:gridSpan w:val="3"/>
            <w:vAlign w:val="center"/>
            <w:hideMark/>
          </w:tcPr>
          <w:p w14:paraId="124981C2" w14:textId="77777777" w:rsidR="00BD5588" w:rsidRPr="00C17043" w:rsidRDefault="00BD5588" w:rsidP="009E0502">
            <w:pPr>
              <w:jc w:val="center"/>
              <w:rPr>
                <w:b/>
                <w:bCs/>
                <w:sz w:val="22"/>
                <w:szCs w:val="22"/>
              </w:rPr>
            </w:pPr>
            <w:r w:rsidRPr="00C17043">
              <w:rPr>
                <w:b/>
                <w:bCs/>
                <w:sz w:val="22"/>
                <w:szCs w:val="22"/>
              </w:rPr>
              <w:t>VII. Tiesību akta projekta izpildes nodrošināšana un tās ietekme uz institūcijām</w:t>
            </w:r>
          </w:p>
        </w:tc>
      </w:tr>
      <w:tr w:rsidR="00BD5588" w:rsidRPr="00C17043" w14:paraId="6A94A9C7" w14:textId="77777777" w:rsidTr="009E0502">
        <w:trPr>
          <w:cantSplit/>
        </w:trPr>
        <w:tc>
          <w:tcPr>
            <w:tcW w:w="311" w:type="pct"/>
            <w:hideMark/>
          </w:tcPr>
          <w:p w14:paraId="0F4C7140" w14:textId="77777777" w:rsidR="00BD5588" w:rsidRPr="00C17043" w:rsidRDefault="00BD5588" w:rsidP="009E0502">
            <w:pPr>
              <w:jc w:val="center"/>
              <w:rPr>
                <w:sz w:val="22"/>
                <w:szCs w:val="22"/>
              </w:rPr>
            </w:pPr>
            <w:r w:rsidRPr="00C17043">
              <w:rPr>
                <w:sz w:val="22"/>
                <w:szCs w:val="22"/>
              </w:rPr>
              <w:t>1.</w:t>
            </w:r>
          </w:p>
        </w:tc>
        <w:tc>
          <w:tcPr>
            <w:tcW w:w="1479" w:type="pct"/>
            <w:hideMark/>
          </w:tcPr>
          <w:p w14:paraId="02A1600C" w14:textId="77777777" w:rsidR="00BD5588" w:rsidRPr="00C17043" w:rsidRDefault="00BD5588" w:rsidP="009E0502">
            <w:pPr>
              <w:rPr>
                <w:sz w:val="22"/>
                <w:szCs w:val="22"/>
              </w:rPr>
            </w:pPr>
            <w:r w:rsidRPr="00C17043">
              <w:rPr>
                <w:sz w:val="22"/>
                <w:szCs w:val="22"/>
              </w:rPr>
              <w:t>Projekta izpildē iesaistītās institūcijas</w:t>
            </w:r>
          </w:p>
        </w:tc>
        <w:tc>
          <w:tcPr>
            <w:tcW w:w="3210" w:type="pct"/>
            <w:hideMark/>
          </w:tcPr>
          <w:p w14:paraId="03EE5DE4" w14:textId="77777777" w:rsidR="00BD5588" w:rsidRPr="00C17043" w:rsidRDefault="006B5440" w:rsidP="007A743E">
            <w:pPr>
              <w:jc w:val="both"/>
              <w:rPr>
                <w:sz w:val="22"/>
                <w:szCs w:val="22"/>
              </w:rPr>
            </w:pPr>
            <w:r w:rsidRPr="00C17043">
              <w:rPr>
                <w:sz w:val="22"/>
                <w:szCs w:val="22"/>
              </w:rPr>
              <w:t>ES fondu vadībā iesaistītās institūcijas saskaņā ar Vadības likumā noteikto.</w:t>
            </w:r>
          </w:p>
        </w:tc>
      </w:tr>
      <w:tr w:rsidR="006B5440" w:rsidRPr="00C17043" w14:paraId="293D4712" w14:textId="77777777" w:rsidTr="009E0502">
        <w:trPr>
          <w:cantSplit/>
        </w:trPr>
        <w:tc>
          <w:tcPr>
            <w:tcW w:w="311" w:type="pct"/>
            <w:hideMark/>
          </w:tcPr>
          <w:p w14:paraId="64421FBB" w14:textId="77777777" w:rsidR="006B5440" w:rsidRPr="00C17043" w:rsidRDefault="006B5440" w:rsidP="006B5440">
            <w:pPr>
              <w:jc w:val="center"/>
              <w:rPr>
                <w:sz w:val="22"/>
                <w:szCs w:val="22"/>
              </w:rPr>
            </w:pPr>
            <w:r w:rsidRPr="00C17043">
              <w:rPr>
                <w:sz w:val="22"/>
                <w:szCs w:val="22"/>
              </w:rPr>
              <w:t>2.</w:t>
            </w:r>
          </w:p>
        </w:tc>
        <w:tc>
          <w:tcPr>
            <w:tcW w:w="1479" w:type="pct"/>
            <w:hideMark/>
          </w:tcPr>
          <w:p w14:paraId="57C841CB" w14:textId="77777777" w:rsidR="006B5440" w:rsidRPr="00C17043" w:rsidRDefault="006B5440" w:rsidP="006B5440">
            <w:pPr>
              <w:rPr>
                <w:sz w:val="22"/>
                <w:szCs w:val="22"/>
              </w:rPr>
            </w:pPr>
            <w:r w:rsidRPr="00C17043">
              <w:rPr>
                <w:sz w:val="22"/>
                <w:szCs w:val="22"/>
              </w:rPr>
              <w:t>Projekta izpildes ietekme uz pārvaldes funkcijām un institucionālo struktūru.</w:t>
            </w:r>
            <w:r w:rsidRPr="00C17043">
              <w:rPr>
                <w:sz w:val="22"/>
                <w:szCs w:val="22"/>
              </w:rPr>
              <w:br/>
              <w:t>Jaunu institūciju izveide, esošu institūciju likvidācija vai reorganizācija, to ietekme uz institūcijas cilvēkresursiem</w:t>
            </w:r>
          </w:p>
        </w:tc>
        <w:tc>
          <w:tcPr>
            <w:tcW w:w="3210" w:type="pct"/>
            <w:hideMark/>
          </w:tcPr>
          <w:p w14:paraId="3890E210" w14:textId="77777777" w:rsidR="006B5440" w:rsidRPr="00C17043" w:rsidRDefault="006B5440" w:rsidP="006B5440">
            <w:pPr>
              <w:pStyle w:val="ListParagraph"/>
              <w:shd w:val="clear" w:color="auto" w:fill="FFFFFF"/>
              <w:spacing w:after="0" w:line="240" w:lineRule="auto"/>
              <w:ind w:left="0" w:right="57"/>
              <w:contextualSpacing w:val="0"/>
              <w:jc w:val="both"/>
              <w:rPr>
                <w:rFonts w:ascii="Times New Roman" w:hAnsi="Times New Roman" w:cs="Times New Roman"/>
              </w:rPr>
            </w:pPr>
            <w:r w:rsidRPr="00C17043">
              <w:rPr>
                <w:rFonts w:ascii="Times New Roman" w:hAnsi="Times New Roman" w:cs="Times New Roman"/>
              </w:rPr>
              <w:t>Jaunu institūciju izveide, esošu institūciju likvidācija vai reorga</w:t>
            </w:r>
            <w:r w:rsidRPr="00C17043">
              <w:rPr>
                <w:rFonts w:ascii="Times New Roman" w:hAnsi="Times New Roman" w:cs="Times New Roman"/>
              </w:rPr>
              <w:softHyphen/>
              <w:t>nizācija nav paredzēta.</w:t>
            </w:r>
          </w:p>
        </w:tc>
      </w:tr>
      <w:tr w:rsidR="006B5440" w:rsidRPr="00C17043" w14:paraId="3F0C0D87" w14:textId="77777777" w:rsidTr="009E0502">
        <w:trPr>
          <w:cantSplit/>
        </w:trPr>
        <w:tc>
          <w:tcPr>
            <w:tcW w:w="311" w:type="pct"/>
            <w:hideMark/>
          </w:tcPr>
          <w:p w14:paraId="2EDC4D6A" w14:textId="77777777" w:rsidR="006B5440" w:rsidRPr="00C17043" w:rsidRDefault="006B5440" w:rsidP="006B5440">
            <w:pPr>
              <w:jc w:val="center"/>
              <w:rPr>
                <w:sz w:val="22"/>
                <w:szCs w:val="22"/>
              </w:rPr>
            </w:pPr>
            <w:r w:rsidRPr="00C17043">
              <w:rPr>
                <w:sz w:val="22"/>
                <w:szCs w:val="22"/>
              </w:rPr>
              <w:t>3.</w:t>
            </w:r>
          </w:p>
        </w:tc>
        <w:tc>
          <w:tcPr>
            <w:tcW w:w="1479" w:type="pct"/>
            <w:hideMark/>
          </w:tcPr>
          <w:p w14:paraId="5492A71C" w14:textId="77777777" w:rsidR="006B5440" w:rsidRPr="00C17043" w:rsidRDefault="006B5440" w:rsidP="006B5440">
            <w:pPr>
              <w:rPr>
                <w:sz w:val="22"/>
                <w:szCs w:val="22"/>
              </w:rPr>
            </w:pPr>
            <w:r w:rsidRPr="00C17043">
              <w:rPr>
                <w:sz w:val="22"/>
                <w:szCs w:val="22"/>
              </w:rPr>
              <w:t>Cita informācija</w:t>
            </w:r>
          </w:p>
        </w:tc>
        <w:tc>
          <w:tcPr>
            <w:tcW w:w="3210" w:type="pct"/>
            <w:hideMark/>
          </w:tcPr>
          <w:p w14:paraId="1921C194" w14:textId="77777777" w:rsidR="006B5440" w:rsidRPr="00C17043" w:rsidRDefault="006B5440" w:rsidP="006B5440">
            <w:pPr>
              <w:rPr>
                <w:sz w:val="22"/>
                <w:szCs w:val="22"/>
              </w:rPr>
            </w:pPr>
            <w:r w:rsidRPr="00C17043">
              <w:rPr>
                <w:sz w:val="22"/>
                <w:szCs w:val="22"/>
              </w:rPr>
              <w:t>Nav.</w:t>
            </w:r>
          </w:p>
        </w:tc>
      </w:tr>
    </w:tbl>
    <w:p w14:paraId="7AB693BB" w14:textId="77777777" w:rsidR="00EE7372" w:rsidRDefault="00EE7372" w:rsidP="00EE7372">
      <w:pPr>
        <w:tabs>
          <w:tab w:val="left" w:pos="4680"/>
        </w:tabs>
        <w:ind w:left="567"/>
        <w:rPr>
          <w:szCs w:val="22"/>
        </w:rPr>
      </w:pPr>
    </w:p>
    <w:p w14:paraId="5F9B5699" w14:textId="77777777" w:rsidR="00EE7372" w:rsidRDefault="00EE7372" w:rsidP="00EE7372">
      <w:pPr>
        <w:tabs>
          <w:tab w:val="left" w:pos="4680"/>
        </w:tabs>
        <w:ind w:left="567"/>
        <w:rPr>
          <w:szCs w:val="22"/>
        </w:rPr>
      </w:pPr>
    </w:p>
    <w:p w14:paraId="5876CECE" w14:textId="494E6591" w:rsidR="00EE7372" w:rsidRPr="007B07DF" w:rsidRDefault="00EE7372" w:rsidP="00EE7372">
      <w:pPr>
        <w:tabs>
          <w:tab w:val="left" w:pos="4680"/>
        </w:tabs>
        <w:ind w:left="567"/>
        <w:rPr>
          <w:szCs w:val="22"/>
        </w:rPr>
      </w:pPr>
      <w:r w:rsidRPr="007B07DF">
        <w:rPr>
          <w:szCs w:val="22"/>
        </w:rPr>
        <w:t>Finanšu ministre</w:t>
      </w:r>
      <w:r w:rsidRPr="007B07DF">
        <w:rPr>
          <w:szCs w:val="22"/>
        </w:rPr>
        <w:tab/>
      </w:r>
      <w:r w:rsidRPr="007B07DF">
        <w:rPr>
          <w:szCs w:val="22"/>
        </w:rPr>
        <w:tab/>
      </w:r>
      <w:r w:rsidRPr="007B07DF">
        <w:rPr>
          <w:szCs w:val="22"/>
        </w:rPr>
        <w:tab/>
        <w:t>D. Reizniece-Ozola</w:t>
      </w:r>
    </w:p>
    <w:p w14:paraId="60E89D6F" w14:textId="77777777" w:rsidR="00EE7372" w:rsidRPr="00C17043" w:rsidRDefault="00EE7372" w:rsidP="00EE7372">
      <w:pPr>
        <w:tabs>
          <w:tab w:val="left" w:pos="4680"/>
        </w:tabs>
        <w:rPr>
          <w:sz w:val="22"/>
          <w:szCs w:val="22"/>
        </w:rPr>
      </w:pPr>
    </w:p>
    <w:p w14:paraId="56EC9B0B" w14:textId="65560D23" w:rsidR="00EE7372" w:rsidRDefault="00EE7372" w:rsidP="00EE7372">
      <w:pPr>
        <w:tabs>
          <w:tab w:val="left" w:pos="4680"/>
        </w:tabs>
        <w:rPr>
          <w:sz w:val="22"/>
          <w:szCs w:val="22"/>
        </w:rPr>
      </w:pPr>
    </w:p>
    <w:p w14:paraId="3142E496" w14:textId="6E482568" w:rsidR="00EE7372" w:rsidRDefault="00EE7372" w:rsidP="00EE7372">
      <w:pPr>
        <w:tabs>
          <w:tab w:val="left" w:pos="4680"/>
        </w:tabs>
        <w:rPr>
          <w:sz w:val="22"/>
          <w:szCs w:val="22"/>
        </w:rPr>
      </w:pPr>
    </w:p>
    <w:p w14:paraId="60CFFB98" w14:textId="25F3D6F4" w:rsidR="00EE7372" w:rsidRDefault="00EE7372" w:rsidP="00EE7372">
      <w:pPr>
        <w:tabs>
          <w:tab w:val="left" w:pos="4680"/>
        </w:tabs>
        <w:rPr>
          <w:sz w:val="22"/>
          <w:szCs w:val="22"/>
        </w:rPr>
      </w:pPr>
    </w:p>
    <w:p w14:paraId="168A153A" w14:textId="77777777" w:rsidR="00EE7372" w:rsidRDefault="00EE7372" w:rsidP="00EE7372">
      <w:pPr>
        <w:tabs>
          <w:tab w:val="left" w:pos="4680"/>
        </w:tabs>
        <w:rPr>
          <w:sz w:val="22"/>
          <w:szCs w:val="22"/>
        </w:rPr>
      </w:pPr>
    </w:p>
    <w:p w14:paraId="3D92A1A5" w14:textId="77777777" w:rsidR="002F322D" w:rsidRPr="002F322D" w:rsidRDefault="002F322D" w:rsidP="002F322D">
      <w:pPr>
        <w:rPr>
          <w:sz w:val="20"/>
          <w:szCs w:val="20"/>
        </w:rPr>
      </w:pPr>
      <w:r w:rsidRPr="002F322D">
        <w:rPr>
          <w:sz w:val="20"/>
          <w:szCs w:val="20"/>
        </w:rPr>
        <w:t>Baldunčika, 67095479</w:t>
      </w:r>
      <w:r w:rsidRPr="002F322D">
        <w:rPr>
          <w:sz w:val="20"/>
          <w:szCs w:val="20"/>
        </w:rPr>
        <w:tab/>
      </w:r>
    </w:p>
    <w:p w14:paraId="2BE00842" w14:textId="3D501188" w:rsidR="006B5440" w:rsidRPr="00C17043" w:rsidRDefault="002F322D" w:rsidP="002F322D">
      <w:pPr>
        <w:rPr>
          <w:sz w:val="20"/>
          <w:szCs w:val="22"/>
        </w:rPr>
      </w:pPr>
      <w:r w:rsidRPr="002F322D">
        <w:rPr>
          <w:sz w:val="20"/>
          <w:szCs w:val="20"/>
        </w:rPr>
        <w:t>Jolanta.Balduncika@fm.gov.lv</w:t>
      </w:r>
    </w:p>
    <w:sectPr w:rsidR="006B5440" w:rsidRPr="00C17043" w:rsidSect="007539EB">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D3BF9" w14:textId="77777777" w:rsidR="00A96BDE" w:rsidRDefault="00A96BDE" w:rsidP="00A96BDE">
      <w:r>
        <w:separator/>
      </w:r>
    </w:p>
  </w:endnote>
  <w:endnote w:type="continuationSeparator" w:id="0">
    <w:p w14:paraId="7EAB077B" w14:textId="77777777" w:rsidR="00A96BDE" w:rsidRDefault="00A96BDE" w:rsidP="00A9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3B05C" w14:textId="77777777" w:rsidR="00BC0631" w:rsidRDefault="00BC0631" w:rsidP="00BC0631">
    <w:pPr>
      <w:pStyle w:val="Header"/>
    </w:pPr>
  </w:p>
  <w:p w14:paraId="4B51791C" w14:textId="77777777" w:rsidR="00BC0631" w:rsidRDefault="00BC0631" w:rsidP="00BC0631"/>
  <w:p w14:paraId="42FFC454" w14:textId="3DE760AE" w:rsidR="00583CE4" w:rsidRDefault="00BC0631">
    <w:pPr>
      <w:pStyle w:val="Footer"/>
    </w:pPr>
    <w:r w:rsidRPr="00861BA2">
      <w:rPr>
        <w:sz w:val="20"/>
        <w:szCs w:val="20"/>
      </w:rPr>
      <w:fldChar w:fldCharType="begin"/>
    </w:r>
    <w:r w:rsidRPr="00861BA2">
      <w:rPr>
        <w:sz w:val="20"/>
        <w:szCs w:val="20"/>
      </w:rPr>
      <w:instrText xml:space="preserve"> FILENAME   \* MERGEFORMAT </w:instrText>
    </w:r>
    <w:r w:rsidRPr="00861BA2">
      <w:rPr>
        <w:sz w:val="20"/>
        <w:szCs w:val="20"/>
      </w:rPr>
      <w:fldChar w:fldCharType="separate"/>
    </w:r>
    <w:r w:rsidR="007539EB">
      <w:rPr>
        <w:noProof/>
        <w:sz w:val="20"/>
        <w:szCs w:val="20"/>
      </w:rPr>
      <w:t>FMAnot_12092018_DP.docx</w:t>
    </w:r>
    <w:r w:rsidRPr="00861BA2">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A139E" w14:textId="49F43407" w:rsidR="00BC0631" w:rsidRDefault="00BC0631">
    <w:pPr>
      <w:pStyle w:val="Footer"/>
    </w:pPr>
    <w:r w:rsidRPr="00861BA2">
      <w:rPr>
        <w:sz w:val="20"/>
        <w:szCs w:val="20"/>
      </w:rPr>
      <w:fldChar w:fldCharType="begin"/>
    </w:r>
    <w:r w:rsidRPr="00861BA2">
      <w:rPr>
        <w:sz w:val="20"/>
        <w:szCs w:val="20"/>
      </w:rPr>
      <w:instrText xml:space="preserve"> FILENAME   \* MERGEFORMAT </w:instrText>
    </w:r>
    <w:r w:rsidRPr="00861BA2">
      <w:rPr>
        <w:sz w:val="20"/>
        <w:szCs w:val="20"/>
      </w:rPr>
      <w:fldChar w:fldCharType="separate"/>
    </w:r>
    <w:r w:rsidR="007539EB">
      <w:rPr>
        <w:noProof/>
        <w:sz w:val="20"/>
        <w:szCs w:val="20"/>
      </w:rPr>
      <w:t>FMAnot_12092018_DP.docx</w:t>
    </w:r>
    <w:r w:rsidRPr="00861BA2">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8BB34" w14:textId="77777777" w:rsidR="00A96BDE" w:rsidRDefault="00A96BDE" w:rsidP="00A96BDE">
      <w:r>
        <w:separator/>
      </w:r>
    </w:p>
  </w:footnote>
  <w:footnote w:type="continuationSeparator" w:id="0">
    <w:p w14:paraId="7E01B3B9" w14:textId="77777777" w:rsidR="00A96BDE" w:rsidRDefault="00A96BDE" w:rsidP="00A96BDE">
      <w:r>
        <w:continuationSeparator/>
      </w:r>
    </w:p>
  </w:footnote>
  <w:footnote w:id="1">
    <w:p w14:paraId="0C5AE23C" w14:textId="77777777" w:rsidR="00C33E71" w:rsidRPr="00CE5BE7" w:rsidRDefault="00C33E71" w:rsidP="00C33E71">
      <w:pPr>
        <w:pStyle w:val="FootnoteText"/>
        <w:jc w:val="both"/>
        <w:rPr>
          <w:sz w:val="18"/>
          <w:szCs w:val="18"/>
        </w:rPr>
      </w:pPr>
      <w:r w:rsidRPr="00CE5BE7">
        <w:rPr>
          <w:rStyle w:val="FootnoteReference"/>
          <w:sz w:val="18"/>
          <w:szCs w:val="18"/>
        </w:rPr>
        <w:footnoteRef/>
      </w:r>
      <w:r w:rsidRPr="00CE5BE7">
        <w:rPr>
          <w:sz w:val="18"/>
          <w:szCs w:val="18"/>
        </w:rPr>
        <w:t xml:space="preserve"> Eiropas Komisijas 2018.gada 27.jūlija</w:t>
      </w:r>
      <w:r>
        <w:rPr>
          <w:sz w:val="18"/>
          <w:szCs w:val="18"/>
        </w:rPr>
        <w:t xml:space="preserve"> vēstule Nr.</w:t>
      </w:r>
      <w:r w:rsidRPr="00CE5BE7">
        <w:rPr>
          <w:sz w:val="18"/>
          <w:szCs w:val="18"/>
        </w:rPr>
        <w:t>4358719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816769"/>
      <w:docPartObj>
        <w:docPartGallery w:val="Page Numbers (Top of Page)"/>
        <w:docPartUnique/>
      </w:docPartObj>
    </w:sdtPr>
    <w:sdtEndPr>
      <w:rPr>
        <w:noProof/>
      </w:rPr>
    </w:sdtEndPr>
    <w:sdtContent>
      <w:p w14:paraId="52DA61A3" w14:textId="4FED9DD5" w:rsidR="006B4A4B" w:rsidRDefault="006B4A4B">
        <w:pPr>
          <w:pStyle w:val="Header"/>
          <w:jc w:val="center"/>
        </w:pPr>
        <w:r>
          <w:fldChar w:fldCharType="begin"/>
        </w:r>
        <w:r>
          <w:instrText xml:space="preserve"> PAGE   \* MERGEFORMAT </w:instrText>
        </w:r>
        <w:r>
          <w:fldChar w:fldCharType="separate"/>
        </w:r>
        <w:r w:rsidR="007539EB">
          <w:rPr>
            <w:noProof/>
          </w:rPr>
          <w:t>4</w:t>
        </w:r>
        <w:r>
          <w:rPr>
            <w:noProof/>
          </w:rPr>
          <w:fldChar w:fldCharType="end"/>
        </w:r>
      </w:p>
    </w:sdtContent>
  </w:sdt>
  <w:p w14:paraId="39CCD10C" w14:textId="77777777" w:rsidR="006B4A4B" w:rsidRDefault="006B4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1EBA"/>
    <w:multiLevelType w:val="hybridMultilevel"/>
    <w:tmpl w:val="3B160D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DD5C66"/>
    <w:multiLevelType w:val="hybridMultilevel"/>
    <w:tmpl w:val="DBD87C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09729D7"/>
    <w:multiLevelType w:val="hybridMultilevel"/>
    <w:tmpl w:val="D2326C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C806BB3"/>
    <w:multiLevelType w:val="hybridMultilevel"/>
    <w:tmpl w:val="873C67EA"/>
    <w:lvl w:ilvl="0" w:tplc="D2D606EE">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4CC2C92"/>
    <w:multiLevelType w:val="hybridMultilevel"/>
    <w:tmpl w:val="C1C4125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B8A60DE"/>
    <w:multiLevelType w:val="hybridMultilevel"/>
    <w:tmpl w:val="57AA94A2"/>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5ED3"/>
    <w:rsid w:val="000304C5"/>
    <w:rsid w:val="0003733B"/>
    <w:rsid w:val="00056D2E"/>
    <w:rsid w:val="00067EF3"/>
    <w:rsid w:val="00072315"/>
    <w:rsid w:val="0007343C"/>
    <w:rsid w:val="00087CF0"/>
    <w:rsid w:val="000956DE"/>
    <w:rsid w:val="00096A3E"/>
    <w:rsid w:val="000A1590"/>
    <w:rsid w:val="000A27BD"/>
    <w:rsid w:val="000A7B17"/>
    <w:rsid w:val="000D7381"/>
    <w:rsid w:val="000F2CBB"/>
    <w:rsid w:val="000F791A"/>
    <w:rsid w:val="00100A3D"/>
    <w:rsid w:val="001359BC"/>
    <w:rsid w:val="001377AB"/>
    <w:rsid w:val="00137C0D"/>
    <w:rsid w:val="00137E58"/>
    <w:rsid w:val="00150801"/>
    <w:rsid w:val="00152BF3"/>
    <w:rsid w:val="0015763F"/>
    <w:rsid w:val="00157ADF"/>
    <w:rsid w:val="00163248"/>
    <w:rsid w:val="001657C7"/>
    <w:rsid w:val="001775A7"/>
    <w:rsid w:val="0018727B"/>
    <w:rsid w:val="0019538F"/>
    <w:rsid w:val="001B1A3C"/>
    <w:rsid w:val="001B45C9"/>
    <w:rsid w:val="001B562B"/>
    <w:rsid w:val="001C320F"/>
    <w:rsid w:val="001E379D"/>
    <w:rsid w:val="001F621E"/>
    <w:rsid w:val="00217C8D"/>
    <w:rsid w:val="00255CA2"/>
    <w:rsid w:val="002925BA"/>
    <w:rsid w:val="0029576A"/>
    <w:rsid w:val="002B001C"/>
    <w:rsid w:val="002C516B"/>
    <w:rsid w:val="002D1644"/>
    <w:rsid w:val="002F322D"/>
    <w:rsid w:val="002F5146"/>
    <w:rsid w:val="00307DB3"/>
    <w:rsid w:val="00323163"/>
    <w:rsid w:val="00340A01"/>
    <w:rsid w:val="00353989"/>
    <w:rsid w:val="00354BD1"/>
    <w:rsid w:val="00376C5F"/>
    <w:rsid w:val="003822D6"/>
    <w:rsid w:val="003903AE"/>
    <w:rsid w:val="003A6690"/>
    <w:rsid w:val="003C47D9"/>
    <w:rsid w:val="003D46CC"/>
    <w:rsid w:val="003D4BED"/>
    <w:rsid w:val="00414D90"/>
    <w:rsid w:val="00427428"/>
    <w:rsid w:val="00430D1F"/>
    <w:rsid w:val="004361DA"/>
    <w:rsid w:val="00444AD0"/>
    <w:rsid w:val="004545FC"/>
    <w:rsid w:val="00461626"/>
    <w:rsid w:val="0047379C"/>
    <w:rsid w:val="00477B6D"/>
    <w:rsid w:val="00477E32"/>
    <w:rsid w:val="00485365"/>
    <w:rsid w:val="004A08B8"/>
    <w:rsid w:val="004B329D"/>
    <w:rsid w:val="004D6FE4"/>
    <w:rsid w:val="004E30E1"/>
    <w:rsid w:val="004E5504"/>
    <w:rsid w:val="004E6FE9"/>
    <w:rsid w:val="00505A76"/>
    <w:rsid w:val="005136E6"/>
    <w:rsid w:val="00514158"/>
    <w:rsid w:val="00517EBA"/>
    <w:rsid w:val="0052542E"/>
    <w:rsid w:val="00526B31"/>
    <w:rsid w:val="00530E9C"/>
    <w:rsid w:val="00546403"/>
    <w:rsid w:val="00583CE4"/>
    <w:rsid w:val="005871AF"/>
    <w:rsid w:val="005A4042"/>
    <w:rsid w:val="005B2F11"/>
    <w:rsid w:val="005B3B1C"/>
    <w:rsid w:val="005B79B1"/>
    <w:rsid w:val="005E28E2"/>
    <w:rsid w:val="005E61EE"/>
    <w:rsid w:val="005E655B"/>
    <w:rsid w:val="005F20A4"/>
    <w:rsid w:val="00603DF9"/>
    <w:rsid w:val="0060482C"/>
    <w:rsid w:val="00617C19"/>
    <w:rsid w:val="00641154"/>
    <w:rsid w:val="0068625B"/>
    <w:rsid w:val="006903B6"/>
    <w:rsid w:val="00695EB6"/>
    <w:rsid w:val="006B17A1"/>
    <w:rsid w:val="006B4398"/>
    <w:rsid w:val="006B4A4B"/>
    <w:rsid w:val="006B5440"/>
    <w:rsid w:val="006D011B"/>
    <w:rsid w:val="006D31F5"/>
    <w:rsid w:val="006D69D6"/>
    <w:rsid w:val="006F36DE"/>
    <w:rsid w:val="006F4812"/>
    <w:rsid w:val="006F6A9E"/>
    <w:rsid w:val="00703E95"/>
    <w:rsid w:val="00705807"/>
    <w:rsid w:val="0070580D"/>
    <w:rsid w:val="00714274"/>
    <w:rsid w:val="00716FB2"/>
    <w:rsid w:val="00731D96"/>
    <w:rsid w:val="00736BD6"/>
    <w:rsid w:val="007539EB"/>
    <w:rsid w:val="00776DFF"/>
    <w:rsid w:val="007927ED"/>
    <w:rsid w:val="007A743E"/>
    <w:rsid w:val="007C27F7"/>
    <w:rsid w:val="007C2BF6"/>
    <w:rsid w:val="0081609B"/>
    <w:rsid w:val="008352AF"/>
    <w:rsid w:val="00835AE7"/>
    <w:rsid w:val="0083707D"/>
    <w:rsid w:val="00842473"/>
    <w:rsid w:val="0084438F"/>
    <w:rsid w:val="00862131"/>
    <w:rsid w:val="008621AA"/>
    <w:rsid w:val="0087357A"/>
    <w:rsid w:val="00873ED0"/>
    <w:rsid w:val="00887D70"/>
    <w:rsid w:val="00895AC1"/>
    <w:rsid w:val="008C18E8"/>
    <w:rsid w:val="008C3CBB"/>
    <w:rsid w:val="008C3F35"/>
    <w:rsid w:val="008C4A73"/>
    <w:rsid w:val="008F0C62"/>
    <w:rsid w:val="00915BC9"/>
    <w:rsid w:val="0092501B"/>
    <w:rsid w:val="00932C51"/>
    <w:rsid w:val="009652CA"/>
    <w:rsid w:val="00986F45"/>
    <w:rsid w:val="00994652"/>
    <w:rsid w:val="009A7203"/>
    <w:rsid w:val="009B5669"/>
    <w:rsid w:val="009E5FD5"/>
    <w:rsid w:val="00A04E5D"/>
    <w:rsid w:val="00A123BD"/>
    <w:rsid w:val="00A30E20"/>
    <w:rsid w:val="00A35883"/>
    <w:rsid w:val="00A40FAE"/>
    <w:rsid w:val="00A558DD"/>
    <w:rsid w:val="00A74089"/>
    <w:rsid w:val="00A75802"/>
    <w:rsid w:val="00A81A85"/>
    <w:rsid w:val="00A8366C"/>
    <w:rsid w:val="00A96BDE"/>
    <w:rsid w:val="00AB164A"/>
    <w:rsid w:val="00AB3DD3"/>
    <w:rsid w:val="00AD6A66"/>
    <w:rsid w:val="00AE3564"/>
    <w:rsid w:val="00B16124"/>
    <w:rsid w:val="00B17241"/>
    <w:rsid w:val="00B307F2"/>
    <w:rsid w:val="00B3232E"/>
    <w:rsid w:val="00B361FC"/>
    <w:rsid w:val="00B40CC2"/>
    <w:rsid w:val="00B44450"/>
    <w:rsid w:val="00B56B32"/>
    <w:rsid w:val="00B617ED"/>
    <w:rsid w:val="00B619E7"/>
    <w:rsid w:val="00B82ECD"/>
    <w:rsid w:val="00B94112"/>
    <w:rsid w:val="00B953FD"/>
    <w:rsid w:val="00BB47F6"/>
    <w:rsid w:val="00BC0631"/>
    <w:rsid w:val="00BC2166"/>
    <w:rsid w:val="00BC3431"/>
    <w:rsid w:val="00BD0ADB"/>
    <w:rsid w:val="00BD4388"/>
    <w:rsid w:val="00BD5588"/>
    <w:rsid w:val="00C17043"/>
    <w:rsid w:val="00C22361"/>
    <w:rsid w:val="00C27877"/>
    <w:rsid w:val="00C33E71"/>
    <w:rsid w:val="00C35E3B"/>
    <w:rsid w:val="00C430B2"/>
    <w:rsid w:val="00C4507B"/>
    <w:rsid w:val="00C94C05"/>
    <w:rsid w:val="00CB6784"/>
    <w:rsid w:val="00CC041F"/>
    <w:rsid w:val="00CD1692"/>
    <w:rsid w:val="00CE08B9"/>
    <w:rsid w:val="00CF4EC3"/>
    <w:rsid w:val="00D00965"/>
    <w:rsid w:val="00D0550B"/>
    <w:rsid w:val="00D15DD1"/>
    <w:rsid w:val="00D202B6"/>
    <w:rsid w:val="00D247A1"/>
    <w:rsid w:val="00D57787"/>
    <w:rsid w:val="00D655B9"/>
    <w:rsid w:val="00DA6A88"/>
    <w:rsid w:val="00DB6F38"/>
    <w:rsid w:val="00DC6B00"/>
    <w:rsid w:val="00DD15C5"/>
    <w:rsid w:val="00DE23FF"/>
    <w:rsid w:val="00E06D6C"/>
    <w:rsid w:val="00E13BBD"/>
    <w:rsid w:val="00E3549F"/>
    <w:rsid w:val="00E356D4"/>
    <w:rsid w:val="00E44472"/>
    <w:rsid w:val="00E4473F"/>
    <w:rsid w:val="00E47F91"/>
    <w:rsid w:val="00E56C0F"/>
    <w:rsid w:val="00E633A9"/>
    <w:rsid w:val="00ED7749"/>
    <w:rsid w:val="00EE48CD"/>
    <w:rsid w:val="00EE7372"/>
    <w:rsid w:val="00F00A8D"/>
    <w:rsid w:val="00F035D8"/>
    <w:rsid w:val="00F043C9"/>
    <w:rsid w:val="00F0627E"/>
    <w:rsid w:val="00F272AE"/>
    <w:rsid w:val="00F3068C"/>
    <w:rsid w:val="00F36B98"/>
    <w:rsid w:val="00F40422"/>
    <w:rsid w:val="00F405EE"/>
    <w:rsid w:val="00F44FB3"/>
    <w:rsid w:val="00F560C0"/>
    <w:rsid w:val="00F601E4"/>
    <w:rsid w:val="00F60A10"/>
    <w:rsid w:val="00F64F73"/>
    <w:rsid w:val="00F67333"/>
    <w:rsid w:val="00F73541"/>
    <w:rsid w:val="00F96A20"/>
    <w:rsid w:val="00FA3024"/>
    <w:rsid w:val="00FA56EC"/>
    <w:rsid w:val="00FA6B73"/>
    <w:rsid w:val="00FB0262"/>
    <w:rsid w:val="00FB55E3"/>
    <w:rsid w:val="00FD01BE"/>
    <w:rsid w:val="00FE01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192E020"/>
  <w15:docId w15:val="{CB42A7EB-4030-429F-A2B4-89BF18C9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customStyle="1" w:styleId="EE-V">
    <w:name w:val="EE-V"/>
    <w:basedOn w:val="Normal"/>
    <w:autoRedefine/>
    <w:rsid w:val="000F791A"/>
    <w:pPr>
      <w:spacing w:before="100" w:beforeAutospacing="1" w:after="100" w:afterAutospacing="1"/>
      <w:jc w:val="center"/>
    </w:pPr>
    <w:rPr>
      <w:b/>
      <w:smallCaps/>
      <w:sz w:val="56"/>
      <w:szCs w:val="56"/>
    </w:rPr>
  </w:style>
  <w:style w:type="paragraph" w:styleId="ListParagraph">
    <w:name w:val="List Paragraph"/>
    <w:aliases w:val="2"/>
    <w:basedOn w:val="Normal"/>
    <w:link w:val="ListParagraphChar"/>
    <w:uiPriority w:val="34"/>
    <w:qFormat/>
    <w:rsid w:val="000F791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
    <w:link w:val="ListParagraph"/>
    <w:uiPriority w:val="34"/>
    <w:locked/>
    <w:rsid w:val="000F791A"/>
  </w:style>
  <w:style w:type="character" w:styleId="CommentReference">
    <w:name w:val="annotation reference"/>
    <w:basedOn w:val="DefaultParagraphFont"/>
    <w:uiPriority w:val="99"/>
    <w:semiHidden/>
    <w:unhideWhenUsed/>
    <w:rsid w:val="0083707D"/>
    <w:rPr>
      <w:sz w:val="16"/>
      <w:szCs w:val="16"/>
    </w:rPr>
  </w:style>
  <w:style w:type="paragraph" w:styleId="CommentText">
    <w:name w:val="annotation text"/>
    <w:basedOn w:val="Normal"/>
    <w:link w:val="CommentTextChar"/>
    <w:uiPriority w:val="99"/>
    <w:semiHidden/>
    <w:unhideWhenUsed/>
    <w:rsid w:val="0083707D"/>
    <w:rPr>
      <w:sz w:val="20"/>
      <w:szCs w:val="20"/>
    </w:rPr>
  </w:style>
  <w:style w:type="character" w:customStyle="1" w:styleId="CommentTextChar">
    <w:name w:val="Comment Text Char"/>
    <w:basedOn w:val="DefaultParagraphFont"/>
    <w:link w:val="CommentText"/>
    <w:uiPriority w:val="99"/>
    <w:semiHidden/>
    <w:rsid w:val="0083707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3707D"/>
    <w:rPr>
      <w:b/>
      <w:bCs/>
    </w:rPr>
  </w:style>
  <w:style w:type="character" w:customStyle="1" w:styleId="CommentSubjectChar">
    <w:name w:val="Comment Subject Char"/>
    <w:basedOn w:val="CommentTextChar"/>
    <w:link w:val="CommentSubject"/>
    <w:uiPriority w:val="99"/>
    <w:semiHidden/>
    <w:rsid w:val="0083707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37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7D"/>
    <w:rPr>
      <w:rFonts w:ascii="Segoe UI" w:eastAsia="Times New Roman" w:hAnsi="Segoe UI" w:cs="Segoe UI"/>
      <w:sz w:val="18"/>
      <w:szCs w:val="18"/>
      <w:lang w:eastAsia="lv-LV"/>
    </w:rPr>
  </w:style>
  <w:style w:type="paragraph" w:styleId="FootnoteText">
    <w:name w:val="footnote text"/>
    <w:aliases w:val="Footnote Text Char2,Footnote Text Char1 Char,Footnote Text Char Char Char,Footnote Text Char Char Char Char Char Char Char,Footnote Char Char Char Char Char Char Char,Fußnote Char Char Char Char Char Char Char,Footnote Text Char Char,f"/>
    <w:basedOn w:val="Normal"/>
    <w:link w:val="FootnoteTextChar"/>
    <w:uiPriority w:val="99"/>
    <w:unhideWhenUsed/>
    <w:qFormat/>
    <w:rsid w:val="00A96BDE"/>
    <w:rPr>
      <w:sz w:val="20"/>
      <w:szCs w:val="20"/>
    </w:rPr>
  </w:style>
  <w:style w:type="character" w:customStyle="1" w:styleId="FootnoteTextChar">
    <w:name w:val="Footnote Text Char"/>
    <w:aliases w:val="Footnote Text Char2 Char,Footnote Text Char1 Char Char,Footnote Text Char Char Char Char,Footnote Text Char Char Char Char Char Char Char Char,Footnote Char Char Char Char Char Char Char Char,Footnote Text Char Char Char1,f Char"/>
    <w:basedOn w:val="DefaultParagraphFont"/>
    <w:link w:val="FootnoteText"/>
    <w:uiPriority w:val="99"/>
    <w:rsid w:val="00A96BDE"/>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SUPERS,Footnote Refernece,ftref,Footnote Reference Superscript,stylish,BVI fnr,Fußnotenzeichen_Raxen,callout,Vēres atsauce,Odwołanie przypisu,Footnotes refss,Ref,de nota al pie,Times 10 Point"/>
    <w:basedOn w:val="DefaultParagraphFont"/>
    <w:link w:val="CharCharCharChar"/>
    <w:uiPriority w:val="99"/>
    <w:unhideWhenUsed/>
    <w:rsid w:val="00A96BDE"/>
    <w:rPr>
      <w:vertAlign w:val="superscript"/>
    </w:rPr>
  </w:style>
  <w:style w:type="paragraph" w:styleId="Header">
    <w:name w:val="header"/>
    <w:basedOn w:val="Normal"/>
    <w:link w:val="HeaderChar"/>
    <w:uiPriority w:val="99"/>
    <w:unhideWhenUsed/>
    <w:rsid w:val="00583CE4"/>
    <w:pPr>
      <w:tabs>
        <w:tab w:val="center" w:pos="4153"/>
        <w:tab w:val="right" w:pos="8306"/>
      </w:tabs>
    </w:pPr>
  </w:style>
  <w:style w:type="character" w:customStyle="1" w:styleId="HeaderChar">
    <w:name w:val="Header Char"/>
    <w:basedOn w:val="DefaultParagraphFont"/>
    <w:link w:val="Header"/>
    <w:uiPriority w:val="99"/>
    <w:rsid w:val="00583CE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83CE4"/>
    <w:pPr>
      <w:tabs>
        <w:tab w:val="center" w:pos="4153"/>
        <w:tab w:val="right" w:pos="8306"/>
      </w:tabs>
    </w:pPr>
  </w:style>
  <w:style w:type="character" w:customStyle="1" w:styleId="FooterChar">
    <w:name w:val="Footer Char"/>
    <w:basedOn w:val="DefaultParagraphFont"/>
    <w:link w:val="Footer"/>
    <w:uiPriority w:val="99"/>
    <w:rsid w:val="00583CE4"/>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1B562B"/>
    <w:rPr>
      <w:color w:val="800080" w:themeColor="followedHyperlink"/>
      <w:u w:val="single"/>
    </w:rPr>
  </w:style>
  <w:style w:type="paragraph" w:customStyle="1" w:styleId="CharCharCharChar">
    <w:name w:val="Char Char Char Char"/>
    <w:aliases w:val="Char2"/>
    <w:basedOn w:val="Normal"/>
    <w:next w:val="Normal"/>
    <w:link w:val="FootnoteReference"/>
    <w:uiPriority w:val="99"/>
    <w:rsid w:val="00C33E71"/>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11057">
      <w:bodyDiv w:val="1"/>
      <w:marLeft w:val="0"/>
      <w:marRight w:val="0"/>
      <w:marTop w:val="0"/>
      <w:marBottom w:val="0"/>
      <w:divBdr>
        <w:top w:val="none" w:sz="0" w:space="0" w:color="auto"/>
        <w:left w:val="none" w:sz="0" w:space="0" w:color="auto"/>
        <w:bottom w:val="none" w:sz="0" w:space="0" w:color="auto"/>
        <w:right w:val="none" w:sz="0" w:space="0" w:color="auto"/>
      </w:divBdr>
      <w:divsChild>
        <w:div w:id="1969313578">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mitejas.esfondi.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fondi.lv" TargetMode="External"/><Relationship Id="rId4" Type="http://schemas.openxmlformats.org/officeDocument/2006/relationships/settings" Target="settings.xml"/><Relationship Id="rId9" Type="http://schemas.openxmlformats.org/officeDocument/2006/relationships/hyperlink" Target="http://www.esfond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E765F-030C-4356-BED3-647C23DC2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4</Pages>
  <Words>5984</Words>
  <Characters>3412</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rīkojuma projekta “Grozījumi Eiropas Savienības struktūrfondu un Kohēzijas fonda 2014.– 2020.gada plānošanas perioda darbības programmā “Izaugsme un nodarbinātība”” sākotnējās ietekmes novērtējuma ziņojums (anotācija)</vt:lpstr>
    </vt:vector>
  </TitlesOfParts>
  <Manager/>
  <Company>Finanšu ministrija</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Eiropas Savienības struktūrfondu un Kohēzijas fonda 2014.– 2020.gada plānošanas perioda darbības programmā “Izaugsme un nodarbinātība”” sākotnējās ietekmes novērtējuma ziņojums (anotācija)</dc:title>
  <dc:subject>Anotācija</dc:subject>
  <dc:creator>jolanta.balduncika@fm.gov.lv</dc:creator>
  <dc:description>Tālr.: 67059479, E-pasts: jolanta.balduncika@fm.gov.lv</dc:description>
  <cp:lastModifiedBy>Finanšu ministrija</cp:lastModifiedBy>
  <cp:revision>277</cp:revision>
  <cp:lastPrinted>2018-09-20T07:32:00Z</cp:lastPrinted>
  <dcterms:created xsi:type="dcterms:W3CDTF">2018-01-17T09:53:00Z</dcterms:created>
  <dcterms:modified xsi:type="dcterms:W3CDTF">2018-09-20T07:32:00Z</dcterms:modified>
</cp:coreProperties>
</file>