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AAA0" w14:textId="5288AB3A" w:rsidR="00894C55" w:rsidRPr="00946012" w:rsidRDefault="00946012" w:rsidP="00946012">
      <w:pPr>
        <w:jc w:val="center"/>
        <w:rPr>
          <w:rFonts w:ascii="Times New Roman" w:hAnsi="Times New Roman" w:cs="Times New Roman"/>
          <w:sz w:val="24"/>
        </w:rPr>
      </w:pPr>
      <w:r w:rsidRPr="00946012">
        <w:rPr>
          <w:rFonts w:ascii="Times New Roman" w:hAnsi="Times New Roman" w:cs="Times New Roman"/>
          <w:b/>
          <w:sz w:val="24"/>
        </w:rPr>
        <w:t xml:space="preserve">Likumprojekta “Grozījumi </w:t>
      </w:r>
      <w:r w:rsidR="0044696E">
        <w:rPr>
          <w:rFonts w:ascii="Times New Roman" w:hAnsi="Times New Roman" w:cs="Times New Roman"/>
          <w:b/>
          <w:sz w:val="24"/>
        </w:rPr>
        <w:t>Publisk</w:t>
      </w:r>
      <w:r w:rsidR="0038149F">
        <w:rPr>
          <w:rFonts w:ascii="Times New Roman" w:hAnsi="Times New Roman" w:cs="Times New Roman"/>
          <w:b/>
          <w:sz w:val="24"/>
        </w:rPr>
        <w:t>ās</w:t>
      </w:r>
      <w:r w:rsidR="0044696E">
        <w:rPr>
          <w:rFonts w:ascii="Times New Roman" w:hAnsi="Times New Roman" w:cs="Times New Roman"/>
          <w:b/>
          <w:sz w:val="24"/>
        </w:rPr>
        <w:t xml:space="preserve"> un privātās partnerības</w:t>
      </w:r>
      <w:r w:rsidRPr="00946012">
        <w:rPr>
          <w:rFonts w:ascii="Times New Roman" w:hAnsi="Times New Roman" w:cs="Times New Roman"/>
          <w:b/>
          <w:sz w:val="24"/>
        </w:rPr>
        <w:t xml:space="preserve"> likumā” sākotnējās ietekmes novērtējuma ziņojums (anotācija)</w:t>
      </w:r>
    </w:p>
    <w:p w14:paraId="09189418" w14:textId="77777777"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7B3DF0B" w14:textId="5E997720" w:rsidR="00F23709" w:rsidRDefault="00F23709" w:rsidP="00F23709">
            <w:pPr>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 xml:space="preserve">Likumprojekts izstrādāts, lai nacionālajā tiesību sistēmā transponētu </w:t>
            </w:r>
            <w:r>
              <w:rPr>
                <w:rFonts w:ascii="Times New Roman" w:hAnsi="Times New Roman" w:cs="Times New Roman"/>
                <w:sz w:val="24"/>
                <w:szCs w:val="24"/>
              </w:rPr>
              <w:t>Eiropas Parlamenta un Padomes 2014.gada 16.aprīļa direktīvas</w:t>
            </w:r>
            <w:r>
              <w:rPr>
                <w:rFonts w:ascii="Times New Roman" w:hAnsi="Times New Roman" w:cs="Times New Roman"/>
                <w:b/>
                <w:bCs/>
                <w:color w:val="444444"/>
                <w:sz w:val="24"/>
                <w:szCs w:val="24"/>
                <w:shd w:val="clear" w:color="auto" w:fill="FFFFFF"/>
              </w:rPr>
              <w:t xml:space="preserve"> </w:t>
            </w:r>
            <w:r>
              <w:rPr>
                <w:rFonts w:ascii="Times New Roman" w:hAnsi="Times New Roman" w:cs="Times New Roman"/>
                <w:bCs/>
                <w:sz w:val="24"/>
                <w:szCs w:val="24"/>
              </w:rPr>
              <w:t>2014/55/ES</w:t>
            </w:r>
            <w:r>
              <w:rPr>
                <w:rFonts w:ascii="Times New Roman" w:hAnsi="Times New Roman" w:cs="Times New Roman"/>
                <w:sz w:val="24"/>
                <w:szCs w:val="24"/>
              </w:rPr>
              <w:t xml:space="preserve"> par elektroniskajiem rēķiniem publiskā iepirkuma procedūrās prasības. Likumprojektā ir paredzēts, ka piegādātajam ir brīva izvēle izvēlēties rēķina iesniegšanas veidu, papīra formā vai elektronisko rēķinu, savukārt publiskajam partnerim ir pienākums </w:t>
            </w:r>
            <w:r>
              <w:rPr>
                <w:rFonts w:ascii="Times New Roman" w:hAnsi="Times New Roman" w:cs="Times New Roman"/>
                <w:color w:val="000000" w:themeColor="text1"/>
                <w:sz w:val="24"/>
                <w:szCs w:val="24"/>
              </w:rPr>
              <w:t>pieņemt piegādātāja izrakstītos rēķinus neatkarīgi no tā vai tas iesniedzis rēķinu papīra formā vai elektroniskā formātā.</w:t>
            </w:r>
          </w:p>
          <w:p w14:paraId="2A807A98" w14:textId="77777777" w:rsidR="00F23709" w:rsidRDefault="00F23709" w:rsidP="00F2370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nosaka </w:t>
            </w:r>
            <w:r>
              <w:rPr>
                <w:rFonts w:ascii="Times New Roman" w:eastAsia="Times New Roman" w:hAnsi="Times New Roman" w:cs="Times New Roman"/>
                <w:sz w:val="24"/>
                <w:szCs w:val="24"/>
                <w:lang w:eastAsia="lv-LV"/>
              </w:rPr>
              <w:t>standartu un tā pamatelementu izmantošanas specifikāciju un nosūtīšanas kārtību;</w:t>
            </w:r>
          </w:p>
          <w:p w14:paraId="1DEBEBA4" w14:textId="77777777" w:rsidR="00F23709" w:rsidRDefault="00F23709" w:rsidP="00F2370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Līgumā ietver nosacījumu, ka e-rēķinam jāatbilst MK noteiktajam standartam;</w:t>
            </w:r>
          </w:p>
          <w:p w14:paraId="7EBBC4EC" w14:textId="77777777" w:rsidR="00F23709" w:rsidRDefault="00F23709" w:rsidP="00F2370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Līgumā var paredzēt papildus pamatelementus, kas obligāti norādāmi elektroniskajā rēķinā – to arī regulēs MK noteikumi.</w:t>
            </w:r>
          </w:p>
          <w:p w14:paraId="415E9981" w14:textId="047E837B" w:rsidR="004D0684" w:rsidRPr="00946012" w:rsidRDefault="00F23709" w:rsidP="00F23709">
            <w:pPr>
              <w:spacing w:after="0" w:line="276" w:lineRule="auto"/>
              <w:jc w:val="both"/>
              <w:rPr>
                <w:rFonts w:ascii="Times New Roman" w:eastAsia="Times New Roman" w:hAnsi="Times New Roman" w:cs="Times New Roman"/>
                <w:iCs/>
                <w:sz w:val="24"/>
                <w:szCs w:val="24"/>
                <w:lang w:eastAsia="lv-LV"/>
              </w:rPr>
            </w:pPr>
            <w:r>
              <w:rPr>
                <w:rFonts w:ascii="Times New Roman" w:hAnsi="Times New Roman" w:cs="Times New Roman"/>
                <w:color w:val="000000" w:themeColor="text1"/>
                <w:sz w:val="24"/>
                <w:szCs w:val="24"/>
              </w:rPr>
              <w:t xml:space="preserve"> Likumprojekts attiecībā uz tiešās pārvaldes iestādēm stāsies spēkā no 2019.gada 18.aprīļa, savukārt pārējiem </w:t>
            </w:r>
            <w:r>
              <w:rPr>
                <w:rFonts w:ascii="Times New Roman" w:hAnsi="Times New Roman" w:cs="Times New Roman"/>
                <w:sz w:val="24"/>
                <w:szCs w:val="24"/>
              </w:rPr>
              <w:t>pasūtītājiem no 2020.gada 18.aprīļa.</w:t>
            </w:r>
          </w:p>
        </w:tc>
      </w:tr>
    </w:tbl>
    <w:p w14:paraId="0FD60BD2" w14:textId="402ED342" w:rsidR="00E5323B" w:rsidRDefault="00E5323B" w:rsidP="00E5323B">
      <w:pPr>
        <w:spacing w:after="0" w:line="240" w:lineRule="auto"/>
        <w:rPr>
          <w:rFonts w:ascii="Times New Roman" w:eastAsia="Times New Roman" w:hAnsi="Times New Roman" w:cs="Times New Roman"/>
          <w:iCs/>
          <w:sz w:val="24"/>
          <w:szCs w:val="24"/>
          <w:lang w:val="sv-SE" w:eastAsia="lv-LV"/>
        </w:rPr>
      </w:pPr>
    </w:p>
    <w:p w14:paraId="5F6B512F" w14:textId="77777777" w:rsidR="00662173" w:rsidRPr="00946012" w:rsidRDefault="00662173"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2C4DF007"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E160030" w14:textId="1637E192" w:rsidR="001D6C74" w:rsidRPr="00234E98" w:rsidRDefault="001D6C74" w:rsidP="001D6C74">
            <w:pPr>
              <w:spacing w:after="0" w:line="276" w:lineRule="auto"/>
              <w:jc w:val="both"/>
              <w:rPr>
                <w:rFonts w:ascii="Times New Roman" w:eastAsia="Times New Roman" w:hAnsi="Times New Roman" w:cs="Times New Roman"/>
                <w:color w:val="000000" w:themeColor="text1"/>
                <w:sz w:val="24"/>
                <w:lang w:eastAsia="lv-LV"/>
              </w:rPr>
            </w:pPr>
            <w:r w:rsidRPr="00234E98">
              <w:rPr>
                <w:rFonts w:ascii="Times New Roman" w:eastAsia="Times New Roman" w:hAnsi="Times New Roman" w:cs="Times New Roman"/>
                <w:color w:val="000000" w:themeColor="text1"/>
                <w:sz w:val="24"/>
                <w:lang w:eastAsia="lv-LV"/>
              </w:rPr>
              <w:t xml:space="preserve">Lai arī rēķini kā attaisnojuma dokumenti var būt elektroniskā veidā un attiecīgi </w:t>
            </w:r>
            <w:r>
              <w:rPr>
                <w:rFonts w:ascii="Times New Roman" w:eastAsia="Times New Roman" w:hAnsi="Times New Roman" w:cs="Times New Roman"/>
                <w:color w:val="000000" w:themeColor="text1"/>
                <w:sz w:val="24"/>
                <w:lang w:eastAsia="lv-LV"/>
              </w:rPr>
              <w:t>publiskie partneri</w:t>
            </w:r>
            <w:r w:rsidRPr="00234E98">
              <w:rPr>
                <w:rFonts w:ascii="Times New Roman" w:eastAsia="Times New Roman" w:hAnsi="Times New Roman" w:cs="Times New Roman"/>
                <w:color w:val="000000" w:themeColor="text1"/>
                <w:sz w:val="24"/>
                <w:lang w:eastAsia="lv-LV"/>
              </w:rPr>
              <w:t xml:space="preserve"> un piegādātāji ir tiesīgi vienoties par rēķinu iesniegšanu un saņemšanu elektroniskā veidā, šobrīd nav noteikts vienots standarts, kādam jāatbilst elektroniskajam rēķinam, attiecīgi katrā gadījumā elektroniskā rēķina standarts jeb rēķina formāts ir jānosaka, pusēm par to vienojoties, jo sevišķi, ja saņemtos elektroniskos rēķinus ir paredzēts apstrādāt automātiski elektroniskajās datu apstrādes sistēmās. Līdz ar to var pastāvēt dažādi elektronisko rēķinu standarti (var atšķirties gan šo rēķinu saturs jeb tajos ietveramie </w:t>
            </w:r>
            <w:r w:rsidRPr="00234E98">
              <w:rPr>
                <w:rFonts w:ascii="Times New Roman" w:eastAsia="Times New Roman" w:hAnsi="Times New Roman" w:cs="Times New Roman"/>
                <w:color w:val="000000" w:themeColor="text1"/>
                <w:sz w:val="24"/>
                <w:lang w:eastAsia="lv-LV"/>
              </w:rPr>
              <w:lastRenderedPageBreak/>
              <w:t xml:space="preserve">elementi, gan datu strukturēšanas formāts, gan datu apmaiņas risinājumi), līdz ar to piegādātājam, strādājot ar vairākiem </w:t>
            </w:r>
            <w:r>
              <w:rPr>
                <w:rFonts w:ascii="Times New Roman" w:hAnsi="Times New Roman" w:cs="Times New Roman"/>
                <w:sz w:val="24"/>
                <w:szCs w:val="24"/>
              </w:rPr>
              <w:t>publiskajiem partneriem</w:t>
            </w:r>
            <w:r w:rsidRPr="00234E98">
              <w:rPr>
                <w:rFonts w:ascii="Times New Roman" w:eastAsia="Times New Roman" w:hAnsi="Times New Roman" w:cs="Times New Roman"/>
                <w:color w:val="000000" w:themeColor="text1"/>
                <w:sz w:val="24"/>
                <w:lang w:eastAsia="lv-LV"/>
              </w:rPr>
              <w:t xml:space="preserve">, var nākties rēķinu katram </w:t>
            </w:r>
            <w:r>
              <w:rPr>
                <w:rFonts w:ascii="Times New Roman" w:hAnsi="Times New Roman" w:cs="Times New Roman"/>
                <w:sz w:val="24"/>
                <w:szCs w:val="24"/>
              </w:rPr>
              <w:t>publiskajiem partneriem</w:t>
            </w:r>
            <w:r w:rsidRPr="00234E98">
              <w:rPr>
                <w:rFonts w:ascii="Times New Roman" w:eastAsia="Times New Roman" w:hAnsi="Times New Roman" w:cs="Times New Roman"/>
                <w:color w:val="000000" w:themeColor="text1"/>
                <w:sz w:val="24"/>
                <w:lang w:eastAsia="lv-LV"/>
              </w:rPr>
              <w:t xml:space="preserve"> izrakstīt atbilstoši atšķirīgam standartam.  </w:t>
            </w:r>
          </w:p>
          <w:p w14:paraId="6D11F6B5" w14:textId="129A66D5" w:rsidR="001D6C74" w:rsidRPr="00234E98" w:rsidRDefault="001D6C74" w:rsidP="001D6C74">
            <w:pPr>
              <w:spacing w:after="0" w:line="276" w:lineRule="auto"/>
              <w:jc w:val="both"/>
              <w:rPr>
                <w:rFonts w:ascii="Times New Roman" w:eastAsia="Times New Roman" w:hAnsi="Times New Roman" w:cs="Times New Roman"/>
                <w:color w:val="000000" w:themeColor="text1"/>
                <w:sz w:val="24"/>
                <w:lang w:eastAsia="lv-LV"/>
              </w:rPr>
            </w:pPr>
            <w:r w:rsidRPr="00234E98">
              <w:rPr>
                <w:rFonts w:ascii="Times New Roman" w:hAnsi="Times New Roman" w:cs="Times New Roman"/>
                <w:sz w:val="24"/>
                <w:szCs w:val="24"/>
              </w:rPr>
              <w:t>Lai arī uz doto brīdi dalībvalstīs elektronisko rēķinu jomā pastāv un tiek izmantoti vairāki starptautiskie, valstu, reģionālie un individuāli izstrādāti standarti,</w:t>
            </w:r>
            <w:r w:rsidRPr="00234E98">
              <w:rPr>
                <w:rFonts w:ascii="Times New Roman" w:hAnsi="Times New Roman" w:cs="Times New Roman"/>
                <w:color w:val="000000" w:themeColor="text1"/>
                <w:sz w:val="24"/>
                <w:szCs w:val="24"/>
              </w:rPr>
              <w:t xml:space="preserve"> </w:t>
            </w:r>
            <w:r w:rsidRPr="00234E98">
              <w:rPr>
                <w:rFonts w:ascii="Times New Roman" w:hAnsi="Times New Roman" w:cs="Times New Roman"/>
                <w:sz w:val="24"/>
                <w:szCs w:val="24"/>
              </w:rPr>
              <w:t xml:space="preserve">neviens no tiem nav dominējošs un vairākums no tiem nav </w:t>
            </w:r>
            <w:proofErr w:type="spellStart"/>
            <w:r w:rsidRPr="00234E98">
              <w:rPr>
                <w:rFonts w:ascii="Times New Roman" w:hAnsi="Times New Roman" w:cs="Times New Roman"/>
                <w:sz w:val="24"/>
                <w:szCs w:val="24"/>
              </w:rPr>
              <w:t>sadarbspējīgi</w:t>
            </w:r>
            <w:proofErr w:type="spellEnd"/>
            <w:r w:rsidRPr="00234E98">
              <w:rPr>
                <w:rFonts w:ascii="Times New Roman" w:hAnsi="Times New Roman" w:cs="Times New Roman"/>
                <w:sz w:val="24"/>
                <w:szCs w:val="24"/>
              </w:rPr>
              <w:t xml:space="preserve"> cits ar citu. </w:t>
            </w:r>
            <w:proofErr w:type="spellStart"/>
            <w:r w:rsidRPr="00234E98">
              <w:rPr>
                <w:rFonts w:ascii="Times New Roman" w:hAnsi="Times New Roman" w:cs="Times New Roman"/>
                <w:sz w:val="24"/>
                <w:szCs w:val="24"/>
              </w:rPr>
              <w:t>Nesadarbspējīgu</w:t>
            </w:r>
            <w:proofErr w:type="spellEnd"/>
            <w:r w:rsidRPr="00234E98">
              <w:rPr>
                <w:rFonts w:ascii="Times New Roman" w:hAnsi="Times New Roman" w:cs="Times New Roman"/>
                <w:sz w:val="24"/>
                <w:szCs w:val="24"/>
              </w:rPr>
              <w:t xml:space="preserve"> sistēmu izmantošanas rezultātā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un piegādātājiem rodas nepamatots administratīvais slogs, juridiskā nenoteiktība un papildu izmaksas piegādātājiem, kuri izmanto elektroniskos rēķinus.</w:t>
            </w:r>
          </w:p>
          <w:p w14:paraId="65326800" w14:textId="065EDB5C" w:rsidR="001D6C74" w:rsidRPr="00234E98" w:rsidRDefault="001D6C74" w:rsidP="001D6C74">
            <w:pPr>
              <w:spacing w:after="0" w:line="276" w:lineRule="auto"/>
              <w:jc w:val="both"/>
              <w:rPr>
                <w:rFonts w:ascii="Times New Roman" w:eastAsia="Times New Roman" w:hAnsi="Times New Roman" w:cs="Times New Roman"/>
                <w:color w:val="000000" w:themeColor="text1"/>
                <w:sz w:val="24"/>
                <w:lang w:eastAsia="lv-LV"/>
              </w:rPr>
            </w:pPr>
            <w:r w:rsidRPr="00234E98">
              <w:rPr>
                <w:rFonts w:ascii="Times New Roman" w:eastAsia="Times New Roman" w:hAnsi="Times New Roman" w:cs="Times New Roman"/>
                <w:color w:val="000000" w:themeColor="text1"/>
                <w:sz w:val="24"/>
                <w:lang w:eastAsia="lv-LV"/>
              </w:rPr>
              <w:t xml:space="preserve">Izņemot, ja puses par to vienojušās līgumā, </w:t>
            </w:r>
            <w:r>
              <w:rPr>
                <w:rFonts w:ascii="Times New Roman" w:hAnsi="Times New Roman" w:cs="Times New Roman"/>
                <w:sz w:val="24"/>
                <w:szCs w:val="24"/>
              </w:rPr>
              <w:t>publiskajiem partneriem</w:t>
            </w:r>
            <w:r w:rsidRPr="00234E98">
              <w:rPr>
                <w:rFonts w:ascii="Times New Roman" w:eastAsia="Times New Roman" w:hAnsi="Times New Roman" w:cs="Times New Roman"/>
                <w:color w:val="000000" w:themeColor="text1"/>
                <w:sz w:val="24"/>
                <w:lang w:eastAsia="lv-LV"/>
              </w:rPr>
              <w:t xml:space="preserve"> arī nav pienākuma pieņemt un apstrādāt rēķinus elektroniskā formā. </w:t>
            </w:r>
          </w:p>
          <w:p w14:paraId="59CCB7B8" w14:textId="5428CB55"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eastAsia="Times New Roman" w:hAnsi="Times New Roman" w:cs="Times New Roman"/>
                <w:color w:val="000000" w:themeColor="text1"/>
                <w:sz w:val="24"/>
                <w:lang w:eastAsia="lv-LV"/>
              </w:rPr>
              <w:t xml:space="preserve">Lai nodrošinātu vienotu standartu elektroniskajiem rēķiniem Eiropas Savienībā un samazinātu administratīvo slogu kā </w:t>
            </w:r>
            <w:r>
              <w:rPr>
                <w:rFonts w:ascii="Times New Roman" w:hAnsi="Times New Roman" w:cs="Times New Roman"/>
                <w:sz w:val="24"/>
                <w:szCs w:val="24"/>
              </w:rPr>
              <w:t>publiskajiem partneriem</w:t>
            </w:r>
            <w:r w:rsidRPr="00234E98">
              <w:rPr>
                <w:rFonts w:ascii="Times New Roman" w:eastAsia="Times New Roman" w:hAnsi="Times New Roman" w:cs="Times New Roman"/>
                <w:color w:val="000000" w:themeColor="text1"/>
                <w:sz w:val="24"/>
                <w:lang w:eastAsia="lv-LV"/>
              </w:rPr>
              <w:t xml:space="preserve"> tā piegādātājiem, </w:t>
            </w:r>
            <w:r w:rsidRPr="00234E98">
              <w:rPr>
                <w:rFonts w:ascii="Times New Roman" w:hAnsi="Times New Roman" w:cs="Times New Roman"/>
                <w:sz w:val="24"/>
                <w:szCs w:val="24"/>
              </w:rPr>
              <w:t xml:space="preserve">2014.gada 26.maijā stājās spēkā Eiropas Parlamenta un Padomes 2014.gada 16.aprīļa direktīva par elektroniskajiem rēķiniem publiskā iepirkuma procedūrās (turpmāk – direktīva 2014/55/ES). </w:t>
            </w:r>
          </w:p>
          <w:p w14:paraId="1DB0E104" w14:textId="77777777"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Direktīvas izpratnē par elektronisko rēķinu jāuzskata tikai mašīnlasāmi rēķini, kurus var automātiski un digitāli apstrādāt. Vienkārši ieskanēts, nokopēts vai kā citādi elektroniskā veidā atvasināts attēla fails nav jāuzskata par elektronisko rēķinu šīs definīcijas izpratnē.</w:t>
            </w:r>
          </w:p>
          <w:p w14:paraId="25B521C2" w14:textId="27AB6833"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Direktīvas regulējums veicinās elektronisko rēķinu ieviešanu publiskā iepirkuma procedūrās, ļaujot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un piegādātājiem radīt ievērojamus ieguvumus attiecībā uz ietaupījumiem, ietekmi uz vidi un administratīvā sloga samazināšanu. Likumprojektā ir paredzēts, ka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ir pienākums pieņemt un apstrādāt elektroniskos rēķinus, kas atbilst direktīvā 2014/55/ES minētajam Eiropas elektronisko rēķinu standartam. Direktīva 2014/55/ES paredz mehānismu standarta izstrādē un vēlāku izstrādātā standarta pārņemšanu, nosakot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pienākumu pieņemt un apstrādāt elektroniskos rēķinus, kas sagatavoti atbilstoši Eiropas Savienības standartam. </w:t>
            </w:r>
          </w:p>
          <w:p w14:paraId="30DCD802" w14:textId="77777777"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lastRenderedPageBreak/>
              <w:t xml:space="preserve">Atbilstoši direktīvas 2014/55/ES regulējumam Eiropas Komisija Eiropas Savienības Oficiālajā Vēstneša 2017.gada 17.oktobra laidienā Nr. L 266/19 publicēja Komisijas 2017.gada 16.oktobra īstenošanas lēmumu Nr.2017/1870, nosakot atsauci uz elektronisko rēķinu sagatavošanas standartu. Minētais standarts nosaka elektronisko rēķinu pamatelementus un to struktūru. </w:t>
            </w:r>
          </w:p>
          <w:p w14:paraId="235797F9" w14:textId="3906E535"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Atbilstoši direktīvas 2014/55/ES un standarta regulējumam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ir pienākums pieņemt tādus elektroniskos rēķinus, kas sagatavoti atbilstoši standartam (tajā iekļautie pamatelementi atbilst standartā noteiktajiem, kā arī rēķins tehniski ir izveidots atbilstošā formātā, t.i., dati ir atbilstoši strukturēti).</w:t>
            </w:r>
          </w:p>
          <w:p w14:paraId="726DFDBA" w14:textId="23766617"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Pārņemot  direktīvu 2014/55/ES, </w:t>
            </w:r>
            <w:r>
              <w:rPr>
                <w:rFonts w:ascii="Times New Roman" w:hAnsi="Times New Roman" w:cs="Times New Roman"/>
                <w:sz w:val="24"/>
                <w:szCs w:val="24"/>
              </w:rPr>
              <w:t xml:space="preserve">Publiskās un privātās partnerības likumā </w:t>
            </w:r>
            <w:r w:rsidRPr="00234E98">
              <w:rPr>
                <w:rFonts w:ascii="Times New Roman" w:hAnsi="Times New Roman" w:cs="Times New Roman"/>
                <w:sz w:val="24"/>
                <w:szCs w:val="24"/>
              </w:rPr>
              <w:t xml:space="preserve">attiecībā uz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tiek noteikts pienākums pieņemt un apstrādāt tādus elektroniskos rēķinus, kas sagatavoti atbilstoši Eiropas elektronisko rēķinu standartam. </w:t>
            </w:r>
          </w:p>
          <w:p w14:paraId="00ABB359" w14:textId="4BDF520E"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Vienlaikus Eiropas elektronisko rēķinu standarts paredz iespēju katram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pašam, sektoru līmenī, kā arī nacionālā līmenī definēt standarta lietošanas specifikāciju (</w:t>
            </w:r>
            <w:proofErr w:type="spellStart"/>
            <w:r w:rsidRPr="00234E98">
              <w:rPr>
                <w:rFonts w:ascii="Times New Roman" w:hAnsi="Times New Roman" w:cs="Times New Roman"/>
                <w:i/>
                <w:sz w:val="24"/>
                <w:szCs w:val="24"/>
              </w:rPr>
              <w:t>Core</w:t>
            </w:r>
            <w:proofErr w:type="spellEnd"/>
            <w:r w:rsidRPr="00234E98">
              <w:rPr>
                <w:rFonts w:ascii="Times New Roman" w:hAnsi="Times New Roman" w:cs="Times New Roman"/>
                <w:i/>
                <w:sz w:val="24"/>
                <w:szCs w:val="24"/>
              </w:rPr>
              <w:t xml:space="preserve"> </w:t>
            </w:r>
            <w:proofErr w:type="spellStart"/>
            <w:r w:rsidRPr="00234E98">
              <w:rPr>
                <w:rFonts w:ascii="Times New Roman" w:hAnsi="Times New Roman" w:cs="Times New Roman"/>
                <w:i/>
                <w:sz w:val="24"/>
                <w:szCs w:val="24"/>
              </w:rPr>
              <w:t>Invoice</w:t>
            </w:r>
            <w:proofErr w:type="spellEnd"/>
            <w:r w:rsidRPr="00234E98">
              <w:rPr>
                <w:rFonts w:ascii="Times New Roman" w:hAnsi="Times New Roman" w:cs="Times New Roman"/>
                <w:i/>
                <w:sz w:val="24"/>
                <w:szCs w:val="24"/>
              </w:rPr>
              <w:t xml:space="preserve"> </w:t>
            </w:r>
            <w:proofErr w:type="spellStart"/>
            <w:r w:rsidRPr="00234E98">
              <w:rPr>
                <w:rFonts w:ascii="Times New Roman" w:hAnsi="Times New Roman" w:cs="Times New Roman"/>
                <w:i/>
                <w:sz w:val="24"/>
                <w:szCs w:val="24"/>
              </w:rPr>
              <w:t>Usage</w:t>
            </w:r>
            <w:proofErr w:type="spellEnd"/>
            <w:r w:rsidRPr="00234E98">
              <w:rPr>
                <w:rFonts w:ascii="Times New Roman" w:hAnsi="Times New Roman" w:cs="Times New Roman"/>
                <w:i/>
                <w:sz w:val="24"/>
                <w:szCs w:val="24"/>
              </w:rPr>
              <w:t xml:space="preserve"> </w:t>
            </w:r>
            <w:proofErr w:type="spellStart"/>
            <w:r w:rsidRPr="00234E98">
              <w:rPr>
                <w:rFonts w:ascii="Times New Roman" w:hAnsi="Times New Roman" w:cs="Times New Roman"/>
                <w:i/>
                <w:sz w:val="24"/>
                <w:szCs w:val="24"/>
              </w:rPr>
              <w:t>Specification</w:t>
            </w:r>
            <w:proofErr w:type="spellEnd"/>
            <w:r w:rsidRPr="00234E98">
              <w:rPr>
                <w:rFonts w:ascii="Times New Roman" w:hAnsi="Times New Roman" w:cs="Times New Roman"/>
                <w:sz w:val="24"/>
                <w:szCs w:val="24"/>
              </w:rPr>
              <w:t xml:space="preserve"> (CIUS)), ar ko iespējams norādīt, kuri datu lauki (elektroniskā rēķina pamatelementi) tiek apstrādāti, kā arī noteikt noteikumus attiecībā uz tajos ievadāmo informāciju, to apstrādi, </w:t>
            </w:r>
            <w:r w:rsidR="00FA3F85">
              <w:rPr>
                <w:rFonts w:ascii="Times New Roman" w:hAnsi="Times New Roman" w:cs="Times New Roman"/>
                <w:sz w:val="24"/>
                <w:szCs w:val="24"/>
              </w:rPr>
              <w:t>tāpat standarts paredz iespēju</w:t>
            </w:r>
            <w:r w:rsidRPr="00234E98">
              <w:rPr>
                <w:rFonts w:ascii="Times New Roman" w:hAnsi="Times New Roman" w:cs="Times New Roman"/>
                <w:sz w:val="24"/>
                <w:szCs w:val="24"/>
              </w:rPr>
              <w:t xml:space="preserve"> arī definēt standarta paplašinājumus (</w:t>
            </w:r>
            <w:proofErr w:type="spellStart"/>
            <w:r w:rsidRPr="00234E98">
              <w:rPr>
                <w:rFonts w:ascii="Times New Roman" w:hAnsi="Times New Roman" w:cs="Times New Roman"/>
                <w:i/>
                <w:sz w:val="24"/>
                <w:szCs w:val="24"/>
              </w:rPr>
              <w:t>Extensions</w:t>
            </w:r>
            <w:proofErr w:type="spellEnd"/>
            <w:r w:rsidRPr="00234E98">
              <w:rPr>
                <w:rFonts w:ascii="Times New Roman" w:hAnsi="Times New Roman" w:cs="Times New Roman"/>
                <w:sz w:val="24"/>
                <w:szCs w:val="24"/>
              </w:rPr>
              <w:t>) ar ko iespējams noteikt papildu datu laukus, kurus neparedz Eiropas elektronisko rēķinu standarts. Papildu lauku (</w:t>
            </w:r>
            <w:proofErr w:type="spellStart"/>
            <w:r w:rsidRPr="00234E98">
              <w:rPr>
                <w:rFonts w:ascii="Times New Roman" w:hAnsi="Times New Roman" w:cs="Times New Roman"/>
                <w:i/>
                <w:sz w:val="24"/>
                <w:szCs w:val="24"/>
              </w:rPr>
              <w:t>Extensions</w:t>
            </w:r>
            <w:proofErr w:type="spellEnd"/>
            <w:r w:rsidRPr="00234E98">
              <w:rPr>
                <w:rFonts w:ascii="Times New Roman" w:hAnsi="Times New Roman" w:cs="Times New Roman"/>
                <w:i/>
                <w:sz w:val="24"/>
                <w:szCs w:val="24"/>
              </w:rPr>
              <w:t xml:space="preserve">) </w:t>
            </w:r>
            <w:r w:rsidRPr="00234E98">
              <w:rPr>
                <w:rFonts w:ascii="Times New Roman" w:hAnsi="Times New Roman" w:cs="Times New Roman"/>
                <w:sz w:val="24"/>
                <w:szCs w:val="24"/>
              </w:rPr>
              <w:t xml:space="preserve">izmantošana ir iespējama, bet netiek rekomendēta, jo var radīt būtiskas problēmas attiecībā uz šo elektroniskajā rēķinā ietverto papildu datu apstrādi jo sevišķi pārrobežu kontekstā. Arī CIUS sadrumstalotība (ja katrs </w:t>
            </w:r>
            <w:r>
              <w:rPr>
                <w:rFonts w:ascii="Times New Roman" w:hAnsi="Times New Roman" w:cs="Times New Roman"/>
                <w:sz w:val="24"/>
                <w:szCs w:val="24"/>
              </w:rPr>
              <w:t xml:space="preserve">publiskais partneris </w:t>
            </w:r>
            <w:r w:rsidRPr="00234E98">
              <w:rPr>
                <w:rFonts w:ascii="Times New Roman" w:hAnsi="Times New Roman" w:cs="Times New Roman"/>
                <w:sz w:val="24"/>
                <w:szCs w:val="24"/>
              </w:rPr>
              <w:t xml:space="preserve">pats vai katrs sektors definē savu CIUS) var radīt </w:t>
            </w:r>
            <w:proofErr w:type="spellStart"/>
            <w:r w:rsidRPr="00234E98">
              <w:rPr>
                <w:rFonts w:ascii="Times New Roman" w:hAnsi="Times New Roman" w:cs="Times New Roman"/>
                <w:sz w:val="24"/>
                <w:szCs w:val="24"/>
              </w:rPr>
              <w:t>sadarbspējas</w:t>
            </w:r>
            <w:proofErr w:type="spellEnd"/>
            <w:r w:rsidRPr="00234E98">
              <w:rPr>
                <w:rFonts w:ascii="Times New Roman" w:hAnsi="Times New Roman" w:cs="Times New Roman"/>
                <w:sz w:val="24"/>
                <w:szCs w:val="24"/>
              </w:rPr>
              <w:t xml:space="preserve"> problēmas CIUS sadrumstalotības dēļ, tāpēc Latvijā paredzēts sekot rekomendācijām un neveidot vairāk kā vienu CIUS, turklāt šobrīd tiek apsvērta iespēja izmantot vienotu, vairāk kā vienā valstī izmantotu CIUS - PEPPOL BIS </w:t>
            </w:r>
            <w:proofErr w:type="spellStart"/>
            <w:r w:rsidRPr="00234E98">
              <w:rPr>
                <w:rFonts w:ascii="Times New Roman" w:hAnsi="Times New Roman" w:cs="Times New Roman"/>
                <w:sz w:val="24"/>
                <w:szCs w:val="24"/>
              </w:rPr>
              <w:t>Billing</w:t>
            </w:r>
            <w:proofErr w:type="spellEnd"/>
            <w:r w:rsidRPr="00234E98">
              <w:rPr>
                <w:rFonts w:ascii="Times New Roman" w:hAnsi="Times New Roman" w:cs="Times New Roman"/>
                <w:sz w:val="24"/>
                <w:szCs w:val="24"/>
              </w:rPr>
              <w:t xml:space="preserve"> 3.0 (</w:t>
            </w:r>
            <w:hyperlink r:id="rId11" w:history="1">
              <w:r w:rsidRPr="00234E98">
                <w:rPr>
                  <w:rFonts w:ascii="Times New Roman" w:hAnsi="Times New Roman" w:cs="Times New Roman"/>
                  <w:color w:val="0000FF"/>
                  <w:sz w:val="24"/>
                  <w:szCs w:val="24"/>
                  <w:u w:val="single"/>
                </w:rPr>
                <w:t>https://peppol.eu/</w:t>
              </w:r>
            </w:hyperlink>
            <w:r w:rsidRPr="00234E98">
              <w:rPr>
                <w:rFonts w:ascii="Times New Roman" w:hAnsi="Times New Roman" w:cs="Times New Roman"/>
                <w:sz w:val="24"/>
                <w:szCs w:val="24"/>
              </w:rPr>
              <w:t xml:space="preserve">). Par konkrēta CIUS izmantošanu lēmums vēl nav pieņemts un izmantojamais CIUS (apstrādājamie elektronisko rēķinu pamatelementi) </w:t>
            </w:r>
            <w:r w:rsidRPr="00234E98">
              <w:rPr>
                <w:rFonts w:ascii="Times New Roman" w:hAnsi="Times New Roman" w:cs="Times New Roman"/>
                <w:sz w:val="24"/>
                <w:szCs w:val="24"/>
              </w:rPr>
              <w:lastRenderedPageBreak/>
              <w:t xml:space="preserve">nosakāms ar Ministru kabineta noteikumiem. Vienlaikus arī CIUS izmantošanas gadījumā pastāvēs obligāti aizpildāmie datu lauki un izvēles datu lauki. </w:t>
            </w:r>
          </w:p>
          <w:p w14:paraId="560C0AAA" w14:textId="77777777"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Elektroniskais rēķins uzskatāms par attaisnojuma dokumentu likuma “Par grāmatvedību” izpratnē, ja tas satur likuma “Par grāmatvedību” minētos attaisnojuma dokumenta rekvizītus, attiecīgi minētie rekvizīti jebkurā gadījumā būs ietverami elektroniskajā rēķinā. Regulējums nekādā veidā nevar ierobežot arī nodokļu likumos, piemēram, Pievienotās vērtības nodokļa likumā noteikto </w:t>
            </w:r>
            <w:r w:rsidRPr="00234E98">
              <w:rPr>
                <w:rFonts w:ascii="Times New Roman" w:hAnsi="Times New Roman"/>
                <w:color w:val="000000" w:themeColor="text1"/>
                <w:sz w:val="24"/>
                <w:szCs w:val="24"/>
              </w:rPr>
              <w:t>pievienotās vērtības nodokļa rēķina saturu, attiecīgi tas tiks ņemts vērā arī Ministru kabineta noteikumos nosakot elektroniskā rēķina pamatelementus.</w:t>
            </w:r>
          </w:p>
          <w:p w14:paraId="2701F17B" w14:textId="191EA3DC"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Tomēr, tā kā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var būt dažādas un atšķirīgas vajadzības attiecībā uz elektroniskajos rēķinos ietveramo informāciju, t.sk. nepieciešamā informācija var atšķirties dēļ atšķirīga automatizācijas līmeņa elektronisko rēķinu tālākai apstrādei pēc to saņemšanas, ir paredzēts risinājums, ka iepirkuma līgumā katrs </w:t>
            </w:r>
            <w:r>
              <w:rPr>
                <w:rFonts w:ascii="Times New Roman" w:hAnsi="Times New Roman" w:cs="Times New Roman"/>
                <w:sz w:val="24"/>
                <w:szCs w:val="24"/>
              </w:rPr>
              <w:t>publiskais partneris</w:t>
            </w:r>
            <w:r w:rsidRPr="00234E98">
              <w:rPr>
                <w:rFonts w:ascii="Times New Roman" w:hAnsi="Times New Roman" w:cs="Times New Roman"/>
                <w:sz w:val="24"/>
                <w:szCs w:val="24"/>
              </w:rPr>
              <w:t xml:space="preserve"> ir tiesīgs CIUS ietvaros definēt elektroniskajā rēķinā obligāti ietveramo informāciju. Risinājuma iespēja, ka elektroniskajā rēķinā ietveramās informācijas apjoms (papildus CIUS noteiktajai obligāti ietveramajai informācijai) tiek noteikts ar līgumu, izriet arī no  direktīvas 2014/55/ES (sk. preambulas 34.punktu). </w:t>
            </w:r>
          </w:p>
          <w:p w14:paraId="1099B2D6" w14:textId="077EFE35"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Attiecīgi, pārņemot  direktīvu 2014/55/ES, </w:t>
            </w:r>
            <w:r>
              <w:rPr>
                <w:rFonts w:ascii="Times New Roman" w:hAnsi="Times New Roman" w:cs="Times New Roman"/>
                <w:sz w:val="24"/>
                <w:szCs w:val="24"/>
              </w:rPr>
              <w:t>Publiskās un privātās partnerības</w:t>
            </w:r>
            <w:r w:rsidRPr="00234E98">
              <w:rPr>
                <w:rFonts w:ascii="Times New Roman" w:hAnsi="Times New Roman" w:cs="Times New Roman"/>
                <w:sz w:val="24"/>
                <w:szCs w:val="24"/>
              </w:rPr>
              <w:t xml:space="preserve"> likumā attiecībā uz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tiek noteikts pienākums pieņemt un apstrādāt tādus elektroniskos rēķinus, kas sagatavoti atbilstoši Eiropas elektronisko rēķinu standartam un vienlaikus ievērojot rīcības brīvības ietvaros līgumā noteiktās prasības. Šāds risinājums paredz, ka iepirkuma līgumos būs jānosaka papildu noteikumi attiecībā uz elektronisko rēķinu iesniegšanu, vienlaikus šāds risinājums nodrošinās, ka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iesniegtie elektroniskie rēķini ietver </w:t>
            </w:r>
            <w:r>
              <w:rPr>
                <w:rFonts w:ascii="Times New Roman" w:hAnsi="Times New Roman" w:cs="Times New Roman"/>
                <w:sz w:val="24"/>
                <w:szCs w:val="24"/>
              </w:rPr>
              <w:t>publiskā partnera</w:t>
            </w:r>
            <w:r w:rsidRPr="00234E98">
              <w:rPr>
                <w:rFonts w:ascii="Times New Roman" w:hAnsi="Times New Roman" w:cs="Times New Roman"/>
                <w:sz w:val="24"/>
                <w:szCs w:val="24"/>
              </w:rPr>
              <w:t xml:space="preserve"> biznesa procesiem nepieciešamo informāciju, t.sk. elektroniskā rēķina automātiskai apstrādei (piemēram, iekļauto datu validēšanai) nepieciešamo informāciju. Vienlaikus šādas elastības izmantošana nodrošinās, ka netiek veidoti neskaitāmi CIUS, kas vēlāk var sarežģīt elektronisko rēķinu </w:t>
            </w:r>
            <w:r w:rsidRPr="00234E98">
              <w:rPr>
                <w:rFonts w:ascii="Times New Roman" w:hAnsi="Times New Roman" w:cs="Times New Roman"/>
                <w:sz w:val="24"/>
                <w:szCs w:val="24"/>
              </w:rPr>
              <w:lastRenderedPageBreak/>
              <w:t xml:space="preserve">pārrobežu nosūtīšanu. Savukārt, gadījumā, ja </w:t>
            </w:r>
            <w:r>
              <w:rPr>
                <w:rFonts w:ascii="Times New Roman" w:hAnsi="Times New Roman" w:cs="Times New Roman"/>
                <w:sz w:val="24"/>
                <w:szCs w:val="24"/>
              </w:rPr>
              <w:t>publiskais partneris</w:t>
            </w:r>
            <w:r w:rsidRPr="00234E98">
              <w:rPr>
                <w:rFonts w:ascii="Times New Roman" w:hAnsi="Times New Roman" w:cs="Times New Roman"/>
                <w:sz w:val="24"/>
                <w:szCs w:val="24"/>
              </w:rPr>
              <w:t xml:space="preserve"> iepirkuma līgumā neko nebūs noteicis attiecībā uz elektronisko rēķinu saturu,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būs jāpieņem un jāapstrādā jebkurš tāds elektroniskais rēķins kas tehniski atbilst Eiropas Elektronisko rēķinu standartam un ietver normatīvajos aktos noteikto rekvizītu minimumu. </w:t>
            </w:r>
          </w:p>
          <w:p w14:paraId="736E633A" w14:textId="1A4E385C"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Papildus ir jāuzsver, ka šobrīd regulējums neparedz, ka rēķini var tikt iesniegti tikai elektroniskā veidā, bet paredz tikai ar direktīvu 2014/55/ES noteikto minimālo pienākumu – pieņemt un apstrādāt atbilstošus elektroniskos rēķinus tādā gadījumā, ja piegādātājs izvēlas rēķinu iesniegt elektroniskā veidā. Piegādātāji joprojām būs tiesīgi iesniegt rēķinus papīra formātā vai atbilstoši jebkuram citam standartam, par ko puses panākušas vienošanos. No otras puses – </w:t>
            </w:r>
            <w:r>
              <w:rPr>
                <w:rFonts w:ascii="Times New Roman" w:hAnsi="Times New Roman" w:cs="Times New Roman"/>
                <w:sz w:val="24"/>
                <w:szCs w:val="24"/>
              </w:rPr>
              <w:t xml:space="preserve">publiskais partneris </w:t>
            </w:r>
            <w:r w:rsidRPr="00234E98">
              <w:rPr>
                <w:rFonts w:ascii="Times New Roman" w:hAnsi="Times New Roman" w:cs="Times New Roman"/>
                <w:sz w:val="24"/>
                <w:szCs w:val="24"/>
              </w:rPr>
              <w:t xml:space="preserve">nevarēs atteikties pieņemt atbilstoši sagatavotus piegāgāju iesniegtus elektroniskos rēķinus. Šāds risinājums izvēlēts, lai neradītu administratīvo slogu piegādātājiem, kuriem šobrīd var nebūt pieejamas atbilstošas sistēmas elektronisko rēķinu izrakstīšanai. </w:t>
            </w:r>
          </w:p>
          <w:p w14:paraId="266C097D" w14:textId="77777777"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Vienlaikus direktīva 2014/55/ES un minētais standarts neregulē jautājumu par to, kāds kanāls izmantojams elektronisko rēķinu piegādei vai kādas sistēmas izmantojamas elektronisko rēķinu tālākai apstrādei. </w:t>
            </w:r>
          </w:p>
          <w:p w14:paraId="19B4C712" w14:textId="681AC400"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Attiecīgi direktīvas prasības par elektronisko rēķinu pieņemšanu un apstrādāšanu ir izpildītas arī tad, ja </w:t>
            </w:r>
            <w:r>
              <w:rPr>
                <w:rFonts w:ascii="Times New Roman" w:hAnsi="Times New Roman" w:cs="Times New Roman"/>
                <w:sz w:val="24"/>
                <w:szCs w:val="24"/>
              </w:rPr>
              <w:t>publiskais partneris</w:t>
            </w:r>
            <w:r w:rsidRPr="00234E98">
              <w:rPr>
                <w:rFonts w:ascii="Times New Roman" w:hAnsi="Times New Roman" w:cs="Times New Roman"/>
                <w:sz w:val="24"/>
                <w:szCs w:val="24"/>
              </w:rPr>
              <w:t xml:space="preserve"> atbilstoši Eiropas elektronisko rēķinu standartam sagatavoto elektronisko rēķinu, kas parakstīts ar drošu elektronisko parakstu, saņem savā elektroniskā pasta adresē, pārvērš to </w:t>
            </w:r>
            <w:proofErr w:type="spellStart"/>
            <w:r w:rsidRPr="00234E98">
              <w:rPr>
                <w:rFonts w:ascii="Times New Roman" w:hAnsi="Times New Roman" w:cs="Times New Roman"/>
                <w:sz w:val="24"/>
                <w:szCs w:val="24"/>
              </w:rPr>
              <w:t>cilvēklasāmā</w:t>
            </w:r>
            <w:proofErr w:type="spellEnd"/>
            <w:r w:rsidRPr="00234E98">
              <w:rPr>
                <w:rFonts w:ascii="Times New Roman" w:hAnsi="Times New Roman" w:cs="Times New Roman"/>
                <w:sz w:val="24"/>
                <w:szCs w:val="24"/>
              </w:rPr>
              <w:t xml:space="preserve"> formātā (iespēja aplūkot elektronisko rēķinu kā .</w:t>
            </w:r>
            <w:proofErr w:type="spellStart"/>
            <w:r w:rsidRPr="00234E98">
              <w:rPr>
                <w:rFonts w:ascii="Times New Roman" w:hAnsi="Times New Roman" w:cs="Times New Roman"/>
                <w:sz w:val="24"/>
                <w:szCs w:val="24"/>
              </w:rPr>
              <w:t>pdf</w:t>
            </w:r>
            <w:proofErr w:type="spellEnd"/>
            <w:r w:rsidRPr="00234E98">
              <w:rPr>
                <w:rFonts w:ascii="Times New Roman" w:hAnsi="Times New Roman" w:cs="Times New Roman"/>
                <w:sz w:val="24"/>
                <w:szCs w:val="24"/>
              </w:rPr>
              <w:t xml:space="preserve"> dokumentu var būt iekodēta elektroniskā rēķina datnē vai arī pārvēršanu </w:t>
            </w:r>
            <w:proofErr w:type="spellStart"/>
            <w:r w:rsidRPr="00234E98">
              <w:rPr>
                <w:rFonts w:ascii="Times New Roman" w:hAnsi="Times New Roman" w:cs="Times New Roman"/>
                <w:sz w:val="24"/>
                <w:szCs w:val="24"/>
              </w:rPr>
              <w:t>cilvēklasāmā</w:t>
            </w:r>
            <w:proofErr w:type="spellEnd"/>
            <w:r w:rsidRPr="00234E98">
              <w:rPr>
                <w:rFonts w:ascii="Times New Roman" w:hAnsi="Times New Roman" w:cs="Times New Roman"/>
                <w:sz w:val="24"/>
                <w:szCs w:val="24"/>
              </w:rPr>
              <w:t xml:space="preserve"> veidā iespējams nodrošināt ar vienkāršas programmatūras palīdzību) un turpmāk saņemto rēķinu apstrādā kā jebkuru citu rēķinu, kas iesniegts papīra formā. Vienlaikus šāds risinājums ilgtermiņā būs efektīvs tikai tad, ja rēķinu skaits, ko saņem </w:t>
            </w:r>
            <w:r>
              <w:rPr>
                <w:rFonts w:ascii="Times New Roman" w:hAnsi="Times New Roman" w:cs="Times New Roman"/>
                <w:sz w:val="24"/>
                <w:szCs w:val="24"/>
              </w:rPr>
              <w:t>publiskais partneris</w:t>
            </w:r>
            <w:r w:rsidRPr="00234E98">
              <w:rPr>
                <w:rFonts w:ascii="Times New Roman" w:hAnsi="Times New Roman" w:cs="Times New Roman"/>
                <w:sz w:val="24"/>
                <w:szCs w:val="24"/>
              </w:rPr>
              <w:t xml:space="preserve">, būs neliels. </w:t>
            </w:r>
            <w:r>
              <w:rPr>
                <w:rFonts w:ascii="Times New Roman" w:hAnsi="Times New Roman" w:cs="Times New Roman"/>
                <w:sz w:val="24"/>
                <w:szCs w:val="24"/>
              </w:rPr>
              <w:t>Publiskie partneri</w:t>
            </w:r>
            <w:r w:rsidRPr="00234E98">
              <w:rPr>
                <w:rFonts w:ascii="Times New Roman" w:hAnsi="Times New Roman" w:cs="Times New Roman"/>
                <w:sz w:val="24"/>
                <w:szCs w:val="24"/>
              </w:rPr>
              <w:t xml:space="preserve">, kuri saņem lielu skaitu rēķinu, būs ieinteresēti izmantot konkrētus rēķinu piegādes kanālus, lai nodrošinātu to tālāku automātisku apstrādi, kā arī būs ieinteresēti izveidot un attīstīt automatizētas </w:t>
            </w:r>
            <w:r w:rsidRPr="00234E98">
              <w:rPr>
                <w:rFonts w:ascii="Times New Roman" w:hAnsi="Times New Roman" w:cs="Times New Roman"/>
                <w:sz w:val="24"/>
                <w:szCs w:val="24"/>
              </w:rPr>
              <w:lastRenderedPageBreak/>
              <w:t xml:space="preserve">sistēmas un risinājumus turpmākai rēķinu apstrādei – to atbilstības pārbaudei, apmaksai, informācijas uzkrāšanai, arhivēšanai u.tml. </w:t>
            </w:r>
          </w:p>
          <w:p w14:paraId="4745BC07" w14:textId="01FFCB61"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color w:val="0D0D0D" w:themeColor="text1" w:themeTint="F2"/>
                <w:sz w:val="24"/>
                <w:szCs w:val="24"/>
              </w:rPr>
              <w:t xml:space="preserve">Ievērojot, katram </w:t>
            </w:r>
            <w:r>
              <w:rPr>
                <w:rFonts w:ascii="Times New Roman" w:hAnsi="Times New Roman" w:cs="Times New Roman"/>
                <w:sz w:val="24"/>
                <w:szCs w:val="24"/>
              </w:rPr>
              <w:t>publiskajiem partneriem</w:t>
            </w:r>
            <w:r w:rsidRPr="00234E98">
              <w:rPr>
                <w:rFonts w:ascii="Times New Roman" w:hAnsi="Times New Roman" w:cs="Times New Roman"/>
                <w:color w:val="0D0D0D" w:themeColor="text1" w:themeTint="F2"/>
                <w:sz w:val="24"/>
                <w:szCs w:val="24"/>
              </w:rPr>
              <w:t xml:space="preserve"> var būt atšķirīgas iestrādnes, esošā programmatūra un informācijas sistēmas un nākotnes vajadzības attiecībā uz elektronisko rēķinu automātisku tālāku apstrādi pēc to saņemšanas, katram </w:t>
            </w:r>
            <w:r>
              <w:rPr>
                <w:rFonts w:ascii="Times New Roman" w:hAnsi="Times New Roman" w:cs="Times New Roman"/>
                <w:sz w:val="24"/>
                <w:szCs w:val="24"/>
              </w:rPr>
              <w:t>publiskajiem partneriem</w:t>
            </w:r>
            <w:r w:rsidRPr="00234E98">
              <w:rPr>
                <w:rFonts w:ascii="Times New Roman" w:hAnsi="Times New Roman" w:cs="Times New Roman"/>
                <w:color w:val="0D0D0D" w:themeColor="text1" w:themeTint="F2"/>
                <w:sz w:val="24"/>
                <w:szCs w:val="24"/>
              </w:rPr>
              <w:t xml:space="preserve"> pašam ir jāvērtē esošās informācijas tehnoloģijas risinājumu pielāgošanas un jaunu risinājumu izveides iespēja, plānojot tam arī nepieciešamos līdzekļus. Tāpat kā citu normatīvo aktu izmaiņu gadījumā, grāmatvedības programmatūras pielāgošana </w:t>
            </w:r>
            <w:r w:rsidRPr="00234E98">
              <w:rPr>
                <w:rFonts w:ascii="Times New Roman" w:hAnsi="Times New Roman" w:cs="Times New Roman"/>
                <w:sz w:val="24"/>
                <w:szCs w:val="24"/>
              </w:rPr>
              <w:t xml:space="preserve">minēto minimālo prasību izpildei (elektroniskā rēķina datnes pārvēršanai </w:t>
            </w:r>
            <w:proofErr w:type="spellStart"/>
            <w:r w:rsidRPr="00234E98">
              <w:rPr>
                <w:rFonts w:ascii="Times New Roman" w:hAnsi="Times New Roman" w:cs="Times New Roman"/>
                <w:sz w:val="24"/>
                <w:szCs w:val="24"/>
              </w:rPr>
              <w:t>cilvēklasāmā</w:t>
            </w:r>
            <w:proofErr w:type="spellEnd"/>
            <w:r w:rsidRPr="00234E98">
              <w:rPr>
                <w:rFonts w:ascii="Times New Roman" w:hAnsi="Times New Roman" w:cs="Times New Roman"/>
                <w:sz w:val="24"/>
                <w:szCs w:val="24"/>
              </w:rPr>
              <w:t xml:space="preserve"> formātā) nodrošināma vai nu esošo līgumu par grāmatvedības programmatūras uzturēšanu ietvaros vai arī par esošo finansējumu, kas paredzēts grāmatvedības programmatūras uzturēšanai un pielāgošanai normatīvo aktu izmaiņām.</w:t>
            </w:r>
          </w:p>
          <w:p w14:paraId="594B451D" w14:textId="405F2960" w:rsidR="001D6C74" w:rsidRPr="00234E98" w:rsidRDefault="001D6C74" w:rsidP="001D6C74">
            <w:pPr>
              <w:spacing w:after="0" w:line="276" w:lineRule="auto"/>
              <w:jc w:val="both"/>
              <w:rPr>
                <w:rFonts w:ascii="Times New Roman" w:hAnsi="Times New Roman" w:cs="Times New Roman"/>
                <w:sz w:val="24"/>
                <w:szCs w:val="24"/>
              </w:rPr>
            </w:pPr>
            <w:r w:rsidRPr="00234E98">
              <w:rPr>
                <w:rFonts w:ascii="Times New Roman" w:hAnsi="Times New Roman" w:cs="Times New Roman"/>
                <w:sz w:val="24"/>
                <w:szCs w:val="24"/>
              </w:rPr>
              <w:t xml:space="preserve">Lai arī šobrīd nav paredzams konkrēts brīdis, prognozējams, ka nākotnē tiks izstrādāta koplietošanas infrastruktūra gan, piemēram, ērtākai elektronisko rēķinu piegādei, t.sk. uz un no citām dalībvalstīm, gan šādu rēķinu izrakstīšanai maziem un vidējiem komersantiem, gan šo rēķinu apstrādei iepirkumu statistikas vajadzībām, gan to arhivēšanai, tomēr lēmuma pieņemšana par šādas infrastruktūras izstrādi nav saistāma ar šā likumprojekta virzību un nav priekšnoteikums tā izpildes nodrošināšanai. Izveidojot centralizētu risinājumu elektronisko rēķinu piegādei, pārskatāms jautājums par izmantojamajiem kanāliem elektronisko rēķinu piegādei (šādā gadījumā nosakāms viens vai daži izmantojamie piegādes kanāli), līdz tam brīdim izmantojamo piegādes (nosūtīšanas) kanālu skaits saglabājams pēc iespējas plašs, ievērojot tehnoloģiskās iespējas šādus elektroniskos rēķinus saņemt. Nākotnē risināms arī jautājums par pilnīgu atteikšanos no drukātu rēķinu izmantošanas un pāreju uz obligātu elektronisko rēķinu izmantošanu. Vienlaikus šāds lēmums atkarīgs arī no nepieciešamās infrastruktūras pieejamības </w:t>
            </w:r>
            <w:r>
              <w:rPr>
                <w:rFonts w:ascii="Times New Roman" w:hAnsi="Times New Roman" w:cs="Times New Roman"/>
                <w:sz w:val="24"/>
                <w:szCs w:val="24"/>
              </w:rPr>
              <w:t>publiskajiem partneriem</w:t>
            </w:r>
            <w:r w:rsidRPr="00234E98">
              <w:rPr>
                <w:rFonts w:ascii="Times New Roman" w:hAnsi="Times New Roman" w:cs="Times New Roman"/>
                <w:sz w:val="24"/>
                <w:szCs w:val="24"/>
              </w:rPr>
              <w:t>, kā arī attiecīgu risinājumu elektronisko rēķinu izrakstīšanai plašas pieejamības tirgū.</w:t>
            </w:r>
          </w:p>
          <w:p w14:paraId="37A74AF1" w14:textId="15CAF0BA" w:rsidR="001D6C74" w:rsidRPr="00234E98" w:rsidRDefault="001D6C74" w:rsidP="001D6C74">
            <w:pPr>
              <w:spacing w:after="0" w:line="276" w:lineRule="auto"/>
              <w:jc w:val="both"/>
              <w:rPr>
                <w:rFonts w:ascii="Times New Roman" w:hAnsi="Times New Roman"/>
                <w:sz w:val="24"/>
                <w:szCs w:val="24"/>
              </w:rPr>
            </w:pPr>
            <w:r w:rsidRPr="00234E98">
              <w:rPr>
                <w:rFonts w:ascii="Times New Roman" w:eastAsia="Times New Roman" w:hAnsi="Times New Roman" w:cs="Times New Roman"/>
                <w:color w:val="000000" w:themeColor="text1"/>
                <w:sz w:val="24"/>
                <w:lang w:eastAsia="lv-LV"/>
              </w:rPr>
              <w:lastRenderedPageBreak/>
              <w:t>Lai nodrošinātu tiesisko noteiktību, atbilstoši e</w:t>
            </w:r>
            <w:r w:rsidRPr="00234E98">
              <w:rPr>
                <w:rFonts w:ascii="Times New Roman" w:hAnsi="Times New Roman" w:cs="Times New Roman"/>
                <w:sz w:val="24"/>
                <w:szCs w:val="24"/>
              </w:rPr>
              <w:t xml:space="preserve">lektroniskie rēķini obligāti ir jāpieņem tajos iepirkuma līgumos, kur iepirkumi tiek izsludināti pēc šā likuma spēkā stāšanās dienas. Šā likuma regulējums neuzliek par pienākumu pieņemt elektroniskos rēķinus jau noslēgto līgumu gadījumā. Vienlaikus </w:t>
            </w:r>
            <w:r>
              <w:rPr>
                <w:rFonts w:ascii="Times New Roman" w:hAnsi="Times New Roman" w:cs="Times New Roman"/>
                <w:sz w:val="24"/>
                <w:szCs w:val="24"/>
              </w:rPr>
              <w:t>publiskajiem partneriem</w:t>
            </w:r>
            <w:r w:rsidRPr="00234E98">
              <w:rPr>
                <w:rFonts w:ascii="Times New Roman" w:hAnsi="Times New Roman" w:cs="Times New Roman"/>
                <w:sz w:val="24"/>
                <w:szCs w:val="24"/>
              </w:rPr>
              <w:t xml:space="preserve"> nav aizliegts pieņemt elektroniskos rēķinus arī tad, ja tie tiek iesniegti agrāk noslēgtu iepirkuma līgumu ietvaros. </w:t>
            </w:r>
          </w:p>
          <w:p w14:paraId="609C68BA" w14:textId="77777777" w:rsidR="00946012" w:rsidRDefault="001D6C74" w:rsidP="001D6C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Publiskās un privātās partnerības</w:t>
            </w:r>
            <w:r w:rsidRPr="00234E98">
              <w:rPr>
                <w:rFonts w:ascii="Times New Roman" w:hAnsi="Times New Roman" w:cs="Times New Roman"/>
                <w:sz w:val="24"/>
                <w:szCs w:val="24"/>
              </w:rPr>
              <w:t xml:space="preserve"> likuma </w:t>
            </w:r>
            <w:r>
              <w:rPr>
                <w:rFonts w:ascii="Times New Roman" w:hAnsi="Times New Roman" w:cs="Times New Roman"/>
                <w:sz w:val="24"/>
                <w:szCs w:val="24"/>
              </w:rPr>
              <w:t>37</w:t>
            </w:r>
            <w:r w:rsidRPr="00234E98">
              <w:rPr>
                <w:rFonts w:ascii="Times New Roman" w:hAnsi="Times New Roman" w:cs="Times New Roman"/>
                <w:sz w:val="24"/>
                <w:szCs w:val="24"/>
              </w:rPr>
              <w:t>.pants tiek precizēts, jo atsevišķos gadījumos personu atzīt par vainīgu (bez soda piemērošanas) var arī izmeklētājs vai prokurors, ja kriminālprocess izbeigts sakarā ar kriminālatbildības noilgumu vai amnestijas aktu (Kriminālprocesa likuma 76.pants, 617.panta 1. un 2.punkts). Šādos gadījumos, ja persona neiesniedz sūdzību par izmeklētāja vai prokurora lēmumu par kriminālprocesa izbeigšanu, ir uzskatāms, ka persona piekrīt lēmumā konstatētajai vainai.</w:t>
            </w:r>
          </w:p>
          <w:p w14:paraId="373D4CC6" w14:textId="3241821F" w:rsidR="00FA3F85" w:rsidRPr="00D822F1" w:rsidRDefault="00FA3F85" w:rsidP="001D6C7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Kā jau minēts iepriekš, tad paredzams, ka nākotnē tiks virzīts jautājums par e-rēķinu plašāku (ne tikai publiskajos iepirkumos) un, iespējams, obligātu izmantošanu drukātu rēķinu vietā. Jautājums par e-rēķinu izmantošanas turpmāku plašāku un obligātu izmantošanu drukātu rēķinu vietā diskutējams atsevišķi, virzot attiecīgu politikas plānošanas dokumentu vai tiesību akta projektu. Attiecīgi nākotnē regulējums par e-rēķiniem būtu nosakāms universālākā tiesību aktā, kas attiecas ne tikai uz publisko iepirkumu jomu, bet gan regulē rēķinu apriti ikvienā jomā. Provizoriski šāds politikas plānošanas dokuments vai tiesību akta projekts varētu tikt virzīts izskatīšanai Ministru kabinetā līdz 2019.gada 30.jūnijam, attiecīgi paredzot turpmākos e-rēķinu attīstības soļus, kā arī regulējumu to īstenošanai.</w:t>
            </w:r>
          </w:p>
        </w:tc>
      </w:tr>
      <w:tr w:rsidR="009626E7" w:rsidRPr="00946012"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697929A9"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5B110242" w14:textId="7F6967CF" w:rsidR="00E5323B"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09C05C06" w14:textId="77777777" w:rsidR="00662173" w:rsidRPr="0094601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Sabiedrības </w:t>
            </w:r>
            <w:proofErr w:type="spellStart"/>
            <w:r w:rsidRPr="00946012">
              <w:rPr>
                <w:rFonts w:ascii="Times New Roman" w:eastAsia="Times New Roman" w:hAnsi="Times New Roman" w:cs="Times New Roman"/>
                <w:iCs/>
                <w:sz w:val="24"/>
                <w:szCs w:val="24"/>
                <w:lang w:eastAsia="lv-LV"/>
              </w:rPr>
              <w:t>mērķgrupas</w:t>
            </w:r>
            <w:proofErr w:type="spellEnd"/>
            <w:r w:rsidRPr="009460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FE0A6E" w14:textId="2422E3FC" w:rsidR="00B12A3B" w:rsidRPr="00B12A3B" w:rsidRDefault="00B12A3B" w:rsidP="00B12A3B">
            <w:pPr>
              <w:shd w:val="clear" w:color="auto" w:fill="FFFFFF"/>
              <w:spacing w:after="0" w:line="240" w:lineRule="auto"/>
              <w:ind w:right="57"/>
              <w:jc w:val="both"/>
              <w:rPr>
                <w:rFonts w:ascii="Calibri" w:eastAsia="Times New Roman" w:hAnsi="Calibri" w:cs="Times New Roman"/>
                <w:color w:val="000000"/>
                <w:lang w:eastAsia="lv-LV"/>
              </w:rPr>
            </w:pPr>
            <w:r w:rsidRPr="00B12A3B">
              <w:rPr>
                <w:rFonts w:ascii="Times New Roman" w:eastAsia="Times New Roman" w:hAnsi="Times New Roman" w:cs="Times New Roman"/>
                <w:color w:val="000000"/>
                <w:sz w:val="24"/>
                <w:szCs w:val="24"/>
                <w:lang w:eastAsia="lv-LV"/>
              </w:rPr>
              <w:t xml:space="preserve">Publiskie partneri </w:t>
            </w:r>
            <w:r>
              <w:rPr>
                <w:rFonts w:ascii="Times New Roman" w:eastAsia="Times New Roman" w:hAnsi="Times New Roman" w:cs="Times New Roman"/>
                <w:color w:val="000000"/>
                <w:sz w:val="24"/>
                <w:szCs w:val="24"/>
                <w:lang w:eastAsia="lv-LV"/>
              </w:rPr>
              <w:t xml:space="preserve">Publiskās un privātās partnerības likuma </w:t>
            </w:r>
            <w:r w:rsidRPr="00B12A3B">
              <w:rPr>
                <w:rFonts w:ascii="Times New Roman" w:eastAsia="Times New Roman" w:hAnsi="Times New Roman" w:cs="Times New Roman"/>
                <w:color w:val="000000"/>
                <w:sz w:val="24"/>
                <w:szCs w:val="24"/>
                <w:lang w:eastAsia="lv-LV"/>
              </w:rPr>
              <w:t>izpratnē, to aptuvenais skaits nav zināms.</w:t>
            </w:r>
          </w:p>
          <w:p w14:paraId="1DF310E1" w14:textId="554180FB" w:rsidR="00984756" w:rsidRPr="00946012" w:rsidRDefault="00946012" w:rsidP="00F05B1A">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Juridiskas un fiziskas personas, kas piedāvā tirgū pakalpojumus, preces un būvdarbus un kas piedalās publiskajos iepirkumos.</w:t>
            </w:r>
          </w:p>
        </w:tc>
      </w:tr>
      <w:tr w:rsidR="009626E7" w:rsidRPr="00946012"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95AA9B" w14:textId="7A33BE87"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elektroniskos rēķinus, jo persona, kas iegūs līguma slēgšanas tiesības būs tiesīga iesniegt elektronisko rēķinus </w:t>
            </w:r>
            <w:r w:rsidR="00A82F97">
              <w:rPr>
                <w:rFonts w:ascii="Times New Roman" w:hAnsi="Times New Roman" w:cs="Times New Roman"/>
                <w:sz w:val="24"/>
                <w:szCs w:val="24"/>
              </w:rPr>
              <w:t>publiskajam partnerim</w:t>
            </w:r>
            <w:r w:rsidRPr="00946012">
              <w:rPr>
                <w:rFonts w:ascii="Times New Roman" w:hAnsi="Times New Roman" w:cs="Times New Roman"/>
                <w:sz w:val="24"/>
                <w:szCs w:val="24"/>
              </w:rPr>
              <w:t xml:space="preserve">. </w:t>
            </w:r>
            <w:r w:rsidR="005E17EC">
              <w:rPr>
                <w:rFonts w:ascii="Times New Roman" w:hAnsi="Times New Roman" w:cs="Times New Roman"/>
                <w:sz w:val="24"/>
                <w:szCs w:val="24"/>
              </w:rPr>
              <w:t xml:space="preserve">Prognozējams, ka administratīvais slogs mazināsies </w:t>
            </w:r>
            <w:r w:rsidR="00A82F97">
              <w:rPr>
                <w:rFonts w:ascii="Times New Roman" w:hAnsi="Times New Roman" w:cs="Times New Roman"/>
                <w:sz w:val="24"/>
                <w:szCs w:val="24"/>
              </w:rPr>
              <w:t>publiskajiem partneriem</w:t>
            </w:r>
            <w:r w:rsidR="005E17EC">
              <w:rPr>
                <w:rFonts w:ascii="Times New Roman" w:hAnsi="Times New Roman" w:cs="Times New Roman"/>
                <w:sz w:val="24"/>
                <w:szCs w:val="24"/>
              </w:rPr>
              <w:t>, jo elektroniskos rēķinus apstrādās un ģenerēs elektroniskā vidē.</w:t>
            </w:r>
          </w:p>
          <w:p w14:paraId="12EE76D6" w14:textId="5B7D93A3"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Administratīvais slogs nav objektīvi novērtējams, jo ne visas persona, kas iegūs līguma slēgšanas tiesības izmantos elektronisko rēķinu iesniegšanu. Līdz ar to, nav prognozējams, par cik samazināsies administratīvais slogs personām, kas iegūs līguma slēgšanas tiesības.</w:t>
            </w:r>
          </w:p>
        </w:tc>
      </w:tr>
      <w:tr w:rsidR="009626E7" w:rsidRPr="00946012"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1B80A5F0"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8BB62B" w14:textId="74D73E41"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66E85612" w14:textId="60C6201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2BCA30FB"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Projekts šo jomu neskar.</w:t>
            </w:r>
          </w:p>
        </w:tc>
      </w:tr>
    </w:tbl>
    <w:p w14:paraId="50936EF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37F0FC71" w14:textId="77777777"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14:paraId="395A52DD" w14:textId="7777777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4A40" w14:textId="77777777"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14:paraId="4CFDDF5E"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29CB6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6D8743"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AE272" w14:textId="7385EAE7" w:rsidR="009731D7" w:rsidRPr="009731D7" w:rsidRDefault="00FA3F85" w:rsidP="00004E28">
            <w:pPr>
              <w:jc w:val="both"/>
              <w:rPr>
                <w:rFonts w:ascii="Times New Roman" w:hAnsi="Times New Roman" w:cs="Times New Roman"/>
                <w:sz w:val="24"/>
                <w:szCs w:val="24"/>
              </w:rPr>
            </w:pPr>
            <w:r>
              <w:rPr>
                <w:rFonts w:ascii="Times New Roman" w:hAnsi="Times New Roman" w:cs="Times New Roman"/>
                <w:sz w:val="24"/>
                <w:szCs w:val="24"/>
              </w:rPr>
              <w:t>Likumprojektā dots</w:t>
            </w:r>
            <w:r w:rsidRPr="00A51750">
              <w:rPr>
                <w:rFonts w:ascii="Times New Roman" w:hAnsi="Times New Roman" w:cs="Times New Roman"/>
                <w:sz w:val="24"/>
                <w:szCs w:val="24"/>
              </w:rPr>
              <w:t xml:space="preserve"> deleģējum</w:t>
            </w:r>
            <w:r>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Pr>
                <w:rFonts w:ascii="Times New Roman" w:hAnsi="Times New Roman" w:cs="Times New Roman"/>
                <w:sz w:val="24"/>
                <w:szCs w:val="24"/>
              </w:rPr>
              <w:t>izstrādāt Ministru kabineta noteikumus, kuros tiks noteikts</w:t>
            </w:r>
            <w:r w:rsidRPr="00A51750">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elektroniskā rēķina standarts un tā</w:t>
            </w:r>
            <w:r w:rsidRPr="00434923">
              <w:rPr>
                <w:rFonts w:ascii="Times New Roman" w:eastAsia="Times New Roman" w:hAnsi="Times New Roman" w:cs="Times New Roman"/>
                <w:sz w:val="24"/>
                <w:szCs w:val="24"/>
                <w:lang w:eastAsia="lv-LV"/>
              </w:rPr>
              <w:t xml:space="preserve"> pamatele</w:t>
            </w:r>
            <w:r>
              <w:rPr>
                <w:rFonts w:ascii="Times New Roman" w:eastAsia="Times New Roman" w:hAnsi="Times New Roman" w:cs="Times New Roman"/>
                <w:sz w:val="24"/>
                <w:szCs w:val="24"/>
                <w:lang w:eastAsia="lv-LV"/>
              </w:rPr>
              <w:t>mentu izmantošanas specifikācija un nosūtīšanas kārtība.</w:t>
            </w:r>
            <w:r>
              <w:rPr>
                <w:rFonts w:ascii="Times New Roman" w:hAnsi="Times New Roman" w:cs="Times New Roman"/>
                <w:sz w:val="24"/>
                <w:szCs w:val="24"/>
              </w:rPr>
              <w:t xml:space="preserve"> Minētais standarts un </w:t>
            </w:r>
            <w:r>
              <w:rPr>
                <w:rFonts w:ascii="Times New Roman" w:eastAsia="Times New Roman" w:hAnsi="Times New Roman" w:cs="Times New Roman"/>
                <w:sz w:val="24"/>
                <w:szCs w:val="24"/>
                <w:lang w:eastAsia="lv-LV"/>
              </w:rPr>
              <w:t>tā</w:t>
            </w:r>
            <w:r w:rsidRPr="00434923">
              <w:rPr>
                <w:rFonts w:ascii="Times New Roman" w:eastAsia="Times New Roman" w:hAnsi="Times New Roman" w:cs="Times New Roman"/>
                <w:sz w:val="24"/>
                <w:szCs w:val="24"/>
                <w:lang w:eastAsia="lv-LV"/>
              </w:rPr>
              <w:t xml:space="preserve"> pamatele</w:t>
            </w:r>
            <w:r>
              <w:rPr>
                <w:rFonts w:ascii="Times New Roman" w:eastAsia="Times New Roman" w:hAnsi="Times New Roman" w:cs="Times New Roman"/>
                <w:sz w:val="24"/>
                <w:szCs w:val="24"/>
                <w:lang w:eastAsia="lv-LV"/>
              </w:rPr>
              <w:t>mentu izmantošanas specifikācija</w:t>
            </w:r>
            <w:r>
              <w:rPr>
                <w:rFonts w:ascii="Times New Roman" w:hAnsi="Times New Roman" w:cs="Times New Roman"/>
                <w:sz w:val="24"/>
                <w:szCs w:val="24"/>
              </w:rPr>
              <w:t xml:space="preserve"> būs jāņem vērā</w:t>
            </w:r>
            <w:r w:rsidRPr="00A51750">
              <w:rPr>
                <w:rFonts w:ascii="Times New Roman" w:hAnsi="Times New Roman" w:cs="Times New Roman"/>
                <w:sz w:val="24"/>
                <w:szCs w:val="24"/>
              </w:rPr>
              <w:t xml:space="preserve"> </w:t>
            </w:r>
            <w:r>
              <w:rPr>
                <w:rFonts w:ascii="Times New Roman" w:hAnsi="Times New Roman" w:cs="Times New Roman"/>
                <w:sz w:val="24"/>
                <w:szCs w:val="24"/>
              </w:rPr>
              <w:t xml:space="preserve">informācijas tehnoloģijas sistēmas izstrādātājiem, izstrādājot vai atjaunojot informācijas tehnoloģijas sistēmas. Tāpat ar Ministru kabineta noteikumiem </w:t>
            </w:r>
            <w:r>
              <w:rPr>
                <w:rFonts w:ascii="Times New Roman" w:hAnsi="Times New Roman" w:cs="Times New Roman"/>
                <w:sz w:val="24"/>
                <w:szCs w:val="24"/>
              </w:rPr>
              <w:lastRenderedPageBreak/>
              <w:t>risināms jautājums par e-rēķinu nosūtīšanas kārtību jeb piegādes kanāliem. Ministru kabineta noteikumu izstrādes gaitā panākama vienošanās par to, kādi piegādes kanāli izmantojami e-rēķinu piegādei starpvalstu līmenī (paredzēts izmantot PEPPOL infrastruktūru), kā arī nacionālajā līmenī (sākuma posmā līdz koplietošanas infrastruktūras izstrādei nav paredzēts ierobežot izmantojamos piegādes kanālus, bet attiecībā uz nākotnē izmantojamajiem piegādes kanāliem diskutējams jautājums par Valsts reģionālās attīstības aģentūras piedāvātā e-adreses risinājuma izstrādi vai alternatīvu risinājumu).</w:t>
            </w:r>
          </w:p>
        </w:tc>
      </w:tr>
      <w:tr w:rsidR="009731D7" w:rsidRPr="009731D7" w14:paraId="18DCBC80"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6EFC94"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DC9507"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4E1086" w14:textId="1B026B7F"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14:paraId="155CA565"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8297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9C2940"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E766B9" w14:textId="6CE58D44"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14:paraId="58DA1F9B" w14:textId="570CAF34" w:rsidR="009731D7" w:rsidRDefault="009731D7" w:rsidP="00E5323B">
      <w:pPr>
        <w:spacing w:after="0" w:line="240" w:lineRule="auto"/>
        <w:rPr>
          <w:rFonts w:ascii="Times New Roman" w:eastAsia="Times New Roman" w:hAnsi="Times New Roman" w:cs="Times New Roman"/>
          <w:iCs/>
          <w:sz w:val="24"/>
          <w:szCs w:val="24"/>
          <w:lang w:val="en-US" w:eastAsia="lv-LV"/>
        </w:rPr>
      </w:pPr>
    </w:p>
    <w:p w14:paraId="388ABC57" w14:textId="77777777"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14:paraId="33482E6E" w14:textId="77777777" w:rsidTr="008A0D4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14:paraId="3D25BA6A" w14:textId="77777777"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254DC9" w14:textId="77777777"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14:paraId="71329A1E" w14:textId="77777777"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14:paraId="6B6D364B"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1.</w:t>
                  </w:r>
                </w:p>
              </w:tc>
              <w:tc>
                <w:tcPr>
                  <w:tcW w:w="1363" w:type="pct"/>
                  <w:tcBorders>
                    <w:top w:val="outset" w:sz="6" w:space="0" w:color="414142"/>
                    <w:left w:val="outset" w:sz="6" w:space="0" w:color="414142"/>
                    <w:bottom w:val="outset" w:sz="6" w:space="0" w:color="414142"/>
                    <w:right w:val="outset" w:sz="6" w:space="0" w:color="414142"/>
                  </w:tcBorders>
                  <w:hideMark/>
                </w:tcPr>
                <w:p w14:paraId="57C8C78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14:paraId="4C9AFEED" w14:textId="79087B75"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14:paraId="6A99EA2F" w14:textId="77777777"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14:paraId="3D4F70CD"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2.</w:t>
                  </w:r>
                </w:p>
              </w:tc>
              <w:tc>
                <w:tcPr>
                  <w:tcW w:w="1363" w:type="pct"/>
                  <w:tcBorders>
                    <w:top w:val="outset" w:sz="6" w:space="0" w:color="414142"/>
                    <w:left w:val="outset" w:sz="6" w:space="0" w:color="414142"/>
                    <w:bottom w:val="outset" w:sz="6" w:space="0" w:color="414142"/>
                    <w:right w:val="outset" w:sz="6" w:space="0" w:color="414142"/>
                  </w:tcBorders>
                  <w:hideMark/>
                </w:tcPr>
                <w:p w14:paraId="2BA744B6"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14:paraId="4B03C498"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14:paraId="6B318700" w14:textId="77777777"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14:paraId="2DBA0DA7"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3.</w:t>
                  </w:r>
                </w:p>
              </w:tc>
              <w:tc>
                <w:tcPr>
                  <w:tcW w:w="1363" w:type="pct"/>
                  <w:tcBorders>
                    <w:top w:val="outset" w:sz="6" w:space="0" w:color="414142"/>
                    <w:left w:val="outset" w:sz="6" w:space="0" w:color="414142"/>
                    <w:bottom w:val="outset" w:sz="6" w:space="0" w:color="414142"/>
                    <w:right w:val="outset" w:sz="6" w:space="0" w:color="414142"/>
                  </w:tcBorders>
                  <w:hideMark/>
                </w:tcPr>
                <w:p w14:paraId="55AA8DD1"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14:paraId="0B0F761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14:paraId="4B9BB244" w14:textId="77777777"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14:paraId="6614EB81" w14:textId="77777777"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1719"/>
              <w:gridCol w:w="18"/>
              <w:gridCol w:w="1650"/>
              <w:gridCol w:w="1712"/>
              <w:gridCol w:w="1942"/>
              <w:gridCol w:w="1854"/>
            </w:tblGrid>
            <w:tr w:rsidR="009422CB" w:rsidRPr="00946012" w14:paraId="5BC08310" w14:textId="77777777" w:rsidTr="00902887">
              <w:trPr>
                <w:trHeight w:val="830"/>
              </w:trPr>
              <w:tc>
                <w:tcPr>
                  <w:tcW w:w="1737" w:type="dxa"/>
                  <w:gridSpan w:val="2"/>
                </w:tcPr>
                <w:p w14:paraId="2F12C4F4" w14:textId="77777777" w:rsidR="009422CB" w:rsidRPr="00946012" w:rsidRDefault="009422CB" w:rsidP="00946012">
                  <w:pPr>
                    <w:rPr>
                      <w:rFonts w:cs="Times New Roman"/>
                      <w:szCs w:val="24"/>
                    </w:rPr>
                  </w:pPr>
                  <w:r w:rsidRPr="00946012">
                    <w:rPr>
                      <w:rFonts w:cs="Times New Roman"/>
                      <w:szCs w:val="24"/>
                    </w:rPr>
                    <w:t>Attiecīgā Eiropas Savienības tiesību akta datums, nosaukums</w:t>
                  </w:r>
                </w:p>
              </w:tc>
              <w:tc>
                <w:tcPr>
                  <w:tcW w:w="1650" w:type="dxa"/>
                </w:tcPr>
                <w:p w14:paraId="619686CD" w14:textId="77777777" w:rsidR="009422CB" w:rsidRPr="00946012" w:rsidRDefault="009422CB" w:rsidP="00946012">
                  <w:pPr>
                    <w:rPr>
                      <w:rFonts w:cs="Times New Roman"/>
                      <w:szCs w:val="24"/>
                    </w:rPr>
                  </w:pPr>
                </w:p>
              </w:tc>
              <w:tc>
                <w:tcPr>
                  <w:tcW w:w="5508" w:type="dxa"/>
                  <w:gridSpan w:val="3"/>
                </w:tcPr>
                <w:p w14:paraId="7E1A8DD8" w14:textId="4BF3C342" w:rsidR="009422CB" w:rsidRPr="00946012" w:rsidRDefault="009422CB" w:rsidP="00946012">
                  <w:pPr>
                    <w:rPr>
                      <w:rFonts w:cs="Times New Roman"/>
                      <w:szCs w:val="24"/>
                    </w:rPr>
                  </w:pPr>
                  <w:r w:rsidRPr="00946012">
                    <w:rPr>
                      <w:rFonts w:cs="Times New Roman"/>
                      <w:szCs w:val="24"/>
                    </w:rPr>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22CB" w:rsidRPr="00946012" w14:paraId="1FB5DEFE" w14:textId="77777777" w:rsidTr="00902887">
              <w:trPr>
                <w:trHeight w:val="271"/>
              </w:trPr>
              <w:tc>
                <w:tcPr>
                  <w:tcW w:w="1719" w:type="dxa"/>
                </w:tcPr>
                <w:p w14:paraId="306D586B" w14:textId="77777777" w:rsidR="009422CB" w:rsidRPr="00946012" w:rsidRDefault="009422CB" w:rsidP="00946012">
                  <w:pPr>
                    <w:rPr>
                      <w:rFonts w:cs="Times New Roman"/>
                      <w:szCs w:val="24"/>
                    </w:rPr>
                  </w:pPr>
                </w:p>
              </w:tc>
              <w:tc>
                <w:tcPr>
                  <w:tcW w:w="7176" w:type="dxa"/>
                  <w:gridSpan w:val="5"/>
                </w:tcPr>
                <w:p w14:paraId="0370F6BA" w14:textId="66BE5FC8" w:rsidR="009422CB" w:rsidRPr="00946012" w:rsidRDefault="009422CB" w:rsidP="00946012">
                  <w:pPr>
                    <w:rPr>
                      <w:rFonts w:cs="Times New Roman"/>
                      <w:szCs w:val="24"/>
                    </w:rPr>
                  </w:pPr>
                </w:p>
              </w:tc>
            </w:tr>
            <w:tr w:rsidR="009422CB" w:rsidRPr="00946012" w14:paraId="0FB3F0AA" w14:textId="77777777" w:rsidTr="00902887">
              <w:trPr>
                <w:trHeight w:val="271"/>
              </w:trPr>
              <w:tc>
                <w:tcPr>
                  <w:tcW w:w="1737" w:type="dxa"/>
                  <w:gridSpan w:val="2"/>
                </w:tcPr>
                <w:p w14:paraId="1F386A33" w14:textId="77777777" w:rsidR="009422CB" w:rsidRPr="00946012" w:rsidRDefault="009422CB" w:rsidP="00946012">
                  <w:pPr>
                    <w:rPr>
                      <w:rFonts w:cs="Times New Roman"/>
                      <w:szCs w:val="24"/>
                    </w:rPr>
                  </w:pPr>
                  <w:r w:rsidRPr="00946012">
                    <w:rPr>
                      <w:rFonts w:cs="Times New Roman"/>
                      <w:szCs w:val="24"/>
                    </w:rPr>
                    <w:t>A</w:t>
                  </w:r>
                </w:p>
              </w:tc>
              <w:tc>
                <w:tcPr>
                  <w:tcW w:w="1650" w:type="dxa"/>
                </w:tcPr>
                <w:p w14:paraId="25469254" w14:textId="77777777" w:rsidR="009422CB" w:rsidRPr="00946012" w:rsidRDefault="009422CB" w:rsidP="00946012">
                  <w:pPr>
                    <w:rPr>
                      <w:rFonts w:cs="Times New Roman"/>
                      <w:szCs w:val="24"/>
                    </w:rPr>
                  </w:pPr>
                </w:p>
              </w:tc>
              <w:tc>
                <w:tcPr>
                  <w:tcW w:w="1712" w:type="dxa"/>
                </w:tcPr>
                <w:p w14:paraId="524EFBA5" w14:textId="6DE5D5C3" w:rsidR="009422CB" w:rsidRPr="00946012" w:rsidRDefault="009422CB" w:rsidP="00946012">
                  <w:pPr>
                    <w:rPr>
                      <w:rFonts w:cs="Times New Roman"/>
                      <w:szCs w:val="24"/>
                    </w:rPr>
                  </w:pPr>
                  <w:r w:rsidRPr="00946012">
                    <w:rPr>
                      <w:rFonts w:cs="Times New Roman"/>
                      <w:szCs w:val="24"/>
                    </w:rPr>
                    <w:t>B</w:t>
                  </w:r>
                </w:p>
              </w:tc>
              <w:tc>
                <w:tcPr>
                  <w:tcW w:w="1942" w:type="dxa"/>
                </w:tcPr>
                <w:p w14:paraId="3B18CFF8" w14:textId="77777777" w:rsidR="009422CB" w:rsidRPr="00946012" w:rsidRDefault="009422CB" w:rsidP="00946012">
                  <w:pPr>
                    <w:rPr>
                      <w:rFonts w:cs="Times New Roman"/>
                      <w:szCs w:val="24"/>
                    </w:rPr>
                  </w:pPr>
                  <w:r w:rsidRPr="00946012">
                    <w:rPr>
                      <w:rFonts w:cs="Times New Roman"/>
                      <w:szCs w:val="24"/>
                    </w:rPr>
                    <w:t>C</w:t>
                  </w:r>
                </w:p>
              </w:tc>
              <w:tc>
                <w:tcPr>
                  <w:tcW w:w="1854" w:type="dxa"/>
                </w:tcPr>
                <w:p w14:paraId="41EF2D91" w14:textId="77777777" w:rsidR="009422CB" w:rsidRPr="00946012" w:rsidRDefault="009422CB" w:rsidP="00946012">
                  <w:pPr>
                    <w:rPr>
                      <w:rFonts w:cs="Times New Roman"/>
                      <w:szCs w:val="24"/>
                    </w:rPr>
                  </w:pPr>
                  <w:r w:rsidRPr="00946012">
                    <w:rPr>
                      <w:rFonts w:cs="Times New Roman"/>
                      <w:szCs w:val="24"/>
                    </w:rPr>
                    <w:t>D</w:t>
                  </w:r>
                </w:p>
              </w:tc>
            </w:tr>
            <w:tr w:rsidR="009422CB" w:rsidRPr="00946012" w14:paraId="5DDAC247" w14:textId="77777777" w:rsidTr="00902887">
              <w:trPr>
                <w:trHeight w:val="830"/>
              </w:trPr>
              <w:tc>
                <w:tcPr>
                  <w:tcW w:w="1737" w:type="dxa"/>
                  <w:gridSpan w:val="2"/>
                </w:tcPr>
                <w:p w14:paraId="05246D32" w14:textId="77777777" w:rsidR="009422CB" w:rsidRPr="00946012" w:rsidRDefault="009422CB" w:rsidP="00946012">
                  <w:pPr>
                    <w:rPr>
                      <w:rFonts w:cs="Times New Roman"/>
                      <w:szCs w:val="24"/>
                    </w:rPr>
                  </w:pPr>
                  <w:r w:rsidRPr="00946012">
                    <w:rPr>
                      <w:rFonts w:cs="Times New Roman"/>
                      <w:szCs w:val="24"/>
                    </w:rPr>
                    <w:t>1.pants</w:t>
                  </w:r>
                </w:p>
              </w:tc>
              <w:tc>
                <w:tcPr>
                  <w:tcW w:w="1650" w:type="dxa"/>
                </w:tcPr>
                <w:p w14:paraId="00DE03C7" w14:textId="77777777" w:rsidR="009422CB" w:rsidRDefault="009422CB" w:rsidP="005E17EC">
                  <w:pPr>
                    <w:rPr>
                      <w:rFonts w:cs="Times New Roman"/>
                      <w:szCs w:val="24"/>
                    </w:rPr>
                  </w:pPr>
                </w:p>
              </w:tc>
              <w:tc>
                <w:tcPr>
                  <w:tcW w:w="1712" w:type="dxa"/>
                </w:tcPr>
                <w:p w14:paraId="617DDCEC" w14:textId="53EC993C" w:rsidR="009422CB" w:rsidRPr="00946012" w:rsidRDefault="002E1A7F" w:rsidP="00D33213">
                  <w:pPr>
                    <w:rPr>
                      <w:rFonts w:cs="Times New Roman"/>
                      <w:szCs w:val="24"/>
                    </w:rPr>
                  </w:pPr>
                  <w:r>
                    <w:rPr>
                      <w:rFonts w:cs="Times New Roman"/>
                      <w:szCs w:val="24"/>
                    </w:rPr>
                    <w:t>3</w:t>
                  </w:r>
                  <w:r w:rsidR="009422CB">
                    <w:rPr>
                      <w:rFonts w:cs="Times New Roman"/>
                      <w:szCs w:val="24"/>
                    </w:rPr>
                    <w:t>.pant</w:t>
                  </w:r>
                  <w:r w:rsidR="00D33213">
                    <w:rPr>
                      <w:rFonts w:cs="Times New Roman"/>
                      <w:szCs w:val="24"/>
                    </w:rPr>
                    <w:t>s</w:t>
                  </w:r>
                </w:p>
              </w:tc>
              <w:tc>
                <w:tcPr>
                  <w:tcW w:w="1942" w:type="dxa"/>
                </w:tcPr>
                <w:p w14:paraId="64931F02" w14:textId="04B67B87"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daļēji.</w:t>
                  </w:r>
                </w:p>
                <w:p w14:paraId="67AD8DA2" w14:textId="77777777" w:rsidR="009422CB" w:rsidRDefault="009422CB" w:rsidP="005E17EC">
                  <w:pPr>
                    <w:rPr>
                      <w:rFonts w:cs="Times New Roman"/>
                      <w:color w:val="000000" w:themeColor="text1"/>
                      <w:szCs w:val="24"/>
                    </w:rPr>
                  </w:pPr>
                </w:p>
                <w:p w14:paraId="349127B2" w14:textId="2B149B07" w:rsidR="009422CB" w:rsidRPr="00946012" w:rsidRDefault="009422CB" w:rsidP="00B12A3B">
                  <w:pPr>
                    <w:rPr>
                      <w:rFonts w:cs="Times New Roman"/>
                      <w:szCs w:val="24"/>
                    </w:rPr>
                  </w:pPr>
                  <w:r>
                    <w:rPr>
                      <w:rFonts w:cs="Times New Roman"/>
                      <w:color w:val="000000" w:themeColor="text1"/>
                      <w:szCs w:val="24"/>
                    </w:rPr>
                    <w:t xml:space="preserve">Pilnīgas direktīvas normas transponēšanai ir nepieciešami </w:t>
                  </w:r>
                  <w:r>
                    <w:rPr>
                      <w:rFonts w:cs="Times New Roman"/>
                      <w:color w:val="000000" w:themeColor="text1"/>
                      <w:szCs w:val="24"/>
                    </w:rPr>
                    <w:lastRenderedPageBreak/>
                    <w:t xml:space="preserve">grozījumi </w:t>
                  </w:r>
                  <w:r w:rsidR="005D0ABE">
                    <w:rPr>
                      <w:rFonts w:cs="Times New Roman"/>
                      <w:color w:val="000000" w:themeColor="text1"/>
                      <w:szCs w:val="24"/>
                    </w:rPr>
                    <w:t>Publisko iepirkumu</w:t>
                  </w:r>
                  <w:r>
                    <w:rPr>
                      <w:rFonts w:cs="Times New Roman"/>
                      <w:color w:val="000000" w:themeColor="text1"/>
                      <w:szCs w:val="24"/>
                    </w:rPr>
                    <w:t xml:space="preserve"> likumā, </w:t>
                  </w:r>
                  <w:r w:rsidR="00B12A3B">
                    <w:rPr>
                      <w:rFonts w:cs="Times New Roman"/>
                      <w:color w:val="000000" w:themeColor="text1"/>
                      <w:szCs w:val="24"/>
                    </w:rPr>
                    <w:t>Sabiedrisko pakalpojumu sniedzēju iepirkumu likumā</w:t>
                  </w:r>
                  <w:r>
                    <w:rPr>
                      <w:rFonts w:cs="Times New Roman"/>
                      <w:color w:val="000000" w:themeColor="text1"/>
                      <w:szCs w:val="24"/>
                    </w:rPr>
                    <w:t xml:space="preserve"> un Aizsardzības un </w:t>
                  </w:r>
                  <w:r w:rsidR="00A211D7">
                    <w:rPr>
                      <w:rFonts w:cs="Times New Roman"/>
                      <w:color w:val="000000" w:themeColor="text1"/>
                      <w:szCs w:val="24"/>
                    </w:rPr>
                    <w:t>drošības jomas iepirkumu likumā.</w:t>
                  </w:r>
                </w:p>
              </w:tc>
              <w:tc>
                <w:tcPr>
                  <w:tcW w:w="1854" w:type="dxa"/>
                </w:tcPr>
                <w:p w14:paraId="3FACA8F6" w14:textId="77777777" w:rsidR="009422CB" w:rsidRPr="00946012" w:rsidRDefault="009422CB"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422CB" w:rsidRPr="00946012" w14:paraId="68B09C3C" w14:textId="77777777" w:rsidTr="00902887">
              <w:trPr>
                <w:trHeight w:val="830"/>
              </w:trPr>
              <w:tc>
                <w:tcPr>
                  <w:tcW w:w="1737" w:type="dxa"/>
                  <w:gridSpan w:val="2"/>
                  <w:vMerge w:val="restart"/>
                </w:tcPr>
                <w:p w14:paraId="2C5C00A0" w14:textId="77777777" w:rsidR="009422CB" w:rsidRPr="00946012" w:rsidRDefault="009422CB" w:rsidP="00946012">
                  <w:pPr>
                    <w:rPr>
                      <w:rFonts w:cs="Times New Roman"/>
                      <w:szCs w:val="24"/>
                    </w:rPr>
                  </w:pPr>
                  <w:r w:rsidRPr="00946012">
                    <w:rPr>
                      <w:rFonts w:cs="Times New Roman"/>
                      <w:szCs w:val="24"/>
                    </w:rPr>
                    <w:t>2.pants</w:t>
                  </w:r>
                </w:p>
              </w:tc>
              <w:tc>
                <w:tcPr>
                  <w:tcW w:w="1650" w:type="dxa"/>
                </w:tcPr>
                <w:p w14:paraId="1B1BD7AD" w14:textId="27AC8D8F" w:rsidR="009422CB" w:rsidRDefault="009422CB" w:rsidP="003D691C">
                  <w:pPr>
                    <w:rPr>
                      <w:rFonts w:cs="Times New Roman"/>
                      <w:szCs w:val="24"/>
                    </w:rPr>
                  </w:pPr>
                  <w:r>
                    <w:rPr>
                      <w:rFonts w:cs="Times New Roman"/>
                      <w:szCs w:val="24"/>
                    </w:rPr>
                    <w:t>1.punkts</w:t>
                  </w:r>
                </w:p>
              </w:tc>
              <w:tc>
                <w:tcPr>
                  <w:tcW w:w="1712" w:type="dxa"/>
                </w:tcPr>
                <w:p w14:paraId="6090C401" w14:textId="5A6D07C6" w:rsidR="009422CB" w:rsidRPr="00946012" w:rsidRDefault="00C00C9C" w:rsidP="003D691C">
                  <w:pPr>
                    <w:rPr>
                      <w:rFonts w:cs="Times New Roman"/>
                      <w:szCs w:val="24"/>
                    </w:rPr>
                  </w:pPr>
                  <w:r>
                    <w:rPr>
                      <w:rFonts w:cs="Times New Roman"/>
                      <w:szCs w:val="24"/>
                    </w:rPr>
                    <w:t>2</w:t>
                  </w:r>
                  <w:r w:rsidR="00A211D7">
                    <w:rPr>
                      <w:rFonts w:cs="Times New Roman"/>
                      <w:szCs w:val="24"/>
                    </w:rPr>
                    <w:t>.pants</w:t>
                  </w:r>
                </w:p>
              </w:tc>
              <w:tc>
                <w:tcPr>
                  <w:tcW w:w="1942" w:type="dxa"/>
                </w:tcPr>
                <w:p w14:paraId="0AE2BDDB" w14:textId="098BFBE4"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pilnībā.</w:t>
                  </w:r>
                </w:p>
                <w:p w14:paraId="083CE35A" w14:textId="77777777" w:rsidR="009422CB" w:rsidRDefault="009422CB" w:rsidP="005E17EC">
                  <w:pPr>
                    <w:rPr>
                      <w:rFonts w:cs="Times New Roman"/>
                      <w:color w:val="000000" w:themeColor="text1"/>
                      <w:szCs w:val="24"/>
                    </w:rPr>
                  </w:pPr>
                </w:p>
                <w:p w14:paraId="2CBC37F3" w14:textId="5C3C16A0" w:rsidR="009422CB" w:rsidRPr="00946012" w:rsidRDefault="009422CB" w:rsidP="005E17EC">
                  <w:pPr>
                    <w:rPr>
                      <w:rFonts w:cs="Times New Roman"/>
                      <w:szCs w:val="24"/>
                    </w:rPr>
                  </w:pPr>
                </w:p>
              </w:tc>
              <w:tc>
                <w:tcPr>
                  <w:tcW w:w="1854" w:type="dxa"/>
                </w:tcPr>
                <w:p w14:paraId="4BBB3A19"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40602C21" w14:textId="77777777" w:rsidTr="00902887">
              <w:trPr>
                <w:trHeight w:val="830"/>
              </w:trPr>
              <w:tc>
                <w:tcPr>
                  <w:tcW w:w="1737" w:type="dxa"/>
                  <w:gridSpan w:val="2"/>
                  <w:vMerge/>
                </w:tcPr>
                <w:p w14:paraId="57BD9391" w14:textId="77777777" w:rsidR="009422CB" w:rsidRPr="00946012" w:rsidRDefault="009422CB" w:rsidP="00946012">
                  <w:pPr>
                    <w:rPr>
                      <w:rFonts w:cs="Times New Roman"/>
                      <w:szCs w:val="24"/>
                    </w:rPr>
                  </w:pPr>
                </w:p>
              </w:tc>
              <w:tc>
                <w:tcPr>
                  <w:tcW w:w="1650" w:type="dxa"/>
                </w:tcPr>
                <w:p w14:paraId="74F67F9F" w14:textId="373068A9" w:rsidR="009422CB" w:rsidRDefault="009422CB" w:rsidP="00946012">
                  <w:pPr>
                    <w:rPr>
                      <w:rFonts w:cs="Times New Roman"/>
                      <w:szCs w:val="24"/>
                    </w:rPr>
                  </w:pPr>
                  <w:r>
                    <w:rPr>
                      <w:rFonts w:cs="Times New Roman"/>
                      <w:szCs w:val="24"/>
                    </w:rPr>
                    <w:t>2.punkts</w:t>
                  </w:r>
                </w:p>
              </w:tc>
              <w:tc>
                <w:tcPr>
                  <w:tcW w:w="1712" w:type="dxa"/>
                </w:tcPr>
                <w:p w14:paraId="1ED30FD3" w14:textId="0776A09B" w:rsidR="009422CB" w:rsidRDefault="00C00C9C" w:rsidP="00946012">
                  <w:pPr>
                    <w:rPr>
                      <w:rFonts w:cs="Times New Roman"/>
                      <w:szCs w:val="24"/>
                    </w:rPr>
                  </w:pPr>
                  <w:r>
                    <w:rPr>
                      <w:rFonts w:cs="Times New Roman"/>
                      <w:szCs w:val="24"/>
                    </w:rPr>
                    <w:t>2</w:t>
                  </w:r>
                  <w:r w:rsidR="00292B94">
                    <w:rPr>
                      <w:rFonts w:cs="Times New Roman"/>
                      <w:szCs w:val="24"/>
                    </w:rPr>
                    <w:t>.pants</w:t>
                  </w:r>
                </w:p>
              </w:tc>
              <w:tc>
                <w:tcPr>
                  <w:tcW w:w="1942" w:type="dxa"/>
                </w:tcPr>
                <w:p w14:paraId="734EE606" w14:textId="38D509A3"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2212C594" w14:textId="77777777" w:rsidR="009422CB" w:rsidRPr="00946012" w:rsidRDefault="009422CB" w:rsidP="005E17EC">
                  <w:pPr>
                    <w:rPr>
                      <w:rFonts w:cs="Times New Roman"/>
                      <w:color w:val="000000" w:themeColor="text1"/>
                      <w:szCs w:val="24"/>
                    </w:rPr>
                  </w:pPr>
                </w:p>
              </w:tc>
              <w:tc>
                <w:tcPr>
                  <w:tcW w:w="1854" w:type="dxa"/>
                </w:tcPr>
                <w:p w14:paraId="453293E2" w14:textId="76F2ED1F"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2BEA39F2" w14:textId="77777777" w:rsidTr="00902887">
              <w:trPr>
                <w:trHeight w:val="830"/>
              </w:trPr>
              <w:tc>
                <w:tcPr>
                  <w:tcW w:w="1737" w:type="dxa"/>
                  <w:gridSpan w:val="2"/>
                  <w:vMerge/>
                </w:tcPr>
                <w:p w14:paraId="3176A3B6" w14:textId="77777777" w:rsidR="009422CB" w:rsidRPr="00946012" w:rsidRDefault="009422CB" w:rsidP="00946012">
                  <w:pPr>
                    <w:rPr>
                      <w:rFonts w:cs="Times New Roman"/>
                      <w:szCs w:val="24"/>
                    </w:rPr>
                  </w:pPr>
                </w:p>
              </w:tc>
              <w:tc>
                <w:tcPr>
                  <w:tcW w:w="1650" w:type="dxa"/>
                </w:tcPr>
                <w:p w14:paraId="7F796756" w14:textId="2D808484" w:rsidR="009422CB" w:rsidRDefault="009422CB" w:rsidP="00946012">
                  <w:pPr>
                    <w:rPr>
                      <w:rFonts w:cs="Times New Roman"/>
                      <w:szCs w:val="24"/>
                    </w:rPr>
                  </w:pPr>
                  <w:r>
                    <w:rPr>
                      <w:rFonts w:cs="Times New Roman"/>
                      <w:szCs w:val="24"/>
                    </w:rPr>
                    <w:t>3.punkts</w:t>
                  </w:r>
                </w:p>
              </w:tc>
              <w:tc>
                <w:tcPr>
                  <w:tcW w:w="1712" w:type="dxa"/>
                </w:tcPr>
                <w:p w14:paraId="2F733AB6" w14:textId="5542253A" w:rsidR="009422CB" w:rsidRDefault="009422CB" w:rsidP="00946012">
                  <w:pPr>
                    <w:rPr>
                      <w:rFonts w:cs="Times New Roman"/>
                      <w:szCs w:val="24"/>
                    </w:rPr>
                  </w:pPr>
                  <w:r w:rsidRPr="00946012">
                    <w:rPr>
                      <w:rFonts w:cs="Times New Roman"/>
                      <w:szCs w:val="24"/>
                    </w:rPr>
                    <w:t>Nav jāpārņem</w:t>
                  </w:r>
                </w:p>
              </w:tc>
              <w:tc>
                <w:tcPr>
                  <w:tcW w:w="1942" w:type="dxa"/>
                </w:tcPr>
                <w:p w14:paraId="20791973" w14:textId="6AFEFC2A"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273AEDAC" w14:textId="304B6594" w:rsidR="00292B94" w:rsidRDefault="00292B94" w:rsidP="003D691C">
                  <w:pPr>
                    <w:rPr>
                      <w:rFonts w:cs="Times New Roman"/>
                      <w:color w:val="000000" w:themeColor="text1"/>
                      <w:szCs w:val="24"/>
                    </w:rPr>
                  </w:pPr>
                </w:p>
                <w:p w14:paraId="72A0176E" w14:textId="4CCC3983" w:rsidR="009422CB" w:rsidRPr="00946012" w:rsidRDefault="00292B94"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proofErr w:type="spellStart"/>
                  <w:r>
                    <w:rPr>
                      <w:rFonts w:eastAsia="Times New Roman"/>
                      <w:szCs w:val="24"/>
                      <w:lang w:eastAsia="lv-LV"/>
                    </w:rPr>
                    <w:t>sematiskais</w:t>
                  </w:r>
                  <w:proofErr w:type="spellEnd"/>
                  <w:r>
                    <w:rPr>
                      <w:rFonts w:eastAsia="Times New Roman"/>
                      <w:szCs w:val="24"/>
                      <w:lang w:eastAsia="lv-LV"/>
                    </w:rPr>
                    <w:t xml:space="preserve"> datu modelis</w:t>
                  </w:r>
                  <w:r w:rsidRPr="00806003">
                    <w:rPr>
                      <w:rFonts w:eastAsia="Times New Roman"/>
                      <w:szCs w:val="24"/>
                      <w:lang w:eastAsia="lv-LV"/>
                    </w:rPr>
                    <w:t>” tiek lietots vispārpieņemtā šī jēdziena nozīmē un nav nepieciešams tā skaidrojums.</w:t>
                  </w:r>
                </w:p>
              </w:tc>
              <w:tc>
                <w:tcPr>
                  <w:tcW w:w="1854" w:type="dxa"/>
                </w:tcPr>
                <w:p w14:paraId="02AFC376" w14:textId="18746CA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F97DCB4" w14:textId="77777777" w:rsidTr="00902887">
              <w:trPr>
                <w:trHeight w:val="830"/>
              </w:trPr>
              <w:tc>
                <w:tcPr>
                  <w:tcW w:w="1737" w:type="dxa"/>
                  <w:gridSpan w:val="2"/>
                  <w:vMerge/>
                </w:tcPr>
                <w:p w14:paraId="0A38C6B9" w14:textId="77777777" w:rsidR="009422CB" w:rsidRPr="00946012" w:rsidRDefault="009422CB" w:rsidP="00946012">
                  <w:pPr>
                    <w:rPr>
                      <w:rFonts w:cs="Times New Roman"/>
                      <w:szCs w:val="24"/>
                    </w:rPr>
                  </w:pPr>
                </w:p>
              </w:tc>
              <w:tc>
                <w:tcPr>
                  <w:tcW w:w="1650" w:type="dxa"/>
                </w:tcPr>
                <w:p w14:paraId="5A5AEB55" w14:textId="4D854CEE" w:rsidR="009422CB" w:rsidRDefault="009422CB" w:rsidP="00946012">
                  <w:pPr>
                    <w:rPr>
                      <w:rFonts w:cs="Times New Roman"/>
                      <w:szCs w:val="24"/>
                    </w:rPr>
                  </w:pPr>
                  <w:r>
                    <w:rPr>
                      <w:rFonts w:cs="Times New Roman"/>
                      <w:szCs w:val="24"/>
                    </w:rPr>
                    <w:t>4.punkts</w:t>
                  </w:r>
                </w:p>
              </w:tc>
              <w:tc>
                <w:tcPr>
                  <w:tcW w:w="1712" w:type="dxa"/>
                </w:tcPr>
                <w:p w14:paraId="3F2C67DF" w14:textId="10F22622" w:rsidR="009422CB" w:rsidRDefault="009422CB" w:rsidP="00946012">
                  <w:pPr>
                    <w:rPr>
                      <w:rFonts w:cs="Times New Roman"/>
                      <w:szCs w:val="24"/>
                    </w:rPr>
                  </w:pPr>
                  <w:r w:rsidRPr="00946012">
                    <w:rPr>
                      <w:rFonts w:cs="Times New Roman"/>
                      <w:szCs w:val="24"/>
                    </w:rPr>
                    <w:t>Nav jāpārņem</w:t>
                  </w:r>
                </w:p>
              </w:tc>
              <w:tc>
                <w:tcPr>
                  <w:tcW w:w="1942" w:type="dxa"/>
                </w:tcPr>
                <w:p w14:paraId="73C0A545"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5402930F" w14:textId="77777777" w:rsidR="009422CB" w:rsidRDefault="009422CB" w:rsidP="005E17EC">
                  <w:pPr>
                    <w:rPr>
                      <w:rFonts w:cs="Times New Roman"/>
                      <w:color w:val="000000" w:themeColor="text1"/>
                      <w:szCs w:val="24"/>
                    </w:rPr>
                  </w:pPr>
                </w:p>
                <w:p w14:paraId="2599A67D" w14:textId="1B88F25C"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sintakse</w:t>
                  </w:r>
                  <w:r w:rsidRPr="00806003">
                    <w:rPr>
                      <w:rFonts w:eastAsia="Times New Roman"/>
                      <w:szCs w:val="24"/>
                      <w:lang w:eastAsia="lv-LV"/>
                    </w:rPr>
                    <w:t>” tiek lietots vispārpieņemtā šī jēdziena nozīmē un nav nepieciešams tā skaidrojums.</w:t>
                  </w:r>
                </w:p>
              </w:tc>
              <w:tc>
                <w:tcPr>
                  <w:tcW w:w="1854" w:type="dxa"/>
                </w:tcPr>
                <w:p w14:paraId="1294C009" w14:textId="5EAC945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730568" w14:textId="77777777" w:rsidTr="00902887">
              <w:trPr>
                <w:trHeight w:val="830"/>
              </w:trPr>
              <w:tc>
                <w:tcPr>
                  <w:tcW w:w="1737" w:type="dxa"/>
                  <w:gridSpan w:val="2"/>
                  <w:vMerge/>
                </w:tcPr>
                <w:p w14:paraId="1BEDC4C8" w14:textId="77777777" w:rsidR="009422CB" w:rsidRPr="00946012" w:rsidRDefault="009422CB" w:rsidP="00946012">
                  <w:pPr>
                    <w:rPr>
                      <w:rFonts w:cs="Times New Roman"/>
                      <w:szCs w:val="24"/>
                    </w:rPr>
                  </w:pPr>
                </w:p>
              </w:tc>
              <w:tc>
                <w:tcPr>
                  <w:tcW w:w="1650" w:type="dxa"/>
                </w:tcPr>
                <w:p w14:paraId="25F56161" w14:textId="0A9EC3B3" w:rsidR="009422CB" w:rsidRDefault="009422CB" w:rsidP="00946012">
                  <w:pPr>
                    <w:rPr>
                      <w:rFonts w:cs="Times New Roman"/>
                      <w:szCs w:val="24"/>
                    </w:rPr>
                  </w:pPr>
                  <w:r>
                    <w:rPr>
                      <w:rFonts w:cs="Times New Roman"/>
                      <w:szCs w:val="24"/>
                    </w:rPr>
                    <w:t>5.punkts</w:t>
                  </w:r>
                </w:p>
              </w:tc>
              <w:tc>
                <w:tcPr>
                  <w:tcW w:w="1712" w:type="dxa"/>
                </w:tcPr>
                <w:p w14:paraId="0BA2E96D" w14:textId="4E9CCBB9" w:rsidR="009422CB" w:rsidRDefault="009422CB" w:rsidP="00946012">
                  <w:pPr>
                    <w:rPr>
                      <w:rFonts w:cs="Times New Roman"/>
                      <w:szCs w:val="24"/>
                    </w:rPr>
                  </w:pPr>
                  <w:r w:rsidRPr="00946012">
                    <w:rPr>
                      <w:rFonts w:cs="Times New Roman"/>
                      <w:szCs w:val="24"/>
                    </w:rPr>
                    <w:t>Nav jāpārņem</w:t>
                  </w:r>
                </w:p>
              </w:tc>
              <w:tc>
                <w:tcPr>
                  <w:tcW w:w="1942" w:type="dxa"/>
                </w:tcPr>
                <w:p w14:paraId="58DB44C1"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464F03F9" w14:textId="77777777" w:rsidR="009422CB" w:rsidRDefault="009422CB" w:rsidP="005E17EC">
                  <w:pPr>
                    <w:rPr>
                      <w:rFonts w:cs="Times New Roman"/>
                      <w:color w:val="000000" w:themeColor="text1"/>
                      <w:szCs w:val="24"/>
                    </w:rPr>
                  </w:pPr>
                </w:p>
                <w:p w14:paraId="03E1B9FE" w14:textId="735455FA" w:rsidR="009422CB" w:rsidRPr="00946012" w:rsidRDefault="009422CB"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sintakšu savienojumi</w:t>
                  </w:r>
                  <w:r w:rsidRPr="00806003">
                    <w:rPr>
                      <w:rFonts w:eastAsia="Times New Roman"/>
                      <w:szCs w:val="24"/>
                      <w:lang w:eastAsia="lv-LV"/>
                    </w:rPr>
                    <w:t>” tiek lietots vispārpieņemtā šī jēdziena nozīmē un nav nepieciešams tā skaidrojums.</w:t>
                  </w:r>
                </w:p>
              </w:tc>
              <w:tc>
                <w:tcPr>
                  <w:tcW w:w="1854" w:type="dxa"/>
                </w:tcPr>
                <w:p w14:paraId="05A8EC04" w14:textId="37D95E9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89A6D9" w14:textId="77777777" w:rsidTr="00902887">
              <w:trPr>
                <w:trHeight w:val="830"/>
              </w:trPr>
              <w:tc>
                <w:tcPr>
                  <w:tcW w:w="1737" w:type="dxa"/>
                  <w:gridSpan w:val="2"/>
                  <w:vMerge/>
                </w:tcPr>
                <w:p w14:paraId="3998C928" w14:textId="77777777" w:rsidR="009422CB" w:rsidRPr="00946012" w:rsidRDefault="009422CB" w:rsidP="00946012">
                  <w:pPr>
                    <w:rPr>
                      <w:rFonts w:cs="Times New Roman"/>
                      <w:szCs w:val="24"/>
                    </w:rPr>
                  </w:pPr>
                </w:p>
              </w:tc>
              <w:tc>
                <w:tcPr>
                  <w:tcW w:w="1650" w:type="dxa"/>
                </w:tcPr>
                <w:p w14:paraId="576B8E6C" w14:textId="2C255E06" w:rsidR="009422CB" w:rsidRDefault="009422CB" w:rsidP="00946012">
                  <w:pPr>
                    <w:rPr>
                      <w:rFonts w:cs="Times New Roman"/>
                      <w:szCs w:val="24"/>
                    </w:rPr>
                  </w:pPr>
                  <w:r>
                    <w:rPr>
                      <w:rFonts w:cs="Times New Roman"/>
                      <w:szCs w:val="24"/>
                    </w:rPr>
                    <w:t>6.punkts</w:t>
                  </w:r>
                </w:p>
              </w:tc>
              <w:tc>
                <w:tcPr>
                  <w:tcW w:w="1712" w:type="dxa"/>
                </w:tcPr>
                <w:p w14:paraId="3569D79A" w14:textId="1B31F18B"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2E968682" w14:textId="7C4A7ABB"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4D09F2D1" w14:textId="77777777" w:rsidR="009422CB" w:rsidRDefault="009422CB" w:rsidP="00CB7A6D">
                  <w:pPr>
                    <w:rPr>
                      <w:rFonts w:cs="Times New Roman"/>
                      <w:color w:val="000000" w:themeColor="text1"/>
                      <w:szCs w:val="24"/>
                    </w:rPr>
                  </w:pPr>
                </w:p>
                <w:p w14:paraId="38810124" w14:textId="4847320D" w:rsidR="009422CB" w:rsidRPr="00946012" w:rsidRDefault="009422CB" w:rsidP="00CB7A6D">
                  <w:pPr>
                    <w:rPr>
                      <w:rFonts w:cs="Times New Roman"/>
                      <w:color w:val="000000" w:themeColor="text1"/>
                      <w:szCs w:val="24"/>
                    </w:rPr>
                  </w:pPr>
                </w:p>
              </w:tc>
              <w:tc>
                <w:tcPr>
                  <w:tcW w:w="1854" w:type="dxa"/>
                </w:tcPr>
                <w:p w14:paraId="4815A5E2" w14:textId="437D0F9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A572E7B" w14:textId="77777777" w:rsidTr="00902887">
              <w:trPr>
                <w:trHeight w:val="830"/>
              </w:trPr>
              <w:tc>
                <w:tcPr>
                  <w:tcW w:w="1737" w:type="dxa"/>
                  <w:gridSpan w:val="2"/>
                  <w:vMerge/>
                </w:tcPr>
                <w:p w14:paraId="260A15CC" w14:textId="77777777" w:rsidR="009422CB" w:rsidRPr="00946012" w:rsidRDefault="009422CB" w:rsidP="00946012">
                  <w:pPr>
                    <w:rPr>
                      <w:rFonts w:cs="Times New Roman"/>
                      <w:szCs w:val="24"/>
                    </w:rPr>
                  </w:pPr>
                </w:p>
              </w:tc>
              <w:tc>
                <w:tcPr>
                  <w:tcW w:w="1650" w:type="dxa"/>
                </w:tcPr>
                <w:p w14:paraId="43FD8DC3" w14:textId="7F0E2455" w:rsidR="009422CB" w:rsidRDefault="009422CB" w:rsidP="00946012">
                  <w:pPr>
                    <w:rPr>
                      <w:rFonts w:cs="Times New Roman"/>
                      <w:szCs w:val="24"/>
                    </w:rPr>
                  </w:pPr>
                  <w:r>
                    <w:rPr>
                      <w:rFonts w:cs="Times New Roman"/>
                      <w:szCs w:val="24"/>
                    </w:rPr>
                    <w:t>7.punkts</w:t>
                  </w:r>
                </w:p>
              </w:tc>
              <w:tc>
                <w:tcPr>
                  <w:tcW w:w="1712" w:type="dxa"/>
                </w:tcPr>
                <w:p w14:paraId="6BF2F917" w14:textId="5FCB8186"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0EB866A0" w14:textId="6A549490"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5345B083" w14:textId="77777777" w:rsidR="009422CB" w:rsidRDefault="009422CB" w:rsidP="00CB7A6D">
                  <w:pPr>
                    <w:rPr>
                      <w:rFonts w:cs="Times New Roman"/>
                      <w:color w:val="000000" w:themeColor="text1"/>
                      <w:szCs w:val="24"/>
                    </w:rPr>
                  </w:pPr>
                </w:p>
                <w:p w14:paraId="634ADA38" w14:textId="2626BCFD" w:rsidR="009422CB" w:rsidRPr="00946012" w:rsidRDefault="009422CB" w:rsidP="00CB7A6D">
                  <w:pPr>
                    <w:rPr>
                      <w:rFonts w:cs="Times New Roman"/>
                      <w:color w:val="000000" w:themeColor="text1"/>
                      <w:szCs w:val="24"/>
                    </w:rPr>
                  </w:pPr>
                </w:p>
              </w:tc>
              <w:tc>
                <w:tcPr>
                  <w:tcW w:w="1854" w:type="dxa"/>
                </w:tcPr>
                <w:p w14:paraId="49A281B7" w14:textId="67DED96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62BBC8C" w14:textId="77777777" w:rsidTr="00902887">
              <w:trPr>
                <w:trHeight w:val="830"/>
              </w:trPr>
              <w:tc>
                <w:tcPr>
                  <w:tcW w:w="1737" w:type="dxa"/>
                  <w:gridSpan w:val="2"/>
                  <w:vMerge/>
                </w:tcPr>
                <w:p w14:paraId="2514794E" w14:textId="77777777" w:rsidR="009422CB" w:rsidRPr="00946012" w:rsidRDefault="009422CB" w:rsidP="00946012">
                  <w:pPr>
                    <w:rPr>
                      <w:rFonts w:cs="Times New Roman"/>
                      <w:szCs w:val="24"/>
                    </w:rPr>
                  </w:pPr>
                </w:p>
              </w:tc>
              <w:tc>
                <w:tcPr>
                  <w:tcW w:w="1650" w:type="dxa"/>
                </w:tcPr>
                <w:p w14:paraId="7BC440D9" w14:textId="30577608" w:rsidR="009422CB" w:rsidRDefault="009422CB" w:rsidP="00946012">
                  <w:pPr>
                    <w:rPr>
                      <w:rFonts w:cs="Times New Roman"/>
                      <w:szCs w:val="24"/>
                    </w:rPr>
                  </w:pPr>
                  <w:r>
                    <w:rPr>
                      <w:rFonts w:cs="Times New Roman"/>
                      <w:szCs w:val="24"/>
                    </w:rPr>
                    <w:t>8.punkts</w:t>
                  </w:r>
                </w:p>
              </w:tc>
              <w:tc>
                <w:tcPr>
                  <w:tcW w:w="1712" w:type="dxa"/>
                </w:tcPr>
                <w:p w14:paraId="1D7E6088" w14:textId="561BD382" w:rsidR="009422CB" w:rsidRDefault="00902887" w:rsidP="00946012">
                  <w:pPr>
                    <w:rPr>
                      <w:rFonts w:cs="Times New Roman"/>
                      <w:szCs w:val="24"/>
                    </w:rPr>
                  </w:pPr>
                  <w:r>
                    <w:rPr>
                      <w:rFonts w:cs="Times New Roman"/>
                      <w:color w:val="000000" w:themeColor="text1"/>
                      <w:szCs w:val="24"/>
                    </w:rPr>
                    <w:t>Minētais termins ir definēts Publisko iepirkumu likuma 1.panta 4.punktā.</w:t>
                  </w:r>
                </w:p>
              </w:tc>
              <w:tc>
                <w:tcPr>
                  <w:tcW w:w="1942" w:type="dxa"/>
                </w:tcPr>
                <w:p w14:paraId="2CB6B32A" w14:textId="0E2F917A"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78040AAD" w14:textId="77777777" w:rsidR="009422CB" w:rsidRDefault="009422CB" w:rsidP="00CB7A6D">
                  <w:pPr>
                    <w:rPr>
                      <w:rFonts w:cs="Times New Roman"/>
                      <w:color w:val="000000" w:themeColor="text1"/>
                      <w:szCs w:val="24"/>
                    </w:rPr>
                  </w:pPr>
                </w:p>
                <w:p w14:paraId="144A07EB" w14:textId="77D04505" w:rsidR="009422CB" w:rsidRPr="00946012" w:rsidRDefault="009422CB" w:rsidP="00CB7A6D">
                  <w:pPr>
                    <w:rPr>
                      <w:rFonts w:cs="Times New Roman"/>
                      <w:color w:val="000000" w:themeColor="text1"/>
                      <w:szCs w:val="24"/>
                    </w:rPr>
                  </w:pPr>
                </w:p>
              </w:tc>
              <w:tc>
                <w:tcPr>
                  <w:tcW w:w="1854" w:type="dxa"/>
                </w:tcPr>
                <w:p w14:paraId="771E72EC" w14:textId="3100F341"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5818B9" w14:textId="77777777" w:rsidTr="00902887">
              <w:trPr>
                <w:trHeight w:val="830"/>
              </w:trPr>
              <w:tc>
                <w:tcPr>
                  <w:tcW w:w="1737" w:type="dxa"/>
                  <w:gridSpan w:val="2"/>
                  <w:vMerge/>
                </w:tcPr>
                <w:p w14:paraId="3421A636" w14:textId="77777777" w:rsidR="009422CB" w:rsidRPr="00946012" w:rsidRDefault="009422CB" w:rsidP="00946012">
                  <w:pPr>
                    <w:rPr>
                      <w:rFonts w:cs="Times New Roman"/>
                      <w:szCs w:val="24"/>
                    </w:rPr>
                  </w:pPr>
                </w:p>
              </w:tc>
              <w:tc>
                <w:tcPr>
                  <w:tcW w:w="1650" w:type="dxa"/>
                </w:tcPr>
                <w:p w14:paraId="0CFC3866" w14:textId="7009012A" w:rsidR="009422CB" w:rsidRDefault="009422CB" w:rsidP="00946012">
                  <w:pPr>
                    <w:rPr>
                      <w:rFonts w:cs="Times New Roman"/>
                      <w:szCs w:val="24"/>
                    </w:rPr>
                  </w:pPr>
                  <w:r>
                    <w:rPr>
                      <w:rFonts w:cs="Times New Roman"/>
                      <w:szCs w:val="24"/>
                    </w:rPr>
                    <w:t>9.punkts</w:t>
                  </w:r>
                </w:p>
              </w:tc>
              <w:tc>
                <w:tcPr>
                  <w:tcW w:w="1712" w:type="dxa"/>
                </w:tcPr>
                <w:p w14:paraId="09F22AB4" w14:textId="110E920C" w:rsidR="009422CB" w:rsidRDefault="00902887" w:rsidP="00946012">
                  <w:pPr>
                    <w:rPr>
                      <w:rFonts w:cs="Times New Roman"/>
                      <w:szCs w:val="24"/>
                    </w:rPr>
                  </w:pPr>
                  <w:r>
                    <w:rPr>
                      <w:rFonts w:cs="Times New Roman"/>
                      <w:color w:val="000000" w:themeColor="text1"/>
                      <w:szCs w:val="24"/>
                    </w:rPr>
                    <w:t>Minētais termins ir definēts Sabiedrisko pakalpojumu sniedzēju iepirkumu likuma 1.panta 27.punktā.</w:t>
                  </w:r>
                </w:p>
              </w:tc>
              <w:tc>
                <w:tcPr>
                  <w:tcW w:w="1942" w:type="dxa"/>
                </w:tcPr>
                <w:p w14:paraId="295B87A0" w14:textId="0C474DD7" w:rsidR="009422CB" w:rsidRDefault="009422CB" w:rsidP="00CB7A6D">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0D79C06D" w14:textId="77777777" w:rsidR="009422CB" w:rsidRDefault="009422CB" w:rsidP="00CB7A6D">
                  <w:pPr>
                    <w:rPr>
                      <w:rFonts w:cs="Times New Roman"/>
                      <w:color w:val="000000" w:themeColor="text1"/>
                      <w:szCs w:val="24"/>
                    </w:rPr>
                  </w:pPr>
                </w:p>
                <w:p w14:paraId="2A5D0100" w14:textId="4313333D" w:rsidR="009422CB" w:rsidRPr="00946012" w:rsidRDefault="009422CB" w:rsidP="00CB7A6D">
                  <w:pPr>
                    <w:rPr>
                      <w:rFonts w:cs="Times New Roman"/>
                      <w:color w:val="000000" w:themeColor="text1"/>
                      <w:szCs w:val="24"/>
                    </w:rPr>
                  </w:pPr>
                </w:p>
              </w:tc>
              <w:tc>
                <w:tcPr>
                  <w:tcW w:w="1854" w:type="dxa"/>
                </w:tcPr>
                <w:p w14:paraId="4CFC2D06" w14:textId="742E580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085090C" w14:textId="77777777" w:rsidTr="00902887">
              <w:trPr>
                <w:trHeight w:val="830"/>
              </w:trPr>
              <w:tc>
                <w:tcPr>
                  <w:tcW w:w="1737" w:type="dxa"/>
                  <w:gridSpan w:val="2"/>
                  <w:vMerge/>
                </w:tcPr>
                <w:p w14:paraId="07D6A041" w14:textId="77777777" w:rsidR="009422CB" w:rsidRPr="00946012" w:rsidRDefault="009422CB" w:rsidP="00946012">
                  <w:pPr>
                    <w:rPr>
                      <w:rFonts w:cs="Times New Roman"/>
                      <w:szCs w:val="24"/>
                    </w:rPr>
                  </w:pPr>
                </w:p>
              </w:tc>
              <w:tc>
                <w:tcPr>
                  <w:tcW w:w="1650" w:type="dxa"/>
                </w:tcPr>
                <w:p w14:paraId="4C024C58" w14:textId="796F87B7" w:rsidR="009422CB" w:rsidRDefault="009422CB" w:rsidP="00946012">
                  <w:pPr>
                    <w:rPr>
                      <w:rFonts w:cs="Times New Roman"/>
                      <w:szCs w:val="24"/>
                    </w:rPr>
                  </w:pPr>
                  <w:r>
                    <w:rPr>
                      <w:rFonts w:cs="Times New Roman"/>
                      <w:szCs w:val="24"/>
                    </w:rPr>
                    <w:t>10.punkts</w:t>
                  </w:r>
                </w:p>
              </w:tc>
              <w:tc>
                <w:tcPr>
                  <w:tcW w:w="1712" w:type="dxa"/>
                </w:tcPr>
                <w:p w14:paraId="4FCE9117" w14:textId="6B0F25B1" w:rsidR="009422CB" w:rsidRDefault="009422CB" w:rsidP="00946012">
                  <w:pPr>
                    <w:rPr>
                      <w:rFonts w:cs="Times New Roman"/>
                      <w:szCs w:val="24"/>
                    </w:rPr>
                  </w:pPr>
                  <w:r w:rsidRPr="00946012">
                    <w:rPr>
                      <w:rFonts w:cs="Times New Roman"/>
                      <w:szCs w:val="24"/>
                    </w:rPr>
                    <w:t>Nav jāpārņem</w:t>
                  </w:r>
                </w:p>
              </w:tc>
              <w:tc>
                <w:tcPr>
                  <w:tcW w:w="1942" w:type="dxa"/>
                </w:tcPr>
                <w:p w14:paraId="0BD91954"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13E7236B" w14:textId="77777777" w:rsidR="009422CB" w:rsidRDefault="009422CB" w:rsidP="005E17EC">
                  <w:pPr>
                    <w:rPr>
                      <w:rFonts w:cs="Times New Roman"/>
                      <w:color w:val="000000" w:themeColor="text1"/>
                      <w:szCs w:val="24"/>
                    </w:rPr>
                  </w:pPr>
                </w:p>
                <w:p w14:paraId="42A0F107" w14:textId="1FBA15CD" w:rsidR="009422CB" w:rsidRPr="00946012" w:rsidRDefault="009422CB" w:rsidP="00CB7A6D">
                  <w:pPr>
                    <w:rPr>
                      <w:rFonts w:cs="Times New Roman"/>
                      <w:color w:val="000000" w:themeColor="text1"/>
                      <w:szCs w:val="24"/>
                    </w:rPr>
                  </w:pPr>
                  <w:r>
                    <w:rPr>
                      <w:rFonts w:eastAsia="Times New Roman"/>
                      <w:szCs w:val="24"/>
                      <w:lang w:eastAsia="lv-LV"/>
                    </w:rPr>
                    <w:lastRenderedPageBreak/>
                    <w:t>J</w:t>
                  </w:r>
                  <w:r w:rsidRPr="00806003">
                    <w:rPr>
                      <w:rFonts w:eastAsia="Times New Roman"/>
                      <w:szCs w:val="24"/>
                      <w:lang w:eastAsia="lv-LV"/>
                    </w:rPr>
                    <w:t>ēdziens “</w:t>
                  </w:r>
                  <w:r>
                    <w:rPr>
                      <w:rFonts w:eastAsia="Times New Roman"/>
                      <w:szCs w:val="24"/>
                      <w:lang w:eastAsia="lv-LV"/>
                    </w:rPr>
                    <w:t>starptautisks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a.apakšpunktā</w:t>
                  </w:r>
                  <w:proofErr w:type="spellEnd"/>
                  <w:r>
                    <w:rPr>
                      <w:rFonts w:eastAsia="Times New Roman"/>
                      <w:szCs w:val="24"/>
                      <w:lang w:eastAsia="lv-LV"/>
                    </w:rPr>
                    <w:t>.</w:t>
                  </w:r>
                </w:p>
              </w:tc>
              <w:tc>
                <w:tcPr>
                  <w:tcW w:w="1854" w:type="dxa"/>
                </w:tcPr>
                <w:p w14:paraId="334B72EF" w14:textId="77777777" w:rsidR="009422CB" w:rsidRPr="00946012" w:rsidRDefault="009422CB" w:rsidP="00946012">
                  <w:pPr>
                    <w:rPr>
                      <w:rFonts w:cs="Times New Roman"/>
                      <w:color w:val="000000" w:themeColor="text1"/>
                      <w:szCs w:val="24"/>
                    </w:rPr>
                  </w:pPr>
                </w:p>
              </w:tc>
            </w:tr>
            <w:tr w:rsidR="009422CB" w:rsidRPr="00946012" w14:paraId="4F9916EA" w14:textId="77777777" w:rsidTr="00902887">
              <w:trPr>
                <w:trHeight w:val="830"/>
              </w:trPr>
              <w:tc>
                <w:tcPr>
                  <w:tcW w:w="1737" w:type="dxa"/>
                  <w:gridSpan w:val="2"/>
                  <w:vMerge/>
                </w:tcPr>
                <w:p w14:paraId="2ED186E6" w14:textId="77777777" w:rsidR="009422CB" w:rsidRPr="00946012" w:rsidRDefault="009422CB" w:rsidP="00946012">
                  <w:pPr>
                    <w:rPr>
                      <w:rFonts w:cs="Times New Roman"/>
                      <w:szCs w:val="24"/>
                    </w:rPr>
                  </w:pPr>
                </w:p>
              </w:tc>
              <w:tc>
                <w:tcPr>
                  <w:tcW w:w="1650" w:type="dxa"/>
                </w:tcPr>
                <w:p w14:paraId="654B2316" w14:textId="2ECB4D47" w:rsidR="009422CB" w:rsidRDefault="009422CB" w:rsidP="00946012">
                  <w:pPr>
                    <w:rPr>
                      <w:rFonts w:cs="Times New Roman"/>
                      <w:szCs w:val="24"/>
                    </w:rPr>
                  </w:pPr>
                  <w:r>
                    <w:rPr>
                      <w:rFonts w:cs="Times New Roman"/>
                      <w:szCs w:val="24"/>
                    </w:rPr>
                    <w:t>11.punkts</w:t>
                  </w:r>
                </w:p>
              </w:tc>
              <w:tc>
                <w:tcPr>
                  <w:tcW w:w="1712" w:type="dxa"/>
                </w:tcPr>
                <w:p w14:paraId="3730FBCC" w14:textId="429F42FB" w:rsidR="009422CB" w:rsidRDefault="009422CB" w:rsidP="00946012">
                  <w:pPr>
                    <w:rPr>
                      <w:rFonts w:cs="Times New Roman"/>
                      <w:szCs w:val="24"/>
                    </w:rPr>
                  </w:pPr>
                  <w:r w:rsidRPr="00946012">
                    <w:rPr>
                      <w:rFonts w:cs="Times New Roman"/>
                      <w:szCs w:val="24"/>
                    </w:rPr>
                    <w:t>Nav jāpārņem</w:t>
                  </w:r>
                </w:p>
              </w:tc>
              <w:tc>
                <w:tcPr>
                  <w:tcW w:w="1942" w:type="dxa"/>
                </w:tcPr>
                <w:p w14:paraId="210B88E9"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637BC56B" w14:textId="77777777" w:rsidR="009422CB" w:rsidRDefault="009422CB" w:rsidP="005E17EC">
                  <w:pPr>
                    <w:rPr>
                      <w:rFonts w:cs="Times New Roman"/>
                      <w:color w:val="000000" w:themeColor="text1"/>
                      <w:szCs w:val="24"/>
                    </w:rPr>
                  </w:pPr>
                  <w:r>
                    <w:rPr>
                      <w:rFonts w:cs="Times New Roman"/>
                      <w:color w:val="000000" w:themeColor="text1"/>
                      <w:szCs w:val="24"/>
                    </w:rPr>
                    <w:t xml:space="preserve"> </w:t>
                  </w:r>
                </w:p>
                <w:p w14:paraId="6D389D92" w14:textId="6390FB07"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Eiropas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b.apakšpunktā</w:t>
                  </w:r>
                  <w:proofErr w:type="spellEnd"/>
                  <w:r>
                    <w:rPr>
                      <w:rFonts w:eastAsia="Times New Roman"/>
                      <w:szCs w:val="24"/>
                      <w:lang w:eastAsia="lv-LV"/>
                    </w:rPr>
                    <w:t>.</w:t>
                  </w:r>
                </w:p>
              </w:tc>
              <w:tc>
                <w:tcPr>
                  <w:tcW w:w="1854" w:type="dxa"/>
                </w:tcPr>
                <w:p w14:paraId="3001C96D" w14:textId="1BDAE9B5"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08C47D4" w14:textId="77777777" w:rsidTr="00902887">
              <w:trPr>
                <w:trHeight w:val="830"/>
              </w:trPr>
              <w:tc>
                <w:tcPr>
                  <w:tcW w:w="1737" w:type="dxa"/>
                  <w:gridSpan w:val="2"/>
                  <w:vMerge w:val="restart"/>
                </w:tcPr>
                <w:p w14:paraId="5A668AC1" w14:textId="77777777" w:rsidR="009422CB" w:rsidRPr="00946012" w:rsidRDefault="009422CB" w:rsidP="00946012">
                  <w:pPr>
                    <w:rPr>
                      <w:rFonts w:cs="Times New Roman"/>
                      <w:szCs w:val="24"/>
                    </w:rPr>
                  </w:pPr>
                  <w:r w:rsidRPr="00946012">
                    <w:rPr>
                      <w:rFonts w:cs="Times New Roman"/>
                      <w:szCs w:val="24"/>
                    </w:rPr>
                    <w:t>3.pants</w:t>
                  </w:r>
                </w:p>
              </w:tc>
              <w:tc>
                <w:tcPr>
                  <w:tcW w:w="1650" w:type="dxa"/>
                </w:tcPr>
                <w:p w14:paraId="7371C825" w14:textId="75FF955B" w:rsidR="009422CB" w:rsidRDefault="009422CB" w:rsidP="00946012">
                  <w:pPr>
                    <w:rPr>
                      <w:rFonts w:cs="Times New Roman"/>
                      <w:szCs w:val="24"/>
                    </w:rPr>
                  </w:pPr>
                  <w:r>
                    <w:rPr>
                      <w:rFonts w:cs="Times New Roman"/>
                      <w:szCs w:val="24"/>
                    </w:rPr>
                    <w:t>1.punkts</w:t>
                  </w:r>
                </w:p>
              </w:tc>
              <w:tc>
                <w:tcPr>
                  <w:tcW w:w="1712" w:type="dxa"/>
                </w:tcPr>
                <w:p w14:paraId="2AE5E99A" w14:textId="01884C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13F8A77" w14:textId="1AE6BBF6" w:rsidR="009422CB" w:rsidRPr="009424DC" w:rsidRDefault="009422CB" w:rsidP="00902887">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attiecas uz Eiropas standartizācijas organizāciju. </w:t>
                  </w:r>
                </w:p>
              </w:tc>
              <w:tc>
                <w:tcPr>
                  <w:tcW w:w="1854" w:type="dxa"/>
                </w:tcPr>
                <w:p w14:paraId="0DAFE90D"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243FFDAC" w14:textId="77777777" w:rsidTr="00902887">
              <w:trPr>
                <w:trHeight w:val="830"/>
              </w:trPr>
              <w:tc>
                <w:tcPr>
                  <w:tcW w:w="1737" w:type="dxa"/>
                  <w:gridSpan w:val="2"/>
                  <w:vMerge/>
                </w:tcPr>
                <w:p w14:paraId="0846C2D8" w14:textId="77777777" w:rsidR="009422CB" w:rsidRPr="00946012" w:rsidRDefault="009422CB" w:rsidP="00946012">
                  <w:pPr>
                    <w:rPr>
                      <w:rFonts w:cs="Times New Roman"/>
                      <w:szCs w:val="24"/>
                    </w:rPr>
                  </w:pPr>
                </w:p>
              </w:tc>
              <w:tc>
                <w:tcPr>
                  <w:tcW w:w="1650" w:type="dxa"/>
                </w:tcPr>
                <w:p w14:paraId="0A1E252F" w14:textId="5F2F1205" w:rsidR="009422CB" w:rsidRDefault="009422CB" w:rsidP="00946012">
                  <w:pPr>
                    <w:rPr>
                      <w:rFonts w:cs="Times New Roman"/>
                      <w:szCs w:val="24"/>
                    </w:rPr>
                  </w:pPr>
                  <w:r>
                    <w:rPr>
                      <w:rFonts w:cs="Times New Roman"/>
                      <w:szCs w:val="24"/>
                    </w:rPr>
                    <w:t>2.punkts</w:t>
                  </w:r>
                </w:p>
              </w:tc>
              <w:tc>
                <w:tcPr>
                  <w:tcW w:w="1712" w:type="dxa"/>
                </w:tcPr>
                <w:p w14:paraId="1DADA007" w14:textId="3F0B399D"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8E0F1EE" w14:textId="74CA8D3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w:t>
                  </w:r>
                  <w:r>
                    <w:lastRenderedPageBreak/>
                    <w:t>attiecas uz Eiropas standartizācijas organizāciju.</w:t>
                  </w:r>
                </w:p>
              </w:tc>
              <w:tc>
                <w:tcPr>
                  <w:tcW w:w="1854" w:type="dxa"/>
                </w:tcPr>
                <w:p w14:paraId="58ADF294" w14:textId="667ED2BC" w:rsidR="009422CB" w:rsidRPr="00946012" w:rsidRDefault="009422CB" w:rsidP="00946012">
                  <w:pPr>
                    <w:rPr>
                      <w:rFonts w:cs="Times New Roman"/>
                      <w:color w:val="000000" w:themeColor="text1"/>
                      <w:szCs w:val="24"/>
                    </w:rPr>
                  </w:pPr>
                  <w:r w:rsidRPr="00FC5911">
                    <w:rPr>
                      <w:color w:val="000000" w:themeColor="text1"/>
                    </w:rPr>
                    <w:lastRenderedPageBreak/>
                    <w:t>Likumprojekts stingrākas prasības neparedz</w:t>
                  </w:r>
                </w:p>
              </w:tc>
            </w:tr>
            <w:tr w:rsidR="009422CB" w:rsidRPr="00946012" w14:paraId="2C27446E" w14:textId="77777777" w:rsidTr="00902887">
              <w:trPr>
                <w:trHeight w:val="830"/>
              </w:trPr>
              <w:tc>
                <w:tcPr>
                  <w:tcW w:w="1737" w:type="dxa"/>
                  <w:gridSpan w:val="2"/>
                  <w:vMerge w:val="restart"/>
                </w:tcPr>
                <w:p w14:paraId="10AC5B06" w14:textId="77777777" w:rsidR="009422CB" w:rsidRPr="00946012" w:rsidRDefault="009422CB" w:rsidP="00946012">
                  <w:pPr>
                    <w:rPr>
                      <w:rFonts w:cs="Times New Roman"/>
                      <w:szCs w:val="24"/>
                    </w:rPr>
                  </w:pPr>
                  <w:r w:rsidRPr="00946012">
                    <w:rPr>
                      <w:rFonts w:cs="Times New Roman"/>
                      <w:szCs w:val="24"/>
                    </w:rPr>
                    <w:t>4.pants</w:t>
                  </w:r>
                </w:p>
              </w:tc>
              <w:tc>
                <w:tcPr>
                  <w:tcW w:w="1650" w:type="dxa"/>
                </w:tcPr>
                <w:p w14:paraId="2D72866A" w14:textId="738AD418" w:rsidR="009422CB" w:rsidRDefault="009422CB" w:rsidP="00946012">
                  <w:pPr>
                    <w:rPr>
                      <w:rFonts w:cs="Times New Roman"/>
                      <w:szCs w:val="24"/>
                    </w:rPr>
                  </w:pPr>
                  <w:r>
                    <w:rPr>
                      <w:rFonts w:cs="Times New Roman"/>
                      <w:szCs w:val="24"/>
                    </w:rPr>
                    <w:t>1.punkts</w:t>
                  </w:r>
                </w:p>
              </w:tc>
              <w:tc>
                <w:tcPr>
                  <w:tcW w:w="1712" w:type="dxa"/>
                </w:tcPr>
                <w:p w14:paraId="3F2CA1D6" w14:textId="4122DC99"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E497279" w14:textId="6DEF179A" w:rsidR="009422CB" w:rsidRPr="009424DC"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 un dalībvalsts saziņu.</w:t>
                  </w:r>
                </w:p>
              </w:tc>
              <w:tc>
                <w:tcPr>
                  <w:tcW w:w="1854" w:type="dxa"/>
                </w:tcPr>
                <w:p w14:paraId="52B95CBB"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15266B78" w14:textId="77777777" w:rsidTr="00902887">
              <w:trPr>
                <w:trHeight w:val="830"/>
              </w:trPr>
              <w:tc>
                <w:tcPr>
                  <w:tcW w:w="1737" w:type="dxa"/>
                  <w:gridSpan w:val="2"/>
                  <w:vMerge/>
                </w:tcPr>
                <w:p w14:paraId="60F2BFC6" w14:textId="77777777" w:rsidR="009422CB" w:rsidRPr="00946012" w:rsidRDefault="009422CB" w:rsidP="00946012">
                  <w:pPr>
                    <w:rPr>
                      <w:rFonts w:cs="Times New Roman"/>
                      <w:szCs w:val="24"/>
                    </w:rPr>
                  </w:pPr>
                </w:p>
              </w:tc>
              <w:tc>
                <w:tcPr>
                  <w:tcW w:w="1650" w:type="dxa"/>
                </w:tcPr>
                <w:p w14:paraId="6AF3108A" w14:textId="673065AD" w:rsidR="009422CB" w:rsidRDefault="009422CB" w:rsidP="00946012">
                  <w:pPr>
                    <w:rPr>
                      <w:rFonts w:cs="Times New Roman"/>
                      <w:szCs w:val="24"/>
                    </w:rPr>
                  </w:pPr>
                  <w:r>
                    <w:rPr>
                      <w:rFonts w:cs="Times New Roman"/>
                      <w:szCs w:val="24"/>
                    </w:rPr>
                    <w:t>2.punkts</w:t>
                  </w:r>
                </w:p>
              </w:tc>
              <w:tc>
                <w:tcPr>
                  <w:tcW w:w="1712" w:type="dxa"/>
                </w:tcPr>
                <w:p w14:paraId="5BB3FEF2" w14:textId="37251F9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34878F6" w14:textId="4F78D9E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2E553030" w14:textId="5FD9BAF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B374EE1" w14:textId="77777777" w:rsidTr="00902887">
              <w:trPr>
                <w:trHeight w:val="830"/>
              </w:trPr>
              <w:tc>
                <w:tcPr>
                  <w:tcW w:w="1737" w:type="dxa"/>
                  <w:gridSpan w:val="2"/>
                  <w:vMerge/>
                </w:tcPr>
                <w:p w14:paraId="25C926BC" w14:textId="77777777" w:rsidR="009422CB" w:rsidRPr="00946012" w:rsidRDefault="009422CB" w:rsidP="00946012">
                  <w:pPr>
                    <w:rPr>
                      <w:rFonts w:cs="Times New Roman"/>
                      <w:szCs w:val="24"/>
                    </w:rPr>
                  </w:pPr>
                </w:p>
              </w:tc>
              <w:tc>
                <w:tcPr>
                  <w:tcW w:w="1650" w:type="dxa"/>
                </w:tcPr>
                <w:p w14:paraId="51D17AFD" w14:textId="54220988" w:rsidR="009422CB" w:rsidRDefault="009422CB" w:rsidP="00946012">
                  <w:pPr>
                    <w:rPr>
                      <w:rFonts w:cs="Times New Roman"/>
                      <w:szCs w:val="24"/>
                    </w:rPr>
                  </w:pPr>
                  <w:r>
                    <w:rPr>
                      <w:rFonts w:cs="Times New Roman"/>
                      <w:szCs w:val="24"/>
                    </w:rPr>
                    <w:t>3.punkts</w:t>
                  </w:r>
                </w:p>
              </w:tc>
              <w:tc>
                <w:tcPr>
                  <w:tcW w:w="1712" w:type="dxa"/>
                </w:tcPr>
                <w:p w14:paraId="30DFB903" w14:textId="74666325"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1C98335" w14:textId="3867F44B"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ABB36EE" w14:textId="201326F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BDA7D13" w14:textId="77777777" w:rsidTr="00902887">
              <w:trPr>
                <w:trHeight w:val="830"/>
              </w:trPr>
              <w:tc>
                <w:tcPr>
                  <w:tcW w:w="1737" w:type="dxa"/>
                  <w:gridSpan w:val="2"/>
                  <w:vMerge/>
                </w:tcPr>
                <w:p w14:paraId="45AED432" w14:textId="77777777" w:rsidR="009422CB" w:rsidRPr="00946012" w:rsidRDefault="009422CB" w:rsidP="00946012">
                  <w:pPr>
                    <w:rPr>
                      <w:rFonts w:cs="Times New Roman"/>
                      <w:szCs w:val="24"/>
                    </w:rPr>
                  </w:pPr>
                </w:p>
              </w:tc>
              <w:tc>
                <w:tcPr>
                  <w:tcW w:w="1650" w:type="dxa"/>
                </w:tcPr>
                <w:p w14:paraId="71114D2B" w14:textId="00CAD0DF" w:rsidR="009422CB" w:rsidRDefault="009422CB" w:rsidP="00946012">
                  <w:pPr>
                    <w:rPr>
                      <w:rFonts w:cs="Times New Roman"/>
                      <w:szCs w:val="24"/>
                    </w:rPr>
                  </w:pPr>
                  <w:r>
                    <w:rPr>
                      <w:rFonts w:cs="Times New Roman"/>
                      <w:szCs w:val="24"/>
                    </w:rPr>
                    <w:t>4.punkts</w:t>
                  </w:r>
                </w:p>
              </w:tc>
              <w:tc>
                <w:tcPr>
                  <w:tcW w:w="1712" w:type="dxa"/>
                </w:tcPr>
                <w:p w14:paraId="5F0F60F2" w14:textId="1D0375C0"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C071B7F" w14:textId="11DA74C9"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67B6D371" w14:textId="6BEC75D0"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717505F" w14:textId="77777777" w:rsidTr="00902887">
              <w:trPr>
                <w:trHeight w:val="815"/>
              </w:trPr>
              <w:tc>
                <w:tcPr>
                  <w:tcW w:w="1737" w:type="dxa"/>
                  <w:gridSpan w:val="2"/>
                  <w:vMerge w:val="restart"/>
                </w:tcPr>
                <w:p w14:paraId="79790946" w14:textId="77777777" w:rsidR="009422CB" w:rsidRPr="00946012" w:rsidRDefault="009422CB" w:rsidP="00946012">
                  <w:pPr>
                    <w:rPr>
                      <w:rFonts w:cs="Times New Roman"/>
                      <w:szCs w:val="24"/>
                    </w:rPr>
                  </w:pPr>
                  <w:r w:rsidRPr="00946012">
                    <w:rPr>
                      <w:rFonts w:cs="Times New Roman"/>
                      <w:szCs w:val="24"/>
                    </w:rPr>
                    <w:t>5.pants</w:t>
                  </w:r>
                </w:p>
              </w:tc>
              <w:tc>
                <w:tcPr>
                  <w:tcW w:w="1650" w:type="dxa"/>
                </w:tcPr>
                <w:p w14:paraId="5165C9F0" w14:textId="57E4A012" w:rsidR="009422CB" w:rsidRDefault="009422CB" w:rsidP="00946012">
                  <w:pPr>
                    <w:rPr>
                      <w:rFonts w:cs="Times New Roman"/>
                      <w:szCs w:val="24"/>
                    </w:rPr>
                  </w:pPr>
                  <w:r>
                    <w:rPr>
                      <w:rFonts w:cs="Times New Roman"/>
                      <w:szCs w:val="24"/>
                    </w:rPr>
                    <w:t>1.punkts</w:t>
                  </w:r>
                </w:p>
              </w:tc>
              <w:tc>
                <w:tcPr>
                  <w:tcW w:w="1712" w:type="dxa"/>
                </w:tcPr>
                <w:p w14:paraId="3365B00D" w14:textId="238B9926"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F1FB2AB" w14:textId="666A7D6B"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t xml:space="preserve"> jo pantā iekļautais </w:t>
                  </w:r>
                  <w:r w:rsidR="00902887">
                    <w:lastRenderedPageBreak/>
                    <w:t>regulējums attiecas uz Eiropas Komisiju.</w:t>
                  </w:r>
                </w:p>
              </w:tc>
              <w:tc>
                <w:tcPr>
                  <w:tcW w:w="1854" w:type="dxa"/>
                </w:tcPr>
                <w:p w14:paraId="5E16430E" w14:textId="77777777" w:rsidR="009422CB" w:rsidRPr="00946012" w:rsidRDefault="009422CB"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422CB" w:rsidRPr="00946012" w14:paraId="3A35648A" w14:textId="77777777" w:rsidTr="00902887">
              <w:trPr>
                <w:trHeight w:val="815"/>
              </w:trPr>
              <w:tc>
                <w:tcPr>
                  <w:tcW w:w="1737" w:type="dxa"/>
                  <w:gridSpan w:val="2"/>
                  <w:vMerge/>
                </w:tcPr>
                <w:p w14:paraId="5A89490E" w14:textId="77777777" w:rsidR="009422CB" w:rsidRPr="00946012" w:rsidRDefault="009422CB" w:rsidP="00946012">
                  <w:pPr>
                    <w:rPr>
                      <w:rFonts w:cs="Times New Roman"/>
                      <w:szCs w:val="24"/>
                    </w:rPr>
                  </w:pPr>
                </w:p>
              </w:tc>
              <w:tc>
                <w:tcPr>
                  <w:tcW w:w="1650" w:type="dxa"/>
                </w:tcPr>
                <w:p w14:paraId="3E848EB5" w14:textId="2BABC2BA" w:rsidR="009422CB" w:rsidRDefault="009422CB" w:rsidP="00946012">
                  <w:pPr>
                    <w:rPr>
                      <w:rFonts w:cs="Times New Roman"/>
                      <w:szCs w:val="24"/>
                    </w:rPr>
                  </w:pPr>
                  <w:r>
                    <w:rPr>
                      <w:rFonts w:cs="Times New Roman"/>
                      <w:szCs w:val="24"/>
                    </w:rPr>
                    <w:t>2.punkts</w:t>
                  </w:r>
                </w:p>
              </w:tc>
              <w:tc>
                <w:tcPr>
                  <w:tcW w:w="1712" w:type="dxa"/>
                </w:tcPr>
                <w:p w14:paraId="5FC47573" w14:textId="59AF47A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0EDAB50A" w14:textId="58353373"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7600890" w14:textId="127B3C87"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9D32866" w14:textId="77777777" w:rsidTr="00902887">
              <w:trPr>
                <w:trHeight w:val="815"/>
              </w:trPr>
              <w:tc>
                <w:tcPr>
                  <w:tcW w:w="1737" w:type="dxa"/>
                  <w:gridSpan w:val="2"/>
                  <w:vMerge/>
                </w:tcPr>
                <w:p w14:paraId="61BBB78F" w14:textId="77777777" w:rsidR="009422CB" w:rsidRPr="00946012" w:rsidRDefault="009422CB" w:rsidP="00946012">
                  <w:pPr>
                    <w:rPr>
                      <w:rFonts w:cs="Times New Roman"/>
                      <w:szCs w:val="24"/>
                    </w:rPr>
                  </w:pPr>
                </w:p>
              </w:tc>
              <w:tc>
                <w:tcPr>
                  <w:tcW w:w="1650" w:type="dxa"/>
                </w:tcPr>
                <w:p w14:paraId="4E8B14BE" w14:textId="60CFAAFB" w:rsidR="009422CB" w:rsidRDefault="009422CB" w:rsidP="00946012">
                  <w:pPr>
                    <w:rPr>
                      <w:rFonts w:cs="Times New Roman"/>
                      <w:szCs w:val="24"/>
                    </w:rPr>
                  </w:pPr>
                  <w:r>
                    <w:rPr>
                      <w:rFonts w:cs="Times New Roman"/>
                      <w:szCs w:val="24"/>
                    </w:rPr>
                    <w:t>3.punkts</w:t>
                  </w:r>
                </w:p>
              </w:tc>
              <w:tc>
                <w:tcPr>
                  <w:tcW w:w="1712" w:type="dxa"/>
                </w:tcPr>
                <w:p w14:paraId="797DC269" w14:textId="64B71AF3"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89831B3" w14:textId="0F51017B"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31B78E19" w14:textId="50404F8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5D20432E" w14:textId="77777777" w:rsidTr="00902887">
              <w:trPr>
                <w:trHeight w:val="815"/>
              </w:trPr>
              <w:tc>
                <w:tcPr>
                  <w:tcW w:w="1737" w:type="dxa"/>
                  <w:gridSpan w:val="2"/>
                  <w:vMerge/>
                </w:tcPr>
                <w:p w14:paraId="49A55E8F" w14:textId="77777777" w:rsidR="009422CB" w:rsidRPr="00946012" w:rsidRDefault="009422CB" w:rsidP="00946012">
                  <w:pPr>
                    <w:rPr>
                      <w:rFonts w:cs="Times New Roman"/>
                      <w:szCs w:val="24"/>
                    </w:rPr>
                  </w:pPr>
                </w:p>
              </w:tc>
              <w:tc>
                <w:tcPr>
                  <w:tcW w:w="1650" w:type="dxa"/>
                </w:tcPr>
                <w:p w14:paraId="5EF4BDBC" w14:textId="551BF9A4" w:rsidR="009422CB" w:rsidRDefault="009422CB" w:rsidP="00946012">
                  <w:pPr>
                    <w:rPr>
                      <w:rFonts w:cs="Times New Roman"/>
                      <w:szCs w:val="24"/>
                    </w:rPr>
                  </w:pPr>
                  <w:r>
                    <w:rPr>
                      <w:rFonts w:cs="Times New Roman"/>
                      <w:szCs w:val="24"/>
                    </w:rPr>
                    <w:t>4.punkts</w:t>
                  </w:r>
                </w:p>
              </w:tc>
              <w:tc>
                <w:tcPr>
                  <w:tcW w:w="1712" w:type="dxa"/>
                </w:tcPr>
                <w:p w14:paraId="68296EC3" w14:textId="2B4085B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88B0E60" w14:textId="12CBEB3D"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29B3430E" w14:textId="39ED110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4EF3522" w14:textId="77777777" w:rsidTr="00902887">
              <w:trPr>
                <w:trHeight w:val="830"/>
              </w:trPr>
              <w:tc>
                <w:tcPr>
                  <w:tcW w:w="1737" w:type="dxa"/>
                  <w:gridSpan w:val="2"/>
                  <w:vMerge w:val="restart"/>
                </w:tcPr>
                <w:p w14:paraId="74730FA5" w14:textId="77777777" w:rsidR="00902887" w:rsidRPr="00946012" w:rsidRDefault="00902887" w:rsidP="00946012">
                  <w:pPr>
                    <w:rPr>
                      <w:rFonts w:cs="Times New Roman"/>
                      <w:szCs w:val="24"/>
                    </w:rPr>
                  </w:pPr>
                  <w:r w:rsidRPr="00946012">
                    <w:rPr>
                      <w:rFonts w:cs="Times New Roman"/>
                      <w:szCs w:val="24"/>
                    </w:rPr>
                    <w:t>6.pants</w:t>
                  </w:r>
                </w:p>
              </w:tc>
              <w:tc>
                <w:tcPr>
                  <w:tcW w:w="1650" w:type="dxa"/>
                </w:tcPr>
                <w:p w14:paraId="51189D2E" w14:textId="1B224F82" w:rsidR="00902887" w:rsidRDefault="00902887" w:rsidP="00946012">
                  <w:pPr>
                    <w:rPr>
                      <w:rFonts w:cs="Times New Roman"/>
                      <w:szCs w:val="24"/>
                    </w:rPr>
                  </w:pPr>
                  <w:proofErr w:type="spellStart"/>
                  <w:r>
                    <w:rPr>
                      <w:rFonts w:cs="Times New Roman"/>
                      <w:szCs w:val="24"/>
                    </w:rPr>
                    <w:t>a.apakšpunkts</w:t>
                  </w:r>
                  <w:proofErr w:type="spellEnd"/>
                </w:p>
              </w:tc>
              <w:tc>
                <w:tcPr>
                  <w:tcW w:w="1712" w:type="dxa"/>
                </w:tcPr>
                <w:p w14:paraId="7D2C238D" w14:textId="3E4D2FC6" w:rsidR="00902887" w:rsidRPr="00946012" w:rsidRDefault="00DB1C40" w:rsidP="00946012">
                  <w:pPr>
                    <w:rPr>
                      <w:rFonts w:cs="Times New Roman"/>
                      <w:szCs w:val="24"/>
                    </w:rPr>
                  </w:pPr>
                  <w:r>
                    <w:rPr>
                      <w:rFonts w:cs="Times New Roman"/>
                      <w:szCs w:val="24"/>
                    </w:rPr>
                    <w:t>5</w:t>
                  </w:r>
                  <w:r w:rsidR="00902887">
                    <w:rPr>
                      <w:rFonts w:cs="Times New Roman"/>
                      <w:szCs w:val="24"/>
                    </w:rPr>
                    <w:t xml:space="preserve">.pants. Tiks transponēta ar Ministru kabineta noteikumiem. </w:t>
                  </w:r>
                </w:p>
              </w:tc>
              <w:tc>
                <w:tcPr>
                  <w:tcW w:w="1942" w:type="dxa"/>
                </w:tcPr>
                <w:p w14:paraId="215CC6BE" w14:textId="7BA4E20D"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F413DD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BD86614" w14:textId="77777777" w:rsidTr="00902887">
              <w:trPr>
                <w:trHeight w:val="830"/>
              </w:trPr>
              <w:tc>
                <w:tcPr>
                  <w:tcW w:w="1737" w:type="dxa"/>
                  <w:gridSpan w:val="2"/>
                  <w:vMerge/>
                </w:tcPr>
                <w:p w14:paraId="2477F19A" w14:textId="77777777" w:rsidR="00902887" w:rsidRPr="00946012" w:rsidRDefault="00902887" w:rsidP="00946012">
                  <w:pPr>
                    <w:rPr>
                      <w:rFonts w:cs="Times New Roman"/>
                      <w:szCs w:val="24"/>
                    </w:rPr>
                  </w:pPr>
                </w:p>
              </w:tc>
              <w:tc>
                <w:tcPr>
                  <w:tcW w:w="1650" w:type="dxa"/>
                </w:tcPr>
                <w:p w14:paraId="287C5B2B" w14:textId="70CE6960" w:rsidR="00902887" w:rsidRDefault="00902887" w:rsidP="00946012">
                  <w:pPr>
                    <w:rPr>
                      <w:rFonts w:cs="Times New Roman"/>
                      <w:szCs w:val="24"/>
                    </w:rPr>
                  </w:pPr>
                  <w:proofErr w:type="spellStart"/>
                  <w:r>
                    <w:rPr>
                      <w:rFonts w:cs="Times New Roman"/>
                      <w:szCs w:val="24"/>
                    </w:rPr>
                    <w:t>b.apakšpunkts</w:t>
                  </w:r>
                  <w:proofErr w:type="spellEnd"/>
                </w:p>
              </w:tc>
              <w:tc>
                <w:tcPr>
                  <w:tcW w:w="1712" w:type="dxa"/>
                </w:tcPr>
                <w:p w14:paraId="45C23944" w14:textId="332461AF"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471BCBD5" w14:textId="66F18F9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106773F6" w14:textId="1705FD89"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CE696A0" w14:textId="77777777" w:rsidTr="00902887">
              <w:trPr>
                <w:trHeight w:val="830"/>
              </w:trPr>
              <w:tc>
                <w:tcPr>
                  <w:tcW w:w="1737" w:type="dxa"/>
                  <w:gridSpan w:val="2"/>
                  <w:vMerge/>
                </w:tcPr>
                <w:p w14:paraId="41B599E7" w14:textId="77777777" w:rsidR="00902887" w:rsidRPr="00946012" w:rsidRDefault="00902887" w:rsidP="00946012">
                  <w:pPr>
                    <w:rPr>
                      <w:rFonts w:cs="Times New Roman"/>
                      <w:szCs w:val="24"/>
                    </w:rPr>
                  </w:pPr>
                </w:p>
              </w:tc>
              <w:tc>
                <w:tcPr>
                  <w:tcW w:w="1650" w:type="dxa"/>
                </w:tcPr>
                <w:p w14:paraId="6EDE0975" w14:textId="10284DDC" w:rsidR="00902887" w:rsidRDefault="00902887" w:rsidP="00946012">
                  <w:pPr>
                    <w:rPr>
                      <w:rFonts w:cs="Times New Roman"/>
                      <w:szCs w:val="24"/>
                    </w:rPr>
                  </w:pPr>
                  <w:proofErr w:type="spellStart"/>
                  <w:r>
                    <w:rPr>
                      <w:rFonts w:cs="Times New Roman"/>
                      <w:szCs w:val="24"/>
                    </w:rPr>
                    <w:t>c.apakšpunkts</w:t>
                  </w:r>
                  <w:proofErr w:type="spellEnd"/>
                </w:p>
              </w:tc>
              <w:tc>
                <w:tcPr>
                  <w:tcW w:w="1712" w:type="dxa"/>
                </w:tcPr>
                <w:p w14:paraId="571DC5D6" w14:textId="19F2BE0C"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C3B9828" w14:textId="595C32F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05490236" w14:textId="6828311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25C73ED8" w14:textId="77777777" w:rsidTr="00902887">
              <w:trPr>
                <w:trHeight w:val="830"/>
              </w:trPr>
              <w:tc>
                <w:tcPr>
                  <w:tcW w:w="1737" w:type="dxa"/>
                  <w:gridSpan w:val="2"/>
                  <w:vMerge/>
                </w:tcPr>
                <w:p w14:paraId="3377C827" w14:textId="77777777" w:rsidR="00902887" w:rsidRPr="00946012" w:rsidRDefault="00902887" w:rsidP="00946012">
                  <w:pPr>
                    <w:rPr>
                      <w:rFonts w:cs="Times New Roman"/>
                      <w:szCs w:val="24"/>
                    </w:rPr>
                  </w:pPr>
                </w:p>
              </w:tc>
              <w:tc>
                <w:tcPr>
                  <w:tcW w:w="1650" w:type="dxa"/>
                </w:tcPr>
                <w:p w14:paraId="15465849" w14:textId="5D9703BE" w:rsidR="00902887" w:rsidRDefault="00902887" w:rsidP="00946012">
                  <w:pPr>
                    <w:rPr>
                      <w:rFonts w:cs="Times New Roman"/>
                      <w:szCs w:val="24"/>
                    </w:rPr>
                  </w:pPr>
                  <w:proofErr w:type="spellStart"/>
                  <w:r>
                    <w:rPr>
                      <w:rFonts w:cs="Times New Roman"/>
                      <w:szCs w:val="24"/>
                    </w:rPr>
                    <w:t>d.apakšpunkts</w:t>
                  </w:r>
                  <w:proofErr w:type="spellEnd"/>
                </w:p>
              </w:tc>
              <w:tc>
                <w:tcPr>
                  <w:tcW w:w="1712" w:type="dxa"/>
                </w:tcPr>
                <w:p w14:paraId="46B5B35F" w14:textId="56FBEB2E" w:rsidR="00902887" w:rsidRDefault="00DB1C40" w:rsidP="00946012">
                  <w:pPr>
                    <w:rPr>
                      <w:rFonts w:cs="Times New Roman"/>
                      <w:szCs w:val="24"/>
                    </w:rPr>
                  </w:pPr>
                  <w:r>
                    <w:rPr>
                      <w:rFonts w:cs="Times New Roman"/>
                      <w:szCs w:val="24"/>
                    </w:rPr>
                    <w:t>5</w:t>
                  </w:r>
                  <w:r w:rsidR="00902887">
                    <w:rPr>
                      <w:rFonts w:cs="Times New Roman"/>
                      <w:szCs w:val="24"/>
                    </w:rPr>
                    <w:t xml:space="preserve">.pants. Tiks transponēta ar Ministru </w:t>
                  </w:r>
                  <w:r w:rsidR="00902887">
                    <w:rPr>
                      <w:rFonts w:cs="Times New Roman"/>
                      <w:szCs w:val="24"/>
                    </w:rPr>
                    <w:lastRenderedPageBreak/>
                    <w:t>kabineta noteikumiem.</w:t>
                  </w:r>
                </w:p>
              </w:tc>
              <w:tc>
                <w:tcPr>
                  <w:tcW w:w="1942" w:type="dxa"/>
                </w:tcPr>
                <w:p w14:paraId="43AF2EF6" w14:textId="112B8E46" w:rsidR="00902887" w:rsidRPr="00946012" w:rsidRDefault="00902887" w:rsidP="00946012">
                  <w:pPr>
                    <w:rPr>
                      <w:rFonts w:cs="Times New Roman"/>
                      <w:color w:val="000000" w:themeColor="text1"/>
                      <w:szCs w:val="24"/>
                    </w:rPr>
                  </w:pPr>
                  <w:r w:rsidRPr="00946012">
                    <w:rPr>
                      <w:rFonts w:cs="Times New Roman"/>
                      <w:color w:val="000000" w:themeColor="text1"/>
                      <w:szCs w:val="24"/>
                    </w:rPr>
                    <w:lastRenderedPageBreak/>
                    <w:t xml:space="preserve">ES tiesību akta vienība </w:t>
                  </w:r>
                  <w:r>
                    <w:rPr>
                      <w:rFonts w:cs="Times New Roman"/>
                      <w:color w:val="000000" w:themeColor="text1"/>
                      <w:szCs w:val="24"/>
                    </w:rPr>
                    <w:t>ne</w:t>
                  </w:r>
                  <w:r w:rsidRPr="00946012">
                    <w:rPr>
                      <w:rFonts w:cs="Times New Roman"/>
                      <w:color w:val="000000" w:themeColor="text1"/>
                      <w:szCs w:val="24"/>
                    </w:rPr>
                    <w:t xml:space="preserve">tiek </w:t>
                  </w:r>
                  <w:r w:rsidRPr="00946012">
                    <w:rPr>
                      <w:rFonts w:cs="Times New Roman"/>
                      <w:color w:val="000000" w:themeColor="text1"/>
                      <w:szCs w:val="24"/>
                    </w:rPr>
                    <w:lastRenderedPageBreak/>
                    <w:t>pārņemta/ ieviesta pilnībā</w:t>
                  </w:r>
                </w:p>
              </w:tc>
              <w:tc>
                <w:tcPr>
                  <w:tcW w:w="1854" w:type="dxa"/>
                </w:tcPr>
                <w:p w14:paraId="32A958FA" w14:textId="7334607F" w:rsidR="00902887"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 xml:space="preserve">Likumprojekts stingrākas </w:t>
                  </w:r>
                  <w:r w:rsidRPr="00946012">
                    <w:rPr>
                      <w:rFonts w:cs="Times New Roman"/>
                      <w:color w:val="000000" w:themeColor="text1"/>
                      <w:szCs w:val="24"/>
                    </w:rPr>
                    <w:lastRenderedPageBreak/>
                    <w:t>prasības neparedz</w:t>
                  </w:r>
                </w:p>
              </w:tc>
            </w:tr>
            <w:tr w:rsidR="00902887" w:rsidRPr="00946012" w14:paraId="6C0CFB77" w14:textId="77777777" w:rsidTr="00902887">
              <w:trPr>
                <w:trHeight w:val="830"/>
              </w:trPr>
              <w:tc>
                <w:tcPr>
                  <w:tcW w:w="1737" w:type="dxa"/>
                  <w:gridSpan w:val="2"/>
                  <w:vMerge/>
                </w:tcPr>
                <w:p w14:paraId="4B27470F" w14:textId="77777777" w:rsidR="00902887" w:rsidRPr="00946012" w:rsidRDefault="00902887" w:rsidP="00946012">
                  <w:pPr>
                    <w:rPr>
                      <w:rFonts w:cs="Times New Roman"/>
                      <w:szCs w:val="24"/>
                    </w:rPr>
                  </w:pPr>
                </w:p>
              </w:tc>
              <w:tc>
                <w:tcPr>
                  <w:tcW w:w="1650" w:type="dxa"/>
                </w:tcPr>
                <w:p w14:paraId="3CDDE93C" w14:textId="744551C2" w:rsidR="00902887" w:rsidRDefault="00902887" w:rsidP="00946012">
                  <w:pPr>
                    <w:rPr>
                      <w:rFonts w:cs="Times New Roman"/>
                      <w:szCs w:val="24"/>
                    </w:rPr>
                  </w:pPr>
                  <w:proofErr w:type="spellStart"/>
                  <w:r>
                    <w:rPr>
                      <w:rFonts w:cs="Times New Roman"/>
                      <w:szCs w:val="24"/>
                    </w:rPr>
                    <w:t>e.apakšpunkts</w:t>
                  </w:r>
                  <w:proofErr w:type="spellEnd"/>
                </w:p>
              </w:tc>
              <w:tc>
                <w:tcPr>
                  <w:tcW w:w="1712" w:type="dxa"/>
                </w:tcPr>
                <w:p w14:paraId="28497405" w14:textId="05296B94"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4F4B9C3" w14:textId="53A59BF5"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B872E6D" w14:textId="4B9C389D"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2C4AEA0" w14:textId="77777777" w:rsidTr="00902887">
              <w:trPr>
                <w:trHeight w:val="830"/>
              </w:trPr>
              <w:tc>
                <w:tcPr>
                  <w:tcW w:w="1737" w:type="dxa"/>
                  <w:gridSpan w:val="2"/>
                  <w:vMerge/>
                </w:tcPr>
                <w:p w14:paraId="4A9BB03E" w14:textId="77777777" w:rsidR="00902887" w:rsidRPr="00946012" w:rsidRDefault="00902887" w:rsidP="00946012">
                  <w:pPr>
                    <w:rPr>
                      <w:rFonts w:cs="Times New Roman"/>
                      <w:szCs w:val="24"/>
                    </w:rPr>
                  </w:pPr>
                </w:p>
              </w:tc>
              <w:tc>
                <w:tcPr>
                  <w:tcW w:w="1650" w:type="dxa"/>
                </w:tcPr>
                <w:p w14:paraId="51C50E11" w14:textId="314093C2" w:rsidR="00902887" w:rsidRDefault="00902887" w:rsidP="00946012">
                  <w:pPr>
                    <w:rPr>
                      <w:rFonts w:cs="Times New Roman"/>
                      <w:szCs w:val="24"/>
                    </w:rPr>
                  </w:pPr>
                  <w:proofErr w:type="spellStart"/>
                  <w:r>
                    <w:rPr>
                      <w:rFonts w:cs="Times New Roman"/>
                      <w:szCs w:val="24"/>
                    </w:rPr>
                    <w:t>f.apakšpunkts</w:t>
                  </w:r>
                  <w:proofErr w:type="spellEnd"/>
                </w:p>
              </w:tc>
              <w:tc>
                <w:tcPr>
                  <w:tcW w:w="1712" w:type="dxa"/>
                </w:tcPr>
                <w:p w14:paraId="0FB99053" w14:textId="1087C215"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5CE27414" w14:textId="1B04280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68BF862" w14:textId="0AC7559E"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F9DC3F0" w14:textId="77777777" w:rsidTr="00902887">
              <w:trPr>
                <w:trHeight w:val="830"/>
              </w:trPr>
              <w:tc>
                <w:tcPr>
                  <w:tcW w:w="1737" w:type="dxa"/>
                  <w:gridSpan w:val="2"/>
                  <w:vMerge/>
                </w:tcPr>
                <w:p w14:paraId="620AE266" w14:textId="77777777" w:rsidR="00902887" w:rsidRPr="00946012" w:rsidRDefault="00902887" w:rsidP="00946012">
                  <w:pPr>
                    <w:rPr>
                      <w:rFonts w:cs="Times New Roman"/>
                      <w:szCs w:val="24"/>
                    </w:rPr>
                  </w:pPr>
                </w:p>
              </w:tc>
              <w:tc>
                <w:tcPr>
                  <w:tcW w:w="1650" w:type="dxa"/>
                </w:tcPr>
                <w:p w14:paraId="569C4D9A" w14:textId="2C77AA48" w:rsidR="00902887" w:rsidRDefault="00902887" w:rsidP="00946012">
                  <w:pPr>
                    <w:rPr>
                      <w:rFonts w:cs="Times New Roman"/>
                      <w:szCs w:val="24"/>
                    </w:rPr>
                  </w:pPr>
                  <w:proofErr w:type="spellStart"/>
                  <w:r>
                    <w:rPr>
                      <w:rFonts w:cs="Times New Roman"/>
                      <w:szCs w:val="24"/>
                    </w:rPr>
                    <w:t>g.apakšpunkts</w:t>
                  </w:r>
                  <w:proofErr w:type="spellEnd"/>
                </w:p>
              </w:tc>
              <w:tc>
                <w:tcPr>
                  <w:tcW w:w="1712" w:type="dxa"/>
                </w:tcPr>
                <w:p w14:paraId="4559F206" w14:textId="46B7EEC4"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6A6AB4B" w14:textId="57DD1B22"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306314A" w14:textId="18A49566"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EE6CBBF" w14:textId="77777777" w:rsidTr="00902887">
              <w:trPr>
                <w:trHeight w:val="830"/>
              </w:trPr>
              <w:tc>
                <w:tcPr>
                  <w:tcW w:w="1737" w:type="dxa"/>
                  <w:gridSpan w:val="2"/>
                  <w:vMerge/>
                </w:tcPr>
                <w:p w14:paraId="30179285" w14:textId="77777777" w:rsidR="00902887" w:rsidRPr="00946012" w:rsidRDefault="00902887" w:rsidP="00946012">
                  <w:pPr>
                    <w:rPr>
                      <w:rFonts w:cs="Times New Roman"/>
                      <w:szCs w:val="24"/>
                    </w:rPr>
                  </w:pPr>
                </w:p>
              </w:tc>
              <w:tc>
                <w:tcPr>
                  <w:tcW w:w="1650" w:type="dxa"/>
                </w:tcPr>
                <w:p w14:paraId="135CC0C6" w14:textId="094471CB" w:rsidR="00902887" w:rsidRDefault="00902887" w:rsidP="00946012">
                  <w:pPr>
                    <w:rPr>
                      <w:rFonts w:cs="Times New Roman"/>
                      <w:szCs w:val="24"/>
                    </w:rPr>
                  </w:pPr>
                  <w:proofErr w:type="spellStart"/>
                  <w:r>
                    <w:rPr>
                      <w:rFonts w:cs="Times New Roman"/>
                      <w:szCs w:val="24"/>
                    </w:rPr>
                    <w:t>h.apakšpunkts</w:t>
                  </w:r>
                  <w:proofErr w:type="spellEnd"/>
                </w:p>
              </w:tc>
              <w:tc>
                <w:tcPr>
                  <w:tcW w:w="1712" w:type="dxa"/>
                </w:tcPr>
                <w:p w14:paraId="685C3834" w14:textId="6051D27C"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34E51FA6" w14:textId="2849B83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4FBE757" w14:textId="135EC42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4A093DE0" w14:textId="77777777" w:rsidTr="00902887">
              <w:trPr>
                <w:trHeight w:val="830"/>
              </w:trPr>
              <w:tc>
                <w:tcPr>
                  <w:tcW w:w="1737" w:type="dxa"/>
                  <w:gridSpan w:val="2"/>
                  <w:vMerge/>
                </w:tcPr>
                <w:p w14:paraId="193478A9" w14:textId="77777777" w:rsidR="00902887" w:rsidRPr="00946012" w:rsidRDefault="00902887" w:rsidP="00946012">
                  <w:pPr>
                    <w:rPr>
                      <w:rFonts w:cs="Times New Roman"/>
                      <w:szCs w:val="24"/>
                    </w:rPr>
                  </w:pPr>
                </w:p>
              </w:tc>
              <w:tc>
                <w:tcPr>
                  <w:tcW w:w="1650" w:type="dxa"/>
                </w:tcPr>
                <w:p w14:paraId="0D05A086" w14:textId="14E29C1B" w:rsidR="00902887" w:rsidRDefault="00902887" w:rsidP="00946012">
                  <w:pPr>
                    <w:rPr>
                      <w:rFonts w:cs="Times New Roman"/>
                      <w:szCs w:val="24"/>
                    </w:rPr>
                  </w:pPr>
                  <w:proofErr w:type="spellStart"/>
                  <w:r>
                    <w:rPr>
                      <w:rFonts w:cs="Times New Roman"/>
                      <w:szCs w:val="24"/>
                    </w:rPr>
                    <w:t>i.apakšpunkts</w:t>
                  </w:r>
                  <w:proofErr w:type="spellEnd"/>
                </w:p>
              </w:tc>
              <w:tc>
                <w:tcPr>
                  <w:tcW w:w="1712" w:type="dxa"/>
                </w:tcPr>
                <w:p w14:paraId="2BEBDFD7" w14:textId="4C2AC522"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12F70690" w14:textId="2F6FF303"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29C3726B" w14:textId="24FC6FC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3C4707F" w14:textId="77777777" w:rsidTr="00902887">
              <w:trPr>
                <w:trHeight w:val="830"/>
              </w:trPr>
              <w:tc>
                <w:tcPr>
                  <w:tcW w:w="1737" w:type="dxa"/>
                  <w:gridSpan w:val="2"/>
                  <w:vMerge/>
                </w:tcPr>
                <w:p w14:paraId="7500575F" w14:textId="77777777" w:rsidR="00902887" w:rsidRPr="00946012" w:rsidRDefault="00902887" w:rsidP="00946012">
                  <w:pPr>
                    <w:rPr>
                      <w:rFonts w:cs="Times New Roman"/>
                      <w:szCs w:val="24"/>
                    </w:rPr>
                  </w:pPr>
                </w:p>
              </w:tc>
              <w:tc>
                <w:tcPr>
                  <w:tcW w:w="1650" w:type="dxa"/>
                </w:tcPr>
                <w:p w14:paraId="2924D551" w14:textId="68B8B2DE" w:rsidR="00902887" w:rsidRDefault="00902887" w:rsidP="00946012">
                  <w:pPr>
                    <w:rPr>
                      <w:rFonts w:cs="Times New Roman"/>
                      <w:szCs w:val="24"/>
                    </w:rPr>
                  </w:pPr>
                  <w:proofErr w:type="spellStart"/>
                  <w:r>
                    <w:rPr>
                      <w:rFonts w:cs="Times New Roman"/>
                      <w:szCs w:val="24"/>
                    </w:rPr>
                    <w:t>j.apakšpunkts</w:t>
                  </w:r>
                  <w:proofErr w:type="spellEnd"/>
                </w:p>
              </w:tc>
              <w:tc>
                <w:tcPr>
                  <w:tcW w:w="1712" w:type="dxa"/>
                </w:tcPr>
                <w:p w14:paraId="05185D5F" w14:textId="63902551"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12C2A9EE" w14:textId="057C2B3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0FDCD93" w14:textId="10431E2C"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6E17235" w14:textId="77777777" w:rsidTr="00902887">
              <w:trPr>
                <w:trHeight w:val="830"/>
              </w:trPr>
              <w:tc>
                <w:tcPr>
                  <w:tcW w:w="1737" w:type="dxa"/>
                  <w:gridSpan w:val="2"/>
                  <w:vMerge/>
                </w:tcPr>
                <w:p w14:paraId="0C283B74" w14:textId="77777777" w:rsidR="00902887" w:rsidRPr="00946012" w:rsidRDefault="00902887" w:rsidP="00946012">
                  <w:pPr>
                    <w:rPr>
                      <w:rFonts w:cs="Times New Roman"/>
                      <w:szCs w:val="24"/>
                    </w:rPr>
                  </w:pPr>
                </w:p>
              </w:tc>
              <w:tc>
                <w:tcPr>
                  <w:tcW w:w="1650" w:type="dxa"/>
                </w:tcPr>
                <w:p w14:paraId="7E7D8896" w14:textId="77FB7112" w:rsidR="00902887" w:rsidRDefault="00902887" w:rsidP="00946012">
                  <w:pPr>
                    <w:rPr>
                      <w:rFonts w:cs="Times New Roman"/>
                      <w:szCs w:val="24"/>
                    </w:rPr>
                  </w:pPr>
                  <w:proofErr w:type="spellStart"/>
                  <w:r>
                    <w:rPr>
                      <w:rFonts w:cs="Times New Roman"/>
                      <w:szCs w:val="24"/>
                    </w:rPr>
                    <w:t>k.apakšpunkts</w:t>
                  </w:r>
                  <w:proofErr w:type="spellEnd"/>
                </w:p>
              </w:tc>
              <w:tc>
                <w:tcPr>
                  <w:tcW w:w="1712" w:type="dxa"/>
                </w:tcPr>
                <w:p w14:paraId="30EDD7B8" w14:textId="256F98F8"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2F797B65" w14:textId="5803533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27FAB74" w14:textId="108A7B2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ACA022E" w14:textId="77777777" w:rsidTr="00902887">
              <w:trPr>
                <w:trHeight w:val="830"/>
              </w:trPr>
              <w:tc>
                <w:tcPr>
                  <w:tcW w:w="1737" w:type="dxa"/>
                  <w:gridSpan w:val="2"/>
                  <w:vMerge/>
                </w:tcPr>
                <w:p w14:paraId="3A67DCFF" w14:textId="77777777" w:rsidR="00902887" w:rsidRPr="00946012" w:rsidRDefault="00902887" w:rsidP="00946012">
                  <w:pPr>
                    <w:rPr>
                      <w:rFonts w:cs="Times New Roman"/>
                      <w:szCs w:val="24"/>
                    </w:rPr>
                  </w:pPr>
                </w:p>
              </w:tc>
              <w:tc>
                <w:tcPr>
                  <w:tcW w:w="1650" w:type="dxa"/>
                </w:tcPr>
                <w:p w14:paraId="3D95FAD4" w14:textId="7F8DE314" w:rsidR="00902887" w:rsidRDefault="00902887" w:rsidP="00946012">
                  <w:pPr>
                    <w:rPr>
                      <w:rFonts w:cs="Times New Roman"/>
                      <w:szCs w:val="24"/>
                    </w:rPr>
                  </w:pPr>
                  <w:proofErr w:type="spellStart"/>
                  <w:r>
                    <w:rPr>
                      <w:rFonts w:cs="Times New Roman"/>
                      <w:szCs w:val="24"/>
                    </w:rPr>
                    <w:t>l.apakšpunkts</w:t>
                  </w:r>
                  <w:proofErr w:type="spellEnd"/>
                </w:p>
              </w:tc>
              <w:tc>
                <w:tcPr>
                  <w:tcW w:w="1712" w:type="dxa"/>
                </w:tcPr>
                <w:p w14:paraId="3DC468D6" w14:textId="43ACE1EF" w:rsidR="00902887" w:rsidRDefault="00DB1C40" w:rsidP="00DB1C40">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32F6C112" w14:textId="03ACC32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F599586" w14:textId="2169ADA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EC194BB" w14:textId="77777777" w:rsidTr="00902887">
              <w:trPr>
                <w:trHeight w:val="830"/>
              </w:trPr>
              <w:tc>
                <w:tcPr>
                  <w:tcW w:w="1737" w:type="dxa"/>
                  <w:gridSpan w:val="2"/>
                  <w:vMerge/>
                </w:tcPr>
                <w:p w14:paraId="06DA66D4" w14:textId="77777777" w:rsidR="00902887" w:rsidRPr="00946012" w:rsidRDefault="00902887" w:rsidP="00946012">
                  <w:pPr>
                    <w:rPr>
                      <w:rFonts w:cs="Times New Roman"/>
                      <w:szCs w:val="24"/>
                    </w:rPr>
                  </w:pPr>
                </w:p>
              </w:tc>
              <w:tc>
                <w:tcPr>
                  <w:tcW w:w="1650" w:type="dxa"/>
                </w:tcPr>
                <w:p w14:paraId="03A7878B" w14:textId="65EA5A49" w:rsidR="00902887" w:rsidRDefault="00902887" w:rsidP="00946012">
                  <w:pPr>
                    <w:rPr>
                      <w:rFonts w:cs="Times New Roman"/>
                      <w:szCs w:val="24"/>
                    </w:rPr>
                  </w:pPr>
                  <w:proofErr w:type="spellStart"/>
                  <w:r>
                    <w:rPr>
                      <w:rFonts w:cs="Times New Roman"/>
                      <w:szCs w:val="24"/>
                    </w:rPr>
                    <w:t>m.apakšpunkts</w:t>
                  </w:r>
                  <w:proofErr w:type="spellEnd"/>
                </w:p>
              </w:tc>
              <w:tc>
                <w:tcPr>
                  <w:tcW w:w="1712" w:type="dxa"/>
                </w:tcPr>
                <w:p w14:paraId="4D079FA2" w14:textId="17E8C8A0" w:rsidR="00902887" w:rsidRDefault="00DB1C40" w:rsidP="00946012">
                  <w:pPr>
                    <w:rPr>
                      <w:rFonts w:cs="Times New Roman"/>
                      <w:szCs w:val="24"/>
                    </w:rPr>
                  </w:pPr>
                  <w:r>
                    <w:rPr>
                      <w:rFonts w:cs="Times New Roman"/>
                      <w:szCs w:val="24"/>
                    </w:rPr>
                    <w:t>5</w:t>
                  </w:r>
                  <w:r w:rsidR="00902887">
                    <w:rPr>
                      <w:rFonts w:cs="Times New Roman"/>
                      <w:szCs w:val="24"/>
                    </w:rPr>
                    <w:t>.pants. Tiks transponēta ar Ministru kabineta noteikumiem.</w:t>
                  </w:r>
                </w:p>
              </w:tc>
              <w:tc>
                <w:tcPr>
                  <w:tcW w:w="1942" w:type="dxa"/>
                </w:tcPr>
                <w:p w14:paraId="3883F646" w14:textId="73B1A55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98BAEE7" w14:textId="0B36680B"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EBA9663" w14:textId="77777777" w:rsidTr="00902887">
              <w:trPr>
                <w:trHeight w:val="830"/>
              </w:trPr>
              <w:tc>
                <w:tcPr>
                  <w:tcW w:w="1737" w:type="dxa"/>
                  <w:gridSpan w:val="2"/>
                </w:tcPr>
                <w:p w14:paraId="67D617EA" w14:textId="77777777" w:rsidR="009422CB" w:rsidRPr="00946012" w:rsidRDefault="009422CB" w:rsidP="00946012">
                  <w:pPr>
                    <w:rPr>
                      <w:rFonts w:cs="Times New Roman"/>
                      <w:szCs w:val="24"/>
                    </w:rPr>
                  </w:pPr>
                  <w:r w:rsidRPr="00946012">
                    <w:rPr>
                      <w:rFonts w:cs="Times New Roman"/>
                      <w:szCs w:val="24"/>
                    </w:rPr>
                    <w:lastRenderedPageBreak/>
                    <w:t>7.pants</w:t>
                  </w:r>
                </w:p>
              </w:tc>
              <w:tc>
                <w:tcPr>
                  <w:tcW w:w="1650" w:type="dxa"/>
                </w:tcPr>
                <w:p w14:paraId="59CCC8C2" w14:textId="77777777" w:rsidR="009422CB" w:rsidRDefault="009422CB" w:rsidP="00946012">
                  <w:pPr>
                    <w:rPr>
                      <w:rFonts w:cs="Times New Roman"/>
                      <w:szCs w:val="24"/>
                    </w:rPr>
                  </w:pPr>
                </w:p>
              </w:tc>
              <w:tc>
                <w:tcPr>
                  <w:tcW w:w="1712" w:type="dxa"/>
                </w:tcPr>
                <w:p w14:paraId="1B605F8D" w14:textId="365DC20C" w:rsidR="009422CB" w:rsidRPr="00946012" w:rsidRDefault="00DB1C40" w:rsidP="00902887">
                  <w:pPr>
                    <w:rPr>
                      <w:rFonts w:cs="Times New Roman"/>
                      <w:szCs w:val="24"/>
                    </w:rPr>
                  </w:pPr>
                  <w:r>
                    <w:rPr>
                      <w:rFonts w:cs="Times New Roman"/>
                      <w:szCs w:val="24"/>
                    </w:rPr>
                    <w:t>6</w:t>
                  </w:r>
                  <w:r w:rsidR="009422CB">
                    <w:rPr>
                      <w:rFonts w:cs="Times New Roman"/>
                      <w:szCs w:val="24"/>
                    </w:rPr>
                    <w:t>.pant</w:t>
                  </w:r>
                  <w:r w:rsidR="00902887">
                    <w:rPr>
                      <w:rFonts w:cs="Times New Roman"/>
                      <w:szCs w:val="24"/>
                    </w:rPr>
                    <w:t>s</w:t>
                  </w:r>
                  <w:r>
                    <w:rPr>
                      <w:rFonts w:cs="Times New Roman"/>
                      <w:szCs w:val="24"/>
                    </w:rPr>
                    <w:t>.Tiks transponēta ar Ministru kabineta noteikumiem.</w:t>
                  </w:r>
                </w:p>
              </w:tc>
              <w:tc>
                <w:tcPr>
                  <w:tcW w:w="1942" w:type="dxa"/>
                </w:tcPr>
                <w:p w14:paraId="5B3E5B25" w14:textId="77777777" w:rsidR="009422CB" w:rsidRPr="00946012" w:rsidRDefault="009422CB"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023B79C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08F5BCAD" w14:textId="77777777" w:rsidTr="00902887">
              <w:trPr>
                <w:trHeight w:val="830"/>
              </w:trPr>
              <w:tc>
                <w:tcPr>
                  <w:tcW w:w="1737" w:type="dxa"/>
                  <w:gridSpan w:val="2"/>
                  <w:vMerge w:val="restart"/>
                </w:tcPr>
                <w:p w14:paraId="1728336E" w14:textId="77777777" w:rsidR="00902887" w:rsidRPr="00946012" w:rsidRDefault="00902887" w:rsidP="00946012">
                  <w:pPr>
                    <w:rPr>
                      <w:rFonts w:cs="Times New Roman"/>
                      <w:szCs w:val="24"/>
                    </w:rPr>
                  </w:pPr>
                  <w:r w:rsidRPr="00946012">
                    <w:rPr>
                      <w:rFonts w:cs="Times New Roman"/>
                      <w:szCs w:val="24"/>
                    </w:rPr>
                    <w:t>8.pants</w:t>
                  </w:r>
                </w:p>
              </w:tc>
              <w:tc>
                <w:tcPr>
                  <w:tcW w:w="1650" w:type="dxa"/>
                </w:tcPr>
                <w:p w14:paraId="1BDDF853" w14:textId="764522E7" w:rsidR="00902887" w:rsidRPr="00946012" w:rsidRDefault="00902887" w:rsidP="00946012">
                  <w:pPr>
                    <w:rPr>
                      <w:rFonts w:cs="Times New Roman"/>
                      <w:szCs w:val="24"/>
                    </w:rPr>
                  </w:pPr>
                  <w:r>
                    <w:rPr>
                      <w:rFonts w:cs="Times New Roman"/>
                      <w:szCs w:val="24"/>
                    </w:rPr>
                    <w:t>1.punts</w:t>
                  </w:r>
                </w:p>
              </w:tc>
              <w:tc>
                <w:tcPr>
                  <w:tcW w:w="1712" w:type="dxa"/>
                </w:tcPr>
                <w:p w14:paraId="7C49B6CF" w14:textId="57FD4320" w:rsidR="00902887" w:rsidRPr="00946012" w:rsidRDefault="00C732A0" w:rsidP="00946012">
                  <w:pPr>
                    <w:rPr>
                      <w:rFonts w:cs="Times New Roman"/>
                      <w:szCs w:val="24"/>
                    </w:rPr>
                  </w:pPr>
                  <w:r w:rsidRPr="00946012">
                    <w:rPr>
                      <w:rFonts w:cs="Times New Roman"/>
                      <w:szCs w:val="24"/>
                    </w:rPr>
                    <w:t>Nav jāpārņem</w:t>
                  </w:r>
                </w:p>
              </w:tc>
              <w:tc>
                <w:tcPr>
                  <w:tcW w:w="1942" w:type="dxa"/>
                </w:tcPr>
                <w:p w14:paraId="32F717B7" w14:textId="5E6C19F4"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sidR="00C732A0">
                    <w:rPr>
                      <w:rFonts w:cs="Times New Roman"/>
                      <w:color w:val="000000" w:themeColor="text1"/>
                      <w:szCs w:val="24"/>
                    </w:rPr>
                    <w:t>, jo panta regulējums nosaka Direktīvas piemērošanas tvērumu.</w:t>
                  </w:r>
                </w:p>
              </w:tc>
              <w:tc>
                <w:tcPr>
                  <w:tcW w:w="1854" w:type="dxa"/>
                </w:tcPr>
                <w:p w14:paraId="4C558C57"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2930C14E" w14:textId="77777777" w:rsidTr="00902887">
              <w:trPr>
                <w:trHeight w:val="830"/>
              </w:trPr>
              <w:tc>
                <w:tcPr>
                  <w:tcW w:w="1737" w:type="dxa"/>
                  <w:gridSpan w:val="2"/>
                  <w:vMerge/>
                </w:tcPr>
                <w:p w14:paraId="63A3C809" w14:textId="77777777" w:rsidR="00902887" w:rsidRPr="00946012" w:rsidRDefault="00902887" w:rsidP="00946012">
                  <w:pPr>
                    <w:rPr>
                      <w:rFonts w:cs="Times New Roman"/>
                      <w:szCs w:val="24"/>
                    </w:rPr>
                  </w:pPr>
                </w:p>
              </w:tc>
              <w:tc>
                <w:tcPr>
                  <w:tcW w:w="1650" w:type="dxa"/>
                </w:tcPr>
                <w:p w14:paraId="1D3DE022" w14:textId="7FA5E997" w:rsidR="00902887" w:rsidRPr="00946012" w:rsidRDefault="00902887" w:rsidP="00946012">
                  <w:pPr>
                    <w:rPr>
                      <w:rFonts w:cs="Times New Roman"/>
                      <w:szCs w:val="24"/>
                    </w:rPr>
                  </w:pPr>
                  <w:r>
                    <w:rPr>
                      <w:rFonts w:cs="Times New Roman"/>
                      <w:szCs w:val="24"/>
                    </w:rPr>
                    <w:t>2.punkts</w:t>
                  </w:r>
                </w:p>
              </w:tc>
              <w:tc>
                <w:tcPr>
                  <w:tcW w:w="1712" w:type="dxa"/>
                </w:tcPr>
                <w:p w14:paraId="69CC35A4" w14:textId="7A87BF4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A32C4BF" w14:textId="74FBF9DE"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68B2AA00" w14:textId="7B7F277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218B79C" w14:textId="77777777" w:rsidTr="00902887">
              <w:trPr>
                <w:trHeight w:val="830"/>
              </w:trPr>
              <w:tc>
                <w:tcPr>
                  <w:tcW w:w="1737" w:type="dxa"/>
                  <w:gridSpan w:val="2"/>
                  <w:vMerge/>
                </w:tcPr>
                <w:p w14:paraId="2F210ADA" w14:textId="77777777" w:rsidR="00902887" w:rsidRPr="00946012" w:rsidRDefault="00902887" w:rsidP="00946012">
                  <w:pPr>
                    <w:rPr>
                      <w:rFonts w:cs="Times New Roman"/>
                      <w:szCs w:val="24"/>
                    </w:rPr>
                  </w:pPr>
                </w:p>
              </w:tc>
              <w:tc>
                <w:tcPr>
                  <w:tcW w:w="1650" w:type="dxa"/>
                </w:tcPr>
                <w:p w14:paraId="21AA24B7" w14:textId="01850B49" w:rsidR="00902887" w:rsidRPr="00946012" w:rsidRDefault="00902887" w:rsidP="00946012">
                  <w:pPr>
                    <w:rPr>
                      <w:rFonts w:cs="Times New Roman"/>
                      <w:szCs w:val="24"/>
                    </w:rPr>
                  </w:pPr>
                  <w:r>
                    <w:rPr>
                      <w:rFonts w:cs="Times New Roman"/>
                      <w:szCs w:val="24"/>
                    </w:rPr>
                    <w:t>3.punkts</w:t>
                  </w:r>
                </w:p>
              </w:tc>
              <w:tc>
                <w:tcPr>
                  <w:tcW w:w="1712" w:type="dxa"/>
                </w:tcPr>
                <w:p w14:paraId="174F39F4" w14:textId="6066466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56F0554" w14:textId="46D3B090"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1F2C507E" w14:textId="3685B25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2D1DE0" w14:textId="77777777" w:rsidTr="00902887">
              <w:trPr>
                <w:trHeight w:val="830"/>
              </w:trPr>
              <w:tc>
                <w:tcPr>
                  <w:tcW w:w="1737" w:type="dxa"/>
                  <w:gridSpan w:val="2"/>
                </w:tcPr>
                <w:p w14:paraId="5653EEDF" w14:textId="77777777" w:rsidR="009422CB" w:rsidRPr="00946012" w:rsidRDefault="009422CB" w:rsidP="00946012">
                  <w:pPr>
                    <w:rPr>
                      <w:rFonts w:cs="Times New Roman"/>
                      <w:szCs w:val="24"/>
                    </w:rPr>
                  </w:pPr>
                  <w:r w:rsidRPr="00946012">
                    <w:rPr>
                      <w:rFonts w:cs="Times New Roman"/>
                      <w:szCs w:val="24"/>
                    </w:rPr>
                    <w:t>9.pants</w:t>
                  </w:r>
                </w:p>
              </w:tc>
              <w:tc>
                <w:tcPr>
                  <w:tcW w:w="1650" w:type="dxa"/>
                </w:tcPr>
                <w:p w14:paraId="79D24A65" w14:textId="77777777" w:rsidR="009422CB" w:rsidRPr="00946012" w:rsidRDefault="009422CB" w:rsidP="00946012">
                  <w:pPr>
                    <w:rPr>
                      <w:rFonts w:cs="Times New Roman"/>
                      <w:szCs w:val="24"/>
                    </w:rPr>
                  </w:pPr>
                </w:p>
              </w:tc>
              <w:tc>
                <w:tcPr>
                  <w:tcW w:w="1712" w:type="dxa"/>
                </w:tcPr>
                <w:p w14:paraId="6CFFB96D" w14:textId="2D8C48D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9797153" w14:textId="7553EE32"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panta regulējums nosaka Direktīvas piemērošanas tvērumu.</w:t>
                  </w:r>
                </w:p>
              </w:tc>
              <w:tc>
                <w:tcPr>
                  <w:tcW w:w="1854" w:type="dxa"/>
                </w:tcPr>
                <w:p w14:paraId="32FD583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880E985" w14:textId="77777777" w:rsidTr="00902887">
              <w:trPr>
                <w:trHeight w:val="830"/>
              </w:trPr>
              <w:tc>
                <w:tcPr>
                  <w:tcW w:w="1737" w:type="dxa"/>
                  <w:gridSpan w:val="2"/>
                  <w:vMerge w:val="restart"/>
                </w:tcPr>
                <w:p w14:paraId="29DFFE8E" w14:textId="77777777" w:rsidR="00902887" w:rsidRPr="00946012" w:rsidRDefault="00902887" w:rsidP="00946012">
                  <w:pPr>
                    <w:rPr>
                      <w:rFonts w:cs="Times New Roman"/>
                      <w:szCs w:val="24"/>
                    </w:rPr>
                  </w:pPr>
                  <w:r w:rsidRPr="00946012">
                    <w:rPr>
                      <w:rFonts w:cs="Times New Roman"/>
                      <w:szCs w:val="24"/>
                    </w:rPr>
                    <w:t>10.pants</w:t>
                  </w:r>
                </w:p>
              </w:tc>
              <w:tc>
                <w:tcPr>
                  <w:tcW w:w="1650" w:type="dxa"/>
                </w:tcPr>
                <w:p w14:paraId="3EAA5182" w14:textId="7E72E097" w:rsidR="00902887" w:rsidRPr="00946012" w:rsidRDefault="00902887" w:rsidP="00946012">
                  <w:pPr>
                    <w:rPr>
                      <w:rFonts w:cs="Times New Roman"/>
                      <w:szCs w:val="24"/>
                    </w:rPr>
                  </w:pPr>
                  <w:r>
                    <w:rPr>
                      <w:rFonts w:cs="Times New Roman"/>
                      <w:szCs w:val="24"/>
                    </w:rPr>
                    <w:t>1.punkts</w:t>
                  </w:r>
                </w:p>
              </w:tc>
              <w:tc>
                <w:tcPr>
                  <w:tcW w:w="1712" w:type="dxa"/>
                </w:tcPr>
                <w:p w14:paraId="113561CF" w14:textId="137D080B" w:rsidR="00902887" w:rsidRPr="00946012" w:rsidRDefault="00902887" w:rsidP="00946012">
                  <w:pPr>
                    <w:rPr>
                      <w:rFonts w:cs="Times New Roman"/>
                      <w:szCs w:val="24"/>
                    </w:rPr>
                  </w:pPr>
                  <w:r w:rsidRPr="00946012">
                    <w:rPr>
                      <w:rFonts w:cs="Times New Roman"/>
                      <w:szCs w:val="24"/>
                    </w:rPr>
                    <w:t>Nav jāpārņem</w:t>
                  </w:r>
                </w:p>
              </w:tc>
              <w:tc>
                <w:tcPr>
                  <w:tcW w:w="1942" w:type="dxa"/>
                </w:tcPr>
                <w:p w14:paraId="47F5FBF8" w14:textId="4BE3E024" w:rsidR="00902887" w:rsidRPr="00946012" w:rsidRDefault="00902887" w:rsidP="00902887">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w:t>
                  </w:r>
                  <w:r>
                    <w:lastRenderedPageBreak/>
                    <w:t>iekļautais regulējums attiecas uz Eiropas Komisiju.</w:t>
                  </w:r>
                </w:p>
              </w:tc>
              <w:tc>
                <w:tcPr>
                  <w:tcW w:w="1854" w:type="dxa"/>
                </w:tcPr>
                <w:p w14:paraId="42D034A8" w14:textId="77777777" w:rsidR="00902887" w:rsidRPr="00946012" w:rsidRDefault="00902887"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02887" w:rsidRPr="00946012" w14:paraId="6540152F" w14:textId="77777777" w:rsidTr="00902887">
              <w:trPr>
                <w:trHeight w:val="830"/>
              </w:trPr>
              <w:tc>
                <w:tcPr>
                  <w:tcW w:w="1737" w:type="dxa"/>
                  <w:gridSpan w:val="2"/>
                  <w:vMerge/>
                </w:tcPr>
                <w:p w14:paraId="1316362A" w14:textId="77777777" w:rsidR="00902887" w:rsidRPr="00946012" w:rsidRDefault="00902887" w:rsidP="00946012">
                  <w:pPr>
                    <w:rPr>
                      <w:rFonts w:cs="Times New Roman"/>
                      <w:szCs w:val="24"/>
                    </w:rPr>
                  </w:pPr>
                </w:p>
              </w:tc>
              <w:tc>
                <w:tcPr>
                  <w:tcW w:w="1650" w:type="dxa"/>
                </w:tcPr>
                <w:p w14:paraId="5628929E" w14:textId="3D5AA70C" w:rsidR="00902887" w:rsidRPr="00946012" w:rsidRDefault="00902887" w:rsidP="00946012">
                  <w:pPr>
                    <w:rPr>
                      <w:rFonts w:cs="Times New Roman"/>
                      <w:szCs w:val="24"/>
                    </w:rPr>
                  </w:pPr>
                  <w:r>
                    <w:rPr>
                      <w:rFonts w:cs="Times New Roman"/>
                      <w:szCs w:val="24"/>
                    </w:rPr>
                    <w:t>2.punkts</w:t>
                  </w:r>
                </w:p>
              </w:tc>
              <w:tc>
                <w:tcPr>
                  <w:tcW w:w="1712" w:type="dxa"/>
                </w:tcPr>
                <w:p w14:paraId="6D8D9B6D" w14:textId="452E0917" w:rsidR="00902887" w:rsidRPr="00946012" w:rsidRDefault="00902887" w:rsidP="00946012">
                  <w:pPr>
                    <w:rPr>
                      <w:rFonts w:cs="Times New Roman"/>
                      <w:szCs w:val="24"/>
                    </w:rPr>
                  </w:pPr>
                  <w:r w:rsidRPr="00946012">
                    <w:rPr>
                      <w:rFonts w:cs="Times New Roman"/>
                      <w:szCs w:val="24"/>
                    </w:rPr>
                    <w:t>Nav jāpārņem</w:t>
                  </w:r>
                </w:p>
              </w:tc>
              <w:tc>
                <w:tcPr>
                  <w:tcW w:w="1942" w:type="dxa"/>
                </w:tcPr>
                <w:p w14:paraId="6C90913E" w14:textId="19E11789" w:rsidR="00902887"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0120E00D" w14:textId="1EA41BD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4927523" w14:textId="77777777" w:rsidTr="00902887">
              <w:trPr>
                <w:trHeight w:val="830"/>
              </w:trPr>
              <w:tc>
                <w:tcPr>
                  <w:tcW w:w="1737" w:type="dxa"/>
                  <w:gridSpan w:val="2"/>
                  <w:vMerge w:val="restart"/>
                </w:tcPr>
                <w:p w14:paraId="148B8104" w14:textId="77777777" w:rsidR="00902887" w:rsidRPr="00946012" w:rsidRDefault="00902887" w:rsidP="00946012">
                  <w:pPr>
                    <w:rPr>
                      <w:rFonts w:cs="Times New Roman"/>
                      <w:szCs w:val="24"/>
                    </w:rPr>
                  </w:pPr>
                  <w:r w:rsidRPr="00946012">
                    <w:rPr>
                      <w:rFonts w:cs="Times New Roman"/>
                      <w:szCs w:val="24"/>
                    </w:rPr>
                    <w:t>11.pants</w:t>
                  </w:r>
                </w:p>
              </w:tc>
              <w:tc>
                <w:tcPr>
                  <w:tcW w:w="1650" w:type="dxa"/>
                </w:tcPr>
                <w:p w14:paraId="20FBCE7B" w14:textId="64AD6985" w:rsidR="00902887" w:rsidRDefault="00902887" w:rsidP="00946012">
                  <w:pPr>
                    <w:rPr>
                      <w:rFonts w:cs="Times New Roman"/>
                      <w:szCs w:val="24"/>
                    </w:rPr>
                  </w:pPr>
                  <w:r>
                    <w:rPr>
                      <w:rFonts w:cs="Times New Roman"/>
                      <w:szCs w:val="24"/>
                    </w:rPr>
                    <w:t>1.punkts</w:t>
                  </w:r>
                </w:p>
              </w:tc>
              <w:tc>
                <w:tcPr>
                  <w:tcW w:w="1712" w:type="dxa"/>
                </w:tcPr>
                <w:p w14:paraId="46E126EE" w14:textId="1B040681" w:rsidR="00902887" w:rsidRPr="00946012" w:rsidRDefault="00292B94" w:rsidP="00946012">
                  <w:pPr>
                    <w:rPr>
                      <w:rFonts w:cs="Times New Roman"/>
                      <w:szCs w:val="24"/>
                    </w:rPr>
                  </w:pPr>
                  <w:r>
                    <w:rPr>
                      <w:rFonts w:cs="Times New Roman"/>
                      <w:szCs w:val="24"/>
                    </w:rPr>
                    <w:t>7</w:t>
                  </w:r>
                  <w:r w:rsidR="00902887">
                    <w:rPr>
                      <w:rFonts w:cs="Times New Roman"/>
                      <w:szCs w:val="24"/>
                    </w:rPr>
                    <w:t>.pants</w:t>
                  </w:r>
                </w:p>
              </w:tc>
              <w:tc>
                <w:tcPr>
                  <w:tcW w:w="1942" w:type="dxa"/>
                </w:tcPr>
                <w:p w14:paraId="469F664E" w14:textId="77777777" w:rsidR="00902887" w:rsidRPr="00946012" w:rsidRDefault="00902887"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6C24A31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534BABF" w14:textId="77777777" w:rsidTr="00902887">
              <w:trPr>
                <w:trHeight w:val="830"/>
              </w:trPr>
              <w:tc>
                <w:tcPr>
                  <w:tcW w:w="1737" w:type="dxa"/>
                  <w:gridSpan w:val="2"/>
                  <w:vMerge/>
                </w:tcPr>
                <w:p w14:paraId="62DD292B" w14:textId="77777777" w:rsidR="00902887" w:rsidRPr="00946012" w:rsidRDefault="00902887" w:rsidP="00946012">
                  <w:pPr>
                    <w:rPr>
                      <w:rFonts w:cs="Times New Roman"/>
                      <w:szCs w:val="24"/>
                    </w:rPr>
                  </w:pPr>
                </w:p>
              </w:tc>
              <w:tc>
                <w:tcPr>
                  <w:tcW w:w="1650" w:type="dxa"/>
                </w:tcPr>
                <w:p w14:paraId="5981340E" w14:textId="68736991" w:rsidR="00902887" w:rsidRDefault="00902887" w:rsidP="00946012">
                  <w:pPr>
                    <w:rPr>
                      <w:rFonts w:cs="Times New Roman"/>
                      <w:szCs w:val="24"/>
                    </w:rPr>
                  </w:pPr>
                  <w:r>
                    <w:rPr>
                      <w:rFonts w:cs="Times New Roman"/>
                      <w:szCs w:val="24"/>
                    </w:rPr>
                    <w:t>2.punkts</w:t>
                  </w:r>
                </w:p>
              </w:tc>
              <w:tc>
                <w:tcPr>
                  <w:tcW w:w="1712" w:type="dxa"/>
                </w:tcPr>
                <w:p w14:paraId="4CB6EA55" w14:textId="61FC356D" w:rsidR="00902887" w:rsidRDefault="00292B94" w:rsidP="00946012">
                  <w:pPr>
                    <w:rPr>
                      <w:rFonts w:cs="Times New Roman"/>
                      <w:szCs w:val="24"/>
                    </w:rPr>
                  </w:pPr>
                  <w:r>
                    <w:rPr>
                      <w:rFonts w:cs="Times New Roman"/>
                      <w:szCs w:val="24"/>
                    </w:rPr>
                    <w:t>7</w:t>
                  </w:r>
                  <w:r w:rsidR="00902887">
                    <w:rPr>
                      <w:rFonts w:cs="Times New Roman"/>
                      <w:szCs w:val="24"/>
                    </w:rPr>
                    <w:t>.pants</w:t>
                  </w:r>
                </w:p>
              </w:tc>
              <w:tc>
                <w:tcPr>
                  <w:tcW w:w="1942" w:type="dxa"/>
                </w:tcPr>
                <w:p w14:paraId="20489247" w14:textId="646259E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1B2067A4" w14:textId="12EE9507"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351C23A" w14:textId="77777777" w:rsidTr="00902887">
              <w:trPr>
                <w:trHeight w:val="830"/>
              </w:trPr>
              <w:tc>
                <w:tcPr>
                  <w:tcW w:w="1737" w:type="dxa"/>
                  <w:gridSpan w:val="2"/>
                  <w:vMerge/>
                </w:tcPr>
                <w:p w14:paraId="04E7E7F5" w14:textId="77777777" w:rsidR="00902887" w:rsidRPr="00946012" w:rsidRDefault="00902887" w:rsidP="00946012">
                  <w:pPr>
                    <w:rPr>
                      <w:rFonts w:cs="Times New Roman"/>
                      <w:szCs w:val="24"/>
                    </w:rPr>
                  </w:pPr>
                </w:p>
              </w:tc>
              <w:tc>
                <w:tcPr>
                  <w:tcW w:w="1650" w:type="dxa"/>
                </w:tcPr>
                <w:p w14:paraId="4FBA5D6C" w14:textId="13E76BC5" w:rsidR="00902887" w:rsidRDefault="00902887" w:rsidP="00946012">
                  <w:pPr>
                    <w:rPr>
                      <w:rFonts w:cs="Times New Roman"/>
                      <w:szCs w:val="24"/>
                    </w:rPr>
                  </w:pPr>
                  <w:r>
                    <w:rPr>
                      <w:rFonts w:cs="Times New Roman"/>
                      <w:szCs w:val="24"/>
                    </w:rPr>
                    <w:t>3.punkts</w:t>
                  </w:r>
                </w:p>
              </w:tc>
              <w:tc>
                <w:tcPr>
                  <w:tcW w:w="1712" w:type="dxa"/>
                </w:tcPr>
                <w:p w14:paraId="3B9ED3A6" w14:textId="7A4B85A6" w:rsidR="00902887" w:rsidRDefault="00292B94" w:rsidP="00946012">
                  <w:pPr>
                    <w:rPr>
                      <w:rFonts w:cs="Times New Roman"/>
                      <w:szCs w:val="24"/>
                    </w:rPr>
                  </w:pPr>
                  <w:r>
                    <w:rPr>
                      <w:rFonts w:cs="Times New Roman"/>
                      <w:szCs w:val="24"/>
                    </w:rPr>
                    <w:t>Nav jāpārņem</w:t>
                  </w:r>
                </w:p>
              </w:tc>
              <w:tc>
                <w:tcPr>
                  <w:tcW w:w="1942" w:type="dxa"/>
                </w:tcPr>
                <w:p w14:paraId="6516B7BF" w14:textId="77777777" w:rsidR="00292B94" w:rsidRDefault="00292B94" w:rsidP="00292B94">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p w14:paraId="3394078F" w14:textId="77777777" w:rsidR="00292B94" w:rsidRDefault="00292B94" w:rsidP="00292B94">
                  <w:pPr>
                    <w:rPr>
                      <w:rFonts w:cs="Times New Roman"/>
                      <w:color w:val="000000" w:themeColor="text1"/>
                      <w:szCs w:val="24"/>
                    </w:rPr>
                  </w:pPr>
                </w:p>
                <w:p w14:paraId="572A51DB" w14:textId="50F2C560" w:rsidR="00902887" w:rsidRPr="00946012" w:rsidRDefault="00292B94" w:rsidP="00292B94">
                  <w:pPr>
                    <w:jc w:val="both"/>
                    <w:rPr>
                      <w:rFonts w:cs="Times New Roman"/>
                      <w:color w:val="000000" w:themeColor="text1"/>
                      <w:szCs w:val="24"/>
                    </w:rPr>
                  </w:pPr>
                  <w:r>
                    <w:rPr>
                      <w:color w:val="000000" w:themeColor="text1"/>
                      <w:lang w:eastAsia="ar-SA"/>
                    </w:rPr>
                    <w:t>Minētā norma</w:t>
                  </w:r>
                  <w:r w:rsidRPr="00E90C11">
                    <w:rPr>
                      <w:color w:val="000000" w:themeColor="text1"/>
                      <w:lang w:eastAsia="ar-SA"/>
                    </w:rPr>
                    <w:t xml:space="preserve"> nosaka dalībvalsts pienākumu ziņot Komisijai </w:t>
                  </w:r>
                  <w:r>
                    <w:rPr>
                      <w:color w:val="000000" w:themeColor="text1"/>
                      <w:lang w:eastAsia="ar-SA"/>
                    </w:rPr>
                    <w:t>ar kādiem normatīvajiem aktiem tiek</w:t>
                  </w:r>
                  <w:r w:rsidRPr="00E90C11">
                    <w:rPr>
                      <w:color w:val="000000" w:themeColor="text1"/>
                      <w:lang w:eastAsia="ar-SA"/>
                    </w:rPr>
                    <w:t xml:space="preserve"> </w:t>
                  </w:r>
                  <w:r>
                    <w:rPr>
                      <w:color w:val="000000" w:themeColor="text1"/>
                      <w:lang w:eastAsia="ar-SA"/>
                    </w:rPr>
                    <w:t>transponēta</w:t>
                  </w:r>
                  <w:r w:rsidRPr="00E90C11">
                    <w:rPr>
                      <w:color w:val="000000" w:themeColor="text1"/>
                      <w:lang w:eastAsia="ar-SA"/>
                    </w:rPr>
                    <w:t xml:space="preserve"> Direktīva</w:t>
                  </w:r>
                  <w:r>
                    <w:rPr>
                      <w:color w:val="000000" w:themeColor="text1"/>
                      <w:lang w:eastAsia="ar-SA"/>
                    </w:rPr>
                    <w:t>.</w:t>
                  </w:r>
                </w:p>
              </w:tc>
              <w:tc>
                <w:tcPr>
                  <w:tcW w:w="1854" w:type="dxa"/>
                </w:tcPr>
                <w:p w14:paraId="0D933480" w14:textId="1AAF4098"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443EB11" w14:textId="77777777" w:rsidTr="00902887">
              <w:trPr>
                <w:trHeight w:val="815"/>
              </w:trPr>
              <w:tc>
                <w:tcPr>
                  <w:tcW w:w="1737" w:type="dxa"/>
                  <w:gridSpan w:val="2"/>
                </w:tcPr>
                <w:p w14:paraId="11A4A53F" w14:textId="77777777" w:rsidR="009422CB" w:rsidRPr="00946012" w:rsidRDefault="009422CB" w:rsidP="00946012">
                  <w:pPr>
                    <w:rPr>
                      <w:rFonts w:cs="Times New Roman"/>
                      <w:szCs w:val="24"/>
                    </w:rPr>
                  </w:pPr>
                  <w:r w:rsidRPr="00946012">
                    <w:rPr>
                      <w:rFonts w:cs="Times New Roman"/>
                      <w:szCs w:val="24"/>
                    </w:rPr>
                    <w:t>12.pants</w:t>
                  </w:r>
                </w:p>
              </w:tc>
              <w:tc>
                <w:tcPr>
                  <w:tcW w:w="1650" w:type="dxa"/>
                </w:tcPr>
                <w:p w14:paraId="17BF7A73" w14:textId="77777777" w:rsidR="009422CB" w:rsidRPr="00946012" w:rsidRDefault="009422CB" w:rsidP="00946012">
                  <w:pPr>
                    <w:rPr>
                      <w:rFonts w:cs="Times New Roman"/>
                      <w:szCs w:val="24"/>
                    </w:rPr>
                  </w:pPr>
                </w:p>
              </w:tc>
              <w:tc>
                <w:tcPr>
                  <w:tcW w:w="1712" w:type="dxa"/>
                </w:tcPr>
                <w:p w14:paraId="74641A14" w14:textId="772D16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3F497A4F" w14:textId="185C4FF4"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xml:space="preserve">, jo </w:t>
                  </w:r>
                  <w:r w:rsidR="00902887">
                    <w:t>pantā iekļautais regulējums attiecas uz Eiropas Komisiju.</w:t>
                  </w:r>
                </w:p>
              </w:tc>
              <w:tc>
                <w:tcPr>
                  <w:tcW w:w="1854" w:type="dxa"/>
                </w:tcPr>
                <w:p w14:paraId="00E60B1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778B106A" w14:textId="77777777" w:rsidTr="00902887">
              <w:trPr>
                <w:trHeight w:val="830"/>
              </w:trPr>
              <w:tc>
                <w:tcPr>
                  <w:tcW w:w="1737" w:type="dxa"/>
                  <w:gridSpan w:val="2"/>
                </w:tcPr>
                <w:p w14:paraId="0C9D94C4" w14:textId="77777777" w:rsidR="009422CB" w:rsidRPr="00946012" w:rsidRDefault="009422CB" w:rsidP="00946012">
                  <w:pPr>
                    <w:rPr>
                      <w:rFonts w:cs="Times New Roman"/>
                      <w:szCs w:val="24"/>
                    </w:rPr>
                  </w:pPr>
                  <w:r w:rsidRPr="00946012">
                    <w:rPr>
                      <w:rFonts w:cs="Times New Roman"/>
                      <w:szCs w:val="24"/>
                    </w:rPr>
                    <w:lastRenderedPageBreak/>
                    <w:t>13.pants</w:t>
                  </w:r>
                </w:p>
              </w:tc>
              <w:tc>
                <w:tcPr>
                  <w:tcW w:w="1650" w:type="dxa"/>
                </w:tcPr>
                <w:p w14:paraId="72DE3DFC" w14:textId="77777777" w:rsidR="009422CB" w:rsidRPr="00946012" w:rsidRDefault="009422CB" w:rsidP="00946012">
                  <w:pPr>
                    <w:rPr>
                      <w:rFonts w:cs="Times New Roman"/>
                      <w:szCs w:val="24"/>
                    </w:rPr>
                  </w:pPr>
                </w:p>
              </w:tc>
              <w:tc>
                <w:tcPr>
                  <w:tcW w:w="1712" w:type="dxa"/>
                </w:tcPr>
                <w:p w14:paraId="1460DAEA" w14:textId="27C95C14"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2BB0B93" w14:textId="36C9A06A" w:rsidR="009422CB" w:rsidRPr="00946012" w:rsidRDefault="009422CB" w:rsidP="00946012">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pantā iekļautais regulējums nav jātransponē nacionālajos tiesību aktos.</w:t>
                  </w:r>
                </w:p>
              </w:tc>
              <w:tc>
                <w:tcPr>
                  <w:tcW w:w="1854" w:type="dxa"/>
                </w:tcPr>
                <w:p w14:paraId="3CB7F050"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8A0D4C" w14:paraId="682C7E41" w14:textId="77777777" w:rsidTr="00902887">
              <w:trPr>
                <w:trHeight w:val="830"/>
              </w:trPr>
              <w:tc>
                <w:tcPr>
                  <w:tcW w:w="1737" w:type="dxa"/>
                  <w:gridSpan w:val="2"/>
                </w:tcPr>
                <w:p w14:paraId="2D01AD2B" w14:textId="77777777" w:rsidR="009422CB" w:rsidRPr="008A0D4C" w:rsidRDefault="009422CB" w:rsidP="00946012">
                  <w:pPr>
                    <w:rPr>
                      <w:rFonts w:cs="Times New Roman"/>
                      <w:szCs w:val="24"/>
                    </w:rPr>
                  </w:pPr>
                  <w:r w:rsidRPr="008A0D4C">
                    <w:rPr>
                      <w:rFonts w:cs="Times New Roman"/>
                      <w:szCs w:val="24"/>
                    </w:rPr>
                    <w:t>14.pants</w:t>
                  </w:r>
                </w:p>
              </w:tc>
              <w:tc>
                <w:tcPr>
                  <w:tcW w:w="1650" w:type="dxa"/>
                </w:tcPr>
                <w:p w14:paraId="49617289" w14:textId="77777777" w:rsidR="009422CB" w:rsidRPr="008A0D4C" w:rsidRDefault="009422CB" w:rsidP="00946012">
                  <w:pPr>
                    <w:rPr>
                      <w:rFonts w:cs="Times New Roman"/>
                      <w:szCs w:val="24"/>
                    </w:rPr>
                  </w:pPr>
                </w:p>
              </w:tc>
              <w:tc>
                <w:tcPr>
                  <w:tcW w:w="1712" w:type="dxa"/>
                </w:tcPr>
                <w:p w14:paraId="345D0B6F" w14:textId="52FCDAC4" w:rsidR="009422CB" w:rsidRPr="008A0D4C" w:rsidRDefault="009422CB" w:rsidP="00946012">
                  <w:pPr>
                    <w:rPr>
                      <w:rFonts w:cs="Times New Roman"/>
                      <w:szCs w:val="24"/>
                    </w:rPr>
                  </w:pPr>
                  <w:r w:rsidRPr="008A0D4C">
                    <w:rPr>
                      <w:rFonts w:cs="Times New Roman"/>
                      <w:szCs w:val="24"/>
                    </w:rPr>
                    <w:t>Nav jāpārņem</w:t>
                  </w:r>
                </w:p>
              </w:tc>
              <w:tc>
                <w:tcPr>
                  <w:tcW w:w="1942" w:type="dxa"/>
                </w:tcPr>
                <w:p w14:paraId="708C7FBB" w14:textId="78CFE94C" w:rsidR="009422CB" w:rsidRPr="008A0D4C" w:rsidRDefault="009422CB" w:rsidP="00946012">
                  <w:pPr>
                    <w:rPr>
                      <w:rFonts w:cs="Times New Roman"/>
                      <w:szCs w:val="24"/>
                    </w:rPr>
                  </w:pPr>
                  <w:r w:rsidRPr="008A0D4C">
                    <w:rPr>
                      <w:rFonts w:cs="Times New Roman"/>
                      <w:color w:val="000000" w:themeColor="text1"/>
                      <w:szCs w:val="24"/>
                    </w:rPr>
                    <w:t xml:space="preserve">ES tiesību akta vienība </w:t>
                  </w:r>
                  <w:r w:rsidR="00902887" w:rsidRPr="008A0D4C">
                    <w:rPr>
                      <w:rFonts w:cs="Times New Roman"/>
                      <w:color w:val="000000" w:themeColor="text1"/>
                      <w:szCs w:val="24"/>
                    </w:rPr>
                    <w:t>ne</w:t>
                  </w:r>
                  <w:r w:rsidRPr="008A0D4C">
                    <w:rPr>
                      <w:rFonts w:cs="Times New Roman"/>
                      <w:color w:val="000000" w:themeColor="text1"/>
                      <w:szCs w:val="24"/>
                    </w:rPr>
                    <w:t>tiek pārņemta/ ieviesta pilnībā</w:t>
                  </w:r>
                  <w:r w:rsidR="00902887" w:rsidRPr="008A0D4C">
                    <w:rPr>
                      <w:rFonts w:cs="Times New Roman"/>
                      <w:color w:val="000000" w:themeColor="text1"/>
                      <w:szCs w:val="24"/>
                    </w:rPr>
                    <w:t>, jo pantā iekļautais regulējums nav jātransponē nacionālajos tiesību aktos.</w:t>
                  </w:r>
                </w:p>
              </w:tc>
              <w:tc>
                <w:tcPr>
                  <w:tcW w:w="1854" w:type="dxa"/>
                </w:tcPr>
                <w:p w14:paraId="590D240A" w14:textId="77777777" w:rsidR="009422CB" w:rsidRPr="008A0D4C" w:rsidRDefault="009422CB" w:rsidP="00946012">
                  <w:pPr>
                    <w:rPr>
                      <w:rFonts w:cs="Times New Roman"/>
                      <w:szCs w:val="24"/>
                    </w:rPr>
                  </w:pPr>
                  <w:r w:rsidRPr="008A0D4C">
                    <w:rPr>
                      <w:rFonts w:cs="Times New Roman"/>
                      <w:color w:val="000000" w:themeColor="text1"/>
                      <w:szCs w:val="24"/>
                    </w:rPr>
                    <w:t>Likumprojekts stingrākas prasības neparedz</w:t>
                  </w:r>
                </w:p>
              </w:tc>
            </w:tr>
          </w:tbl>
          <w:tbl>
            <w:tblPr>
              <w:tblW w:w="496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5"/>
              <w:gridCol w:w="6679"/>
            </w:tblGrid>
            <w:tr w:rsidR="008A0D4C" w:rsidRPr="008A0D4C" w14:paraId="577FB3EC"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8B852F8"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253E4DD" w14:textId="19BDB48A"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Skatīt aprakstu anotācijas I sadaļas 2.punktā</w:t>
                  </w:r>
                </w:p>
              </w:tc>
            </w:tr>
            <w:tr w:rsidR="008A0D4C" w:rsidRPr="008A0D4C" w14:paraId="783C06BA"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9264311"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2BE7D751" w14:textId="50384BA0"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Projekts šo jomu neskar</w:t>
                  </w:r>
                </w:p>
              </w:tc>
            </w:tr>
            <w:tr w:rsidR="008A0D4C" w:rsidRPr="008A0D4C" w14:paraId="4E99857B"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31DB18A3" w14:textId="7777777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Cita informācija</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D4D03DA" w14:textId="6AAF368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Nav</w:t>
                  </w:r>
                </w:p>
              </w:tc>
            </w:tr>
            <w:tr w:rsidR="008A0D4C" w:rsidRPr="008A0D4C" w14:paraId="638F33D9"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9DDE" w14:textId="77777777" w:rsidR="008A0D4C" w:rsidRPr="008A0D4C" w:rsidRDefault="008A0D4C" w:rsidP="008A0D4C">
                  <w:pPr>
                    <w:spacing w:line="240" w:lineRule="auto"/>
                    <w:jc w:val="center"/>
                    <w:rPr>
                      <w:rFonts w:ascii="Times New Roman" w:hAnsi="Times New Roman" w:cs="Times New Roman"/>
                      <w:b/>
                      <w:sz w:val="24"/>
                      <w:szCs w:val="24"/>
                    </w:rPr>
                  </w:pPr>
                  <w:r w:rsidRPr="008A0D4C">
                    <w:rPr>
                      <w:rFonts w:ascii="Times New Roman" w:hAnsi="Times New Roman" w:cs="Times New Roman"/>
                      <w:b/>
                      <w:sz w:val="24"/>
                      <w:szCs w:val="24"/>
                    </w:rPr>
                    <w:t>2. tabula</w:t>
                  </w:r>
                  <w:r w:rsidRPr="008A0D4C">
                    <w:rPr>
                      <w:rFonts w:ascii="Times New Roman" w:hAnsi="Times New Roman" w:cs="Times New Roman"/>
                      <w:b/>
                      <w:sz w:val="24"/>
                      <w:szCs w:val="24"/>
                    </w:rPr>
                    <w:br/>
                    <w:t xml:space="preserve">Ar tiesību akta projektu izpildītās vai uzņemtās saistības, kas izriet no </w:t>
                  </w:r>
                  <w:r w:rsidRPr="008A0D4C">
                    <w:rPr>
                      <w:rFonts w:ascii="Times New Roman" w:hAnsi="Times New Roman" w:cs="Times New Roman"/>
                      <w:b/>
                      <w:sz w:val="24"/>
                      <w:szCs w:val="24"/>
                    </w:rPr>
                    <w:lastRenderedPageBreak/>
                    <w:t>starptautiskajiem tiesību aktiem vai starptautiskas institūcijas vai organizācijas dokumentiem.</w:t>
                  </w:r>
                  <w:r w:rsidRPr="008A0D4C">
                    <w:rPr>
                      <w:rFonts w:ascii="Times New Roman" w:hAnsi="Times New Roman" w:cs="Times New Roman"/>
                      <w:b/>
                      <w:sz w:val="24"/>
                      <w:szCs w:val="24"/>
                    </w:rPr>
                    <w:br/>
                    <w:t>Pasākumi šo saistību izpildei</w:t>
                  </w:r>
                </w:p>
              </w:tc>
            </w:tr>
            <w:tr w:rsidR="008A0D4C" w:rsidRPr="008A0D4C" w14:paraId="219F3544"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ED3F38" w14:textId="3D7A508F" w:rsidR="008A0D4C" w:rsidRPr="008A0D4C" w:rsidRDefault="008A0D4C" w:rsidP="008A0D4C">
                  <w:pPr>
                    <w:jc w:val="center"/>
                    <w:rPr>
                      <w:rFonts w:ascii="Times New Roman" w:hAnsi="Times New Roman" w:cs="Times New Roman"/>
                      <w:b/>
                      <w:sz w:val="24"/>
                      <w:szCs w:val="24"/>
                    </w:rPr>
                  </w:pPr>
                  <w:r w:rsidRPr="008A0D4C">
                    <w:rPr>
                      <w:rFonts w:ascii="Times New Roman" w:hAnsi="Times New Roman" w:cs="Times New Roman"/>
                      <w:iCs/>
                      <w:color w:val="000000" w:themeColor="text1"/>
                      <w:sz w:val="24"/>
                      <w:szCs w:val="24"/>
                    </w:rPr>
                    <w:lastRenderedPageBreak/>
                    <w:t>Projekts šo jomu neskar.</w:t>
                  </w:r>
                </w:p>
              </w:tc>
            </w:tr>
          </w:tbl>
          <w:p w14:paraId="080E9A75" w14:textId="764E47C5" w:rsidR="008A0D4C" w:rsidRPr="00946012" w:rsidRDefault="008A0D4C" w:rsidP="008A0D4C">
            <w:pPr>
              <w:spacing w:after="0" w:line="240" w:lineRule="auto"/>
              <w:rPr>
                <w:rFonts w:ascii="Times New Roman" w:eastAsia="Times New Roman" w:hAnsi="Times New Roman" w:cs="Times New Roman"/>
                <w:b/>
                <w:bCs/>
                <w:iCs/>
                <w:sz w:val="24"/>
                <w:szCs w:val="24"/>
                <w:lang w:eastAsia="lv-LV"/>
              </w:rPr>
            </w:pPr>
          </w:p>
        </w:tc>
      </w:tr>
    </w:tbl>
    <w:p w14:paraId="782D1ACA" w14:textId="61312E4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p w14:paraId="36C95FC4"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F40724" w14:textId="41E25C53"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79F5A5" w14:textId="57A11499"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28F8D479"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4EBE08E9"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“Latvijas Vēstnesis”</w:t>
            </w:r>
            <w:r w:rsidRPr="00946012">
              <w:rPr>
                <w:rFonts w:ascii="Times New Roman" w:hAnsi="Times New Roman" w:cs="Times New Roman"/>
                <w:noProof/>
                <w:sz w:val="24"/>
                <w:szCs w:val="24"/>
              </w:rPr>
              <w:t>, kā arī tas tiks ievietots bezmaksas normatīvo aktu datu bāzē www.likumi.lv.</w:t>
            </w:r>
          </w:p>
        </w:tc>
      </w:tr>
    </w:tbl>
    <w:p w14:paraId="3EF5E690" w14:textId="5575870E"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18CB0652"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5225E637" w:rsidR="00E5323B" w:rsidRPr="00946012" w:rsidRDefault="00A82F97"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Publiskie partneri</w:t>
            </w:r>
            <w:r w:rsidR="00F05B1A">
              <w:rPr>
                <w:rFonts w:ascii="Times New Roman" w:hAnsi="Times New Roman" w:cs="Times New Roman"/>
                <w:sz w:val="24"/>
                <w:szCs w:val="24"/>
              </w:rPr>
              <w:t xml:space="preserve"> </w:t>
            </w:r>
            <w:r w:rsidR="00946012" w:rsidRPr="00946012">
              <w:rPr>
                <w:rFonts w:ascii="Times New Roman" w:hAnsi="Times New Roman" w:cs="Times New Roman"/>
                <w:sz w:val="24"/>
                <w:szCs w:val="24"/>
              </w:rPr>
              <w:t>un piegādātāji.</w:t>
            </w:r>
          </w:p>
        </w:tc>
      </w:tr>
      <w:tr w:rsidR="009626E7" w:rsidRPr="00946012"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2B2C7F5C"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05990B7B"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14:paraId="1992E060" w14:textId="77777777" w:rsidR="00C25B49" w:rsidRPr="009626E7" w:rsidRDefault="00C25B49" w:rsidP="00894C55">
      <w:pPr>
        <w:spacing w:after="0" w:line="240" w:lineRule="auto"/>
        <w:rPr>
          <w:rFonts w:ascii="Times New Roman" w:hAnsi="Times New Roman" w:cs="Times New Roman"/>
          <w:sz w:val="28"/>
          <w:szCs w:val="28"/>
        </w:rPr>
      </w:pPr>
    </w:p>
    <w:p w14:paraId="32B67D8C" w14:textId="6875A385" w:rsidR="00E5323B" w:rsidRDefault="00E5323B" w:rsidP="00894C55">
      <w:pPr>
        <w:spacing w:after="0" w:line="240" w:lineRule="auto"/>
        <w:rPr>
          <w:rFonts w:ascii="Times New Roman" w:hAnsi="Times New Roman" w:cs="Times New Roman"/>
          <w:sz w:val="28"/>
          <w:szCs w:val="28"/>
        </w:rPr>
      </w:pPr>
    </w:p>
    <w:p w14:paraId="040F0D40" w14:textId="77777777" w:rsidR="00662173" w:rsidRPr="009626E7" w:rsidRDefault="00662173" w:rsidP="00894C55">
      <w:pPr>
        <w:spacing w:after="0" w:line="240" w:lineRule="auto"/>
        <w:rPr>
          <w:rFonts w:ascii="Times New Roman" w:hAnsi="Times New Roman" w:cs="Times New Roman"/>
          <w:sz w:val="28"/>
          <w:szCs w:val="28"/>
        </w:rPr>
      </w:pPr>
    </w:p>
    <w:p w14:paraId="1DFB1FF4" w14:textId="63F945F3"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proofErr w:type="spellStart"/>
      <w:r w:rsidRPr="00946012">
        <w:rPr>
          <w:rFonts w:ascii="Times New Roman" w:eastAsia="Times New Roman" w:hAnsi="Times New Roman" w:cs="Times New Roman"/>
          <w:sz w:val="24"/>
          <w:szCs w:val="28"/>
          <w:lang w:eastAsia="lv-LV"/>
        </w:rPr>
        <w:t>D.Reizniece</w:t>
      </w:r>
      <w:proofErr w:type="spellEnd"/>
      <w:r w:rsidRPr="00946012">
        <w:rPr>
          <w:rFonts w:ascii="Times New Roman" w:eastAsia="Times New Roman" w:hAnsi="Times New Roman" w:cs="Times New Roman"/>
          <w:sz w:val="24"/>
          <w:szCs w:val="28"/>
          <w:lang w:eastAsia="lv-LV"/>
        </w:rPr>
        <w:t>-Ozola</w:t>
      </w:r>
    </w:p>
    <w:p w14:paraId="4605A10B" w14:textId="29AD0A25" w:rsidR="004344F0" w:rsidRPr="009626E7"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2C46357" w14:textId="59A73A14"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F6C0A59" w14:textId="0F6792D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378BD3D" w14:textId="0AAAF27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5B24333E" w14:textId="77777777" w:rsidR="00662173" w:rsidRPr="009626E7"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125BA23" w14:textId="77777777"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14:paraId="57EC500C" w14:textId="0858CFB5" w:rsidR="00894C55" w:rsidRPr="009626E7" w:rsidRDefault="00946012" w:rsidP="00AC4D00">
      <w:pPr>
        <w:rPr>
          <w:rFonts w:ascii="Times New Roman" w:hAnsi="Times New Roman" w:cs="Times New Roman"/>
          <w:sz w:val="24"/>
          <w:szCs w:val="28"/>
        </w:rPr>
      </w:pPr>
      <w:r w:rsidRPr="00946012">
        <w:rPr>
          <w:rFonts w:ascii="Times New Roman" w:hAnsi="Times New Roman" w:cs="Times New Roman"/>
          <w:color w:val="000000" w:themeColor="text1"/>
          <w:sz w:val="20"/>
          <w:szCs w:val="20"/>
        </w:rPr>
        <w:t>edgars.matulis@fm.gov.lv</w:t>
      </w:r>
      <w:bookmarkStart w:id="0" w:name="_GoBack"/>
      <w:bookmarkEnd w:id="0"/>
    </w:p>
    <w:sectPr w:rsidR="00894C55" w:rsidRPr="009626E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FF945" w14:textId="77777777" w:rsidR="00111CCE" w:rsidRDefault="00111CCE" w:rsidP="00894C55">
      <w:pPr>
        <w:spacing w:after="0" w:line="240" w:lineRule="auto"/>
      </w:pPr>
      <w:r>
        <w:separator/>
      </w:r>
    </w:p>
  </w:endnote>
  <w:endnote w:type="continuationSeparator" w:id="0">
    <w:p w14:paraId="27F88C21" w14:textId="77777777" w:rsidR="00111CCE" w:rsidRDefault="00111CC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2C1726A5" w:rsidR="008A0D4C" w:rsidRPr="00894C55" w:rsidRDefault="008A0D4C">
    <w:pPr>
      <w:pStyle w:val="Footer"/>
      <w:rPr>
        <w:rFonts w:ascii="Times New Roman" w:hAnsi="Times New Roman" w:cs="Times New Roman"/>
        <w:sz w:val="20"/>
        <w:szCs w:val="20"/>
      </w:rPr>
    </w:pPr>
    <w:r>
      <w:rPr>
        <w:rFonts w:ascii="Times New Roman" w:hAnsi="Times New Roman" w:cs="Times New Roman"/>
        <w:sz w:val="20"/>
        <w:szCs w:val="20"/>
      </w:rPr>
      <w:t>FManot_17042018_</w:t>
    </w:r>
    <w:r w:rsidR="0094453F">
      <w:rPr>
        <w:rFonts w:ascii="Times New Roman" w:hAnsi="Times New Roman" w:cs="Times New Roman"/>
        <w:sz w:val="20"/>
        <w:szCs w:val="20"/>
      </w:rPr>
      <w:t>PPP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23933F48" w:rsidR="008A0D4C" w:rsidRPr="00B970A7" w:rsidRDefault="008A0D4C" w:rsidP="00B970A7">
    <w:pPr>
      <w:pStyle w:val="Footer"/>
      <w:rPr>
        <w:rFonts w:ascii="Times New Roman" w:hAnsi="Times New Roman" w:cs="Times New Roman"/>
        <w:sz w:val="20"/>
        <w:szCs w:val="20"/>
      </w:rPr>
    </w:pPr>
    <w:r>
      <w:rPr>
        <w:rFonts w:ascii="Times New Roman" w:hAnsi="Times New Roman" w:cs="Times New Roman"/>
        <w:sz w:val="20"/>
        <w:szCs w:val="20"/>
      </w:rPr>
      <w:t>FManot_17042018_</w:t>
    </w:r>
    <w:r w:rsidR="0094453F">
      <w:rPr>
        <w:rFonts w:ascii="Times New Roman" w:hAnsi="Times New Roman" w:cs="Times New Roman"/>
        <w:sz w:val="20"/>
        <w:szCs w:val="20"/>
      </w:rPr>
      <w:t>PPP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8503" w14:textId="77777777" w:rsidR="00111CCE" w:rsidRDefault="00111CCE" w:rsidP="00894C55">
      <w:pPr>
        <w:spacing w:after="0" w:line="240" w:lineRule="auto"/>
      </w:pPr>
      <w:r>
        <w:separator/>
      </w:r>
    </w:p>
  </w:footnote>
  <w:footnote w:type="continuationSeparator" w:id="0">
    <w:p w14:paraId="7E967485" w14:textId="77777777" w:rsidR="00111CCE" w:rsidRDefault="00111CC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0494D5E6" w:rsidR="008A0D4C" w:rsidRPr="00C25B49" w:rsidRDefault="008A0D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C4D00">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4E3F"/>
    <w:multiLevelType w:val="hybridMultilevel"/>
    <w:tmpl w:val="A39871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CB"/>
    <w:rsid w:val="000020A1"/>
    <w:rsid w:val="00004363"/>
    <w:rsid w:val="00004E28"/>
    <w:rsid w:val="000155A3"/>
    <w:rsid w:val="000162EE"/>
    <w:rsid w:val="00020946"/>
    <w:rsid w:val="0003703C"/>
    <w:rsid w:val="000640C0"/>
    <w:rsid w:val="000C1059"/>
    <w:rsid w:val="000C7E05"/>
    <w:rsid w:val="000D1EAB"/>
    <w:rsid w:val="000D2396"/>
    <w:rsid w:val="000D3B22"/>
    <w:rsid w:val="000D6627"/>
    <w:rsid w:val="000F2679"/>
    <w:rsid w:val="0010625D"/>
    <w:rsid w:val="00111CCE"/>
    <w:rsid w:val="00115A4D"/>
    <w:rsid w:val="00122721"/>
    <w:rsid w:val="00141424"/>
    <w:rsid w:val="00161C2F"/>
    <w:rsid w:val="00163BD2"/>
    <w:rsid w:val="00165297"/>
    <w:rsid w:val="001A31AB"/>
    <w:rsid w:val="001A67C7"/>
    <w:rsid w:val="001A78B5"/>
    <w:rsid w:val="001B6A73"/>
    <w:rsid w:val="001B7BF1"/>
    <w:rsid w:val="001C7130"/>
    <w:rsid w:val="001D1FCF"/>
    <w:rsid w:val="001D52C0"/>
    <w:rsid w:val="001D52DA"/>
    <w:rsid w:val="001D6C74"/>
    <w:rsid w:val="001E2A4B"/>
    <w:rsid w:val="001F03F2"/>
    <w:rsid w:val="00207D33"/>
    <w:rsid w:val="0021285D"/>
    <w:rsid w:val="00217588"/>
    <w:rsid w:val="00226630"/>
    <w:rsid w:val="00236A56"/>
    <w:rsid w:val="00243426"/>
    <w:rsid w:val="002522D8"/>
    <w:rsid w:val="00263858"/>
    <w:rsid w:val="00270616"/>
    <w:rsid w:val="00271019"/>
    <w:rsid w:val="0028061F"/>
    <w:rsid w:val="00292AE4"/>
    <w:rsid w:val="00292B94"/>
    <w:rsid w:val="0029507C"/>
    <w:rsid w:val="002B18D8"/>
    <w:rsid w:val="002C3D6E"/>
    <w:rsid w:val="002C7FFB"/>
    <w:rsid w:val="002D37A8"/>
    <w:rsid w:val="002D782E"/>
    <w:rsid w:val="002E1A7F"/>
    <w:rsid w:val="002E1C05"/>
    <w:rsid w:val="002E3EDD"/>
    <w:rsid w:val="002F723E"/>
    <w:rsid w:val="00305B72"/>
    <w:rsid w:val="00306E0D"/>
    <w:rsid w:val="00323D87"/>
    <w:rsid w:val="0033725C"/>
    <w:rsid w:val="00347603"/>
    <w:rsid w:val="00352E6D"/>
    <w:rsid w:val="003655AA"/>
    <w:rsid w:val="00365FC0"/>
    <w:rsid w:val="00376929"/>
    <w:rsid w:val="0038149F"/>
    <w:rsid w:val="003909E1"/>
    <w:rsid w:val="0039395B"/>
    <w:rsid w:val="003B0BF9"/>
    <w:rsid w:val="003B66DD"/>
    <w:rsid w:val="003C1BD3"/>
    <w:rsid w:val="003D691C"/>
    <w:rsid w:val="003D6BEC"/>
    <w:rsid w:val="003E0791"/>
    <w:rsid w:val="003E289A"/>
    <w:rsid w:val="003E52B8"/>
    <w:rsid w:val="003F28AC"/>
    <w:rsid w:val="003F5746"/>
    <w:rsid w:val="003F7679"/>
    <w:rsid w:val="00414E6A"/>
    <w:rsid w:val="0041518F"/>
    <w:rsid w:val="004274ED"/>
    <w:rsid w:val="004344F0"/>
    <w:rsid w:val="004447DB"/>
    <w:rsid w:val="004454FE"/>
    <w:rsid w:val="0044696E"/>
    <w:rsid w:val="00456E40"/>
    <w:rsid w:val="00463C68"/>
    <w:rsid w:val="00471F27"/>
    <w:rsid w:val="00472426"/>
    <w:rsid w:val="00483CED"/>
    <w:rsid w:val="00487FFA"/>
    <w:rsid w:val="004D0684"/>
    <w:rsid w:val="004D1255"/>
    <w:rsid w:val="004D69C0"/>
    <w:rsid w:val="004E62F2"/>
    <w:rsid w:val="0050178F"/>
    <w:rsid w:val="005022B5"/>
    <w:rsid w:val="00505CC1"/>
    <w:rsid w:val="005071C4"/>
    <w:rsid w:val="00507F53"/>
    <w:rsid w:val="0051158C"/>
    <w:rsid w:val="00552852"/>
    <w:rsid w:val="005577DD"/>
    <w:rsid w:val="00577A93"/>
    <w:rsid w:val="005B2A57"/>
    <w:rsid w:val="005C0AA4"/>
    <w:rsid w:val="005C483D"/>
    <w:rsid w:val="005D0ABE"/>
    <w:rsid w:val="005E17EC"/>
    <w:rsid w:val="005F1528"/>
    <w:rsid w:val="00616DD0"/>
    <w:rsid w:val="0062006F"/>
    <w:rsid w:val="006271AF"/>
    <w:rsid w:val="00634B0B"/>
    <w:rsid w:val="00637213"/>
    <w:rsid w:val="006503AE"/>
    <w:rsid w:val="00655F2C"/>
    <w:rsid w:val="00662173"/>
    <w:rsid w:val="0066791E"/>
    <w:rsid w:val="00671553"/>
    <w:rsid w:val="006756E8"/>
    <w:rsid w:val="00696F79"/>
    <w:rsid w:val="006A2B63"/>
    <w:rsid w:val="006A5FC5"/>
    <w:rsid w:val="006B671F"/>
    <w:rsid w:val="006B6A37"/>
    <w:rsid w:val="006E1081"/>
    <w:rsid w:val="006E1E99"/>
    <w:rsid w:val="006E4A78"/>
    <w:rsid w:val="006F1BF8"/>
    <w:rsid w:val="00703DCF"/>
    <w:rsid w:val="00711E17"/>
    <w:rsid w:val="00720585"/>
    <w:rsid w:val="007327BB"/>
    <w:rsid w:val="0074254F"/>
    <w:rsid w:val="007557A3"/>
    <w:rsid w:val="00773AF6"/>
    <w:rsid w:val="00773CD1"/>
    <w:rsid w:val="007802CA"/>
    <w:rsid w:val="00784933"/>
    <w:rsid w:val="00795F71"/>
    <w:rsid w:val="007B41E0"/>
    <w:rsid w:val="007C671C"/>
    <w:rsid w:val="007D540C"/>
    <w:rsid w:val="007E5F7A"/>
    <w:rsid w:val="007E73AB"/>
    <w:rsid w:val="007F167C"/>
    <w:rsid w:val="00802EB0"/>
    <w:rsid w:val="00803A76"/>
    <w:rsid w:val="00804A1A"/>
    <w:rsid w:val="00816C11"/>
    <w:rsid w:val="0082117B"/>
    <w:rsid w:val="0082555A"/>
    <w:rsid w:val="00894C55"/>
    <w:rsid w:val="008A0D4C"/>
    <w:rsid w:val="008B0FCF"/>
    <w:rsid w:val="008B74DE"/>
    <w:rsid w:val="008C6F02"/>
    <w:rsid w:val="008D1395"/>
    <w:rsid w:val="008D7A5D"/>
    <w:rsid w:val="008E4430"/>
    <w:rsid w:val="008E4B81"/>
    <w:rsid w:val="00902887"/>
    <w:rsid w:val="0091023D"/>
    <w:rsid w:val="009113D9"/>
    <w:rsid w:val="00914B55"/>
    <w:rsid w:val="00927FB0"/>
    <w:rsid w:val="009300A3"/>
    <w:rsid w:val="009366A1"/>
    <w:rsid w:val="009422CB"/>
    <w:rsid w:val="009424DC"/>
    <w:rsid w:val="009430AD"/>
    <w:rsid w:val="0094453F"/>
    <w:rsid w:val="009456F3"/>
    <w:rsid w:val="00946012"/>
    <w:rsid w:val="009626E7"/>
    <w:rsid w:val="009731D7"/>
    <w:rsid w:val="00984756"/>
    <w:rsid w:val="009A2654"/>
    <w:rsid w:val="009C7C52"/>
    <w:rsid w:val="009D7151"/>
    <w:rsid w:val="009E3B0F"/>
    <w:rsid w:val="009F5302"/>
    <w:rsid w:val="00A066A3"/>
    <w:rsid w:val="00A10FC3"/>
    <w:rsid w:val="00A1221B"/>
    <w:rsid w:val="00A1250F"/>
    <w:rsid w:val="00A12B38"/>
    <w:rsid w:val="00A20409"/>
    <w:rsid w:val="00A20510"/>
    <w:rsid w:val="00A211D7"/>
    <w:rsid w:val="00A33F01"/>
    <w:rsid w:val="00A51750"/>
    <w:rsid w:val="00A532C2"/>
    <w:rsid w:val="00A6073E"/>
    <w:rsid w:val="00A70936"/>
    <w:rsid w:val="00A82F97"/>
    <w:rsid w:val="00AB5968"/>
    <w:rsid w:val="00AC0D16"/>
    <w:rsid w:val="00AC4D00"/>
    <w:rsid w:val="00AE155C"/>
    <w:rsid w:val="00AE5567"/>
    <w:rsid w:val="00AF1239"/>
    <w:rsid w:val="00B02F30"/>
    <w:rsid w:val="00B12A3B"/>
    <w:rsid w:val="00B14097"/>
    <w:rsid w:val="00B16480"/>
    <w:rsid w:val="00B2165C"/>
    <w:rsid w:val="00B24F04"/>
    <w:rsid w:val="00B4014A"/>
    <w:rsid w:val="00B50C52"/>
    <w:rsid w:val="00B53A36"/>
    <w:rsid w:val="00B856F9"/>
    <w:rsid w:val="00B970A7"/>
    <w:rsid w:val="00BA20AA"/>
    <w:rsid w:val="00BB5E20"/>
    <w:rsid w:val="00BC2BB6"/>
    <w:rsid w:val="00BD26C3"/>
    <w:rsid w:val="00BD4425"/>
    <w:rsid w:val="00BF1CD9"/>
    <w:rsid w:val="00BF5D6A"/>
    <w:rsid w:val="00C00C9C"/>
    <w:rsid w:val="00C25B49"/>
    <w:rsid w:val="00C45BB0"/>
    <w:rsid w:val="00C732A0"/>
    <w:rsid w:val="00C96F76"/>
    <w:rsid w:val="00C97AD3"/>
    <w:rsid w:val="00CA7EB7"/>
    <w:rsid w:val="00CB2273"/>
    <w:rsid w:val="00CB39B3"/>
    <w:rsid w:val="00CB7A6D"/>
    <w:rsid w:val="00CC0D2D"/>
    <w:rsid w:val="00CD351E"/>
    <w:rsid w:val="00CD4387"/>
    <w:rsid w:val="00CE5657"/>
    <w:rsid w:val="00CF6708"/>
    <w:rsid w:val="00CF7418"/>
    <w:rsid w:val="00D02315"/>
    <w:rsid w:val="00D0435E"/>
    <w:rsid w:val="00D133F8"/>
    <w:rsid w:val="00D13A5C"/>
    <w:rsid w:val="00D14A3E"/>
    <w:rsid w:val="00D25EF5"/>
    <w:rsid w:val="00D33213"/>
    <w:rsid w:val="00D64EAF"/>
    <w:rsid w:val="00D822F1"/>
    <w:rsid w:val="00D82FE6"/>
    <w:rsid w:val="00DA02BD"/>
    <w:rsid w:val="00DB1C40"/>
    <w:rsid w:val="00DC641F"/>
    <w:rsid w:val="00DD5A13"/>
    <w:rsid w:val="00DE2C86"/>
    <w:rsid w:val="00DE3937"/>
    <w:rsid w:val="00DF4037"/>
    <w:rsid w:val="00E04004"/>
    <w:rsid w:val="00E07A79"/>
    <w:rsid w:val="00E101BC"/>
    <w:rsid w:val="00E3716B"/>
    <w:rsid w:val="00E45C3D"/>
    <w:rsid w:val="00E5323B"/>
    <w:rsid w:val="00E568B8"/>
    <w:rsid w:val="00E6038E"/>
    <w:rsid w:val="00E608F9"/>
    <w:rsid w:val="00E8749E"/>
    <w:rsid w:val="00E90C01"/>
    <w:rsid w:val="00E9522E"/>
    <w:rsid w:val="00EA471B"/>
    <w:rsid w:val="00EA486E"/>
    <w:rsid w:val="00EB7D10"/>
    <w:rsid w:val="00EF421B"/>
    <w:rsid w:val="00F05B1A"/>
    <w:rsid w:val="00F06E04"/>
    <w:rsid w:val="00F23709"/>
    <w:rsid w:val="00F559A5"/>
    <w:rsid w:val="00F57B0C"/>
    <w:rsid w:val="00F63CD6"/>
    <w:rsid w:val="00F757DE"/>
    <w:rsid w:val="00F93226"/>
    <w:rsid w:val="00FA3F85"/>
    <w:rsid w:val="00FB6435"/>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519593">
      <w:bodyDiv w:val="1"/>
      <w:marLeft w:val="0"/>
      <w:marRight w:val="0"/>
      <w:marTop w:val="0"/>
      <w:marBottom w:val="0"/>
      <w:divBdr>
        <w:top w:val="none" w:sz="0" w:space="0" w:color="auto"/>
        <w:left w:val="none" w:sz="0" w:space="0" w:color="auto"/>
        <w:bottom w:val="none" w:sz="0" w:space="0" w:color="auto"/>
        <w:right w:val="none" w:sz="0" w:space="0" w:color="auto"/>
      </w:divBdr>
    </w:div>
    <w:div w:id="616916037">
      <w:bodyDiv w:val="1"/>
      <w:marLeft w:val="0"/>
      <w:marRight w:val="0"/>
      <w:marTop w:val="0"/>
      <w:marBottom w:val="0"/>
      <w:divBdr>
        <w:top w:val="none" w:sz="0" w:space="0" w:color="auto"/>
        <w:left w:val="none" w:sz="0" w:space="0" w:color="auto"/>
        <w:bottom w:val="none" w:sz="0" w:space="0" w:color="auto"/>
        <w:right w:val="none" w:sz="0" w:space="0" w:color="auto"/>
      </w:divBdr>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2405405">
      <w:bodyDiv w:val="1"/>
      <w:marLeft w:val="0"/>
      <w:marRight w:val="0"/>
      <w:marTop w:val="0"/>
      <w:marBottom w:val="0"/>
      <w:divBdr>
        <w:top w:val="none" w:sz="0" w:space="0" w:color="auto"/>
        <w:left w:val="none" w:sz="0" w:space="0" w:color="auto"/>
        <w:bottom w:val="none" w:sz="0" w:space="0" w:color="auto"/>
        <w:right w:val="none" w:sz="0" w:space="0" w:color="auto"/>
      </w:divBdr>
    </w:div>
    <w:div w:id="1943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ppol.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TAP xmlns="1c33a644-f6cf-45d4-832d-e32e0e370d68">58</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4.xml><?xml version="1.0" encoding="utf-8"?>
<ds:datastoreItem xmlns:ds="http://schemas.openxmlformats.org/officeDocument/2006/customXml" ds:itemID="{C3AAD2B4-A4B4-439D-90E7-BA983571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18853</Words>
  <Characters>10747</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Likumprojekta "Grozījumi Publiskās un privātās partnerības likumā" anotācija</vt:lpstr>
    </vt:vector>
  </TitlesOfParts>
  <Company>Finanšu ministrija</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Publiskās un privātās partnerības likumā" anotācija</dc:title>
  <dc:subject>Anotācija</dc:subject>
  <dc:creator>Edgars Matulis</dc:creator>
  <dc:description>67095457, edgars.matulis@fm.gov.lv</dc:description>
  <cp:lastModifiedBy>Agnese Senčilo</cp:lastModifiedBy>
  <cp:revision>27</cp:revision>
  <cp:lastPrinted>2018-06-28T08:13:00Z</cp:lastPrinted>
  <dcterms:created xsi:type="dcterms:W3CDTF">2018-06-28T09:14:00Z</dcterms:created>
  <dcterms:modified xsi:type="dcterms:W3CDTF">2018-09-04T14:10:00Z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