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496E3" w14:textId="77777777" w:rsidR="00BD39F9" w:rsidRPr="0080654E" w:rsidRDefault="00BD39F9" w:rsidP="00BD39F9">
      <w:pPr>
        <w:jc w:val="center"/>
        <w:rPr>
          <w:b/>
          <w:color w:val="000000" w:themeColor="text1"/>
          <w:sz w:val="28"/>
        </w:rPr>
      </w:pPr>
      <w:bookmarkStart w:id="0" w:name="_GoBack"/>
      <w:bookmarkEnd w:id="0"/>
      <w:r w:rsidRPr="0080654E">
        <w:rPr>
          <w:b/>
          <w:color w:val="000000" w:themeColor="text1"/>
          <w:sz w:val="28"/>
        </w:rPr>
        <w:t>Informatīvais ziņojums</w:t>
      </w:r>
    </w:p>
    <w:p w14:paraId="65ED57BB" w14:textId="5894A36A" w:rsidR="00BD39F9" w:rsidRPr="0080654E" w:rsidRDefault="00994ECF" w:rsidP="00BD39F9">
      <w:pPr>
        <w:ind w:firstLine="709"/>
        <w:jc w:val="center"/>
        <w:rPr>
          <w:b/>
          <w:color w:val="000000" w:themeColor="text1"/>
          <w:sz w:val="28"/>
        </w:rPr>
      </w:pPr>
      <w:r w:rsidRPr="0080654E">
        <w:rPr>
          <w:b/>
          <w:color w:val="000000" w:themeColor="text1"/>
          <w:sz w:val="28"/>
        </w:rPr>
        <w:t>„Par Eiropas Stabilitātes</w:t>
      </w:r>
      <w:r w:rsidR="00BD39F9" w:rsidRPr="0080654E">
        <w:rPr>
          <w:b/>
          <w:color w:val="000000" w:themeColor="text1"/>
          <w:sz w:val="28"/>
        </w:rPr>
        <w:t xml:space="preserve"> mehānisma </w:t>
      </w:r>
      <w:r w:rsidRPr="0080654E">
        <w:rPr>
          <w:b/>
          <w:color w:val="000000" w:themeColor="text1"/>
          <w:sz w:val="28"/>
        </w:rPr>
        <w:t>darbību 201</w:t>
      </w:r>
      <w:r w:rsidR="009A13DB">
        <w:rPr>
          <w:b/>
          <w:color w:val="000000" w:themeColor="text1"/>
          <w:sz w:val="28"/>
        </w:rPr>
        <w:t>7</w:t>
      </w:r>
      <w:r w:rsidR="00BD39F9" w:rsidRPr="0080654E">
        <w:rPr>
          <w:b/>
          <w:color w:val="000000" w:themeColor="text1"/>
          <w:sz w:val="28"/>
        </w:rPr>
        <w:t>.gadā”</w:t>
      </w:r>
    </w:p>
    <w:p w14:paraId="7EA27B68" w14:textId="415D2A8A" w:rsidR="003A3BCE" w:rsidRDefault="003A3BCE" w:rsidP="0029137B">
      <w:pPr>
        <w:ind w:firstLine="720"/>
        <w:jc w:val="both"/>
        <w:rPr>
          <w:rFonts w:eastAsia="Times New Roman"/>
          <w:color w:val="000000"/>
          <w:szCs w:val="24"/>
        </w:rPr>
      </w:pPr>
    </w:p>
    <w:p w14:paraId="4394A271" w14:textId="790D49CC" w:rsidR="0029137B" w:rsidRDefault="0029137B" w:rsidP="00F07ADA">
      <w:pPr>
        <w:ind w:firstLine="720"/>
        <w:jc w:val="both"/>
      </w:pPr>
      <w:r>
        <w:rPr>
          <w:rFonts w:eastAsia="Times New Roman"/>
          <w:color w:val="000000"/>
          <w:szCs w:val="24"/>
        </w:rPr>
        <w:t>Informatīvais ziņojums</w:t>
      </w:r>
      <w:r w:rsidRPr="002578D7">
        <w:rPr>
          <w:rFonts w:eastAsia="Times New Roman"/>
          <w:color w:val="000000"/>
          <w:szCs w:val="24"/>
        </w:rPr>
        <w:t xml:space="preserve"> ir izstrādāts, lai informētu Ministru kabinetu un Saeimu par Eiropas Stabilitātes mehānisma (turpmāk – ESM) darbību saskaņā ar likuma „Par Latvijas pārstāvību Eiropas Stabilitātes mehānisma Valdē un Direktoru padomē” 7.pantu, kas nosaka, ka Ministru kabinets katru gadu ne vēlāk kā trīs mēnešus pēc tam, kad ESM publicējis gada pārskatu</w:t>
      </w:r>
      <w:r w:rsidR="00B55702">
        <w:rPr>
          <w:rStyle w:val="FootnoteReference"/>
          <w:rFonts w:eastAsia="Times New Roman"/>
          <w:color w:val="000000"/>
          <w:szCs w:val="24"/>
        </w:rPr>
        <w:footnoteReference w:id="1"/>
      </w:r>
      <w:r w:rsidRPr="002578D7">
        <w:rPr>
          <w:rFonts w:eastAsia="Times New Roman"/>
          <w:color w:val="000000"/>
          <w:szCs w:val="24"/>
        </w:rPr>
        <w:t xml:space="preserve"> </w:t>
      </w:r>
      <w:r>
        <w:rPr>
          <w:rFonts w:eastAsia="Times New Roman"/>
          <w:color w:val="000000"/>
          <w:szCs w:val="24"/>
        </w:rPr>
        <w:t>(tika publicēts 201</w:t>
      </w:r>
      <w:r w:rsidR="009A13DB">
        <w:rPr>
          <w:rFonts w:eastAsia="Times New Roman"/>
          <w:color w:val="000000"/>
          <w:szCs w:val="24"/>
        </w:rPr>
        <w:t>8</w:t>
      </w:r>
      <w:r>
        <w:rPr>
          <w:rFonts w:eastAsia="Times New Roman"/>
          <w:color w:val="000000"/>
          <w:szCs w:val="24"/>
        </w:rPr>
        <w:t xml:space="preserve">.gada </w:t>
      </w:r>
      <w:r w:rsidR="009A13DB">
        <w:rPr>
          <w:rFonts w:eastAsia="Times New Roman"/>
          <w:color w:val="000000"/>
          <w:szCs w:val="24"/>
        </w:rPr>
        <w:t>21</w:t>
      </w:r>
      <w:r>
        <w:rPr>
          <w:rFonts w:eastAsia="Times New Roman"/>
          <w:color w:val="000000"/>
          <w:szCs w:val="24"/>
        </w:rPr>
        <w:t xml:space="preserve">.jūnijā) </w:t>
      </w:r>
      <w:r w:rsidRPr="002578D7">
        <w:rPr>
          <w:rFonts w:eastAsia="Times New Roman"/>
          <w:color w:val="000000"/>
          <w:szCs w:val="24"/>
        </w:rPr>
        <w:t>saskaņā ar Līgum</w:t>
      </w:r>
      <w:r w:rsidR="009F426E">
        <w:rPr>
          <w:rFonts w:eastAsia="Times New Roman"/>
          <w:color w:val="000000"/>
          <w:szCs w:val="24"/>
        </w:rPr>
        <w:t>a</w:t>
      </w:r>
      <w:r w:rsidRPr="002578D7">
        <w:rPr>
          <w:rFonts w:eastAsia="Times New Roman"/>
          <w:color w:val="000000"/>
          <w:szCs w:val="24"/>
        </w:rPr>
        <w:t xml:space="preserve"> par Eiropas Stabilitātes mehānisma dibināšanu 27.panta 2.punktu, iesniedz Saeimai ziņojumu par ESM darbību iepriekšējā gadā.</w:t>
      </w:r>
      <w:r w:rsidR="002D351A" w:rsidRPr="002D351A">
        <w:t xml:space="preserve"> </w:t>
      </w:r>
      <w:r w:rsidR="002D351A" w:rsidRPr="00032C70">
        <w:t>Šajā nolūkā dotais informatīvais ziņojums turpmākajās sadaļās sniedz informāciju par ESM darbību 201</w:t>
      </w:r>
      <w:r w:rsidR="009A13DB">
        <w:t>7</w:t>
      </w:r>
      <w:r w:rsidR="002D351A" w:rsidRPr="00032C70">
        <w:t>.gadā.</w:t>
      </w:r>
    </w:p>
    <w:p w14:paraId="092EDFD1" w14:textId="6BC510BE" w:rsidR="009C438F" w:rsidRPr="009A13DB" w:rsidRDefault="009C438F" w:rsidP="00F07ADA">
      <w:pPr>
        <w:ind w:firstLine="709"/>
        <w:jc w:val="both"/>
        <w:rPr>
          <w:i/>
        </w:rPr>
      </w:pPr>
      <w:r w:rsidRPr="00032C70">
        <w:t xml:space="preserve">2014.gada 21.februārī tika deponēts pievienošanās instruments ESM, kā rezultātā atbilstoši Līguma par </w:t>
      </w:r>
      <w:r w:rsidR="00101D4E">
        <w:t>Eiropas Stabilitātes mehānisma</w:t>
      </w:r>
      <w:r w:rsidR="00101D4E" w:rsidRPr="00032C70">
        <w:t xml:space="preserve"> </w:t>
      </w:r>
      <w:r w:rsidRPr="00032C70">
        <w:t>dibināšanu 48.panta trešajā daļā noteiktajam Latvija 2014.gada 13.martā kļuva par ESM dalībnieci ar pilnām tiesībām un pienākumiem.</w:t>
      </w:r>
      <w:r w:rsidR="00AE01C0">
        <w:t xml:space="preserve"> </w:t>
      </w:r>
      <w:r w:rsidR="007D48E9">
        <w:t>Latvija</w:t>
      </w:r>
      <w:r w:rsidR="00AE01C0">
        <w:t xml:space="preserve">i pieder 0,2746% no ESM kapitāla un līdz šim </w:t>
      </w:r>
      <w:r w:rsidR="00B55702">
        <w:t xml:space="preserve">Latvija </w:t>
      </w:r>
      <w:r w:rsidR="00AE01C0">
        <w:t xml:space="preserve">ir ieguldījusi </w:t>
      </w:r>
      <w:r w:rsidR="009A13DB">
        <w:t>221</w:t>
      </w:r>
      <w:r w:rsidR="00AE01C0">
        <w:t>,</w:t>
      </w:r>
      <w:r w:rsidR="009A13DB">
        <w:t>2</w:t>
      </w:r>
      <w:r w:rsidR="00AE01C0">
        <w:t xml:space="preserve"> milj. </w:t>
      </w:r>
      <w:proofErr w:type="spellStart"/>
      <w:r w:rsidR="00AE01C0">
        <w:rPr>
          <w:i/>
        </w:rPr>
        <w:t>euro</w:t>
      </w:r>
      <w:proofErr w:type="spellEnd"/>
      <w:r w:rsidR="00DE0BAE">
        <w:rPr>
          <w:rStyle w:val="FootnoteReference"/>
          <w:i/>
        </w:rPr>
        <w:footnoteReference w:id="2"/>
      </w:r>
      <w:r w:rsidR="00AE01C0" w:rsidRPr="00AE01C0">
        <w:t>.</w:t>
      </w:r>
      <w:r w:rsidR="009A13DB">
        <w:t xml:space="preserve"> Atlikušo summu Latvijai jāsamaksā pēc pārejas perioda 2026. gadā </w:t>
      </w:r>
      <w:r w:rsidR="009A13DB" w:rsidRPr="009A13DB">
        <w:t>103</w:t>
      </w:r>
      <w:r w:rsidR="009A13DB">
        <w:t>,</w:t>
      </w:r>
      <w:r w:rsidR="009A13DB" w:rsidRPr="009A13DB">
        <w:t>2</w:t>
      </w:r>
      <w:r w:rsidR="009A13DB">
        <w:t xml:space="preserve"> milj. </w:t>
      </w:r>
      <w:proofErr w:type="spellStart"/>
      <w:r w:rsidR="009A13DB">
        <w:rPr>
          <w:i/>
        </w:rPr>
        <w:t>euro</w:t>
      </w:r>
      <w:proofErr w:type="spellEnd"/>
      <w:r w:rsidR="009A13DB">
        <w:rPr>
          <w:i/>
        </w:rPr>
        <w:t>.</w:t>
      </w:r>
    </w:p>
    <w:p w14:paraId="170CCE39" w14:textId="016F6F30" w:rsidR="00CA4839" w:rsidRPr="00004E13" w:rsidRDefault="00A30852" w:rsidP="00F07ADA">
      <w:pPr>
        <w:ind w:firstLine="709"/>
        <w:jc w:val="both"/>
        <w:rPr>
          <w:rFonts w:cs="Times New Roman"/>
          <w:i/>
        </w:rPr>
      </w:pPr>
      <w:r>
        <w:t xml:space="preserve">ESM ir viens no </w:t>
      </w:r>
      <w:proofErr w:type="spellStart"/>
      <w:r>
        <w:rPr>
          <w:i/>
        </w:rPr>
        <w:t>euro</w:t>
      </w:r>
      <w:proofErr w:type="spellEnd"/>
      <w:r>
        <w:rPr>
          <w:i/>
        </w:rPr>
        <w:t xml:space="preserve"> </w:t>
      </w:r>
      <w:r w:rsidR="0044061A">
        <w:t>zonas ieviestajiem</w:t>
      </w:r>
      <w:r>
        <w:t xml:space="preserve"> ekonomikas pārvaldības un koordinācijas pastiprināšanas instrumentiem, kas </w:t>
      </w:r>
      <w:r w:rsidR="001B5973">
        <w:t xml:space="preserve">izveidots, lai novērstu </w:t>
      </w:r>
      <w:r w:rsidR="001B5973" w:rsidRPr="001B5973">
        <w:t>trūkumus Ekonomikas un monetārajā savienībā</w:t>
      </w:r>
      <w:r w:rsidR="001B5973">
        <w:t xml:space="preserve">. ESM izveidošanas ieguvums citām valstīm saistāms ar to, ka tiek mazināta atsevišķu valstu radīto fiskālo un finanšu satricinājumu ietekme uz visas </w:t>
      </w:r>
      <w:proofErr w:type="spellStart"/>
      <w:r w:rsidR="001B5973">
        <w:rPr>
          <w:i/>
        </w:rPr>
        <w:t>euro</w:t>
      </w:r>
      <w:proofErr w:type="spellEnd"/>
      <w:r w:rsidR="001B5973">
        <w:rPr>
          <w:i/>
        </w:rPr>
        <w:t xml:space="preserve"> </w:t>
      </w:r>
      <w:r w:rsidR="001B5973">
        <w:t xml:space="preserve">zonas stabilitāti. </w:t>
      </w:r>
      <w:r w:rsidR="00E01935" w:rsidRPr="00014BC7">
        <w:t>Eiropas finanšu</w:t>
      </w:r>
      <w:r w:rsidR="00B51911" w:rsidRPr="00014BC7">
        <w:t xml:space="preserve"> krīžu noregulēšanas mehānism</w:t>
      </w:r>
      <w:r w:rsidR="005E6CED" w:rsidRPr="00014BC7">
        <w:t>s</w:t>
      </w:r>
      <w:r w:rsidR="00B51911" w:rsidRPr="00014BC7">
        <w:t xml:space="preserve"> ESM</w:t>
      </w:r>
      <w:r w:rsidR="00E01935" w:rsidRPr="00014BC7">
        <w:t xml:space="preserve"> ir uzskatām</w:t>
      </w:r>
      <w:r w:rsidR="00B51911" w:rsidRPr="00014BC7">
        <w:t>s</w:t>
      </w:r>
      <w:r w:rsidR="00E01935" w:rsidRPr="00014BC7">
        <w:t xml:space="preserve"> par pēdējās instances aizdevēj</w:t>
      </w:r>
      <w:r w:rsidR="005E6CED" w:rsidRPr="00014BC7">
        <w:t>u</w:t>
      </w:r>
      <w:r w:rsidR="00E01935" w:rsidRPr="00014BC7">
        <w:t xml:space="preserve"> </w:t>
      </w:r>
      <w:proofErr w:type="spellStart"/>
      <w:r w:rsidR="00F33A20">
        <w:rPr>
          <w:i/>
        </w:rPr>
        <w:t>euro</w:t>
      </w:r>
      <w:proofErr w:type="spellEnd"/>
      <w:r w:rsidR="00F33A20">
        <w:rPr>
          <w:i/>
        </w:rPr>
        <w:t xml:space="preserve"> </w:t>
      </w:r>
      <w:r w:rsidR="00F33A20">
        <w:t xml:space="preserve">zonas </w:t>
      </w:r>
      <w:r w:rsidR="001B5973" w:rsidRPr="00014BC7">
        <w:t xml:space="preserve">valstīm </w:t>
      </w:r>
      <w:r w:rsidR="00E01935" w:rsidRPr="00014BC7">
        <w:t xml:space="preserve">situācijās, kad </w:t>
      </w:r>
      <w:r w:rsidR="001B5973" w:rsidRPr="00014BC7">
        <w:t xml:space="preserve">tās nevar piekļūt finanšu tirgiem par ilgtspējīgām procentu likmēm. Tādējādi </w:t>
      </w:r>
      <w:r w:rsidR="00E01935" w:rsidRPr="00014BC7">
        <w:t xml:space="preserve">ESM </w:t>
      </w:r>
      <w:r w:rsidR="001B5973" w:rsidRPr="00014BC7">
        <w:t xml:space="preserve">uzdevums ir </w:t>
      </w:r>
      <w:r w:rsidR="00E01935" w:rsidRPr="00014BC7">
        <w:t>stiprin</w:t>
      </w:r>
      <w:r w:rsidR="001B5973" w:rsidRPr="00014BC7">
        <w:t>āt</w:t>
      </w:r>
      <w:r w:rsidR="00E01935" w:rsidRPr="00014BC7">
        <w:t xml:space="preserve"> investoru uzticību un palīdz</w:t>
      </w:r>
      <w:r w:rsidR="001B5973" w:rsidRPr="00014BC7">
        <w:t>ēt dalībvalstīm</w:t>
      </w:r>
      <w:r w:rsidR="00937054" w:rsidRPr="00014BC7">
        <w:t xml:space="preserve"> </w:t>
      </w:r>
      <w:r w:rsidR="00E01935" w:rsidRPr="00014BC7">
        <w:t xml:space="preserve">stabilizēt </w:t>
      </w:r>
      <w:r w:rsidR="001B5973" w:rsidRPr="00014BC7">
        <w:t xml:space="preserve">situāciju </w:t>
      </w:r>
      <w:r w:rsidR="00E01935" w:rsidRPr="00A0553D">
        <w:rPr>
          <w:rFonts w:cs="Times New Roman"/>
        </w:rPr>
        <w:t>finanšu tirgos</w:t>
      </w:r>
      <w:r w:rsidR="001B5973" w:rsidRPr="00A0553D">
        <w:rPr>
          <w:rFonts w:cs="Times New Roman"/>
        </w:rPr>
        <w:t xml:space="preserve"> un fiskālajā stāvoklī</w:t>
      </w:r>
      <w:r w:rsidR="006A1A20" w:rsidRPr="00A0553D">
        <w:rPr>
          <w:rFonts w:cs="Times New Roman"/>
        </w:rPr>
        <w:t>.</w:t>
      </w:r>
      <w:r w:rsidR="00254817" w:rsidRPr="00A0553D">
        <w:rPr>
          <w:rFonts w:cs="Times New Roman"/>
        </w:rPr>
        <w:t xml:space="preserve"> </w:t>
      </w:r>
      <w:r w:rsidR="00CA4839">
        <w:rPr>
          <w:rFonts w:cs="Times New Roman"/>
        </w:rPr>
        <w:t xml:space="preserve">ESM akcionāri ir </w:t>
      </w:r>
      <w:proofErr w:type="spellStart"/>
      <w:r w:rsidR="00CA4839" w:rsidRPr="00004E13">
        <w:rPr>
          <w:rFonts w:cs="Times New Roman"/>
          <w:i/>
        </w:rPr>
        <w:t>euro</w:t>
      </w:r>
      <w:proofErr w:type="spellEnd"/>
      <w:r w:rsidR="00CA4839">
        <w:rPr>
          <w:rFonts w:cs="Times New Roman"/>
        </w:rPr>
        <w:t xml:space="preserve"> zonas valstis</w:t>
      </w:r>
      <w:r w:rsidR="00CA4839">
        <w:rPr>
          <w:rStyle w:val="FootnoteReference"/>
          <w:rFonts w:cs="Times New Roman"/>
        </w:rPr>
        <w:footnoteReference w:id="3"/>
      </w:r>
      <w:r w:rsidR="00F07ADA">
        <w:rPr>
          <w:rFonts w:cs="Times New Roman"/>
        </w:rPr>
        <w:t xml:space="preserve"> (skatīt 1.attēlu)</w:t>
      </w:r>
      <w:r w:rsidR="00CA4839">
        <w:rPr>
          <w:rFonts w:cs="Times New Roman"/>
        </w:rPr>
        <w:t>.</w:t>
      </w:r>
      <w:r w:rsidR="00004E13">
        <w:rPr>
          <w:rFonts w:cs="Times New Roman"/>
        </w:rPr>
        <w:t xml:space="preserve"> ESM akcionāri kopā </w:t>
      </w:r>
      <w:r w:rsidR="00B95FE9">
        <w:rPr>
          <w:rFonts w:cs="Times New Roman"/>
        </w:rPr>
        <w:t xml:space="preserve">līdz 2017.gada 31.decembrim </w:t>
      </w:r>
      <w:r w:rsidR="00004E13">
        <w:rPr>
          <w:rFonts w:cs="Times New Roman"/>
        </w:rPr>
        <w:t>ir ieguldījuši 80,</w:t>
      </w:r>
      <w:r w:rsidR="000430F2">
        <w:rPr>
          <w:rFonts w:cs="Times New Roman"/>
        </w:rPr>
        <w:t>4</w:t>
      </w:r>
      <w:r w:rsidR="00004E13">
        <w:rPr>
          <w:rFonts w:cs="Times New Roman"/>
        </w:rPr>
        <w:t xml:space="preserve"> </w:t>
      </w:r>
      <w:r w:rsidR="00A4581D">
        <w:rPr>
          <w:rFonts w:eastAsia="Times New Roman" w:cs="Times New Roman"/>
          <w:szCs w:val="24"/>
          <w:lang w:eastAsia="lv-LV"/>
        </w:rPr>
        <w:t>mljrd.</w:t>
      </w:r>
      <w:r w:rsidR="00A4581D" w:rsidRPr="00896C7F">
        <w:t xml:space="preserve"> </w:t>
      </w:r>
      <w:proofErr w:type="spellStart"/>
      <w:r w:rsidR="00004E13">
        <w:rPr>
          <w:rFonts w:cs="Times New Roman"/>
          <w:i/>
        </w:rPr>
        <w:t>euro</w:t>
      </w:r>
      <w:proofErr w:type="spellEnd"/>
      <w:r w:rsidR="00004E13">
        <w:rPr>
          <w:rFonts w:cs="Times New Roman"/>
          <w:i/>
        </w:rPr>
        <w:t>.</w:t>
      </w:r>
    </w:p>
    <w:p w14:paraId="3537D535" w14:textId="37AC37CE" w:rsidR="00CA4839" w:rsidRPr="006E7176" w:rsidRDefault="00CA4839" w:rsidP="00DE0BAE">
      <w:pPr>
        <w:spacing w:before="120"/>
        <w:ind w:firstLine="709"/>
        <w:jc w:val="right"/>
        <w:rPr>
          <w:rFonts w:cs="Times New Roman"/>
          <w:b/>
          <w:i/>
          <w:sz w:val="20"/>
        </w:rPr>
      </w:pPr>
      <w:r w:rsidRPr="006E7176">
        <w:rPr>
          <w:rFonts w:cs="Times New Roman"/>
          <w:b/>
          <w:i/>
          <w:sz w:val="20"/>
        </w:rPr>
        <w:t>1.attēls</w:t>
      </w:r>
      <w:r w:rsidR="00936759">
        <w:rPr>
          <w:rFonts w:cs="Times New Roman"/>
          <w:b/>
          <w:i/>
          <w:sz w:val="20"/>
        </w:rPr>
        <w:t>.</w:t>
      </w:r>
      <w:r w:rsidRPr="006E7176">
        <w:rPr>
          <w:rFonts w:cs="Times New Roman"/>
          <w:b/>
          <w:i/>
          <w:sz w:val="20"/>
        </w:rPr>
        <w:t xml:space="preserve"> “ESM akcionāri” (atzīmēti ar zilu)</w:t>
      </w:r>
    </w:p>
    <w:p w14:paraId="55B8E18F" w14:textId="1736926C" w:rsidR="00CA4839" w:rsidRDefault="00CA4839" w:rsidP="00CA4839">
      <w:pPr>
        <w:ind w:firstLine="709"/>
        <w:jc w:val="center"/>
        <w:rPr>
          <w:rFonts w:cs="Times New Roman"/>
        </w:rPr>
      </w:pPr>
      <w:r>
        <w:rPr>
          <w:noProof/>
          <w:lang w:eastAsia="lv-LV"/>
        </w:rPr>
        <w:drawing>
          <wp:inline distT="0" distB="0" distL="0" distR="0" wp14:anchorId="02286450" wp14:editId="54D8BB11">
            <wp:extent cx="4731532" cy="2604977"/>
            <wp:effectExtent l="19050" t="19050" r="12065"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822" t="26698" r="5454" b="18046"/>
                    <a:stretch/>
                  </pic:blipFill>
                  <pic:spPr bwMode="auto">
                    <a:xfrm>
                      <a:off x="0" y="0"/>
                      <a:ext cx="4747710" cy="2613884"/>
                    </a:xfrm>
                    <a:prstGeom prst="rect">
                      <a:avLst/>
                    </a:prstGeom>
                    <a:ln w="6350">
                      <a:solidFill>
                        <a:schemeClr val="bg1"/>
                      </a:solidFill>
                    </a:ln>
                    <a:effectLst/>
                    <a:extLst>
                      <a:ext uri="{53640926-AAD7-44D8-BBD7-CCE9431645EC}">
                        <a14:shadowObscured xmlns:a14="http://schemas.microsoft.com/office/drawing/2010/main"/>
                      </a:ext>
                    </a:extLst>
                  </pic:spPr>
                </pic:pic>
              </a:graphicData>
            </a:graphic>
          </wp:inline>
        </w:drawing>
      </w:r>
    </w:p>
    <w:p w14:paraId="290DE74C" w14:textId="2359EC27" w:rsidR="005C7085" w:rsidRDefault="00BA49B7" w:rsidP="00BA49B7">
      <w:pPr>
        <w:spacing w:before="120"/>
        <w:ind w:firstLine="709"/>
        <w:jc w:val="right"/>
        <w:rPr>
          <w:rFonts w:cs="Times New Roman"/>
          <w:b/>
          <w:i/>
          <w:sz w:val="20"/>
        </w:rPr>
      </w:pPr>
      <w:r>
        <w:rPr>
          <w:rFonts w:eastAsia="Times New Roman" w:cs="Times New Roman"/>
          <w:noProof/>
          <w:color w:val="000000" w:themeColor="text1"/>
          <w:szCs w:val="24"/>
          <w:lang w:eastAsia="lv-LV"/>
        </w:rPr>
        <w:lastRenderedPageBreak/>
        <w:drawing>
          <wp:anchor distT="0" distB="0" distL="114300" distR="114300" simplePos="0" relativeHeight="251657216" behindDoc="0" locked="0" layoutInCell="1" allowOverlap="1" wp14:anchorId="7DF1FA6B" wp14:editId="3EF8A110">
            <wp:simplePos x="0" y="0"/>
            <wp:positionH relativeFrom="column">
              <wp:posOffset>455930</wp:posOffset>
            </wp:positionH>
            <wp:positionV relativeFrom="paragraph">
              <wp:posOffset>181610</wp:posOffset>
            </wp:positionV>
            <wp:extent cx="4535170" cy="2143125"/>
            <wp:effectExtent l="0" t="0" r="0" b="66675"/>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5C7085">
        <w:rPr>
          <w:rFonts w:cs="Times New Roman"/>
          <w:b/>
          <w:i/>
          <w:sz w:val="20"/>
        </w:rPr>
        <w:t>2</w:t>
      </w:r>
      <w:r w:rsidR="005C7085" w:rsidRPr="006E7176">
        <w:rPr>
          <w:rFonts w:cs="Times New Roman"/>
          <w:b/>
          <w:i/>
          <w:sz w:val="20"/>
        </w:rPr>
        <w:t>.attēls</w:t>
      </w:r>
      <w:r w:rsidR="00936759">
        <w:rPr>
          <w:rFonts w:cs="Times New Roman"/>
          <w:b/>
          <w:i/>
          <w:sz w:val="20"/>
        </w:rPr>
        <w:t>.</w:t>
      </w:r>
      <w:r w:rsidR="005C7085" w:rsidRPr="006E7176">
        <w:rPr>
          <w:rFonts w:cs="Times New Roman"/>
          <w:b/>
          <w:i/>
          <w:sz w:val="20"/>
        </w:rPr>
        <w:t xml:space="preserve"> ESM </w:t>
      </w:r>
      <w:r w:rsidR="005C7085">
        <w:rPr>
          <w:rFonts w:cs="Times New Roman"/>
          <w:b/>
          <w:i/>
          <w:sz w:val="20"/>
        </w:rPr>
        <w:t>aktivitā</w:t>
      </w:r>
      <w:r w:rsidR="00DD738E">
        <w:rPr>
          <w:rFonts w:cs="Times New Roman"/>
          <w:b/>
          <w:i/>
          <w:sz w:val="20"/>
        </w:rPr>
        <w:t>šu</w:t>
      </w:r>
      <w:r w:rsidR="005C7085">
        <w:rPr>
          <w:rFonts w:cs="Times New Roman"/>
          <w:b/>
          <w:i/>
          <w:sz w:val="20"/>
        </w:rPr>
        <w:t xml:space="preserve"> </w:t>
      </w:r>
      <w:r>
        <w:rPr>
          <w:rFonts w:cs="Times New Roman"/>
          <w:b/>
          <w:i/>
          <w:sz w:val="20"/>
        </w:rPr>
        <w:t>funkcijas</w:t>
      </w:r>
    </w:p>
    <w:p w14:paraId="7B197079" w14:textId="718535FA" w:rsidR="00BA49B7" w:rsidRPr="006E7176" w:rsidRDefault="00BA49B7" w:rsidP="00BA49B7">
      <w:pPr>
        <w:spacing w:before="120"/>
        <w:ind w:firstLine="709"/>
        <w:jc w:val="center"/>
        <w:rPr>
          <w:rFonts w:cs="Times New Roman"/>
          <w:b/>
          <w:i/>
          <w:sz w:val="20"/>
        </w:rPr>
      </w:pPr>
    </w:p>
    <w:p w14:paraId="01894AF9" w14:textId="5727C4BC" w:rsidR="001953F5" w:rsidRDefault="005C7085" w:rsidP="00F07ADA">
      <w:pPr>
        <w:ind w:firstLine="709"/>
        <w:jc w:val="both"/>
        <w:rPr>
          <w:rFonts w:cs="Times New Roman"/>
        </w:rPr>
      </w:pPr>
      <w:r>
        <w:rPr>
          <w:rFonts w:cs="Times New Roman"/>
        </w:rPr>
        <w:t xml:space="preserve">ESM aktivitātes iedalās trīs funkcijās </w:t>
      </w:r>
      <w:r w:rsidR="00F07ADA">
        <w:rPr>
          <w:rFonts w:cs="Times New Roman"/>
        </w:rPr>
        <w:t xml:space="preserve">(skatīt 2.attēlu) </w:t>
      </w:r>
      <w:r>
        <w:rPr>
          <w:rFonts w:cs="Times New Roman"/>
        </w:rPr>
        <w:t xml:space="preserve">– </w:t>
      </w:r>
    </w:p>
    <w:p w14:paraId="3035EE62" w14:textId="6E534D27" w:rsidR="00D639C5" w:rsidRPr="001953F5" w:rsidRDefault="00FC70EB" w:rsidP="00F07ADA">
      <w:pPr>
        <w:pStyle w:val="ListParagraph"/>
        <w:numPr>
          <w:ilvl w:val="0"/>
          <w:numId w:val="12"/>
        </w:numPr>
        <w:jc w:val="both"/>
        <w:rPr>
          <w:rFonts w:cs="Times New Roman"/>
        </w:rPr>
      </w:pPr>
      <w:r>
        <w:rPr>
          <w:rFonts w:cs="Times New Roman"/>
        </w:rPr>
        <w:t>a</w:t>
      </w:r>
      <w:r w:rsidR="00D639C5">
        <w:rPr>
          <w:rFonts w:cs="Times New Roman"/>
        </w:rPr>
        <w:t xml:space="preserve">izdevumu sniegšana dalībvalstīm. </w:t>
      </w:r>
      <w:r w:rsidR="00D639C5" w:rsidRPr="001953F5">
        <w:rPr>
          <w:rFonts w:cs="Times New Roman"/>
        </w:rPr>
        <w:t xml:space="preserve">ESM sniedz šādus palīdzības veidus dalībvalstīm: </w:t>
      </w:r>
    </w:p>
    <w:p w14:paraId="2006E5D1" w14:textId="0CC3C529" w:rsidR="00D639C5" w:rsidRPr="0029137B" w:rsidRDefault="00FC70EB" w:rsidP="00F07ADA">
      <w:pPr>
        <w:pStyle w:val="ListParagraph"/>
        <w:numPr>
          <w:ilvl w:val="0"/>
          <w:numId w:val="4"/>
        </w:numPr>
        <w:ind w:left="2160"/>
        <w:jc w:val="both"/>
        <w:rPr>
          <w:rFonts w:cs="Times New Roman"/>
          <w:color w:val="000000" w:themeColor="text1"/>
        </w:rPr>
      </w:pPr>
      <w:r>
        <w:rPr>
          <w:rFonts w:cs="Times New Roman"/>
          <w:color w:val="000000" w:themeColor="text1"/>
        </w:rPr>
        <w:t>a</w:t>
      </w:r>
      <w:r w:rsidR="00D639C5" w:rsidRPr="0029137B">
        <w:rPr>
          <w:rFonts w:cs="Times New Roman"/>
          <w:color w:val="000000" w:themeColor="text1"/>
        </w:rPr>
        <w:t>izdevum</w:t>
      </w:r>
      <w:r w:rsidR="00D639C5">
        <w:rPr>
          <w:rFonts w:cs="Times New Roman"/>
          <w:color w:val="000000" w:themeColor="text1"/>
        </w:rPr>
        <w:t>u sniegšana</w:t>
      </w:r>
      <w:r w:rsidR="00D639C5" w:rsidRPr="0029137B">
        <w:rPr>
          <w:rFonts w:cs="Times New Roman"/>
          <w:color w:val="000000" w:themeColor="text1"/>
        </w:rPr>
        <w:t>, lai segtu finanšu vajadzības;</w:t>
      </w:r>
    </w:p>
    <w:p w14:paraId="43AB4FF4" w14:textId="4D6F7043" w:rsidR="00D639C5" w:rsidRPr="0029137B" w:rsidRDefault="00FC70EB" w:rsidP="00F07ADA">
      <w:pPr>
        <w:pStyle w:val="ListParagraph"/>
        <w:numPr>
          <w:ilvl w:val="0"/>
          <w:numId w:val="3"/>
        </w:numPr>
        <w:ind w:left="2160"/>
        <w:jc w:val="both"/>
        <w:rPr>
          <w:rFonts w:cs="Times New Roman"/>
          <w:color w:val="000000" w:themeColor="text1"/>
        </w:rPr>
      </w:pPr>
      <w:r>
        <w:rPr>
          <w:rFonts w:cs="Times New Roman"/>
          <w:color w:val="000000" w:themeColor="text1"/>
        </w:rPr>
        <w:t>a</w:t>
      </w:r>
      <w:r w:rsidR="00D639C5">
        <w:rPr>
          <w:rFonts w:cs="Times New Roman"/>
          <w:color w:val="000000" w:themeColor="text1"/>
        </w:rPr>
        <w:t>izdevumu sniegšana</w:t>
      </w:r>
      <w:r w:rsidR="00D639C5" w:rsidRPr="0029137B">
        <w:rPr>
          <w:rFonts w:cs="Times New Roman"/>
          <w:color w:val="000000" w:themeColor="text1"/>
        </w:rPr>
        <w:t xml:space="preserve"> un tiešas kapitāla injekcijas, la</w:t>
      </w:r>
      <w:r w:rsidR="00D639C5">
        <w:rPr>
          <w:rFonts w:cs="Times New Roman"/>
          <w:color w:val="000000" w:themeColor="text1"/>
        </w:rPr>
        <w:t xml:space="preserve">i </w:t>
      </w:r>
      <w:proofErr w:type="spellStart"/>
      <w:r w:rsidR="00D639C5">
        <w:rPr>
          <w:rFonts w:cs="Times New Roman"/>
          <w:color w:val="000000" w:themeColor="text1"/>
        </w:rPr>
        <w:t>rekapitalizētu</w:t>
      </w:r>
      <w:proofErr w:type="spellEnd"/>
      <w:r w:rsidR="00D639C5">
        <w:rPr>
          <w:rFonts w:cs="Times New Roman"/>
          <w:color w:val="000000" w:themeColor="text1"/>
        </w:rPr>
        <w:t xml:space="preserve"> finanšu iestādes</w:t>
      </w:r>
      <w:r w:rsidR="00D639C5" w:rsidRPr="0029137B">
        <w:rPr>
          <w:rFonts w:cs="Times New Roman"/>
          <w:color w:val="000000" w:themeColor="text1"/>
        </w:rPr>
        <w:t>;</w:t>
      </w:r>
    </w:p>
    <w:p w14:paraId="1E2712FE" w14:textId="4732A749" w:rsidR="00D639C5" w:rsidRPr="0029137B" w:rsidRDefault="00FC70EB" w:rsidP="00F07ADA">
      <w:pPr>
        <w:pStyle w:val="ListParagraph"/>
        <w:numPr>
          <w:ilvl w:val="0"/>
          <w:numId w:val="3"/>
        </w:numPr>
        <w:ind w:left="2160"/>
        <w:jc w:val="both"/>
        <w:rPr>
          <w:rFonts w:cs="Times New Roman"/>
          <w:color w:val="000000" w:themeColor="text1"/>
        </w:rPr>
      </w:pPr>
      <w:r>
        <w:rPr>
          <w:rFonts w:cs="Times New Roman"/>
          <w:color w:val="000000" w:themeColor="text1"/>
        </w:rPr>
        <w:t>k</w:t>
      </w:r>
      <w:r w:rsidR="00D639C5" w:rsidRPr="0029137B">
        <w:rPr>
          <w:rFonts w:cs="Times New Roman"/>
          <w:color w:val="000000" w:themeColor="text1"/>
        </w:rPr>
        <w:t>redītlīnijas</w:t>
      </w:r>
      <w:r w:rsidR="00D639C5">
        <w:rPr>
          <w:rFonts w:cs="Times New Roman"/>
          <w:color w:val="000000" w:themeColor="text1"/>
        </w:rPr>
        <w:t xml:space="preserve"> sniegšana kā piesardzības instruments</w:t>
      </w:r>
      <w:r w:rsidR="00D639C5" w:rsidRPr="0029137B">
        <w:rPr>
          <w:rFonts w:cs="Times New Roman"/>
          <w:color w:val="000000" w:themeColor="text1"/>
        </w:rPr>
        <w:t>;</w:t>
      </w:r>
    </w:p>
    <w:p w14:paraId="5C105B76" w14:textId="6066551C" w:rsidR="00D639C5" w:rsidRPr="0029137B" w:rsidRDefault="00FC70EB" w:rsidP="00F07ADA">
      <w:pPr>
        <w:pStyle w:val="ListParagraph"/>
        <w:numPr>
          <w:ilvl w:val="0"/>
          <w:numId w:val="3"/>
        </w:numPr>
        <w:ind w:left="2160"/>
        <w:jc w:val="both"/>
        <w:rPr>
          <w:rFonts w:cs="Times New Roman"/>
          <w:color w:val="000000" w:themeColor="text1"/>
        </w:rPr>
      </w:pPr>
      <w:r>
        <w:rPr>
          <w:rFonts w:cs="Times New Roman"/>
          <w:color w:val="000000" w:themeColor="text1"/>
        </w:rPr>
        <w:t>d</w:t>
      </w:r>
      <w:r w:rsidR="00D639C5">
        <w:rPr>
          <w:rFonts w:cs="Times New Roman"/>
          <w:color w:val="000000" w:themeColor="text1"/>
        </w:rPr>
        <w:t>alībvalstu obligāciju</w:t>
      </w:r>
      <w:r w:rsidR="00D639C5" w:rsidRPr="003A3BCE">
        <w:rPr>
          <w:rFonts w:cs="Times New Roman"/>
          <w:color w:val="000000" w:themeColor="text1"/>
        </w:rPr>
        <w:t xml:space="preserve"> </w:t>
      </w:r>
      <w:r w:rsidR="00D639C5">
        <w:rPr>
          <w:rFonts w:cs="Times New Roman"/>
          <w:color w:val="000000" w:themeColor="text1"/>
        </w:rPr>
        <w:t>iepirkšana primāro</w:t>
      </w:r>
      <w:r w:rsidR="00D639C5" w:rsidRPr="0029137B">
        <w:rPr>
          <w:rFonts w:cs="Times New Roman"/>
          <w:color w:val="000000" w:themeColor="text1"/>
        </w:rPr>
        <w:t xml:space="preserve"> un sekundār</w:t>
      </w:r>
      <w:r w:rsidR="00D639C5">
        <w:rPr>
          <w:rFonts w:cs="Times New Roman"/>
          <w:color w:val="000000" w:themeColor="text1"/>
        </w:rPr>
        <w:t>ajos</w:t>
      </w:r>
      <w:r w:rsidR="00D639C5" w:rsidRPr="0029137B">
        <w:rPr>
          <w:rFonts w:cs="Times New Roman"/>
          <w:color w:val="000000" w:themeColor="text1"/>
        </w:rPr>
        <w:t xml:space="preserve"> parādu tirg</w:t>
      </w:r>
      <w:r w:rsidR="00D639C5">
        <w:rPr>
          <w:rFonts w:cs="Times New Roman"/>
          <w:color w:val="000000" w:themeColor="text1"/>
        </w:rPr>
        <w:t>os</w:t>
      </w:r>
      <w:r>
        <w:rPr>
          <w:rFonts w:cs="Times New Roman"/>
          <w:color w:val="000000" w:themeColor="text1"/>
        </w:rPr>
        <w:t>;</w:t>
      </w:r>
      <w:r w:rsidR="00D639C5">
        <w:rPr>
          <w:rFonts w:cs="Times New Roman"/>
          <w:color w:val="000000" w:themeColor="text1"/>
        </w:rPr>
        <w:t xml:space="preserve"> </w:t>
      </w:r>
    </w:p>
    <w:p w14:paraId="2721B648" w14:textId="5E29682F" w:rsidR="001953F5" w:rsidRDefault="005C7085" w:rsidP="00F07ADA">
      <w:pPr>
        <w:pStyle w:val="ListParagraph"/>
        <w:numPr>
          <w:ilvl w:val="0"/>
          <w:numId w:val="12"/>
        </w:numPr>
        <w:jc w:val="both"/>
        <w:rPr>
          <w:rFonts w:cs="Times New Roman"/>
        </w:rPr>
      </w:pPr>
      <w:r w:rsidRPr="001953F5">
        <w:rPr>
          <w:rFonts w:cs="Times New Roman"/>
        </w:rPr>
        <w:t>finansēšana</w:t>
      </w:r>
      <w:r w:rsidR="001953F5" w:rsidRPr="001953F5">
        <w:rPr>
          <w:rFonts w:cs="Times New Roman"/>
        </w:rPr>
        <w:t xml:space="preserve"> jeb finanšu līdzekļu piesaiste finanšu tirgos</w:t>
      </w:r>
      <w:r w:rsidR="00B95FE9">
        <w:rPr>
          <w:rFonts w:cs="Times New Roman"/>
        </w:rPr>
        <w:t>,</w:t>
      </w:r>
      <w:r w:rsidRPr="001953F5">
        <w:rPr>
          <w:rFonts w:cs="Times New Roman"/>
        </w:rPr>
        <w:t xml:space="preserve"> lai finansētu aizdevumu veikšanu</w:t>
      </w:r>
      <w:r w:rsidR="00FC70EB">
        <w:rPr>
          <w:rFonts w:cs="Times New Roman"/>
        </w:rPr>
        <w:t>;</w:t>
      </w:r>
      <w:r w:rsidRPr="001953F5">
        <w:rPr>
          <w:rFonts w:cs="Times New Roman"/>
        </w:rPr>
        <w:t xml:space="preserve"> </w:t>
      </w:r>
    </w:p>
    <w:p w14:paraId="43F64593" w14:textId="002FDA57" w:rsidR="001953F5" w:rsidRDefault="005C7085" w:rsidP="00F07ADA">
      <w:pPr>
        <w:pStyle w:val="ListParagraph"/>
        <w:numPr>
          <w:ilvl w:val="0"/>
          <w:numId w:val="12"/>
        </w:numPr>
        <w:jc w:val="both"/>
        <w:rPr>
          <w:rFonts w:cs="Times New Roman"/>
        </w:rPr>
      </w:pPr>
      <w:r w:rsidRPr="001953F5">
        <w:rPr>
          <w:rFonts w:cs="Times New Roman"/>
        </w:rPr>
        <w:t>investīcijas vada ESM akcionāru ieguldījumu 80,4 ml</w:t>
      </w:r>
      <w:r w:rsidR="001953F5" w:rsidRPr="001953F5">
        <w:rPr>
          <w:rFonts w:cs="Times New Roman"/>
        </w:rPr>
        <w:t>j</w:t>
      </w:r>
      <w:r w:rsidRPr="001953F5">
        <w:rPr>
          <w:rFonts w:cs="Times New Roman"/>
        </w:rPr>
        <w:t>rd</w:t>
      </w:r>
      <w:r w:rsidR="001953F5" w:rsidRPr="001953F5">
        <w:rPr>
          <w:rFonts w:cs="Times New Roman"/>
        </w:rPr>
        <w:t>. </w:t>
      </w:r>
      <w:proofErr w:type="spellStart"/>
      <w:r w:rsidR="001953F5" w:rsidRPr="001953F5">
        <w:rPr>
          <w:rFonts w:cs="Times New Roman"/>
          <w:i/>
        </w:rPr>
        <w:t>euro</w:t>
      </w:r>
      <w:proofErr w:type="spellEnd"/>
      <w:r w:rsidR="001953F5" w:rsidRPr="001953F5">
        <w:rPr>
          <w:rFonts w:cs="Times New Roman"/>
        </w:rPr>
        <w:t xml:space="preserve"> apmērā, rezerves fondu un ESM likviditātes buferi. </w:t>
      </w:r>
    </w:p>
    <w:p w14:paraId="7D5D2E68" w14:textId="17C58720" w:rsidR="00004DF1" w:rsidRDefault="00004DF1" w:rsidP="00F07ADA">
      <w:pPr>
        <w:ind w:firstLine="709"/>
        <w:jc w:val="both"/>
        <w:rPr>
          <w:color w:val="000000" w:themeColor="text1"/>
        </w:rPr>
      </w:pPr>
      <w:r w:rsidRPr="00041D64">
        <w:rPr>
          <w:color w:val="000000" w:themeColor="text1"/>
        </w:rPr>
        <w:t xml:space="preserve">ESM ir novērtēts ar augstas kvalitātes reitingu, </w:t>
      </w:r>
      <w:r w:rsidR="00DD738E">
        <w:rPr>
          <w:color w:val="000000" w:themeColor="text1"/>
        </w:rPr>
        <w:t>kas nav mainījies no iepriekšējiem</w:t>
      </w:r>
      <w:r w:rsidRPr="00041D64">
        <w:rPr>
          <w:color w:val="000000" w:themeColor="text1"/>
        </w:rPr>
        <w:t xml:space="preserve"> gad</w:t>
      </w:r>
      <w:r w:rsidR="00DD738E">
        <w:rPr>
          <w:color w:val="000000" w:themeColor="text1"/>
        </w:rPr>
        <w:t>iem</w:t>
      </w:r>
      <w:r w:rsidRPr="00041D64">
        <w:rPr>
          <w:color w:val="000000" w:themeColor="text1"/>
        </w:rPr>
        <w:t>, kas ir pateicoties ESM stipra</w:t>
      </w:r>
      <w:r w:rsidR="00A31105">
        <w:rPr>
          <w:color w:val="000000" w:themeColor="text1"/>
        </w:rPr>
        <w:t>ja</w:t>
      </w:r>
      <w:r w:rsidRPr="00041D64">
        <w:rPr>
          <w:color w:val="000000" w:themeColor="text1"/>
        </w:rPr>
        <w:t>m akcionāru atbalstam, spēcīgai kapitāla struktūrai, konservatīvai finansēšanas un investīciju stratēģijai</w:t>
      </w:r>
      <w:r w:rsidR="00F07ADA">
        <w:rPr>
          <w:color w:val="000000" w:themeColor="text1"/>
        </w:rPr>
        <w:t xml:space="preserve"> (skatīt 1.tabulu)</w:t>
      </w:r>
      <w:r w:rsidRPr="00041D64">
        <w:rPr>
          <w:color w:val="000000" w:themeColor="text1"/>
        </w:rPr>
        <w:t>.</w:t>
      </w:r>
    </w:p>
    <w:p w14:paraId="7ACA3859" w14:textId="6761701D" w:rsidR="00004DF1" w:rsidRPr="006E7176" w:rsidRDefault="00004DF1" w:rsidP="00004DF1">
      <w:pPr>
        <w:spacing w:before="120"/>
        <w:ind w:left="74"/>
        <w:jc w:val="right"/>
        <w:rPr>
          <w:rFonts w:eastAsia="Times New Roman" w:cs="Times New Roman"/>
          <w:b/>
          <w:i/>
          <w:color w:val="000000" w:themeColor="text1"/>
          <w:sz w:val="20"/>
          <w:szCs w:val="20"/>
          <w:lang w:val="en" w:eastAsia="lv-LV"/>
        </w:rPr>
      </w:pPr>
      <w:r w:rsidRPr="006E7176">
        <w:rPr>
          <w:b/>
          <w:i/>
          <w:color w:val="000000" w:themeColor="text1"/>
          <w:sz w:val="20"/>
          <w:szCs w:val="20"/>
        </w:rPr>
        <w:t>1.tabula</w:t>
      </w:r>
      <w:r w:rsidR="00936759">
        <w:rPr>
          <w:b/>
          <w:i/>
          <w:color w:val="000000" w:themeColor="text1"/>
          <w:sz w:val="20"/>
          <w:szCs w:val="20"/>
        </w:rPr>
        <w:t>.</w:t>
      </w:r>
      <w:r w:rsidRPr="006E7176">
        <w:rPr>
          <w:b/>
          <w:i/>
          <w:color w:val="000000" w:themeColor="text1"/>
          <w:sz w:val="20"/>
          <w:szCs w:val="20"/>
        </w:rPr>
        <w:t xml:space="preserve"> </w:t>
      </w:r>
      <w:proofErr w:type="spellStart"/>
      <w:r w:rsidRPr="006E7176">
        <w:rPr>
          <w:rFonts w:eastAsia="Times New Roman" w:cs="Times New Roman"/>
          <w:b/>
          <w:i/>
          <w:color w:val="000000" w:themeColor="text1"/>
          <w:sz w:val="20"/>
          <w:szCs w:val="20"/>
          <w:lang w:val="en" w:eastAsia="lv-LV"/>
        </w:rPr>
        <w:t>Starptautisko</w:t>
      </w:r>
      <w:proofErr w:type="spellEnd"/>
      <w:r w:rsidRPr="006E7176">
        <w:rPr>
          <w:rFonts w:eastAsia="Times New Roman" w:cs="Times New Roman"/>
          <w:b/>
          <w:i/>
          <w:color w:val="000000" w:themeColor="text1"/>
          <w:sz w:val="20"/>
          <w:szCs w:val="20"/>
          <w:lang w:val="en" w:eastAsia="lv-LV"/>
        </w:rPr>
        <w:t xml:space="preserve"> </w:t>
      </w:r>
      <w:proofErr w:type="spellStart"/>
      <w:r w:rsidRPr="006E7176">
        <w:rPr>
          <w:rFonts w:eastAsia="Times New Roman" w:cs="Times New Roman"/>
          <w:b/>
          <w:i/>
          <w:color w:val="000000" w:themeColor="text1"/>
          <w:sz w:val="20"/>
          <w:szCs w:val="20"/>
          <w:lang w:val="en" w:eastAsia="lv-LV"/>
        </w:rPr>
        <w:t>kredītreitingu</w:t>
      </w:r>
      <w:proofErr w:type="spellEnd"/>
      <w:r w:rsidRPr="006E7176">
        <w:rPr>
          <w:rFonts w:eastAsia="Times New Roman" w:cs="Times New Roman"/>
          <w:b/>
          <w:i/>
          <w:color w:val="000000" w:themeColor="text1"/>
          <w:sz w:val="20"/>
          <w:szCs w:val="20"/>
          <w:lang w:val="en" w:eastAsia="lv-LV"/>
        </w:rPr>
        <w:t xml:space="preserve"> </w:t>
      </w:r>
      <w:proofErr w:type="spellStart"/>
      <w:r w:rsidRPr="006E7176">
        <w:rPr>
          <w:rFonts w:eastAsia="Times New Roman" w:cs="Times New Roman"/>
          <w:b/>
          <w:i/>
          <w:color w:val="000000" w:themeColor="text1"/>
          <w:sz w:val="20"/>
          <w:szCs w:val="20"/>
          <w:lang w:val="en" w:eastAsia="lv-LV"/>
        </w:rPr>
        <w:t>aģentūru</w:t>
      </w:r>
      <w:proofErr w:type="spellEnd"/>
      <w:r w:rsidRPr="006E7176">
        <w:rPr>
          <w:rFonts w:eastAsia="Times New Roman" w:cs="Times New Roman"/>
          <w:b/>
          <w:i/>
          <w:color w:val="000000" w:themeColor="text1"/>
          <w:sz w:val="20"/>
          <w:szCs w:val="20"/>
          <w:lang w:val="en" w:eastAsia="lv-LV"/>
        </w:rPr>
        <w:t xml:space="preserve"> </w:t>
      </w:r>
      <w:proofErr w:type="spellStart"/>
      <w:r w:rsidRPr="006E7176">
        <w:rPr>
          <w:rFonts w:eastAsia="Times New Roman" w:cs="Times New Roman"/>
          <w:b/>
          <w:i/>
          <w:color w:val="000000" w:themeColor="text1"/>
          <w:sz w:val="20"/>
          <w:szCs w:val="20"/>
          <w:lang w:val="en" w:eastAsia="lv-LV"/>
        </w:rPr>
        <w:t>novērtējums</w:t>
      </w:r>
      <w:proofErr w:type="spellEnd"/>
    </w:p>
    <w:tbl>
      <w:tblPr>
        <w:tblStyle w:val="GridTable3-Accent1"/>
        <w:tblW w:w="3968" w:type="pct"/>
        <w:jc w:val="center"/>
        <w:tblLook w:val="04A0" w:firstRow="1" w:lastRow="0" w:firstColumn="1" w:lastColumn="0" w:noHBand="0" w:noVBand="1"/>
        <w:tblDescription w:val="rating table"/>
      </w:tblPr>
      <w:tblGrid>
        <w:gridCol w:w="1431"/>
        <w:gridCol w:w="1740"/>
        <w:gridCol w:w="1602"/>
        <w:gridCol w:w="2597"/>
      </w:tblGrid>
      <w:tr w:rsidR="00004DF1" w:rsidRPr="006E7176" w14:paraId="2CFE0B63" w14:textId="77777777" w:rsidTr="00E31F9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70" w:type="pct"/>
            <w:hideMark/>
          </w:tcPr>
          <w:p w14:paraId="3AE0B62D" w14:textId="77777777" w:rsidR="00004DF1" w:rsidRPr="006E7176" w:rsidRDefault="00004DF1" w:rsidP="00EE06D4">
            <w:pPr>
              <w:jc w:val="center"/>
              <w:rPr>
                <w:rFonts w:eastAsia="Times New Roman" w:cs="Times New Roman"/>
                <w:color w:val="000000" w:themeColor="text1"/>
                <w:sz w:val="20"/>
                <w:szCs w:val="20"/>
                <w:lang w:eastAsia="lv-LV"/>
              </w:rPr>
            </w:pPr>
          </w:p>
        </w:tc>
        <w:tc>
          <w:tcPr>
            <w:tcW w:w="1180" w:type="pct"/>
            <w:hideMark/>
          </w:tcPr>
          <w:p w14:paraId="59B9C253" w14:textId="77777777" w:rsidR="00004DF1" w:rsidRPr="006E7176" w:rsidRDefault="00004DF1" w:rsidP="00EE06D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Ilgtermiņa</w:t>
            </w:r>
          </w:p>
        </w:tc>
        <w:tc>
          <w:tcPr>
            <w:tcW w:w="1087" w:type="pct"/>
            <w:hideMark/>
          </w:tcPr>
          <w:p w14:paraId="4660CC29" w14:textId="77777777" w:rsidR="00004DF1" w:rsidRPr="006E7176" w:rsidRDefault="00004DF1" w:rsidP="00EE06D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Īstermiņa</w:t>
            </w:r>
          </w:p>
        </w:tc>
        <w:tc>
          <w:tcPr>
            <w:tcW w:w="1762" w:type="pct"/>
          </w:tcPr>
          <w:p w14:paraId="0A850ADA" w14:textId="77777777" w:rsidR="00004DF1" w:rsidRPr="006E7176" w:rsidRDefault="00004DF1" w:rsidP="00EE06D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Reitinga perspektīva</w:t>
            </w:r>
          </w:p>
        </w:tc>
      </w:tr>
      <w:tr w:rsidR="00004DF1" w:rsidRPr="006E7176" w14:paraId="1F0843DD" w14:textId="77777777" w:rsidTr="00E31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0" w:type="pct"/>
            <w:hideMark/>
          </w:tcPr>
          <w:p w14:paraId="2907A5AA" w14:textId="77777777" w:rsidR="00004DF1" w:rsidRPr="006E7176" w:rsidRDefault="00004DF1" w:rsidP="00EE06D4">
            <w:pPr>
              <w:rPr>
                <w:rFonts w:eastAsia="Times New Roman" w:cs="Times New Roman"/>
                <w:color w:val="000000" w:themeColor="text1"/>
                <w:sz w:val="20"/>
                <w:szCs w:val="20"/>
                <w:lang w:eastAsia="lv-LV"/>
              </w:rPr>
            </w:pPr>
            <w:proofErr w:type="spellStart"/>
            <w:r w:rsidRPr="006E7176">
              <w:rPr>
                <w:rFonts w:eastAsia="Times New Roman" w:cs="Times New Roman"/>
                <w:color w:val="000000" w:themeColor="text1"/>
                <w:sz w:val="20"/>
                <w:szCs w:val="20"/>
                <w:lang w:eastAsia="lv-LV"/>
              </w:rPr>
              <w:t>Moody's</w:t>
            </w:r>
            <w:proofErr w:type="spellEnd"/>
          </w:p>
        </w:tc>
        <w:tc>
          <w:tcPr>
            <w:tcW w:w="1180" w:type="pct"/>
            <w:hideMark/>
          </w:tcPr>
          <w:p w14:paraId="256B364A"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Aa1</w:t>
            </w:r>
          </w:p>
        </w:tc>
        <w:tc>
          <w:tcPr>
            <w:tcW w:w="1087" w:type="pct"/>
            <w:hideMark/>
          </w:tcPr>
          <w:p w14:paraId="1D0E6BF5"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P-1</w:t>
            </w:r>
          </w:p>
        </w:tc>
        <w:tc>
          <w:tcPr>
            <w:tcW w:w="1762" w:type="pct"/>
          </w:tcPr>
          <w:p w14:paraId="4D505CE3"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Stabila</w:t>
            </w:r>
          </w:p>
        </w:tc>
      </w:tr>
      <w:tr w:rsidR="00004DF1" w:rsidRPr="006E7176" w14:paraId="2B438D43" w14:textId="77777777" w:rsidTr="00E31F93">
        <w:trPr>
          <w:jc w:val="center"/>
        </w:trPr>
        <w:tc>
          <w:tcPr>
            <w:cnfStyle w:val="001000000000" w:firstRow="0" w:lastRow="0" w:firstColumn="1" w:lastColumn="0" w:oddVBand="0" w:evenVBand="0" w:oddHBand="0" w:evenHBand="0" w:firstRowFirstColumn="0" w:firstRowLastColumn="0" w:lastRowFirstColumn="0" w:lastRowLastColumn="0"/>
            <w:tcW w:w="970" w:type="pct"/>
            <w:hideMark/>
          </w:tcPr>
          <w:p w14:paraId="1B202F22" w14:textId="77777777" w:rsidR="00004DF1" w:rsidRPr="006E7176" w:rsidRDefault="00004DF1" w:rsidP="00EE06D4">
            <w:pPr>
              <w:rPr>
                <w:rFonts w:eastAsia="Times New Roman" w:cs="Times New Roman"/>
                <w:color w:val="000000" w:themeColor="text1"/>
                <w:sz w:val="20"/>
                <w:szCs w:val="20"/>
                <w:lang w:eastAsia="lv-LV"/>
              </w:rPr>
            </w:pPr>
            <w:proofErr w:type="spellStart"/>
            <w:r w:rsidRPr="006E7176">
              <w:rPr>
                <w:rFonts w:eastAsia="Times New Roman" w:cs="Times New Roman"/>
                <w:color w:val="000000" w:themeColor="text1"/>
                <w:sz w:val="20"/>
                <w:szCs w:val="20"/>
                <w:lang w:eastAsia="lv-LV"/>
              </w:rPr>
              <w:t>Fitch</w:t>
            </w:r>
            <w:proofErr w:type="spellEnd"/>
            <w:r w:rsidRPr="006E7176">
              <w:rPr>
                <w:rFonts w:eastAsia="Times New Roman" w:cs="Times New Roman"/>
                <w:color w:val="000000" w:themeColor="text1"/>
                <w:sz w:val="20"/>
                <w:szCs w:val="20"/>
                <w:lang w:eastAsia="lv-LV"/>
              </w:rPr>
              <w:t xml:space="preserve"> </w:t>
            </w:r>
            <w:proofErr w:type="spellStart"/>
            <w:r w:rsidRPr="006E7176">
              <w:rPr>
                <w:rFonts w:eastAsia="Times New Roman" w:cs="Times New Roman"/>
                <w:color w:val="000000" w:themeColor="text1"/>
                <w:sz w:val="20"/>
                <w:szCs w:val="20"/>
                <w:lang w:eastAsia="lv-LV"/>
              </w:rPr>
              <w:t>Ratings</w:t>
            </w:r>
            <w:proofErr w:type="spellEnd"/>
          </w:p>
        </w:tc>
        <w:tc>
          <w:tcPr>
            <w:tcW w:w="1180" w:type="pct"/>
            <w:hideMark/>
          </w:tcPr>
          <w:p w14:paraId="3CBCE785" w14:textId="77777777" w:rsidR="00004DF1" w:rsidRPr="006E7176" w:rsidRDefault="00004DF1" w:rsidP="00EE06D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AAA</w:t>
            </w:r>
          </w:p>
        </w:tc>
        <w:tc>
          <w:tcPr>
            <w:tcW w:w="1087" w:type="pct"/>
            <w:hideMark/>
          </w:tcPr>
          <w:p w14:paraId="360AADB0" w14:textId="77777777" w:rsidR="00004DF1" w:rsidRPr="006E7176" w:rsidRDefault="00004DF1" w:rsidP="00EE06D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F1+</w:t>
            </w:r>
          </w:p>
        </w:tc>
        <w:tc>
          <w:tcPr>
            <w:tcW w:w="1762" w:type="pct"/>
          </w:tcPr>
          <w:p w14:paraId="52B600A5" w14:textId="77777777" w:rsidR="00004DF1" w:rsidRPr="006E7176" w:rsidRDefault="00004DF1" w:rsidP="00EE06D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Stabila</w:t>
            </w:r>
          </w:p>
        </w:tc>
      </w:tr>
      <w:tr w:rsidR="00004DF1" w:rsidRPr="006E7176" w14:paraId="2AA1E84D" w14:textId="77777777" w:rsidTr="00E31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0" w:type="pct"/>
            <w:hideMark/>
          </w:tcPr>
          <w:p w14:paraId="598F1C94" w14:textId="77777777" w:rsidR="00004DF1" w:rsidRPr="006E7176" w:rsidRDefault="00004DF1" w:rsidP="00EE06D4">
            <w:pPr>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DBRS</w:t>
            </w:r>
          </w:p>
        </w:tc>
        <w:tc>
          <w:tcPr>
            <w:tcW w:w="1180" w:type="pct"/>
            <w:hideMark/>
          </w:tcPr>
          <w:p w14:paraId="6248406A"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AAA</w:t>
            </w:r>
          </w:p>
        </w:tc>
        <w:tc>
          <w:tcPr>
            <w:tcW w:w="1087" w:type="pct"/>
            <w:hideMark/>
          </w:tcPr>
          <w:p w14:paraId="08DC1CDF"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R-1 (augsts)</w:t>
            </w:r>
          </w:p>
        </w:tc>
        <w:tc>
          <w:tcPr>
            <w:tcW w:w="1762" w:type="pct"/>
          </w:tcPr>
          <w:p w14:paraId="7F4C3BDF"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Stabila</w:t>
            </w:r>
          </w:p>
        </w:tc>
      </w:tr>
    </w:tbl>
    <w:p w14:paraId="2059A96B" w14:textId="77777777" w:rsidR="00004DF1" w:rsidRPr="00884942" w:rsidRDefault="00004DF1" w:rsidP="00004DF1">
      <w:pPr>
        <w:rPr>
          <w:rFonts w:eastAsia="Times New Roman" w:cs="Times New Roman"/>
          <w:color w:val="000000" w:themeColor="text1"/>
          <w:sz w:val="28"/>
          <w:szCs w:val="24"/>
          <w:lang w:eastAsia="lv-LV"/>
        </w:rPr>
      </w:pPr>
    </w:p>
    <w:p w14:paraId="72B296DD" w14:textId="77777777" w:rsidR="005C7085" w:rsidRPr="00AF1364" w:rsidRDefault="005C7085" w:rsidP="00004DF1">
      <w:pPr>
        <w:ind w:firstLine="720"/>
        <w:jc w:val="both"/>
        <w:rPr>
          <w:rFonts w:eastAsia="Times New Roman" w:cs="Times New Roman"/>
          <w:color w:val="000000" w:themeColor="text1"/>
          <w:szCs w:val="24"/>
          <w:lang w:eastAsia="lv-LV"/>
        </w:rPr>
      </w:pPr>
    </w:p>
    <w:p w14:paraId="2F5C3343" w14:textId="2A0AAD62" w:rsidR="00280255" w:rsidRPr="00041D64" w:rsidRDefault="001F5245" w:rsidP="00A83D94">
      <w:pPr>
        <w:jc w:val="center"/>
        <w:rPr>
          <w:rFonts w:eastAsia="Times New Roman" w:cs="Times New Roman"/>
          <w:b/>
          <w:color w:val="000000" w:themeColor="text1"/>
          <w:szCs w:val="24"/>
          <w:lang w:eastAsia="lv-LV"/>
        </w:rPr>
      </w:pPr>
      <w:r w:rsidRPr="00041D64">
        <w:rPr>
          <w:rFonts w:eastAsia="Times New Roman" w:cs="Times New Roman"/>
          <w:b/>
          <w:color w:val="000000" w:themeColor="text1"/>
          <w:szCs w:val="24"/>
          <w:lang w:eastAsia="lv-LV"/>
        </w:rPr>
        <w:t>1</w:t>
      </w:r>
      <w:r w:rsidR="000C076D" w:rsidRPr="00041D64">
        <w:rPr>
          <w:rFonts w:eastAsia="Times New Roman" w:cs="Times New Roman"/>
          <w:b/>
          <w:color w:val="000000" w:themeColor="text1"/>
          <w:szCs w:val="24"/>
          <w:lang w:eastAsia="lv-LV"/>
        </w:rPr>
        <w:t xml:space="preserve">. </w:t>
      </w:r>
      <w:r w:rsidR="00280255" w:rsidRPr="00041D64">
        <w:rPr>
          <w:rFonts w:eastAsia="Times New Roman" w:cs="Times New Roman"/>
          <w:b/>
          <w:color w:val="000000" w:themeColor="text1"/>
          <w:szCs w:val="24"/>
          <w:lang w:eastAsia="lv-LV"/>
        </w:rPr>
        <w:t xml:space="preserve">ESM </w:t>
      </w:r>
      <w:r w:rsidRPr="00041D64">
        <w:rPr>
          <w:rFonts w:eastAsia="Times New Roman" w:cs="Times New Roman"/>
          <w:b/>
          <w:color w:val="000000" w:themeColor="text1"/>
          <w:szCs w:val="24"/>
          <w:lang w:eastAsia="lv-LV"/>
        </w:rPr>
        <w:t>īstenot</w:t>
      </w:r>
      <w:r w:rsidR="00A0553D" w:rsidRPr="00041D64">
        <w:rPr>
          <w:rFonts w:eastAsia="Times New Roman" w:cs="Times New Roman"/>
          <w:b/>
          <w:color w:val="000000" w:themeColor="text1"/>
          <w:szCs w:val="24"/>
          <w:lang w:eastAsia="lv-LV"/>
        </w:rPr>
        <w:t>o</w:t>
      </w:r>
      <w:r w:rsidR="00A83D94" w:rsidRPr="00041D64">
        <w:rPr>
          <w:rFonts w:eastAsia="Times New Roman" w:cs="Times New Roman"/>
          <w:b/>
          <w:color w:val="000000" w:themeColor="text1"/>
          <w:szCs w:val="24"/>
          <w:lang w:eastAsia="lv-LV"/>
        </w:rPr>
        <w:t xml:space="preserve"> finansiāl</w:t>
      </w:r>
      <w:r w:rsidR="00A0553D" w:rsidRPr="00041D64">
        <w:rPr>
          <w:rFonts w:eastAsia="Times New Roman" w:cs="Times New Roman"/>
          <w:b/>
          <w:color w:val="000000" w:themeColor="text1"/>
          <w:szCs w:val="24"/>
          <w:lang w:eastAsia="lv-LV"/>
        </w:rPr>
        <w:t>o</w:t>
      </w:r>
      <w:r w:rsidR="00A83D94" w:rsidRPr="00041D64">
        <w:rPr>
          <w:rFonts w:eastAsia="Times New Roman" w:cs="Times New Roman"/>
          <w:b/>
          <w:color w:val="000000" w:themeColor="text1"/>
          <w:szCs w:val="24"/>
          <w:lang w:eastAsia="lv-LV"/>
        </w:rPr>
        <w:t xml:space="preserve"> palīdzīb</w:t>
      </w:r>
      <w:r w:rsidR="00A0553D" w:rsidRPr="00041D64">
        <w:rPr>
          <w:rFonts w:eastAsia="Times New Roman" w:cs="Times New Roman"/>
          <w:b/>
          <w:color w:val="000000" w:themeColor="text1"/>
          <w:szCs w:val="24"/>
          <w:lang w:eastAsia="lv-LV"/>
        </w:rPr>
        <w:t>u</w:t>
      </w:r>
      <w:r w:rsidR="00A83D94" w:rsidRPr="00041D64">
        <w:rPr>
          <w:rFonts w:eastAsia="Times New Roman" w:cs="Times New Roman"/>
          <w:b/>
          <w:color w:val="000000" w:themeColor="text1"/>
          <w:szCs w:val="24"/>
          <w:lang w:eastAsia="lv-LV"/>
        </w:rPr>
        <w:t xml:space="preserve"> programm</w:t>
      </w:r>
      <w:r w:rsidR="00BD7A7E" w:rsidRPr="00041D64">
        <w:rPr>
          <w:rFonts w:eastAsia="Times New Roman" w:cs="Times New Roman"/>
          <w:b/>
          <w:color w:val="000000" w:themeColor="text1"/>
          <w:szCs w:val="24"/>
          <w:lang w:eastAsia="lv-LV"/>
        </w:rPr>
        <w:t>u pieredze (Kipra</w:t>
      </w:r>
      <w:r w:rsidR="004F02AD" w:rsidRPr="00041D64">
        <w:rPr>
          <w:rFonts w:eastAsia="Times New Roman" w:cs="Times New Roman"/>
          <w:b/>
          <w:color w:val="000000" w:themeColor="text1"/>
          <w:szCs w:val="24"/>
          <w:lang w:eastAsia="lv-LV"/>
        </w:rPr>
        <w:t>,</w:t>
      </w:r>
      <w:r w:rsidR="00BD7A7E" w:rsidRPr="00041D64">
        <w:rPr>
          <w:rFonts w:eastAsia="Times New Roman" w:cs="Times New Roman"/>
          <w:b/>
          <w:color w:val="000000" w:themeColor="text1"/>
          <w:szCs w:val="24"/>
          <w:lang w:eastAsia="lv-LV"/>
        </w:rPr>
        <w:t xml:space="preserve"> </w:t>
      </w:r>
      <w:r w:rsidR="004F02AD" w:rsidRPr="00041D64">
        <w:rPr>
          <w:rFonts w:eastAsia="Times New Roman" w:cs="Times New Roman"/>
          <w:b/>
          <w:color w:val="000000" w:themeColor="text1"/>
          <w:szCs w:val="24"/>
          <w:lang w:eastAsia="lv-LV"/>
        </w:rPr>
        <w:t xml:space="preserve">Spānija </w:t>
      </w:r>
      <w:r w:rsidR="00BD7A7E" w:rsidRPr="00041D64">
        <w:rPr>
          <w:rFonts w:eastAsia="Times New Roman" w:cs="Times New Roman"/>
          <w:b/>
          <w:color w:val="000000" w:themeColor="text1"/>
          <w:szCs w:val="24"/>
          <w:lang w:eastAsia="lv-LV"/>
        </w:rPr>
        <w:t>un Grieķija)</w:t>
      </w:r>
    </w:p>
    <w:p w14:paraId="7F274FE7" w14:textId="77777777" w:rsidR="00BD7A7E" w:rsidRPr="00AF1364" w:rsidRDefault="00BD7A7E" w:rsidP="008E56A0">
      <w:pPr>
        <w:jc w:val="both"/>
        <w:rPr>
          <w:rFonts w:eastAsia="Times New Roman" w:cs="Times New Roman"/>
          <w:szCs w:val="24"/>
          <w:lang w:eastAsia="lv-LV"/>
        </w:rPr>
      </w:pPr>
    </w:p>
    <w:p w14:paraId="22314476" w14:textId="6F9CCCE2" w:rsidR="008E56A0" w:rsidRDefault="00AF1364" w:rsidP="00F07ADA">
      <w:pPr>
        <w:ind w:firstLine="709"/>
        <w:jc w:val="both"/>
        <w:rPr>
          <w:color w:val="000000" w:themeColor="text1"/>
        </w:rPr>
      </w:pPr>
      <w:r>
        <w:rPr>
          <w:rFonts w:eastAsia="Times New Roman" w:cs="Times New Roman"/>
          <w:szCs w:val="24"/>
          <w:lang w:eastAsia="lv-LV"/>
        </w:rPr>
        <w:t xml:space="preserve">Kopš dibināšanas brīža </w:t>
      </w:r>
      <w:r w:rsidRPr="008E56A0">
        <w:rPr>
          <w:rFonts w:eastAsia="Times New Roman" w:cs="Times New Roman"/>
          <w:szCs w:val="24"/>
          <w:lang w:eastAsia="lv-LV"/>
        </w:rPr>
        <w:t>ESM kopumā ir snie</w:t>
      </w:r>
      <w:r>
        <w:rPr>
          <w:rFonts w:eastAsia="Times New Roman" w:cs="Times New Roman"/>
          <w:szCs w:val="24"/>
          <w:lang w:eastAsia="lv-LV"/>
        </w:rPr>
        <w:t>dzis</w:t>
      </w:r>
      <w:r w:rsidRPr="008E56A0">
        <w:rPr>
          <w:rFonts w:eastAsia="Times New Roman" w:cs="Times New Roman"/>
          <w:szCs w:val="24"/>
          <w:lang w:eastAsia="lv-LV"/>
        </w:rPr>
        <w:t xml:space="preserve"> palīdzību trī</w:t>
      </w:r>
      <w:r>
        <w:rPr>
          <w:rFonts w:eastAsia="Times New Roman" w:cs="Times New Roman"/>
          <w:szCs w:val="24"/>
          <w:lang w:eastAsia="lv-LV"/>
        </w:rPr>
        <w:t>s</w:t>
      </w:r>
      <w:r w:rsidRPr="008E56A0">
        <w:rPr>
          <w:rFonts w:eastAsia="Times New Roman" w:cs="Times New Roman"/>
          <w:szCs w:val="24"/>
          <w:lang w:eastAsia="lv-LV"/>
        </w:rPr>
        <w:t xml:space="preserve"> valstīm – Spānija</w:t>
      </w:r>
      <w:r>
        <w:rPr>
          <w:rFonts w:eastAsia="Times New Roman" w:cs="Times New Roman"/>
          <w:szCs w:val="24"/>
          <w:lang w:eastAsia="lv-LV"/>
        </w:rPr>
        <w:t>i</w:t>
      </w:r>
      <w:r w:rsidRPr="008E56A0">
        <w:rPr>
          <w:rFonts w:eastAsia="Times New Roman" w:cs="Times New Roman"/>
          <w:szCs w:val="24"/>
          <w:lang w:eastAsia="lv-LV"/>
        </w:rPr>
        <w:t>, Kipra</w:t>
      </w:r>
      <w:r>
        <w:rPr>
          <w:rFonts w:eastAsia="Times New Roman" w:cs="Times New Roman"/>
          <w:szCs w:val="24"/>
          <w:lang w:eastAsia="lv-LV"/>
        </w:rPr>
        <w:t>i</w:t>
      </w:r>
      <w:r w:rsidRPr="008E56A0">
        <w:rPr>
          <w:rFonts w:eastAsia="Times New Roman" w:cs="Times New Roman"/>
          <w:szCs w:val="24"/>
          <w:lang w:eastAsia="lv-LV"/>
        </w:rPr>
        <w:t xml:space="preserve"> un Grieķija</w:t>
      </w:r>
      <w:r>
        <w:rPr>
          <w:rFonts w:eastAsia="Times New Roman" w:cs="Times New Roman"/>
          <w:szCs w:val="24"/>
          <w:lang w:eastAsia="lv-LV"/>
        </w:rPr>
        <w:t xml:space="preserve">i. </w:t>
      </w:r>
      <w:r w:rsidR="008E56A0">
        <w:rPr>
          <w:rFonts w:eastAsia="Times New Roman" w:cs="Times New Roman"/>
          <w:szCs w:val="24"/>
          <w:lang w:eastAsia="lv-LV"/>
        </w:rPr>
        <w:t xml:space="preserve">Spānijai un Kiprai </w:t>
      </w:r>
      <w:r w:rsidRPr="00041D64">
        <w:rPr>
          <w:color w:val="000000" w:themeColor="text1"/>
        </w:rPr>
        <w:t xml:space="preserve">makroekonomikas korekcijas </w:t>
      </w:r>
      <w:r w:rsidR="008E56A0">
        <w:rPr>
          <w:rFonts w:eastAsia="Times New Roman" w:cs="Times New Roman"/>
          <w:szCs w:val="24"/>
          <w:lang w:eastAsia="lv-LV"/>
        </w:rPr>
        <w:t>programmas</w:t>
      </w:r>
      <w:r>
        <w:rPr>
          <w:rFonts w:eastAsia="Times New Roman" w:cs="Times New Roman"/>
          <w:szCs w:val="24"/>
          <w:lang w:eastAsia="lv-LV"/>
        </w:rPr>
        <w:t xml:space="preserve"> (turpmāk - programma)</w:t>
      </w:r>
      <w:r w:rsidR="008E56A0">
        <w:rPr>
          <w:rFonts w:eastAsia="Times New Roman" w:cs="Times New Roman"/>
          <w:szCs w:val="24"/>
          <w:lang w:eastAsia="lv-LV"/>
        </w:rPr>
        <w:t xml:space="preserve"> ir veiksmīgi beigušās</w:t>
      </w:r>
      <w:r w:rsidR="00A4581D">
        <w:rPr>
          <w:rFonts w:eastAsia="Times New Roman" w:cs="Times New Roman"/>
          <w:szCs w:val="24"/>
          <w:lang w:eastAsia="lv-LV"/>
        </w:rPr>
        <w:t xml:space="preserve"> attiecīgi </w:t>
      </w:r>
      <w:r w:rsidR="00A4581D" w:rsidRPr="008364B0">
        <w:t>2013.gad</w:t>
      </w:r>
      <w:r w:rsidR="00A4581D">
        <w:t>ā</w:t>
      </w:r>
      <w:r w:rsidR="00A4581D" w:rsidRPr="008364B0">
        <w:t xml:space="preserve"> </w:t>
      </w:r>
      <w:r w:rsidR="00A4581D">
        <w:t>un 2016.gadā</w:t>
      </w:r>
      <w:r w:rsidR="008E56A0">
        <w:rPr>
          <w:rFonts w:eastAsia="Times New Roman" w:cs="Times New Roman"/>
          <w:szCs w:val="24"/>
          <w:lang w:eastAsia="lv-LV"/>
        </w:rPr>
        <w:t xml:space="preserve">. </w:t>
      </w:r>
      <w:r w:rsidRPr="00041D64">
        <w:rPr>
          <w:color w:val="000000" w:themeColor="text1"/>
        </w:rPr>
        <w:t>ESM 201</w:t>
      </w:r>
      <w:r w:rsidR="00B23452">
        <w:rPr>
          <w:color w:val="000000" w:themeColor="text1"/>
        </w:rPr>
        <w:t>7</w:t>
      </w:r>
      <w:r w:rsidRPr="00041D64">
        <w:rPr>
          <w:color w:val="000000" w:themeColor="text1"/>
        </w:rPr>
        <w:t>.gadā kopš 2015.gada 19.augusta ir turpinā</w:t>
      </w:r>
      <w:r w:rsidR="005A4F0B">
        <w:rPr>
          <w:color w:val="000000" w:themeColor="text1"/>
        </w:rPr>
        <w:t xml:space="preserve">jis </w:t>
      </w:r>
      <w:r w:rsidR="00B23452">
        <w:rPr>
          <w:color w:val="000000" w:themeColor="text1"/>
        </w:rPr>
        <w:t>sniegt palīdzību Grieķijai</w:t>
      </w:r>
      <w:r w:rsidR="005A4F0B">
        <w:rPr>
          <w:color w:val="000000" w:themeColor="text1"/>
        </w:rPr>
        <w:t>.</w:t>
      </w:r>
    </w:p>
    <w:p w14:paraId="25B4A756" w14:textId="773AAC81" w:rsidR="00392FC8" w:rsidRPr="00CC0D87" w:rsidRDefault="005331AC" w:rsidP="00F07ADA">
      <w:pPr>
        <w:ind w:firstLine="709"/>
        <w:jc w:val="both"/>
        <w:rPr>
          <w:rFonts w:eastAsia="Times New Roman" w:cs="Times New Roman"/>
          <w:i/>
          <w:szCs w:val="24"/>
          <w:lang w:eastAsia="lv-LV"/>
        </w:rPr>
      </w:pPr>
      <w:r>
        <w:rPr>
          <w:color w:val="000000" w:themeColor="text1"/>
        </w:rPr>
        <w:t>ESM</w:t>
      </w:r>
      <w:r w:rsidR="001953F5">
        <w:rPr>
          <w:color w:val="000000" w:themeColor="text1"/>
        </w:rPr>
        <w:t xml:space="preserve"> 2017.gadā</w:t>
      </w:r>
      <w:r>
        <w:rPr>
          <w:color w:val="000000" w:themeColor="text1"/>
        </w:rPr>
        <w:t xml:space="preserve"> ir </w:t>
      </w:r>
      <w:r w:rsidR="001953F5">
        <w:rPr>
          <w:color w:val="000000" w:themeColor="text1"/>
        </w:rPr>
        <w:t>sniedzis</w:t>
      </w:r>
      <w:r>
        <w:rPr>
          <w:color w:val="000000" w:themeColor="text1"/>
        </w:rPr>
        <w:t xml:space="preserve"> </w:t>
      </w:r>
      <w:r w:rsidR="001953F5">
        <w:rPr>
          <w:color w:val="000000" w:themeColor="text1"/>
        </w:rPr>
        <w:t>palīdzību</w:t>
      </w:r>
      <w:r>
        <w:rPr>
          <w:color w:val="000000" w:themeColor="text1"/>
        </w:rPr>
        <w:t xml:space="preserve"> </w:t>
      </w:r>
      <w:r w:rsidR="001953F5">
        <w:rPr>
          <w:color w:val="000000" w:themeColor="text1"/>
        </w:rPr>
        <w:t>8,5 </w:t>
      </w:r>
      <w:r w:rsidRPr="001953F5">
        <w:rPr>
          <w:color w:val="000000" w:themeColor="text1"/>
        </w:rPr>
        <w:t xml:space="preserve">mljrd. </w:t>
      </w:r>
      <w:proofErr w:type="spellStart"/>
      <w:r w:rsidR="001953F5" w:rsidRPr="001953F5">
        <w:rPr>
          <w:i/>
          <w:color w:val="000000" w:themeColor="text1"/>
        </w:rPr>
        <w:t>euro</w:t>
      </w:r>
      <w:proofErr w:type="spellEnd"/>
      <w:r w:rsidR="001953F5" w:rsidRPr="001953F5">
        <w:rPr>
          <w:i/>
          <w:color w:val="000000" w:themeColor="text1"/>
        </w:rPr>
        <w:t xml:space="preserve"> </w:t>
      </w:r>
      <w:r w:rsidR="001953F5">
        <w:rPr>
          <w:color w:val="000000" w:themeColor="text1"/>
        </w:rPr>
        <w:t xml:space="preserve">apmērā, </w:t>
      </w:r>
      <w:r w:rsidR="00CC0D87">
        <w:rPr>
          <w:color w:val="000000" w:themeColor="text1"/>
        </w:rPr>
        <w:t xml:space="preserve">kopumā </w:t>
      </w:r>
      <w:r w:rsidR="00DD738E">
        <w:rPr>
          <w:color w:val="000000" w:themeColor="text1"/>
        </w:rPr>
        <w:t xml:space="preserve">kopš dibināšanas </w:t>
      </w:r>
      <w:r w:rsidR="00CC0D87">
        <w:rPr>
          <w:color w:val="000000" w:themeColor="text1"/>
        </w:rPr>
        <w:t xml:space="preserve">ESM ir sniedzis </w:t>
      </w:r>
      <w:r w:rsidR="00DD738E">
        <w:rPr>
          <w:color w:val="000000" w:themeColor="text1"/>
        </w:rPr>
        <w:t xml:space="preserve">palīdzību </w:t>
      </w:r>
      <w:r w:rsidR="00CC0D87">
        <w:rPr>
          <w:color w:val="000000" w:themeColor="text1"/>
        </w:rPr>
        <w:t>87 mljrd. </w:t>
      </w:r>
      <w:proofErr w:type="spellStart"/>
      <w:r w:rsidR="00CC0D87">
        <w:rPr>
          <w:i/>
          <w:color w:val="000000" w:themeColor="text1"/>
        </w:rPr>
        <w:t>euro</w:t>
      </w:r>
      <w:proofErr w:type="spellEnd"/>
      <w:r w:rsidR="00CC0D87">
        <w:rPr>
          <w:color w:val="000000" w:themeColor="text1"/>
        </w:rPr>
        <w:t xml:space="preserve"> apmērā.</w:t>
      </w:r>
    </w:p>
    <w:p w14:paraId="67818516" w14:textId="244FE664" w:rsidR="00936759" w:rsidRDefault="00936759" w:rsidP="00F07ADA">
      <w:pPr>
        <w:ind w:firstLine="709"/>
        <w:jc w:val="both"/>
        <w:rPr>
          <w:rFonts w:eastAsia="Times New Roman" w:cs="Times New Roman"/>
          <w:szCs w:val="24"/>
          <w:lang w:eastAsia="lv-LV"/>
        </w:rPr>
      </w:pPr>
    </w:p>
    <w:p w14:paraId="006B3621" w14:textId="670B2B22" w:rsidR="00280255" w:rsidRPr="00896C7F" w:rsidRDefault="001F5245" w:rsidP="002E2149">
      <w:pPr>
        <w:jc w:val="center"/>
        <w:rPr>
          <w:rFonts w:eastAsia="Times New Roman" w:cs="Times New Roman"/>
          <w:b/>
          <w:szCs w:val="24"/>
          <w:lang w:eastAsia="lv-LV"/>
        </w:rPr>
      </w:pPr>
      <w:r w:rsidRPr="00896C7F">
        <w:rPr>
          <w:rFonts w:eastAsia="Times New Roman" w:cs="Times New Roman"/>
          <w:b/>
          <w:szCs w:val="24"/>
          <w:lang w:eastAsia="lv-LV"/>
        </w:rPr>
        <w:t>1</w:t>
      </w:r>
      <w:r w:rsidR="00D43DE7" w:rsidRPr="00896C7F">
        <w:rPr>
          <w:rFonts w:eastAsia="Times New Roman" w:cs="Times New Roman"/>
          <w:b/>
          <w:szCs w:val="24"/>
          <w:lang w:eastAsia="lv-LV"/>
        </w:rPr>
        <w:t xml:space="preserve">.1. Finansiālās palīdzības programma </w:t>
      </w:r>
      <w:r w:rsidR="00280255" w:rsidRPr="00896C7F">
        <w:rPr>
          <w:rFonts w:eastAsia="Times New Roman" w:cs="Times New Roman"/>
          <w:b/>
          <w:szCs w:val="24"/>
          <w:lang w:eastAsia="lv-LV"/>
        </w:rPr>
        <w:t>Kipra</w:t>
      </w:r>
      <w:r w:rsidR="00D43DE7" w:rsidRPr="00896C7F">
        <w:rPr>
          <w:rFonts w:eastAsia="Times New Roman" w:cs="Times New Roman"/>
          <w:b/>
          <w:szCs w:val="24"/>
          <w:lang w:eastAsia="lv-LV"/>
        </w:rPr>
        <w:t>i</w:t>
      </w:r>
      <w:r w:rsidR="00480DB4">
        <w:rPr>
          <w:rFonts w:eastAsia="Times New Roman" w:cs="Times New Roman"/>
          <w:b/>
          <w:szCs w:val="24"/>
          <w:lang w:eastAsia="lv-LV"/>
        </w:rPr>
        <w:t xml:space="preserve"> </w:t>
      </w:r>
    </w:p>
    <w:p w14:paraId="2C0839E0" w14:textId="77777777" w:rsidR="00280255" w:rsidRPr="00884942" w:rsidRDefault="00280255" w:rsidP="00E205D1">
      <w:pPr>
        <w:rPr>
          <w:rFonts w:eastAsia="Times New Roman" w:cs="Times New Roman"/>
          <w:szCs w:val="24"/>
          <w:lang w:eastAsia="lv-LV"/>
        </w:rPr>
      </w:pPr>
    </w:p>
    <w:p w14:paraId="30EDFE6E" w14:textId="47532EF3" w:rsidR="00AF1364" w:rsidRDefault="00AF1364" w:rsidP="00F07ADA">
      <w:pPr>
        <w:ind w:firstLine="720"/>
        <w:jc w:val="both"/>
        <w:rPr>
          <w:rFonts w:eastAsia="Times New Roman" w:cs="Times New Roman"/>
          <w:szCs w:val="24"/>
          <w:lang w:eastAsia="lv-LV"/>
        </w:rPr>
      </w:pPr>
      <w:r w:rsidRPr="00D2071E">
        <w:t xml:space="preserve">ESM un Kipra finansiālās palīdzības līgumu parakstīja 2013.gada 8.maijā. </w:t>
      </w:r>
      <w:r w:rsidRPr="008E3C46">
        <w:rPr>
          <w:rFonts w:eastAsia="Times New Roman" w:cs="Times New Roman"/>
          <w:szCs w:val="24"/>
          <w:lang w:eastAsia="lv-LV"/>
        </w:rPr>
        <w:t xml:space="preserve">Kipras programmas mērķis </w:t>
      </w:r>
      <w:r>
        <w:rPr>
          <w:rFonts w:eastAsia="Times New Roman" w:cs="Times New Roman"/>
          <w:szCs w:val="24"/>
          <w:lang w:eastAsia="lv-LV"/>
        </w:rPr>
        <w:t>bija</w:t>
      </w:r>
      <w:r w:rsidRPr="008E3C46">
        <w:rPr>
          <w:rFonts w:eastAsia="Times New Roman" w:cs="Times New Roman"/>
          <w:szCs w:val="24"/>
          <w:lang w:eastAsia="lv-LV"/>
        </w:rPr>
        <w:t xml:space="preserve"> atjaunot finanšu sektora stabilitāti, stiprināt publisko finanšu </w:t>
      </w:r>
      <w:r w:rsidRPr="008E3C46">
        <w:rPr>
          <w:rFonts w:eastAsia="Times New Roman" w:cs="Times New Roman"/>
          <w:szCs w:val="24"/>
          <w:lang w:eastAsia="lv-LV"/>
        </w:rPr>
        <w:lastRenderedPageBreak/>
        <w:t xml:space="preserve">ilgtspēju un veicināt strukturālo reformu īstenošanu ilgtspējīgas ekonomiskās izaugsmes nodrošināšanai. </w:t>
      </w:r>
      <w:r>
        <w:rPr>
          <w:rFonts w:eastAsia="Times New Roman" w:cs="Times New Roman"/>
          <w:szCs w:val="24"/>
          <w:lang w:eastAsia="lv-LV"/>
        </w:rPr>
        <w:t>K</w:t>
      </w:r>
      <w:r w:rsidRPr="00896C7F">
        <w:t>opēj</w:t>
      </w:r>
      <w:r>
        <w:t>ā</w:t>
      </w:r>
      <w:r w:rsidRPr="00896C7F">
        <w:t xml:space="preserve"> aizdevum</w:t>
      </w:r>
      <w:r>
        <w:t>a summa bija paredzēta</w:t>
      </w:r>
      <w:r w:rsidRPr="00896C7F">
        <w:t xml:space="preserve"> līdz </w:t>
      </w:r>
      <w:r>
        <w:t>9</w:t>
      </w:r>
      <w:r w:rsidRPr="00896C7F">
        <w:t xml:space="preserve"> </w:t>
      </w:r>
      <w:r>
        <w:rPr>
          <w:rFonts w:eastAsia="Times New Roman" w:cs="Times New Roman"/>
          <w:szCs w:val="24"/>
          <w:lang w:eastAsia="lv-LV"/>
        </w:rPr>
        <w:t>mljrd</w:t>
      </w:r>
      <w:r w:rsidR="00A4581D">
        <w:rPr>
          <w:rFonts w:eastAsia="Times New Roman" w:cs="Times New Roman"/>
          <w:szCs w:val="24"/>
          <w:lang w:eastAsia="lv-LV"/>
        </w:rPr>
        <w:t>.</w:t>
      </w:r>
      <w:r w:rsidRPr="00896C7F">
        <w:t xml:space="preserve"> </w:t>
      </w:r>
      <w:proofErr w:type="spellStart"/>
      <w:r w:rsidRPr="00896C7F">
        <w:rPr>
          <w:i/>
        </w:rPr>
        <w:t>euro</w:t>
      </w:r>
      <w:proofErr w:type="spellEnd"/>
      <w:r w:rsidRPr="00896C7F">
        <w:t xml:space="preserve">, </w:t>
      </w:r>
      <w:r w:rsidR="00260B26">
        <w:t>ieskaitot S</w:t>
      </w:r>
      <w:r w:rsidR="005A4F0B">
        <w:t xml:space="preserve">tarptautiskā </w:t>
      </w:r>
      <w:r w:rsidR="00260B26">
        <w:t>V</w:t>
      </w:r>
      <w:r w:rsidR="005A4F0B">
        <w:t>alūtas fonda</w:t>
      </w:r>
      <w:r w:rsidR="00260B26">
        <w:t xml:space="preserve"> sniegto atbalstu.</w:t>
      </w:r>
    </w:p>
    <w:p w14:paraId="076682C6" w14:textId="1C5B85CE" w:rsidR="00365FAB" w:rsidRDefault="00881652" w:rsidP="00F07ADA">
      <w:pPr>
        <w:ind w:firstLine="720"/>
        <w:jc w:val="both"/>
        <w:rPr>
          <w:rFonts w:eastAsia="Times New Roman" w:cs="Times New Roman"/>
          <w:szCs w:val="24"/>
          <w:lang w:eastAsia="lv-LV"/>
        </w:rPr>
      </w:pPr>
      <w:r>
        <w:rPr>
          <w:rFonts w:eastAsia="Times New Roman" w:cs="Times New Roman"/>
          <w:szCs w:val="24"/>
          <w:lang w:eastAsia="lv-LV"/>
        </w:rPr>
        <w:t>Kipra</w:t>
      </w:r>
      <w:r w:rsidR="00AF1364">
        <w:rPr>
          <w:rFonts w:eastAsia="Times New Roman" w:cs="Times New Roman"/>
          <w:szCs w:val="24"/>
          <w:lang w:eastAsia="lv-LV"/>
        </w:rPr>
        <w:t>s programma</w:t>
      </w:r>
      <w:r>
        <w:rPr>
          <w:rFonts w:eastAsia="Times New Roman" w:cs="Times New Roman"/>
          <w:szCs w:val="24"/>
          <w:lang w:eastAsia="lv-LV"/>
        </w:rPr>
        <w:t xml:space="preserve"> veiksmīgi </w:t>
      </w:r>
      <w:r w:rsidR="00AF1364">
        <w:rPr>
          <w:rFonts w:eastAsia="Times New Roman" w:cs="Times New Roman"/>
          <w:szCs w:val="24"/>
          <w:lang w:eastAsia="lv-LV"/>
        </w:rPr>
        <w:t>beidzās</w:t>
      </w:r>
      <w:r>
        <w:rPr>
          <w:rFonts w:eastAsia="Times New Roman" w:cs="Times New Roman"/>
          <w:szCs w:val="24"/>
          <w:lang w:eastAsia="lv-LV"/>
        </w:rPr>
        <w:t xml:space="preserve"> 2016.gada 31.martā, izmantojot tikai 70% no kopējās piešķirtās summas</w:t>
      </w:r>
      <w:r w:rsidR="002E2149">
        <w:rPr>
          <w:rFonts w:eastAsia="Times New Roman" w:cs="Times New Roman"/>
          <w:szCs w:val="24"/>
          <w:lang w:eastAsia="lv-LV"/>
        </w:rPr>
        <w:t xml:space="preserve"> (</w:t>
      </w:r>
      <w:r w:rsidR="002E2149" w:rsidRPr="002E2149">
        <w:rPr>
          <w:rFonts w:eastAsia="Times New Roman" w:cs="Times New Roman"/>
          <w:szCs w:val="24"/>
          <w:lang w:eastAsia="lv-LV"/>
        </w:rPr>
        <w:t xml:space="preserve">6,3 </w:t>
      </w:r>
      <w:r w:rsidR="00A4581D">
        <w:rPr>
          <w:rFonts w:eastAsia="Times New Roman" w:cs="Times New Roman"/>
          <w:szCs w:val="24"/>
          <w:lang w:eastAsia="lv-LV"/>
        </w:rPr>
        <w:t>mljrd.</w:t>
      </w:r>
      <w:r w:rsidR="00A4581D" w:rsidRPr="00896C7F">
        <w:t xml:space="preserve"> </w:t>
      </w:r>
      <w:proofErr w:type="spellStart"/>
      <w:r w:rsidR="002E2149" w:rsidRPr="002E2149">
        <w:rPr>
          <w:rFonts w:eastAsia="Times New Roman" w:cs="Times New Roman"/>
          <w:i/>
          <w:szCs w:val="24"/>
          <w:lang w:eastAsia="lv-LV"/>
        </w:rPr>
        <w:t>euro</w:t>
      </w:r>
      <w:proofErr w:type="spellEnd"/>
      <w:r w:rsidR="002E2149">
        <w:rPr>
          <w:rFonts w:eastAsia="Times New Roman" w:cs="Times New Roman"/>
          <w:szCs w:val="24"/>
          <w:lang w:eastAsia="lv-LV"/>
        </w:rPr>
        <w:t>)</w:t>
      </w:r>
      <w:r w:rsidRPr="008E3C46">
        <w:rPr>
          <w:rFonts w:eastAsia="Times New Roman" w:cs="Times New Roman"/>
          <w:szCs w:val="24"/>
          <w:lang w:eastAsia="lv-LV"/>
        </w:rPr>
        <w:t>.</w:t>
      </w:r>
      <w:r w:rsidR="00C302E9">
        <w:rPr>
          <w:rFonts w:eastAsia="Times New Roman" w:cs="Times New Roman"/>
          <w:szCs w:val="24"/>
          <w:lang w:eastAsia="lv-LV"/>
        </w:rPr>
        <w:t xml:space="preserve"> Piešķirtais finansējums tika izlietots f</w:t>
      </w:r>
      <w:r w:rsidR="00C302E9" w:rsidRPr="00C302E9">
        <w:rPr>
          <w:rFonts w:eastAsia="Times New Roman" w:cs="Times New Roman"/>
          <w:szCs w:val="24"/>
          <w:lang w:eastAsia="lv-LV"/>
        </w:rPr>
        <w:t>inanšu sektora stabilitātes atjaunošana</w:t>
      </w:r>
      <w:r w:rsidR="00E1433D">
        <w:rPr>
          <w:rFonts w:eastAsia="Times New Roman" w:cs="Times New Roman"/>
          <w:szCs w:val="24"/>
          <w:lang w:eastAsia="lv-LV"/>
        </w:rPr>
        <w:t>i</w:t>
      </w:r>
      <w:r w:rsidR="00C302E9" w:rsidRPr="00C302E9">
        <w:rPr>
          <w:rFonts w:eastAsia="Times New Roman" w:cs="Times New Roman"/>
          <w:szCs w:val="24"/>
          <w:lang w:eastAsia="lv-LV"/>
        </w:rPr>
        <w:t>, publisko finanšu ilgtspējas stiprināšana</w:t>
      </w:r>
      <w:r w:rsidR="00260B26">
        <w:rPr>
          <w:rFonts w:eastAsia="Times New Roman" w:cs="Times New Roman"/>
          <w:szCs w:val="24"/>
          <w:lang w:eastAsia="lv-LV"/>
        </w:rPr>
        <w:t>i</w:t>
      </w:r>
      <w:r w:rsidR="00C302E9">
        <w:rPr>
          <w:rFonts w:eastAsia="Times New Roman" w:cs="Times New Roman"/>
          <w:szCs w:val="24"/>
          <w:lang w:eastAsia="lv-LV"/>
        </w:rPr>
        <w:t xml:space="preserve">, </w:t>
      </w:r>
      <w:r w:rsidR="00C302E9" w:rsidRPr="00C302E9">
        <w:rPr>
          <w:rFonts w:eastAsia="Times New Roman" w:cs="Times New Roman"/>
          <w:szCs w:val="24"/>
          <w:lang w:eastAsia="lv-LV"/>
        </w:rPr>
        <w:t>strukturālo reformu veicināšana</w:t>
      </w:r>
      <w:r w:rsidR="00260B26">
        <w:rPr>
          <w:rFonts w:eastAsia="Times New Roman" w:cs="Times New Roman"/>
          <w:szCs w:val="24"/>
          <w:lang w:eastAsia="lv-LV"/>
        </w:rPr>
        <w:t>i</w:t>
      </w:r>
      <w:r w:rsidR="00C302E9">
        <w:rPr>
          <w:rFonts w:eastAsia="Times New Roman" w:cs="Times New Roman"/>
          <w:szCs w:val="24"/>
          <w:lang w:eastAsia="lv-LV"/>
        </w:rPr>
        <w:t xml:space="preserve">, kā arī banku </w:t>
      </w:r>
      <w:proofErr w:type="spellStart"/>
      <w:r w:rsidR="00C302E9">
        <w:rPr>
          <w:rFonts w:eastAsia="Times New Roman" w:cs="Times New Roman"/>
          <w:szCs w:val="24"/>
          <w:lang w:eastAsia="lv-LV"/>
        </w:rPr>
        <w:t>rekapitalizācijai</w:t>
      </w:r>
      <w:proofErr w:type="spellEnd"/>
      <w:r w:rsidR="00C302E9" w:rsidRPr="00C302E9">
        <w:rPr>
          <w:rFonts w:eastAsia="Times New Roman" w:cs="Times New Roman"/>
          <w:szCs w:val="24"/>
          <w:lang w:eastAsia="lv-LV"/>
        </w:rPr>
        <w:t>.</w:t>
      </w:r>
      <w:r w:rsidR="00E1433D">
        <w:rPr>
          <w:rFonts w:eastAsia="Times New Roman" w:cs="Times New Roman"/>
          <w:szCs w:val="24"/>
          <w:lang w:eastAsia="lv-LV"/>
        </w:rPr>
        <w:t xml:space="preserve"> </w:t>
      </w:r>
      <w:r w:rsidR="00365FAB">
        <w:rPr>
          <w:rFonts w:eastAsia="Times New Roman" w:cs="Times New Roman"/>
          <w:szCs w:val="24"/>
          <w:lang w:eastAsia="lv-LV"/>
        </w:rPr>
        <w:t>Izaugsme</w:t>
      </w:r>
      <w:r w:rsidR="005A4F0B">
        <w:rPr>
          <w:rFonts w:eastAsia="Times New Roman" w:cs="Times New Roman"/>
          <w:szCs w:val="24"/>
          <w:lang w:eastAsia="lv-LV"/>
        </w:rPr>
        <w:t>s</w:t>
      </w:r>
      <w:r w:rsidR="00365FAB">
        <w:rPr>
          <w:rFonts w:eastAsia="Times New Roman" w:cs="Times New Roman"/>
          <w:szCs w:val="24"/>
          <w:lang w:eastAsia="lv-LV"/>
        </w:rPr>
        <w:t xml:space="preserve"> un fiskālā</w:t>
      </w:r>
      <w:r w:rsidR="005A4F0B">
        <w:rPr>
          <w:rFonts w:eastAsia="Times New Roman" w:cs="Times New Roman"/>
          <w:szCs w:val="24"/>
          <w:lang w:eastAsia="lv-LV"/>
        </w:rPr>
        <w:t>s</w:t>
      </w:r>
      <w:r w:rsidR="00365FAB">
        <w:rPr>
          <w:rFonts w:eastAsia="Times New Roman" w:cs="Times New Roman"/>
          <w:szCs w:val="24"/>
          <w:lang w:eastAsia="lv-LV"/>
        </w:rPr>
        <w:t xml:space="preserve"> situācija</w:t>
      </w:r>
      <w:r w:rsidR="005A4F0B">
        <w:rPr>
          <w:rFonts w:eastAsia="Times New Roman" w:cs="Times New Roman"/>
          <w:szCs w:val="24"/>
          <w:lang w:eastAsia="lv-LV"/>
        </w:rPr>
        <w:t>s uzlabošanās</w:t>
      </w:r>
      <w:r w:rsidR="00365FAB">
        <w:rPr>
          <w:rFonts w:eastAsia="Times New Roman" w:cs="Times New Roman"/>
          <w:szCs w:val="24"/>
          <w:lang w:eastAsia="lv-LV"/>
        </w:rPr>
        <w:t xml:space="preserve"> palīdzēja Kiprai atgūt pieeju finanšu tirgiem un ļāva veiksmīgi </w:t>
      </w:r>
      <w:r w:rsidR="005A4F0B">
        <w:rPr>
          <w:rFonts w:eastAsia="Times New Roman" w:cs="Times New Roman"/>
          <w:szCs w:val="24"/>
          <w:lang w:eastAsia="lv-LV"/>
        </w:rPr>
        <w:t xml:space="preserve">noslēgt programmu </w:t>
      </w:r>
      <w:r w:rsidR="00365FAB">
        <w:rPr>
          <w:rFonts w:eastAsia="Times New Roman" w:cs="Times New Roman"/>
          <w:szCs w:val="24"/>
          <w:lang w:eastAsia="lv-LV"/>
        </w:rPr>
        <w:t>bez turpmā</w:t>
      </w:r>
      <w:r w:rsidR="00A31105">
        <w:rPr>
          <w:rFonts w:eastAsia="Times New Roman" w:cs="Times New Roman"/>
          <w:szCs w:val="24"/>
          <w:lang w:eastAsia="lv-LV"/>
        </w:rPr>
        <w:t>k</w:t>
      </w:r>
      <w:r w:rsidR="005A4F0B">
        <w:rPr>
          <w:rFonts w:eastAsia="Times New Roman" w:cs="Times New Roman"/>
          <w:szCs w:val="24"/>
          <w:lang w:eastAsia="lv-LV"/>
        </w:rPr>
        <w:t>iem piesardzības pasākumiem.</w:t>
      </w:r>
    </w:p>
    <w:p w14:paraId="7E28FC2F" w14:textId="0E4FCC52" w:rsidR="00480DB4" w:rsidRDefault="00480DB4" w:rsidP="00F07ADA">
      <w:pPr>
        <w:ind w:right="-1" w:firstLine="720"/>
        <w:jc w:val="both"/>
        <w:rPr>
          <w:rFonts w:eastAsia="Times New Roman" w:cs="Times New Roman"/>
          <w:szCs w:val="24"/>
          <w:lang w:eastAsia="lv-LV"/>
        </w:rPr>
      </w:pPr>
      <w:r w:rsidRPr="00283CD1">
        <w:rPr>
          <w:rFonts w:cs="Times New Roman"/>
          <w:szCs w:val="24"/>
        </w:rPr>
        <w:t>Pēc programmas noslēgšanas Kipra ir pakļauta pēc-programmas uzraudzībai, kura ilgs līdz brīdim, kad tiks atmaksāti 75%</w:t>
      </w:r>
      <w:r>
        <w:rPr>
          <w:rFonts w:cs="Times New Roman"/>
          <w:szCs w:val="24"/>
        </w:rPr>
        <w:t xml:space="preserve"> no izsniegtā aizdevumu apjoma.</w:t>
      </w:r>
    </w:p>
    <w:p w14:paraId="213BA843" w14:textId="426F5E15" w:rsidR="00480DB4" w:rsidRDefault="00644FFB" w:rsidP="00F07ADA">
      <w:pPr>
        <w:ind w:firstLine="720"/>
        <w:jc w:val="both"/>
        <w:rPr>
          <w:rFonts w:eastAsia="Times New Roman" w:cs="Times New Roman"/>
          <w:szCs w:val="24"/>
          <w:lang w:eastAsia="lv-LV"/>
        </w:rPr>
      </w:pPr>
      <w:r>
        <w:rPr>
          <w:rFonts w:eastAsia="Times New Roman" w:cs="Times New Roman"/>
          <w:szCs w:val="24"/>
          <w:lang w:eastAsia="lv-LV"/>
        </w:rPr>
        <w:t xml:space="preserve">Kipras </w:t>
      </w:r>
      <w:r w:rsidR="005A4F0B">
        <w:rPr>
          <w:rFonts w:eastAsia="Times New Roman" w:cs="Times New Roman"/>
          <w:szCs w:val="24"/>
          <w:lang w:eastAsia="lv-LV"/>
        </w:rPr>
        <w:t>ekonomika</w:t>
      </w:r>
      <w:r>
        <w:rPr>
          <w:rFonts w:eastAsia="Times New Roman" w:cs="Times New Roman"/>
          <w:szCs w:val="24"/>
          <w:lang w:eastAsia="lv-LV"/>
        </w:rPr>
        <w:t xml:space="preserve"> </w:t>
      </w:r>
      <w:r w:rsidR="00480DB4">
        <w:rPr>
          <w:rFonts w:eastAsia="Times New Roman" w:cs="Times New Roman"/>
          <w:szCs w:val="24"/>
          <w:lang w:eastAsia="lv-LV"/>
        </w:rPr>
        <w:t>jau trešo gadu piedzīvo ekonomisko izaugsmi</w:t>
      </w:r>
      <w:r w:rsidR="001643D0">
        <w:rPr>
          <w:rFonts w:eastAsia="Times New Roman" w:cs="Times New Roman"/>
          <w:szCs w:val="24"/>
          <w:lang w:eastAsia="lv-LV"/>
        </w:rPr>
        <w:t xml:space="preserve"> – 2017. gadā iekšzemes kopprodukts</w:t>
      </w:r>
      <w:r w:rsidR="006071D5">
        <w:rPr>
          <w:rFonts w:eastAsia="Times New Roman" w:cs="Times New Roman"/>
          <w:szCs w:val="24"/>
          <w:lang w:eastAsia="lv-LV"/>
        </w:rPr>
        <w:t xml:space="preserve"> (turpmāk - IKP)</w:t>
      </w:r>
      <w:r w:rsidR="001643D0">
        <w:rPr>
          <w:rFonts w:eastAsia="Times New Roman" w:cs="Times New Roman"/>
          <w:szCs w:val="24"/>
          <w:lang w:eastAsia="lv-LV"/>
        </w:rPr>
        <w:t xml:space="preserve"> pieauga par 3,9%</w:t>
      </w:r>
      <w:r w:rsidR="00480DB4">
        <w:rPr>
          <w:rFonts w:eastAsia="Times New Roman" w:cs="Times New Roman"/>
          <w:szCs w:val="24"/>
          <w:lang w:eastAsia="lv-LV"/>
        </w:rPr>
        <w:t xml:space="preserve">, pārspējot lielāko daļu </w:t>
      </w:r>
      <w:proofErr w:type="spellStart"/>
      <w:r w:rsidR="00480DB4" w:rsidRPr="00480DB4">
        <w:rPr>
          <w:rFonts w:eastAsia="Times New Roman" w:cs="Times New Roman"/>
          <w:i/>
          <w:szCs w:val="24"/>
          <w:lang w:eastAsia="lv-LV"/>
        </w:rPr>
        <w:t>euro</w:t>
      </w:r>
      <w:proofErr w:type="spellEnd"/>
      <w:r w:rsidR="00480DB4">
        <w:rPr>
          <w:rFonts w:eastAsia="Times New Roman" w:cs="Times New Roman"/>
          <w:szCs w:val="24"/>
          <w:lang w:eastAsia="lv-LV"/>
        </w:rPr>
        <w:t xml:space="preserve"> zonas. Kipras publiskās finanses ir uzlabojušās pateicoties tam, ka</w:t>
      </w:r>
      <w:r w:rsidR="00BC0754">
        <w:rPr>
          <w:rFonts w:eastAsia="Times New Roman" w:cs="Times New Roman"/>
          <w:szCs w:val="24"/>
          <w:lang w:eastAsia="lv-LV"/>
        </w:rPr>
        <w:t xml:space="preserve"> tiek</w:t>
      </w:r>
      <w:r w:rsidR="00480DB4">
        <w:rPr>
          <w:rFonts w:eastAsia="Times New Roman" w:cs="Times New Roman"/>
          <w:szCs w:val="24"/>
          <w:lang w:eastAsia="lv-LV"/>
        </w:rPr>
        <w:t xml:space="preserve"> ievēro</w:t>
      </w:r>
      <w:r w:rsidR="00BC0754">
        <w:rPr>
          <w:rFonts w:eastAsia="Times New Roman" w:cs="Times New Roman"/>
          <w:szCs w:val="24"/>
          <w:lang w:eastAsia="lv-LV"/>
        </w:rPr>
        <w:t>ta</w:t>
      </w:r>
      <w:r w:rsidR="00480DB4">
        <w:rPr>
          <w:rFonts w:eastAsia="Times New Roman" w:cs="Times New Roman"/>
          <w:szCs w:val="24"/>
          <w:lang w:eastAsia="lv-LV"/>
        </w:rPr>
        <w:t xml:space="preserve"> fiskāl</w:t>
      </w:r>
      <w:r w:rsidR="00BC0754">
        <w:rPr>
          <w:rFonts w:eastAsia="Times New Roman" w:cs="Times New Roman"/>
          <w:szCs w:val="24"/>
          <w:lang w:eastAsia="lv-LV"/>
        </w:rPr>
        <w:t>ā</w:t>
      </w:r>
      <w:r w:rsidR="00480DB4">
        <w:rPr>
          <w:rFonts w:eastAsia="Times New Roman" w:cs="Times New Roman"/>
          <w:szCs w:val="24"/>
          <w:lang w:eastAsia="lv-LV"/>
        </w:rPr>
        <w:t xml:space="preserve"> piesardzīb</w:t>
      </w:r>
      <w:r w:rsidR="00BC0754">
        <w:rPr>
          <w:rFonts w:eastAsia="Times New Roman" w:cs="Times New Roman"/>
          <w:szCs w:val="24"/>
          <w:lang w:eastAsia="lv-LV"/>
        </w:rPr>
        <w:t>a</w:t>
      </w:r>
      <w:r w:rsidR="00480DB4">
        <w:rPr>
          <w:rFonts w:eastAsia="Times New Roman" w:cs="Times New Roman"/>
          <w:szCs w:val="24"/>
          <w:lang w:eastAsia="lv-LV"/>
        </w:rPr>
        <w:t>, kā arī pateicoties labāk</w:t>
      </w:r>
      <w:r w:rsidR="00BC0754">
        <w:rPr>
          <w:rFonts w:eastAsia="Times New Roman" w:cs="Times New Roman"/>
          <w:szCs w:val="24"/>
          <w:lang w:eastAsia="lv-LV"/>
        </w:rPr>
        <w:t>ai</w:t>
      </w:r>
      <w:r w:rsidR="00480DB4">
        <w:rPr>
          <w:rFonts w:eastAsia="Times New Roman" w:cs="Times New Roman"/>
          <w:szCs w:val="24"/>
          <w:lang w:eastAsia="lv-LV"/>
        </w:rPr>
        <w:t xml:space="preserve"> kā plānots ekonomiskai izaugsmei. Tomēr Kipras bankām vēl arvien ir problēmas ar pārāk augstu ieņēmumus nenesošu kredītu l</w:t>
      </w:r>
      <w:r w:rsidR="00674437">
        <w:rPr>
          <w:rFonts w:eastAsia="Times New Roman" w:cs="Times New Roman"/>
          <w:szCs w:val="24"/>
          <w:lang w:eastAsia="lv-LV"/>
        </w:rPr>
        <w:t xml:space="preserve">īmeni (43%), lai arī tas ir krities. </w:t>
      </w:r>
      <w:r w:rsidR="00E23A92">
        <w:rPr>
          <w:rFonts w:eastAsia="Times New Roman" w:cs="Times New Roman"/>
          <w:szCs w:val="24"/>
          <w:lang w:eastAsia="lv-LV"/>
        </w:rPr>
        <w:t xml:space="preserve">Finanšu </w:t>
      </w:r>
      <w:r w:rsidR="00674437">
        <w:rPr>
          <w:rFonts w:eastAsia="Times New Roman" w:cs="Times New Roman"/>
          <w:szCs w:val="24"/>
          <w:lang w:eastAsia="lv-LV"/>
        </w:rPr>
        <w:t>sektors vēl arvien ir</w:t>
      </w:r>
      <w:r w:rsidR="006071D5">
        <w:rPr>
          <w:rFonts w:eastAsia="Times New Roman" w:cs="Times New Roman"/>
          <w:szCs w:val="24"/>
          <w:lang w:eastAsia="lv-LV"/>
        </w:rPr>
        <w:t xml:space="preserve"> nepietiekoši stiprs</w:t>
      </w:r>
      <w:r w:rsidR="00674437">
        <w:rPr>
          <w:rFonts w:eastAsia="Times New Roman" w:cs="Times New Roman"/>
          <w:szCs w:val="24"/>
          <w:lang w:eastAsia="lv-LV"/>
        </w:rPr>
        <w:t xml:space="preserve"> pret </w:t>
      </w:r>
      <w:r w:rsidR="006071D5">
        <w:rPr>
          <w:rFonts w:eastAsia="Times New Roman" w:cs="Times New Roman"/>
          <w:szCs w:val="24"/>
          <w:lang w:eastAsia="lv-LV"/>
        </w:rPr>
        <w:t xml:space="preserve">iespējamiem </w:t>
      </w:r>
      <w:r w:rsidR="00674437">
        <w:rPr>
          <w:rFonts w:eastAsia="Times New Roman" w:cs="Times New Roman"/>
          <w:szCs w:val="24"/>
          <w:lang w:eastAsia="lv-LV"/>
        </w:rPr>
        <w:t>šokiem.</w:t>
      </w:r>
      <w:r w:rsidR="00674437" w:rsidRPr="00674437">
        <w:rPr>
          <w:rFonts w:eastAsia="Times New Roman" w:cs="Times New Roman"/>
          <w:szCs w:val="24"/>
          <w:lang w:eastAsia="lv-LV"/>
        </w:rPr>
        <w:t xml:space="preserve"> </w:t>
      </w:r>
      <w:r w:rsidR="00674437">
        <w:rPr>
          <w:rFonts w:eastAsia="Times New Roman" w:cs="Times New Roman"/>
          <w:szCs w:val="24"/>
          <w:lang w:eastAsia="lv-LV"/>
        </w:rPr>
        <w:t xml:space="preserve">Nepieciešamā likumdošana, lai samazinātu ieņēmumus nenesošu kredītu </w:t>
      </w:r>
      <w:r w:rsidR="00674437" w:rsidRPr="00644FFB">
        <w:rPr>
          <w:rFonts w:eastAsia="Times New Roman" w:cs="Times New Roman"/>
          <w:szCs w:val="24"/>
          <w:lang w:eastAsia="lv-LV"/>
        </w:rPr>
        <w:t>īpatsvaru banku bilancēs</w:t>
      </w:r>
      <w:r w:rsidR="00674437">
        <w:rPr>
          <w:rFonts w:eastAsia="Times New Roman" w:cs="Times New Roman"/>
          <w:szCs w:val="24"/>
          <w:lang w:eastAsia="lv-LV"/>
        </w:rPr>
        <w:t>, ir stājusies spēkā un tiek ieviesta,</w:t>
      </w:r>
      <w:r w:rsidR="006071D5">
        <w:rPr>
          <w:rFonts w:eastAsia="Times New Roman" w:cs="Times New Roman"/>
          <w:szCs w:val="24"/>
          <w:lang w:eastAsia="lv-LV"/>
        </w:rPr>
        <w:t xml:space="preserve"> tomēr</w:t>
      </w:r>
      <w:r w:rsidR="00674437">
        <w:rPr>
          <w:rFonts w:eastAsia="Times New Roman" w:cs="Times New Roman"/>
          <w:szCs w:val="24"/>
          <w:lang w:eastAsia="lv-LV"/>
        </w:rPr>
        <w:t xml:space="preserve"> vēl arvien ir neefektīva un maz tiek pielietota. Kipras parāds ir samazinājies par 7,4% punktiem no IKP</w:t>
      </w:r>
      <w:r w:rsidR="00E23A92">
        <w:rPr>
          <w:rFonts w:eastAsia="Times New Roman" w:cs="Times New Roman"/>
          <w:szCs w:val="24"/>
          <w:lang w:eastAsia="lv-LV"/>
        </w:rPr>
        <w:t>, sasniedzot</w:t>
      </w:r>
      <w:r w:rsidR="00674437">
        <w:rPr>
          <w:rFonts w:eastAsia="Times New Roman" w:cs="Times New Roman"/>
          <w:szCs w:val="24"/>
          <w:lang w:eastAsia="lv-LV"/>
        </w:rPr>
        <w:t xml:space="preserve"> 100% no IKP.</w:t>
      </w:r>
    </w:p>
    <w:p w14:paraId="158F0E36" w14:textId="77777777" w:rsidR="00E874A7" w:rsidRDefault="00E874A7" w:rsidP="00F201D3">
      <w:pPr>
        <w:jc w:val="center"/>
        <w:rPr>
          <w:rFonts w:eastAsia="Times New Roman" w:cs="Times New Roman"/>
          <w:b/>
          <w:szCs w:val="24"/>
          <w:lang w:eastAsia="lv-LV"/>
        </w:rPr>
      </w:pPr>
    </w:p>
    <w:p w14:paraId="110A891E" w14:textId="314740D6" w:rsidR="00F201D3" w:rsidRPr="00896C7F" w:rsidRDefault="00A90717" w:rsidP="00F201D3">
      <w:pPr>
        <w:jc w:val="center"/>
        <w:rPr>
          <w:b/>
        </w:rPr>
      </w:pPr>
      <w:r w:rsidRPr="00896C7F">
        <w:rPr>
          <w:rFonts w:eastAsia="Times New Roman" w:cs="Times New Roman"/>
          <w:b/>
          <w:szCs w:val="24"/>
          <w:lang w:eastAsia="lv-LV"/>
        </w:rPr>
        <w:t>1.</w:t>
      </w:r>
      <w:r w:rsidR="00E4317A">
        <w:rPr>
          <w:rFonts w:eastAsia="Times New Roman" w:cs="Times New Roman"/>
          <w:b/>
          <w:szCs w:val="24"/>
          <w:lang w:eastAsia="lv-LV"/>
        </w:rPr>
        <w:t>2</w:t>
      </w:r>
      <w:r w:rsidR="00D43DE7" w:rsidRPr="00896C7F">
        <w:rPr>
          <w:rFonts w:eastAsia="Times New Roman" w:cs="Times New Roman"/>
          <w:b/>
          <w:szCs w:val="24"/>
          <w:lang w:eastAsia="lv-LV"/>
        </w:rPr>
        <w:t>. Finansiālās palīdzības programma Spānijai</w:t>
      </w:r>
    </w:p>
    <w:p w14:paraId="5C3AF8F2" w14:textId="32CDF9EF" w:rsidR="00593D13" w:rsidRPr="00884942" w:rsidRDefault="00D826B4" w:rsidP="004901FB">
      <w:pPr>
        <w:ind w:firstLine="720"/>
        <w:jc w:val="both"/>
      </w:pPr>
      <w:r w:rsidRPr="00884942">
        <w:t xml:space="preserve"> </w:t>
      </w:r>
    </w:p>
    <w:p w14:paraId="514EFB1C" w14:textId="7F124F39" w:rsidR="00D826B4" w:rsidRDefault="00D826B4" w:rsidP="00F07ADA">
      <w:pPr>
        <w:ind w:firstLine="720"/>
        <w:jc w:val="both"/>
        <w:rPr>
          <w:i/>
        </w:rPr>
      </w:pPr>
      <w:r>
        <w:t xml:space="preserve">Spānijas programma ilga no </w:t>
      </w:r>
      <w:r w:rsidRPr="00D2071E">
        <w:t>201</w:t>
      </w:r>
      <w:r>
        <w:t>2</w:t>
      </w:r>
      <w:r w:rsidRPr="00D2071E">
        <w:t xml:space="preserve">.gada </w:t>
      </w:r>
      <w:r>
        <w:t xml:space="preserve">23.jūlija līdz </w:t>
      </w:r>
      <w:r w:rsidR="008364B0" w:rsidRPr="008364B0">
        <w:t>2013.gada 31.dec</w:t>
      </w:r>
      <w:r w:rsidR="006A1A20">
        <w:t>em</w:t>
      </w:r>
      <w:r w:rsidR="008364B0" w:rsidRPr="008364B0">
        <w:t>br</w:t>
      </w:r>
      <w:r>
        <w:t>im</w:t>
      </w:r>
      <w:r w:rsidR="008364B0" w:rsidRPr="008364B0">
        <w:t>. Spānijas programmas mērķis bija atjaunot banku kapitāla pietiekamību atbilstoši prasībām un izveidot ietvaru problemātisko aktīvu pārvaldībai, kā arī ievērojami uzlabot banku pārraudzību un regulējumu.</w:t>
      </w:r>
      <w:r w:rsidR="009C2FBF">
        <w:t xml:space="preserve"> </w:t>
      </w:r>
      <w:r w:rsidRPr="00DE3F13">
        <w:t xml:space="preserve">Kopējais palīdzības apjoms bija paredzēts 100 </w:t>
      </w:r>
      <w:r w:rsidR="00794FDC" w:rsidRPr="00996800">
        <w:t xml:space="preserve">mljrd. </w:t>
      </w:r>
      <w:proofErr w:type="spellStart"/>
      <w:r w:rsidRPr="00DE3F13">
        <w:rPr>
          <w:i/>
        </w:rPr>
        <w:t>euro</w:t>
      </w:r>
      <w:proofErr w:type="spellEnd"/>
      <w:r w:rsidRPr="00DE3F13">
        <w:t xml:space="preserve"> apmērā</w:t>
      </w:r>
      <w:r>
        <w:t xml:space="preserve">. Kopumā Spānijai izmaksāja 41,33 </w:t>
      </w:r>
      <w:r w:rsidR="00794FDC" w:rsidRPr="00996800">
        <w:t xml:space="preserve">mljrd. </w:t>
      </w:r>
      <w:proofErr w:type="spellStart"/>
      <w:r>
        <w:rPr>
          <w:i/>
        </w:rPr>
        <w:t>euro</w:t>
      </w:r>
      <w:proofErr w:type="spellEnd"/>
      <w:r>
        <w:rPr>
          <w:i/>
        </w:rPr>
        <w:t>.</w:t>
      </w:r>
      <w:r w:rsidR="00794FDC">
        <w:rPr>
          <w:i/>
        </w:rPr>
        <w:t xml:space="preserve"> </w:t>
      </w:r>
    </w:p>
    <w:p w14:paraId="7770E44C" w14:textId="50A00A99" w:rsidR="009C2FBF" w:rsidRDefault="00D64B72" w:rsidP="00F07ADA">
      <w:pPr>
        <w:ind w:firstLine="720"/>
        <w:jc w:val="both"/>
      </w:pPr>
      <w:r>
        <w:t>Spānijas p</w:t>
      </w:r>
      <w:r w:rsidRPr="008364B0">
        <w:t xml:space="preserve">rogrammas ietvaros ar ESM finanšu institūciju </w:t>
      </w:r>
      <w:proofErr w:type="spellStart"/>
      <w:r w:rsidRPr="008364B0">
        <w:t>rekapitalizācijas</w:t>
      </w:r>
      <w:proofErr w:type="spellEnd"/>
      <w:r w:rsidRPr="008364B0">
        <w:t xml:space="preserve"> instrumenta palīdzību tika </w:t>
      </w:r>
      <w:proofErr w:type="spellStart"/>
      <w:r w:rsidRPr="008364B0">
        <w:t>rekapitalizētas</w:t>
      </w:r>
      <w:proofErr w:type="spellEnd"/>
      <w:r w:rsidRPr="008364B0">
        <w:t xml:space="preserve"> un restrukturizētas Spānijas problemātiskās bankas.</w:t>
      </w:r>
      <w:r>
        <w:t xml:space="preserve"> </w:t>
      </w:r>
      <w:r w:rsidR="00463107">
        <w:t>Palīdzība</w:t>
      </w:r>
      <w:r w:rsidR="009C2FBF" w:rsidRPr="00DE3F13">
        <w:t xml:space="preserve"> tika </w:t>
      </w:r>
      <w:r w:rsidR="00794FDC">
        <w:t>sniegta</w:t>
      </w:r>
      <w:r w:rsidR="009C2FBF" w:rsidRPr="00DE3F13">
        <w:t xml:space="preserve"> Spānijas rīcībā nododot ESM emitētus vērtspapīrus, kas tika tālāk nodoti Spānijas Nacionālās bankas rīcībā, kura tos pārskaitīja Banku restrukturizācijas fondam. </w:t>
      </w:r>
      <w:r w:rsidR="00463107">
        <w:t>Minētais</w:t>
      </w:r>
      <w:r w:rsidR="009C2FBF" w:rsidRPr="00DE3F13">
        <w:t xml:space="preserve"> fonds savukārt izmantoja dotos finanšu līdzekļus </w:t>
      </w:r>
      <w:r w:rsidR="00463107">
        <w:t>četru</w:t>
      </w:r>
      <w:r w:rsidR="009C2FBF" w:rsidRPr="00DE3F13">
        <w:t xml:space="preserve"> finanšu institūciju </w:t>
      </w:r>
      <w:proofErr w:type="spellStart"/>
      <w:r w:rsidR="009C2FBF" w:rsidRPr="00DE3F13">
        <w:t>rekapitalizācijai</w:t>
      </w:r>
      <w:proofErr w:type="spellEnd"/>
      <w:r w:rsidR="009C2FBF" w:rsidRPr="00DE3F13">
        <w:t xml:space="preserve">, kā arī Spānijas aktīvu pārvaldības sabiedrības </w:t>
      </w:r>
      <w:r w:rsidR="009C2FBF">
        <w:rPr>
          <w:rFonts w:cs="Times New Roman"/>
          <w:szCs w:val="24"/>
        </w:rPr>
        <w:t xml:space="preserve">SAREB </w:t>
      </w:r>
      <w:r w:rsidR="009C2FBF" w:rsidRPr="00DE3F13">
        <w:t>vajadzībām.</w:t>
      </w:r>
      <w:r w:rsidR="00463107">
        <w:t xml:space="preserve"> Vēlāk nākamā maksājuma</w:t>
      </w:r>
      <w:r w:rsidR="009C2FBF" w:rsidRPr="00DE3F13">
        <w:t xml:space="preserve"> </w:t>
      </w:r>
      <w:r w:rsidR="00463107">
        <w:t>l</w:t>
      </w:r>
      <w:r w:rsidR="009C2FBF">
        <w:t xml:space="preserve">īdzekļi tika izlietoti, lai </w:t>
      </w:r>
      <w:proofErr w:type="spellStart"/>
      <w:r w:rsidR="009C2FBF">
        <w:t>rekapitalizētu</w:t>
      </w:r>
      <w:proofErr w:type="spellEnd"/>
      <w:r w:rsidR="009C2FBF">
        <w:t xml:space="preserve"> papildus </w:t>
      </w:r>
      <w:r w:rsidR="00463107">
        <w:t>četras</w:t>
      </w:r>
      <w:r w:rsidR="009C2FBF">
        <w:t xml:space="preserve"> Spānijas bankas.</w:t>
      </w:r>
    </w:p>
    <w:p w14:paraId="794DAE1F" w14:textId="2391C440" w:rsidR="009C2FBF" w:rsidRPr="009C2FBF" w:rsidRDefault="009C2FBF" w:rsidP="00F07ADA">
      <w:pPr>
        <w:ind w:firstLine="720"/>
        <w:jc w:val="both"/>
        <w:rPr>
          <w:i/>
        </w:rPr>
      </w:pPr>
      <w:r w:rsidRPr="00996800">
        <w:t xml:space="preserve">Ņemot vērā veiksmīgo </w:t>
      </w:r>
      <w:proofErr w:type="spellStart"/>
      <w:r w:rsidRPr="00996800">
        <w:rPr>
          <w:i/>
        </w:rPr>
        <w:t>Bankia</w:t>
      </w:r>
      <w:proofErr w:type="spellEnd"/>
      <w:r w:rsidRPr="00996800">
        <w:rPr>
          <w:i/>
        </w:rPr>
        <w:t xml:space="preserve"> </w:t>
      </w:r>
      <w:r w:rsidRPr="00996800">
        <w:t>akciju pārdošanu, Spānija 2014.gada jūnijā izteica piedāvājumu samazināt tās neizlietoto</w:t>
      </w:r>
      <w:r w:rsidR="00D3626F">
        <w:t>s</w:t>
      </w:r>
      <w:r w:rsidRPr="00996800">
        <w:t xml:space="preserve"> ESM aizdevuma finanšu līdzekļus 1,3 mljrd. </w:t>
      </w:r>
      <w:proofErr w:type="spellStart"/>
      <w:r w:rsidRPr="00996800">
        <w:rPr>
          <w:i/>
        </w:rPr>
        <w:t>euro</w:t>
      </w:r>
      <w:proofErr w:type="spellEnd"/>
      <w:r w:rsidRPr="00996800">
        <w:rPr>
          <w:i/>
        </w:rPr>
        <w:t xml:space="preserve"> </w:t>
      </w:r>
      <w:r w:rsidRPr="00996800">
        <w:t xml:space="preserve">apmērā. </w:t>
      </w:r>
      <w:r>
        <w:t>Šajā sakarā</w:t>
      </w:r>
      <w:r w:rsidRPr="00996800">
        <w:t xml:space="preserve"> </w:t>
      </w:r>
      <w:r>
        <w:t xml:space="preserve">2014.gada </w:t>
      </w:r>
      <w:r w:rsidRPr="00996800">
        <w:t xml:space="preserve">7.jūnijā ESM Direktoru padome apstiprināja Spānijas priekšlikumu, kā rezultātā pirmo reizi ESM programmas valsts veica priekšlaicīgu aizdevuma daļas atmaksu, dodot finanšu tirgos pozitīvu signālu par Spānijas programmas veiksmīgo īstenošanu. </w:t>
      </w:r>
      <w:r>
        <w:t xml:space="preserve">Kopumā </w:t>
      </w:r>
      <w:r w:rsidRPr="00996800">
        <w:t xml:space="preserve">Spānija </w:t>
      </w:r>
      <w:r>
        <w:t>ir veikusi</w:t>
      </w:r>
      <w:r w:rsidRPr="00996800">
        <w:t xml:space="preserve"> </w:t>
      </w:r>
      <w:r w:rsidR="00674437">
        <w:t>astoņas</w:t>
      </w:r>
      <w:r>
        <w:t xml:space="preserve"> </w:t>
      </w:r>
      <w:r w:rsidRPr="00996800">
        <w:t>priekšlaicīg</w:t>
      </w:r>
      <w:r>
        <w:t>as</w:t>
      </w:r>
      <w:r w:rsidRPr="00996800">
        <w:t xml:space="preserve"> </w:t>
      </w:r>
      <w:r w:rsidR="00674437">
        <w:t xml:space="preserve">un vienu kārtējo </w:t>
      </w:r>
      <w:r w:rsidRPr="00996800">
        <w:t>aizdevuma daļas atmaks</w:t>
      </w:r>
      <w:r>
        <w:t>as</w:t>
      </w:r>
      <w:r w:rsidRPr="00996800">
        <w:t xml:space="preserve"> </w:t>
      </w:r>
      <w:r w:rsidR="00674437">
        <w:t>14</w:t>
      </w:r>
      <w:r>
        <w:t>,</w:t>
      </w:r>
      <w:r w:rsidRPr="005B1B7A">
        <w:t>612</w:t>
      </w:r>
      <w:r>
        <w:t xml:space="preserve"> </w:t>
      </w:r>
      <w:r w:rsidR="00A4581D">
        <w:rPr>
          <w:rFonts w:eastAsia="Times New Roman" w:cs="Times New Roman"/>
          <w:szCs w:val="24"/>
          <w:lang w:eastAsia="lv-LV"/>
        </w:rPr>
        <w:t>mljrd.</w:t>
      </w:r>
      <w:r w:rsidR="00A4581D" w:rsidRPr="00896C7F">
        <w:t xml:space="preserve"> </w:t>
      </w:r>
      <w:proofErr w:type="spellStart"/>
      <w:r w:rsidRPr="00996800">
        <w:rPr>
          <w:i/>
        </w:rPr>
        <w:t>euro</w:t>
      </w:r>
      <w:proofErr w:type="spellEnd"/>
      <w:r w:rsidRPr="00996800">
        <w:t xml:space="preserve"> vērtībā</w:t>
      </w:r>
      <w:r w:rsidR="00463107">
        <w:t xml:space="preserve"> (t.sk. 201</w:t>
      </w:r>
      <w:r w:rsidR="00674437">
        <w:t>8</w:t>
      </w:r>
      <w:r w:rsidR="00463107">
        <w:t>.gada jūnijā)</w:t>
      </w:r>
      <w:r w:rsidRPr="00996800">
        <w:t>.</w:t>
      </w:r>
    </w:p>
    <w:p w14:paraId="50ACEF29" w14:textId="561C052E" w:rsidR="00B1766B" w:rsidRDefault="008364B0" w:rsidP="00F07ADA">
      <w:pPr>
        <w:ind w:firstLine="720"/>
        <w:jc w:val="both"/>
        <w:rPr>
          <w:rFonts w:cs="Times New Roman"/>
          <w:szCs w:val="24"/>
        </w:rPr>
      </w:pPr>
      <w:r w:rsidRPr="008364B0">
        <w:t xml:space="preserve">Kopš Spānijas programma </w:t>
      </w:r>
      <w:r w:rsidR="00413851">
        <w:t>noslēgšanās</w:t>
      </w:r>
      <w:r w:rsidR="002E12CB">
        <w:t xml:space="preserve"> </w:t>
      </w:r>
      <w:r w:rsidRPr="008364B0">
        <w:t>ir uzsākts pēc</w:t>
      </w:r>
      <w:r w:rsidR="00101D4E">
        <w:t>-</w:t>
      </w:r>
      <w:r w:rsidRPr="008364B0">
        <w:t>programmas uzraudzība</w:t>
      </w:r>
      <w:r w:rsidR="00D12948">
        <w:t>s posms.</w:t>
      </w:r>
      <w:r w:rsidR="00783B9C">
        <w:t xml:space="preserve"> </w:t>
      </w:r>
      <w:r w:rsidR="00365FAB">
        <w:t>Kopumā 201</w:t>
      </w:r>
      <w:r w:rsidR="00783B9C">
        <w:t>7</w:t>
      </w:r>
      <w:r w:rsidR="00365FAB">
        <w:t>.gadā</w:t>
      </w:r>
      <w:r w:rsidR="0000092A">
        <w:t xml:space="preserve"> Spānijas</w:t>
      </w:r>
      <w:r w:rsidR="00365FAB">
        <w:t xml:space="preserve"> izaugsme sasniedz</w:t>
      </w:r>
      <w:r w:rsidR="00A31105">
        <w:t>a</w:t>
      </w:r>
      <w:r w:rsidR="00365FAB">
        <w:t xml:space="preserve"> 3,</w:t>
      </w:r>
      <w:r w:rsidR="00783B9C">
        <w:t>1</w:t>
      </w:r>
      <w:r w:rsidR="00365FAB">
        <w:t>%</w:t>
      </w:r>
      <w:r w:rsidR="002764F1">
        <w:t xml:space="preserve">, </w:t>
      </w:r>
      <w:r w:rsidR="00783B9C">
        <w:t>tuvu kā</w:t>
      </w:r>
      <w:r w:rsidR="002764F1">
        <w:t xml:space="preserve"> </w:t>
      </w:r>
      <w:r w:rsidR="00783B9C">
        <w:t>iepriekšējos gados</w:t>
      </w:r>
      <w:r w:rsidR="00B1766B">
        <w:t>. V</w:t>
      </w:r>
      <w:r w:rsidR="00B1766B" w:rsidRPr="00B1766B">
        <w:t>alsts budžeta deficīts 201</w:t>
      </w:r>
      <w:r w:rsidR="00783B9C">
        <w:t>7</w:t>
      </w:r>
      <w:r w:rsidR="00B1766B" w:rsidRPr="00B1766B">
        <w:t xml:space="preserve">.gadā </w:t>
      </w:r>
      <w:r w:rsidR="00783B9C">
        <w:t>samazinājās līdz</w:t>
      </w:r>
      <w:r w:rsidR="00B1766B" w:rsidRPr="00B1766B">
        <w:t xml:space="preserve"> </w:t>
      </w:r>
      <w:r w:rsidR="00783B9C">
        <w:t>3</w:t>
      </w:r>
      <w:r w:rsidR="00B1766B" w:rsidRPr="00B1766B">
        <w:t>,</w:t>
      </w:r>
      <w:r w:rsidR="00783B9C">
        <w:t>1% no IKP, pateicoties pozitīvai ekonomiskai izaugsmei un izdevumu ierobežošanai. Savukārt valsts parāds nedaudz samazinājās līdz 98,3% no IKP.</w:t>
      </w:r>
      <w:r w:rsidR="00630DCC">
        <w:t xml:space="preserve"> Ņ</w:t>
      </w:r>
      <w:r w:rsidR="00783B9C">
        <w:rPr>
          <w:rFonts w:cs="Times New Roman"/>
          <w:szCs w:val="24"/>
        </w:rPr>
        <w:t xml:space="preserve">emot vērā augsto valsts parādu, fiskālā stratēģija un stipra reformu ieviešana ir svarīgākie aspekti, lai </w:t>
      </w:r>
      <w:r w:rsidR="006071D5">
        <w:rPr>
          <w:rFonts w:cs="Times New Roman"/>
          <w:szCs w:val="24"/>
        </w:rPr>
        <w:t xml:space="preserve">stiprinātu </w:t>
      </w:r>
      <w:r w:rsidR="00783B9C">
        <w:rPr>
          <w:rFonts w:cs="Times New Roman"/>
          <w:szCs w:val="24"/>
        </w:rPr>
        <w:t xml:space="preserve">valsts </w:t>
      </w:r>
      <w:r w:rsidR="006071D5">
        <w:rPr>
          <w:rFonts w:cs="Times New Roman"/>
          <w:szCs w:val="24"/>
        </w:rPr>
        <w:t xml:space="preserve">noturību </w:t>
      </w:r>
      <w:r w:rsidR="00783B9C">
        <w:rPr>
          <w:rFonts w:cs="Times New Roman"/>
          <w:szCs w:val="24"/>
        </w:rPr>
        <w:t>pret nelabvēlīgiem šokiem.</w:t>
      </w:r>
    </w:p>
    <w:p w14:paraId="43ED70D0" w14:textId="7A2ECC05" w:rsidR="00783B9C" w:rsidRDefault="00783B9C" w:rsidP="0080654E">
      <w:pPr>
        <w:spacing w:after="120"/>
        <w:ind w:firstLine="720"/>
        <w:jc w:val="both"/>
        <w:rPr>
          <w:rFonts w:cs="Times New Roman"/>
          <w:szCs w:val="24"/>
        </w:rPr>
      </w:pPr>
    </w:p>
    <w:p w14:paraId="7055C7B6" w14:textId="77777777" w:rsidR="00392FC8" w:rsidRDefault="00392FC8" w:rsidP="0080654E">
      <w:pPr>
        <w:spacing w:after="120"/>
        <w:ind w:firstLine="720"/>
        <w:jc w:val="both"/>
        <w:rPr>
          <w:rFonts w:cs="Times New Roman"/>
          <w:szCs w:val="24"/>
        </w:rPr>
      </w:pPr>
    </w:p>
    <w:p w14:paraId="46D24244" w14:textId="685A9C20" w:rsidR="002239E0" w:rsidRPr="0080654E" w:rsidRDefault="002239E0" w:rsidP="002239E0">
      <w:pPr>
        <w:jc w:val="center"/>
        <w:rPr>
          <w:rFonts w:eastAsia="Times New Roman" w:cs="Times New Roman"/>
          <w:b/>
          <w:color w:val="000000" w:themeColor="text1"/>
          <w:szCs w:val="24"/>
          <w:lang w:eastAsia="lv-LV"/>
        </w:rPr>
      </w:pPr>
      <w:r w:rsidRPr="0080654E">
        <w:rPr>
          <w:rFonts w:eastAsia="Times New Roman" w:cs="Times New Roman"/>
          <w:b/>
          <w:color w:val="000000" w:themeColor="text1"/>
          <w:szCs w:val="24"/>
          <w:lang w:eastAsia="lv-LV"/>
        </w:rPr>
        <w:lastRenderedPageBreak/>
        <w:t>1</w:t>
      </w:r>
      <w:r w:rsidR="00042954" w:rsidRPr="0080654E">
        <w:rPr>
          <w:rFonts w:eastAsia="Times New Roman" w:cs="Times New Roman"/>
          <w:b/>
          <w:color w:val="000000" w:themeColor="text1"/>
          <w:szCs w:val="24"/>
          <w:lang w:eastAsia="lv-LV"/>
        </w:rPr>
        <w:t>.</w:t>
      </w:r>
      <w:r w:rsidR="00E4317A" w:rsidRPr="0080654E">
        <w:rPr>
          <w:rFonts w:eastAsia="Times New Roman" w:cs="Times New Roman"/>
          <w:b/>
          <w:color w:val="000000" w:themeColor="text1"/>
          <w:szCs w:val="24"/>
          <w:lang w:eastAsia="lv-LV"/>
        </w:rPr>
        <w:t>3</w:t>
      </w:r>
      <w:r w:rsidRPr="0080654E">
        <w:rPr>
          <w:rFonts w:eastAsia="Times New Roman" w:cs="Times New Roman"/>
          <w:b/>
          <w:color w:val="000000" w:themeColor="text1"/>
          <w:szCs w:val="24"/>
          <w:lang w:eastAsia="lv-LV"/>
        </w:rPr>
        <w:t>. Finansiālās palīdzības programma Grieķijai</w:t>
      </w:r>
    </w:p>
    <w:p w14:paraId="0B44F8A2" w14:textId="77777777" w:rsidR="002239E0" w:rsidRPr="002239E0" w:rsidRDefault="002239E0" w:rsidP="002239E0">
      <w:pPr>
        <w:spacing w:after="120"/>
        <w:ind w:firstLine="720"/>
        <w:jc w:val="both"/>
        <w:rPr>
          <w:rFonts w:eastAsia="Times New Roman" w:cs="Calibri"/>
          <w:color w:val="000000" w:themeColor="text1"/>
          <w:szCs w:val="24"/>
          <w:lang w:eastAsia="en-GB"/>
        </w:rPr>
      </w:pPr>
    </w:p>
    <w:p w14:paraId="5980ED40" w14:textId="2B74B6BF" w:rsidR="002239E0" w:rsidRPr="002239E0" w:rsidRDefault="002239E0" w:rsidP="00F07ADA">
      <w:pPr>
        <w:ind w:firstLine="600"/>
        <w:jc w:val="both"/>
        <w:rPr>
          <w:rFonts w:eastAsia="Times New Roman" w:cs="Times New Roman"/>
          <w:kern w:val="24"/>
          <w:szCs w:val="24"/>
        </w:rPr>
      </w:pPr>
      <w:r w:rsidRPr="002239E0">
        <w:rPr>
          <w:rFonts w:eastAsia="Calibri" w:cs="Times New Roman"/>
          <w:kern w:val="24"/>
          <w:szCs w:val="24"/>
        </w:rPr>
        <w:t>2015.gada 19.augustā ESM</w:t>
      </w:r>
      <w:r w:rsidRPr="002239E0">
        <w:rPr>
          <w:rFonts w:ascii="Garamond" w:eastAsia="Calibri" w:hAnsi="Garamond" w:cs="Times New Roman"/>
          <w:kern w:val="24"/>
          <w:szCs w:val="24"/>
        </w:rPr>
        <w:t xml:space="preserve"> </w:t>
      </w:r>
      <w:r w:rsidRPr="002239E0">
        <w:rPr>
          <w:rFonts w:eastAsia="Calibri" w:cs="Times New Roman"/>
          <w:kern w:val="24"/>
          <w:szCs w:val="24"/>
        </w:rPr>
        <w:t xml:space="preserve">Valde lēma par aizdevumu Grieķijai un </w:t>
      </w:r>
      <w:r w:rsidR="00AA47E4">
        <w:rPr>
          <w:rFonts w:eastAsia="Calibri" w:cs="Times New Roman"/>
          <w:kern w:val="24"/>
          <w:szCs w:val="24"/>
        </w:rPr>
        <w:t>piešķīr</w:t>
      </w:r>
      <w:r w:rsidRPr="002239E0">
        <w:rPr>
          <w:rFonts w:eastAsia="Calibri" w:cs="Times New Roman"/>
          <w:kern w:val="24"/>
          <w:szCs w:val="24"/>
        </w:rPr>
        <w:t>a finansiāl</w:t>
      </w:r>
      <w:r w:rsidR="00AA47E4">
        <w:rPr>
          <w:rFonts w:eastAsia="Calibri" w:cs="Times New Roman"/>
          <w:kern w:val="24"/>
          <w:szCs w:val="24"/>
        </w:rPr>
        <w:t>o</w:t>
      </w:r>
      <w:r w:rsidRPr="002239E0">
        <w:rPr>
          <w:rFonts w:eastAsia="Calibri" w:cs="Times New Roman"/>
          <w:kern w:val="24"/>
          <w:szCs w:val="24"/>
        </w:rPr>
        <w:t xml:space="preserve"> palīdzīb</w:t>
      </w:r>
      <w:r w:rsidR="00AA47E4">
        <w:rPr>
          <w:rFonts w:eastAsia="Calibri" w:cs="Times New Roman"/>
          <w:kern w:val="24"/>
          <w:szCs w:val="24"/>
        </w:rPr>
        <w:t>u</w:t>
      </w:r>
      <w:r w:rsidRPr="002239E0">
        <w:rPr>
          <w:rFonts w:eastAsia="Calibri" w:cs="Times New Roman"/>
          <w:kern w:val="24"/>
          <w:szCs w:val="24"/>
        </w:rPr>
        <w:t xml:space="preserve"> uz trīs gadiem </w:t>
      </w:r>
      <w:r w:rsidRPr="002239E0">
        <w:rPr>
          <w:rFonts w:eastAsia="Times New Roman" w:cs="Times New Roman"/>
          <w:kern w:val="24"/>
          <w:szCs w:val="24"/>
        </w:rPr>
        <w:t xml:space="preserve">86 </w:t>
      </w:r>
      <w:r w:rsidR="00B04672">
        <w:rPr>
          <w:rFonts w:eastAsia="Times New Roman" w:cs="Times New Roman"/>
          <w:bCs/>
          <w:iCs/>
          <w:kern w:val="24"/>
          <w:szCs w:val="24"/>
        </w:rPr>
        <w:t>m</w:t>
      </w:r>
      <w:r w:rsidR="00955B5B" w:rsidRPr="002239E0">
        <w:rPr>
          <w:rFonts w:eastAsia="Times New Roman" w:cs="Times New Roman"/>
          <w:bCs/>
          <w:iCs/>
          <w:kern w:val="24"/>
          <w:szCs w:val="24"/>
        </w:rPr>
        <w:t>lj</w:t>
      </w:r>
      <w:r w:rsidR="00955B5B">
        <w:rPr>
          <w:rFonts w:eastAsia="Times New Roman" w:cs="Times New Roman"/>
          <w:bCs/>
          <w:iCs/>
          <w:kern w:val="24"/>
          <w:szCs w:val="24"/>
        </w:rPr>
        <w:t>rd.</w:t>
      </w:r>
      <w:r w:rsidR="00955B5B" w:rsidRPr="002239E0">
        <w:rPr>
          <w:rFonts w:eastAsia="Times New Roman" w:cs="Times New Roman"/>
          <w:bCs/>
          <w:iCs/>
          <w:kern w:val="24"/>
          <w:szCs w:val="24"/>
        </w:rPr>
        <w:t xml:space="preserve"> </w:t>
      </w:r>
      <w:proofErr w:type="spellStart"/>
      <w:r w:rsidRPr="002239E0">
        <w:rPr>
          <w:rFonts w:eastAsia="Times New Roman" w:cs="Times New Roman"/>
          <w:bCs/>
          <w:i/>
          <w:iCs/>
          <w:kern w:val="24"/>
          <w:szCs w:val="24"/>
        </w:rPr>
        <w:t>euro</w:t>
      </w:r>
      <w:proofErr w:type="spellEnd"/>
      <w:r w:rsidR="00527C4A">
        <w:rPr>
          <w:rFonts w:eastAsia="Times New Roman" w:cs="Times New Roman"/>
          <w:bCs/>
          <w:i/>
          <w:iCs/>
          <w:kern w:val="24"/>
          <w:szCs w:val="24"/>
        </w:rPr>
        <w:t xml:space="preserve"> </w:t>
      </w:r>
      <w:r w:rsidR="00527C4A" w:rsidRPr="00F07ADA">
        <w:rPr>
          <w:rFonts w:eastAsia="Times New Roman" w:cs="Times New Roman"/>
          <w:bCs/>
          <w:iCs/>
          <w:kern w:val="24"/>
          <w:szCs w:val="24"/>
        </w:rPr>
        <w:t>apmērā</w:t>
      </w:r>
      <w:r w:rsidRPr="002239E0">
        <w:rPr>
          <w:rFonts w:eastAsia="Times New Roman" w:cs="Times New Roman"/>
          <w:bCs/>
          <w:iCs/>
          <w:kern w:val="24"/>
          <w:szCs w:val="24"/>
        </w:rPr>
        <w:t>, noslēdzot</w:t>
      </w:r>
      <w:r w:rsidRPr="002239E0">
        <w:rPr>
          <w:rFonts w:eastAsia="Times New Roman" w:cs="Times New Roman"/>
          <w:kern w:val="24"/>
          <w:szCs w:val="24"/>
        </w:rPr>
        <w:t xml:space="preserve"> Saprašanās memorandu starp Eiropas Komisiju</w:t>
      </w:r>
      <w:r w:rsidR="006A623C">
        <w:rPr>
          <w:rFonts w:eastAsia="Times New Roman" w:cs="Times New Roman"/>
          <w:kern w:val="24"/>
          <w:szCs w:val="24"/>
        </w:rPr>
        <w:t xml:space="preserve"> ESM vārdā, </w:t>
      </w:r>
      <w:r w:rsidRPr="002239E0">
        <w:rPr>
          <w:rFonts w:eastAsia="Times New Roman" w:cs="Times New Roman"/>
          <w:kern w:val="24"/>
          <w:szCs w:val="24"/>
        </w:rPr>
        <w:t>Grieķijas Republiku un Grieķijas Banku.</w:t>
      </w:r>
    </w:p>
    <w:p w14:paraId="67629543" w14:textId="2E1B9337" w:rsidR="002239E0" w:rsidRDefault="00D92A93" w:rsidP="00F07ADA">
      <w:pPr>
        <w:ind w:firstLine="600"/>
        <w:jc w:val="both"/>
        <w:rPr>
          <w:rFonts w:eastAsia="Times New Roman" w:cs="Times New Roman"/>
          <w:kern w:val="24"/>
          <w:szCs w:val="24"/>
        </w:rPr>
      </w:pPr>
      <w:r>
        <w:rPr>
          <w:rFonts w:eastAsia="Times New Roman" w:cs="Times New Roman"/>
          <w:kern w:val="24"/>
          <w:szCs w:val="24"/>
        </w:rPr>
        <w:t>Programmas mērķis ir ieviest</w:t>
      </w:r>
      <w:r w:rsidR="002239E0" w:rsidRPr="002239E0">
        <w:rPr>
          <w:rFonts w:eastAsia="Times New Roman" w:cs="Times New Roman"/>
          <w:kern w:val="24"/>
          <w:szCs w:val="24"/>
        </w:rPr>
        <w:t xml:space="preserve"> </w:t>
      </w:r>
      <w:r>
        <w:rPr>
          <w:rFonts w:eastAsia="Times New Roman" w:cs="Times New Roman"/>
          <w:kern w:val="24"/>
          <w:szCs w:val="24"/>
        </w:rPr>
        <w:t xml:space="preserve">reformas </w:t>
      </w:r>
      <w:r w:rsidR="002239E0" w:rsidRPr="002239E0">
        <w:rPr>
          <w:rFonts w:eastAsia="Times New Roman" w:cs="Times New Roman"/>
          <w:kern w:val="24"/>
          <w:szCs w:val="24"/>
        </w:rPr>
        <w:t>četr</w:t>
      </w:r>
      <w:r>
        <w:rPr>
          <w:rFonts w:eastAsia="Times New Roman" w:cs="Times New Roman"/>
          <w:kern w:val="24"/>
          <w:szCs w:val="24"/>
        </w:rPr>
        <w:t>o</w:t>
      </w:r>
      <w:r w:rsidR="002239E0" w:rsidRPr="002239E0">
        <w:rPr>
          <w:rFonts w:eastAsia="Times New Roman" w:cs="Times New Roman"/>
          <w:kern w:val="24"/>
          <w:szCs w:val="24"/>
        </w:rPr>
        <w:t>s galvenos virzienus:</w:t>
      </w:r>
      <w:r w:rsidR="00D91CBE">
        <w:rPr>
          <w:rFonts w:eastAsia="Times New Roman" w:cs="Times New Roman"/>
          <w:kern w:val="24"/>
          <w:szCs w:val="24"/>
        </w:rPr>
        <w:t xml:space="preserve"> (i) </w:t>
      </w:r>
      <w:r w:rsidR="002239E0" w:rsidRPr="00D92A93">
        <w:rPr>
          <w:rFonts w:eastAsia="Calibri" w:cs="Times New Roman"/>
          <w:szCs w:val="24"/>
          <w:lang w:eastAsia="lv-LV"/>
        </w:rPr>
        <w:t>fiskālās ilgtspējas atjaunošana;</w:t>
      </w:r>
      <w:r w:rsidR="00F84EEA" w:rsidRPr="00D92A93">
        <w:rPr>
          <w:rFonts w:eastAsia="Calibri" w:cs="Times New Roman"/>
          <w:szCs w:val="24"/>
          <w:lang w:eastAsia="lv-LV"/>
        </w:rPr>
        <w:t xml:space="preserve"> </w:t>
      </w:r>
      <w:r w:rsidR="00D91CBE" w:rsidRPr="00D92A93">
        <w:rPr>
          <w:rFonts w:eastAsia="Calibri" w:cs="Times New Roman"/>
          <w:szCs w:val="24"/>
          <w:lang w:eastAsia="lv-LV"/>
        </w:rPr>
        <w:t xml:space="preserve">(ii) </w:t>
      </w:r>
      <w:r w:rsidR="002239E0" w:rsidRPr="00D92A93">
        <w:rPr>
          <w:rFonts w:eastAsia="Calibri" w:cs="Times New Roman"/>
          <w:szCs w:val="24"/>
          <w:lang w:eastAsia="lv-LV"/>
        </w:rPr>
        <w:t>fin</w:t>
      </w:r>
      <w:r w:rsidR="00D91CBE" w:rsidRPr="00D92A93">
        <w:rPr>
          <w:rFonts w:eastAsia="Calibri" w:cs="Times New Roman"/>
          <w:szCs w:val="24"/>
          <w:lang w:eastAsia="lv-LV"/>
        </w:rPr>
        <w:t>anšu stabilitātes nodrošināšana</w:t>
      </w:r>
      <w:r w:rsidR="002239E0" w:rsidRPr="00D92A93">
        <w:rPr>
          <w:rFonts w:eastAsia="Calibri" w:cs="Times New Roman"/>
          <w:szCs w:val="24"/>
          <w:lang w:eastAsia="lv-LV"/>
        </w:rPr>
        <w:t>;</w:t>
      </w:r>
      <w:r w:rsidR="00D91CBE" w:rsidRPr="00D92A93">
        <w:rPr>
          <w:rFonts w:eastAsia="Calibri" w:cs="Times New Roman"/>
          <w:szCs w:val="24"/>
          <w:lang w:eastAsia="lv-LV"/>
        </w:rPr>
        <w:t xml:space="preserve"> (iii) </w:t>
      </w:r>
      <w:r w:rsidR="002239E0" w:rsidRPr="00D92A93">
        <w:rPr>
          <w:rFonts w:eastAsia="Calibri" w:cs="Times New Roman"/>
          <w:szCs w:val="24"/>
          <w:lang w:eastAsia="lv-LV"/>
        </w:rPr>
        <w:t>izaugsmes un konkurētspējas nodrošināšana un investīciju piesaiste;</w:t>
      </w:r>
      <w:r w:rsidR="00D91CBE" w:rsidRPr="00D92A93">
        <w:rPr>
          <w:rFonts w:eastAsia="Calibri" w:cs="Times New Roman"/>
          <w:szCs w:val="24"/>
          <w:lang w:eastAsia="lv-LV"/>
        </w:rPr>
        <w:t xml:space="preserve"> (iv) </w:t>
      </w:r>
      <w:r w:rsidR="002239E0" w:rsidRPr="00D92A93">
        <w:rPr>
          <w:rFonts w:eastAsia="Times New Roman" w:cs="Times New Roman"/>
          <w:kern w:val="24"/>
          <w:szCs w:val="24"/>
        </w:rPr>
        <w:t>valsts pārvaldes uzlabošana.</w:t>
      </w:r>
    </w:p>
    <w:p w14:paraId="4D0A9094" w14:textId="20820603" w:rsidR="00DC64BE" w:rsidRPr="009935FA" w:rsidRDefault="009935FA" w:rsidP="00F07ADA">
      <w:pPr>
        <w:ind w:firstLine="600"/>
        <w:jc w:val="both"/>
        <w:rPr>
          <w:rFonts w:eastAsia="Times New Roman" w:cs="Times New Roman"/>
          <w:kern w:val="24"/>
          <w:szCs w:val="24"/>
        </w:rPr>
      </w:pPr>
      <w:r>
        <w:rPr>
          <w:rFonts w:eastAsia="Times New Roman" w:cs="Times New Roman"/>
          <w:kern w:val="24"/>
          <w:szCs w:val="24"/>
        </w:rPr>
        <w:t>Grieķija 2017.gadā atgriezās finanšu tirgos. Grieķijas ekonomiskā izaugsme bija 1,4%, ko veicināja pieaugošās investīcijas, lai arī samazinājās neto eksports un valsts patēriņš, vienlaicīgi privātais patēriņš palika stabils. T</w:t>
      </w:r>
      <w:r w:rsidR="005C4DF2">
        <w:rPr>
          <w:rFonts w:eastAsia="Times New Roman" w:cs="Times New Roman"/>
          <w:kern w:val="24"/>
          <w:szCs w:val="24"/>
        </w:rPr>
        <w:t>iek prognozēts, ka ekonomiskā izaugsme 201</w:t>
      </w:r>
      <w:r>
        <w:rPr>
          <w:rFonts w:eastAsia="Times New Roman" w:cs="Times New Roman"/>
          <w:kern w:val="24"/>
          <w:szCs w:val="24"/>
        </w:rPr>
        <w:t>8</w:t>
      </w:r>
      <w:r w:rsidR="005C4DF2">
        <w:rPr>
          <w:rFonts w:eastAsia="Times New Roman" w:cs="Times New Roman"/>
          <w:kern w:val="24"/>
          <w:szCs w:val="24"/>
        </w:rPr>
        <w:t>. un 201</w:t>
      </w:r>
      <w:r>
        <w:rPr>
          <w:rFonts w:eastAsia="Times New Roman" w:cs="Times New Roman"/>
          <w:kern w:val="24"/>
          <w:szCs w:val="24"/>
        </w:rPr>
        <w:t>9</w:t>
      </w:r>
      <w:r w:rsidR="005C4DF2">
        <w:rPr>
          <w:rFonts w:eastAsia="Times New Roman" w:cs="Times New Roman"/>
          <w:kern w:val="24"/>
          <w:szCs w:val="24"/>
        </w:rPr>
        <w:t xml:space="preserve">.gadā attiecīgi būs </w:t>
      </w:r>
      <w:r>
        <w:rPr>
          <w:rFonts w:eastAsia="Times New Roman" w:cs="Times New Roman"/>
          <w:kern w:val="24"/>
          <w:szCs w:val="24"/>
        </w:rPr>
        <w:t>1</w:t>
      </w:r>
      <w:r w:rsidR="005C4DF2">
        <w:rPr>
          <w:rFonts w:eastAsia="Times New Roman" w:cs="Times New Roman"/>
          <w:kern w:val="24"/>
          <w:szCs w:val="24"/>
        </w:rPr>
        <w:t>,</w:t>
      </w:r>
      <w:r>
        <w:rPr>
          <w:rFonts w:eastAsia="Times New Roman" w:cs="Times New Roman"/>
          <w:kern w:val="24"/>
          <w:szCs w:val="24"/>
        </w:rPr>
        <w:t>9</w:t>
      </w:r>
      <w:r w:rsidR="005C4DF2">
        <w:rPr>
          <w:rFonts w:eastAsia="Times New Roman" w:cs="Times New Roman"/>
          <w:kern w:val="24"/>
          <w:szCs w:val="24"/>
        </w:rPr>
        <w:t>% un 2,</w:t>
      </w:r>
      <w:r>
        <w:rPr>
          <w:rFonts w:eastAsia="Times New Roman" w:cs="Times New Roman"/>
          <w:kern w:val="24"/>
          <w:szCs w:val="24"/>
        </w:rPr>
        <w:t>3</w:t>
      </w:r>
      <w:r w:rsidR="005C4DF2">
        <w:rPr>
          <w:rFonts w:eastAsia="Times New Roman" w:cs="Times New Roman"/>
          <w:kern w:val="24"/>
          <w:szCs w:val="24"/>
        </w:rPr>
        <w:t>%. 201</w:t>
      </w:r>
      <w:r>
        <w:rPr>
          <w:rFonts w:eastAsia="Times New Roman" w:cs="Times New Roman"/>
          <w:kern w:val="24"/>
          <w:szCs w:val="24"/>
        </w:rPr>
        <w:t>7</w:t>
      </w:r>
      <w:r w:rsidR="005C4DF2">
        <w:rPr>
          <w:rFonts w:eastAsia="Times New Roman" w:cs="Times New Roman"/>
          <w:kern w:val="24"/>
          <w:szCs w:val="24"/>
        </w:rPr>
        <w:t>.gadā budžetā atbilstoši</w:t>
      </w:r>
      <w:r>
        <w:rPr>
          <w:rFonts w:eastAsia="Times New Roman" w:cs="Times New Roman"/>
          <w:kern w:val="24"/>
          <w:szCs w:val="24"/>
        </w:rPr>
        <w:t xml:space="preserve"> programmas metodoloģijai</w:t>
      </w:r>
      <w:r w:rsidR="005C4DF2">
        <w:rPr>
          <w:rFonts w:eastAsia="Times New Roman" w:cs="Times New Roman"/>
          <w:kern w:val="24"/>
          <w:szCs w:val="24"/>
        </w:rPr>
        <w:t xml:space="preserve"> </w:t>
      </w:r>
      <w:r w:rsidR="00ED7668">
        <w:rPr>
          <w:rFonts w:eastAsia="Times New Roman" w:cs="Times New Roman"/>
          <w:kern w:val="24"/>
          <w:szCs w:val="24"/>
        </w:rPr>
        <w:t xml:space="preserve">bija pārpalikums </w:t>
      </w:r>
      <w:r w:rsidR="005C4DF2">
        <w:rPr>
          <w:rFonts w:eastAsia="Times New Roman" w:cs="Times New Roman"/>
          <w:kern w:val="24"/>
          <w:szCs w:val="24"/>
        </w:rPr>
        <w:t>4,</w:t>
      </w:r>
      <w:r>
        <w:rPr>
          <w:rFonts w:eastAsia="Times New Roman" w:cs="Times New Roman"/>
          <w:kern w:val="24"/>
          <w:szCs w:val="24"/>
        </w:rPr>
        <w:t>2</w:t>
      </w:r>
      <w:r w:rsidR="005C4DF2">
        <w:rPr>
          <w:rFonts w:eastAsia="Times New Roman" w:cs="Times New Roman"/>
          <w:kern w:val="24"/>
          <w:szCs w:val="24"/>
        </w:rPr>
        <w:t>% no IKP</w:t>
      </w:r>
      <w:r w:rsidR="005F4C6F">
        <w:rPr>
          <w:rFonts w:eastAsia="Times New Roman" w:cs="Times New Roman"/>
          <w:kern w:val="24"/>
          <w:szCs w:val="24"/>
        </w:rPr>
        <w:t xml:space="preserve"> apmērā</w:t>
      </w:r>
      <w:r w:rsidR="005C4DF2">
        <w:rPr>
          <w:rFonts w:eastAsia="Times New Roman" w:cs="Times New Roman"/>
          <w:kern w:val="24"/>
          <w:szCs w:val="24"/>
        </w:rPr>
        <w:t xml:space="preserve">, kas krietni pārsniedza programmas mērķi </w:t>
      </w:r>
      <w:r w:rsidR="00DB7199">
        <w:rPr>
          <w:rFonts w:eastAsia="Times New Roman" w:cs="Times New Roman"/>
          <w:szCs w:val="24"/>
          <w:lang w:eastAsia="lv-LV"/>
        </w:rPr>
        <w:t xml:space="preserve">– </w:t>
      </w:r>
      <w:r>
        <w:rPr>
          <w:rFonts w:eastAsia="Times New Roman" w:cs="Times New Roman"/>
          <w:kern w:val="24"/>
          <w:szCs w:val="24"/>
        </w:rPr>
        <w:t>1</w:t>
      </w:r>
      <w:r w:rsidR="005C4DF2">
        <w:rPr>
          <w:rFonts w:eastAsia="Times New Roman" w:cs="Times New Roman"/>
          <w:kern w:val="24"/>
          <w:szCs w:val="24"/>
        </w:rPr>
        <w:t>,</w:t>
      </w:r>
      <w:r>
        <w:rPr>
          <w:rFonts w:eastAsia="Times New Roman" w:cs="Times New Roman"/>
          <w:kern w:val="24"/>
          <w:szCs w:val="24"/>
        </w:rPr>
        <w:t>7</w:t>
      </w:r>
      <w:r w:rsidR="00DB7199">
        <w:rPr>
          <w:rFonts w:eastAsia="Times New Roman" w:cs="Times New Roman"/>
          <w:kern w:val="24"/>
          <w:szCs w:val="24"/>
        </w:rPr>
        <w:t>5% no IKP, kas</w:t>
      </w:r>
      <w:r w:rsidR="00ED7668">
        <w:rPr>
          <w:rFonts w:eastAsia="Times New Roman" w:cs="Times New Roman"/>
          <w:kern w:val="24"/>
          <w:szCs w:val="24"/>
        </w:rPr>
        <w:t xml:space="preserve"> savukārt</w:t>
      </w:r>
      <w:r w:rsidR="00DB7199">
        <w:rPr>
          <w:rFonts w:eastAsia="Times New Roman" w:cs="Times New Roman"/>
          <w:kern w:val="24"/>
          <w:szCs w:val="24"/>
        </w:rPr>
        <w:t xml:space="preserve"> liecina, ka ieviestās fiskālās reformas, īpaši nodokļu jomā</w:t>
      </w:r>
      <w:r w:rsidR="00FE01D9">
        <w:rPr>
          <w:rFonts w:eastAsia="Times New Roman" w:cs="Times New Roman"/>
          <w:kern w:val="24"/>
          <w:szCs w:val="24"/>
        </w:rPr>
        <w:t>,</w:t>
      </w:r>
      <w:r w:rsidR="00DB7199">
        <w:rPr>
          <w:rFonts w:eastAsia="Times New Roman" w:cs="Times New Roman"/>
          <w:kern w:val="24"/>
          <w:szCs w:val="24"/>
        </w:rPr>
        <w:t xml:space="preserve"> sniedz rezultātus. </w:t>
      </w:r>
      <w:r w:rsidR="00B24C92" w:rsidRPr="00EC4736">
        <w:rPr>
          <w:rFonts w:eastAsia="Times New Roman" w:cs="Times New Roman"/>
          <w:color w:val="000000" w:themeColor="text1"/>
          <w:szCs w:val="24"/>
          <w:lang w:eastAsia="lv-LV"/>
        </w:rPr>
        <w:t>Grieķijas parāds</w:t>
      </w:r>
      <w:r w:rsidR="00DC64BE">
        <w:rPr>
          <w:rFonts w:eastAsia="Times New Roman" w:cs="Times New Roman"/>
          <w:color w:val="000000" w:themeColor="text1"/>
          <w:szCs w:val="24"/>
          <w:lang w:eastAsia="lv-LV"/>
        </w:rPr>
        <w:t xml:space="preserve"> saskaņā ar </w:t>
      </w:r>
      <w:proofErr w:type="spellStart"/>
      <w:r w:rsidR="00DC64BE">
        <w:rPr>
          <w:rFonts w:eastAsia="Times New Roman" w:cs="Times New Roman"/>
          <w:i/>
          <w:color w:val="000000" w:themeColor="text1"/>
          <w:szCs w:val="24"/>
          <w:lang w:eastAsia="lv-LV"/>
        </w:rPr>
        <w:t>Eurostat</w:t>
      </w:r>
      <w:proofErr w:type="spellEnd"/>
      <w:r w:rsidR="00DC64BE">
        <w:rPr>
          <w:rFonts w:eastAsia="Times New Roman" w:cs="Times New Roman"/>
          <w:i/>
          <w:color w:val="000000" w:themeColor="text1"/>
          <w:szCs w:val="24"/>
          <w:lang w:eastAsia="lv-LV"/>
        </w:rPr>
        <w:t xml:space="preserve"> </w:t>
      </w:r>
      <w:r w:rsidR="00DC64BE">
        <w:rPr>
          <w:rFonts w:eastAsia="Times New Roman" w:cs="Times New Roman"/>
          <w:color w:val="000000" w:themeColor="text1"/>
          <w:szCs w:val="24"/>
          <w:lang w:eastAsia="lv-LV"/>
        </w:rPr>
        <w:t>datiem</w:t>
      </w:r>
      <w:r w:rsidR="00B24C92" w:rsidRPr="00EC4736">
        <w:rPr>
          <w:rFonts w:eastAsia="Times New Roman" w:cs="Times New Roman"/>
          <w:color w:val="000000" w:themeColor="text1"/>
          <w:szCs w:val="24"/>
          <w:lang w:eastAsia="lv-LV"/>
        </w:rPr>
        <w:t xml:space="preserve"> 201</w:t>
      </w:r>
      <w:r w:rsidR="00FE01D9">
        <w:rPr>
          <w:rFonts w:eastAsia="Times New Roman" w:cs="Times New Roman"/>
          <w:color w:val="000000" w:themeColor="text1"/>
          <w:szCs w:val="24"/>
          <w:lang w:eastAsia="lv-LV"/>
        </w:rPr>
        <w:t>7</w:t>
      </w:r>
      <w:r w:rsidR="00B24C92" w:rsidRPr="00EC4736">
        <w:rPr>
          <w:rFonts w:eastAsia="Times New Roman" w:cs="Times New Roman"/>
          <w:color w:val="000000" w:themeColor="text1"/>
          <w:szCs w:val="24"/>
          <w:lang w:eastAsia="lv-LV"/>
        </w:rPr>
        <w:t>.gadā sasniedza 17</w:t>
      </w:r>
      <w:r w:rsidR="00FE01D9">
        <w:rPr>
          <w:rFonts w:eastAsia="Times New Roman" w:cs="Times New Roman"/>
          <w:color w:val="000000" w:themeColor="text1"/>
          <w:szCs w:val="24"/>
          <w:lang w:eastAsia="lv-LV"/>
        </w:rPr>
        <w:t>8</w:t>
      </w:r>
      <w:r w:rsidR="00D91CBE">
        <w:rPr>
          <w:rFonts w:eastAsia="Times New Roman" w:cs="Times New Roman"/>
          <w:color w:val="000000" w:themeColor="text1"/>
          <w:szCs w:val="24"/>
          <w:lang w:eastAsia="lv-LV"/>
        </w:rPr>
        <w:t>,</w:t>
      </w:r>
      <w:r w:rsidR="00FE01D9">
        <w:rPr>
          <w:rFonts w:eastAsia="Times New Roman" w:cs="Times New Roman"/>
          <w:color w:val="000000" w:themeColor="text1"/>
          <w:szCs w:val="24"/>
          <w:lang w:eastAsia="lv-LV"/>
        </w:rPr>
        <w:t>6</w:t>
      </w:r>
      <w:r w:rsidR="00DC64BE">
        <w:rPr>
          <w:rFonts w:eastAsia="Times New Roman" w:cs="Times New Roman"/>
          <w:color w:val="000000" w:themeColor="text1"/>
          <w:szCs w:val="24"/>
          <w:lang w:eastAsia="lv-LV"/>
        </w:rPr>
        <w:t xml:space="preserve">% no IKP, kas būtiski </w:t>
      </w:r>
      <w:r w:rsidR="00ED7668">
        <w:rPr>
          <w:rFonts w:eastAsia="Times New Roman" w:cs="Times New Roman"/>
          <w:color w:val="000000" w:themeColor="text1"/>
          <w:szCs w:val="24"/>
          <w:lang w:eastAsia="lv-LV"/>
        </w:rPr>
        <w:t>pārsniedz Māstrihtas kritēriju</w:t>
      </w:r>
      <w:r w:rsidR="00D91CBE">
        <w:rPr>
          <w:rFonts w:eastAsia="Times New Roman" w:cs="Times New Roman"/>
          <w:color w:val="000000" w:themeColor="text1"/>
          <w:szCs w:val="24"/>
          <w:lang w:eastAsia="lv-LV"/>
        </w:rPr>
        <w:t xml:space="preserve"> </w:t>
      </w:r>
      <w:r w:rsidR="00DB7199">
        <w:rPr>
          <w:rFonts w:eastAsia="Times New Roman" w:cs="Times New Roman"/>
          <w:szCs w:val="24"/>
          <w:lang w:eastAsia="lv-LV"/>
        </w:rPr>
        <w:t xml:space="preserve">– </w:t>
      </w:r>
      <w:r w:rsidR="00DC64BE">
        <w:rPr>
          <w:rFonts w:eastAsia="Times New Roman" w:cs="Times New Roman"/>
          <w:color w:val="000000" w:themeColor="text1"/>
          <w:szCs w:val="24"/>
          <w:lang w:eastAsia="lv-LV"/>
        </w:rPr>
        <w:t>60% no IKP</w:t>
      </w:r>
      <w:r w:rsidR="00DB7199">
        <w:rPr>
          <w:rFonts w:eastAsia="Times New Roman" w:cs="Times New Roman"/>
          <w:color w:val="000000" w:themeColor="text1"/>
          <w:szCs w:val="24"/>
          <w:lang w:eastAsia="lv-LV"/>
        </w:rPr>
        <w:t>. Tomēr tiek prognozēts, ka parāda līmenis samazināsies, ņemot vērā īstermiņa parāda samazināšanas pasākumu ieviešanu.</w:t>
      </w:r>
      <w:r w:rsidR="005871E8">
        <w:rPr>
          <w:rFonts w:eastAsia="Times New Roman" w:cs="Times New Roman"/>
          <w:color w:val="000000" w:themeColor="text1"/>
          <w:szCs w:val="24"/>
          <w:lang w:eastAsia="lv-LV"/>
        </w:rPr>
        <w:t xml:space="preserve"> </w:t>
      </w:r>
      <w:r w:rsidR="00F27BE4">
        <w:rPr>
          <w:rFonts w:eastAsia="Times New Roman" w:cs="Times New Roman"/>
          <w:color w:val="000000" w:themeColor="text1"/>
          <w:szCs w:val="24"/>
          <w:lang w:eastAsia="lv-LV"/>
        </w:rPr>
        <w:t>ESM novēro, ka īstermiņa parāda samazināšanas pasākumi kopumā parādu samazinās par 10% no IKP.</w:t>
      </w:r>
    </w:p>
    <w:p w14:paraId="21585C07" w14:textId="77777777" w:rsidR="00527C4A" w:rsidRDefault="007F3A21" w:rsidP="00F07ADA">
      <w:pPr>
        <w:ind w:left="40" w:firstLine="720"/>
        <w:jc w:val="both"/>
        <w:rPr>
          <w:rFonts w:cs="Times New Roman"/>
          <w:bCs/>
          <w:iCs/>
          <w:szCs w:val="24"/>
        </w:rPr>
      </w:pPr>
      <w:proofErr w:type="spellStart"/>
      <w:r w:rsidRPr="007F3A21">
        <w:rPr>
          <w:rFonts w:cs="Times New Roman"/>
          <w:bCs/>
          <w:i/>
          <w:iCs/>
          <w:szCs w:val="24"/>
        </w:rPr>
        <w:t>Euro</w:t>
      </w:r>
      <w:proofErr w:type="spellEnd"/>
      <w:r>
        <w:rPr>
          <w:rFonts w:cs="Times New Roman"/>
          <w:bCs/>
          <w:iCs/>
          <w:szCs w:val="24"/>
        </w:rPr>
        <w:t xml:space="preserve"> grupa 2016.gada 25.maijā vienojās par</w:t>
      </w:r>
      <w:r w:rsidR="00527C4A">
        <w:rPr>
          <w:rFonts w:cs="Times New Roman"/>
          <w:bCs/>
          <w:iCs/>
          <w:szCs w:val="24"/>
        </w:rPr>
        <w:t>:</w:t>
      </w:r>
    </w:p>
    <w:p w14:paraId="7DB91D84" w14:textId="77777777" w:rsidR="00527C4A" w:rsidRDefault="007F3A21" w:rsidP="00F07ADA">
      <w:pPr>
        <w:ind w:left="40" w:firstLine="720"/>
        <w:jc w:val="both"/>
        <w:rPr>
          <w:rFonts w:cs="Times New Roman"/>
          <w:bCs/>
          <w:iCs/>
          <w:szCs w:val="24"/>
        </w:rPr>
      </w:pPr>
      <w:r>
        <w:rPr>
          <w:rFonts w:cs="Times New Roman"/>
          <w:bCs/>
          <w:iCs/>
          <w:szCs w:val="24"/>
        </w:rPr>
        <w:t xml:space="preserve"> 1) parāda ilgtspējas vērtēšanas/atskaites kritēriju, kas tiek sasaistīts ar bruto finansējuma vajadzību līmeni</w:t>
      </w:r>
      <w:r>
        <w:rPr>
          <w:rStyle w:val="FootnoteReference"/>
          <w:rFonts w:cs="Times New Roman"/>
          <w:bCs/>
          <w:iCs/>
          <w:szCs w:val="24"/>
        </w:rPr>
        <w:footnoteReference w:id="4"/>
      </w:r>
      <w:r>
        <w:rPr>
          <w:rFonts w:cs="Times New Roman"/>
          <w:bCs/>
          <w:iCs/>
          <w:szCs w:val="24"/>
        </w:rPr>
        <w:t xml:space="preserve"> un</w:t>
      </w:r>
    </w:p>
    <w:p w14:paraId="2618D384" w14:textId="00029274" w:rsidR="007F3A21" w:rsidRDefault="007F3A21" w:rsidP="00F07ADA">
      <w:pPr>
        <w:ind w:left="40" w:firstLine="720"/>
        <w:jc w:val="both"/>
        <w:rPr>
          <w:rFonts w:cs="Times New Roman"/>
          <w:bCs/>
          <w:iCs/>
          <w:szCs w:val="24"/>
        </w:rPr>
      </w:pPr>
      <w:r>
        <w:rPr>
          <w:rFonts w:cs="Times New Roman"/>
          <w:bCs/>
          <w:iCs/>
          <w:szCs w:val="24"/>
        </w:rPr>
        <w:t xml:space="preserve"> 2) parāda ilgtspējas risinājumiem, kas tiks iedarbināti pakāpeniski pa posmiem.</w:t>
      </w:r>
    </w:p>
    <w:p w14:paraId="1239767D" w14:textId="7A4C6CB5" w:rsidR="007F3A21" w:rsidRDefault="007F3A21" w:rsidP="00F07ADA">
      <w:pPr>
        <w:ind w:firstLine="720"/>
        <w:jc w:val="both"/>
        <w:rPr>
          <w:rFonts w:cs="Times New Roman"/>
          <w:bCs/>
          <w:iCs/>
          <w:szCs w:val="24"/>
        </w:rPr>
      </w:pPr>
      <w:r>
        <w:rPr>
          <w:rFonts w:cs="Times New Roman"/>
          <w:bCs/>
          <w:iCs/>
          <w:szCs w:val="24"/>
        </w:rPr>
        <w:t>Īstermiņa</w:t>
      </w:r>
      <w:r w:rsidR="00361095">
        <w:rPr>
          <w:rFonts w:cs="Times New Roman"/>
          <w:bCs/>
          <w:iCs/>
          <w:szCs w:val="24"/>
        </w:rPr>
        <w:t xml:space="preserve"> parāda</w:t>
      </w:r>
      <w:r>
        <w:rPr>
          <w:rFonts w:cs="Times New Roman"/>
          <w:bCs/>
          <w:iCs/>
          <w:szCs w:val="24"/>
        </w:rPr>
        <w:t xml:space="preserve"> pasākumu kopums</w:t>
      </w:r>
      <w:r w:rsidR="00DB7199">
        <w:rPr>
          <w:rFonts w:cs="Times New Roman"/>
          <w:bCs/>
          <w:iCs/>
          <w:szCs w:val="24"/>
        </w:rPr>
        <w:t>, ko ESM sāka ieviest no 2017.gada sākuma</w:t>
      </w:r>
      <w:r>
        <w:rPr>
          <w:rFonts w:cs="Times New Roman"/>
          <w:bCs/>
          <w:iCs/>
          <w:szCs w:val="24"/>
        </w:rPr>
        <w:t>, iekļauj tādus risinājumus kā</w:t>
      </w:r>
      <w:r w:rsidR="00240A47">
        <w:rPr>
          <w:rFonts w:cs="Times New Roman"/>
          <w:bCs/>
          <w:iCs/>
          <w:szCs w:val="24"/>
        </w:rPr>
        <w:t xml:space="preserve"> i</w:t>
      </w:r>
      <w:r w:rsidRPr="007A1E1F">
        <w:rPr>
          <w:rFonts w:cs="Times New Roman"/>
          <w:bCs/>
          <w:iCs/>
          <w:szCs w:val="24"/>
        </w:rPr>
        <w:t>zlīdzināt</w:t>
      </w:r>
      <w:r w:rsidR="00527C4A">
        <w:rPr>
          <w:rFonts w:cs="Times New Roman"/>
          <w:bCs/>
          <w:iCs/>
          <w:szCs w:val="24"/>
        </w:rPr>
        <w:t xml:space="preserve"> </w:t>
      </w:r>
      <w:r w:rsidR="00527C4A" w:rsidRPr="007F3A21">
        <w:rPr>
          <w:rFonts w:cs="Times New Roman"/>
        </w:rPr>
        <w:t>Eiropas Finansiālās stabilitātes fonds</w:t>
      </w:r>
      <w:r w:rsidR="00527C4A">
        <w:rPr>
          <w:rFonts w:cs="Times New Roman"/>
        </w:rPr>
        <w:t xml:space="preserve"> (turpmāk -</w:t>
      </w:r>
      <w:r w:rsidRPr="007A1E1F">
        <w:rPr>
          <w:rFonts w:cs="Times New Roman"/>
          <w:bCs/>
          <w:iCs/>
          <w:szCs w:val="24"/>
        </w:rPr>
        <w:t xml:space="preserve"> EFSF</w:t>
      </w:r>
      <w:r>
        <w:rPr>
          <w:rStyle w:val="FootnoteReference"/>
          <w:rFonts w:cs="Times New Roman"/>
          <w:bCs/>
          <w:iCs/>
          <w:szCs w:val="24"/>
        </w:rPr>
        <w:footnoteReference w:id="5"/>
      </w:r>
      <w:r w:rsidR="00527C4A">
        <w:rPr>
          <w:rFonts w:cs="Times New Roman"/>
          <w:bCs/>
          <w:iCs/>
          <w:szCs w:val="24"/>
        </w:rPr>
        <w:t>)</w:t>
      </w:r>
      <w:r w:rsidRPr="007A1E1F">
        <w:rPr>
          <w:rFonts w:cs="Times New Roman"/>
          <w:bCs/>
          <w:iCs/>
          <w:szCs w:val="24"/>
        </w:rPr>
        <w:t xml:space="preserve"> aizdevumu atmaksas profilu, ievērojot pašreizējo </w:t>
      </w:r>
      <w:r>
        <w:rPr>
          <w:rFonts w:cs="Times New Roman"/>
          <w:bCs/>
          <w:iCs/>
          <w:szCs w:val="24"/>
        </w:rPr>
        <w:t>vidējo svērto parāda atmaksāšanas termiņus</w:t>
      </w:r>
      <w:r w:rsidRPr="007A1E1F">
        <w:rPr>
          <w:rFonts w:cs="Times New Roman"/>
          <w:bCs/>
          <w:iCs/>
          <w:szCs w:val="24"/>
        </w:rPr>
        <w:t>;</w:t>
      </w:r>
      <w:r w:rsidR="00240A47">
        <w:rPr>
          <w:rFonts w:cs="Times New Roman"/>
          <w:bCs/>
          <w:iCs/>
          <w:szCs w:val="24"/>
        </w:rPr>
        <w:t xml:space="preserve"> i</w:t>
      </w:r>
      <w:r w:rsidRPr="009D3DCD">
        <w:rPr>
          <w:rFonts w:cs="Times New Roman"/>
          <w:bCs/>
          <w:iCs/>
          <w:szCs w:val="24"/>
        </w:rPr>
        <w:t>zmantot EFSF un ESM dažādās finansēšanas stratēģijas, lai mazinātu procentu likmju risku, neradot papildus izmaksas bijušām programmas valstīm;</w:t>
      </w:r>
      <w:r w:rsidR="00240A47">
        <w:rPr>
          <w:rFonts w:cs="Times New Roman"/>
          <w:bCs/>
          <w:iCs/>
          <w:szCs w:val="24"/>
        </w:rPr>
        <w:t xml:space="preserve"> a</w:t>
      </w:r>
      <w:r w:rsidRPr="009D3DCD">
        <w:rPr>
          <w:rFonts w:cs="Times New Roman"/>
          <w:bCs/>
          <w:iCs/>
          <w:szCs w:val="24"/>
        </w:rPr>
        <w:t>t</w:t>
      </w:r>
      <w:r>
        <w:rPr>
          <w:rFonts w:cs="Times New Roman"/>
          <w:bCs/>
          <w:iCs/>
          <w:szCs w:val="24"/>
        </w:rPr>
        <w:t>teikties no</w:t>
      </w:r>
      <w:r w:rsidRPr="009D3DCD">
        <w:rPr>
          <w:rFonts w:cs="Times New Roman"/>
          <w:bCs/>
          <w:iCs/>
          <w:szCs w:val="24"/>
        </w:rPr>
        <w:t xml:space="preserve"> pieaugošo procentu likmju robežvērtīb</w:t>
      </w:r>
      <w:r>
        <w:rPr>
          <w:rFonts w:cs="Times New Roman"/>
          <w:bCs/>
          <w:iCs/>
          <w:szCs w:val="24"/>
        </w:rPr>
        <w:t>as, kas saistīta ar Grieķijas otrās palīdzības programmas</w:t>
      </w:r>
      <w:r w:rsidRPr="009D3DCD">
        <w:rPr>
          <w:rFonts w:cs="Times New Roman"/>
          <w:bCs/>
          <w:iCs/>
          <w:szCs w:val="24"/>
        </w:rPr>
        <w:t xml:space="preserve"> (EFSF finansēts) </w:t>
      </w:r>
      <w:r>
        <w:rPr>
          <w:rFonts w:cs="Times New Roman"/>
          <w:bCs/>
          <w:iCs/>
          <w:szCs w:val="24"/>
        </w:rPr>
        <w:t>parāda atpirkšanas laidienu 2017.gadam</w:t>
      </w:r>
      <w:r w:rsidRPr="009D3DCD">
        <w:rPr>
          <w:rFonts w:cs="Times New Roman"/>
          <w:bCs/>
          <w:iCs/>
          <w:szCs w:val="24"/>
        </w:rPr>
        <w:t>.</w:t>
      </w:r>
      <w:r w:rsidR="00F27BE4">
        <w:rPr>
          <w:rFonts w:cs="Times New Roman"/>
          <w:bCs/>
          <w:iCs/>
          <w:szCs w:val="24"/>
        </w:rPr>
        <w:t xml:space="preserve"> </w:t>
      </w:r>
      <w:r w:rsidR="00513965">
        <w:rPr>
          <w:rFonts w:cs="Times New Roman"/>
          <w:bCs/>
          <w:iCs/>
          <w:szCs w:val="24"/>
        </w:rPr>
        <w:t>ESM prognozē, ka minēto īstermiņa parāda atvieglošanas pasākumu īstenošana dos pozitīvu ietekmi uz parāda ilgtspēju, samazinot parādu par 20</w:t>
      </w:r>
      <w:r w:rsidR="00361095">
        <w:rPr>
          <w:rFonts w:cs="Times New Roman"/>
          <w:bCs/>
          <w:iCs/>
          <w:szCs w:val="24"/>
        </w:rPr>
        <w:t xml:space="preserve"> procenta </w:t>
      </w:r>
      <w:r w:rsidR="00513965">
        <w:rPr>
          <w:rFonts w:cs="Times New Roman"/>
          <w:bCs/>
          <w:iCs/>
          <w:szCs w:val="24"/>
        </w:rPr>
        <w:t>punktiem 2060.gadā un b</w:t>
      </w:r>
      <w:r w:rsidR="00513965" w:rsidRPr="00513965">
        <w:rPr>
          <w:rFonts w:cs="Times New Roman"/>
          <w:bCs/>
          <w:iCs/>
          <w:szCs w:val="24"/>
        </w:rPr>
        <w:t>rut</w:t>
      </w:r>
      <w:r w:rsidR="00513965">
        <w:rPr>
          <w:rFonts w:cs="Times New Roman"/>
          <w:bCs/>
          <w:iCs/>
          <w:szCs w:val="24"/>
        </w:rPr>
        <w:t>o fina</w:t>
      </w:r>
      <w:r w:rsidR="00361095">
        <w:rPr>
          <w:rFonts w:cs="Times New Roman"/>
          <w:bCs/>
          <w:iCs/>
          <w:szCs w:val="24"/>
        </w:rPr>
        <w:t xml:space="preserve">nsējuma vajadzības līmeni par 5 procenta </w:t>
      </w:r>
      <w:r w:rsidR="00513965">
        <w:rPr>
          <w:rFonts w:cs="Times New Roman"/>
          <w:bCs/>
          <w:iCs/>
          <w:szCs w:val="24"/>
        </w:rPr>
        <w:t>punktiem.</w:t>
      </w:r>
      <w:r w:rsidR="0061244D">
        <w:rPr>
          <w:rFonts w:cs="Times New Roman"/>
          <w:bCs/>
          <w:iCs/>
          <w:szCs w:val="24"/>
        </w:rPr>
        <w:t xml:space="preserve"> </w:t>
      </w:r>
    </w:p>
    <w:p w14:paraId="169CFDEE" w14:textId="77777777" w:rsidR="0061244D" w:rsidRDefault="0061244D">
      <w:pPr>
        <w:jc w:val="both"/>
        <w:rPr>
          <w:b/>
        </w:rPr>
      </w:pPr>
    </w:p>
    <w:p w14:paraId="2DC14C80" w14:textId="42BE38FC" w:rsidR="00422C1A" w:rsidRPr="00F27BE4" w:rsidRDefault="00E4317A" w:rsidP="00F84EEA">
      <w:pPr>
        <w:spacing w:after="120"/>
        <w:jc w:val="both"/>
        <w:rPr>
          <w:b/>
          <w:color w:val="000000" w:themeColor="text1"/>
        </w:rPr>
      </w:pPr>
      <w:r w:rsidRPr="00F27BE4">
        <w:rPr>
          <w:b/>
          <w:color w:val="000000" w:themeColor="text1"/>
        </w:rPr>
        <w:t>ESM veiktie maksājumi Grieķijai</w:t>
      </w:r>
    </w:p>
    <w:p w14:paraId="172A14F5" w14:textId="168F1B0D" w:rsidR="007A1031" w:rsidRDefault="00422C1A" w:rsidP="00F84EEA">
      <w:pPr>
        <w:spacing w:after="120"/>
        <w:ind w:firstLine="720"/>
        <w:jc w:val="both"/>
      </w:pPr>
      <w:r>
        <w:t xml:space="preserve">2015.gada 20.augustā ESM atbalstīja pirmo maksājumu 26 </w:t>
      </w:r>
      <w:r w:rsidR="00542E18">
        <w:t>m</w:t>
      </w:r>
      <w:r w:rsidR="0024666A">
        <w:t>ljrd</w:t>
      </w:r>
      <w:r w:rsidR="00542E18">
        <w:t>.</w:t>
      </w:r>
      <w:r>
        <w:t xml:space="preserve"> </w:t>
      </w:r>
      <w:proofErr w:type="spellStart"/>
      <w:r>
        <w:rPr>
          <w:i/>
        </w:rPr>
        <w:t>euro</w:t>
      </w:r>
      <w:proofErr w:type="spellEnd"/>
      <w:r>
        <w:rPr>
          <w:i/>
        </w:rPr>
        <w:t xml:space="preserve"> </w:t>
      </w:r>
      <w:r>
        <w:t xml:space="preserve">apmērā, no kuriem 13 </w:t>
      </w:r>
      <w:r w:rsidR="00A4581D">
        <w:rPr>
          <w:rFonts w:eastAsia="Times New Roman" w:cs="Times New Roman"/>
          <w:szCs w:val="24"/>
          <w:lang w:eastAsia="lv-LV"/>
        </w:rPr>
        <w:t>mljrd.</w:t>
      </w:r>
      <w:r w:rsidR="00A4581D" w:rsidRPr="00896C7F">
        <w:t xml:space="preserve"> </w:t>
      </w:r>
      <w:proofErr w:type="spellStart"/>
      <w:r>
        <w:rPr>
          <w:i/>
        </w:rPr>
        <w:t>euro</w:t>
      </w:r>
      <w:proofErr w:type="spellEnd"/>
      <w:r>
        <w:t xml:space="preserve"> tika izmaksāti uzreiz. Pirmais maksājums ietvēra arī </w:t>
      </w:r>
      <w:r w:rsidR="0024666A">
        <w:t xml:space="preserve">drošības </w:t>
      </w:r>
      <w:r>
        <w:t xml:space="preserve">buferi 10 </w:t>
      </w:r>
      <w:r w:rsidR="00A4581D">
        <w:rPr>
          <w:rFonts w:eastAsia="Times New Roman" w:cs="Times New Roman"/>
          <w:szCs w:val="24"/>
          <w:lang w:eastAsia="lv-LV"/>
        </w:rPr>
        <w:t>mljrd.</w:t>
      </w:r>
      <w:r w:rsidR="00A4581D" w:rsidRPr="00896C7F">
        <w:t xml:space="preserve"> </w:t>
      </w:r>
      <w:proofErr w:type="spellStart"/>
      <w:r>
        <w:rPr>
          <w:i/>
        </w:rPr>
        <w:t>euro</w:t>
      </w:r>
      <w:proofErr w:type="spellEnd"/>
      <w:r>
        <w:t xml:space="preserve"> apmērā banku </w:t>
      </w:r>
      <w:proofErr w:type="spellStart"/>
      <w:r>
        <w:t>rekapitaliz</w:t>
      </w:r>
      <w:r w:rsidR="00527C4A">
        <w:t>ā</w:t>
      </w:r>
      <w:r>
        <w:t>cijai</w:t>
      </w:r>
      <w:proofErr w:type="spellEnd"/>
      <w:r>
        <w:t>.</w:t>
      </w:r>
      <w:r w:rsidR="00F84EEA">
        <w:t xml:space="preserve"> </w:t>
      </w:r>
      <w:r w:rsidR="00715D4D">
        <w:t xml:space="preserve">Kopumā </w:t>
      </w:r>
      <w:r w:rsidR="007C6AF9" w:rsidRPr="007C6AF9">
        <w:t>līdz 201</w:t>
      </w:r>
      <w:r w:rsidR="00B23452">
        <w:t>7</w:t>
      </w:r>
      <w:r w:rsidR="007C6AF9" w:rsidRPr="007C6AF9">
        <w:t xml:space="preserve">.gada 31.decembrim </w:t>
      </w:r>
      <w:r w:rsidR="00715D4D">
        <w:t>Grieķijai ir izmaksāts</w:t>
      </w:r>
      <w:r w:rsidR="007A1031">
        <w:t xml:space="preserve"> </w:t>
      </w:r>
      <w:r w:rsidR="00B23452">
        <w:t>40</w:t>
      </w:r>
      <w:r w:rsidR="00715D4D" w:rsidRPr="00715D4D">
        <w:t>,</w:t>
      </w:r>
      <w:r w:rsidR="00B23452">
        <w:t>2</w:t>
      </w:r>
      <w:r w:rsidR="007A1031">
        <w:t xml:space="preserve"> mljrd. </w:t>
      </w:r>
      <w:proofErr w:type="spellStart"/>
      <w:r w:rsidR="007A1031">
        <w:rPr>
          <w:i/>
        </w:rPr>
        <w:t>euro</w:t>
      </w:r>
      <w:proofErr w:type="spellEnd"/>
      <w:r w:rsidR="00715D4D">
        <w:t xml:space="preserve"> </w:t>
      </w:r>
      <w:r w:rsidR="007A1031">
        <w:t>parāda apkalpošanai</w:t>
      </w:r>
      <w:r w:rsidR="00B23452">
        <w:t>,</w:t>
      </w:r>
      <w:r w:rsidR="007A1031">
        <w:t xml:space="preserve"> budžeta finansēšanai</w:t>
      </w:r>
      <w:r w:rsidR="00B23452" w:rsidRPr="00B23452">
        <w:t xml:space="preserve"> </w:t>
      </w:r>
      <w:r w:rsidR="00B23452">
        <w:t>un b</w:t>
      </w:r>
      <w:r w:rsidR="00B23452" w:rsidRPr="007C6AF9">
        <w:t xml:space="preserve">anku </w:t>
      </w:r>
      <w:proofErr w:type="spellStart"/>
      <w:r w:rsidR="00B23452" w:rsidRPr="007C6AF9">
        <w:t>rekapitalizācijai</w:t>
      </w:r>
      <w:proofErr w:type="spellEnd"/>
      <w:r w:rsidR="006071D5">
        <w:t xml:space="preserve"> (skatīt 2.tabulu)</w:t>
      </w:r>
      <w:r w:rsidR="007A1031">
        <w:t>.</w:t>
      </w:r>
      <w:r w:rsidR="007C6AF9">
        <w:t xml:space="preserve"> </w:t>
      </w:r>
      <w:r w:rsidR="007A1031">
        <w:t>Grieķijai izmaksāto aizdevum</w:t>
      </w:r>
      <w:r w:rsidR="00AA47E4">
        <w:t>u</w:t>
      </w:r>
      <w:r w:rsidR="007A1031">
        <w:t xml:space="preserve"> ir jāatmaksā no 2034. līdz 205</w:t>
      </w:r>
      <w:r w:rsidR="00B23452">
        <w:t>9</w:t>
      </w:r>
      <w:r w:rsidR="007A1031">
        <w:t>.gada</w:t>
      </w:r>
      <w:r w:rsidR="00A31105">
        <w:t>m</w:t>
      </w:r>
      <w:r w:rsidR="007A1031">
        <w:t>.</w:t>
      </w:r>
    </w:p>
    <w:p w14:paraId="7FD00884" w14:textId="44EA00B2" w:rsidR="008E56A0" w:rsidRPr="006E7176" w:rsidRDefault="005871E8" w:rsidP="0080654E">
      <w:pPr>
        <w:spacing w:after="120"/>
        <w:jc w:val="right"/>
        <w:rPr>
          <w:b/>
          <w:i/>
          <w:sz w:val="20"/>
        </w:rPr>
      </w:pPr>
      <w:r>
        <w:rPr>
          <w:b/>
          <w:i/>
          <w:sz w:val="20"/>
        </w:rPr>
        <w:t>2</w:t>
      </w:r>
      <w:r w:rsidR="002239E0" w:rsidRPr="006E7176">
        <w:rPr>
          <w:b/>
          <w:i/>
          <w:sz w:val="20"/>
        </w:rPr>
        <w:t>.tabula</w:t>
      </w:r>
      <w:r w:rsidR="00936759">
        <w:rPr>
          <w:b/>
          <w:i/>
          <w:sz w:val="20"/>
        </w:rPr>
        <w:t>.</w:t>
      </w:r>
      <w:r w:rsidR="002239E0" w:rsidRPr="006E7176">
        <w:rPr>
          <w:b/>
          <w:i/>
          <w:sz w:val="20"/>
        </w:rPr>
        <w:t xml:space="preserve"> Grieķijas</w:t>
      </w:r>
      <w:r w:rsidR="00A31105">
        <w:rPr>
          <w:b/>
          <w:i/>
          <w:sz w:val="20"/>
        </w:rPr>
        <w:t xml:space="preserve"> trešās</w:t>
      </w:r>
      <w:r w:rsidR="002239E0" w:rsidRPr="006E7176">
        <w:rPr>
          <w:b/>
          <w:i/>
          <w:sz w:val="20"/>
        </w:rPr>
        <w:t xml:space="preserve"> programmas ietvaros veiktie ESM maksājumi</w:t>
      </w:r>
    </w:p>
    <w:tbl>
      <w:tblPr>
        <w:tblStyle w:val="ListTable7Colorful-Accent1"/>
        <w:tblW w:w="0" w:type="auto"/>
        <w:jc w:val="center"/>
        <w:tblLook w:val="04A0" w:firstRow="1" w:lastRow="0" w:firstColumn="1" w:lastColumn="0" w:noHBand="0" w:noVBand="1"/>
      </w:tblPr>
      <w:tblGrid>
        <w:gridCol w:w="3608"/>
        <w:gridCol w:w="2287"/>
      </w:tblGrid>
      <w:tr w:rsidR="00B23452" w:rsidRPr="00630DCC" w14:paraId="02C1B6B7" w14:textId="77777777" w:rsidTr="00B95FE9">
        <w:trPr>
          <w:cnfStyle w:val="100000000000" w:firstRow="1" w:lastRow="0" w:firstColumn="0" w:lastColumn="0" w:oddVBand="0" w:evenVBand="0" w:oddHBand="0" w:evenHBand="0" w:firstRowFirstColumn="0" w:firstRowLastColumn="0" w:lastRowFirstColumn="0" w:lastRowLastColumn="0"/>
          <w:trHeight w:val="442"/>
          <w:jc w:val="center"/>
        </w:trPr>
        <w:tc>
          <w:tcPr>
            <w:cnfStyle w:val="001000000100" w:firstRow="0" w:lastRow="0" w:firstColumn="1" w:lastColumn="0" w:oddVBand="0" w:evenVBand="0" w:oddHBand="0" w:evenHBand="0" w:firstRowFirstColumn="1" w:firstRowLastColumn="0" w:lastRowFirstColumn="0" w:lastRowLastColumn="0"/>
            <w:tcW w:w="3608" w:type="dxa"/>
            <w:vAlign w:val="center"/>
          </w:tcPr>
          <w:p w14:paraId="390141B3" w14:textId="77777777" w:rsidR="00B23452" w:rsidRPr="00630DCC" w:rsidRDefault="00B23452" w:rsidP="00B95FE9">
            <w:pPr>
              <w:jc w:val="center"/>
              <w:rPr>
                <w:rFonts w:ascii="Times New Roman" w:hAnsi="Times New Roman" w:cs="Times New Roman"/>
                <w:b/>
                <w:i w:val="0"/>
                <w:color w:val="000000" w:themeColor="text1"/>
                <w:sz w:val="20"/>
              </w:rPr>
            </w:pPr>
            <w:r w:rsidRPr="00630DCC">
              <w:rPr>
                <w:rFonts w:ascii="Times New Roman" w:hAnsi="Times New Roman" w:cs="Times New Roman"/>
                <w:b/>
                <w:i w:val="0"/>
                <w:color w:val="000000" w:themeColor="text1"/>
                <w:sz w:val="20"/>
              </w:rPr>
              <w:t>Izmaksas datums</w:t>
            </w:r>
          </w:p>
        </w:tc>
        <w:tc>
          <w:tcPr>
            <w:tcW w:w="2287" w:type="dxa"/>
            <w:vAlign w:val="center"/>
          </w:tcPr>
          <w:p w14:paraId="12A3BCAE" w14:textId="6BF2E297" w:rsidR="00B23452" w:rsidRPr="00630DCC" w:rsidRDefault="00B23452" w:rsidP="00B95F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color w:val="000000" w:themeColor="text1"/>
                <w:sz w:val="20"/>
              </w:rPr>
            </w:pPr>
            <w:r w:rsidRPr="00630DCC">
              <w:rPr>
                <w:rFonts w:ascii="Times New Roman" w:hAnsi="Times New Roman" w:cs="Times New Roman"/>
                <w:b/>
                <w:i w:val="0"/>
                <w:color w:val="000000" w:themeColor="text1"/>
                <w:sz w:val="20"/>
              </w:rPr>
              <w:t xml:space="preserve">Apmērs (mljrd. </w:t>
            </w:r>
            <w:proofErr w:type="spellStart"/>
            <w:r w:rsidRPr="00630DCC">
              <w:rPr>
                <w:rFonts w:ascii="Times New Roman" w:hAnsi="Times New Roman" w:cs="Times New Roman"/>
                <w:b/>
                <w:i w:val="0"/>
                <w:color w:val="000000" w:themeColor="text1"/>
                <w:sz w:val="20"/>
              </w:rPr>
              <w:t>euro</w:t>
            </w:r>
            <w:proofErr w:type="spellEnd"/>
            <w:r w:rsidRPr="00630DCC">
              <w:rPr>
                <w:rFonts w:ascii="Times New Roman" w:hAnsi="Times New Roman" w:cs="Times New Roman"/>
                <w:b/>
                <w:i w:val="0"/>
                <w:color w:val="000000" w:themeColor="text1"/>
                <w:sz w:val="20"/>
              </w:rPr>
              <w:t>)</w:t>
            </w:r>
          </w:p>
        </w:tc>
      </w:tr>
      <w:tr w:rsidR="00B23452" w:rsidRPr="00630DCC" w14:paraId="13204A2B" w14:textId="77777777" w:rsidTr="00630DCC">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6579FA3D" w14:textId="77777777" w:rsidR="00B23452" w:rsidRPr="00630DCC" w:rsidRDefault="00B23452" w:rsidP="00B23452">
            <w:pPr>
              <w:jc w:val="left"/>
              <w:rPr>
                <w:rFonts w:ascii="Times New Roman" w:hAnsi="Times New Roman" w:cs="Times New Roman"/>
                <w:i w:val="0"/>
                <w:color w:val="000000" w:themeColor="text1"/>
                <w:sz w:val="20"/>
              </w:rPr>
            </w:pPr>
            <w:r w:rsidRPr="00630DCC">
              <w:rPr>
                <w:rFonts w:ascii="Times New Roman" w:hAnsi="Times New Roman" w:cs="Times New Roman"/>
                <w:i w:val="0"/>
                <w:color w:val="000000" w:themeColor="text1"/>
                <w:sz w:val="20"/>
              </w:rPr>
              <w:t>20.08.2015.</w:t>
            </w:r>
          </w:p>
        </w:tc>
        <w:tc>
          <w:tcPr>
            <w:tcW w:w="2287" w:type="dxa"/>
          </w:tcPr>
          <w:p w14:paraId="7B50E567" w14:textId="77777777" w:rsidR="00B23452" w:rsidRPr="00630DCC" w:rsidRDefault="00B23452" w:rsidP="00B23452">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rPr>
            </w:pPr>
            <w:r w:rsidRPr="00630DCC">
              <w:rPr>
                <w:rFonts w:cs="Times New Roman"/>
                <w:color w:val="000000" w:themeColor="text1"/>
                <w:sz w:val="20"/>
              </w:rPr>
              <w:t>13</w:t>
            </w:r>
          </w:p>
        </w:tc>
      </w:tr>
      <w:tr w:rsidR="00B23452" w:rsidRPr="00630DCC" w14:paraId="792FDA5E" w14:textId="77777777" w:rsidTr="00630DCC">
        <w:trPr>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59B5B94C" w14:textId="77777777" w:rsidR="00B23452" w:rsidRPr="00630DCC" w:rsidRDefault="00B23452" w:rsidP="00B23452">
            <w:pPr>
              <w:jc w:val="left"/>
              <w:rPr>
                <w:rFonts w:ascii="Times New Roman" w:hAnsi="Times New Roman" w:cs="Times New Roman"/>
                <w:i w:val="0"/>
                <w:color w:val="000000" w:themeColor="text1"/>
                <w:sz w:val="20"/>
              </w:rPr>
            </w:pPr>
            <w:r w:rsidRPr="00630DCC">
              <w:rPr>
                <w:rFonts w:ascii="Times New Roman" w:hAnsi="Times New Roman" w:cs="Times New Roman"/>
                <w:i w:val="0"/>
                <w:color w:val="000000" w:themeColor="text1"/>
                <w:sz w:val="20"/>
              </w:rPr>
              <w:t>24.11.2015.</w:t>
            </w:r>
          </w:p>
        </w:tc>
        <w:tc>
          <w:tcPr>
            <w:tcW w:w="2287" w:type="dxa"/>
          </w:tcPr>
          <w:p w14:paraId="2BEFDAF1" w14:textId="77777777" w:rsidR="00B23452" w:rsidRPr="00630DCC" w:rsidRDefault="00B23452" w:rsidP="00B23452">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rPr>
            </w:pPr>
            <w:r w:rsidRPr="00630DCC">
              <w:rPr>
                <w:rFonts w:cs="Times New Roman"/>
                <w:color w:val="000000" w:themeColor="text1"/>
                <w:sz w:val="20"/>
              </w:rPr>
              <w:t>2</w:t>
            </w:r>
          </w:p>
        </w:tc>
      </w:tr>
      <w:tr w:rsidR="00B23452" w:rsidRPr="00630DCC" w14:paraId="7C96EDFD" w14:textId="77777777" w:rsidTr="00630DCC">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1A5D4F00" w14:textId="77777777" w:rsidR="00B23452" w:rsidRPr="00630DCC" w:rsidRDefault="00B23452" w:rsidP="00B23452">
            <w:pPr>
              <w:jc w:val="left"/>
              <w:rPr>
                <w:rFonts w:ascii="Times New Roman" w:hAnsi="Times New Roman" w:cs="Times New Roman"/>
                <w:i w:val="0"/>
                <w:color w:val="000000" w:themeColor="text1"/>
                <w:sz w:val="20"/>
              </w:rPr>
            </w:pPr>
            <w:r w:rsidRPr="00630DCC">
              <w:rPr>
                <w:rFonts w:ascii="Times New Roman" w:hAnsi="Times New Roman" w:cs="Times New Roman"/>
                <w:i w:val="0"/>
                <w:color w:val="000000" w:themeColor="text1"/>
                <w:sz w:val="20"/>
              </w:rPr>
              <w:lastRenderedPageBreak/>
              <w:t>01.12.2015.</w:t>
            </w:r>
          </w:p>
        </w:tc>
        <w:tc>
          <w:tcPr>
            <w:tcW w:w="2287" w:type="dxa"/>
          </w:tcPr>
          <w:p w14:paraId="581DD0EA" w14:textId="77777777" w:rsidR="00B23452" w:rsidRPr="00630DCC" w:rsidRDefault="00B23452" w:rsidP="00B23452">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rPr>
            </w:pPr>
            <w:r w:rsidRPr="00630DCC">
              <w:rPr>
                <w:rFonts w:cs="Times New Roman"/>
                <w:color w:val="000000" w:themeColor="text1"/>
                <w:sz w:val="20"/>
              </w:rPr>
              <w:t>2,72</w:t>
            </w:r>
          </w:p>
        </w:tc>
      </w:tr>
      <w:tr w:rsidR="00B23452" w:rsidRPr="00630DCC" w14:paraId="16E6602F" w14:textId="77777777" w:rsidTr="00630DCC">
        <w:trPr>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1D94638F" w14:textId="77777777" w:rsidR="00B23452" w:rsidRPr="00630DCC" w:rsidRDefault="00B23452" w:rsidP="00B23452">
            <w:pPr>
              <w:jc w:val="left"/>
              <w:rPr>
                <w:rFonts w:ascii="Times New Roman" w:hAnsi="Times New Roman" w:cs="Times New Roman"/>
                <w:i w:val="0"/>
                <w:color w:val="000000" w:themeColor="text1"/>
                <w:sz w:val="20"/>
              </w:rPr>
            </w:pPr>
            <w:r w:rsidRPr="00630DCC">
              <w:rPr>
                <w:rFonts w:ascii="Times New Roman" w:hAnsi="Times New Roman" w:cs="Times New Roman"/>
                <w:i w:val="0"/>
                <w:color w:val="000000" w:themeColor="text1"/>
                <w:sz w:val="20"/>
              </w:rPr>
              <w:t>08.12.2015.</w:t>
            </w:r>
          </w:p>
        </w:tc>
        <w:tc>
          <w:tcPr>
            <w:tcW w:w="2287" w:type="dxa"/>
          </w:tcPr>
          <w:p w14:paraId="2C077381" w14:textId="77777777" w:rsidR="00B23452" w:rsidRPr="00630DCC" w:rsidRDefault="00B23452" w:rsidP="00B23452">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rPr>
            </w:pPr>
            <w:r w:rsidRPr="00630DCC">
              <w:rPr>
                <w:rFonts w:cs="Times New Roman"/>
                <w:color w:val="000000" w:themeColor="text1"/>
                <w:sz w:val="20"/>
              </w:rPr>
              <w:t>2,71</w:t>
            </w:r>
          </w:p>
        </w:tc>
      </w:tr>
      <w:tr w:rsidR="00B23452" w:rsidRPr="00630DCC" w14:paraId="7B07A928" w14:textId="77777777" w:rsidTr="00630DCC">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10DE6667" w14:textId="77777777" w:rsidR="00B23452" w:rsidRPr="00630DCC" w:rsidRDefault="00B23452" w:rsidP="00B23452">
            <w:pPr>
              <w:jc w:val="left"/>
              <w:rPr>
                <w:rFonts w:ascii="Times New Roman" w:hAnsi="Times New Roman" w:cs="Times New Roman"/>
                <w:i w:val="0"/>
                <w:color w:val="000000" w:themeColor="text1"/>
                <w:sz w:val="20"/>
              </w:rPr>
            </w:pPr>
            <w:r w:rsidRPr="00630DCC">
              <w:rPr>
                <w:rFonts w:ascii="Times New Roman" w:hAnsi="Times New Roman" w:cs="Times New Roman"/>
                <w:i w:val="0"/>
                <w:color w:val="000000" w:themeColor="text1"/>
                <w:sz w:val="20"/>
              </w:rPr>
              <w:t>23.12.2015.</w:t>
            </w:r>
          </w:p>
        </w:tc>
        <w:tc>
          <w:tcPr>
            <w:tcW w:w="2287" w:type="dxa"/>
          </w:tcPr>
          <w:p w14:paraId="2EFA495A" w14:textId="77777777" w:rsidR="00B23452" w:rsidRPr="00630DCC" w:rsidRDefault="00B23452" w:rsidP="00B23452">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rPr>
            </w:pPr>
            <w:r w:rsidRPr="00630DCC">
              <w:rPr>
                <w:rFonts w:cs="Times New Roman"/>
                <w:color w:val="000000" w:themeColor="text1"/>
                <w:sz w:val="20"/>
              </w:rPr>
              <w:t>1</w:t>
            </w:r>
          </w:p>
        </w:tc>
      </w:tr>
      <w:tr w:rsidR="00B23452" w:rsidRPr="00630DCC" w14:paraId="004FE58E" w14:textId="77777777" w:rsidTr="00630DCC">
        <w:trPr>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2B7BA19F" w14:textId="0DD20578" w:rsidR="00B23452" w:rsidRPr="00630DCC" w:rsidRDefault="00B23452" w:rsidP="00B23452">
            <w:pPr>
              <w:jc w:val="left"/>
              <w:rPr>
                <w:rFonts w:ascii="Times New Roman" w:hAnsi="Times New Roman" w:cs="Times New Roman"/>
                <w:i w:val="0"/>
                <w:color w:val="000000" w:themeColor="text1"/>
                <w:sz w:val="20"/>
              </w:rPr>
            </w:pPr>
            <w:r w:rsidRPr="00630DCC">
              <w:rPr>
                <w:rFonts w:ascii="Times New Roman" w:hAnsi="Times New Roman" w:cs="Times New Roman"/>
                <w:i w:val="0"/>
                <w:color w:val="000000" w:themeColor="text1"/>
                <w:sz w:val="20"/>
              </w:rPr>
              <w:t>21.06.2016.</w:t>
            </w:r>
          </w:p>
        </w:tc>
        <w:tc>
          <w:tcPr>
            <w:tcW w:w="2287" w:type="dxa"/>
          </w:tcPr>
          <w:p w14:paraId="72582483" w14:textId="736EAB7C" w:rsidR="00B23452" w:rsidRPr="00630DCC" w:rsidRDefault="00B23452" w:rsidP="00B23452">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rPr>
            </w:pPr>
            <w:r w:rsidRPr="00630DCC">
              <w:rPr>
                <w:rFonts w:cs="Times New Roman"/>
                <w:color w:val="000000" w:themeColor="text1"/>
                <w:sz w:val="20"/>
              </w:rPr>
              <w:t>7,5</w:t>
            </w:r>
          </w:p>
        </w:tc>
      </w:tr>
      <w:tr w:rsidR="00B23452" w:rsidRPr="00630DCC" w14:paraId="09B9C76A" w14:textId="77777777" w:rsidTr="00630DCC">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54C1DB17" w14:textId="46909062" w:rsidR="00B23452" w:rsidRPr="00630DCC" w:rsidRDefault="00B23452" w:rsidP="00B23452">
            <w:pPr>
              <w:jc w:val="left"/>
              <w:rPr>
                <w:rFonts w:ascii="Times New Roman" w:hAnsi="Times New Roman" w:cs="Times New Roman"/>
                <w:i w:val="0"/>
                <w:color w:val="000000" w:themeColor="text1"/>
                <w:sz w:val="20"/>
              </w:rPr>
            </w:pPr>
            <w:r w:rsidRPr="00630DCC">
              <w:rPr>
                <w:rFonts w:ascii="Times New Roman" w:hAnsi="Times New Roman" w:cs="Times New Roman"/>
                <w:i w:val="0"/>
                <w:color w:val="000000" w:themeColor="text1"/>
                <w:sz w:val="20"/>
              </w:rPr>
              <w:t>26.10.2016.</w:t>
            </w:r>
          </w:p>
        </w:tc>
        <w:tc>
          <w:tcPr>
            <w:tcW w:w="2287" w:type="dxa"/>
          </w:tcPr>
          <w:p w14:paraId="6A7F6698" w14:textId="7419C7E5" w:rsidR="00B23452" w:rsidRPr="00630DCC" w:rsidRDefault="00B23452" w:rsidP="00B23452">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rPr>
            </w:pPr>
            <w:r w:rsidRPr="00630DCC">
              <w:rPr>
                <w:rFonts w:cs="Times New Roman"/>
                <w:color w:val="000000" w:themeColor="text1"/>
                <w:sz w:val="20"/>
              </w:rPr>
              <w:t>2,8</w:t>
            </w:r>
          </w:p>
        </w:tc>
      </w:tr>
      <w:tr w:rsidR="00B23452" w:rsidRPr="00630DCC" w14:paraId="397CD6D0" w14:textId="77777777" w:rsidTr="00630DCC">
        <w:trPr>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4482B62B" w14:textId="47B87B80" w:rsidR="00B23452" w:rsidRPr="00630DCC" w:rsidRDefault="00B23452" w:rsidP="00B23452">
            <w:pPr>
              <w:jc w:val="left"/>
              <w:rPr>
                <w:rFonts w:ascii="Times New Roman" w:hAnsi="Times New Roman" w:cs="Times New Roman"/>
                <w:i w:val="0"/>
                <w:color w:val="000000" w:themeColor="text1"/>
                <w:sz w:val="20"/>
              </w:rPr>
            </w:pPr>
            <w:r w:rsidRPr="00630DCC">
              <w:rPr>
                <w:rFonts w:ascii="Times New Roman" w:hAnsi="Times New Roman" w:cs="Times New Roman"/>
                <w:i w:val="0"/>
                <w:color w:val="000000" w:themeColor="text1"/>
                <w:sz w:val="20"/>
              </w:rPr>
              <w:t>10.07.2017.</w:t>
            </w:r>
          </w:p>
        </w:tc>
        <w:tc>
          <w:tcPr>
            <w:tcW w:w="2287" w:type="dxa"/>
          </w:tcPr>
          <w:p w14:paraId="65935E4B" w14:textId="7F931FBC" w:rsidR="00B23452" w:rsidRPr="00630DCC" w:rsidRDefault="00B23452" w:rsidP="00B23452">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rPr>
            </w:pPr>
            <w:r w:rsidRPr="00630DCC">
              <w:rPr>
                <w:rFonts w:cs="Times New Roman"/>
                <w:color w:val="000000" w:themeColor="text1"/>
                <w:sz w:val="20"/>
              </w:rPr>
              <w:t>7,7</w:t>
            </w:r>
          </w:p>
        </w:tc>
      </w:tr>
      <w:tr w:rsidR="00B23452" w:rsidRPr="00630DCC" w14:paraId="3940019A" w14:textId="77777777" w:rsidTr="00630DCC">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74C8BE58" w14:textId="49DE3201" w:rsidR="00B23452" w:rsidRPr="00630DCC" w:rsidRDefault="00B23452" w:rsidP="00B23452">
            <w:pPr>
              <w:jc w:val="left"/>
              <w:rPr>
                <w:rFonts w:ascii="Times New Roman" w:hAnsi="Times New Roman" w:cs="Times New Roman"/>
                <w:i w:val="0"/>
                <w:color w:val="000000" w:themeColor="text1"/>
                <w:sz w:val="20"/>
              </w:rPr>
            </w:pPr>
            <w:r w:rsidRPr="00630DCC">
              <w:rPr>
                <w:rFonts w:ascii="Times New Roman" w:hAnsi="Times New Roman" w:cs="Times New Roman"/>
                <w:i w:val="0"/>
                <w:color w:val="000000" w:themeColor="text1"/>
                <w:sz w:val="20"/>
              </w:rPr>
              <w:t>30.07.2017.</w:t>
            </w:r>
          </w:p>
        </w:tc>
        <w:tc>
          <w:tcPr>
            <w:tcW w:w="2287" w:type="dxa"/>
          </w:tcPr>
          <w:p w14:paraId="543B307A" w14:textId="689A3FDD" w:rsidR="00B23452" w:rsidRPr="00630DCC" w:rsidRDefault="00B23452" w:rsidP="00B23452">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rPr>
            </w:pPr>
            <w:r w:rsidRPr="00630DCC">
              <w:rPr>
                <w:rFonts w:cs="Times New Roman"/>
                <w:color w:val="000000" w:themeColor="text1"/>
                <w:sz w:val="20"/>
              </w:rPr>
              <w:t>0,8</w:t>
            </w:r>
          </w:p>
        </w:tc>
      </w:tr>
      <w:tr w:rsidR="00B23452" w:rsidRPr="00630DCC" w14:paraId="77C66A97" w14:textId="77777777" w:rsidTr="00630DCC">
        <w:trPr>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174D0EE1" w14:textId="43CEE73C" w:rsidR="00B23452" w:rsidRPr="00630DCC" w:rsidRDefault="00B23452" w:rsidP="00B23452">
            <w:pPr>
              <w:jc w:val="left"/>
              <w:rPr>
                <w:rFonts w:ascii="Times New Roman" w:hAnsi="Times New Roman" w:cs="Times New Roman"/>
                <w:b/>
                <w:i w:val="0"/>
                <w:color w:val="000000" w:themeColor="text1"/>
                <w:sz w:val="20"/>
              </w:rPr>
            </w:pPr>
            <w:r w:rsidRPr="00630DCC">
              <w:rPr>
                <w:rFonts w:ascii="Times New Roman" w:hAnsi="Times New Roman" w:cs="Times New Roman"/>
                <w:b/>
                <w:i w:val="0"/>
                <w:color w:val="000000" w:themeColor="text1"/>
                <w:sz w:val="20"/>
              </w:rPr>
              <w:t>KOPĀ līdz 2017.gada 31.decembrim</w:t>
            </w:r>
          </w:p>
        </w:tc>
        <w:tc>
          <w:tcPr>
            <w:tcW w:w="2287" w:type="dxa"/>
          </w:tcPr>
          <w:p w14:paraId="7F53B087" w14:textId="30396ED9" w:rsidR="00B23452" w:rsidRPr="00630DCC" w:rsidRDefault="00B23452" w:rsidP="00B23452">
            <w:pPr>
              <w:jc w:val="center"/>
              <w:cnfStyle w:val="000000000000" w:firstRow="0" w:lastRow="0" w:firstColumn="0" w:lastColumn="0" w:oddVBand="0" w:evenVBand="0" w:oddHBand="0" w:evenHBand="0" w:firstRowFirstColumn="0" w:firstRowLastColumn="0" w:lastRowFirstColumn="0" w:lastRowLastColumn="0"/>
              <w:rPr>
                <w:rFonts w:cs="Times New Roman"/>
                <w:b/>
                <w:i/>
                <w:color w:val="000000" w:themeColor="text1"/>
                <w:sz w:val="20"/>
              </w:rPr>
            </w:pPr>
            <w:r w:rsidRPr="00630DCC">
              <w:rPr>
                <w:rFonts w:cs="Times New Roman"/>
                <w:b/>
                <w:i/>
                <w:color w:val="000000" w:themeColor="text1"/>
                <w:sz w:val="20"/>
              </w:rPr>
              <w:t>40,2</w:t>
            </w:r>
          </w:p>
        </w:tc>
      </w:tr>
    </w:tbl>
    <w:p w14:paraId="4E62912B" w14:textId="77777777" w:rsidR="007F3A21" w:rsidRDefault="007F3A21" w:rsidP="00B23452">
      <w:pPr>
        <w:rPr>
          <w:b/>
          <w:color w:val="000000" w:themeColor="text1"/>
        </w:rPr>
      </w:pPr>
    </w:p>
    <w:p w14:paraId="0BD7410F" w14:textId="77777777" w:rsidR="00E31F93" w:rsidRDefault="00E31F93" w:rsidP="007A2B6B">
      <w:pPr>
        <w:jc w:val="center"/>
        <w:rPr>
          <w:b/>
          <w:color w:val="000000" w:themeColor="text1"/>
        </w:rPr>
      </w:pPr>
    </w:p>
    <w:p w14:paraId="23A2D044" w14:textId="0BF33224" w:rsidR="00D5502A" w:rsidRPr="00A90717" w:rsidRDefault="00A90717" w:rsidP="007A2B6B">
      <w:pPr>
        <w:jc w:val="center"/>
        <w:rPr>
          <w:b/>
          <w:color w:val="000000" w:themeColor="text1"/>
        </w:rPr>
      </w:pPr>
      <w:r w:rsidRPr="00A90717">
        <w:rPr>
          <w:b/>
          <w:color w:val="000000" w:themeColor="text1"/>
        </w:rPr>
        <w:t>2</w:t>
      </w:r>
      <w:r w:rsidR="000C076D" w:rsidRPr="00A90717">
        <w:rPr>
          <w:b/>
          <w:color w:val="000000" w:themeColor="text1"/>
        </w:rPr>
        <w:t xml:space="preserve">. </w:t>
      </w:r>
      <w:r w:rsidR="00D5502A" w:rsidRPr="00A90717">
        <w:rPr>
          <w:b/>
          <w:color w:val="000000" w:themeColor="text1"/>
        </w:rPr>
        <w:t>ESM finanšu līdzekļu piesaiste</w:t>
      </w:r>
      <w:r w:rsidR="000C076D" w:rsidRPr="00A90717">
        <w:rPr>
          <w:b/>
          <w:color w:val="000000" w:themeColor="text1"/>
        </w:rPr>
        <w:t xml:space="preserve"> finanšu tirgos</w:t>
      </w:r>
    </w:p>
    <w:p w14:paraId="381C8F61" w14:textId="77777777" w:rsidR="00D5502A" w:rsidRPr="00884942" w:rsidRDefault="00D5502A" w:rsidP="00085635">
      <w:pPr>
        <w:jc w:val="both"/>
        <w:rPr>
          <w:b/>
        </w:rPr>
      </w:pPr>
    </w:p>
    <w:p w14:paraId="3C83C761" w14:textId="50D3EB4F" w:rsidR="00036CBF" w:rsidRDefault="004A7DAD" w:rsidP="00F07ADA">
      <w:pPr>
        <w:ind w:firstLine="720"/>
        <w:jc w:val="both"/>
        <w:rPr>
          <w:b/>
          <w:i/>
          <w:color w:val="000000" w:themeColor="text1"/>
          <w:sz w:val="20"/>
        </w:rPr>
      </w:pPr>
      <w:r w:rsidRPr="004A7DAD">
        <w:t>ESM piemēro dažādotu finansēšanas stratēģiju, kas ietver virkni instrumentu un termiņu izmantošanu, lai nodrošinātu finansējuma efektivitāti un nepārtrauktu piekļuvi tirgum. Vien</w:t>
      </w:r>
      <w:r w:rsidR="00542E18">
        <w:t>a</w:t>
      </w:r>
      <w:r w:rsidRPr="004A7DAD">
        <w:t xml:space="preserve"> no šīs stratēģijas iezīmēm ir </w:t>
      </w:r>
      <w:r w:rsidR="00542E18">
        <w:t>tāda</w:t>
      </w:r>
      <w:r w:rsidRPr="004A7DAD">
        <w:t>, ka līdzekļi, kas iegūti, izmantojot dažādus instrumentus, netiek attiecināti uz konkrēt</w:t>
      </w:r>
      <w:r w:rsidR="00A31105">
        <w:t>o</w:t>
      </w:r>
      <w:r w:rsidRPr="004A7DAD">
        <w:t xml:space="preserve"> </w:t>
      </w:r>
      <w:r>
        <w:t>saņēmēj</w:t>
      </w:r>
      <w:r w:rsidRPr="004A7DAD">
        <w:t>valsti. Līdzekļus apvieno un pēc tam izmaksā programmas valstīm</w:t>
      </w:r>
      <w:r w:rsidR="006071D5">
        <w:t xml:space="preserve"> (skatīt 3.attēlu)</w:t>
      </w:r>
      <w:r w:rsidRPr="004A7DAD">
        <w:t>.</w:t>
      </w:r>
      <w:r w:rsidR="00CA4F15">
        <w:t xml:space="preserve"> </w:t>
      </w:r>
    </w:p>
    <w:p w14:paraId="65C67323" w14:textId="50BA61E5" w:rsidR="00DE0BAE" w:rsidRPr="006E7176" w:rsidRDefault="00936759" w:rsidP="00DE0BAE">
      <w:pPr>
        <w:spacing w:before="120"/>
        <w:jc w:val="right"/>
        <w:rPr>
          <w:i/>
          <w:sz w:val="20"/>
        </w:rPr>
      </w:pPr>
      <w:r>
        <w:rPr>
          <w:b/>
          <w:i/>
          <w:color w:val="000000" w:themeColor="text1"/>
          <w:sz w:val="20"/>
        </w:rPr>
        <w:t>3</w:t>
      </w:r>
      <w:r w:rsidR="00DE0BAE" w:rsidRPr="006E7176">
        <w:rPr>
          <w:b/>
          <w:i/>
          <w:color w:val="000000" w:themeColor="text1"/>
          <w:sz w:val="20"/>
        </w:rPr>
        <w:t>.at</w:t>
      </w:r>
      <w:r>
        <w:rPr>
          <w:b/>
          <w:i/>
          <w:color w:val="000000" w:themeColor="text1"/>
          <w:sz w:val="20"/>
        </w:rPr>
        <w:t>tēls</w:t>
      </w:r>
      <w:r w:rsidR="00DE0BAE" w:rsidRPr="006E7176">
        <w:rPr>
          <w:b/>
          <w:i/>
          <w:color w:val="000000" w:themeColor="text1"/>
          <w:sz w:val="20"/>
        </w:rPr>
        <w:t>. ESM finanšu līdzekļu piesaiste finanšu tirgos</w:t>
      </w:r>
      <w:r w:rsidR="007F3A21" w:rsidRPr="006E7176">
        <w:rPr>
          <w:rStyle w:val="FootnoteReference"/>
          <w:b/>
          <w:i/>
          <w:color w:val="FFFFFF" w:themeColor="background1"/>
          <w:sz w:val="20"/>
        </w:rPr>
        <w:footnoteReference w:id="6"/>
      </w:r>
    </w:p>
    <w:p w14:paraId="7741D3A0" w14:textId="5FC3836D" w:rsidR="007F3A21" w:rsidRDefault="002C13FC" w:rsidP="002C13FC">
      <w:pPr>
        <w:jc w:val="center"/>
        <w:rPr>
          <w:sz w:val="20"/>
        </w:rPr>
      </w:pPr>
      <w:r>
        <w:rPr>
          <w:noProof/>
          <w:lang w:eastAsia="lv-LV"/>
        </w:rPr>
        <w:drawing>
          <wp:inline distT="0" distB="0" distL="0" distR="0" wp14:anchorId="6A95E621" wp14:editId="2D736F83">
            <wp:extent cx="5308856" cy="250507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744" t="19062" r="1806" b="11137"/>
                    <a:stretch/>
                  </pic:blipFill>
                  <pic:spPr bwMode="auto">
                    <a:xfrm>
                      <a:off x="0" y="0"/>
                      <a:ext cx="5415256" cy="2555282"/>
                    </a:xfrm>
                    <a:prstGeom prst="rect">
                      <a:avLst/>
                    </a:prstGeom>
                    <a:ln>
                      <a:noFill/>
                    </a:ln>
                    <a:extLst>
                      <a:ext uri="{53640926-AAD7-44D8-BBD7-CCE9431645EC}">
                        <a14:shadowObscured xmlns:a14="http://schemas.microsoft.com/office/drawing/2010/main"/>
                      </a:ext>
                    </a:extLst>
                  </pic:spPr>
                </pic:pic>
              </a:graphicData>
            </a:graphic>
          </wp:inline>
        </w:drawing>
      </w:r>
    </w:p>
    <w:p w14:paraId="5F9F1F2A" w14:textId="5D59E204" w:rsidR="007F3A21" w:rsidRDefault="007F3A21" w:rsidP="007F3A21">
      <w:pPr>
        <w:jc w:val="center"/>
        <w:rPr>
          <w:sz w:val="20"/>
        </w:rPr>
      </w:pPr>
    </w:p>
    <w:p w14:paraId="4F5238CE" w14:textId="05C9E063" w:rsidR="00BF0ECA" w:rsidRPr="0024294E" w:rsidRDefault="00AD123E" w:rsidP="00F07ADA">
      <w:pPr>
        <w:ind w:firstLine="720"/>
        <w:jc w:val="both"/>
      </w:pPr>
      <w:r w:rsidRPr="00AD123E">
        <w:t>ESM</w:t>
      </w:r>
      <w:r w:rsidR="00B260D4">
        <w:t xml:space="preserve"> uzsāka finanšu resursu piesaisti ilgtermiņa tirgos 2013.gada oktobrī līdz ar </w:t>
      </w:r>
      <w:r w:rsidR="008D5DCC">
        <w:t>5 gadu obligācijas emisiju. 2015</w:t>
      </w:r>
      <w:r w:rsidR="00B260D4">
        <w:t xml:space="preserve">.gadam </w:t>
      </w:r>
      <w:r w:rsidR="00BD147B">
        <w:t xml:space="preserve">ilgtermiņa resursu piesaistes mērķis </w:t>
      </w:r>
      <w:r w:rsidR="00BF0ECA">
        <w:t>sākotnēji tika noteikts 14 </w:t>
      </w:r>
      <w:r w:rsidR="00BD147B">
        <w:t xml:space="preserve">mljrd. </w:t>
      </w:r>
      <w:proofErr w:type="spellStart"/>
      <w:r w:rsidR="00BF0ECA">
        <w:rPr>
          <w:i/>
        </w:rPr>
        <w:t>euro</w:t>
      </w:r>
      <w:proofErr w:type="spellEnd"/>
      <w:r w:rsidR="00BF0ECA">
        <w:rPr>
          <w:i/>
        </w:rPr>
        <w:t xml:space="preserve"> </w:t>
      </w:r>
      <w:r w:rsidR="00BD147B">
        <w:t>apmērā</w:t>
      </w:r>
      <w:r w:rsidR="00BF0ECA">
        <w:t>, tomēr ņemot vērā nepieciešamību aizdot Grieķijai, mērķis tika palielināts līdz 2</w:t>
      </w:r>
      <w:r w:rsidR="005D3D36">
        <w:t>8</w:t>
      </w:r>
      <w:r w:rsidR="00BF0ECA">
        <w:t xml:space="preserve">,5 mljrd. </w:t>
      </w:r>
      <w:proofErr w:type="spellStart"/>
      <w:r w:rsidR="00BF0ECA">
        <w:rPr>
          <w:i/>
        </w:rPr>
        <w:t>euro</w:t>
      </w:r>
      <w:proofErr w:type="spellEnd"/>
      <w:r w:rsidR="00BD147B">
        <w:t xml:space="preserve">. </w:t>
      </w:r>
      <w:r w:rsidR="005D3D36">
        <w:t xml:space="preserve">Tomēr 2016.gadā ņemot vērā, ka Kipras programma beidzās un Spānija ātrāk apmaksāja aizdevumu, </w:t>
      </w:r>
      <w:r w:rsidR="005D3D36" w:rsidRPr="005D3D36">
        <w:t>ilgtermiņa resursu piesaiste</w:t>
      </w:r>
      <w:r w:rsidR="005D3D36">
        <w:t xml:space="preserve"> apjoms 2016.gada beigās</w:t>
      </w:r>
      <w:r w:rsidR="005D3D36" w:rsidRPr="005D3D36">
        <w:t xml:space="preserve"> </w:t>
      </w:r>
      <w:r w:rsidR="005D3D36">
        <w:t xml:space="preserve">bija 24,5 mljrd. </w:t>
      </w:r>
      <w:proofErr w:type="spellStart"/>
      <w:r w:rsidR="005D3D36">
        <w:rPr>
          <w:i/>
        </w:rPr>
        <w:t>euro</w:t>
      </w:r>
      <w:proofErr w:type="spellEnd"/>
      <w:r w:rsidR="005D3D36">
        <w:rPr>
          <w:i/>
        </w:rPr>
        <w:t xml:space="preserve">. </w:t>
      </w:r>
      <w:r w:rsidR="0024294E" w:rsidRPr="0024294E">
        <w:t>2017.gad</w:t>
      </w:r>
      <w:r w:rsidR="0024294E">
        <w:t>a beigās</w:t>
      </w:r>
      <w:r w:rsidR="0024294E" w:rsidRPr="0024294E">
        <w:t xml:space="preserve"> </w:t>
      </w:r>
      <w:r w:rsidR="0024294E" w:rsidRPr="005D3D36">
        <w:t>ilgtermiņa resursu piesaiste</w:t>
      </w:r>
      <w:r w:rsidR="0024294E">
        <w:t xml:space="preserve"> apjoms bija 11,5 mljrd. </w:t>
      </w:r>
      <w:proofErr w:type="spellStart"/>
      <w:r w:rsidR="0024294E">
        <w:rPr>
          <w:i/>
        </w:rPr>
        <w:t>euro</w:t>
      </w:r>
      <w:proofErr w:type="spellEnd"/>
      <w:r w:rsidR="0024294E">
        <w:rPr>
          <w:i/>
        </w:rPr>
        <w:t xml:space="preserve">, </w:t>
      </w:r>
      <w:r w:rsidR="0024294E">
        <w:t xml:space="preserve">kas samazinājās par 5,1 mljrd. </w:t>
      </w:r>
      <w:proofErr w:type="spellStart"/>
      <w:r w:rsidR="0024294E">
        <w:rPr>
          <w:i/>
        </w:rPr>
        <w:t>euro</w:t>
      </w:r>
      <w:proofErr w:type="spellEnd"/>
      <w:r w:rsidR="0024294E">
        <w:rPr>
          <w:i/>
        </w:rPr>
        <w:t xml:space="preserve">, </w:t>
      </w:r>
      <w:r w:rsidR="0024294E" w:rsidRPr="0024294E">
        <w:t>salīdzinot ar sākotnēji noteikto</w:t>
      </w:r>
      <w:r w:rsidR="0024294E">
        <w:rPr>
          <w:i/>
        </w:rPr>
        <w:t xml:space="preserve">, </w:t>
      </w:r>
      <w:r w:rsidR="0024294E">
        <w:t xml:space="preserve">ņemot vērā, ka Spānija ātrāk apmaksāja aizdevumu 1 mljrd. </w:t>
      </w:r>
      <w:proofErr w:type="spellStart"/>
      <w:r w:rsidR="0024294E">
        <w:rPr>
          <w:i/>
        </w:rPr>
        <w:t>euro</w:t>
      </w:r>
      <w:proofErr w:type="spellEnd"/>
      <w:r w:rsidR="0024294E">
        <w:t xml:space="preserve"> apmērā, </w:t>
      </w:r>
      <w:r w:rsidR="005D083C" w:rsidRPr="00393AFB">
        <w:rPr>
          <w:color w:val="000000" w:themeColor="text1"/>
        </w:rPr>
        <w:t>Vācijas N-obligācijas (</w:t>
      </w:r>
      <w:proofErr w:type="spellStart"/>
      <w:r w:rsidR="005D083C" w:rsidRPr="00896C7F">
        <w:rPr>
          <w:i/>
          <w:color w:val="000000" w:themeColor="text1"/>
        </w:rPr>
        <w:t>Namensschulderschreibungen</w:t>
      </w:r>
      <w:proofErr w:type="spellEnd"/>
      <w:r w:rsidR="005D083C" w:rsidRPr="00393AFB">
        <w:rPr>
          <w:color w:val="000000" w:themeColor="text1"/>
        </w:rPr>
        <w:t>)</w:t>
      </w:r>
      <w:r w:rsidR="005D083C">
        <w:rPr>
          <w:color w:val="000000" w:themeColor="text1"/>
        </w:rPr>
        <w:t xml:space="preserve"> ieņēmumi</w:t>
      </w:r>
      <w:r w:rsidR="0024294E">
        <w:t>, kā arī izdevīg</w:t>
      </w:r>
      <w:r w:rsidR="006071D5">
        <w:t>a</w:t>
      </w:r>
      <w:r w:rsidR="0024294E">
        <w:t xml:space="preserve"> likviditātes vadības situācija un izmaiņas </w:t>
      </w:r>
      <w:r w:rsidR="006071D5">
        <w:t xml:space="preserve">Grieķijas </w:t>
      </w:r>
      <w:r w:rsidR="0024294E">
        <w:t>programmas maksājumos.</w:t>
      </w:r>
    </w:p>
    <w:p w14:paraId="2FA1646B" w14:textId="1D719C74" w:rsidR="006F6E9E" w:rsidRDefault="00BF0ECA" w:rsidP="00F07ADA">
      <w:pPr>
        <w:ind w:firstLine="720"/>
        <w:jc w:val="both"/>
      </w:pPr>
      <w:r>
        <w:t xml:space="preserve">Kopumā ESM </w:t>
      </w:r>
      <w:r w:rsidR="00052415">
        <w:t>emitēja dažādu termiņu</w:t>
      </w:r>
      <w:r w:rsidR="005D3D36">
        <w:t xml:space="preserve"> (no 5 gadiem līdz 40 gadiem)</w:t>
      </w:r>
      <w:r w:rsidR="00052415">
        <w:t xml:space="preserve"> obligācijas</w:t>
      </w:r>
      <w:r w:rsidR="005D3D36">
        <w:t>.</w:t>
      </w:r>
      <w:r w:rsidR="002C13FC">
        <w:t xml:space="preserve"> </w:t>
      </w:r>
      <w:r w:rsidR="00C61B49">
        <w:t>G</w:t>
      </w:r>
      <w:r w:rsidR="00A9603D">
        <w:t xml:space="preserve">arāks </w:t>
      </w:r>
      <w:r w:rsidR="00C61B49">
        <w:t xml:space="preserve">ESM emitēto </w:t>
      </w:r>
      <w:r w:rsidR="00A9603D">
        <w:t>obligāciju termiņš piesaistīja jaunas investoru grupas</w:t>
      </w:r>
      <w:r w:rsidR="001E3DD6">
        <w:t>,</w:t>
      </w:r>
      <w:r w:rsidR="00A9603D">
        <w:t xml:space="preserve"> </w:t>
      </w:r>
      <w:r w:rsidR="001E3DD6">
        <w:t>piemēram, pensiju fondus</w:t>
      </w:r>
      <w:r w:rsidR="00A9603D">
        <w:t>, kuriem termiņš sakrīt ar to ienākumu termiņiem.</w:t>
      </w:r>
      <w:r w:rsidR="005D3D36">
        <w:t xml:space="preserve"> Ņemot vērā negatīvas procentu likmes īstermiņa </w:t>
      </w:r>
      <w:r w:rsidR="00240A47">
        <w:t>obligācijām</w:t>
      </w:r>
      <w:r w:rsidR="005D3D36">
        <w:t xml:space="preserve">, investoriem </w:t>
      </w:r>
      <w:r w:rsidR="00C57112">
        <w:t xml:space="preserve">ir </w:t>
      </w:r>
      <w:r w:rsidR="005D3D36">
        <w:t xml:space="preserve">arvien lielāka vēlme ieguldīt ilgtermiņa un </w:t>
      </w:r>
      <w:proofErr w:type="spellStart"/>
      <w:r w:rsidR="005D3D36">
        <w:t>ultra</w:t>
      </w:r>
      <w:proofErr w:type="spellEnd"/>
      <w:r w:rsidR="005D3D36">
        <w:t xml:space="preserve">-ilgtermiņa </w:t>
      </w:r>
      <w:r w:rsidR="00240A47">
        <w:t>obligācijās</w:t>
      </w:r>
      <w:r w:rsidR="005D3D36">
        <w:t>.</w:t>
      </w:r>
      <w:r w:rsidR="00240A47">
        <w:t xml:space="preserve"> </w:t>
      </w:r>
      <w:r w:rsidR="006A391B">
        <w:t xml:space="preserve">  </w:t>
      </w:r>
    </w:p>
    <w:p w14:paraId="577C0215" w14:textId="380082A6" w:rsidR="009B706A" w:rsidRDefault="00336790" w:rsidP="00F07ADA">
      <w:pPr>
        <w:ind w:firstLine="720"/>
        <w:jc w:val="both"/>
      </w:pPr>
      <w:r w:rsidRPr="00393AFB">
        <w:rPr>
          <w:color w:val="000000" w:themeColor="text1"/>
        </w:rPr>
        <w:lastRenderedPageBreak/>
        <w:t>ESM 2016.gadā sāk</w:t>
      </w:r>
      <w:r w:rsidR="002C13FC">
        <w:rPr>
          <w:color w:val="000000" w:themeColor="text1"/>
        </w:rPr>
        <w:t>a</w:t>
      </w:r>
      <w:r w:rsidRPr="00393AFB">
        <w:rPr>
          <w:color w:val="000000" w:themeColor="text1"/>
        </w:rPr>
        <w:t xml:space="preserve"> emitēt obligācijas saskaņā ar Vācijas </w:t>
      </w:r>
      <w:r w:rsidR="00607189">
        <w:rPr>
          <w:color w:val="000000" w:themeColor="text1"/>
        </w:rPr>
        <w:t>tiesību aktiem</w:t>
      </w:r>
      <w:r w:rsidRPr="00393AFB">
        <w:rPr>
          <w:color w:val="000000" w:themeColor="text1"/>
        </w:rPr>
        <w:t xml:space="preserve"> – N-obligācijas (</w:t>
      </w:r>
      <w:proofErr w:type="spellStart"/>
      <w:r w:rsidRPr="00896C7F">
        <w:rPr>
          <w:i/>
          <w:color w:val="000000" w:themeColor="text1"/>
        </w:rPr>
        <w:t>Namensschulderschreibungen</w:t>
      </w:r>
      <w:proofErr w:type="spellEnd"/>
      <w:r w:rsidRPr="00393AFB">
        <w:rPr>
          <w:color w:val="000000" w:themeColor="text1"/>
        </w:rPr>
        <w:t xml:space="preserve">), kas </w:t>
      </w:r>
      <w:r w:rsidR="002C13FC">
        <w:rPr>
          <w:color w:val="000000" w:themeColor="text1"/>
        </w:rPr>
        <w:t>ļauj</w:t>
      </w:r>
      <w:r w:rsidRPr="00393AFB">
        <w:rPr>
          <w:color w:val="000000" w:themeColor="text1"/>
        </w:rPr>
        <w:t xml:space="preserve"> paplašinā</w:t>
      </w:r>
      <w:r w:rsidR="005F4C6F">
        <w:rPr>
          <w:color w:val="000000" w:themeColor="text1"/>
        </w:rPr>
        <w:t>t ESM parāda portfeļa struktūru,</w:t>
      </w:r>
      <w:r w:rsidRPr="00393AFB">
        <w:rPr>
          <w:color w:val="000000" w:themeColor="text1"/>
        </w:rPr>
        <w:t xml:space="preserve"> </w:t>
      </w:r>
      <w:r w:rsidR="005F4C6F">
        <w:rPr>
          <w:color w:val="000000" w:themeColor="text1"/>
        </w:rPr>
        <w:t>t</w:t>
      </w:r>
      <w:r w:rsidRPr="00393AFB">
        <w:rPr>
          <w:color w:val="000000" w:themeColor="text1"/>
        </w:rPr>
        <w:t xml:space="preserve">āpat arī </w:t>
      </w:r>
      <w:r w:rsidR="002C13FC">
        <w:rPr>
          <w:color w:val="000000" w:themeColor="text1"/>
        </w:rPr>
        <w:t>ļauj</w:t>
      </w:r>
      <w:r w:rsidRPr="00393AFB">
        <w:rPr>
          <w:color w:val="000000" w:themeColor="text1"/>
        </w:rPr>
        <w:t xml:space="preserve"> paplašināt investoru </w:t>
      </w:r>
      <w:r>
        <w:rPr>
          <w:color w:val="000000" w:themeColor="text1"/>
        </w:rPr>
        <w:t>bāzi, piedāvājot jaunas investīciju iespējas, galvenokārt</w:t>
      </w:r>
      <w:r w:rsidR="005F4C6F">
        <w:rPr>
          <w:color w:val="000000" w:themeColor="text1"/>
        </w:rPr>
        <w:t>,</w:t>
      </w:r>
      <w:r>
        <w:rPr>
          <w:color w:val="000000" w:themeColor="text1"/>
        </w:rPr>
        <w:t xml:space="preserve"> ilgtermiņa finansējuma piesaistei.</w:t>
      </w:r>
      <w:r w:rsidR="002C13FC">
        <w:rPr>
          <w:color w:val="000000" w:themeColor="text1"/>
        </w:rPr>
        <w:t xml:space="preserve"> </w:t>
      </w:r>
      <w:r w:rsidR="00CF5ED7" w:rsidRPr="00735274">
        <w:t>201</w:t>
      </w:r>
      <w:r>
        <w:t>6</w:t>
      </w:r>
      <w:r w:rsidR="00CF5ED7" w:rsidRPr="00735274">
        <w:t>.gadā ESM aktīvi turpināja īstermiņa finansējuma piesaisti, regulāri īstenojot 3 mēnešu un 6 mēnešu parādzīmju izsoles</w:t>
      </w:r>
      <w:r w:rsidR="005F4C6F">
        <w:t>.</w:t>
      </w:r>
      <w:r w:rsidR="000753CB">
        <w:t xml:space="preserve"> </w:t>
      </w:r>
      <w:r w:rsidR="005F4C6F">
        <w:t>K</w:t>
      </w:r>
      <w:r w:rsidR="00CF5ED7" w:rsidRPr="00735274">
        <w:t xml:space="preserve">opumā </w:t>
      </w:r>
      <w:r w:rsidR="005F4C6F">
        <w:t>ESM</w:t>
      </w:r>
      <w:r w:rsidR="00CF5ED7" w:rsidRPr="00735274">
        <w:t xml:space="preserve"> </w:t>
      </w:r>
      <w:r w:rsidR="00F179D2" w:rsidRPr="00735274">
        <w:t>piesaistīja</w:t>
      </w:r>
      <w:r w:rsidR="00CF5ED7" w:rsidRPr="00735274">
        <w:t xml:space="preserve"> parādzīmes </w:t>
      </w:r>
      <w:r>
        <w:t>35</w:t>
      </w:r>
      <w:r w:rsidR="00CF5ED7" w:rsidRPr="00735274">
        <w:t xml:space="preserve"> mljrd. </w:t>
      </w:r>
      <w:proofErr w:type="spellStart"/>
      <w:r w:rsidR="00CF5ED7" w:rsidRPr="00735274">
        <w:rPr>
          <w:i/>
        </w:rPr>
        <w:t>euro</w:t>
      </w:r>
      <w:proofErr w:type="spellEnd"/>
      <w:r>
        <w:t xml:space="preserve"> apmērā, </w:t>
      </w:r>
      <w:r w:rsidR="005F4C6F">
        <w:t>kas</w:t>
      </w:r>
      <w:r>
        <w:t xml:space="preserve"> ir īpašs sasniegums ņemot vērā, ka parādzīmes tika izlaistas ar negatīvām likmēm.</w:t>
      </w:r>
    </w:p>
    <w:p w14:paraId="06A0DD12" w14:textId="15204D60" w:rsidR="005D083C" w:rsidRPr="00735274" w:rsidRDefault="005D083C" w:rsidP="00F07ADA">
      <w:pPr>
        <w:ind w:firstLine="720"/>
        <w:jc w:val="both"/>
      </w:pPr>
      <w:r>
        <w:t xml:space="preserve">Savukārt 2017.gadā ESM uzsāka dolāra emitēšanas programmu, lai paplašinātu investoru bāzi.  </w:t>
      </w:r>
      <w:r w:rsidR="000D4194">
        <w:t xml:space="preserve">2017.gada 24.oktobrī </w:t>
      </w:r>
      <w:r>
        <w:t xml:space="preserve">emitēja </w:t>
      </w:r>
      <w:r w:rsidR="000D4194">
        <w:t xml:space="preserve">dolāru </w:t>
      </w:r>
      <w:r>
        <w:t>obligācijas finanšu tirgos</w:t>
      </w:r>
      <w:r w:rsidR="000D4194">
        <w:t xml:space="preserve"> 5 gadu obligācijas</w:t>
      </w:r>
      <w:r>
        <w:t>.</w:t>
      </w:r>
    </w:p>
    <w:p w14:paraId="0747D21F" w14:textId="5601DA43" w:rsidR="0066772C" w:rsidRPr="000D4194" w:rsidRDefault="0066772C" w:rsidP="00F07ADA">
      <w:pPr>
        <w:ind w:firstLine="720"/>
        <w:jc w:val="both"/>
        <w:rPr>
          <w:color w:val="000000" w:themeColor="text1"/>
        </w:rPr>
      </w:pPr>
      <w:r w:rsidRPr="0066772C">
        <w:rPr>
          <w:color w:val="000000" w:themeColor="text1"/>
        </w:rPr>
        <w:t>I</w:t>
      </w:r>
      <w:r w:rsidR="000E3AB8" w:rsidRPr="0066772C">
        <w:rPr>
          <w:color w:val="000000" w:themeColor="text1"/>
        </w:rPr>
        <w:t>lgtermiņa piesaistīto resursu</w:t>
      </w:r>
      <w:r w:rsidR="00813AE6" w:rsidRPr="0066772C">
        <w:rPr>
          <w:color w:val="000000" w:themeColor="text1"/>
        </w:rPr>
        <w:t xml:space="preserve"> apjoma mērķis 201</w:t>
      </w:r>
      <w:r w:rsidR="005D083C">
        <w:rPr>
          <w:color w:val="000000" w:themeColor="text1"/>
        </w:rPr>
        <w:t>8</w:t>
      </w:r>
      <w:r w:rsidR="00813AE6" w:rsidRPr="0066772C">
        <w:rPr>
          <w:color w:val="000000" w:themeColor="text1"/>
        </w:rPr>
        <w:t xml:space="preserve">.gadam </w:t>
      </w:r>
      <w:r w:rsidR="000D4194">
        <w:rPr>
          <w:color w:val="000000" w:themeColor="text1"/>
        </w:rPr>
        <w:t>bija</w:t>
      </w:r>
      <w:r w:rsidR="00981C09">
        <w:rPr>
          <w:color w:val="000000" w:themeColor="text1"/>
        </w:rPr>
        <w:t xml:space="preserve"> noteikts</w:t>
      </w:r>
      <w:r w:rsidR="00981C09" w:rsidRPr="0066772C">
        <w:rPr>
          <w:color w:val="000000" w:themeColor="text1"/>
        </w:rPr>
        <w:t xml:space="preserve"> </w:t>
      </w:r>
      <w:r w:rsidR="000D4194">
        <w:rPr>
          <w:color w:val="000000" w:themeColor="text1"/>
        </w:rPr>
        <w:t>23</w:t>
      </w:r>
      <w:r w:rsidR="000E3AB8" w:rsidRPr="0066772C">
        <w:rPr>
          <w:color w:val="000000" w:themeColor="text1"/>
        </w:rPr>
        <w:t xml:space="preserve"> mljrd. </w:t>
      </w:r>
      <w:proofErr w:type="spellStart"/>
      <w:r w:rsidR="000D4194">
        <w:rPr>
          <w:i/>
          <w:color w:val="000000" w:themeColor="text1"/>
        </w:rPr>
        <w:t>euro</w:t>
      </w:r>
      <w:proofErr w:type="spellEnd"/>
      <w:r w:rsidR="000D4194">
        <w:rPr>
          <w:color w:val="000000" w:themeColor="text1"/>
        </w:rPr>
        <w:t xml:space="preserve">, tomēr, ņemot vērā Spānijas ātrāku atmaksu, mērķis tika samazināts līdz 18 </w:t>
      </w:r>
      <w:r w:rsidR="000D4194" w:rsidRPr="0066772C">
        <w:rPr>
          <w:color w:val="000000" w:themeColor="text1"/>
        </w:rPr>
        <w:t xml:space="preserve">mljrd. </w:t>
      </w:r>
      <w:proofErr w:type="spellStart"/>
      <w:r w:rsidR="000D4194">
        <w:rPr>
          <w:i/>
          <w:color w:val="000000" w:themeColor="text1"/>
        </w:rPr>
        <w:t>euro</w:t>
      </w:r>
      <w:proofErr w:type="spellEnd"/>
      <w:r w:rsidR="000D4194">
        <w:rPr>
          <w:i/>
          <w:color w:val="000000" w:themeColor="text1"/>
        </w:rPr>
        <w:t>.</w:t>
      </w:r>
    </w:p>
    <w:p w14:paraId="24573226" w14:textId="77777777" w:rsidR="00955B5B" w:rsidRPr="00884942" w:rsidRDefault="00955B5B" w:rsidP="00240A47">
      <w:pPr>
        <w:pStyle w:val="ListParagraph"/>
        <w:spacing w:after="120"/>
        <w:ind w:left="0"/>
        <w:jc w:val="center"/>
        <w:rPr>
          <w:b/>
        </w:rPr>
      </w:pPr>
    </w:p>
    <w:p w14:paraId="402BA5AF" w14:textId="3C28BC38" w:rsidR="00102197" w:rsidRPr="00896C7F" w:rsidRDefault="005266B8" w:rsidP="00102197">
      <w:pPr>
        <w:pStyle w:val="ListParagraph"/>
        <w:ind w:left="0"/>
        <w:jc w:val="center"/>
        <w:rPr>
          <w:b/>
          <w:color w:val="000000" w:themeColor="text1"/>
        </w:rPr>
      </w:pPr>
      <w:r w:rsidRPr="00896C7F">
        <w:rPr>
          <w:b/>
          <w:color w:val="000000" w:themeColor="text1"/>
        </w:rPr>
        <w:t>3</w:t>
      </w:r>
      <w:r w:rsidR="00D226CF" w:rsidRPr="00896C7F">
        <w:rPr>
          <w:b/>
          <w:color w:val="000000" w:themeColor="text1"/>
        </w:rPr>
        <w:t xml:space="preserve">. </w:t>
      </w:r>
      <w:r w:rsidRPr="00896C7F">
        <w:rPr>
          <w:b/>
          <w:color w:val="000000" w:themeColor="text1"/>
        </w:rPr>
        <w:t>ESM 201</w:t>
      </w:r>
      <w:r w:rsidR="00246F94">
        <w:rPr>
          <w:b/>
          <w:color w:val="000000" w:themeColor="text1"/>
        </w:rPr>
        <w:t>7</w:t>
      </w:r>
      <w:r w:rsidR="00102197" w:rsidRPr="00896C7F">
        <w:rPr>
          <w:b/>
          <w:color w:val="000000" w:themeColor="text1"/>
        </w:rPr>
        <w:t xml:space="preserve">.gada </w:t>
      </w:r>
      <w:r w:rsidR="00FF6896">
        <w:rPr>
          <w:b/>
          <w:color w:val="000000" w:themeColor="text1"/>
        </w:rPr>
        <w:t xml:space="preserve">galvenie </w:t>
      </w:r>
      <w:r w:rsidR="00102197" w:rsidRPr="00896C7F">
        <w:rPr>
          <w:b/>
          <w:color w:val="000000" w:themeColor="text1"/>
        </w:rPr>
        <w:t>finanšu darbības rezultāti</w:t>
      </w:r>
    </w:p>
    <w:p w14:paraId="65800828" w14:textId="77777777" w:rsidR="005266B8" w:rsidRPr="00884942" w:rsidRDefault="005266B8" w:rsidP="00102197">
      <w:pPr>
        <w:ind w:firstLine="720"/>
        <w:jc w:val="both"/>
      </w:pPr>
    </w:p>
    <w:p w14:paraId="7BC5E1B6" w14:textId="244609B9" w:rsidR="00461FE6" w:rsidRDefault="004F31B4" w:rsidP="00F07ADA">
      <w:pPr>
        <w:ind w:firstLine="720"/>
        <w:jc w:val="both"/>
      </w:pPr>
      <w:r w:rsidRPr="00DB2CBD">
        <w:t>Saskaņā ar ESM 201</w:t>
      </w:r>
      <w:r w:rsidR="003537F5">
        <w:t>7</w:t>
      </w:r>
      <w:r w:rsidR="00102197" w:rsidRPr="00DB2CBD">
        <w:t xml:space="preserve">.gada </w:t>
      </w:r>
      <w:r w:rsidRPr="00DB2CBD">
        <w:t>finanšu</w:t>
      </w:r>
      <w:r w:rsidR="00102197" w:rsidRPr="00DB2CBD">
        <w:t xml:space="preserve"> pārska</w:t>
      </w:r>
      <w:r w:rsidRPr="00DB2CBD">
        <w:t xml:space="preserve">tu, ESM </w:t>
      </w:r>
      <w:r w:rsidR="003A3BCE">
        <w:t>kopējā bilance</w:t>
      </w:r>
      <w:r w:rsidRPr="00DB2CBD">
        <w:t xml:space="preserve"> bija 7</w:t>
      </w:r>
      <w:r w:rsidR="009561B3">
        <w:t>9</w:t>
      </w:r>
      <w:r w:rsidR="003537F5">
        <w:t>7,0</w:t>
      </w:r>
      <w:r w:rsidRPr="00DB2CBD">
        <w:t xml:space="preserve"> mljrd. </w:t>
      </w:r>
      <w:proofErr w:type="spellStart"/>
      <w:r w:rsidRPr="00DB2CBD">
        <w:rPr>
          <w:i/>
        </w:rPr>
        <w:t>euro</w:t>
      </w:r>
      <w:proofErr w:type="spellEnd"/>
      <w:r w:rsidRPr="00DB2CBD">
        <w:rPr>
          <w:i/>
        </w:rPr>
        <w:t xml:space="preserve">, </w:t>
      </w:r>
      <w:r w:rsidRPr="00DB2CBD">
        <w:t xml:space="preserve">kas ir </w:t>
      </w:r>
      <w:r w:rsidR="00D525B8">
        <w:t>palielinājums</w:t>
      </w:r>
      <w:r w:rsidRPr="00DB2CBD">
        <w:t xml:space="preserve"> par </w:t>
      </w:r>
      <w:r w:rsidR="003537F5">
        <w:t>3</w:t>
      </w:r>
      <w:r w:rsidR="00D525B8">
        <w:t>,</w:t>
      </w:r>
      <w:r w:rsidR="003537F5">
        <w:t>9</w:t>
      </w:r>
      <w:r w:rsidRPr="00DB2CBD">
        <w:t xml:space="preserve"> mljrd. </w:t>
      </w:r>
      <w:proofErr w:type="spellStart"/>
      <w:r w:rsidRPr="00DB2CBD">
        <w:rPr>
          <w:i/>
        </w:rPr>
        <w:t>euro</w:t>
      </w:r>
      <w:proofErr w:type="spellEnd"/>
      <w:r w:rsidRPr="00DB2CBD">
        <w:t xml:space="preserve">, salīdzinot ar iepriekšējo pārskata gadu. Galvenais </w:t>
      </w:r>
      <w:r w:rsidR="00D525B8">
        <w:t>palielinājuma</w:t>
      </w:r>
      <w:r w:rsidRPr="00DB2CBD">
        <w:t xml:space="preserve"> iemesls saistāms ar </w:t>
      </w:r>
      <w:r w:rsidR="00D525B8">
        <w:t xml:space="preserve">aizdevuma piešķiršanu </w:t>
      </w:r>
      <w:r w:rsidR="003537F5">
        <w:t>Grieķijai.</w:t>
      </w:r>
      <w:r w:rsidR="00151A50">
        <w:t xml:space="preserve"> </w:t>
      </w:r>
    </w:p>
    <w:p w14:paraId="010E0810" w14:textId="7035AD47" w:rsidR="009561B3" w:rsidRDefault="009561B3" w:rsidP="00F07ADA">
      <w:pPr>
        <w:ind w:firstLine="720"/>
        <w:jc w:val="both"/>
      </w:pPr>
      <w:r>
        <w:t>Uz 201</w:t>
      </w:r>
      <w:r w:rsidR="003537F5">
        <w:t>7</w:t>
      </w:r>
      <w:r>
        <w:t xml:space="preserve">.gada 31.decembri </w:t>
      </w:r>
      <w:r w:rsidRPr="00FE30BC">
        <w:t>80,</w:t>
      </w:r>
      <w:r w:rsidR="00171469">
        <w:t>4</w:t>
      </w:r>
      <w:r>
        <w:rPr>
          <w:i/>
        </w:rPr>
        <w:t xml:space="preserve"> </w:t>
      </w:r>
      <w:r w:rsidRPr="00792523">
        <w:t>mljrd</w:t>
      </w:r>
      <w:r>
        <w:rPr>
          <w:i/>
        </w:rPr>
        <w:t xml:space="preserve">. </w:t>
      </w:r>
      <w:proofErr w:type="spellStart"/>
      <w:r w:rsidR="00792523">
        <w:rPr>
          <w:i/>
        </w:rPr>
        <w:t>euro</w:t>
      </w:r>
      <w:proofErr w:type="spellEnd"/>
      <w:r>
        <w:t xml:space="preserve"> </w:t>
      </w:r>
      <w:r w:rsidR="00AA3373" w:rsidRPr="00F33108">
        <w:t>apmaksāt</w:t>
      </w:r>
      <w:r w:rsidR="00AA3373">
        <w:t>ā</w:t>
      </w:r>
      <w:r w:rsidR="00AA3373" w:rsidRPr="00F33108">
        <w:t xml:space="preserve"> kapitāl</w:t>
      </w:r>
      <w:r w:rsidR="00AA3373">
        <w:t xml:space="preserve">a, </w:t>
      </w:r>
      <w:r w:rsidR="00736A7E" w:rsidRPr="00736A7E">
        <w:t>ko iemaksājušas visas dalībnieces</w:t>
      </w:r>
      <w:r w:rsidR="00736A7E">
        <w:t>,</w:t>
      </w:r>
      <w:r w:rsidR="00AA3373" w:rsidRPr="00F33108">
        <w:t xml:space="preserve"> </w:t>
      </w:r>
      <w:r>
        <w:t>tika</w:t>
      </w:r>
      <w:r w:rsidR="00171469">
        <w:t xml:space="preserve"> investēti parāda vērstpapīros un naudas tirgus instrumentos vai turēti kā skaidra nauda</w:t>
      </w:r>
      <w:r>
        <w:t>.</w:t>
      </w:r>
    </w:p>
    <w:p w14:paraId="532B87A7" w14:textId="7F386A3C" w:rsidR="00AA3373" w:rsidRDefault="00AA3373" w:rsidP="00F07ADA">
      <w:pPr>
        <w:ind w:firstLine="694"/>
        <w:jc w:val="both"/>
      </w:pPr>
      <w:r>
        <w:t>201</w:t>
      </w:r>
      <w:r w:rsidR="00F03812">
        <w:t>7</w:t>
      </w:r>
      <w:r>
        <w:t xml:space="preserve">.gadā ESM peļņa </w:t>
      </w:r>
      <w:r w:rsidRPr="00996C40">
        <w:t>sastādīja 68</w:t>
      </w:r>
      <w:r w:rsidR="00996C40" w:rsidRPr="00996C40">
        <w:t>,</w:t>
      </w:r>
      <w:r w:rsidR="00F03812">
        <w:t>6</w:t>
      </w:r>
      <w:r w:rsidR="00996C40">
        <w:t xml:space="preserve"> milj. </w:t>
      </w:r>
      <w:proofErr w:type="spellStart"/>
      <w:r>
        <w:rPr>
          <w:i/>
        </w:rPr>
        <w:t>euro</w:t>
      </w:r>
      <w:proofErr w:type="spellEnd"/>
      <w:r>
        <w:t>, kas salīdzinot ar 201</w:t>
      </w:r>
      <w:r w:rsidR="00F03812">
        <w:t>6</w:t>
      </w:r>
      <w:r>
        <w:t xml:space="preserve">. gadu ir par </w:t>
      </w:r>
      <w:r w:rsidR="00F03812">
        <w:t>500</w:t>
      </w:r>
      <w:r>
        <w:t>,</w:t>
      </w:r>
      <w:r w:rsidR="00F03812">
        <w:t>2</w:t>
      </w:r>
      <w:r>
        <w:t xml:space="preserve"> milj</w:t>
      </w:r>
      <w:r w:rsidR="00996C40">
        <w:t>.</w:t>
      </w:r>
      <w:r>
        <w:t xml:space="preserve"> </w:t>
      </w:r>
      <w:proofErr w:type="spellStart"/>
      <w:r>
        <w:rPr>
          <w:i/>
        </w:rPr>
        <w:t>euro</w:t>
      </w:r>
      <w:proofErr w:type="spellEnd"/>
      <w:r>
        <w:t xml:space="preserve"> mazāk</w:t>
      </w:r>
      <w:r w:rsidR="000430F2">
        <w:t xml:space="preserve"> (skatīt 3.tabulu)</w:t>
      </w:r>
      <w:r>
        <w:t xml:space="preserve">. </w:t>
      </w:r>
      <w:r w:rsidR="00F03812" w:rsidRPr="00F03812">
        <w:t xml:space="preserve">Minētais kritums peļņā galvenokārt saistīts ar negatīvu procentu maksājumiem. </w:t>
      </w:r>
      <w:r>
        <w:t>ESM Valde</w:t>
      </w:r>
      <w:r w:rsidR="00FE30BC">
        <w:t xml:space="preserve"> 201</w:t>
      </w:r>
      <w:r w:rsidR="00F03812">
        <w:t>8</w:t>
      </w:r>
      <w:r w:rsidR="00FE30BC">
        <w:t xml:space="preserve">.gada </w:t>
      </w:r>
      <w:r w:rsidR="00F03812">
        <w:t>21</w:t>
      </w:r>
      <w:r w:rsidR="00FE30BC">
        <w:t>.jūnijā</w:t>
      </w:r>
      <w:r>
        <w:t xml:space="preserve"> lēma rezerves fondā novirzīt visus </w:t>
      </w:r>
      <w:r w:rsidR="007B55FB" w:rsidRPr="00996C40">
        <w:t>68,</w:t>
      </w:r>
      <w:r w:rsidR="00F03812">
        <w:t>6</w:t>
      </w:r>
      <w:r w:rsidR="007B55FB">
        <w:t xml:space="preserve"> milj. </w:t>
      </w:r>
      <w:proofErr w:type="spellStart"/>
      <w:r>
        <w:rPr>
          <w:i/>
        </w:rPr>
        <w:t>euro</w:t>
      </w:r>
      <w:proofErr w:type="spellEnd"/>
      <w:r>
        <w:t>, ko veido 201</w:t>
      </w:r>
      <w:r w:rsidR="00F03812">
        <w:t>7</w:t>
      </w:r>
      <w:r w:rsidR="00FE30BC">
        <w:t xml:space="preserve">.gada peļņa, nevis </w:t>
      </w:r>
      <w:r w:rsidR="00981C09">
        <w:t>izmaksāt</w:t>
      </w:r>
      <w:r>
        <w:t xml:space="preserve"> </w:t>
      </w:r>
      <w:r w:rsidR="00FE30BC">
        <w:t>dividendēs</w:t>
      </w:r>
      <w:r>
        <w:t>. Šāda lēmuma mērķis ir uzkrāt līdzekļus rezerves fondā, lai nodrošinātu drošības spilvenu iespējamiem zaudējumiem nākotnē un mazinātu risku, ka būtu jāizmanto kapitāla iesaukšana uz pieprasījuma</w:t>
      </w:r>
      <w:r w:rsidR="00FE30BC">
        <w:t>, kam būtu negatīva ietekme uz akcionāru vispārējās valdības budžeta bilanci</w:t>
      </w:r>
      <w:r>
        <w:t>. Jāatzīmē, ka arī iepriekšējos gados ESM peļņa tika pilnā apjomā ieskaitīta rezerves fondā.</w:t>
      </w:r>
      <w:r w:rsidR="00A72D4B">
        <w:t xml:space="preserve"> Uz 201</w:t>
      </w:r>
      <w:r w:rsidR="003537F5">
        <w:t>7</w:t>
      </w:r>
      <w:r w:rsidR="00A72D4B">
        <w:t>.gada 31.decembri rezerves fonda atlikums</w:t>
      </w:r>
      <w:r w:rsidRPr="00A72D4B">
        <w:t xml:space="preserve"> </w:t>
      </w:r>
      <w:r w:rsidR="00A72D4B">
        <w:t xml:space="preserve">ir </w:t>
      </w:r>
      <w:r w:rsidR="00F03812">
        <w:t>2</w:t>
      </w:r>
      <w:r w:rsidR="00A72D4B">
        <w:t>,</w:t>
      </w:r>
      <w:r w:rsidR="00F03812">
        <w:t>0</w:t>
      </w:r>
      <w:r w:rsidR="00A72D4B">
        <w:t xml:space="preserve"> mljrd.</w:t>
      </w:r>
      <w:r w:rsidR="00151A50">
        <w:t> </w:t>
      </w:r>
      <w:proofErr w:type="spellStart"/>
      <w:r w:rsidR="00A72D4B">
        <w:rPr>
          <w:i/>
        </w:rPr>
        <w:t>euro</w:t>
      </w:r>
      <w:proofErr w:type="spellEnd"/>
      <w:r w:rsidR="00A72D4B">
        <w:t xml:space="preserve">. </w:t>
      </w:r>
    </w:p>
    <w:p w14:paraId="5E7234CC" w14:textId="77777777" w:rsidR="00392FC8" w:rsidRDefault="00392FC8" w:rsidP="00F07ADA">
      <w:pPr>
        <w:ind w:firstLine="694"/>
        <w:jc w:val="both"/>
      </w:pPr>
    </w:p>
    <w:p w14:paraId="757968B8" w14:textId="44962777" w:rsidR="00AA3373" w:rsidRPr="006E7176" w:rsidRDefault="005871E8" w:rsidP="002018E8">
      <w:pPr>
        <w:spacing w:after="120"/>
        <w:jc w:val="right"/>
        <w:rPr>
          <w:b/>
          <w:i/>
          <w:sz w:val="20"/>
          <w:szCs w:val="20"/>
        </w:rPr>
      </w:pPr>
      <w:r>
        <w:rPr>
          <w:b/>
          <w:i/>
          <w:color w:val="000000"/>
          <w:sz w:val="20"/>
        </w:rPr>
        <w:t>3</w:t>
      </w:r>
      <w:r w:rsidR="00FE30BC" w:rsidRPr="006E7176">
        <w:rPr>
          <w:b/>
          <w:i/>
          <w:color w:val="000000"/>
          <w:sz w:val="20"/>
        </w:rPr>
        <w:t>.tabula</w:t>
      </w:r>
      <w:r w:rsidR="00936759">
        <w:rPr>
          <w:b/>
          <w:i/>
          <w:color w:val="000000"/>
          <w:sz w:val="20"/>
        </w:rPr>
        <w:t xml:space="preserve">. </w:t>
      </w:r>
      <w:r w:rsidR="00AA3373" w:rsidRPr="006E7176">
        <w:rPr>
          <w:b/>
          <w:i/>
          <w:color w:val="000000"/>
          <w:sz w:val="20"/>
        </w:rPr>
        <w:t xml:space="preserve">ESM peļņa vai zaudējums attiecīgajā gadā kopš ESM dibināšanas (milj. </w:t>
      </w:r>
      <w:proofErr w:type="spellStart"/>
      <w:r w:rsidR="00AA3373" w:rsidRPr="006E7176">
        <w:rPr>
          <w:b/>
          <w:i/>
          <w:color w:val="000000"/>
          <w:sz w:val="20"/>
        </w:rPr>
        <w:t>euro</w:t>
      </w:r>
      <w:proofErr w:type="spellEnd"/>
      <w:r w:rsidR="00AA3373" w:rsidRPr="006E7176">
        <w:rPr>
          <w:b/>
          <w:i/>
          <w:color w:val="000000"/>
          <w:sz w:val="20"/>
        </w:rPr>
        <w:t>)</w:t>
      </w:r>
    </w:p>
    <w:tbl>
      <w:tblPr>
        <w:tblW w:w="811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59"/>
        <w:gridCol w:w="809"/>
        <w:gridCol w:w="828"/>
        <w:gridCol w:w="829"/>
        <w:gridCol w:w="877"/>
        <w:gridCol w:w="855"/>
        <w:gridCol w:w="855"/>
      </w:tblGrid>
      <w:tr w:rsidR="003537F5" w:rsidRPr="006E7176" w14:paraId="4E4C0BAF" w14:textId="61AB7ADA" w:rsidTr="003537F5">
        <w:trPr>
          <w:jc w:val="center"/>
        </w:trPr>
        <w:tc>
          <w:tcPr>
            <w:tcW w:w="3059" w:type="dxa"/>
            <w:tcBorders>
              <w:top w:val="single" w:sz="4" w:space="0" w:color="BFBFBF"/>
              <w:left w:val="single" w:sz="4" w:space="0" w:color="BFBFBF"/>
              <w:bottom w:val="single" w:sz="4" w:space="0" w:color="BFBFBF"/>
              <w:right w:val="single" w:sz="4" w:space="0" w:color="BFBFBF"/>
            </w:tcBorders>
            <w:shd w:val="clear" w:color="auto" w:fill="9CC2E5"/>
          </w:tcPr>
          <w:p w14:paraId="4DB357AC" w14:textId="77777777" w:rsidR="003537F5" w:rsidRPr="006E7176" w:rsidRDefault="003537F5" w:rsidP="00DE49E2">
            <w:pPr>
              <w:ind w:right="127"/>
              <w:jc w:val="right"/>
              <w:rPr>
                <w:color w:val="000000"/>
                <w:sz w:val="20"/>
                <w:szCs w:val="18"/>
              </w:rPr>
            </w:pPr>
          </w:p>
        </w:tc>
        <w:tc>
          <w:tcPr>
            <w:tcW w:w="809" w:type="dxa"/>
            <w:tcBorders>
              <w:top w:val="single" w:sz="4" w:space="0" w:color="BFBFBF"/>
              <w:left w:val="single" w:sz="4" w:space="0" w:color="BFBFBF"/>
              <w:bottom w:val="single" w:sz="4" w:space="0" w:color="BFBFBF"/>
              <w:right w:val="single" w:sz="4" w:space="0" w:color="BFBFBF"/>
            </w:tcBorders>
            <w:shd w:val="clear" w:color="auto" w:fill="9CC2E5"/>
            <w:hideMark/>
          </w:tcPr>
          <w:p w14:paraId="743752FF" w14:textId="77777777" w:rsidR="003537F5" w:rsidRPr="006E7176" w:rsidRDefault="003537F5" w:rsidP="00DE49E2">
            <w:pPr>
              <w:ind w:left="-168" w:right="-81"/>
              <w:jc w:val="center"/>
              <w:rPr>
                <w:b/>
                <w:color w:val="000000"/>
                <w:sz w:val="20"/>
                <w:szCs w:val="18"/>
              </w:rPr>
            </w:pPr>
            <w:r w:rsidRPr="006E7176">
              <w:rPr>
                <w:b/>
                <w:color w:val="000000"/>
                <w:sz w:val="20"/>
                <w:szCs w:val="18"/>
              </w:rPr>
              <w:t>2012</w:t>
            </w:r>
          </w:p>
        </w:tc>
        <w:tc>
          <w:tcPr>
            <w:tcW w:w="828" w:type="dxa"/>
            <w:tcBorders>
              <w:top w:val="single" w:sz="4" w:space="0" w:color="BFBFBF"/>
              <w:left w:val="single" w:sz="4" w:space="0" w:color="BFBFBF"/>
              <w:bottom w:val="single" w:sz="4" w:space="0" w:color="BFBFBF"/>
              <w:right w:val="single" w:sz="4" w:space="0" w:color="BFBFBF"/>
            </w:tcBorders>
            <w:shd w:val="clear" w:color="auto" w:fill="9CC2E5"/>
            <w:hideMark/>
          </w:tcPr>
          <w:p w14:paraId="097807F6" w14:textId="77777777" w:rsidR="003537F5" w:rsidRPr="006E7176" w:rsidRDefault="003537F5" w:rsidP="00DE49E2">
            <w:pPr>
              <w:ind w:left="-168" w:right="-81"/>
              <w:jc w:val="center"/>
              <w:rPr>
                <w:b/>
                <w:color w:val="000000"/>
                <w:sz w:val="20"/>
                <w:szCs w:val="18"/>
              </w:rPr>
            </w:pPr>
            <w:r w:rsidRPr="006E7176">
              <w:rPr>
                <w:b/>
                <w:color w:val="000000"/>
                <w:sz w:val="20"/>
                <w:szCs w:val="18"/>
              </w:rPr>
              <w:t>2013</w:t>
            </w:r>
          </w:p>
        </w:tc>
        <w:tc>
          <w:tcPr>
            <w:tcW w:w="829" w:type="dxa"/>
            <w:tcBorders>
              <w:top w:val="single" w:sz="4" w:space="0" w:color="BFBFBF"/>
              <w:left w:val="single" w:sz="4" w:space="0" w:color="BFBFBF"/>
              <w:bottom w:val="single" w:sz="4" w:space="0" w:color="BFBFBF"/>
              <w:right w:val="single" w:sz="4" w:space="0" w:color="BFBFBF"/>
            </w:tcBorders>
            <w:shd w:val="clear" w:color="auto" w:fill="9CC2E5"/>
            <w:hideMark/>
          </w:tcPr>
          <w:p w14:paraId="5CD61DA4" w14:textId="77777777" w:rsidR="003537F5" w:rsidRPr="006E7176" w:rsidRDefault="003537F5" w:rsidP="00DE49E2">
            <w:pPr>
              <w:ind w:left="-168" w:right="-81"/>
              <w:jc w:val="center"/>
              <w:rPr>
                <w:b/>
                <w:color w:val="000000"/>
                <w:sz w:val="20"/>
                <w:szCs w:val="18"/>
              </w:rPr>
            </w:pPr>
            <w:r w:rsidRPr="006E7176">
              <w:rPr>
                <w:b/>
                <w:color w:val="000000"/>
                <w:sz w:val="20"/>
                <w:szCs w:val="18"/>
              </w:rPr>
              <w:t>2014</w:t>
            </w:r>
          </w:p>
        </w:tc>
        <w:tc>
          <w:tcPr>
            <w:tcW w:w="877" w:type="dxa"/>
            <w:tcBorders>
              <w:top w:val="single" w:sz="4" w:space="0" w:color="BFBFBF"/>
              <w:left w:val="single" w:sz="4" w:space="0" w:color="BFBFBF"/>
              <w:bottom w:val="single" w:sz="4" w:space="0" w:color="BFBFBF"/>
              <w:right w:val="single" w:sz="4" w:space="0" w:color="BFBFBF"/>
            </w:tcBorders>
            <w:shd w:val="clear" w:color="auto" w:fill="9CC2E5"/>
            <w:hideMark/>
          </w:tcPr>
          <w:p w14:paraId="1D3BFC0A" w14:textId="77777777" w:rsidR="003537F5" w:rsidRPr="006E7176" w:rsidRDefault="003537F5" w:rsidP="00DE49E2">
            <w:pPr>
              <w:ind w:left="-168" w:right="-81"/>
              <w:jc w:val="center"/>
              <w:rPr>
                <w:b/>
                <w:color w:val="000000"/>
                <w:sz w:val="20"/>
                <w:szCs w:val="18"/>
              </w:rPr>
            </w:pPr>
            <w:r w:rsidRPr="006E7176">
              <w:rPr>
                <w:b/>
                <w:color w:val="000000"/>
                <w:sz w:val="20"/>
                <w:szCs w:val="18"/>
              </w:rPr>
              <w:t>2015</w:t>
            </w:r>
          </w:p>
        </w:tc>
        <w:tc>
          <w:tcPr>
            <w:tcW w:w="855" w:type="dxa"/>
            <w:tcBorders>
              <w:top w:val="single" w:sz="4" w:space="0" w:color="BFBFBF"/>
              <w:left w:val="single" w:sz="4" w:space="0" w:color="BFBFBF"/>
              <w:bottom w:val="single" w:sz="4" w:space="0" w:color="BFBFBF"/>
              <w:right w:val="single" w:sz="4" w:space="0" w:color="BFBFBF"/>
            </w:tcBorders>
            <w:shd w:val="clear" w:color="auto" w:fill="9CC2E5"/>
            <w:hideMark/>
          </w:tcPr>
          <w:p w14:paraId="2140CED8" w14:textId="77777777" w:rsidR="003537F5" w:rsidRPr="006E7176" w:rsidRDefault="003537F5" w:rsidP="00DE49E2">
            <w:pPr>
              <w:ind w:left="-168" w:right="-81"/>
              <w:jc w:val="center"/>
              <w:rPr>
                <w:b/>
                <w:color w:val="000000"/>
                <w:sz w:val="20"/>
                <w:szCs w:val="18"/>
              </w:rPr>
            </w:pPr>
            <w:r w:rsidRPr="006E7176">
              <w:rPr>
                <w:b/>
                <w:color w:val="000000"/>
                <w:sz w:val="20"/>
                <w:szCs w:val="18"/>
              </w:rPr>
              <w:t>2016</w:t>
            </w:r>
          </w:p>
        </w:tc>
        <w:tc>
          <w:tcPr>
            <w:tcW w:w="855" w:type="dxa"/>
            <w:tcBorders>
              <w:top w:val="single" w:sz="4" w:space="0" w:color="BFBFBF"/>
              <w:left w:val="single" w:sz="4" w:space="0" w:color="BFBFBF"/>
              <w:bottom w:val="single" w:sz="4" w:space="0" w:color="BFBFBF"/>
              <w:right w:val="single" w:sz="4" w:space="0" w:color="BFBFBF"/>
            </w:tcBorders>
            <w:shd w:val="clear" w:color="auto" w:fill="9CC2E5"/>
          </w:tcPr>
          <w:p w14:paraId="0A94F143" w14:textId="00D2A23E" w:rsidR="003537F5" w:rsidRPr="006E7176" w:rsidRDefault="003537F5" w:rsidP="00DE49E2">
            <w:pPr>
              <w:ind w:left="-168" w:right="-81"/>
              <w:jc w:val="center"/>
              <w:rPr>
                <w:b/>
                <w:color w:val="000000"/>
                <w:sz w:val="20"/>
                <w:szCs w:val="18"/>
              </w:rPr>
            </w:pPr>
            <w:r>
              <w:rPr>
                <w:b/>
                <w:color w:val="000000"/>
                <w:sz w:val="20"/>
                <w:szCs w:val="18"/>
              </w:rPr>
              <w:t>2017</w:t>
            </w:r>
          </w:p>
        </w:tc>
      </w:tr>
      <w:tr w:rsidR="003537F5" w:rsidRPr="006E7176" w14:paraId="49F31694" w14:textId="0EF858AE" w:rsidTr="00B67230">
        <w:trPr>
          <w:trHeight w:val="383"/>
          <w:jc w:val="center"/>
        </w:trPr>
        <w:tc>
          <w:tcPr>
            <w:tcW w:w="3059" w:type="dxa"/>
            <w:tcBorders>
              <w:top w:val="single" w:sz="4" w:space="0" w:color="BFBFBF"/>
              <w:left w:val="single" w:sz="4" w:space="0" w:color="BFBFBF"/>
              <w:bottom w:val="single" w:sz="4" w:space="0" w:color="BFBFBF"/>
              <w:right w:val="single" w:sz="4" w:space="0" w:color="BFBFBF"/>
            </w:tcBorders>
            <w:vAlign w:val="center"/>
            <w:hideMark/>
          </w:tcPr>
          <w:p w14:paraId="566922E5" w14:textId="77777777" w:rsidR="003537F5" w:rsidRPr="006E7176" w:rsidRDefault="003537F5" w:rsidP="00B67230">
            <w:pPr>
              <w:ind w:right="-71"/>
              <w:rPr>
                <w:i/>
                <w:color w:val="000000"/>
                <w:sz w:val="20"/>
                <w:szCs w:val="18"/>
              </w:rPr>
            </w:pPr>
            <w:r w:rsidRPr="006E7176">
              <w:rPr>
                <w:color w:val="000000"/>
                <w:sz w:val="20"/>
                <w:szCs w:val="18"/>
              </w:rPr>
              <w:t>ESM peļņa vai zaudējums</w:t>
            </w:r>
          </w:p>
        </w:tc>
        <w:tc>
          <w:tcPr>
            <w:tcW w:w="809" w:type="dxa"/>
            <w:tcBorders>
              <w:top w:val="single" w:sz="4" w:space="0" w:color="BFBFBF"/>
              <w:left w:val="single" w:sz="4" w:space="0" w:color="BFBFBF"/>
              <w:bottom w:val="single" w:sz="4" w:space="0" w:color="BFBFBF"/>
              <w:right w:val="single" w:sz="4" w:space="0" w:color="BFBFBF"/>
            </w:tcBorders>
            <w:vAlign w:val="center"/>
            <w:hideMark/>
          </w:tcPr>
          <w:p w14:paraId="1A6CA1BB" w14:textId="77777777" w:rsidR="003537F5" w:rsidRPr="006E7176" w:rsidRDefault="003537F5" w:rsidP="00B67230">
            <w:pPr>
              <w:ind w:left="-168" w:right="-81"/>
              <w:jc w:val="center"/>
              <w:rPr>
                <w:color w:val="000000"/>
                <w:sz w:val="20"/>
                <w:szCs w:val="18"/>
              </w:rPr>
            </w:pPr>
            <w:r w:rsidRPr="006E7176">
              <w:rPr>
                <w:color w:val="000000"/>
                <w:sz w:val="20"/>
                <w:szCs w:val="18"/>
              </w:rPr>
              <w:t>-0,5</w:t>
            </w:r>
          </w:p>
        </w:tc>
        <w:tc>
          <w:tcPr>
            <w:tcW w:w="828" w:type="dxa"/>
            <w:tcBorders>
              <w:top w:val="single" w:sz="4" w:space="0" w:color="BFBFBF"/>
              <w:left w:val="single" w:sz="4" w:space="0" w:color="BFBFBF"/>
              <w:bottom w:val="single" w:sz="4" w:space="0" w:color="BFBFBF"/>
              <w:right w:val="single" w:sz="4" w:space="0" w:color="BFBFBF"/>
            </w:tcBorders>
            <w:vAlign w:val="center"/>
            <w:hideMark/>
          </w:tcPr>
          <w:p w14:paraId="5485440C" w14:textId="77777777" w:rsidR="003537F5" w:rsidRPr="006E7176" w:rsidRDefault="003537F5" w:rsidP="00B67230">
            <w:pPr>
              <w:ind w:left="-168" w:right="-81"/>
              <w:jc w:val="center"/>
              <w:rPr>
                <w:color w:val="000000"/>
                <w:sz w:val="20"/>
                <w:szCs w:val="18"/>
              </w:rPr>
            </w:pPr>
            <w:r w:rsidRPr="006E7176">
              <w:rPr>
                <w:color w:val="000000"/>
                <w:sz w:val="20"/>
                <w:szCs w:val="18"/>
              </w:rPr>
              <w:t>253,9</w:t>
            </w:r>
          </w:p>
        </w:tc>
        <w:tc>
          <w:tcPr>
            <w:tcW w:w="829" w:type="dxa"/>
            <w:tcBorders>
              <w:top w:val="single" w:sz="4" w:space="0" w:color="BFBFBF"/>
              <w:left w:val="single" w:sz="4" w:space="0" w:color="BFBFBF"/>
              <w:bottom w:val="single" w:sz="4" w:space="0" w:color="BFBFBF"/>
              <w:right w:val="single" w:sz="4" w:space="0" w:color="BFBFBF"/>
            </w:tcBorders>
            <w:vAlign w:val="center"/>
            <w:hideMark/>
          </w:tcPr>
          <w:p w14:paraId="17905448" w14:textId="77777777" w:rsidR="003537F5" w:rsidRPr="006E7176" w:rsidRDefault="003537F5" w:rsidP="00B67230">
            <w:pPr>
              <w:ind w:left="-168" w:right="-81"/>
              <w:jc w:val="center"/>
              <w:rPr>
                <w:color w:val="000000"/>
                <w:sz w:val="20"/>
                <w:szCs w:val="18"/>
              </w:rPr>
            </w:pPr>
            <w:r w:rsidRPr="006E7176">
              <w:rPr>
                <w:color w:val="000000"/>
                <w:sz w:val="20"/>
                <w:szCs w:val="18"/>
              </w:rPr>
              <w:t>443,9</w:t>
            </w:r>
          </w:p>
        </w:tc>
        <w:tc>
          <w:tcPr>
            <w:tcW w:w="877" w:type="dxa"/>
            <w:tcBorders>
              <w:top w:val="single" w:sz="4" w:space="0" w:color="BFBFBF"/>
              <w:left w:val="single" w:sz="4" w:space="0" w:color="BFBFBF"/>
              <w:bottom w:val="single" w:sz="4" w:space="0" w:color="BFBFBF"/>
              <w:right w:val="single" w:sz="4" w:space="0" w:color="BFBFBF"/>
            </w:tcBorders>
            <w:vAlign w:val="center"/>
            <w:hideMark/>
          </w:tcPr>
          <w:p w14:paraId="16FE126B" w14:textId="77777777" w:rsidR="003537F5" w:rsidRPr="006E7176" w:rsidRDefault="003537F5" w:rsidP="00B67230">
            <w:pPr>
              <w:ind w:left="-168" w:right="-81"/>
              <w:jc w:val="center"/>
              <w:rPr>
                <w:color w:val="000000"/>
                <w:sz w:val="20"/>
                <w:szCs w:val="18"/>
              </w:rPr>
            </w:pPr>
            <w:r w:rsidRPr="006E7176">
              <w:rPr>
                <w:color w:val="000000"/>
                <w:sz w:val="20"/>
                <w:szCs w:val="18"/>
              </w:rPr>
              <w:t>729,4</w:t>
            </w:r>
          </w:p>
        </w:tc>
        <w:tc>
          <w:tcPr>
            <w:tcW w:w="855" w:type="dxa"/>
            <w:tcBorders>
              <w:top w:val="single" w:sz="4" w:space="0" w:color="BFBFBF"/>
              <w:left w:val="single" w:sz="4" w:space="0" w:color="BFBFBF"/>
              <w:bottom w:val="single" w:sz="4" w:space="0" w:color="BFBFBF"/>
              <w:right w:val="single" w:sz="4" w:space="0" w:color="BFBFBF"/>
            </w:tcBorders>
            <w:vAlign w:val="center"/>
            <w:hideMark/>
          </w:tcPr>
          <w:p w14:paraId="2C15588E" w14:textId="77777777" w:rsidR="003537F5" w:rsidRPr="006E7176" w:rsidRDefault="003537F5" w:rsidP="00B67230">
            <w:pPr>
              <w:ind w:left="-168" w:right="-81"/>
              <w:jc w:val="center"/>
              <w:rPr>
                <w:color w:val="000000"/>
                <w:sz w:val="20"/>
                <w:szCs w:val="18"/>
              </w:rPr>
            </w:pPr>
            <w:r w:rsidRPr="006E7176">
              <w:rPr>
                <w:color w:val="000000"/>
                <w:sz w:val="20"/>
                <w:szCs w:val="18"/>
              </w:rPr>
              <w:t>568,8</w:t>
            </w:r>
          </w:p>
        </w:tc>
        <w:tc>
          <w:tcPr>
            <w:tcW w:w="855" w:type="dxa"/>
            <w:tcBorders>
              <w:top w:val="single" w:sz="4" w:space="0" w:color="BFBFBF"/>
              <w:left w:val="single" w:sz="4" w:space="0" w:color="BFBFBF"/>
              <w:bottom w:val="single" w:sz="4" w:space="0" w:color="BFBFBF"/>
              <w:right w:val="single" w:sz="4" w:space="0" w:color="BFBFBF"/>
            </w:tcBorders>
            <w:vAlign w:val="center"/>
          </w:tcPr>
          <w:p w14:paraId="686ECDAC" w14:textId="6C1E8F36" w:rsidR="003537F5" w:rsidRPr="006E7176" w:rsidRDefault="003537F5" w:rsidP="00B67230">
            <w:pPr>
              <w:ind w:left="-168" w:right="-81"/>
              <w:jc w:val="center"/>
              <w:rPr>
                <w:color w:val="000000"/>
                <w:sz w:val="20"/>
                <w:szCs w:val="18"/>
              </w:rPr>
            </w:pPr>
            <w:r w:rsidRPr="003537F5">
              <w:rPr>
                <w:color w:val="000000"/>
                <w:sz w:val="20"/>
                <w:szCs w:val="18"/>
              </w:rPr>
              <w:t>68,6</w:t>
            </w:r>
          </w:p>
        </w:tc>
      </w:tr>
    </w:tbl>
    <w:p w14:paraId="0DB60130" w14:textId="455C4264" w:rsidR="00AA3373" w:rsidRPr="006E7176" w:rsidRDefault="00AA3373" w:rsidP="00AA3373">
      <w:pPr>
        <w:ind w:firstLine="694"/>
        <w:jc w:val="both"/>
        <w:rPr>
          <w:sz w:val="14"/>
          <w:szCs w:val="20"/>
        </w:rPr>
      </w:pPr>
    </w:p>
    <w:p w14:paraId="7F6BCDEB" w14:textId="7F6EA85A" w:rsidR="00FE30BC" w:rsidRPr="006E7176" w:rsidRDefault="00FE30BC" w:rsidP="00AA3373">
      <w:pPr>
        <w:ind w:firstLine="694"/>
        <w:jc w:val="both"/>
        <w:rPr>
          <w:sz w:val="18"/>
          <w:szCs w:val="20"/>
        </w:rPr>
      </w:pPr>
    </w:p>
    <w:p w14:paraId="533D6FD8" w14:textId="18867D9C" w:rsidR="00FE30BC" w:rsidRDefault="007B55FB" w:rsidP="00AA3373">
      <w:pPr>
        <w:ind w:firstLine="694"/>
        <w:jc w:val="both"/>
        <w:rPr>
          <w:sz w:val="20"/>
          <w:szCs w:val="20"/>
        </w:rPr>
      </w:pPr>
      <w:r>
        <w:t>Rezerves fondā izvietotie finanšu līdzekļi tiek investēti saskaņā ar ESM ieguldīšanas vadlīnijām.</w:t>
      </w:r>
      <w:r w:rsidR="003537F5">
        <w:t xml:space="preserve"> </w:t>
      </w:r>
    </w:p>
    <w:p w14:paraId="6CF0F036" w14:textId="121659D1" w:rsidR="006E7176" w:rsidRDefault="006E7176" w:rsidP="00AA3373">
      <w:pPr>
        <w:ind w:firstLine="694"/>
        <w:jc w:val="both"/>
        <w:rPr>
          <w:sz w:val="20"/>
          <w:szCs w:val="20"/>
        </w:rPr>
      </w:pPr>
    </w:p>
    <w:p w14:paraId="7E805B72" w14:textId="77777777" w:rsidR="00392FC8" w:rsidRDefault="00392FC8" w:rsidP="00AA3373">
      <w:pPr>
        <w:ind w:firstLine="694"/>
        <w:jc w:val="both"/>
        <w:rPr>
          <w:sz w:val="20"/>
          <w:szCs w:val="20"/>
        </w:rPr>
      </w:pPr>
    </w:p>
    <w:p w14:paraId="7A698158" w14:textId="78310B06" w:rsidR="00B11113" w:rsidRPr="00B11113" w:rsidRDefault="00B11113" w:rsidP="00B11113">
      <w:pPr>
        <w:pStyle w:val="Heading1"/>
        <w:tabs>
          <w:tab w:val="left" w:pos="6840"/>
        </w:tabs>
        <w:rPr>
          <w:rFonts w:ascii="Times New Roman" w:hAnsi="Times New Roman" w:cs="Times New Roman"/>
          <w:color w:val="000000" w:themeColor="text1"/>
          <w:lang w:eastAsia="lv-LV"/>
        </w:rPr>
      </w:pPr>
      <w:r w:rsidRPr="00B11113">
        <w:rPr>
          <w:rFonts w:ascii="Times New Roman" w:hAnsi="Times New Roman" w:cs="Times New Roman"/>
          <w:noProof/>
          <w:color w:val="000000" w:themeColor="text1"/>
          <w:sz w:val="24"/>
        </w:rPr>
        <w:t>Finanšu ministre</w:t>
      </w:r>
      <w:r w:rsidRPr="00B11113">
        <w:rPr>
          <w:rFonts w:ascii="Times New Roman" w:hAnsi="Times New Roman" w:cs="Times New Roman"/>
          <w:noProof/>
          <w:color w:val="000000" w:themeColor="text1"/>
          <w:sz w:val="24"/>
        </w:rPr>
        <w:tab/>
      </w:r>
      <w:r w:rsidR="00AE3856">
        <w:rPr>
          <w:rFonts w:ascii="Times New Roman" w:hAnsi="Times New Roman" w:cs="Times New Roman"/>
          <w:noProof/>
          <w:color w:val="000000" w:themeColor="text1"/>
          <w:sz w:val="24"/>
        </w:rPr>
        <w:t xml:space="preserve"> </w:t>
      </w:r>
      <w:r w:rsidRPr="00B11113">
        <w:rPr>
          <w:rFonts w:ascii="Times New Roman" w:hAnsi="Times New Roman" w:cs="Times New Roman"/>
          <w:noProof/>
          <w:color w:val="000000" w:themeColor="text1"/>
          <w:sz w:val="24"/>
          <w:lang w:val="en-GB"/>
        </w:rPr>
        <w:t>D</w:t>
      </w:r>
      <w:r w:rsidR="00936759">
        <w:rPr>
          <w:rFonts w:ascii="Times New Roman" w:hAnsi="Times New Roman" w:cs="Times New Roman"/>
          <w:noProof/>
          <w:color w:val="000000" w:themeColor="text1"/>
          <w:sz w:val="24"/>
          <w:lang w:val="en-GB"/>
        </w:rPr>
        <w:t>.</w:t>
      </w:r>
      <w:r w:rsidRPr="00B11113">
        <w:rPr>
          <w:rFonts w:ascii="Times New Roman" w:hAnsi="Times New Roman" w:cs="Times New Roman"/>
          <w:noProof/>
          <w:color w:val="000000" w:themeColor="text1"/>
          <w:sz w:val="24"/>
          <w:lang w:val="en-GB"/>
        </w:rPr>
        <w:t>Reizniece-Ozola</w:t>
      </w:r>
    </w:p>
    <w:p w14:paraId="0DCE8FA5" w14:textId="262A7FA8" w:rsidR="00036CBF" w:rsidRPr="00DD738E" w:rsidRDefault="00036CBF" w:rsidP="00813AE6">
      <w:pPr>
        <w:tabs>
          <w:tab w:val="left" w:pos="5387"/>
        </w:tabs>
        <w:adjustRightInd w:val="0"/>
        <w:jc w:val="both"/>
        <w:textAlignment w:val="baseline"/>
        <w:rPr>
          <w:rFonts w:eastAsia="Times New Roman"/>
          <w:sz w:val="16"/>
          <w:szCs w:val="16"/>
          <w:lang w:eastAsia="lv-LV"/>
        </w:rPr>
      </w:pPr>
    </w:p>
    <w:p w14:paraId="3FA072BF" w14:textId="77244A5A" w:rsidR="00FE30BC" w:rsidRPr="00DD738E" w:rsidRDefault="00936759" w:rsidP="00F07ADA">
      <w:pPr>
        <w:tabs>
          <w:tab w:val="left" w:pos="4216"/>
        </w:tabs>
        <w:ind w:firstLine="720"/>
        <w:jc w:val="both"/>
        <w:rPr>
          <w:sz w:val="16"/>
          <w:szCs w:val="16"/>
        </w:rPr>
      </w:pPr>
      <w:r>
        <w:rPr>
          <w:sz w:val="16"/>
          <w:szCs w:val="16"/>
        </w:rPr>
        <w:tab/>
      </w:r>
    </w:p>
    <w:p w14:paraId="3E83B657" w14:textId="1A60DA74" w:rsidR="00DD738E" w:rsidRDefault="00DD738E" w:rsidP="00EF21C9">
      <w:pPr>
        <w:rPr>
          <w:color w:val="000000"/>
          <w:sz w:val="20"/>
          <w:szCs w:val="20"/>
        </w:rPr>
      </w:pPr>
    </w:p>
    <w:p w14:paraId="10A954F5" w14:textId="23B8D5C8" w:rsidR="00392FC8" w:rsidRDefault="00392FC8" w:rsidP="00EF21C9">
      <w:pPr>
        <w:rPr>
          <w:color w:val="000000"/>
          <w:sz w:val="20"/>
          <w:szCs w:val="20"/>
        </w:rPr>
      </w:pPr>
    </w:p>
    <w:p w14:paraId="04EE1860" w14:textId="42D30BAE" w:rsidR="00392FC8" w:rsidRDefault="00392FC8" w:rsidP="00EF21C9">
      <w:pPr>
        <w:rPr>
          <w:color w:val="000000"/>
          <w:sz w:val="20"/>
          <w:szCs w:val="20"/>
        </w:rPr>
      </w:pPr>
    </w:p>
    <w:p w14:paraId="3573E6CE" w14:textId="77777777" w:rsidR="00392FC8" w:rsidRDefault="00392FC8" w:rsidP="00EF21C9">
      <w:pPr>
        <w:rPr>
          <w:color w:val="000000"/>
          <w:sz w:val="20"/>
          <w:szCs w:val="20"/>
        </w:rPr>
      </w:pPr>
    </w:p>
    <w:p w14:paraId="3AAABB30" w14:textId="6E0B10E6" w:rsidR="00392FC8" w:rsidRDefault="00392FC8" w:rsidP="00EF21C9">
      <w:pPr>
        <w:rPr>
          <w:color w:val="000000"/>
          <w:sz w:val="20"/>
          <w:szCs w:val="20"/>
        </w:rPr>
      </w:pPr>
    </w:p>
    <w:p w14:paraId="399430E8" w14:textId="79A97853" w:rsidR="00392FC8" w:rsidRDefault="00392FC8" w:rsidP="00EF21C9">
      <w:pPr>
        <w:rPr>
          <w:color w:val="000000"/>
          <w:sz w:val="20"/>
          <w:szCs w:val="20"/>
        </w:rPr>
      </w:pPr>
    </w:p>
    <w:p w14:paraId="7579FB04" w14:textId="77777777" w:rsidR="00392FC8" w:rsidRDefault="00392FC8" w:rsidP="00EF21C9">
      <w:pPr>
        <w:rPr>
          <w:color w:val="000000"/>
          <w:sz w:val="20"/>
          <w:szCs w:val="20"/>
        </w:rPr>
      </w:pPr>
    </w:p>
    <w:p w14:paraId="66B08CDC" w14:textId="77777777" w:rsidR="00D321D9" w:rsidRPr="00FD4846" w:rsidRDefault="00D321D9" w:rsidP="00D321D9">
      <w:pPr>
        <w:rPr>
          <w:color w:val="000000"/>
          <w:sz w:val="20"/>
          <w:szCs w:val="20"/>
        </w:rPr>
      </w:pPr>
      <w:r w:rsidRPr="00FD4846">
        <w:rPr>
          <w:color w:val="000000"/>
          <w:sz w:val="20"/>
          <w:szCs w:val="20"/>
        </w:rPr>
        <w:t>Gusāre, 67083911</w:t>
      </w:r>
    </w:p>
    <w:p w14:paraId="0A575C3D" w14:textId="1E18D1E1" w:rsidR="00D57A57" w:rsidRDefault="00D321D9" w:rsidP="00D321D9">
      <w:pPr>
        <w:rPr>
          <w:rStyle w:val="Hyperlink"/>
          <w:sz w:val="20"/>
          <w:szCs w:val="20"/>
        </w:rPr>
      </w:pPr>
      <w:r w:rsidRPr="00FD4846">
        <w:rPr>
          <w:color w:val="000000"/>
          <w:sz w:val="20"/>
          <w:szCs w:val="20"/>
        </w:rPr>
        <w:t>Elina.Gusare@fm.gov.lv</w:t>
      </w:r>
    </w:p>
    <w:sectPr w:rsidR="00D57A57" w:rsidSect="00AE3856">
      <w:headerReference w:type="default" r:id="rId15"/>
      <w:footerReference w:type="default" r:id="rId16"/>
      <w:footerReference w:type="first" r:id="rId17"/>
      <w:pgSz w:w="11906" w:h="16838"/>
      <w:pgMar w:top="1418" w:right="1134" w:bottom="1134"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7925C" w14:textId="77777777" w:rsidR="009D422E" w:rsidRDefault="009D422E" w:rsidP="001907A7">
      <w:r>
        <w:separator/>
      </w:r>
    </w:p>
  </w:endnote>
  <w:endnote w:type="continuationSeparator" w:id="0">
    <w:p w14:paraId="18686D83" w14:textId="77777777" w:rsidR="009D422E" w:rsidRDefault="009D422E" w:rsidP="0019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E7DA" w14:textId="2375DF39" w:rsidR="005B1B7A" w:rsidRPr="00FD4846" w:rsidRDefault="00FD4846" w:rsidP="00FD4846">
    <w:pPr>
      <w:pStyle w:val="Footer"/>
    </w:pPr>
    <w:r>
      <w:rPr>
        <w:noProof/>
        <w:sz w:val="20"/>
        <w:szCs w:val="20"/>
      </w:rPr>
      <w:t>FMzin</w:t>
    </w:r>
    <w:r w:rsidR="0002018B">
      <w:rPr>
        <w:noProof/>
        <w:sz w:val="20"/>
        <w:szCs w:val="20"/>
      </w:rPr>
      <w:t>2</w:t>
    </w:r>
    <w:r w:rsidR="00DF7359">
      <w:rPr>
        <w:noProof/>
        <w:sz w:val="20"/>
        <w:szCs w:val="20"/>
      </w:rPr>
      <w:t>2</w:t>
    </w:r>
    <w:r w:rsidRPr="00FD4846">
      <w:rPr>
        <w:noProof/>
        <w:sz w:val="20"/>
        <w:szCs w:val="20"/>
      </w:rPr>
      <w:t>0818_ESM_2017.docx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D7654" w14:textId="6F0C6B82" w:rsidR="00804885" w:rsidRPr="00804885" w:rsidRDefault="00804885" w:rsidP="00804885">
    <w:pPr>
      <w:jc w:val="both"/>
      <w:rPr>
        <w:sz w:val="20"/>
        <w:szCs w:val="20"/>
      </w:rPr>
    </w:pPr>
    <w:r w:rsidRPr="00FD4846">
      <w:rPr>
        <w:sz w:val="20"/>
        <w:szCs w:val="20"/>
      </w:rPr>
      <w:fldChar w:fldCharType="begin"/>
    </w:r>
    <w:r w:rsidRPr="00FD4846">
      <w:rPr>
        <w:sz w:val="20"/>
        <w:szCs w:val="20"/>
      </w:rPr>
      <w:instrText xml:space="preserve"> FILENAME   \* MERGEFORMAT </w:instrText>
    </w:r>
    <w:r w:rsidRPr="00FD4846">
      <w:rPr>
        <w:sz w:val="20"/>
        <w:szCs w:val="20"/>
      </w:rPr>
      <w:fldChar w:fldCharType="separate"/>
    </w:r>
    <w:r w:rsidR="00F07ADA" w:rsidRPr="00FD4846">
      <w:rPr>
        <w:noProof/>
        <w:sz w:val="20"/>
        <w:szCs w:val="20"/>
      </w:rPr>
      <w:t>FMzin_</w:t>
    </w:r>
    <w:r w:rsidR="00FD4846" w:rsidRPr="00FD4846">
      <w:t xml:space="preserve"> </w:t>
    </w:r>
    <w:r w:rsidR="0002018B">
      <w:rPr>
        <w:noProof/>
        <w:sz w:val="20"/>
        <w:szCs w:val="20"/>
      </w:rPr>
      <w:t>2</w:t>
    </w:r>
    <w:r w:rsidR="00DF7359">
      <w:rPr>
        <w:noProof/>
        <w:sz w:val="20"/>
        <w:szCs w:val="20"/>
      </w:rPr>
      <w:t>2</w:t>
    </w:r>
    <w:r w:rsidR="00FD4846" w:rsidRPr="00FD4846">
      <w:rPr>
        <w:noProof/>
        <w:sz w:val="20"/>
        <w:szCs w:val="20"/>
      </w:rPr>
      <w:t>08</w:t>
    </w:r>
    <w:r w:rsidR="00F07ADA" w:rsidRPr="00FD4846">
      <w:rPr>
        <w:noProof/>
        <w:sz w:val="20"/>
        <w:szCs w:val="20"/>
      </w:rPr>
      <w:t>18_ESM_2017.docx</w:t>
    </w:r>
    <w:r w:rsidRPr="00FD484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AF1EC" w14:textId="77777777" w:rsidR="009D422E" w:rsidRDefault="009D422E" w:rsidP="001907A7">
      <w:r>
        <w:separator/>
      </w:r>
    </w:p>
  </w:footnote>
  <w:footnote w:type="continuationSeparator" w:id="0">
    <w:p w14:paraId="60A89AFC" w14:textId="77777777" w:rsidR="009D422E" w:rsidRDefault="009D422E" w:rsidP="001907A7">
      <w:r>
        <w:continuationSeparator/>
      </w:r>
    </w:p>
  </w:footnote>
  <w:footnote w:id="1">
    <w:p w14:paraId="59CD016C" w14:textId="5F459FF5" w:rsidR="009F426E" w:rsidRDefault="00B55702" w:rsidP="00B55702">
      <w:pPr>
        <w:pStyle w:val="FootnoteText"/>
        <w:jc w:val="both"/>
      </w:pPr>
      <w:r>
        <w:rPr>
          <w:rStyle w:val="FootnoteReference"/>
        </w:rPr>
        <w:footnoteRef/>
      </w:r>
      <w:r>
        <w:t xml:space="preserve"> </w:t>
      </w:r>
      <w:r w:rsidR="009F426E">
        <w:t xml:space="preserve">Elektroniski </w:t>
      </w:r>
      <w:r>
        <w:t>ESM gada pārskati</w:t>
      </w:r>
      <w:r w:rsidR="009F426E">
        <w:t xml:space="preserve"> pieejami šeit</w:t>
      </w:r>
      <w:r>
        <w:t>:</w:t>
      </w:r>
    </w:p>
    <w:p w14:paraId="25ABF78D" w14:textId="1CFBF562" w:rsidR="00B55702" w:rsidRDefault="00B55702" w:rsidP="00B55702">
      <w:pPr>
        <w:pStyle w:val="FootnoteText"/>
        <w:jc w:val="both"/>
      </w:pPr>
      <w:r w:rsidRPr="00F6633C">
        <w:t>https://www.esm.europa.eu/publications?field_esm_publication_type_tid[]=2#publication-preselect</w:t>
      </w:r>
      <w:r>
        <w:t xml:space="preserve"> </w:t>
      </w:r>
    </w:p>
  </w:footnote>
  <w:footnote w:id="2">
    <w:p w14:paraId="7F86D048" w14:textId="14B85811" w:rsidR="00DE0BAE" w:rsidRDefault="00DE0BAE" w:rsidP="002715CA">
      <w:pPr>
        <w:pStyle w:val="FootnoteText"/>
        <w:jc w:val="both"/>
      </w:pPr>
      <w:r>
        <w:rPr>
          <w:rStyle w:val="FootnoteReference"/>
        </w:rPr>
        <w:footnoteRef/>
      </w:r>
      <w:r>
        <w:t xml:space="preserve"> </w:t>
      </w:r>
      <w:r>
        <w:t>N</w:t>
      </w:r>
      <w:r w:rsidRPr="00AE01C0">
        <w:t xml:space="preserve">av ietekmes uz vispārējās valdības </w:t>
      </w:r>
      <w:r>
        <w:t xml:space="preserve">budžeta </w:t>
      </w:r>
      <w:r w:rsidRPr="00AE01C0">
        <w:t>bilanci pēc E</w:t>
      </w:r>
      <w:r w:rsidR="002715CA">
        <w:t xml:space="preserve">iropas </w:t>
      </w:r>
      <w:r w:rsidRPr="00AE01C0">
        <w:t>K</w:t>
      </w:r>
      <w:r w:rsidR="002715CA">
        <w:t>ontu sistēmas</w:t>
      </w:r>
      <w:r w:rsidRPr="00AE01C0">
        <w:t xml:space="preserve"> metodoloģij</w:t>
      </w:r>
      <w:r>
        <w:t>as, jo ir finansēšanas darījums.</w:t>
      </w:r>
    </w:p>
  </w:footnote>
  <w:footnote w:id="3">
    <w:p w14:paraId="14138892" w14:textId="0F704B65" w:rsidR="005B1B7A" w:rsidRDefault="005B1B7A" w:rsidP="00CA4839">
      <w:pPr>
        <w:pStyle w:val="FootnoteText"/>
        <w:jc w:val="both"/>
      </w:pPr>
      <w:r>
        <w:rPr>
          <w:rStyle w:val="FootnoteReference"/>
        </w:rPr>
        <w:footnoteRef/>
      </w:r>
      <w:r>
        <w:t xml:space="preserve"> </w:t>
      </w:r>
      <w:r w:rsidRPr="00CB544C">
        <w:rPr>
          <w:bCs/>
          <w:sz w:val="18"/>
          <w:szCs w:val="18"/>
        </w:rPr>
        <w:t>Beļģijas Karalist</w:t>
      </w:r>
      <w:r>
        <w:rPr>
          <w:bCs/>
          <w:sz w:val="18"/>
          <w:szCs w:val="18"/>
        </w:rPr>
        <w:t>e</w:t>
      </w:r>
      <w:r w:rsidRPr="00CB544C">
        <w:rPr>
          <w:bCs/>
          <w:sz w:val="18"/>
          <w:szCs w:val="18"/>
        </w:rPr>
        <w:t>, Vācijas Federatīv</w:t>
      </w:r>
      <w:r>
        <w:rPr>
          <w:bCs/>
          <w:sz w:val="18"/>
          <w:szCs w:val="18"/>
        </w:rPr>
        <w:t>ā</w:t>
      </w:r>
      <w:r w:rsidRPr="00CB544C">
        <w:rPr>
          <w:bCs/>
          <w:sz w:val="18"/>
          <w:szCs w:val="18"/>
        </w:rPr>
        <w:t xml:space="preserve"> </w:t>
      </w:r>
      <w:r>
        <w:rPr>
          <w:bCs/>
          <w:sz w:val="18"/>
          <w:szCs w:val="18"/>
        </w:rPr>
        <w:t>Republika</w:t>
      </w:r>
      <w:r w:rsidRPr="00CB544C">
        <w:rPr>
          <w:bCs/>
          <w:sz w:val="18"/>
          <w:szCs w:val="18"/>
        </w:rPr>
        <w:t xml:space="preserve">, Igaunijas </w:t>
      </w:r>
      <w:r>
        <w:rPr>
          <w:bCs/>
          <w:sz w:val="18"/>
          <w:szCs w:val="18"/>
        </w:rPr>
        <w:t>Republika</w:t>
      </w:r>
      <w:r w:rsidRPr="00CB544C">
        <w:rPr>
          <w:bCs/>
          <w:sz w:val="18"/>
          <w:szCs w:val="18"/>
        </w:rPr>
        <w:t>, Īrij</w:t>
      </w:r>
      <w:r>
        <w:rPr>
          <w:bCs/>
          <w:sz w:val="18"/>
          <w:szCs w:val="18"/>
        </w:rPr>
        <w:t>as Republika</w:t>
      </w:r>
      <w:r w:rsidRPr="00CB544C">
        <w:rPr>
          <w:bCs/>
          <w:sz w:val="18"/>
          <w:szCs w:val="18"/>
        </w:rPr>
        <w:t xml:space="preserve">, Grieķijas </w:t>
      </w:r>
      <w:r>
        <w:rPr>
          <w:bCs/>
          <w:sz w:val="18"/>
          <w:szCs w:val="18"/>
        </w:rPr>
        <w:t>Republika</w:t>
      </w:r>
      <w:r w:rsidRPr="00CB544C">
        <w:rPr>
          <w:bCs/>
          <w:sz w:val="18"/>
          <w:szCs w:val="18"/>
        </w:rPr>
        <w:t>, Spānijas Karalist</w:t>
      </w:r>
      <w:r>
        <w:rPr>
          <w:bCs/>
          <w:sz w:val="18"/>
          <w:szCs w:val="18"/>
        </w:rPr>
        <w:t>e</w:t>
      </w:r>
      <w:r w:rsidRPr="00CB544C">
        <w:rPr>
          <w:bCs/>
          <w:sz w:val="18"/>
          <w:szCs w:val="18"/>
        </w:rPr>
        <w:t xml:space="preserve">, Francijas </w:t>
      </w:r>
      <w:r>
        <w:rPr>
          <w:bCs/>
          <w:sz w:val="18"/>
          <w:szCs w:val="18"/>
        </w:rPr>
        <w:t>Republika</w:t>
      </w:r>
      <w:r w:rsidRPr="00CB544C">
        <w:rPr>
          <w:bCs/>
          <w:sz w:val="18"/>
          <w:szCs w:val="18"/>
        </w:rPr>
        <w:t xml:space="preserve">, Itālijas </w:t>
      </w:r>
      <w:r>
        <w:rPr>
          <w:bCs/>
          <w:sz w:val="18"/>
          <w:szCs w:val="18"/>
        </w:rPr>
        <w:t>Republika</w:t>
      </w:r>
      <w:r w:rsidRPr="00CB544C">
        <w:rPr>
          <w:bCs/>
          <w:sz w:val="18"/>
          <w:szCs w:val="18"/>
        </w:rPr>
        <w:t xml:space="preserve">, Kipras </w:t>
      </w:r>
      <w:r>
        <w:rPr>
          <w:bCs/>
          <w:sz w:val="18"/>
          <w:szCs w:val="18"/>
        </w:rPr>
        <w:t>Republika</w:t>
      </w:r>
      <w:r w:rsidRPr="00CB544C">
        <w:rPr>
          <w:bCs/>
          <w:sz w:val="18"/>
          <w:szCs w:val="18"/>
        </w:rPr>
        <w:t>,</w:t>
      </w:r>
      <w:r>
        <w:rPr>
          <w:bCs/>
          <w:sz w:val="18"/>
          <w:szCs w:val="18"/>
        </w:rPr>
        <w:t xml:space="preserve"> Latvijas Republika, Lietuvas Republika,</w:t>
      </w:r>
      <w:r w:rsidRPr="00CB544C">
        <w:rPr>
          <w:bCs/>
          <w:sz w:val="18"/>
          <w:szCs w:val="18"/>
        </w:rPr>
        <w:t xml:space="preserve"> Luksemburgas Lielhercogist</w:t>
      </w:r>
      <w:r>
        <w:rPr>
          <w:bCs/>
          <w:sz w:val="18"/>
          <w:szCs w:val="18"/>
        </w:rPr>
        <w:t>e</w:t>
      </w:r>
      <w:r w:rsidRPr="00CB544C">
        <w:rPr>
          <w:bCs/>
          <w:sz w:val="18"/>
          <w:szCs w:val="18"/>
        </w:rPr>
        <w:t>, Malt</w:t>
      </w:r>
      <w:r>
        <w:rPr>
          <w:bCs/>
          <w:sz w:val="18"/>
          <w:szCs w:val="18"/>
        </w:rPr>
        <w:t>a</w:t>
      </w:r>
      <w:r w:rsidRPr="00CB544C">
        <w:rPr>
          <w:bCs/>
          <w:sz w:val="18"/>
          <w:szCs w:val="18"/>
        </w:rPr>
        <w:t>, Nīderlandes Karalist</w:t>
      </w:r>
      <w:r>
        <w:rPr>
          <w:bCs/>
          <w:sz w:val="18"/>
          <w:szCs w:val="18"/>
        </w:rPr>
        <w:t>e</w:t>
      </w:r>
      <w:r w:rsidRPr="00CB544C">
        <w:rPr>
          <w:bCs/>
          <w:sz w:val="18"/>
          <w:szCs w:val="18"/>
        </w:rPr>
        <w:t xml:space="preserve">, Austrijas </w:t>
      </w:r>
      <w:r>
        <w:rPr>
          <w:bCs/>
          <w:sz w:val="18"/>
          <w:szCs w:val="18"/>
        </w:rPr>
        <w:t>Republika</w:t>
      </w:r>
      <w:r w:rsidRPr="00CB544C">
        <w:rPr>
          <w:bCs/>
          <w:sz w:val="18"/>
          <w:szCs w:val="18"/>
        </w:rPr>
        <w:t xml:space="preserve">, Portugāles </w:t>
      </w:r>
      <w:r>
        <w:rPr>
          <w:bCs/>
          <w:sz w:val="18"/>
          <w:szCs w:val="18"/>
        </w:rPr>
        <w:t>Republika</w:t>
      </w:r>
      <w:r w:rsidRPr="00CB544C">
        <w:rPr>
          <w:bCs/>
          <w:sz w:val="18"/>
          <w:szCs w:val="18"/>
        </w:rPr>
        <w:t xml:space="preserve">, Slovēnijas </w:t>
      </w:r>
      <w:r>
        <w:rPr>
          <w:bCs/>
          <w:sz w:val="18"/>
          <w:szCs w:val="18"/>
        </w:rPr>
        <w:t>Republika</w:t>
      </w:r>
      <w:r w:rsidRPr="00CB544C">
        <w:rPr>
          <w:bCs/>
          <w:sz w:val="18"/>
          <w:szCs w:val="18"/>
        </w:rPr>
        <w:t xml:space="preserve">, Slovākijas </w:t>
      </w:r>
      <w:r>
        <w:rPr>
          <w:bCs/>
          <w:sz w:val="18"/>
          <w:szCs w:val="18"/>
        </w:rPr>
        <w:t>Republika</w:t>
      </w:r>
      <w:r w:rsidRPr="00CB544C">
        <w:rPr>
          <w:bCs/>
          <w:sz w:val="18"/>
          <w:szCs w:val="18"/>
        </w:rPr>
        <w:t xml:space="preserve"> un Somijas </w:t>
      </w:r>
      <w:r>
        <w:rPr>
          <w:bCs/>
          <w:sz w:val="18"/>
          <w:szCs w:val="18"/>
        </w:rPr>
        <w:t>Republika.</w:t>
      </w:r>
    </w:p>
  </w:footnote>
  <w:footnote w:id="4">
    <w:p w14:paraId="4EDD00D1" w14:textId="77777777" w:rsidR="007F3A21" w:rsidRPr="007F3A21" w:rsidRDefault="007F3A21" w:rsidP="007F3A21">
      <w:pPr>
        <w:pStyle w:val="FootnoteText"/>
        <w:jc w:val="both"/>
        <w:rPr>
          <w:rFonts w:cs="Times New Roman"/>
        </w:rPr>
      </w:pPr>
      <w:r w:rsidRPr="007F3A21">
        <w:rPr>
          <w:rStyle w:val="FootnoteReference"/>
          <w:rFonts w:cs="Times New Roman"/>
        </w:rPr>
        <w:footnoteRef/>
      </w:r>
      <w:r w:rsidRPr="007F3A21">
        <w:rPr>
          <w:rFonts w:cs="Times New Roman"/>
        </w:rPr>
        <w:t xml:space="preserve"> </w:t>
      </w:r>
      <w:r w:rsidRPr="007F3A21">
        <w:rPr>
          <w:rFonts w:cs="Times New Roman"/>
        </w:rPr>
        <w:t xml:space="preserve">Pie bāzes scenārija bruto finansējuma vajadzības līmenim ir jāpaliek zem 15% no IKP programmas laikā un zem 20% no IKP pēc programmas. </w:t>
      </w:r>
    </w:p>
  </w:footnote>
  <w:footnote w:id="5">
    <w:p w14:paraId="0F752673" w14:textId="71D32ABF" w:rsidR="007F3A21" w:rsidRPr="007F3A21" w:rsidRDefault="007F3A21" w:rsidP="007F3A21">
      <w:pPr>
        <w:pStyle w:val="FootnoteText"/>
        <w:jc w:val="both"/>
        <w:rPr>
          <w:rFonts w:cs="Times New Roman"/>
        </w:rPr>
      </w:pPr>
      <w:r w:rsidRPr="007F3A21">
        <w:rPr>
          <w:rStyle w:val="FootnoteReference"/>
          <w:rFonts w:cs="Times New Roman"/>
        </w:rPr>
        <w:footnoteRef/>
      </w:r>
      <w:r w:rsidRPr="007F3A21">
        <w:rPr>
          <w:rFonts w:cs="Times New Roman"/>
        </w:rPr>
        <w:t xml:space="preserve"> </w:t>
      </w:r>
      <w:r w:rsidRPr="007F3A21">
        <w:rPr>
          <w:rFonts w:cs="Times New Roman"/>
        </w:rPr>
        <w:t>EFSF – Eiropas Finansiālās stabilitātes fonds, kas tika izveidots 2010. gadā kā pagaidu finansiālās palīdzības instruments grūtībās nonākušajām</w:t>
      </w:r>
      <w:r w:rsidRPr="00F07ADA">
        <w:rPr>
          <w:rFonts w:cs="Times New Roman"/>
          <w:i/>
        </w:rPr>
        <w:t xml:space="preserve"> </w:t>
      </w:r>
      <w:proofErr w:type="spellStart"/>
      <w:r w:rsidRPr="00F07ADA">
        <w:rPr>
          <w:rFonts w:cs="Times New Roman"/>
          <w:i/>
        </w:rPr>
        <w:t>e</w:t>
      </w:r>
      <w:r w:rsidR="002A5780" w:rsidRPr="00F07ADA">
        <w:rPr>
          <w:rFonts w:cs="Times New Roman"/>
          <w:i/>
        </w:rPr>
        <w:t>u</w:t>
      </w:r>
      <w:r w:rsidRPr="00F07ADA">
        <w:rPr>
          <w:rFonts w:cs="Times New Roman"/>
          <w:i/>
        </w:rPr>
        <w:t>ro</w:t>
      </w:r>
      <w:proofErr w:type="spellEnd"/>
      <w:r w:rsidR="002A5780">
        <w:rPr>
          <w:rFonts w:cs="Times New Roman"/>
        </w:rPr>
        <w:t xml:space="preserve"> </w:t>
      </w:r>
      <w:r w:rsidRPr="007F3A21">
        <w:rPr>
          <w:rFonts w:cs="Times New Roman"/>
        </w:rPr>
        <w:t xml:space="preserve">zonas valstīm ar mērķi saglabāt visas </w:t>
      </w:r>
      <w:proofErr w:type="spellStart"/>
      <w:r w:rsidRPr="00F07ADA">
        <w:rPr>
          <w:rFonts w:cs="Times New Roman"/>
          <w:i/>
        </w:rPr>
        <w:t>e</w:t>
      </w:r>
      <w:r w:rsidR="002A5780" w:rsidRPr="00F07ADA">
        <w:rPr>
          <w:rFonts w:cs="Times New Roman"/>
          <w:i/>
        </w:rPr>
        <w:t>u</w:t>
      </w:r>
      <w:r w:rsidRPr="00F07ADA">
        <w:rPr>
          <w:rFonts w:cs="Times New Roman"/>
          <w:i/>
        </w:rPr>
        <w:t>ro</w:t>
      </w:r>
      <w:proofErr w:type="spellEnd"/>
      <w:r w:rsidR="002A5780" w:rsidRPr="00F07ADA">
        <w:rPr>
          <w:rFonts w:cs="Times New Roman"/>
          <w:i/>
        </w:rPr>
        <w:t xml:space="preserve"> </w:t>
      </w:r>
      <w:r w:rsidRPr="007F3A21">
        <w:rPr>
          <w:rFonts w:cs="Times New Roman"/>
        </w:rPr>
        <w:t>zonas stabilitāti.</w:t>
      </w:r>
    </w:p>
  </w:footnote>
  <w:footnote w:id="6">
    <w:p w14:paraId="4097109F" w14:textId="4FAD9173" w:rsidR="007F3A21" w:rsidRPr="007F3A21" w:rsidRDefault="007F3A21" w:rsidP="007F3A21">
      <w:pPr>
        <w:jc w:val="both"/>
        <w:rPr>
          <w:sz w:val="20"/>
        </w:rPr>
      </w:pPr>
      <w:r w:rsidRPr="002C13FC">
        <w:rPr>
          <w:rStyle w:val="FootnoteReference"/>
          <w:color w:val="FFFFFF" w:themeColor="background1"/>
          <w:sz w:val="2"/>
          <w:szCs w:val="16"/>
        </w:rPr>
        <w:footnoteRef/>
      </w:r>
      <w:r w:rsidRPr="004A7DAD">
        <w:rPr>
          <w:sz w:val="20"/>
        </w:rPr>
        <w:t xml:space="preserve">* </w:t>
      </w:r>
      <w:r w:rsidR="002A5780">
        <w:rPr>
          <w:sz w:val="20"/>
        </w:rPr>
        <w:t>T</w:t>
      </w:r>
      <w:r w:rsidRPr="004A7DAD">
        <w:rPr>
          <w:sz w:val="20"/>
        </w:rPr>
        <w:t xml:space="preserve">as nozīmē, ka ESM </w:t>
      </w:r>
      <w:r>
        <w:rPr>
          <w:sz w:val="20"/>
        </w:rPr>
        <w:t>iz</w:t>
      </w:r>
      <w:r w:rsidRPr="004A7DAD">
        <w:rPr>
          <w:sz w:val="20"/>
        </w:rPr>
        <w:t xml:space="preserve">sniedz </w:t>
      </w:r>
      <w:r>
        <w:rPr>
          <w:sz w:val="20"/>
        </w:rPr>
        <w:t>parādzīmes</w:t>
      </w:r>
      <w:r w:rsidRPr="004A7DAD">
        <w:rPr>
          <w:sz w:val="20"/>
        </w:rPr>
        <w:t xml:space="preserve"> programmas valstij banku nozares </w:t>
      </w:r>
      <w:proofErr w:type="spellStart"/>
      <w:r w:rsidRPr="004A7DAD">
        <w:rPr>
          <w:sz w:val="20"/>
        </w:rPr>
        <w:t>rekapitalizācijai</w:t>
      </w:r>
      <w:proofErr w:type="spellEnd"/>
      <w:r w:rsidRPr="004A7DAD">
        <w:rPr>
          <w:sz w:val="20"/>
        </w:rPr>
        <w:t xml:space="preserve">. Šīs </w:t>
      </w:r>
      <w:r>
        <w:rPr>
          <w:sz w:val="20"/>
        </w:rPr>
        <w:t>parādzīmes</w:t>
      </w:r>
      <w:r w:rsidRPr="004A7DAD">
        <w:rPr>
          <w:sz w:val="20"/>
        </w:rPr>
        <w:t xml:space="preserve"> var izmantot </w:t>
      </w:r>
      <w:proofErr w:type="spellStart"/>
      <w:r w:rsidRPr="004A7DAD">
        <w:rPr>
          <w:sz w:val="20"/>
        </w:rPr>
        <w:t>repo</w:t>
      </w:r>
      <w:proofErr w:type="spellEnd"/>
      <w:r w:rsidRPr="004A7DAD">
        <w:rPr>
          <w:sz w:val="20"/>
        </w:rPr>
        <w:t xml:space="preserve"> </w:t>
      </w:r>
      <w:r>
        <w:rPr>
          <w:sz w:val="20"/>
        </w:rPr>
        <w:t>(</w:t>
      </w:r>
      <w:r w:rsidR="002A5780">
        <w:rPr>
          <w:sz w:val="20"/>
        </w:rPr>
        <w:t>l</w:t>
      </w:r>
      <w:r w:rsidRPr="0012434F">
        <w:rPr>
          <w:sz w:val="20"/>
        </w:rPr>
        <w:t>īgumi par aktīvu pārdošanu ar atpirkšanu</w:t>
      </w:r>
      <w:r>
        <w:rPr>
          <w:sz w:val="20"/>
        </w:rPr>
        <w:t>)</w:t>
      </w:r>
      <w:r w:rsidRPr="0012434F">
        <w:rPr>
          <w:sz w:val="20"/>
        </w:rPr>
        <w:t xml:space="preserve"> </w:t>
      </w:r>
      <w:r w:rsidRPr="004A7DAD">
        <w:rPr>
          <w:sz w:val="20"/>
        </w:rPr>
        <w:t>tirgos kā nodrošinājumu, bet nav paredzētas tirdzniecībai tirgū.</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10821"/>
      <w:docPartObj>
        <w:docPartGallery w:val="Page Numbers (Top of Page)"/>
        <w:docPartUnique/>
      </w:docPartObj>
    </w:sdtPr>
    <w:sdtEndPr>
      <w:rPr>
        <w:noProof/>
        <w:sz w:val="22"/>
      </w:rPr>
    </w:sdtEndPr>
    <w:sdtContent>
      <w:p w14:paraId="57A28D97" w14:textId="1AEF3824" w:rsidR="005B1B7A" w:rsidRPr="00A31105" w:rsidRDefault="005B1B7A" w:rsidP="00896C7F">
        <w:pPr>
          <w:pStyle w:val="Header"/>
          <w:jc w:val="center"/>
          <w:rPr>
            <w:sz w:val="22"/>
          </w:rPr>
        </w:pPr>
        <w:r w:rsidRPr="00A31105">
          <w:rPr>
            <w:sz w:val="22"/>
          </w:rPr>
          <w:fldChar w:fldCharType="begin"/>
        </w:r>
        <w:r w:rsidRPr="00A31105">
          <w:rPr>
            <w:sz w:val="22"/>
          </w:rPr>
          <w:instrText xml:space="preserve"> PAGE   \* MERGEFORMAT </w:instrText>
        </w:r>
        <w:r w:rsidRPr="00A31105">
          <w:rPr>
            <w:sz w:val="22"/>
          </w:rPr>
          <w:fldChar w:fldCharType="separate"/>
        </w:r>
        <w:r w:rsidR="002B4459">
          <w:rPr>
            <w:noProof/>
            <w:sz w:val="22"/>
          </w:rPr>
          <w:t>6</w:t>
        </w:r>
        <w:r w:rsidRPr="00A31105">
          <w:rPr>
            <w:noProof/>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901"/>
    <w:multiLevelType w:val="hybridMultilevel"/>
    <w:tmpl w:val="F8E27BF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A120161"/>
    <w:multiLevelType w:val="hybridMultilevel"/>
    <w:tmpl w:val="32C8867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D46648"/>
    <w:multiLevelType w:val="hybridMultilevel"/>
    <w:tmpl w:val="74C2939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17A7BC2"/>
    <w:multiLevelType w:val="hybridMultilevel"/>
    <w:tmpl w:val="433E01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E7742A"/>
    <w:multiLevelType w:val="hybridMultilevel"/>
    <w:tmpl w:val="93A47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83356A"/>
    <w:multiLevelType w:val="hybridMultilevel"/>
    <w:tmpl w:val="B25C0E0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30AF63AF"/>
    <w:multiLevelType w:val="multilevel"/>
    <w:tmpl w:val="D56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3C3C52"/>
    <w:multiLevelType w:val="hybridMultilevel"/>
    <w:tmpl w:val="5EF65FF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31D4125"/>
    <w:multiLevelType w:val="hybridMultilevel"/>
    <w:tmpl w:val="CBC60B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35744F5"/>
    <w:multiLevelType w:val="hybridMultilevel"/>
    <w:tmpl w:val="4052F8A4"/>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7B041730"/>
    <w:multiLevelType w:val="hybridMultilevel"/>
    <w:tmpl w:val="9FA401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CD432F9"/>
    <w:multiLevelType w:val="hybridMultilevel"/>
    <w:tmpl w:val="813AF68C"/>
    <w:lvl w:ilvl="0" w:tplc="04260005">
      <w:start w:val="1"/>
      <w:numFmt w:val="bullet"/>
      <w:lvlText w:val=""/>
      <w:lvlJc w:val="left"/>
      <w:pPr>
        <w:ind w:left="757" w:hanging="360"/>
      </w:pPr>
      <w:rPr>
        <w:rFonts w:ascii="Wingdings" w:hAnsi="Wingdings"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4"/>
  </w:num>
  <w:num w:numId="2">
    <w:abstractNumId w:val="6"/>
  </w:num>
  <w:num w:numId="3">
    <w:abstractNumId w:val="9"/>
  </w:num>
  <w:num w:numId="4">
    <w:abstractNumId w:val="0"/>
  </w:num>
  <w:num w:numId="5">
    <w:abstractNumId w:val="11"/>
  </w:num>
  <w:num w:numId="6">
    <w:abstractNumId w:val="2"/>
  </w:num>
  <w:num w:numId="7">
    <w:abstractNumId w:val="3"/>
  </w:num>
  <w:num w:numId="8">
    <w:abstractNumId w:val="10"/>
  </w:num>
  <w:num w:numId="9">
    <w:abstractNumId w:val="8"/>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9F"/>
    <w:rsid w:val="0000092A"/>
    <w:rsid w:val="00000D0D"/>
    <w:rsid w:val="00004DF1"/>
    <w:rsid w:val="00004E13"/>
    <w:rsid w:val="0000616B"/>
    <w:rsid w:val="00014BC7"/>
    <w:rsid w:val="0002018B"/>
    <w:rsid w:val="00032C70"/>
    <w:rsid w:val="000357AB"/>
    <w:rsid w:val="00036CBF"/>
    <w:rsid w:val="00041182"/>
    <w:rsid w:val="000415DE"/>
    <w:rsid w:val="00041D64"/>
    <w:rsid w:val="00042155"/>
    <w:rsid w:val="00042954"/>
    <w:rsid w:val="000430F2"/>
    <w:rsid w:val="00052415"/>
    <w:rsid w:val="000546FE"/>
    <w:rsid w:val="000753CB"/>
    <w:rsid w:val="0008170F"/>
    <w:rsid w:val="00085635"/>
    <w:rsid w:val="000A07C1"/>
    <w:rsid w:val="000B13AC"/>
    <w:rsid w:val="000B4FF2"/>
    <w:rsid w:val="000B540C"/>
    <w:rsid w:val="000C076D"/>
    <w:rsid w:val="000C5365"/>
    <w:rsid w:val="000C5D0C"/>
    <w:rsid w:val="000C7419"/>
    <w:rsid w:val="000D4194"/>
    <w:rsid w:val="000E3AB8"/>
    <w:rsid w:val="000E7D90"/>
    <w:rsid w:val="000F00DF"/>
    <w:rsid w:val="000F237C"/>
    <w:rsid w:val="000F48EA"/>
    <w:rsid w:val="00101D4E"/>
    <w:rsid w:val="00102197"/>
    <w:rsid w:val="001113BF"/>
    <w:rsid w:val="001145D4"/>
    <w:rsid w:val="00122D35"/>
    <w:rsid w:val="0012434F"/>
    <w:rsid w:val="00124DEE"/>
    <w:rsid w:val="0013137B"/>
    <w:rsid w:val="00131D60"/>
    <w:rsid w:val="00141D76"/>
    <w:rsid w:val="00151A50"/>
    <w:rsid w:val="001643D0"/>
    <w:rsid w:val="001672A6"/>
    <w:rsid w:val="00171469"/>
    <w:rsid w:val="00171BE2"/>
    <w:rsid w:val="0017633C"/>
    <w:rsid w:val="0018674C"/>
    <w:rsid w:val="001907A7"/>
    <w:rsid w:val="001953F5"/>
    <w:rsid w:val="001A7C49"/>
    <w:rsid w:val="001B5973"/>
    <w:rsid w:val="001C1B34"/>
    <w:rsid w:val="001C1D85"/>
    <w:rsid w:val="001C4618"/>
    <w:rsid w:val="001D63F2"/>
    <w:rsid w:val="001E3DD6"/>
    <w:rsid w:val="001E7658"/>
    <w:rsid w:val="001E79A9"/>
    <w:rsid w:val="001F3658"/>
    <w:rsid w:val="001F5245"/>
    <w:rsid w:val="0020097B"/>
    <w:rsid w:val="002018E8"/>
    <w:rsid w:val="00202D1F"/>
    <w:rsid w:val="00204419"/>
    <w:rsid w:val="00210F59"/>
    <w:rsid w:val="00221D74"/>
    <w:rsid w:val="00222243"/>
    <w:rsid w:val="002239E0"/>
    <w:rsid w:val="002245D4"/>
    <w:rsid w:val="002307F3"/>
    <w:rsid w:val="00233BEA"/>
    <w:rsid w:val="00240A47"/>
    <w:rsid w:val="0024294E"/>
    <w:rsid w:val="0024666A"/>
    <w:rsid w:val="00246F94"/>
    <w:rsid w:val="00254817"/>
    <w:rsid w:val="002601B4"/>
    <w:rsid w:val="00260B26"/>
    <w:rsid w:val="002715CA"/>
    <w:rsid w:val="002764F1"/>
    <w:rsid w:val="00277AC8"/>
    <w:rsid w:val="00277D76"/>
    <w:rsid w:val="00280255"/>
    <w:rsid w:val="002848A6"/>
    <w:rsid w:val="0029137B"/>
    <w:rsid w:val="002920DF"/>
    <w:rsid w:val="002924A1"/>
    <w:rsid w:val="00293A15"/>
    <w:rsid w:val="002A2D30"/>
    <w:rsid w:val="002A5780"/>
    <w:rsid w:val="002A6276"/>
    <w:rsid w:val="002A7ADA"/>
    <w:rsid w:val="002B4459"/>
    <w:rsid w:val="002B46EA"/>
    <w:rsid w:val="002B54BC"/>
    <w:rsid w:val="002C13FC"/>
    <w:rsid w:val="002D351A"/>
    <w:rsid w:val="002D3E68"/>
    <w:rsid w:val="002E12CB"/>
    <w:rsid w:val="002E2149"/>
    <w:rsid w:val="002E422A"/>
    <w:rsid w:val="002F4990"/>
    <w:rsid w:val="002F7DC9"/>
    <w:rsid w:val="002F7FB5"/>
    <w:rsid w:val="00302D46"/>
    <w:rsid w:val="00321309"/>
    <w:rsid w:val="00325000"/>
    <w:rsid w:val="00325E12"/>
    <w:rsid w:val="00331EFA"/>
    <w:rsid w:val="00336790"/>
    <w:rsid w:val="00346138"/>
    <w:rsid w:val="003537F5"/>
    <w:rsid w:val="003540A8"/>
    <w:rsid w:val="0036034E"/>
    <w:rsid w:val="003604A0"/>
    <w:rsid w:val="00361095"/>
    <w:rsid w:val="00365FAB"/>
    <w:rsid w:val="00381906"/>
    <w:rsid w:val="00385E18"/>
    <w:rsid w:val="003869A2"/>
    <w:rsid w:val="00392FC8"/>
    <w:rsid w:val="00393AFB"/>
    <w:rsid w:val="003A0482"/>
    <w:rsid w:val="003A1421"/>
    <w:rsid w:val="003A2703"/>
    <w:rsid w:val="003A3BCE"/>
    <w:rsid w:val="003D486A"/>
    <w:rsid w:val="003E67F9"/>
    <w:rsid w:val="003F0F01"/>
    <w:rsid w:val="003F4BE0"/>
    <w:rsid w:val="0040727A"/>
    <w:rsid w:val="0041354F"/>
    <w:rsid w:val="00413851"/>
    <w:rsid w:val="00422C1A"/>
    <w:rsid w:val="004248FE"/>
    <w:rsid w:val="004257A2"/>
    <w:rsid w:val="0043593D"/>
    <w:rsid w:val="004370EC"/>
    <w:rsid w:val="0044061A"/>
    <w:rsid w:val="00440F0E"/>
    <w:rsid w:val="00441B6B"/>
    <w:rsid w:val="004502A9"/>
    <w:rsid w:val="00452349"/>
    <w:rsid w:val="00461FE6"/>
    <w:rsid w:val="00463107"/>
    <w:rsid w:val="00463C73"/>
    <w:rsid w:val="00467C93"/>
    <w:rsid w:val="00480DB4"/>
    <w:rsid w:val="00483B38"/>
    <w:rsid w:val="004901FB"/>
    <w:rsid w:val="004A12D9"/>
    <w:rsid w:val="004A5280"/>
    <w:rsid w:val="004A7DAD"/>
    <w:rsid w:val="004C1197"/>
    <w:rsid w:val="004C2792"/>
    <w:rsid w:val="004C2FFF"/>
    <w:rsid w:val="004D18B9"/>
    <w:rsid w:val="004D2877"/>
    <w:rsid w:val="004E2EE9"/>
    <w:rsid w:val="004E5B2C"/>
    <w:rsid w:val="004F02AD"/>
    <w:rsid w:val="004F31B4"/>
    <w:rsid w:val="004F3AD4"/>
    <w:rsid w:val="004F74A5"/>
    <w:rsid w:val="00505E01"/>
    <w:rsid w:val="00513965"/>
    <w:rsid w:val="00520B86"/>
    <w:rsid w:val="005220CE"/>
    <w:rsid w:val="00522FBC"/>
    <w:rsid w:val="00523B26"/>
    <w:rsid w:val="005266B8"/>
    <w:rsid w:val="00527C4A"/>
    <w:rsid w:val="005331AC"/>
    <w:rsid w:val="00534A3A"/>
    <w:rsid w:val="00542E18"/>
    <w:rsid w:val="005438CE"/>
    <w:rsid w:val="00546390"/>
    <w:rsid w:val="0054738D"/>
    <w:rsid w:val="00560C13"/>
    <w:rsid w:val="00560F9A"/>
    <w:rsid w:val="0056686E"/>
    <w:rsid w:val="00570769"/>
    <w:rsid w:val="005835CE"/>
    <w:rsid w:val="005871E8"/>
    <w:rsid w:val="005900EA"/>
    <w:rsid w:val="00591A7B"/>
    <w:rsid w:val="00593D13"/>
    <w:rsid w:val="00593F53"/>
    <w:rsid w:val="005A10A1"/>
    <w:rsid w:val="005A4F0B"/>
    <w:rsid w:val="005A77B8"/>
    <w:rsid w:val="005B0C8D"/>
    <w:rsid w:val="005B1B7A"/>
    <w:rsid w:val="005C2CDE"/>
    <w:rsid w:val="005C4DF2"/>
    <w:rsid w:val="005C7085"/>
    <w:rsid w:val="005D083C"/>
    <w:rsid w:val="005D3D36"/>
    <w:rsid w:val="005E6CED"/>
    <w:rsid w:val="005F4C6F"/>
    <w:rsid w:val="00601021"/>
    <w:rsid w:val="00607189"/>
    <w:rsid w:val="006071D5"/>
    <w:rsid w:val="00610586"/>
    <w:rsid w:val="0061244D"/>
    <w:rsid w:val="00621139"/>
    <w:rsid w:val="00630BE5"/>
    <w:rsid w:val="00630D84"/>
    <w:rsid w:val="00630DCC"/>
    <w:rsid w:val="006342BD"/>
    <w:rsid w:val="00640764"/>
    <w:rsid w:val="00644FFB"/>
    <w:rsid w:val="00651B86"/>
    <w:rsid w:val="006562FA"/>
    <w:rsid w:val="00656E6B"/>
    <w:rsid w:val="00662DC9"/>
    <w:rsid w:val="0066772C"/>
    <w:rsid w:val="00670A46"/>
    <w:rsid w:val="0067361D"/>
    <w:rsid w:val="00674437"/>
    <w:rsid w:val="00676760"/>
    <w:rsid w:val="00684983"/>
    <w:rsid w:val="00684E57"/>
    <w:rsid w:val="0069097F"/>
    <w:rsid w:val="0069433F"/>
    <w:rsid w:val="006A1A20"/>
    <w:rsid w:val="006A391B"/>
    <w:rsid w:val="006A623C"/>
    <w:rsid w:val="006C6A48"/>
    <w:rsid w:val="006E7176"/>
    <w:rsid w:val="006F3C7E"/>
    <w:rsid w:val="006F6E9E"/>
    <w:rsid w:val="006F7EE6"/>
    <w:rsid w:val="007065B4"/>
    <w:rsid w:val="00715C24"/>
    <w:rsid w:val="00715D4D"/>
    <w:rsid w:val="00721B0C"/>
    <w:rsid w:val="00723595"/>
    <w:rsid w:val="007300DA"/>
    <w:rsid w:val="00731D50"/>
    <w:rsid w:val="0073395D"/>
    <w:rsid w:val="00735274"/>
    <w:rsid w:val="00735876"/>
    <w:rsid w:val="00735C9F"/>
    <w:rsid w:val="00736A7E"/>
    <w:rsid w:val="007444C1"/>
    <w:rsid w:val="007448F4"/>
    <w:rsid w:val="00752648"/>
    <w:rsid w:val="007622BA"/>
    <w:rsid w:val="00772672"/>
    <w:rsid w:val="00783688"/>
    <w:rsid w:val="00783B9C"/>
    <w:rsid w:val="00792523"/>
    <w:rsid w:val="00794FDC"/>
    <w:rsid w:val="007A0768"/>
    <w:rsid w:val="007A1031"/>
    <w:rsid w:val="007A1DE9"/>
    <w:rsid w:val="007A2B19"/>
    <w:rsid w:val="007A2B6B"/>
    <w:rsid w:val="007B103C"/>
    <w:rsid w:val="007B55FB"/>
    <w:rsid w:val="007C2C19"/>
    <w:rsid w:val="007C6AF9"/>
    <w:rsid w:val="007C7942"/>
    <w:rsid w:val="007D48E9"/>
    <w:rsid w:val="007E2ADD"/>
    <w:rsid w:val="007F3A21"/>
    <w:rsid w:val="008015BB"/>
    <w:rsid w:val="00804885"/>
    <w:rsid w:val="00805C4A"/>
    <w:rsid w:val="0080654E"/>
    <w:rsid w:val="008114CC"/>
    <w:rsid w:val="00813AE6"/>
    <w:rsid w:val="00821ABE"/>
    <w:rsid w:val="00827A65"/>
    <w:rsid w:val="008364B0"/>
    <w:rsid w:val="00852268"/>
    <w:rsid w:val="008670DD"/>
    <w:rsid w:val="0088149C"/>
    <w:rsid w:val="00881652"/>
    <w:rsid w:val="00884942"/>
    <w:rsid w:val="00886683"/>
    <w:rsid w:val="00890704"/>
    <w:rsid w:val="00892E29"/>
    <w:rsid w:val="00896C7F"/>
    <w:rsid w:val="008A246F"/>
    <w:rsid w:val="008A4EC4"/>
    <w:rsid w:val="008B1CA2"/>
    <w:rsid w:val="008C3E65"/>
    <w:rsid w:val="008C53E4"/>
    <w:rsid w:val="008C5F43"/>
    <w:rsid w:val="008D5DCC"/>
    <w:rsid w:val="008D7D5F"/>
    <w:rsid w:val="008E1F8B"/>
    <w:rsid w:val="008E3C46"/>
    <w:rsid w:val="008E56A0"/>
    <w:rsid w:val="008F0BF6"/>
    <w:rsid w:val="008F0E26"/>
    <w:rsid w:val="00911591"/>
    <w:rsid w:val="00923E49"/>
    <w:rsid w:val="00925F4F"/>
    <w:rsid w:val="00931C0B"/>
    <w:rsid w:val="00936759"/>
    <w:rsid w:val="00937054"/>
    <w:rsid w:val="009539D4"/>
    <w:rsid w:val="00955B5B"/>
    <w:rsid w:val="009561B3"/>
    <w:rsid w:val="0095622F"/>
    <w:rsid w:val="00956CB7"/>
    <w:rsid w:val="00977742"/>
    <w:rsid w:val="00981C09"/>
    <w:rsid w:val="009915AA"/>
    <w:rsid w:val="00992342"/>
    <w:rsid w:val="009935FA"/>
    <w:rsid w:val="00994794"/>
    <w:rsid w:val="00994ECF"/>
    <w:rsid w:val="00996800"/>
    <w:rsid w:val="00996C40"/>
    <w:rsid w:val="009A13DB"/>
    <w:rsid w:val="009A545C"/>
    <w:rsid w:val="009B313B"/>
    <w:rsid w:val="009B706A"/>
    <w:rsid w:val="009B7ED1"/>
    <w:rsid w:val="009C044F"/>
    <w:rsid w:val="009C0944"/>
    <w:rsid w:val="009C2FBF"/>
    <w:rsid w:val="009C438F"/>
    <w:rsid w:val="009D28A5"/>
    <w:rsid w:val="009D422E"/>
    <w:rsid w:val="009D759F"/>
    <w:rsid w:val="009E5800"/>
    <w:rsid w:val="009F0F00"/>
    <w:rsid w:val="009F0FDA"/>
    <w:rsid w:val="009F3285"/>
    <w:rsid w:val="009F426E"/>
    <w:rsid w:val="00A0281A"/>
    <w:rsid w:val="00A051DF"/>
    <w:rsid w:val="00A0553D"/>
    <w:rsid w:val="00A11D90"/>
    <w:rsid w:val="00A12D0B"/>
    <w:rsid w:val="00A13238"/>
    <w:rsid w:val="00A233B6"/>
    <w:rsid w:val="00A264BB"/>
    <w:rsid w:val="00A30852"/>
    <w:rsid w:val="00A31105"/>
    <w:rsid w:val="00A4502C"/>
    <w:rsid w:val="00A4581D"/>
    <w:rsid w:val="00A65B21"/>
    <w:rsid w:val="00A67256"/>
    <w:rsid w:val="00A72D4B"/>
    <w:rsid w:val="00A736A2"/>
    <w:rsid w:val="00A807D2"/>
    <w:rsid w:val="00A83D94"/>
    <w:rsid w:val="00A90717"/>
    <w:rsid w:val="00A9603D"/>
    <w:rsid w:val="00AA2C2C"/>
    <w:rsid w:val="00AA3215"/>
    <w:rsid w:val="00AA3373"/>
    <w:rsid w:val="00AA47E4"/>
    <w:rsid w:val="00AB015A"/>
    <w:rsid w:val="00AB58FE"/>
    <w:rsid w:val="00AC3BDB"/>
    <w:rsid w:val="00AC6244"/>
    <w:rsid w:val="00AD123E"/>
    <w:rsid w:val="00AD5681"/>
    <w:rsid w:val="00AE01C0"/>
    <w:rsid w:val="00AE3856"/>
    <w:rsid w:val="00AF1364"/>
    <w:rsid w:val="00AF4636"/>
    <w:rsid w:val="00AF6E01"/>
    <w:rsid w:val="00B04672"/>
    <w:rsid w:val="00B10B2B"/>
    <w:rsid w:val="00B11113"/>
    <w:rsid w:val="00B132BC"/>
    <w:rsid w:val="00B1766B"/>
    <w:rsid w:val="00B23452"/>
    <w:rsid w:val="00B24C92"/>
    <w:rsid w:val="00B260D4"/>
    <w:rsid w:val="00B477C9"/>
    <w:rsid w:val="00B51911"/>
    <w:rsid w:val="00B55502"/>
    <w:rsid w:val="00B55702"/>
    <w:rsid w:val="00B60B00"/>
    <w:rsid w:val="00B67230"/>
    <w:rsid w:val="00B77CB8"/>
    <w:rsid w:val="00B86EB3"/>
    <w:rsid w:val="00B904E4"/>
    <w:rsid w:val="00B92CCD"/>
    <w:rsid w:val="00B95FE9"/>
    <w:rsid w:val="00BA38A9"/>
    <w:rsid w:val="00BA49B7"/>
    <w:rsid w:val="00BB00E1"/>
    <w:rsid w:val="00BB3287"/>
    <w:rsid w:val="00BC0754"/>
    <w:rsid w:val="00BC5D26"/>
    <w:rsid w:val="00BD06C7"/>
    <w:rsid w:val="00BD0B5F"/>
    <w:rsid w:val="00BD147B"/>
    <w:rsid w:val="00BD39F9"/>
    <w:rsid w:val="00BD7A7E"/>
    <w:rsid w:val="00BE3FDD"/>
    <w:rsid w:val="00BF0ECA"/>
    <w:rsid w:val="00C000B0"/>
    <w:rsid w:val="00C06BAF"/>
    <w:rsid w:val="00C151F9"/>
    <w:rsid w:val="00C159A6"/>
    <w:rsid w:val="00C16DE9"/>
    <w:rsid w:val="00C20446"/>
    <w:rsid w:val="00C221DF"/>
    <w:rsid w:val="00C22648"/>
    <w:rsid w:val="00C302E9"/>
    <w:rsid w:val="00C305B1"/>
    <w:rsid w:val="00C31C33"/>
    <w:rsid w:val="00C43DCC"/>
    <w:rsid w:val="00C47D94"/>
    <w:rsid w:val="00C53635"/>
    <w:rsid w:val="00C57112"/>
    <w:rsid w:val="00C572DE"/>
    <w:rsid w:val="00C61B49"/>
    <w:rsid w:val="00C65754"/>
    <w:rsid w:val="00C72A08"/>
    <w:rsid w:val="00C752F0"/>
    <w:rsid w:val="00C762D6"/>
    <w:rsid w:val="00CA032C"/>
    <w:rsid w:val="00CA1E4B"/>
    <w:rsid w:val="00CA22D2"/>
    <w:rsid w:val="00CA3EAC"/>
    <w:rsid w:val="00CA4839"/>
    <w:rsid w:val="00CA4F15"/>
    <w:rsid w:val="00CC0D87"/>
    <w:rsid w:val="00CC3D86"/>
    <w:rsid w:val="00CD4C48"/>
    <w:rsid w:val="00CD5AA8"/>
    <w:rsid w:val="00CD5C83"/>
    <w:rsid w:val="00CE4B08"/>
    <w:rsid w:val="00CE5A7E"/>
    <w:rsid w:val="00CF588A"/>
    <w:rsid w:val="00CF5ED7"/>
    <w:rsid w:val="00D11F24"/>
    <w:rsid w:val="00D12948"/>
    <w:rsid w:val="00D13CF5"/>
    <w:rsid w:val="00D15E1F"/>
    <w:rsid w:val="00D2014C"/>
    <w:rsid w:val="00D2071E"/>
    <w:rsid w:val="00D219A4"/>
    <w:rsid w:val="00D226CF"/>
    <w:rsid w:val="00D27689"/>
    <w:rsid w:val="00D278A2"/>
    <w:rsid w:val="00D321D9"/>
    <w:rsid w:val="00D34404"/>
    <w:rsid w:val="00D3626F"/>
    <w:rsid w:val="00D40EE7"/>
    <w:rsid w:val="00D43DE7"/>
    <w:rsid w:val="00D46569"/>
    <w:rsid w:val="00D525B8"/>
    <w:rsid w:val="00D542D4"/>
    <w:rsid w:val="00D5502A"/>
    <w:rsid w:val="00D56514"/>
    <w:rsid w:val="00D57A57"/>
    <w:rsid w:val="00D639C5"/>
    <w:rsid w:val="00D64B72"/>
    <w:rsid w:val="00D7725F"/>
    <w:rsid w:val="00D818A4"/>
    <w:rsid w:val="00D81DD9"/>
    <w:rsid w:val="00D826B4"/>
    <w:rsid w:val="00D85E74"/>
    <w:rsid w:val="00D91CBE"/>
    <w:rsid w:val="00D92A93"/>
    <w:rsid w:val="00DA00DB"/>
    <w:rsid w:val="00DA3820"/>
    <w:rsid w:val="00DB2CBD"/>
    <w:rsid w:val="00DB33FB"/>
    <w:rsid w:val="00DB6D5D"/>
    <w:rsid w:val="00DB7199"/>
    <w:rsid w:val="00DC64BE"/>
    <w:rsid w:val="00DD738E"/>
    <w:rsid w:val="00DE0BAE"/>
    <w:rsid w:val="00DE3F13"/>
    <w:rsid w:val="00DF33AD"/>
    <w:rsid w:val="00DF7359"/>
    <w:rsid w:val="00E01935"/>
    <w:rsid w:val="00E07C1A"/>
    <w:rsid w:val="00E1433D"/>
    <w:rsid w:val="00E15544"/>
    <w:rsid w:val="00E205D1"/>
    <w:rsid w:val="00E23A92"/>
    <w:rsid w:val="00E3048A"/>
    <w:rsid w:val="00E31F93"/>
    <w:rsid w:val="00E40513"/>
    <w:rsid w:val="00E4317A"/>
    <w:rsid w:val="00E55F56"/>
    <w:rsid w:val="00E56244"/>
    <w:rsid w:val="00E571CC"/>
    <w:rsid w:val="00E631B3"/>
    <w:rsid w:val="00E70345"/>
    <w:rsid w:val="00E771C3"/>
    <w:rsid w:val="00E874A7"/>
    <w:rsid w:val="00E87F35"/>
    <w:rsid w:val="00E953D0"/>
    <w:rsid w:val="00EA30D3"/>
    <w:rsid w:val="00EC4736"/>
    <w:rsid w:val="00ED2D93"/>
    <w:rsid w:val="00ED2E60"/>
    <w:rsid w:val="00ED6E04"/>
    <w:rsid w:val="00ED7668"/>
    <w:rsid w:val="00EE491D"/>
    <w:rsid w:val="00EF21C9"/>
    <w:rsid w:val="00F03812"/>
    <w:rsid w:val="00F0479B"/>
    <w:rsid w:val="00F07ADA"/>
    <w:rsid w:val="00F13A6C"/>
    <w:rsid w:val="00F179D2"/>
    <w:rsid w:val="00F201D3"/>
    <w:rsid w:val="00F27403"/>
    <w:rsid w:val="00F27BE4"/>
    <w:rsid w:val="00F31466"/>
    <w:rsid w:val="00F33108"/>
    <w:rsid w:val="00F33A20"/>
    <w:rsid w:val="00F37E08"/>
    <w:rsid w:val="00F43821"/>
    <w:rsid w:val="00F6633C"/>
    <w:rsid w:val="00F77284"/>
    <w:rsid w:val="00F84EEA"/>
    <w:rsid w:val="00F90C75"/>
    <w:rsid w:val="00F965D1"/>
    <w:rsid w:val="00FA0E28"/>
    <w:rsid w:val="00FA45F9"/>
    <w:rsid w:val="00FA6FA1"/>
    <w:rsid w:val="00FC6088"/>
    <w:rsid w:val="00FC70EB"/>
    <w:rsid w:val="00FD4846"/>
    <w:rsid w:val="00FE01D9"/>
    <w:rsid w:val="00FE21CC"/>
    <w:rsid w:val="00FE30BC"/>
    <w:rsid w:val="00FE3B4D"/>
    <w:rsid w:val="00FE5D3B"/>
    <w:rsid w:val="00FE76E2"/>
    <w:rsid w:val="00FF0F56"/>
    <w:rsid w:val="00FF68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87BC27"/>
  <w15:docId w15:val="{DB9164B9-3A20-4358-9960-8F7BA366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1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C438F"/>
    <w:pPr>
      <w:spacing w:before="100" w:beforeAutospacing="1" w:after="100" w:afterAutospacing="1"/>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E01"/>
    <w:rPr>
      <w:color w:val="0563C1" w:themeColor="hyperlink"/>
      <w:u w:val="single"/>
    </w:rPr>
  </w:style>
  <w:style w:type="paragraph" w:styleId="ListParagraph">
    <w:name w:val="List Paragraph"/>
    <w:basedOn w:val="Normal"/>
    <w:uiPriority w:val="34"/>
    <w:qFormat/>
    <w:rsid w:val="00102197"/>
    <w:pPr>
      <w:ind w:left="720"/>
      <w:contextualSpacing/>
    </w:pPr>
  </w:style>
  <w:style w:type="character" w:customStyle="1" w:styleId="hps">
    <w:name w:val="hps"/>
    <w:basedOn w:val="DefaultParagraphFont"/>
    <w:rsid w:val="00D40EE7"/>
  </w:style>
  <w:style w:type="character" w:customStyle="1" w:styleId="atn">
    <w:name w:val="atn"/>
    <w:basedOn w:val="DefaultParagraphFont"/>
    <w:rsid w:val="00D40EE7"/>
  </w:style>
  <w:style w:type="paragraph" w:styleId="Header">
    <w:name w:val="header"/>
    <w:basedOn w:val="Normal"/>
    <w:link w:val="HeaderChar"/>
    <w:uiPriority w:val="99"/>
    <w:unhideWhenUsed/>
    <w:rsid w:val="001907A7"/>
    <w:pPr>
      <w:tabs>
        <w:tab w:val="center" w:pos="4153"/>
        <w:tab w:val="right" w:pos="8306"/>
      </w:tabs>
    </w:pPr>
  </w:style>
  <w:style w:type="character" w:customStyle="1" w:styleId="HeaderChar">
    <w:name w:val="Header Char"/>
    <w:basedOn w:val="DefaultParagraphFont"/>
    <w:link w:val="Header"/>
    <w:uiPriority w:val="99"/>
    <w:rsid w:val="001907A7"/>
  </w:style>
  <w:style w:type="paragraph" w:styleId="Footer">
    <w:name w:val="footer"/>
    <w:basedOn w:val="Normal"/>
    <w:link w:val="FooterChar"/>
    <w:uiPriority w:val="99"/>
    <w:unhideWhenUsed/>
    <w:rsid w:val="001907A7"/>
    <w:pPr>
      <w:tabs>
        <w:tab w:val="center" w:pos="4153"/>
        <w:tab w:val="right" w:pos="8306"/>
      </w:tabs>
    </w:pPr>
  </w:style>
  <w:style w:type="character" w:customStyle="1" w:styleId="FooterChar">
    <w:name w:val="Footer Char"/>
    <w:basedOn w:val="DefaultParagraphFont"/>
    <w:link w:val="Footer"/>
    <w:uiPriority w:val="99"/>
    <w:rsid w:val="001907A7"/>
  </w:style>
  <w:style w:type="table" w:styleId="TableGrid">
    <w:name w:val="Table Grid"/>
    <w:basedOn w:val="TableNormal"/>
    <w:uiPriority w:val="39"/>
    <w:rsid w:val="001C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Footnote,Fußnote,ft,Footnote Text Char1"/>
    <w:basedOn w:val="Normal"/>
    <w:link w:val="FootnoteTextChar"/>
    <w:uiPriority w:val="99"/>
    <w:unhideWhenUsed/>
    <w:qFormat/>
    <w:rsid w:val="00B77CB8"/>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uiPriority w:val="99"/>
    <w:rsid w:val="00B77CB8"/>
    <w:rPr>
      <w:sz w:val="20"/>
      <w:szCs w:val="20"/>
    </w:rPr>
  </w:style>
  <w:style w:type="character" w:styleId="FootnoteReference">
    <w:name w:val="footnote reference"/>
    <w:aliases w:val="stylish,number,SUPERS,Footnote Reference Number,Footnote symbol,Footnotes refss,Footnote Reference Superscript,BVI fnr,Footnote symboFußnotenzeichen,Footnote sign,E FNZ,-E Fußnotenzeichen,Footnote#,Times 10 Point,Exposant 3 Point,Ref"/>
    <w:basedOn w:val="DefaultParagraphFont"/>
    <w:uiPriority w:val="99"/>
    <w:unhideWhenUsed/>
    <w:qFormat/>
    <w:rsid w:val="00B77CB8"/>
    <w:rPr>
      <w:vertAlign w:val="superscript"/>
    </w:rPr>
  </w:style>
  <w:style w:type="character" w:customStyle="1" w:styleId="Heading3Char">
    <w:name w:val="Heading 3 Char"/>
    <w:basedOn w:val="DefaultParagraphFont"/>
    <w:link w:val="Heading3"/>
    <w:uiPriority w:val="9"/>
    <w:rsid w:val="009C438F"/>
    <w:rPr>
      <w:rFonts w:eastAsia="Times New Roman" w:cs="Times New Roman"/>
      <w:b/>
      <w:bCs/>
      <w:sz w:val="27"/>
      <w:szCs w:val="27"/>
      <w:lang w:val="en-US"/>
    </w:rPr>
  </w:style>
  <w:style w:type="paragraph" w:styleId="BalloonText">
    <w:name w:val="Balloon Text"/>
    <w:basedOn w:val="Normal"/>
    <w:link w:val="BalloonTextChar"/>
    <w:uiPriority w:val="99"/>
    <w:semiHidden/>
    <w:unhideWhenUsed/>
    <w:rsid w:val="006A1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20"/>
    <w:rPr>
      <w:rFonts w:ascii="Segoe UI" w:hAnsi="Segoe UI" w:cs="Segoe UI"/>
      <w:sz w:val="18"/>
      <w:szCs w:val="18"/>
    </w:rPr>
  </w:style>
  <w:style w:type="character" w:customStyle="1" w:styleId="xdtextbox1">
    <w:name w:val="xdtextbox1"/>
    <w:basedOn w:val="DefaultParagraphFont"/>
    <w:rsid w:val="00FA0E28"/>
    <w:rPr>
      <w:color w:val="auto"/>
      <w:bdr w:val="single" w:sz="8" w:space="1" w:color="DCDCDC" w:frame="1"/>
      <w:shd w:val="clear" w:color="auto" w:fill="FFFFFF"/>
    </w:rPr>
  </w:style>
  <w:style w:type="character" w:customStyle="1" w:styleId="Heading1Char">
    <w:name w:val="Heading 1 Char"/>
    <w:basedOn w:val="DefaultParagraphFont"/>
    <w:link w:val="Heading1"/>
    <w:uiPriority w:val="9"/>
    <w:rsid w:val="00B1111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57A57"/>
    <w:rPr>
      <w:b/>
      <w:bCs/>
    </w:rPr>
  </w:style>
  <w:style w:type="paragraph" w:styleId="NormalWeb">
    <w:name w:val="Normal (Web)"/>
    <w:basedOn w:val="Normal"/>
    <w:uiPriority w:val="99"/>
    <w:semiHidden/>
    <w:unhideWhenUsed/>
    <w:rsid w:val="00D57A57"/>
    <w:pPr>
      <w:spacing w:after="135" w:line="270" w:lineRule="atLeast"/>
    </w:pPr>
    <w:rPr>
      <w:rFonts w:ascii="Helvetica" w:eastAsia="Times New Roman" w:hAnsi="Helvetica" w:cs="Helvetica"/>
      <w:sz w:val="20"/>
      <w:szCs w:val="20"/>
      <w:lang w:eastAsia="lv-LV"/>
    </w:rPr>
  </w:style>
  <w:style w:type="table" w:styleId="ListTable1Light-Accent1">
    <w:name w:val="List Table 1 Light Accent 1"/>
    <w:basedOn w:val="TableNormal"/>
    <w:uiPriority w:val="46"/>
    <w:rsid w:val="00D57A5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D57A57"/>
    <w:rPr>
      <w:color w:val="954F72" w:themeColor="followedHyperlink"/>
      <w:u w:val="single"/>
    </w:rPr>
  </w:style>
  <w:style w:type="character" w:styleId="Emphasis">
    <w:name w:val="Emphasis"/>
    <w:basedOn w:val="DefaultParagraphFont"/>
    <w:uiPriority w:val="20"/>
    <w:qFormat/>
    <w:rsid w:val="00FA45F9"/>
    <w:rPr>
      <w:i/>
      <w:iCs/>
    </w:rPr>
  </w:style>
  <w:style w:type="paragraph" w:customStyle="1" w:styleId="teksts">
    <w:name w:val="teksts"/>
    <w:rsid w:val="002239E0"/>
    <w:pPr>
      <w:spacing w:after="40"/>
      <w:jc w:val="both"/>
    </w:pPr>
    <w:rPr>
      <w:rFonts w:ascii="Garamond" w:eastAsia="Times New Roman" w:hAnsi="Garamond" w:cs="Times New Roman"/>
      <w:kern w:val="24"/>
      <w:szCs w:val="20"/>
    </w:rPr>
  </w:style>
  <w:style w:type="character" w:customStyle="1" w:styleId="longtext">
    <w:name w:val="long_text"/>
    <w:basedOn w:val="DefaultParagraphFont"/>
    <w:rsid w:val="002239E0"/>
  </w:style>
  <w:style w:type="table" w:styleId="GridTable3-Accent1">
    <w:name w:val="Grid Table 3 Accent 1"/>
    <w:basedOn w:val="TableNormal"/>
    <w:uiPriority w:val="48"/>
    <w:rsid w:val="00210F5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CommentReference">
    <w:name w:val="annotation reference"/>
    <w:basedOn w:val="DefaultParagraphFont"/>
    <w:uiPriority w:val="99"/>
    <w:semiHidden/>
    <w:unhideWhenUsed/>
    <w:rsid w:val="00101D4E"/>
    <w:rPr>
      <w:sz w:val="16"/>
      <w:szCs w:val="16"/>
    </w:rPr>
  </w:style>
  <w:style w:type="paragraph" w:styleId="CommentText">
    <w:name w:val="annotation text"/>
    <w:basedOn w:val="Normal"/>
    <w:link w:val="CommentTextChar"/>
    <w:uiPriority w:val="99"/>
    <w:semiHidden/>
    <w:unhideWhenUsed/>
    <w:rsid w:val="00101D4E"/>
    <w:rPr>
      <w:sz w:val="20"/>
      <w:szCs w:val="20"/>
    </w:rPr>
  </w:style>
  <w:style w:type="character" w:customStyle="1" w:styleId="CommentTextChar">
    <w:name w:val="Comment Text Char"/>
    <w:basedOn w:val="DefaultParagraphFont"/>
    <w:link w:val="CommentText"/>
    <w:uiPriority w:val="99"/>
    <w:semiHidden/>
    <w:rsid w:val="00101D4E"/>
    <w:rPr>
      <w:sz w:val="20"/>
      <w:szCs w:val="20"/>
    </w:rPr>
  </w:style>
  <w:style w:type="paragraph" w:styleId="CommentSubject">
    <w:name w:val="annotation subject"/>
    <w:basedOn w:val="CommentText"/>
    <w:next w:val="CommentText"/>
    <w:link w:val="CommentSubjectChar"/>
    <w:uiPriority w:val="99"/>
    <w:semiHidden/>
    <w:unhideWhenUsed/>
    <w:rsid w:val="00101D4E"/>
    <w:rPr>
      <w:b/>
      <w:bCs/>
    </w:rPr>
  </w:style>
  <w:style w:type="character" w:customStyle="1" w:styleId="CommentSubjectChar">
    <w:name w:val="Comment Subject Char"/>
    <w:basedOn w:val="CommentTextChar"/>
    <w:link w:val="CommentSubject"/>
    <w:uiPriority w:val="99"/>
    <w:semiHidden/>
    <w:rsid w:val="00101D4E"/>
    <w:rPr>
      <w:b/>
      <w:bCs/>
      <w:sz w:val="20"/>
      <w:szCs w:val="20"/>
    </w:rPr>
  </w:style>
  <w:style w:type="table" w:styleId="GridTable7Colorful-Accent5">
    <w:name w:val="Grid Table 7 Colorful Accent 5"/>
    <w:basedOn w:val="TableNormal"/>
    <w:uiPriority w:val="52"/>
    <w:rsid w:val="00931C0B"/>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2-Accent1">
    <w:name w:val="List Table 2 Accent 1"/>
    <w:basedOn w:val="TableNormal"/>
    <w:uiPriority w:val="47"/>
    <w:rsid w:val="00931C0B"/>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7Colorful-Accent51">
    <w:name w:val="List Table 7 Colorful - Accent 51"/>
    <w:basedOn w:val="TableNormal"/>
    <w:uiPriority w:val="52"/>
    <w:rsid w:val="00DC64B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64B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B234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7Colorful-Accent1">
    <w:name w:val="List Table 7 Colorful Accent 1"/>
    <w:basedOn w:val="TableNormal"/>
    <w:uiPriority w:val="52"/>
    <w:rsid w:val="00630DCC"/>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5737">
      <w:bodyDiv w:val="1"/>
      <w:marLeft w:val="0"/>
      <w:marRight w:val="0"/>
      <w:marTop w:val="0"/>
      <w:marBottom w:val="0"/>
      <w:divBdr>
        <w:top w:val="none" w:sz="0" w:space="0" w:color="auto"/>
        <w:left w:val="none" w:sz="0" w:space="0" w:color="auto"/>
        <w:bottom w:val="none" w:sz="0" w:space="0" w:color="auto"/>
        <w:right w:val="none" w:sz="0" w:space="0" w:color="auto"/>
      </w:divBdr>
      <w:divsChild>
        <w:div w:id="1500734471">
          <w:marLeft w:val="0"/>
          <w:marRight w:val="0"/>
          <w:marTop w:val="0"/>
          <w:marBottom w:val="0"/>
          <w:divBdr>
            <w:top w:val="none" w:sz="0" w:space="0" w:color="auto"/>
            <w:left w:val="none" w:sz="0" w:space="0" w:color="auto"/>
            <w:bottom w:val="none" w:sz="0" w:space="0" w:color="auto"/>
            <w:right w:val="none" w:sz="0" w:space="0" w:color="auto"/>
          </w:divBdr>
          <w:divsChild>
            <w:div w:id="9591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7049">
      <w:bodyDiv w:val="1"/>
      <w:marLeft w:val="0"/>
      <w:marRight w:val="0"/>
      <w:marTop w:val="0"/>
      <w:marBottom w:val="0"/>
      <w:divBdr>
        <w:top w:val="none" w:sz="0" w:space="0" w:color="auto"/>
        <w:left w:val="none" w:sz="0" w:space="0" w:color="auto"/>
        <w:bottom w:val="none" w:sz="0" w:space="0" w:color="auto"/>
        <w:right w:val="none" w:sz="0" w:space="0" w:color="auto"/>
      </w:divBdr>
    </w:div>
    <w:div w:id="776487224">
      <w:bodyDiv w:val="1"/>
      <w:marLeft w:val="0"/>
      <w:marRight w:val="0"/>
      <w:marTop w:val="0"/>
      <w:marBottom w:val="0"/>
      <w:divBdr>
        <w:top w:val="none" w:sz="0" w:space="0" w:color="auto"/>
        <w:left w:val="none" w:sz="0" w:space="0" w:color="auto"/>
        <w:bottom w:val="none" w:sz="0" w:space="0" w:color="auto"/>
        <w:right w:val="none" w:sz="0" w:space="0" w:color="auto"/>
      </w:divBdr>
    </w:div>
    <w:div w:id="798718363">
      <w:bodyDiv w:val="1"/>
      <w:marLeft w:val="0"/>
      <w:marRight w:val="0"/>
      <w:marTop w:val="0"/>
      <w:marBottom w:val="0"/>
      <w:divBdr>
        <w:top w:val="none" w:sz="0" w:space="0" w:color="auto"/>
        <w:left w:val="none" w:sz="0" w:space="0" w:color="auto"/>
        <w:bottom w:val="none" w:sz="0" w:space="0" w:color="auto"/>
        <w:right w:val="none" w:sz="0" w:space="0" w:color="auto"/>
      </w:divBdr>
      <w:divsChild>
        <w:div w:id="752897254">
          <w:marLeft w:val="0"/>
          <w:marRight w:val="0"/>
          <w:marTop w:val="0"/>
          <w:marBottom w:val="0"/>
          <w:divBdr>
            <w:top w:val="none" w:sz="0" w:space="0" w:color="auto"/>
            <w:left w:val="none" w:sz="0" w:space="0" w:color="auto"/>
            <w:bottom w:val="none" w:sz="0" w:space="0" w:color="auto"/>
            <w:right w:val="none" w:sz="0" w:space="0" w:color="auto"/>
          </w:divBdr>
          <w:divsChild>
            <w:div w:id="1214388654">
              <w:marLeft w:val="-300"/>
              <w:marRight w:val="0"/>
              <w:marTop w:val="0"/>
              <w:marBottom w:val="270"/>
              <w:divBdr>
                <w:top w:val="none" w:sz="0" w:space="0" w:color="auto"/>
                <w:left w:val="none" w:sz="0" w:space="0" w:color="auto"/>
                <w:bottom w:val="none" w:sz="0" w:space="0" w:color="auto"/>
                <w:right w:val="none" w:sz="0" w:space="0" w:color="auto"/>
              </w:divBdr>
              <w:divsChild>
                <w:div w:id="1214197949">
                  <w:marLeft w:val="0"/>
                  <w:marRight w:val="0"/>
                  <w:marTop w:val="0"/>
                  <w:marBottom w:val="0"/>
                  <w:divBdr>
                    <w:top w:val="none" w:sz="0" w:space="0" w:color="auto"/>
                    <w:left w:val="none" w:sz="0" w:space="0" w:color="auto"/>
                    <w:bottom w:val="none" w:sz="0" w:space="0" w:color="auto"/>
                    <w:right w:val="none" w:sz="0" w:space="0" w:color="auto"/>
                  </w:divBdr>
                  <w:divsChild>
                    <w:div w:id="96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52776">
      <w:bodyDiv w:val="1"/>
      <w:marLeft w:val="0"/>
      <w:marRight w:val="0"/>
      <w:marTop w:val="0"/>
      <w:marBottom w:val="0"/>
      <w:divBdr>
        <w:top w:val="none" w:sz="0" w:space="0" w:color="auto"/>
        <w:left w:val="none" w:sz="0" w:space="0" w:color="auto"/>
        <w:bottom w:val="none" w:sz="0" w:space="0" w:color="auto"/>
        <w:right w:val="none" w:sz="0" w:space="0" w:color="auto"/>
      </w:divBdr>
    </w:div>
    <w:div w:id="932132913">
      <w:bodyDiv w:val="1"/>
      <w:marLeft w:val="0"/>
      <w:marRight w:val="0"/>
      <w:marTop w:val="0"/>
      <w:marBottom w:val="0"/>
      <w:divBdr>
        <w:top w:val="none" w:sz="0" w:space="0" w:color="auto"/>
        <w:left w:val="none" w:sz="0" w:space="0" w:color="auto"/>
        <w:bottom w:val="none" w:sz="0" w:space="0" w:color="auto"/>
        <w:right w:val="none" w:sz="0" w:space="0" w:color="auto"/>
      </w:divBdr>
      <w:divsChild>
        <w:div w:id="2135362622">
          <w:marLeft w:val="0"/>
          <w:marRight w:val="0"/>
          <w:marTop w:val="0"/>
          <w:marBottom w:val="0"/>
          <w:divBdr>
            <w:top w:val="none" w:sz="0" w:space="0" w:color="auto"/>
            <w:left w:val="none" w:sz="0" w:space="0" w:color="auto"/>
            <w:bottom w:val="none" w:sz="0" w:space="0" w:color="auto"/>
            <w:right w:val="none" w:sz="0" w:space="0" w:color="auto"/>
          </w:divBdr>
          <w:divsChild>
            <w:div w:id="435293218">
              <w:marLeft w:val="-300"/>
              <w:marRight w:val="0"/>
              <w:marTop w:val="0"/>
              <w:marBottom w:val="270"/>
              <w:divBdr>
                <w:top w:val="none" w:sz="0" w:space="0" w:color="auto"/>
                <w:left w:val="none" w:sz="0" w:space="0" w:color="auto"/>
                <w:bottom w:val="none" w:sz="0" w:space="0" w:color="auto"/>
                <w:right w:val="none" w:sz="0" w:space="0" w:color="auto"/>
              </w:divBdr>
              <w:divsChild>
                <w:div w:id="1649673704">
                  <w:marLeft w:val="0"/>
                  <w:marRight w:val="0"/>
                  <w:marTop w:val="0"/>
                  <w:marBottom w:val="0"/>
                  <w:divBdr>
                    <w:top w:val="none" w:sz="0" w:space="0" w:color="auto"/>
                    <w:left w:val="none" w:sz="0" w:space="0" w:color="auto"/>
                    <w:bottom w:val="none" w:sz="0" w:space="0" w:color="auto"/>
                    <w:right w:val="none" w:sz="0" w:space="0" w:color="auto"/>
                  </w:divBdr>
                  <w:divsChild>
                    <w:div w:id="9283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2123">
      <w:bodyDiv w:val="1"/>
      <w:marLeft w:val="0"/>
      <w:marRight w:val="0"/>
      <w:marTop w:val="0"/>
      <w:marBottom w:val="0"/>
      <w:divBdr>
        <w:top w:val="none" w:sz="0" w:space="0" w:color="auto"/>
        <w:left w:val="none" w:sz="0" w:space="0" w:color="auto"/>
        <w:bottom w:val="none" w:sz="0" w:space="0" w:color="auto"/>
        <w:right w:val="none" w:sz="0" w:space="0" w:color="auto"/>
      </w:divBdr>
    </w:div>
    <w:div w:id="1191607450">
      <w:bodyDiv w:val="1"/>
      <w:marLeft w:val="0"/>
      <w:marRight w:val="0"/>
      <w:marTop w:val="0"/>
      <w:marBottom w:val="0"/>
      <w:divBdr>
        <w:top w:val="none" w:sz="0" w:space="0" w:color="auto"/>
        <w:left w:val="none" w:sz="0" w:space="0" w:color="auto"/>
        <w:bottom w:val="none" w:sz="0" w:space="0" w:color="auto"/>
        <w:right w:val="none" w:sz="0" w:space="0" w:color="auto"/>
      </w:divBdr>
      <w:divsChild>
        <w:div w:id="1128160481">
          <w:marLeft w:val="0"/>
          <w:marRight w:val="0"/>
          <w:marTop w:val="0"/>
          <w:marBottom w:val="0"/>
          <w:divBdr>
            <w:top w:val="none" w:sz="0" w:space="0" w:color="auto"/>
            <w:left w:val="none" w:sz="0" w:space="0" w:color="auto"/>
            <w:bottom w:val="none" w:sz="0" w:space="0" w:color="auto"/>
            <w:right w:val="none" w:sz="0" w:space="0" w:color="auto"/>
          </w:divBdr>
          <w:divsChild>
            <w:div w:id="866679064">
              <w:marLeft w:val="-300"/>
              <w:marRight w:val="0"/>
              <w:marTop w:val="0"/>
              <w:marBottom w:val="270"/>
              <w:divBdr>
                <w:top w:val="none" w:sz="0" w:space="0" w:color="auto"/>
                <w:left w:val="none" w:sz="0" w:space="0" w:color="auto"/>
                <w:bottom w:val="none" w:sz="0" w:space="0" w:color="auto"/>
                <w:right w:val="none" w:sz="0" w:space="0" w:color="auto"/>
              </w:divBdr>
              <w:divsChild>
                <w:div w:id="943460615">
                  <w:marLeft w:val="0"/>
                  <w:marRight w:val="0"/>
                  <w:marTop w:val="0"/>
                  <w:marBottom w:val="0"/>
                  <w:divBdr>
                    <w:top w:val="none" w:sz="0" w:space="0" w:color="auto"/>
                    <w:left w:val="none" w:sz="0" w:space="0" w:color="auto"/>
                    <w:bottom w:val="none" w:sz="0" w:space="0" w:color="auto"/>
                    <w:right w:val="none" w:sz="0" w:space="0" w:color="auto"/>
                  </w:divBdr>
                  <w:divsChild>
                    <w:div w:id="572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20132">
      <w:bodyDiv w:val="1"/>
      <w:marLeft w:val="0"/>
      <w:marRight w:val="0"/>
      <w:marTop w:val="0"/>
      <w:marBottom w:val="0"/>
      <w:divBdr>
        <w:top w:val="none" w:sz="0" w:space="0" w:color="auto"/>
        <w:left w:val="none" w:sz="0" w:space="0" w:color="auto"/>
        <w:bottom w:val="none" w:sz="0" w:space="0" w:color="auto"/>
        <w:right w:val="none" w:sz="0" w:space="0" w:color="auto"/>
      </w:divBdr>
    </w:div>
    <w:div w:id="1281255928">
      <w:bodyDiv w:val="1"/>
      <w:marLeft w:val="0"/>
      <w:marRight w:val="0"/>
      <w:marTop w:val="0"/>
      <w:marBottom w:val="0"/>
      <w:divBdr>
        <w:top w:val="none" w:sz="0" w:space="0" w:color="auto"/>
        <w:left w:val="none" w:sz="0" w:space="0" w:color="auto"/>
        <w:bottom w:val="none" w:sz="0" w:space="0" w:color="auto"/>
        <w:right w:val="none" w:sz="0" w:space="0" w:color="auto"/>
      </w:divBdr>
      <w:divsChild>
        <w:div w:id="85422333">
          <w:marLeft w:val="0"/>
          <w:marRight w:val="0"/>
          <w:marTop w:val="0"/>
          <w:marBottom w:val="0"/>
          <w:divBdr>
            <w:top w:val="none" w:sz="0" w:space="0" w:color="auto"/>
            <w:left w:val="none" w:sz="0" w:space="0" w:color="auto"/>
            <w:bottom w:val="none" w:sz="0" w:space="0" w:color="auto"/>
            <w:right w:val="none" w:sz="0" w:space="0" w:color="auto"/>
          </w:divBdr>
          <w:divsChild>
            <w:div w:id="1528907988">
              <w:marLeft w:val="-300"/>
              <w:marRight w:val="0"/>
              <w:marTop w:val="0"/>
              <w:marBottom w:val="270"/>
              <w:divBdr>
                <w:top w:val="none" w:sz="0" w:space="0" w:color="auto"/>
                <w:left w:val="none" w:sz="0" w:space="0" w:color="auto"/>
                <w:bottom w:val="none" w:sz="0" w:space="0" w:color="auto"/>
                <w:right w:val="none" w:sz="0" w:space="0" w:color="auto"/>
              </w:divBdr>
              <w:divsChild>
                <w:div w:id="897479530">
                  <w:marLeft w:val="0"/>
                  <w:marRight w:val="0"/>
                  <w:marTop w:val="0"/>
                  <w:marBottom w:val="0"/>
                  <w:divBdr>
                    <w:top w:val="none" w:sz="0" w:space="0" w:color="auto"/>
                    <w:left w:val="none" w:sz="0" w:space="0" w:color="auto"/>
                    <w:bottom w:val="none" w:sz="0" w:space="0" w:color="auto"/>
                    <w:right w:val="none" w:sz="0" w:space="0" w:color="auto"/>
                  </w:divBdr>
                  <w:divsChild>
                    <w:div w:id="9918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0663">
      <w:bodyDiv w:val="1"/>
      <w:marLeft w:val="0"/>
      <w:marRight w:val="0"/>
      <w:marTop w:val="0"/>
      <w:marBottom w:val="0"/>
      <w:divBdr>
        <w:top w:val="none" w:sz="0" w:space="0" w:color="auto"/>
        <w:left w:val="none" w:sz="0" w:space="0" w:color="auto"/>
        <w:bottom w:val="none" w:sz="0" w:space="0" w:color="auto"/>
        <w:right w:val="none" w:sz="0" w:space="0" w:color="auto"/>
      </w:divBdr>
    </w:div>
    <w:div w:id="1579942346">
      <w:bodyDiv w:val="1"/>
      <w:marLeft w:val="0"/>
      <w:marRight w:val="0"/>
      <w:marTop w:val="0"/>
      <w:marBottom w:val="0"/>
      <w:divBdr>
        <w:top w:val="none" w:sz="0" w:space="0" w:color="auto"/>
        <w:left w:val="none" w:sz="0" w:space="0" w:color="auto"/>
        <w:bottom w:val="none" w:sz="0" w:space="0" w:color="auto"/>
        <w:right w:val="none" w:sz="0" w:space="0" w:color="auto"/>
      </w:divBdr>
      <w:divsChild>
        <w:div w:id="621616219">
          <w:marLeft w:val="0"/>
          <w:marRight w:val="0"/>
          <w:marTop w:val="0"/>
          <w:marBottom w:val="0"/>
          <w:divBdr>
            <w:top w:val="none" w:sz="0" w:space="0" w:color="auto"/>
            <w:left w:val="none" w:sz="0" w:space="0" w:color="auto"/>
            <w:bottom w:val="none" w:sz="0" w:space="0" w:color="auto"/>
            <w:right w:val="none" w:sz="0" w:space="0" w:color="auto"/>
          </w:divBdr>
          <w:divsChild>
            <w:div w:id="1673676819">
              <w:marLeft w:val="-300"/>
              <w:marRight w:val="0"/>
              <w:marTop w:val="0"/>
              <w:marBottom w:val="270"/>
              <w:divBdr>
                <w:top w:val="none" w:sz="0" w:space="0" w:color="auto"/>
                <w:left w:val="none" w:sz="0" w:space="0" w:color="auto"/>
                <w:bottom w:val="none" w:sz="0" w:space="0" w:color="auto"/>
                <w:right w:val="none" w:sz="0" w:space="0" w:color="auto"/>
              </w:divBdr>
              <w:divsChild>
                <w:div w:id="711736387">
                  <w:marLeft w:val="0"/>
                  <w:marRight w:val="0"/>
                  <w:marTop w:val="0"/>
                  <w:marBottom w:val="0"/>
                  <w:divBdr>
                    <w:top w:val="none" w:sz="0" w:space="0" w:color="auto"/>
                    <w:left w:val="none" w:sz="0" w:space="0" w:color="auto"/>
                    <w:bottom w:val="none" w:sz="0" w:space="0" w:color="auto"/>
                    <w:right w:val="none" w:sz="0" w:space="0" w:color="auto"/>
                  </w:divBdr>
                  <w:divsChild>
                    <w:div w:id="3448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05969">
      <w:bodyDiv w:val="1"/>
      <w:marLeft w:val="0"/>
      <w:marRight w:val="0"/>
      <w:marTop w:val="0"/>
      <w:marBottom w:val="0"/>
      <w:divBdr>
        <w:top w:val="none" w:sz="0" w:space="0" w:color="auto"/>
        <w:left w:val="none" w:sz="0" w:space="0" w:color="auto"/>
        <w:bottom w:val="none" w:sz="0" w:space="0" w:color="auto"/>
        <w:right w:val="none" w:sz="0" w:space="0" w:color="auto"/>
      </w:divBdr>
    </w:div>
    <w:div w:id="1743524777">
      <w:bodyDiv w:val="1"/>
      <w:marLeft w:val="0"/>
      <w:marRight w:val="0"/>
      <w:marTop w:val="0"/>
      <w:marBottom w:val="0"/>
      <w:divBdr>
        <w:top w:val="none" w:sz="0" w:space="0" w:color="auto"/>
        <w:left w:val="none" w:sz="0" w:space="0" w:color="auto"/>
        <w:bottom w:val="none" w:sz="0" w:space="0" w:color="auto"/>
        <w:right w:val="none" w:sz="0" w:space="0" w:color="auto"/>
      </w:divBdr>
    </w:div>
    <w:div w:id="19838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4DC6-3763-47EF-8A5C-4E0BD5040F8E}" type="doc">
      <dgm:prSet loTypeId="urn:microsoft.com/office/officeart/2009/layout/CircleArrowProcess" loCatId="process" qsTypeId="urn:microsoft.com/office/officeart/2005/8/quickstyle/simple5" qsCatId="simple" csTypeId="urn:microsoft.com/office/officeart/2005/8/colors/accent1_2" csCatId="accent1" phldr="1"/>
      <dgm:spPr/>
      <dgm:t>
        <a:bodyPr/>
        <a:lstStyle/>
        <a:p>
          <a:endParaRPr lang="en-US"/>
        </a:p>
      </dgm:t>
    </dgm:pt>
    <dgm:pt modelId="{0CFBC2CF-C137-42E0-B2F6-11BD1067C951}">
      <dgm:prSet phldrT="[Text]"/>
      <dgm:spPr/>
      <dgm:t>
        <a:bodyPr/>
        <a:lstStyle/>
        <a:p>
          <a:pPr algn="ctr"/>
          <a:r>
            <a:rPr lang="lv-LV"/>
            <a:t>Aizdevumu veikšana</a:t>
          </a:r>
          <a:endParaRPr lang="en-US"/>
        </a:p>
      </dgm:t>
    </dgm:pt>
    <dgm:pt modelId="{3B57A1DC-2D0E-4ABB-B8DB-CFA73474B6C0}" type="parTrans" cxnId="{A1DE3EE6-2D47-4CF0-82A9-141CB02F7C2D}">
      <dgm:prSet/>
      <dgm:spPr/>
      <dgm:t>
        <a:bodyPr/>
        <a:lstStyle/>
        <a:p>
          <a:pPr algn="ctr"/>
          <a:endParaRPr lang="en-US"/>
        </a:p>
      </dgm:t>
    </dgm:pt>
    <dgm:pt modelId="{321B2F7B-7876-4834-BB1F-297C03F4DEE8}" type="sibTrans" cxnId="{A1DE3EE6-2D47-4CF0-82A9-141CB02F7C2D}">
      <dgm:prSet/>
      <dgm:spPr/>
      <dgm:t>
        <a:bodyPr/>
        <a:lstStyle/>
        <a:p>
          <a:pPr algn="ctr"/>
          <a:endParaRPr lang="en-US"/>
        </a:p>
      </dgm:t>
    </dgm:pt>
    <dgm:pt modelId="{DBEB3667-C174-4416-BB1E-EB0035373F12}">
      <dgm:prSet phldrT="[Text]"/>
      <dgm:spPr/>
      <dgm:t>
        <a:bodyPr/>
        <a:lstStyle/>
        <a:p>
          <a:pPr algn="ctr"/>
          <a:r>
            <a:rPr lang="lv-LV"/>
            <a:t>Investīcijas</a:t>
          </a:r>
          <a:endParaRPr lang="en-US"/>
        </a:p>
      </dgm:t>
    </dgm:pt>
    <dgm:pt modelId="{B996371E-93D2-45B7-9009-0D0FDEA9C2AB}" type="parTrans" cxnId="{88DC9C68-9544-40B7-A149-81045C49AE87}">
      <dgm:prSet/>
      <dgm:spPr/>
      <dgm:t>
        <a:bodyPr/>
        <a:lstStyle/>
        <a:p>
          <a:pPr algn="ctr"/>
          <a:endParaRPr lang="en-US"/>
        </a:p>
      </dgm:t>
    </dgm:pt>
    <dgm:pt modelId="{DCCB68EE-AFFF-407E-8D83-679FFD392F9F}" type="sibTrans" cxnId="{88DC9C68-9544-40B7-A149-81045C49AE87}">
      <dgm:prSet/>
      <dgm:spPr/>
      <dgm:t>
        <a:bodyPr/>
        <a:lstStyle/>
        <a:p>
          <a:pPr algn="ctr"/>
          <a:endParaRPr lang="en-US"/>
        </a:p>
      </dgm:t>
    </dgm:pt>
    <dgm:pt modelId="{50747FA4-EC45-46AD-AC8D-491B590A16AC}">
      <dgm:prSet phldrT="[Text]"/>
      <dgm:spPr/>
      <dgm:t>
        <a:bodyPr/>
        <a:lstStyle/>
        <a:p>
          <a:pPr algn="ctr"/>
          <a:r>
            <a:rPr lang="lv-LV"/>
            <a:t>Finansēšana</a:t>
          </a:r>
          <a:endParaRPr lang="en-US"/>
        </a:p>
      </dgm:t>
    </dgm:pt>
    <dgm:pt modelId="{53AA9EF6-63CB-46DE-940A-1F647DC50186}" type="parTrans" cxnId="{A6AF722E-E98B-4225-B42C-BF9D8A8E149C}">
      <dgm:prSet/>
      <dgm:spPr/>
      <dgm:t>
        <a:bodyPr/>
        <a:lstStyle/>
        <a:p>
          <a:pPr algn="ctr"/>
          <a:endParaRPr lang="en-US"/>
        </a:p>
      </dgm:t>
    </dgm:pt>
    <dgm:pt modelId="{0B8BAC9C-B54D-41CF-978B-31FD78853EE0}" type="sibTrans" cxnId="{A6AF722E-E98B-4225-B42C-BF9D8A8E149C}">
      <dgm:prSet/>
      <dgm:spPr/>
      <dgm:t>
        <a:bodyPr/>
        <a:lstStyle/>
        <a:p>
          <a:pPr algn="ctr"/>
          <a:endParaRPr lang="en-US"/>
        </a:p>
      </dgm:t>
    </dgm:pt>
    <dgm:pt modelId="{710A3367-5DBA-429D-82DC-DBF4F033A52B}" type="pres">
      <dgm:prSet presAssocID="{DBD74DC6-3763-47EF-8A5C-4E0BD5040F8E}" presName="Name0" presStyleCnt="0">
        <dgm:presLayoutVars>
          <dgm:chMax val="7"/>
          <dgm:chPref val="7"/>
          <dgm:dir/>
          <dgm:animLvl val="lvl"/>
        </dgm:presLayoutVars>
      </dgm:prSet>
      <dgm:spPr/>
      <dgm:t>
        <a:bodyPr/>
        <a:lstStyle/>
        <a:p>
          <a:endParaRPr lang="en-US"/>
        </a:p>
      </dgm:t>
    </dgm:pt>
    <dgm:pt modelId="{31BBC520-3B45-4E46-8A79-F659A903C241}" type="pres">
      <dgm:prSet presAssocID="{0CFBC2CF-C137-42E0-B2F6-11BD1067C951}" presName="Accent1" presStyleCnt="0"/>
      <dgm:spPr/>
      <dgm:t>
        <a:bodyPr/>
        <a:lstStyle/>
        <a:p>
          <a:endParaRPr lang="en-US"/>
        </a:p>
      </dgm:t>
    </dgm:pt>
    <dgm:pt modelId="{2E2587A1-7340-4568-9F29-8A54167D853A}" type="pres">
      <dgm:prSet presAssocID="{0CFBC2CF-C137-42E0-B2F6-11BD1067C951}" presName="Accent" presStyleLbl="node1" presStyleIdx="0" presStyleCnt="3"/>
      <dgm:spPr/>
      <dgm:t>
        <a:bodyPr/>
        <a:lstStyle/>
        <a:p>
          <a:endParaRPr lang="en-US"/>
        </a:p>
      </dgm:t>
    </dgm:pt>
    <dgm:pt modelId="{71EEBA27-A000-4616-81C0-1F21B3E3A7F0}" type="pres">
      <dgm:prSet presAssocID="{0CFBC2CF-C137-42E0-B2F6-11BD1067C951}" presName="Parent1" presStyleLbl="revTx" presStyleIdx="0" presStyleCnt="3">
        <dgm:presLayoutVars>
          <dgm:chMax val="1"/>
          <dgm:chPref val="1"/>
          <dgm:bulletEnabled val="1"/>
        </dgm:presLayoutVars>
      </dgm:prSet>
      <dgm:spPr/>
      <dgm:t>
        <a:bodyPr/>
        <a:lstStyle/>
        <a:p>
          <a:endParaRPr lang="en-US"/>
        </a:p>
      </dgm:t>
    </dgm:pt>
    <dgm:pt modelId="{0B421E31-ED97-4876-9923-7DDE6C221F43}" type="pres">
      <dgm:prSet presAssocID="{50747FA4-EC45-46AD-AC8D-491B590A16AC}" presName="Accent2" presStyleCnt="0"/>
      <dgm:spPr/>
      <dgm:t>
        <a:bodyPr/>
        <a:lstStyle/>
        <a:p>
          <a:endParaRPr lang="en-US"/>
        </a:p>
      </dgm:t>
    </dgm:pt>
    <dgm:pt modelId="{30DD998C-66A9-4F5A-B7A4-6C4D4E8E577A}" type="pres">
      <dgm:prSet presAssocID="{50747FA4-EC45-46AD-AC8D-491B590A16AC}" presName="Accent" presStyleLbl="node1" presStyleIdx="1" presStyleCnt="3"/>
      <dgm:spPr/>
      <dgm:t>
        <a:bodyPr/>
        <a:lstStyle/>
        <a:p>
          <a:endParaRPr lang="en-US"/>
        </a:p>
      </dgm:t>
    </dgm:pt>
    <dgm:pt modelId="{97A1574F-C766-4D8F-89FE-87E7F23F313D}" type="pres">
      <dgm:prSet presAssocID="{50747FA4-EC45-46AD-AC8D-491B590A16AC}" presName="Parent2" presStyleLbl="revTx" presStyleIdx="1" presStyleCnt="3">
        <dgm:presLayoutVars>
          <dgm:chMax val="1"/>
          <dgm:chPref val="1"/>
          <dgm:bulletEnabled val="1"/>
        </dgm:presLayoutVars>
      </dgm:prSet>
      <dgm:spPr/>
      <dgm:t>
        <a:bodyPr/>
        <a:lstStyle/>
        <a:p>
          <a:endParaRPr lang="en-US"/>
        </a:p>
      </dgm:t>
    </dgm:pt>
    <dgm:pt modelId="{FD5C6B93-C72B-46FC-A0AC-709F9F560852}" type="pres">
      <dgm:prSet presAssocID="{DBEB3667-C174-4416-BB1E-EB0035373F12}" presName="Accent3" presStyleCnt="0"/>
      <dgm:spPr/>
      <dgm:t>
        <a:bodyPr/>
        <a:lstStyle/>
        <a:p>
          <a:endParaRPr lang="en-US"/>
        </a:p>
      </dgm:t>
    </dgm:pt>
    <dgm:pt modelId="{9363736C-E7B3-4166-8805-D05C1172D80E}" type="pres">
      <dgm:prSet presAssocID="{DBEB3667-C174-4416-BB1E-EB0035373F12}" presName="Accent" presStyleLbl="node1" presStyleIdx="2" presStyleCnt="3"/>
      <dgm:spPr/>
      <dgm:t>
        <a:bodyPr/>
        <a:lstStyle/>
        <a:p>
          <a:endParaRPr lang="en-US"/>
        </a:p>
      </dgm:t>
    </dgm:pt>
    <dgm:pt modelId="{797609BF-B170-4E3E-A10A-CEAF2ED38CA3}" type="pres">
      <dgm:prSet presAssocID="{DBEB3667-C174-4416-BB1E-EB0035373F12}" presName="Parent3" presStyleLbl="revTx" presStyleIdx="2" presStyleCnt="3">
        <dgm:presLayoutVars>
          <dgm:chMax val="1"/>
          <dgm:chPref val="1"/>
          <dgm:bulletEnabled val="1"/>
        </dgm:presLayoutVars>
      </dgm:prSet>
      <dgm:spPr/>
      <dgm:t>
        <a:bodyPr/>
        <a:lstStyle/>
        <a:p>
          <a:endParaRPr lang="en-US"/>
        </a:p>
      </dgm:t>
    </dgm:pt>
  </dgm:ptLst>
  <dgm:cxnLst>
    <dgm:cxn modelId="{88E313DA-F30A-4A49-8447-B00D00DBEF29}" type="presOf" srcId="{DBD74DC6-3763-47EF-8A5C-4E0BD5040F8E}" destId="{710A3367-5DBA-429D-82DC-DBF4F033A52B}" srcOrd="0" destOrd="0" presId="urn:microsoft.com/office/officeart/2009/layout/CircleArrowProcess"/>
    <dgm:cxn modelId="{2803160C-B5F3-418C-B193-08409E069760}" type="presOf" srcId="{0CFBC2CF-C137-42E0-B2F6-11BD1067C951}" destId="{71EEBA27-A000-4616-81C0-1F21B3E3A7F0}" srcOrd="0" destOrd="0" presId="urn:microsoft.com/office/officeart/2009/layout/CircleArrowProcess"/>
    <dgm:cxn modelId="{A6AF722E-E98B-4225-B42C-BF9D8A8E149C}" srcId="{DBD74DC6-3763-47EF-8A5C-4E0BD5040F8E}" destId="{50747FA4-EC45-46AD-AC8D-491B590A16AC}" srcOrd="1" destOrd="0" parTransId="{53AA9EF6-63CB-46DE-940A-1F647DC50186}" sibTransId="{0B8BAC9C-B54D-41CF-978B-31FD78853EE0}"/>
    <dgm:cxn modelId="{A1DE3EE6-2D47-4CF0-82A9-141CB02F7C2D}" srcId="{DBD74DC6-3763-47EF-8A5C-4E0BD5040F8E}" destId="{0CFBC2CF-C137-42E0-B2F6-11BD1067C951}" srcOrd="0" destOrd="0" parTransId="{3B57A1DC-2D0E-4ABB-B8DB-CFA73474B6C0}" sibTransId="{321B2F7B-7876-4834-BB1F-297C03F4DEE8}"/>
    <dgm:cxn modelId="{88DC9C68-9544-40B7-A149-81045C49AE87}" srcId="{DBD74DC6-3763-47EF-8A5C-4E0BD5040F8E}" destId="{DBEB3667-C174-4416-BB1E-EB0035373F12}" srcOrd="2" destOrd="0" parTransId="{B996371E-93D2-45B7-9009-0D0FDEA9C2AB}" sibTransId="{DCCB68EE-AFFF-407E-8D83-679FFD392F9F}"/>
    <dgm:cxn modelId="{81ABFE76-27F2-4502-8D5B-EC72D1F1D966}" type="presOf" srcId="{50747FA4-EC45-46AD-AC8D-491B590A16AC}" destId="{97A1574F-C766-4D8F-89FE-87E7F23F313D}" srcOrd="0" destOrd="0" presId="urn:microsoft.com/office/officeart/2009/layout/CircleArrowProcess"/>
    <dgm:cxn modelId="{EE7D58F3-0C14-413F-9AAB-82AE7D550194}" type="presOf" srcId="{DBEB3667-C174-4416-BB1E-EB0035373F12}" destId="{797609BF-B170-4E3E-A10A-CEAF2ED38CA3}" srcOrd="0" destOrd="0" presId="urn:microsoft.com/office/officeart/2009/layout/CircleArrowProcess"/>
    <dgm:cxn modelId="{FBFDBC89-9D46-4B0D-9511-DEAAEC9BA5EC}" type="presParOf" srcId="{710A3367-5DBA-429D-82DC-DBF4F033A52B}" destId="{31BBC520-3B45-4E46-8A79-F659A903C241}" srcOrd="0" destOrd="0" presId="urn:microsoft.com/office/officeart/2009/layout/CircleArrowProcess"/>
    <dgm:cxn modelId="{B63D4DA9-7E7C-4952-9DA4-CD639507832C}" type="presParOf" srcId="{31BBC520-3B45-4E46-8A79-F659A903C241}" destId="{2E2587A1-7340-4568-9F29-8A54167D853A}" srcOrd="0" destOrd="0" presId="urn:microsoft.com/office/officeart/2009/layout/CircleArrowProcess"/>
    <dgm:cxn modelId="{7BCBD723-BD1D-4030-BDE5-75CECE91AC76}" type="presParOf" srcId="{710A3367-5DBA-429D-82DC-DBF4F033A52B}" destId="{71EEBA27-A000-4616-81C0-1F21B3E3A7F0}" srcOrd="1" destOrd="0" presId="urn:microsoft.com/office/officeart/2009/layout/CircleArrowProcess"/>
    <dgm:cxn modelId="{09B76C73-973E-45C5-9071-A25D46F72E6F}" type="presParOf" srcId="{710A3367-5DBA-429D-82DC-DBF4F033A52B}" destId="{0B421E31-ED97-4876-9923-7DDE6C221F43}" srcOrd="2" destOrd="0" presId="urn:microsoft.com/office/officeart/2009/layout/CircleArrowProcess"/>
    <dgm:cxn modelId="{821344B2-C327-4F99-A3F7-662D1D9B1F36}" type="presParOf" srcId="{0B421E31-ED97-4876-9923-7DDE6C221F43}" destId="{30DD998C-66A9-4F5A-B7A4-6C4D4E8E577A}" srcOrd="0" destOrd="0" presId="urn:microsoft.com/office/officeart/2009/layout/CircleArrowProcess"/>
    <dgm:cxn modelId="{F4DE6BA3-2153-4F41-BF7C-F4457CFB0764}" type="presParOf" srcId="{710A3367-5DBA-429D-82DC-DBF4F033A52B}" destId="{97A1574F-C766-4D8F-89FE-87E7F23F313D}" srcOrd="3" destOrd="0" presId="urn:microsoft.com/office/officeart/2009/layout/CircleArrowProcess"/>
    <dgm:cxn modelId="{874EB5EB-E9FF-49AD-BD3E-D9148F33BE6B}" type="presParOf" srcId="{710A3367-5DBA-429D-82DC-DBF4F033A52B}" destId="{FD5C6B93-C72B-46FC-A0AC-709F9F560852}" srcOrd="4" destOrd="0" presId="urn:microsoft.com/office/officeart/2009/layout/CircleArrowProcess"/>
    <dgm:cxn modelId="{739FC7D0-F83D-4503-84E6-EC3332F699DB}" type="presParOf" srcId="{FD5C6B93-C72B-46FC-A0AC-709F9F560852}" destId="{9363736C-E7B3-4166-8805-D05C1172D80E}" srcOrd="0" destOrd="0" presId="urn:microsoft.com/office/officeart/2009/layout/CircleArrowProcess"/>
    <dgm:cxn modelId="{2368FA04-05CF-4717-B615-8029FBB1DEF6}" type="presParOf" srcId="{710A3367-5DBA-429D-82DC-DBF4F033A52B}" destId="{797609BF-B170-4E3E-A10A-CEAF2ED38CA3}" srcOrd="5"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2587A1-7340-4568-9F29-8A54167D853A}">
      <dsp:nvSpPr>
        <dsp:cNvPr id="0" name=""/>
        <dsp:cNvSpPr/>
      </dsp:nvSpPr>
      <dsp:spPr>
        <a:xfrm>
          <a:off x="1895067" y="0"/>
          <a:ext cx="1031543" cy="1031700"/>
        </a:xfrm>
        <a:prstGeom prst="circularArrow">
          <a:avLst>
            <a:gd name="adj1" fmla="val 10980"/>
            <a:gd name="adj2" fmla="val 1142322"/>
            <a:gd name="adj3" fmla="val 4500000"/>
            <a:gd name="adj4" fmla="val 10800000"/>
            <a:gd name="adj5" fmla="val 125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1EEBA27-A000-4616-81C0-1F21B3E3A7F0}">
      <dsp:nvSpPr>
        <dsp:cNvPr id="0" name=""/>
        <dsp:cNvSpPr/>
      </dsp:nvSpPr>
      <dsp:spPr>
        <a:xfrm>
          <a:off x="2123072" y="372475"/>
          <a:ext cx="573208" cy="2865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t>Aizdevumu veikšana</a:t>
          </a:r>
          <a:endParaRPr lang="en-US" sz="800" kern="1200"/>
        </a:p>
      </dsp:txBody>
      <dsp:txXfrm>
        <a:off x="2123072" y="372475"/>
        <a:ext cx="573208" cy="286535"/>
      </dsp:txXfrm>
    </dsp:sp>
    <dsp:sp modelId="{30DD998C-66A9-4F5A-B7A4-6C4D4E8E577A}">
      <dsp:nvSpPr>
        <dsp:cNvPr id="0" name=""/>
        <dsp:cNvSpPr/>
      </dsp:nvSpPr>
      <dsp:spPr>
        <a:xfrm>
          <a:off x="1608559" y="592788"/>
          <a:ext cx="1031543" cy="1031700"/>
        </a:xfrm>
        <a:prstGeom prst="leftCircularArrow">
          <a:avLst>
            <a:gd name="adj1" fmla="val 10980"/>
            <a:gd name="adj2" fmla="val 1142322"/>
            <a:gd name="adj3" fmla="val 6300000"/>
            <a:gd name="adj4" fmla="val 18900000"/>
            <a:gd name="adj5" fmla="val 125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7A1574F-C766-4D8F-89FE-87E7F23F313D}">
      <dsp:nvSpPr>
        <dsp:cNvPr id="0" name=""/>
        <dsp:cNvSpPr/>
      </dsp:nvSpPr>
      <dsp:spPr>
        <a:xfrm>
          <a:off x="1837726" y="968692"/>
          <a:ext cx="573208" cy="2865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t>Finansēšana</a:t>
          </a:r>
          <a:endParaRPr lang="en-US" sz="800" kern="1200"/>
        </a:p>
      </dsp:txBody>
      <dsp:txXfrm>
        <a:off x="1837726" y="968692"/>
        <a:ext cx="573208" cy="286535"/>
      </dsp:txXfrm>
    </dsp:sp>
    <dsp:sp modelId="{9363736C-E7B3-4166-8805-D05C1172D80E}">
      <dsp:nvSpPr>
        <dsp:cNvPr id="0" name=""/>
        <dsp:cNvSpPr/>
      </dsp:nvSpPr>
      <dsp:spPr>
        <a:xfrm>
          <a:off x="1968485" y="1256514"/>
          <a:ext cx="886255" cy="886610"/>
        </a:xfrm>
        <a:prstGeom prst="blockArc">
          <a:avLst>
            <a:gd name="adj1" fmla="val 13500000"/>
            <a:gd name="adj2" fmla="val 10800000"/>
            <a:gd name="adj3" fmla="val 127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97609BF-B170-4E3E-A10A-CEAF2ED38CA3}">
      <dsp:nvSpPr>
        <dsp:cNvPr id="0" name=""/>
        <dsp:cNvSpPr/>
      </dsp:nvSpPr>
      <dsp:spPr>
        <a:xfrm>
          <a:off x="2124428" y="1565767"/>
          <a:ext cx="573208" cy="2865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t>Investīcijas</a:t>
          </a:r>
          <a:endParaRPr lang="en-US" sz="800" kern="1200"/>
        </a:p>
      </dsp:txBody>
      <dsp:txXfrm>
        <a:off x="2124428" y="1565767"/>
        <a:ext cx="573208" cy="286535"/>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C1700C1-142F-459D-BAEF-F846E75D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7933</TotalTime>
  <Pages>6</Pages>
  <Words>9700</Words>
  <Characters>5530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Informatīvais ziņojums „Par Eiropas Stabilitātes mehānisma darbību 2017.gadā”</vt:lpstr>
    </vt:vector>
  </TitlesOfParts>
  <Company>Finanšu ministrija</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Stabilitātes mehānisma darbību 2017.gadā”</dc:title>
  <dc:subject>Informatīvais ziņojums</dc:subject>
  <dc:creator>Elīna Gusāre</dc:creator>
  <cp:keywords/>
  <dc:description>Gusāre, 67083911
Elina.Gusare@fm.gov.lv</dc:description>
  <cp:lastModifiedBy>Elīna Gusāre</cp:lastModifiedBy>
  <cp:revision>279</cp:revision>
  <cp:lastPrinted>2017-08-02T14:18:00Z</cp:lastPrinted>
  <dcterms:created xsi:type="dcterms:W3CDTF">2014-08-01T08:05:00Z</dcterms:created>
  <dcterms:modified xsi:type="dcterms:W3CDTF">2018-08-23T12:34:00Z</dcterms:modified>
</cp:coreProperties>
</file>