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A06" w:rsidRPr="00E40C76" w:rsidRDefault="00895A06" w:rsidP="00895A06">
      <w:pPr>
        <w:jc w:val="center"/>
        <w:rPr>
          <w:b/>
          <w:sz w:val="28"/>
        </w:rPr>
      </w:pPr>
      <w:bookmarkStart w:id="0" w:name="OLE_LINK5"/>
      <w:bookmarkStart w:id="1" w:name="OLE_LINK6"/>
      <w:r w:rsidRPr="00E40C76">
        <w:rPr>
          <w:b/>
          <w:sz w:val="28"/>
        </w:rPr>
        <w:t>Ministru kabineta noteikumu projekta „</w:t>
      </w:r>
      <w:r w:rsidR="00D219B8" w:rsidRPr="00E40C76">
        <w:rPr>
          <w:b/>
          <w:sz w:val="28"/>
        </w:rPr>
        <w:t>Obligāti piemērojamo profesiju standartu un profesionālās kvalifikācijas prasību saraksts un tajā iekļauto profesijas standartu un profesionālās kvalifikācijas prasību publiskošanas kārtība</w:t>
      </w:r>
      <w:r w:rsidRPr="00E40C76">
        <w:rPr>
          <w:b/>
          <w:sz w:val="28"/>
        </w:rPr>
        <w:t>” sākotnējās ietekmes novērtējuma ziņojums (anotācija)</w:t>
      </w:r>
    </w:p>
    <w:p w:rsidR="006C4200" w:rsidRPr="00E40C76" w:rsidRDefault="006C4200" w:rsidP="00895A06">
      <w:pPr>
        <w:jc w:val="center"/>
        <w:rPr>
          <w:b/>
          <w:sz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010"/>
        <w:gridCol w:w="5356"/>
      </w:tblGrid>
      <w:tr w:rsidR="006C4200" w:rsidRPr="00E40C76" w:rsidTr="006C4200">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6C4200" w:rsidRPr="00E40C76" w:rsidRDefault="006C4200">
            <w:pPr>
              <w:spacing w:before="100" w:beforeAutospacing="1" w:after="100" w:afterAutospacing="1" w:line="293" w:lineRule="atLeast"/>
              <w:jc w:val="center"/>
              <w:rPr>
                <w:b/>
                <w:bCs/>
                <w:sz w:val="28"/>
                <w:szCs w:val="28"/>
                <w:lang w:eastAsia="en-US"/>
              </w:rPr>
            </w:pPr>
            <w:r w:rsidRPr="00E40C76">
              <w:rPr>
                <w:b/>
                <w:bCs/>
                <w:sz w:val="28"/>
                <w:szCs w:val="28"/>
                <w:lang w:eastAsia="en-US"/>
              </w:rPr>
              <w:t>Tiesību akta projekta anotācijas kopsavilkums</w:t>
            </w:r>
          </w:p>
        </w:tc>
      </w:tr>
      <w:tr w:rsidR="006C4200" w:rsidTr="006C4200">
        <w:trPr>
          <w:trHeight w:val="405"/>
        </w:trPr>
        <w:tc>
          <w:tcPr>
            <w:tcW w:w="1799" w:type="pct"/>
            <w:tcBorders>
              <w:top w:val="outset" w:sz="6" w:space="0" w:color="414142"/>
              <w:left w:val="outset" w:sz="6" w:space="0" w:color="414142"/>
              <w:bottom w:val="outset" w:sz="6" w:space="0" w:color="414142"/>
              <w:right w:val="outset" w:sz="6" w:space="0" w:color="414142"/>
            </w:tcBorders>
            <w:hideMark/>
          </w:tcPr>
          <w:p w:rsidR="006C4200" w:rsidRPr="00E40C76" w:rsidRDefault="006C4200">
            <w:pPr>
              <w:spacing w:before="100" w:beforeAutospacing="1" w:after="100" w:afterAutospacing="1" w:line="293" w:lineRule="atLeast"/>
              <w:rPr>
                <w:sz w:val="28"/>
                <w:szCs w:val="28"/>
                <w:lang w:eastAsia="en-US"/>
              </w:rPr>
            </w:pPr>
            <w:r w:rsidRPr="00E40C76">
              <w:rPr>
                <w:sz w:val="28"/>
                <w:szCs w:val="28"/>
                <w:lang w:eastAsia="en-US"/>
              </w:rPr>
              <w:t>Mērķis, risinājums un projekta spēkā stāšanās laiks (500 zīmes bez atstarpēm)</w:t>
            </w:r>
          </w:p>
        </w:tc>
        <w:tc>
          <w:tcPr>
            <w:tcW w:w="3201" w:type="pct"/>
            <w:tcBorders>
              <w:top w:val="outset" w:sz="6" w:space="0" w:color="414142"/>
              <w:left w:val="outset" w:sz="6" w:space="0" w:color="414142"/>
              <w:bottom w:val="outset" w:sz="6" w:space="0" w:color="414142"/>
              <w:right w:val="outset" w:sz="6" w:space="0" w:color="414142"/>
            </w:tcBorders>
            <w:hideMark/>
          </w:tcPr>
          <w:p w:rsidR="006C4200" w:rsidRPr="00DB46AE" w:rsidRDefault="006C4200" w:rsidP="00BF0AB1">
            <w:pPr>
              <w:tabs>
                <w:tab w:val="left" w:pos="323"/>
              </w:tabs>
              <w:jc w:val="both"/>
              <w:rPr>
                <w:sz w:val="28"/>
                <w:szCs w:val="28"/>
                <w:lang w:eastAsia="en-US"/>
              </w:rPr>
            </w:pPr>
            <w:r w:rsidRPr="00E40C76">
              <w:rPr>
                <w:sz w:val="28"/>
                <w:szCs w:val="28"/>
                <w:lang w:eastAsia="en-US"/>
              </w:rPr>
              <w:t xml:space="preserve">Ministru kabineta noteikumu projekta “Obligāti piemērojamo profesiju standartu un profesionālās kvalifikācijas prasību saraksts un tajā iekļauto profesijas standartu un profesionālās kvalifikācijas prasību publiskošanas kārtība” (turpmāk – noteikumu projekts) mērķis ir noteikt obligāti piemērojamo profesiju standartu un profesionālās kvalifikācijas prasību sarakstu un tajā iekļauto profesiju standartu un profesionālās kvalifikācijas prasību publiskošanu </w:t>
            </w:r>
            <w:r w:rsidRPr="00E40C76">
              <w:rPr>
                <w:color w:val="000000" w:themeColor="text1"/>
                <w:sz w:val="28"/>
                <w:szCs w:val="28"/>
              </w:rPr>
              <w:t xml:space="preserve">Valsts izglītības satura centra tīmekļa vietnē: </w:t>
            </w:r>
            <w:hyperlink r:id="rId9" w:history="1">
              <w:r w:rsidRPr="00E40C76">
                <w:rPr>
                  <w:rStyle w:val="Hyperlink"/>
                  <w:color w:val="000000" w:themeColor="text1"/>
                  <w:sz w:val="28"/>
                  <w:szCs w:val="28"/>
                </w:rPr>
                <w:t>www.visc.gov.lv</w:t>
              </w:r>
            </w:hyperlink>
            <w:r w:rsidRPr="00E40C76">
              <w:rPr>
                <w:sz w:val="28"/>
                <w:szCs w:val="28"/>
                <w:lang w:eastAsia="en-US"/>
              </w:rPr>
              <w:t xml:space="preserve">. </w:t>
            </w:r>
            <w:r w:rsidRPr="00E40C76">
              <w:rPr>
                <w:bCs/>
                <w:sz w:val="28"/>
                <w:szCs w:val="28"/>
              </w:rPr>
              <w:t xml:space="preserve">Noteikumu projekts </w:t>
            </w:r>
            <w:r w:rsidRPr="00E40C76">
              <w:rPr>
                <w:sz w:val="28"/>
                <w:szCs w:val="28"/>
                <w:lang w:eastAsia="en-US"/>
              </w:rPr>
              <w:t xml:space="preserve">stāsies spēkā </w:t>
            </w:r>
            <w:r w:rsidR="00BF0AB1" w:rsidRPr="00E40C76">
              <w:rPr>
                <w:sz w:val="28"/>
                <w:szCs w:val="28"/>
                <w:lang w:eastAsia="en-US"/>
              </w:rPr>
              <w:t>Oficiālo publikāciju un tiesiskās informācijas likumā noteiktajā kārtībā.</w:t>
            </w:r>
          </w:p>
        </w:tc>
      </w:tr>
    </w:tbl>
    <w:p w:rsidR="006C4200" w:rsidRDefault="006C4200" w:rsidP="00895A06">
      <w:pPr>
        <w:jc w:val="center"/>
        <w:rPr>
          <w:b/>
          <w:sz w:val="28"/>
          <w:szCs w:val="28"/>
        </w:rPr>
      </w:pPr>
    </w:p>
    <w:p w:rsidR="00895A06" w:rsidRDefault="00895A06" w:rsidP="00895A06">
      <w:pPr>
        <w:pStyle w:val="naislab"/>
        <w:spacing w:before="0" w:after="0"/>
        <w:jc w:val="center"/>
        <w:outlineLvl w:val="0"/>
        <w:rPr>
          <w:b/>
          <w:sz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5"/>
        <w:gridCol w:w="2302"/>
        <w:gridCol w:w="5549"/>
      </w:tblGrid>
      <w:tr w:rsidR="00895A06" w:rsidTr="00895A06">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895A06" w:rsidRDefault="00895A06">
            <w:pPr>
              <w:spacing w:before="75" w:after="75"/>
              <w:jc w:val="center"/>
              <w:rPr>
                <w:szCs w:val="28"/>
              </w:rPr>
            </w:pPr>
            <w:r>
              <w:rPr>
                <w:b/>
                <w:bCs/>
              </w:rPr>
              <w:t> </w:t>
            </w:r>
            <w:r>
              <w:rPr>
                <w:b/>
                <w:bCs/>
                <w:sz w:val="28"/>
                <w:szCs w:val="28"/>
              </w:rPr>
              <w:t>I. Tiesību akta projekta izstrādes nepieciešamība</w:t>
            </w:r>
          </w:p>
        </w:tc>
      </w:tr>
      <w:tr w:rsidR="0003784A" w:rsidTr="001A6940">
        <w:trPr>
          <w:trHeight w:val="1914"/>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895A06" w:rsidRDefault="00895A06">
            <w:pPr>
              <w:spacing w:before="75" w:after="75"/>
              <w:rPr>
                <w:szCs w:val="28"/>
              </w:rPr>
            </w:pPr>
            <w:r>
              <w:rPr>
                <w:sz w:val="28"/>
                <w:szCs w:val="28"/>
              </w:rPr>
              <w:t> 1.</w:t>
            </w:r>
          </w:p>
        </w:tc>
        <w:tc>
          <w:tcPr>
            <w:tcW w:w="2323" w:type="dxa"/>
            <w:tcBorders>
              <w:top w:val="outset" w:sz="6" w:space="0" w:color="auto"/>
              <w:left w:val="nil"/>
              <w:bottom w:val="outset" w:sz="6" w:space="0" w:color="auto"/>
              <w:right w:val="outset" w:sz="6" w:space="0" w:color="auto"/>
            </w:tcBorders>
          </w:tcPr>
          <w:p w:rsidR="00895A06" w:rsidRDefault="00895A06" w:rsidP="001A6940">
            <w:pPr>
              <w:spacing w:before="75" w:after="75"/>
              <w:ind w:right="126"/>
              <w:rPr>
                <w:sz w:val="28"/>
                <w:szCs w:val="28"/>
              </w:rPr>
            </w:pPr>
            <w:r>
              <w:rPr>
                <w:sz w:val="28"/>
                <w:szCs w:val="28"/>
              </w:rPr>
              <w:t>Pamatojums</w:t>
            </w:r>
          </w:p>
          <w:p w:rsidR="001A6940" w:rsidRDefault="001A6940" w:rsidP="001A6940">
            <w:pPr>
              <w:spacing w:before="75" w:after="75"/>
              <w:ind w:right="126"/>
              <w:rPr>
                <w:sz w:val="28"/>
                <w:szCs w:val="28"/>
              </w:rPr>
            </w:pPr>
          </w:p>
          <w:p w:rsidR="001A6940" w:rsidRDefault="001A6940" w:rsidP="001A6940">
            <w:pPr>
              <w:spacing w:before="75" w:after="75"/>
              <w:ind w:right="126"/>
              <w:rPr>
                <w:sz w:val="28"/>
                <w:szCs w:val="28"/>
              </w:rPr>
            </w:pPr>
          </w:p>
          <w:p w:rsidR="001A6940" w:rsidRDefault="001A6940" w:rsidP="001A6940">
            <w:pPr>
              <w:spacing w:before="75" w:after="75"/>
              <w:ind w:right="126"/>
              <w:rPr>
                <w:sz w:val="28"/>
                <w:szCs w:val="28"/>
              </w:rPr>
            </w:pPr>
          </w:p>
          <w:p w:rsidR="001A6940" w:rsidRDefault="001A6940" w:rsidP="001A6940">
            <w:pPr>
              <w:spacing w:before="75" w:after="75"/>
              <w:ind w:right="126"/>
              <w:rPr>
                <w:sz w:val="28"/>
                <w:szCs w:val="28"/>
              </w:rPr>
            </w:pPr>
          </w:p>
          <w:p w:rsidR="001A6940" w:rsidRDefault="001A6940" w:rsidP="001A6940">
            <w:pPr>
              <w:spacing w:before="75" w:after="75"/>
              <w:ind w:right="126"/>
              <w:rPr>
                <w:sz w:val="28"/>
                <w:szCs w:val="28"/>
              </w:rPr>
            </w:pPr>
          </w:p>
          <w:p w:rsidR="001A6940" w:rsidRDefault="001A6940" w:rsidP="001A6940">
            <w:pPr>
              <w:spacing w:before="75" w:after="75"/>
              <w:ind w:right="126"/>
              <w:rPr>
                <w:szCs w:val="28"/>
              </w:rPr>
            </w:pPr>
          </w:p>
        </w:tc>
        <w:tc>
          <w:tcPr>
            <w:tcW w:w="6251" w:type="dxa"/>
            <w:tcBorders>
              <w:top w:val="outset" w:sz="6" w:space="0" w:color="auto"/>
              <w:left w:val="outset" w:sz="6" w:space="0" w:color="auto"/>
              <w:bottom w:val="outset" w:sz="6" w:space="0" w:color="auto"/>
              <w:right w:val="outset" w:sz="6" w:space="0" w:color="auto"/>
            </w:tcBorders>
            <w:hideMark/>
          </w:tcPr>
          <w:p w:rsidR="00895A06" w:rsidRDefault="006C4200" w:rsidP="006C4200">
            <w:pPr>
              <w:pStyle w:val="NoSpacing"/>
              <w:ind w:left="127" w:right="140"/>
              <w:jc w:val="both"/>
              <w:rPr>
                <w:sz w:val="28"/>
                <w:szCs w:val="28"/>
              </w:rPr>
            </w:pPr>
            <w:bookmarkStart w:id="2" w:name="_Hlk521050776"/>
            <w:r w:rsidRPr="00E40C76">
              <w:rPr>
                <w:bCs/>
                <w:sz w:val="28"/>
                <w:szCs w:val="28"/>
              </w:rPr>
              <w:t>N</w:t>
            </w:r>
            <w:r w:rsidR="00895A06" w:rsidRPr="00E40C76">
              <w:rPr>
                <w:bCs/>
                <w:sz w:val="28"/>
                <w:szCs w:val="28"/>
              </w:rPr>
              <w:t>oteikumu projekts</w:t>
            </w:r>
            <w:proofErr w:type="gramStart"/>
            <w:r w:rsidR="00895A06" w:rsidRPr="00E40C76">
              <w:rPr>
                <w:bCs/>
                <w:sz w:val="28"/>
                <w:szCs w:val="28"/>
              </w:rPr>
              <w:t xml:space="preserve"> </w:t>
            </w:r>
            <w:r w:rsidR="00895A06" w:rsidRPr="00E40C76">
              <w:rPr>
                <w:sz w:val="28"/>
                <w:szCs w:val="28"/>
              </w:rPr>
              <w:t xml:space="preserve"> </w:t>
            </w:r>
            <w:proofErr w:type="gramEnd"/>
            <w:r w:rsidR="00895A06" w:rsidRPr="00E40C76">
              <w:rPr>
                <w:sz w:val="28"/>
                <w:szCs w:val="28"/>
              </w:rPr>
              <w:t xml:space="preserve">ir </w:t>
            </w:r>
            <w:r w:rsidR="000725F4" w:rsidRPr="00E40C76">
              <w:rPr>
                <w:sz w:val="28"/>
                <w:szCs w:val="28"/>
              </w:rPr>
              <w:t>sagatavots</w:t>
            </w:r>
            <w:r w:rsidR="00895A06" w:rsidRPr="00E40C76">
              <w:rPr>
                <w:sz w:val="28"/>
                <w:szCs w:val="28"/>
              </w:rPr>
              <w:t xml:space="preserve"> saskaņā ar </w:t>
            </w:r>
            <w:r w:rsidR="000725F4" w:rsidRPr="00E40C76">
              <w:rPr>
                <w:sz w:val="28"/>
                <w:szCs w:val="28"/>
              </w:rPr>
              <w:t>Profesionālās izglītības likuma</w:t>
            </w:r>
            <w:r w:rsidR="000725F4">
              <w:rPr>
                <w:sz w:val="28"/>
                <w:szCs w:val="28"/>
              </w:rPr>
              <w:t xml:space="preserve"> </w:t>
            </w:r>
            <w:bookmarkEnd w:id="2"/>
            <w:r w:rsidR="000725F4">
              <w:rPr>
                <w:sz w:val="28"/>
                <w:szCs w:val="28"/>
              </w:rPr>
              <w:t>(2017. gada 22. jūnija likuma “Grozījumi Profesionālās izglītības likumā” redakcijā)</w:t>
            </w:r>
            <w:r w:rsidR="00BC7E3C">
              <w:rPr>
                <w:sz w:val="28"/>
                <w:szCs w:val="28"/>
              </w:rPr>
              <w:t xml:space="preserve"> (turpmāk – likums)</w:t>
            </w:r>
            <w:r w:rsidR="000725F4">
              <w:rPr>
                <w:sz w:val="28"/>
                <w:szCs w:val="28"/>
              </w:rPr>
              <w:t xml:space="preserve"> </w:t>
            </w:r>
            <w:r w:rsidR="008A0883">
              <w:rPr>
                <w:sz w:val="28"/>
                <w:szCs w:val="28"/>
              </w:rPr>
              <w:t>7. panta 2</w:t>
            </w:r>
            <w:r w:rsidR="008A0883" w:rsidRPr="008A0883">
              <w:rPr>
                <w:sz w:val="28"/>
                <w:szCs w:val="28"/>
                <w:vertAlign w:val="superscript"/>
              </w:rPr>
              <w:t>1</w:t>
            </w:r>
            <w:r w:rsidR="008A0883">
              <w:rPr>
                <w:sz w:val="28"/>
                <w:szCs w:val="28"/>
              </w:rPr>
              <w:t>.</w:t>
            </w:r>
            <w:r w:rsidR="000725F4">
              <w:rPr>
                <w:sz w:val="28"/>
                <w:szCs w:val="28"/>
              </w:rPr>
              <w:t xml:space="preserve"> </w:t>
            </w:r>
            <w:r w:rsidR="008A0883">
              <w:rPr>
                <w:sz w:val="28"/>
                <w:szCs w:val="28"/>
              </w:rPr>
              <w:t xml:space="preserve">punktā ietverto pilnvarojumu, kur paredzēts, ka Ministru kabinets nosaka obligāti piemērojamo profesiju standartu un profesionālās kvalifikācijas prasību, ja profesijai nav nepieciešams izstrādāt profesijas standartu, sarakstu un tajā iekļauto profesiju standartu un profesionālās kvalifikācijas prasību publiskošanas kārtību”. </w:t>
            </w:r>
          </w:p>
        </w:tc>
      </w:tr>
      <w:tr w:rsidR="0003784A" w:rsidRPr="00297239" w:rsidTr="001A6940">
        <w:trPr>
          <w:trHeight w:val="472"/>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895A06" w:rsidRDefault="00895A06">
            <w:pPr>
              <w:spacing w:before="75" w:after="75"/>
              <w:rPr>
                <w:szCs w:val="28"/>
              </w:rPr>
            </w:pPr>
            <w:r>
              <w:rPr>
                <w:sz w:val="28"/>
                <w:szCs w:val="28"/>
              </w:rPr>
              <w:lastRenderedPageBreak/>
              <w:t> 2.</w:t>
            </w:r>
          </w:p>
        </w:tc>
        <w:tc>
          <w:tcPr>
            <w:tcW w:w="2323" w:type="dxa"/>
            <w:tcBorders>
              <w:top w:val="outset" w:sz="6" w:space="0" w:color="auto"/>
              <w:left w:val="nil"/>
              <w:bottom w:val="outset" w:sz="6" w:space="0" w:color="auto"/>
              <w:right w:val="outset" w:sz="6" w:space="0" w:color="auto"/>
            </w:tcBorders>
            <w:hideMark/>
          </w:tcPr>
          <w:p w:rsidR="00895A06" w:rsidRDefault="00895A06">
            <w:pPr>
              <w:spacing w:before="75" w:after="75"/>
              <w:ind w:left="40" w:right="126"/>
              <w:rPr>
                <w:sz w:val="28"/>
                <w:szCs w:val="28"/>
              </w:rPr>
            </w:pPr>
            <w:r>
              <w:rPr>
                <w:sz w:val="28"/>
                <w:szCs w:val="28"/>
              </w:rPr>
              <w:t>Pašreizējā situācija un problēmas, kuru risināšanai tiesību akta projekts izstrādāts, tiesiskā regulējuma mērķis un būtība</w:t>
            </w:r>
          </w:p>
          <w:p w:rsidR="001A6940" w:rsidRDefault="001A6940">
            <w:pPr>
              <w:spacing w:before="75" w:after="75"/>
              <w:ind w:left="40" w:right="126"/>
              <w:rPr>
                <w:sz w:val="28"/>
                <w:szCs w:val="28"/>
              </w:rPr>
            </w:pPr>
          </w:p>
          <w:p w:rsidR="001A6940" w:rsidRDefault="001A6940">
            <w:pPr>
              <w:spacing w:before="75" w:after="75"/>
              <w:ind w:left="40" w:right="126"/>
              <w:rPr>
                <w:sz w:val="28"/>
                <w:szCs w:val="28"/>
              </w:rPr>
            </w:pPr>
          </w:p>
          <w:p w:rsidR="001A6940" w:rsidRDefault="001A6940">
            <w:pPr>
              <w:spacing w:before="75" w:after="75"/>
              <w:ind w:left="40" w:right="126"/>
              <w:rPr>
                <w:sz w:val="28"/>
                <w:szCs w:val="28"/>
              </w:rPr>
            </w:pPr>
          </w:p>
          <w:p w:rsidR="001A6940" w:rsidRDefault="001A6940">
            <w:pPr>
              <w:spacing w:before="75" w:after="75"/>
              <w:ind w:left="40" w:right="126"/>
              <w:rPr>
                <w:sz w:val="28"/>
                <w:szCs w:val="28"/>
              </w:rPr>
            </w:pPr>
          </w:p>
          <w:p w:rsidR="001A6940" w:rsidRDefault="001A6940">
            <w:pPr>
              <w:spacing w:before="75" w:after="75"/>
              <w:ind w:left="40" w:right="126"/>
              <w:rPr>
                <w:sz w:val="28"/>
                <w:szCs w:val="28"/>
              </w:rPr>
            </w:pPr>
          </w:p>
          <w:p w:rsidR="001A6940" w:rsidRDefault="001A6940">
            <w:pPr>
              <w:spacing w:before="75" w:after="75"/>
              <w:ind w:left="40" w:right="126"/>
              <w:rPr>
                <w:sz w:val="28"/>
                <w:szCs w:val="28"/>
              </w:rPr>
            </w:pPr>
          </w:p>
          <w:p w:rsidR="001A6940" w:rsidRDefault="001A6940">
            <w:pPr>
              <w:spacing w:before="75" w:after="75"/>
              <w:ind w:left="40" w:right="126"/>
              <w:rPr>
                <w:szCs w:val="28"/>
              </w:rPr>
            </w:pPr>
          </w:p>
        </w:tc>
        <w:tc>
          <w:tcPr>
            <w:tcW w:w="6251" w:type="dxa"/>
            <w:tcBorders>
              <w:top w:val="outset" w:sz="6" w:space="0" w:color="auto"/>
              <w:left w:val="outset" w:sz="6" w:space="0" w:color="auto"/>
              <w:bottom w:val="outset" w:sz="6" w:space="0" w:color="auto"/>
              <w:right w:val="outset" w:sz="6" w:space="0" w:color="auto"/>
            </w:tcBorders>
          </w:tcPr>
          <w:p w:rsidR="00106854" w:rsidRDefault="00A95CFF" w:rsidP="008A0883">
            <w:pPr>
              <w:pStyle w:val="tv2132"/>
              <w:spacing w:line="240" w:lineRule="auto"/>
              <w:ind w:left="127" w:firstLine="0"/>
              <w:jc w:val="both"/>
              <w:rPr>
                <w:color w:val="000000" w:themeColor="text1"/>
                <w:sz w:val="28"/>
                <w:szCs w:val="28"/>
              </w:rPr>
            </w:pPr>
            <w:r w:rsidRPr="00D02F93">
              <w:rPr>
                <w:color w:val="000000" w:themeColor="text1"/>
                <w:sz w:val="28"/>
                <w:szCs w:val="28"/>
              </w:rPr>
              <w:t xml:space="preserve">   </w:t>
            </w:r>
            <w:bookmarkStart w:id="3" w:name="_Hlk521050809"/>
            <w:r w:rsidR="00CA7EAB" w:rsidRPr="00E40C76">
              <w:rPr>
                <w:color w:val="000000" w:themeColor="text1"/>
                <w:sz w:val="28"/>
                <w:szCs w:val="28"/>
              </w:rPr>
              <w:t xml:space="preserve">Līdz 2017. gada 31. maijam bija spēkā </w:t>
            </w:r>
            <w:bookmarkEnd w:id="3"/>
            <w:r w:rsidR="00CA7EAB" w:rsidRPr="00E40C76">
              <w:rPr>
                <w:color w:val="000000" w:themeColor="text1"/>
                <w:sz w:val="28"/>
                <w:szCs w:val="28"/>
              </w:rPr>
              <w:t>Ministru kabineta 2010. gada</w:t>
            </w:r>
            <w:r w:rsidR="00CA7EAB" w:rsidRPr="00D02F93">
              <w:rPr>
                <w:color w:val="000000" w:themeColor="text1"/>
                <w:sz w:val="28"/>
                <w:szCs w:val="28"/>
              </w:rPr>
              <w:t xml:space="preserve"> 18. maija noteikumi Nr. 461 “Noteikumi par Profesiju klasifikatoru, profesijai atbilstošiem pamatuzdevumiem un kvalifikācijas prasībām un Profesiju klasifikatora lietošanas un aktualizēšanas kārtību”</w:t>
            </w:r>
            <w:r w:rsidR="00106854" w:rsidRPr="00D02F93">
              <w:rPr>
                <w:color w:val="000000" w:themeColor="text1"/>
                <w:sz w:val="28"/>
                <w:szCs w:val="28"/>
              </w:rPr>
              <w:t xml:space="preserve"> (turpmāk -</w:t>
            </w:r>
            <w:proofErr w:type="gramStart"/>
            <w:r w:rsidR="00106854" w:rsidRPr="00D02F93">
              <w:rPr>
                <w:color w:val="000000" w:themeColor="text1"/>
                <w:sz w:val="28"/>
                <w:szCs w:val="28"/>
              </w:rPr>
              <w:t xml:space="preserve">  </w:t>
            </w:r>
            <w:proofErr w:type="gramEnd"/>
            <w:r w:rsidR="00106854" w:rsidRPr="00D02F93">
              <w:rPr>
                <w:color w:val="000000" w:themeColor="text1"/>
                <w:sz w:val="28"/>
                <w:szCs w:val="28"/>
              </w:rPr>
              <w:t>noteikumi Nr. 461)</w:t>
            </w:r>
            <w:r w:rsidR="00CA7EAB" w:rsidRPr="00D02F93">
              <w:rPr>
                <w:color w:val="000000" w:themeColor="text1"/>
                <w:sz w:val="28"/>
                <w:szCs w:val="28"/>
              </w:rPr>
              <w:t>, kuru 2.</w:t>
            </w:r>
            <w:r w:rsidR="00106854" w:rsidRPr="00D02F93">
              <w:rPr>
                <w:color w:val="000000" w:themeColor="text1"/>
                <w:sz w:val="28"/>
                <w:szCs w:val="28"/>
              </w:rPr>
              <w:t xml:space="preserve"> </w:t>
            </w:r>
            <w:r w:rsidR="00CA7EAB" w:rsidRPr="00D02F93">
              <w:rPr>
                <w:color w:val="000000" w:themeColor="text1"/>
                <w:sz w:val="28"/>
                <w:szCs w:val="28"/>
              </w:rPr>
              <w:t>pielikumā bija noteikti profesiju standarti. No 2017. gada 1. jūnija ir spēkā Ministru kabineta 2017. gada 23. maija noteikumi Nr. 264 “Noteikumi par Profesiju klasifikatoru, profesijai atbilstošiem pamatuzdevumiem un kvalifikācijas prasībām”</w:t>
            </w:r>
            <w:r w:rsidR="00106854" w:rsidRPr="00D02F93">
              <w:rPr>
                <w:color w:val="000000" w:themeColor="text1"/>
                <w:sz w:val="28"/>
                <w:szCs w:val="28"/>
              </w:rPr>
              <w:t xml:space="preserve">, kur, salīdzinot ar noteikumiem Nr. 461, vairs nav iekļauts 2. pielikums – Profesiju standarti, </w:t>
            </w:r>
            <w:proofErr w:type="gramStart"/>
            <w:r w:rsidR="00106854" w:rsidRPr="00D02F93">
              <w:rPr>
                <w:color w:val="000000" w:themeColor="text1"/>
                <w:sz w:val="28"/>
                <w:szCs w:val="28"/>
              </w:rPr>
              <w:t>jo atbilstoši likuma 24.</w:t>
            </w:r>
            <w:r w:rsidR="006D1FC5">
              <w:rPr>
                <w:color w:val="000000" w:themeColor="text1"/>
                <w:sz w:val="28"/>
                <w:szCs w:val="28"/>
              </w:rPr>
              <w:t xml:space="preserve"> </w:t>
            </w:r>
            <w:r w:rsidR="00106854" w:rsidRPr="00D02F93">
              <w:rPr>
                <w:color w:val="000000" w:themeColor="text1"/>
                <w:sz w:val="28"/>
                <w:szCs w:val="28"/>
              </w:rPr>
              <w:t>pantam profesiju standarti vairs</w:t>
            </w:r>
            <w:proofErr w:type="gramEnd"/>
            <w:r w:rsidR="00106854" w:rsidRPr="00D02F93">
              <w:rPr>
                <w:color w:val="000000" w:themeColor="text1"/>
                <w:sz w:val="28"/>
                <w:szCs w:val="28"/>
              </w:rPr>
              <w:t xml:space="preserve"> nav profesiju klasifikatora sastāvdaļa.</w:t>
            </w:r>
          </w:p>
          <w:p w:rsidR="00E40C76" w:rsidRDefault="00AE4078" w:rsidP="00E40C76">
            <w:pPr>
              <w:pStyle w:val="tv2132"/>
              <w:spacing w:line="240" w:lineRule="auto"/>
              <w:ind w:left="127" w:firstLine="485"/>
              <w:jc w:val="both"/>
              <w:rPr>
                <w:color w:val="auto"/>
                <w:sz w:val="28"/>
                <w:szCs w:val="28"/>
              </w:rPr>
            </w:pPr>
            <w:r w:rsidRPr="00E40C76">
              <w:rPr>
                <w:color w:val="auto"/>
                <w:sz w:val="28"/>
                <w:szCs w:val="28"/>
              </w:rPr>
              <w:t xml:space="preserve">No kā izriet, ka ir nepieciešams izdot jaunus Ministru kabineta noteikumus, kuri </w:t>
            </w:r>
            <w:r w:rsidR="00E40C76" w:rsidRPr="00E40C76">
              <w:rPr>
                <w:color w:val="auto"/>
                <w:sz w:val="28"/>
                <w:szCs w:val="28"/>
              </w:rPr>
              <w:t xml:space="preserve">nosaka obligāti piemērojamo profesiju standartu un profesionālās kvalifikācijas prasību </w:t>
            </w:r>
            <w:r w:rsidRPr="00E40C76">
              <w:rPr>
                <w:color w:val="auto"/>
                <w:sz w:val="28"/>
                <w:szCs w:val="28"/>
              </w:rPr>
              <w:t>sarakstu un t</w:t>
            </w:r>
            <w:r w:rsidR="00E40C76" w:rsidRPr="00E40C76">
              <w:rPr>
                <w:color w:val="auto"/>
                <w:sz w:val="28"/>
                <w:szCs w:val="28"/>
              </w:rPr>
              <w:t>ā</w:t>
            </w:r>
            <w:r w:rsidRPr="00E40C76">
              <w:rPr>
                <w:color w:val="auto"/>
                <w:sz w:val="28"/>
                <w:szCs w:val="28"/>
              </w:rPr>
              <w:t xml:space="preserve"> publiskošanas kārtību.</w:t>
            </w:r>
            <w:r w:rsidR="00E40C76">
              <w:rPr>
                <w:color w:val="auto"/>
                <w:sz w:val="28"/>
                <w:szCs w:val="28"/>
              </w:rPr>
              <w:t xml:space="preserve">  </w:t>
            </w:r>
          </w:p>
          <w:p w:rsidR="00AE4078" w:rsidRPr="00E40C76" w:rsidRDefault="00AE4078" w:rsidP="00E40C76">
            <w:pPr>
              <w:pStyle w:val="tv2132"/>
              <w:spacing w:line="240" w:lineRule="auto"/>
              <w:ind w:left="127" w:firstLine="485"/>
              <w:jc w:val="both"/>
              <w:rPr>
                <w:color w:val="auto"/>
                <w:sz w:val="28"/>
                <w:szCs w:val="28"/>
              </w:rPr>
            </w:pPr>
            <w:r w:rsidRPr="00E40C76">
              <w:rPr>
                <w:color w:val="000000" w:themeColor="text1"/>
                <w:sz w:val="28"/>
                <w:szCs w:val="28"/>
              </w:rPr>
              <w:t>Profesiju standartu vai profesionālās kvalifikācijas prasību saraksts ir nepieciešams, jo saskaņā ar likuma 22.</w:t>
            </w:r>
            <w:r w:rsidR="006D1FC5">
              <w:rPr>
                <w:color w:val="000000" w:themeColor="text1"/>
                <w:sz w:val="28"/>
                <w:szCs w:val="28"/>
              </w:rPr>
              <w:t xml:space="preserve"> </w:t>
            </w:r>
            <w:r w:rsidRPr="00E40C76">
              <w:rPr>
                <w:color w:val="000000" w:themeColor="text1"/>
                <w:sz w:val="28"/>
                <w:szCs w:val="28"/>
              </w:rPr>
              <w:t>panta 2.punktu profesijas standarts vai kvalifikācijas prasības ir profesionālās izglītības saturu reglamentējošs dokuments. To nosaka arī Ministru kabineta 2001.</w:t>
            </w:r>
            <w:r w:rsidR="006D1FC5">
              <w:rPr>
                <w:color w:val="000000" w:themeColor="text1"/>
                <w:sz w:val="28"/>
                <w:szCs w:val="28"/>
              </w:rPr>
              <w:t xml:space="preserve"> </w:t>
            </w:r>
            <w:r w:rsidRPr="00E40C76">
              <w:rPr>
                <w:color w:val="000000" w:themeColor="text1"/>
                <w:sz w:val="28"/>
                <w:szCs w:val="28"/>
              </w:rPr>
              <w:t>gada 20.</w:t>
            </w:r>
            <w:r w:rsidR="006D1FC5">
              <w:rPr>
                <w:color w:val="000000" w:themeColor="text1"/>
                <w:sz w:val="28"/>
                <w:szCs w:val="28"/>
              </w:rPr>
              <w:t xml:space="preserve"> </w:t>
            </w:r>
            <w:r w:rsidRPr="00E40C76">
              <w:rPr>
                <w:color w:val="000000" w:themeColor="text1"/>
                <w:sz w:val="28"/>
                <w:szCs w:val="28"/>
              </w:rPr>
              <w:t>marta noteikumi Nr.141. “Noteikumi par pirmā līmeņa profesionālās augstākās izglītības valsts standartu” astotais punkts un Ministru kabineta 2014.</w:t>
            </w:r>
            <w:r w:rsidR="006D1FC5">
              <w:rPr>
                <w:color w:val="000000" w:themeColor="text1"/>
                <w:sz w:val="28"/>
                <w:szCs w:val="28"/>
              </w:rPr>
              <w:t xml:space="preserve"> </w:t>
            </w:r>
            <w:r w:rsidRPr="00E40C76">
              <w:rPr>
                <w:color w:val="000000" w:themeColor="text1"/>
                <w:sz w:val="28"/>
                <w:szCs w:val="28"/>
              </w:rPr>
              <w:t>gada 26.</w:t>
            </w:r>
            <w:r w:rsidR="006D1FC5">
              <w:rPr>
                <w:color w:val="000000" w:themeColor="text1"/>
                <w:sz w:val="28"/>
                <w:szCs w:val="28"/>
              </w:rPr>
              <w:t xml:space="preserve"> </w:t>
            </w:r>
            <w:r w:rsidRPr="00E40C76">
              <w:rPr>
                <w:color w:val="000000" w:themeColor="text1"/>
                <w:sz w:val="28"/>
                <w:szCs w:val="28"/>
              </w:rPr>
              <w:t xml:space="preserve">augusta noteikumi Nr.512. “Noteikumi par otrā līmeņa profesionālās augstākās izglītības valsts standartu” (turpmāk – noteikumi Nr. 512.). Noteikumu Nr.512. otrās nodaļas otrā punktā noteikts, ka programmas ir profesiju standartiem atbilstošas un praksē piemērojamas profesionālās studijas. To vai profesionālās studiju programmas ir izstrādātas atbilstoši </w:t>
            </w:r>
            <w:r w:rsidRPr="00E40C76">
              <w:rPr>
                <w:color w:val="000000" w:themeColor="text1"/>
                <w:sz w:val="28"/>
                <w:szCs w:val="28"/>
              </w:rPr>
              <w:lastRenderedPageBreak/>
              <w:t>profesiju standartiem vai profesionālās kvalifikācijas prasībām pārbauda programmas licencēšanas un akreditācijas procesā.</w:t>
            </w:r>
          </w:p>
          <w:p w:rsidR="005C585F" w:rsidRPr="00D02F93" w:rsidRDefault="00106854" w:rsidP="00E40C76">
            <w:pPr>
              <w:pStyle w:val="tv2132"/>
              <w:spacing w:line="240" w:lineRule="auto"/>
              <w:ind w:left="127" w:firstLine="0"/>
              <w:jc w:val="both"/>
              <w:rPr>
                <w:color w:val="000000" w:themeColor="text1"/>
                <w:sz w:val="28"/>
                <w:szCs w:val="28"/>
              </w:rPr>
            </w:pPr>
            <w:r w:rsidRPr="00D02F93">
              <w:rPr>
                <w:color w:val="000000" w:themeColor="text1"/>
                <w:sz w:val="28"/>
                <w:szCs w:val="28"/>
              </w:rPr>
              <w:t xml:space="preserve"> </w:t>
            </w:r>
            <w:r w:rsidR="00A95CFF" w:rsidRPr="00D02F93">
              <w:rPr>
                <w:color w:val="000000" w:themeColor="text1"/>
                <w:sz w:val="28"/>
                <w:szCs w:val="28"/>
              </w:rPr>
              <w:t xml:space="preserve">     </w:t>
            </w:r>
            <w:r w:rsidR="00B12E42" w:rsidRPr="00D02F93">
              <w:rPr>
                <w:color w:val="000000" w:themeColor="text1"/>
                <w:sz w:val="28"/>
                <w:szCs w:val="28"/>
              </w:rPr>
              <w:t>Saskaņā ar l</w:t>
            </w:r>
            <w:r w:rsidR="00AD7041" w:rsidRPr="00D02F93">
              <w:rPr>
                <w:color w:val="000000" w:themeColor="text1"/>
                <w:sz w:val="28"/>
                <w:szCs w:val="28"/>
              </w:rPr>
              <w:t xml:space="preserve">ikuma </w:t>
            </w:r>
            <w:r w:rsidR="00B12E42" w:rsidRPr="00D02F93">
              <w:rPr>
                <w:color w:val="000000" w:themeColor="text1"/>
                <w:sz w:val="28"/>
                <w:szCs w:val="28"/>
              </w:rPr>
              <w:t xml:space="preserve">22. panta 2. punktu profesionālās izglītības saturu reglamentējošs pamatdokuments ir profesijas standarts vai profesionālās kvalifikācijas prasības, ja profesijai nav nepieciešams izstrādāt profesijas standartu, ko </w:t>
            </w:r>
            <w:r w:rsidR="00B12E42" w:rsidRPr="00E40C76">
              <w:rPr>
                <w:color w:val="000000" w:themeColor="text1"/>
                <w:sz w:val="28"/>
                <w:szCs w:val="28"/>
              </w:rPr>
              <w:t xml:space="preserve">saskaņo Nacionālās trīspusējās sadarbības padomes Profesionālās izglītības un nodarbinātības trīspusējās sadarbības </w:t>
            </w:r>
            <w:proofErr w:type="spellStart"/>
            <w:r w:rsidR="00B12E42" w:rsidRPr="00E40C76">
              <w:rPr>
                <w:color w:val="000000" w:themeColor="text1"/>
                <w:sz w:val="28"/>
                <w:szCs w:val="28"/>
              </w:rPr>
              <w:t>apakšpadom</w:t>
            </w:r>
            <w:r w:rsidR="00E40C76" w:rsidRPr="00E40C76">
              <w:rPr>
                <w:color w:val="000000" w:themeColor="text1"/>
                <w:sz w:val="28"/>
                <w:szCs w:val="28"/>
              </w:rPr>
              <w:t>e</w:t>
            </w:r>
            <w:proofErr w:type="spellEnd"/>
            <w:r w:rsidR="00B12E42" w:rsidRPr="00E40C76">
              <w:rPr>
                <w:color w:val="000000" w:themeColor="text1"/>
                <w:sz w:val="28"/>
                <w:szCs w:val="28"/>
              </w:rPr>
              <w:t>.</w:t>
            </w:r>
          </w:p>
          <w:p w:rsidR="00AD7041" w:rsidRPr="00D02F93" w:rsidRDefault="00C52A94" w:rsidP="00B12E42">
            <w:pPr>
              <w:pStyle w:val="tv2132"/>
              <w:spacing w:line="240" w:lineRule="auto"/>
              <w:ind w:left="125" w:firstLine="0"/>
              <w:jc w:val="both"/>
              <w:rPr>
                <w:color w:val="auto"/>
                <w:sz w:val="28"/>
                <w:szCs w:val="28"/>
              </w:rPr>
            </w:pPr>
            <w:r w:rsidRPr="00D02F93">
              <w:rPr>
                <w:color w:val="000000" w:themeColor="text1"/>
                <w:sz w:val="28"/>
                <w:szCs w:val="28"/>
              </w:rPr>
              <w:t xml:space="preserve">   </w:t>
            </w:r>
            <w:r w:rsidR="005C585F" w:rsidRPr="00D02F93">
              <w:rPr>
                <w:color w:val="000000" w:themeColor="text1"/>
                <w:sz w:val="28"/>
                <w:szCs w:val="28"/>
              </w:rPr>
              <w:t xml:space="preserve">Lai </w:t>
            </w:r>
            <w:r w:rsidR="00B12E42" w:rsidRPr="00D02F93">
              <w:rPr>
                <w:color w:val="000000" w:themeColor="text1"/>
                <w:sz w:val="28"/>
                <w:szCs w:val="28"/>
              </w:rPr>
              <w:t xml:space="preserve">Nacionālās trīspusējās sadarbības padomes Profesionālās izglītības un nodarbinātības </w:t>
            </w:r>
            <w:r w:rsidR="00B12E42" w:rsidRPr="00E40C76">
              <w:rPr>
                <w:color w:val="000000" w:themeColor="text1"/>
                <w:sz w:val="28"/>
                <w:szCs w:val="28"/>
              </w:rPr>
              <w:t xml:space="preserve">trīspusējās sadarbības </w:t>
            </w:r>
            <w:proofErr w:type="spellStart"/>
            <w:r w:rsidR="00B12E42" w:rsidRPr="00E40C76">
              <w:rPr>
                <w:color w:val="000000" w:themeColor="text1"/>
                <w:sz w:val="28"/>
                <w:szCs w:val="28"/>
              </w:rPr>
              <w:t>apakšpadomes</w:t>
            </w:r>
            <w:proofErr w:type="spellEnd"/>
            <w:r w:rsidR="00B12E42" w:rsidRPr="00E40C76">
              <w:rPr>
                <w:color w:val="000000" w:themeColor="text1"/>
                <w:sz w:val="28"/>
                <w:szCs w:val="28"/>
              </w:rPr>
              <w:t xml:space="preserve"> saskaņotie profesiju standarti un profesionālās kvalifikācijas prasības būtu saistošas</w:t>
            </w:r>
            <w:r w:rsidR="001970D3" w:rsidRPr="00E40C76">
              <w:rPr>
                <w:color w:val="000000" w:themeColor="text1"/>
                <w:sz w:val="28"/>
                <w:szCs w:val="28"/>
              </w:rPr>
              <w:t>, nepieciešam</w:t>
            </w:r>
            <w:r w:rsidR="005C585F" w:rsidRPr="00E40C76">
              <w:rPr>
                <w:color w:val="000000" w:themeColor="text1"/>
                <w:sz w:val="28"/>
                <w:szCs w:val="28"/>
              </w:rPr>
              <w:t>s</w:t>
            </w:r>
            <w:r w:rsidR="001970D3" w:rsidRPr="00E40C76">
              <w:rPr>
                <w:color w:val="000000" w:themeColor="text1"/>
                <w:sz w:val="28"/>
                <w:szCs w:val="28"/>
              </w:rPr>
              <w:t>, lai to</w:t>
            </w:r>
            <w:r w:rsidR="005C585F" w:rsidRPr="00E40C76">
              <w:rPr>
                <w:color w:val="000000" w:themeColor="text1"/>
                <w:sz w:val="28"/>
                <w:szCs w:val="28"/>
              </w:rPr>
              <w:t xml:space="preserve"> </w:t>
            </w:r>
            <w:r w:rsidR="005C585F" w:rsidRPr="00E40C76">
              <w:rPr>
                <w:color w:val="auto"/>
                <w:sz w:val="28"/>
                <w:szCs w:val="28"/>
              </w:rPr>
              <w:t>sarakstu</w:t>
            </w:r>
            <w:r w:rsidR="001970D3" w:rsidRPr="00E40C76">
              <w:rPr>
                <w:color w:val="auto"/>
                <w:sz w:val="28"/>
                <w:szCs w:val="28"/>
              </w:rPr>
              <w:t xml:space="preserve"> nosaka Ministru kabinets</w:t>
            </w:r>
            <w:r w:rsidR="00B61470" w:rsidRPr="00E40C76">
              <w:rPr>
                <w:color w:val="auto"/>
                <w:sz w:val="28"/>
                <w:szCs w:val="28"/>
              </w:rPr>
              <w:t xml:space="preserve"> atbilstoši likuma 7. panta 2</w:t>
            </w:r>
            <w:r w:rsidR="00B61470" w:rsidRPr="00E40C76">
              <w:rPr>
                <w:color w:val="auto"/>
                <w:sz w:val="28"/>
                <w:szCs w:val="28"/>
                <w:vertAlign w:val="superscript"/>
              </w:rPr>
              <w:t>1</w:t>
            </w:r>
            <w:r w:rsidR="00B61470" w:rsidRPr="00E40C76">
              <w:rPr>
                <w:color w:val="auto"/>
                <w:sz w:val="28"/>
                <w:szCs w:val="28"/>
              </w:rPr>
              <w:t>. punktā ietverto pilnvarojumam</w:t>
            </w:r>
            <w:r w:rsidR="001970D3" w:rsidRPr="00E40C76">
              <w:rPr>
                <w:color w:val="auto"/>
                <w:sz w:val="28"/>
                <w:szCs w:val="28"/>
              </w:rPr>
              <w:t>.</w:t>
            </w:r>
            <w:r w:rsidR="00AD7041" w:rsidRPr="00D02F93">
              <w:rPr>
                <w:color w:val="auto"/>
                <w:sz w:val="28"/>
                <w:szCs w:val="28"/>
              </w:rPr>
              <w:t xml:space="preserve"> </w:t>
            </w:r>
          </w:p>
          <w:p w:rsidR="00AE4078" w:rsidRPr="005C0AC8" w:rsidRDefault="00AE4078" w:rsidP="005C0AC8">
            <w:pPr>
              <w:pStyle w:val="tv2132"/>
              <w:spacing w:line="240" w:lineRule="auto"/>
              <w:ind w:left="125" w:firstLine="629"/>
              <w:jc w:val="both"/>
              <w:rPr>
                <w:color w:val="000000" w:themeColor="text1"/>
                <w:sz w:val="28"/>
                <w:szCs w:val="28"/>
              </w:rPr>
            </w:pPr>
            <w:r w:rsidRPr="005C0AC8">
              <w:rPr>
                <w:color w:val="000000" w:themeColor="text1"/>
                <w:sz w:val="28"/>
                <w:szCs w:val="28"/>
              </w:rPr>
              <w:t xml:space="preserve">Nacionālās trīspusējās sadarbības padomes Profesionālās izglītības un nodarbinātības trīspusējās sadarbības </w:t>
            </w:r>
            <w:proofErr w:type="spellStart"/>
            <w:r w:rsidRPr="005C0AC8">
              <w:rPr>
                <w:color w:val="000000" w:themeColor="text1"/>
                <w:sz w:val="28"/>
                <w:szCs w:val="28"/>
              </w:rPr>
              <w:t>apakšpadomes</w:t>
            </w:r>
            <w:proofErr w:type="spellEnd"/>
            <w:r w:rsidRPr="005C0AC8">
              <w:rPr>
                <w:color w:val="000000" w:themeColor="text1"/>
                <w:sz w:val="28"/>
                <w:szCs w:val="28"/>
              </w:rPr>
              <w:t xml:space="preserve"> 2018. gada 21. marta un 11.aprīļa sēdēs tika precizētas un saskaņotas 15 Nozaru kvalifikāciju struktūras:</w:t>
            </w:r>
          </w:p>
          <w:p w:rsidR="00AE4078" w:rsidRPr="005C0AC8" w:rsidRDefault="00AE4078" w:rsidP="00AE4078">
            <w:pPr>
              <w:pStyle w:val="tv2132"/>
              <w:numPr>
                <w:ilvl w:val="0"/>
                <w:numId w:val="3"/>
              </w:numPr>
              <w:spacing w:line="240" w:lineRule="auto"/>
              <w:jc w:val="both"/>
              <w:rPr>
                <w:color w:val="000000" w:themeColor="text1"/>
                <w:sz w:val="28"/>
                <w:szCs w:val="28"/>
              </w:rPr>
            </w:pPr>
            <w:r w:rsidRPr="005C0AC8">
              <w:rPr>
                <w:color w:val="000000" w:themeColor="text1"/>
                <w:sz w:val="28"/>
                <w:szCs w:val="28"/>
              </w:rPr>
              <w:t>Būvniecības nozare,</w:t>
            </w:r>
            <w:r w:rsidRPr="005C0AC8">
              <w:t xml:space="preserve"> </w:t>
            </w:r>
          </w:p>
          <w:p w:rsidR="00AE4078" w:rsidRPr="005C0AC8" w:rsidRDefault="00AE4078" w:rsidP="00AE4078">
            <w:pPr>
              <w:pStyle w:val="tv2132"/>
              <w:numPr>
                <w:ilvl w:val="0"/>
                <w:numId w:val="3"/>
              </w:numPr>
              <w:spacing w:line="240" w:lineRule="auto"/>
              <w:jc w:val="both"/>
              <w:rPr>
                <w:color w:val="000000" w:themeColor="text1"/>
                <w:sz w:val="28"/>
                <w:szCs w:val="28"/>
              </w:rPr>
            </w:pPr>
            <w:r w:rsidRPr="005C0AC8">
              <w:rPr>
                <w:color w:val="000000" w:themeColor="text1"/>
                <w:sz w:val="28"/>
                <w:szCs w:val="28"/>
              </w:rPr>
              <w:t>Drukas un mediju tehnoloģiju nozare,</w:t>
            </w:r>
          </w:p>
          <w:p w:rsidR="00AE4078" w:rsidRPr="005C0AC8" w:rsidRDefault="00AE4078" w:rsidP="00AE4078">
            <w:pPr>
              <w:pStyle w:val="tv2132"/>
              <w:numPr>
                <w:ilvl w:val="0"/>
                <w:numId w:val="3"/>
              </w:numPr>
              <w:spacing w:line="240" w:lineRule="auto"/>
              <w:jc w:val="both"/>
              <w:rPr>
                <w:color w:val="000000" w:themeColor="text1"/>
                <w:sz w:val="28"/>
                <w:szCs w:val="28"/>
              </w:rPr>
            </w:pPr>
            <w:r w:rsidRPr="005C0AC8">
              <w:rPr>
                <w:color w:val="000000" w:themeColor="text1"/>
                <w:sz w:val="28"/>
                <w:szCs w:val="28"/>
              </w:rPr>
              <w:t xml:space="preserve"> Elektronisko un optisko iekārtu ražošanas, informācijas un komunikācijas tehnoloģijas nozare, </w:t>
            </w:r>
          </w:p>
          <w:p w:rsidR="00AE4078" w:rsidRPr="005C0AC8" w:rsidRDefault="00AE4078" w:rsidP="00AE4078">
            <w:pPr>
              <w:pStyle w:val="tv2132"/>
              <w:numPr>
                <w:ilvl w:val="0"/>
                <w:numId w:val="3"/>
              </w:numPr>
              <w:spacing w:line="240" w:lineRule="auto"/>
              <w:jc w:val="both"/>
              <w:rPr>
                <w:color w:val="000000" w:themeColor="text1"/>
                <w:sz w:val="28"/>
                <w:szCs w:val="28"/>
              </w:rPr>
            </w:pPr>
            <w:r w:rsidRPr="005C0AC8">
              <w:rPr>
                <w:color w:val="000000" w:themeColor="text1"/>
                <w:sz w:val="28"/>
                <w:szCs w:val="28"/>
              </w:rPr>
              <w:t xml:space="preserve">Enerģētikas nozare, </w:t>
            </w:r>
          </w:p>
          <w:p w:rsidR="00AE4078" w:rsidRPr="005C0AC8" w:rsidRDefault="00AE4078" w:rsidP="00AE4078">
            <w:pPr>
              <w:pStyle w:val="tv2132"/>
              <w:numPr>
                <w:ilvl w:val="0"/>
                <w:numId w:val="3"/>
              </w:numPr>
              <w:spacing w:line="240" w:lineRule="auto"/>
              <w:jc w:val="both"/>
              <w:rPr>
                <w:color w:val="000000" w:themeColor="text1"/>
                <w:sz w:val="28"/>
                <w:szCs w:val="28"/>
              </w:rPr>
            </w:pPr>
            <w:r w:rsidRPr="005C0AC8">
              <w:rPr>
                <w:color w:val="000000" w:themeColor="text1"/>
                <w:sz w:val="28"/>
                <w:szCs w:val="28"/>
              </w:rPr>
              <w:t xml:space="preserve">Kokrūpniecības (mežsaimniecība, kokapstrāde) nozare, </w:t>
            </w:r>
          </w:p>
          <w:p w:rsidR="00AE4078" w:rsidRPr="005C0AC8" w:rsidRDefault="00AE4078" w:rsidP="00AE4078">
            <w:pPr>
              <w:pStyle w:val="tv2132"/>
              <w:numPr>
                <w:ilvl w:val="0"/>
                <w:numId w:val="3"/>
              </w:numPr>
              <w:spacing w:line="240" w:lineRule="auto"/>
              <w:jc w:val="both"/>
              <w:rPr>
                <w:color w:val="000000" w:themeColor="text1"/>
                <w:sz w:val="28"/>
                <w:szCs w:val="28"/>
              </w:rPr>
            </w:pPr>
            <w:r w:rsidRPr="005C0AC8">
              <w:rPr>
                <w:color w:val="000000" w:themeColor="text1"/>
                <w:sz w:val="28"/>
                <w:szCs w:val="28"/>
              </w:rPr>
              <w:t xml:space="preserve">Ķīmiskā rūpniecība un tās saskarnozares - ķīmija, farmācija, biotehnoloģija, vide, </w:t>
            </w:r>
          </w:p>
          <w:p w:rsidR="00AE4078" w:rsidRPr="005C0AC8" w:rsidRDefault="00AE4078" w:rsidP="00AE4078">
            <w:pPr>
              <w:pStyle w:val="tv2132"/>
              <w:numPr>
                <w:ilvl w:val="0"/>
                <w:numId w:val="3"/>
              </w:numPr>
              <w:spacing w:line="240" w:lineRule="auto"/>
              <w:jc w:val="both"/>
              <w:rPr>
                <w:color w:val="000000" w:themeColor="text1"/>
                <w:sz w:val="28"/>
                <w:szCs w:val="28"/>
              </w:rPr>
            </w:pPr>
            <w:r w:rsidRPr="005C0AC8">
              <w:rPr>
                <w:color w:val="000000" w:themeColor="text1"/>
                <w:sz w:val="28"/>
                <w:szCs w:val="28"/>
              </w:rPr>
              <w:t xml:space="preserve">Lauksaimniecības nozare, </w:t>
            </w:r>
          </w:p>
          <w:p w:rsidR="00AE4078" w:rsidRPr="005C0AC8" w:rsidRDefault="00AE4078" w:rsidP="00AE4078">
            <w:pPr>
              <w:pStyle w:val="tv2132"/>
              <w:numPr>
                <w:ilvl w:val="0"/>
                <w:numId w:val="3"/>
              </w:numPr>
              <w:spacing w:line="240" w:lineRule="auto"/>
              <w:jc w:val="both"/>
              <w:rPr>
                <w:color w:val="000000" w:themeColor="text1"/>
                <w:sz w:val="28"/>
                <w:szCs w:val="28"/>
              </w:rPr>
            </w:pPr>
            <w:r w:rsidRPr="005C0AC8">
              <w:rPr>
                <w:color w:val="000000" w:themeColor="text1"/>
                <w:sz w:val="28"/>
                <w:szCs w:val="28"/>
              </w:rPr>
              <w:t xml:space="preserve">Mākslas nozares dizaina un radošo industriju sektors, </w:t>
            </w:r>
          </w:p>
          <w:p w:rsidR="00AE4078" w:rsidRPr="005C0AC8" w:rsidRDefault="00AE4078" w:rsidP="00AE4078">
            <w:pPr>
              <w:pStyle w:val="tv2132"/>
              <w:numPr>
                <w:ilvl w:val="0"/>
                <w:numId w:val="3"/>
              </w:numPr>
              <w:spacing w:line="240" w:lineRule="auto"/>
              <w:jc w:val="both"/>
              <w:rPr>
                <w:color w:val="000000" w:themeColor="text1"/>
                <w:sz w:val="28"/>
                <w:szCs w:val="28"/>
              </w:rPr>
            </w:pPr>
            <w:r w:rsidRPr="005C0AC8">
              <w:rPr>
                <w:color w:val="000000" w:themeColor="text1"/>
                <w:sz w:val="28"/>
                <w:szCs w:val="28"/>
              </w:rPr>
              <w:t xml:space="preserve">Metālapstrādes, mašīnbūves un mašīnzinību nozare (tai skaitā mehānika), </w:t>
            </w:r>
          </w:p>
          <w:p w:rsidR="00AE4078" w:rsidRPr="005C0AC8" w:rsidRDefault="00AE4078" w:rsidP="00AE4078">
            <w:pPr>
              <w:pStyle w:val="tv2132"/>
              <w:numPr>
                <w:ilvl w:val="0"/>
                <w:numId w:val="3"/>
              </w:numPr>
              <w:spacing w:line="240" w:lineRule="auto"/>
              <w:jc w:val="both"/>
              <w:rPr>
                <w:color w:val="000000" w:themeColor="text1"/>
                <w:sz w:val="28"/>
                <w:szCs w:val="28"/>
              </w:rPr>
            </w:pPr>
            <w:r w:rsidRPr="005C0AC8">
              <w:rPr>
                <w:color w:val="000000" w:themeColor="text1"/>
                <w:sz w:val="28"/>
                <w:szCs w:val="28"/>
              </w:rPr>
              <w:lastRenderedPageBreak/>
              <w:t>Pārtikas rūpniecības nozare,</w:t>
            </w:r>
          </w:p>
          <w:p w:rsidR="00AE4078" w:rsidRPr="005C0AC8" w:rsidRDefault="00AE4078" w:rsidP="00AE4078">
            <w:pPr>
              <w:pStyle w:val="tv2132"/>
              <w:numPr>
                <w:ilvl w:val="0"/>
                <w:numId w:val="3"/>
              </w:numPr>
              <w:spacing w:line="240" w:lineRule="auto"/>
              <w:jc w:val="both"/>
              <w:rPr>
                <w:color w:val="000000" w:themeColor="text1"/>
                <w:sz w:val="28"/>
                <w:szCs w:val="28"/>
              </w:rPr>
            </w:pPr>
            <w:r w:rsidRPr="005C0AC8">
              <w:rPr>
                <w:color w:val="000000" w:themeColor="text1"/>
                <w:sz w:val="28"/>
                <w:szCs w:val="28"/>
              </w:rPr>
              <w:t xml:space="preserve"> Skaistumkopšanas nozare,</w:t>
            </w:r>
          </w:p>
          <w:p w:rsidR="00AE4078" w:rsidRPr="005C0AC8" w:rsidRDefault="00AE4078" w:rsidP="00AE4078">
            <w:pPr>
              <w:pStyle w:val="tv2132"/>
              <w:numPr>
                <w:ilvl w:val="0"/>
                <w:numId w:val="3"/>
              </w:numPr>
              <w:spacing w:line="240" w:lineRule="auto"/>
              <w:jc w:val="both"/>
              <w:rPr>
                <w:color w:val="000000" w:themeColor="text1"/>
                <w:sz w:val="28"/>
                <w:szCs w:val="28"/>
              </w:rPr>
            </w:pPr>
            <w:r w:rsidRPr="005C0AC8">
              <w:rPr>
                <w:color w:val="000000" w:themeColor="text1"/>
                <w:sz w:val="28"/>
                <w:szCs w:val="28"/>
              </w:rPr>
              <w:t xml:space="preserve"> Tekstilizstrādājumu, apģērbu, ādas un ādas izstrādājumu ražošanas nozare, </w:t>
            </w:r>
          </w:p>
          <w:p w:rsidR="00AE4078" w:rsidRPr="005C0AC8" w:rsidRDefault="00AE4078" w:rsidP="00AE4078">
            <w:pPr>
              <w:pStyle w:val="tv2132"/>
              <w:numPr>
                <w:ilvl w:val="0"/>
                <w:numId w:val="3"/>
              </w:numPr>
              <w:spacing w:line="240" w:lineRule="auto"/>
              <w:jc w:val="both"/>
              <w:rPr>
                <w:color w:val="000000" w:themeColor="text1"/>
                <w:sz w:val="28"/>
                <w:szCs w:val="28"/>
              </w:rPr>
            </w:pPr>
            <w:r w:rsidRPr="005C0AC8">
              <w:rPr>
                <w:color w:val="000000" w:themeColor="text1"/>
                <w:sz w:val="28"/>
                <w:szCs w:val="28"/>
              </w:rPr>
              <w:t xml:space="preserve">Transporta un loģistikas nozare, </w:t>
            </w:r>
          </w:p>
          <w:p w:rsidR="00AE4078" w:rsidRPr="005C0AC8" w:rsidRDefault="00AE4078" w:rsidP="00AE4078">
            <w:pPr>
              <w:pStyle w:val="tv2132"/>
              <w:numPr>
                <w:ilvl w:val="0"/>
                <w:numId w:val="3"/>
              </w:numPr>
              <w:spacing w:line="240" w:lineRule="auto"/>
              <w:jc w:val="both"/>
              <w:rPr>
                <w:color w:val="000000" w:themeColor="text1"/>
                <w:sz w:val="28"/>
                <w:szCs w:val="28"/>
              </w:rPr>
            </w:pPr>
            <w:r w:rsidRPr="005C0AC8">
              <w:rPr>
                <w:color w:val="000000" w:themeColor="text1"/>
                <w:sz w:val="28"/>
                <w:szCs w:val="28"/>
              </w:rPr>
              <w:t xml:space="preserve">Tūrisma nozare, </w:t>
            </w:r>
          </w:p>
          <w:p w:rsidR="00AE4078" w:rsidRDefault="00AE4078" w:rsidP="00AE4078">
            <w:pPr>
              <w:pStyle w:val="tv2132"/>
              <w:numPr>
                <w:ilvl w:val="0"/>
                <w:numId w:val="3"/>
              </w:numPr>
              <w:spacing w:line="240" w:lineRule="auto"/>
              <w:jc w:val="both"/>
              <w:rPr>
                <w:color w:val="000000" w:themeColor="text1"/>
                <w:sz w:val="28"/>
                <w:szCs w:val="28"/>
              </w:rPr>
            </w:pPr>
            <w:r w:rsidRPr="005C0AC8">
              <w:rPr>
                <w:color w:val="000000" w:themeColor="text1"/>
                <w:sz w:val="28"/>
                <w:szCs w:val="28"/>
              </w:rPr>
              <w:t xml:space="preserve">Uzņēmējdarbības, finanšu, grāmatvedības, administrēšanas (vairumtirdzniecība, mazumtirdzniecība un komerczinības) nozare).   </w:t>
            </w:r>
          </w:p>
          <w:p w:rsidR="005C0AC8" w:rsidRPr="005C0AC8" w:rsidRDefault="005C0AC8" w:rsidP="005C0AC8">
            <w:pPr>
              <w:pStyle w:val="tv2132"/>
              <w:spacing w:line="240" w:lineRule="auto"/>
              <w:ind w:left="487" w:firstLine="0"/>
              <w:jc w:val="both"/>
              <w:rPr>
                <w:color w:val="000000" w:themeColor="text1"/>
                <w:sz w:val="28"/>
                <w:szCs w:val="28"/>
              </w:rPr>
            </w:pPr>
          </w:p>
          <w:p w:rsidR="00EA540E" w:rsidRDefault="005C0AC8" w:rsidP="005C0AC8">
            <w:pPr>
              <w:pStyle w:val="tv2132"/>
              <w:spacing w:line="240" w:lineRule="auto"/>
              <w:ind w:left="125" w:firstLine="629"/>
              <w:jc w:val="both"/>
              <w:rPr>
                <w:color w:val="000000" w:themeColor="text1"/>
                <w:sz w:val="28"/>
                <w:szCs w:val="28"/>
              </w:rPr>
            </w:pPr>
            <w:r w:rsidRPr="005C0AC8">
              <w:rPr>
                <w:color w:val="000000" w:themeColor="text1"/>
                <w:sz w:val="28"/>
                <w:szCs w:val="28"/>
              </w:rPr>
              <w:t>Nozaru kvalifikāciju struktūr</w:t>
            </w:r>
            <w:r>
              <w:rPr>
                <w:color w:val="000000" w:themeColor="text1"/>
                <w:sz w:val="28"/>
                <w:szCs w:val="28"/>
              </w:rPr>
              <w:t>ā</w:t>
            </w:r>
            <w:r w:rsidRPr="005C0AC8">
              <w:rPr>
                <w:color w:val="000000" w:themeColor="text1"/>
                <w:sz w:val="28"/>
                <w:szCs w:val="28"/>
              </w:rPr>
              <w:t>s</w:t>
            </w:r>
            <w:r>
              <w:rPr>
                <w:color w:val="000000" w:themeColor="text1"/>
                <w:sz w:val="28"/>
                <w:szCs w:val="28"/>
              </w:rPr>
              <w:t xml:space="preserve"> ir </w:t>
            </w:r>
            <w:r w:rsidR="00E55C04" w:rsidRPr="00D02F93">
              <w:rPr>
                <w:color w:val="000000" w:themeColor="text1"/>
                <w:sz w:val="28"/>
                <w:szCs w:val="28"/>
              </w:rPr>
              <w:t xml:space="preserve">norādīta </w:t>
            </w:r>
            <w:r w:rsidR="004E4926" w:rsidRPr="00D02F93">
              <w:rPr>
                <w:color w:val="000000" w:themeColor="text1"/>
                <w:sz w:val="28"/>
                <w:szCs w:val="28"/>
              </w:rPr>
              <w:t xml:space="preserve">piektā </w:t>
            </w:r>
            <w:r w:rsidR="00E55C04" w:rsidRPr="00D02F93">
              <w:rPr>
                <w:color w:val="000000" w:themeColor="text1"/>
                <w:sz w:val="28"/>
                <w:szCs w:val="28"/>
              </w:rPr>
              <w:t>profesionālās kvalifikācijas līmeņa profesiju atbilstība L</w:t>
            </w:r>
            <w:r w:rsidR="0003784A" w:rsidRPr="00D02F93">
              <w:rPr>
                <w:color w:val="000000" w:themeColor="text1"/>
                <w:sz w:val="28"/>
                <w:szCs w:val="28"/>
              </w:rPr>
              <w:t xml:space="preserve">atvijas kvalifikāciju </w:t>
            </w:r>
            <w:proofErr w:type="spellStart"/>
            <w:r w:rsidR="0003784A" w:rsidRPr="00D02F93">
              <w:rPr>
                <w:color w:val="000000" w:themeColor="text1"/>
                <w:sz w:val="28"/>
                <w:szCs w:val="28"/>
              </w:rPr>
              <w:t>ietvarstruktūras</w:t>
            </w:r>
            <w:proofErr w:type="spellEnd"/>
            <w:r w:rsidR="0003784A" w:rsidRPr="00D02F93">
              <w:rPr>
                <w:color w:val="000000" w:themeColor="text1"/>
                <w:sz w:val="28"/>
                <w:szCs w:val="28"/>
              </w:rPr>
              <w:t xml:space="preserve"> </w:t>
            </w:r>
            <w:r w:rsidR="00B16572" w:rsidRPr="00D02F93">
              <w:rPr>
                <w:color w:val="000000" w:themeColor="text1"/>
                <w:sz w:val="28"/>
                <w:szCs w:val="28"/>
              </w:rPr>
              <w:t xml:space="preserve">(turpmāk – LKI) </w:t>
            </w:r>
            <w:r w:rsidR="004E4926" w:rsidRPr="00D02F93">
              <w:rPr>
                <w:color w:val="000000" w:themeColor="text1"/>
                <w:sz w:val="28"/>
                <w:szCs w:val="28"/>
              </w:rPr>
              <w:t>sestajam</w:t>
            </w:r>
            <w:r w:rsidR="00E55C04" w:rsidRPr="00D02F93">
              <w:rPr>
                <w:color w:val="000000" w:themeColor="text1"/>
                <w:sz w:val="28"/>
                <w:szCs w:val="28"/>
              </w:rPr>
              <w:t xml:space="preserve"> vai </w:t>
            </w:r>
            <w:r w:rsidR="004E4926" w:rsidRPr="00D02F93">
              <w:rPr>
                <w:color w:val="000000" w:themeColor="text1"/>
                <w:sz w:val="28"/>
                <w:szCs w:val="28"/>
              </w:rPr>
              <w:t>septītajam</w:t>
            </w:r>
            <w:r w:rsidR="00E55C04" w:rsidRPr="00D02F93">
              <w:rPr>
                <w:color w:val="000000" w:themeColor="text1"/>
                <w:sz w:val="28"/>
                <w:szCs w:val="28"/>
              </w:rPr>
              <w:t xml:space="preserve"> līmenim. Tas ir kritiski svarīgi attiecībā uz profesionālās augstākās izglītības studiju programmu piedāvājuma atbilstības darba tirgum izvērtēšanu un licencēšanas un akreditācijas komisijas darbam atbilstošo lēmumu pieņemšanai; noteikumu Nr.461 2.pielikums šādu dalījumu neparedz</w:t>
            </w:r>
            <w:r w:rsidR="0039311C" w:rsidRPr="00D02F93">
              <w:rPr>
                <w:color w:val="000000" w:themeColor="text1"/>
                <w:sz w:val="28"/>
                <w:szCs w:val="28"/>
              </w:rPr>
              <w:t>ēja</w:t>
            </w:r>
            <w:r w:rsidR="00E55C04" w:rsidRPr="00D02F93">
              <w:rPr>
                <w:color w:val="000000" w:themeColor="text1"/>
                <w:sz w:val="28"/>
                <w:szCs w:val="28"/>
              </w:rPr>
              <w:t xml:space="preserve">. Tāpēc pēc </w:t>
            </w:r>
            <w:r w:rsidR="00BE3831" w:rsidRPr="00D02F93">
              <w:rPr>
                <w:color w:val="000000" w:themeColor="text1"/>
                <w:sz w:val="28"/>
                <w:szCs w:val="28"/>
              </w:rPr>
              <w:t>N</w:t>
            </w:r>
            <w:r w:rsidR="00E55C04" w:rsidRPr="00D02F93">
              <w:rPr>
                <w:color w:val="000000" w:themeColor="text1"/>
                <w:sz w:val="28"/>
                <w:szCs w:val="28"/>
              </w:rPr>
              <w:t xml:space="preserve">ozaru kvalifikāciju struktūras pētījuma precizēšanas un saskaņošanas </w:t>
            </w:r>
            <w:r w:rsidR="001A6940">
              <w:rPr>
                <w:color w:val="000000" w:themeColor="text1"/>
                <w:sz w:val="28"/>
                <w:szCs w:val="28"/>
              </w:rPr>
              <w:t>ir</w:t>
            </w:r>
            <w:r w:rsidR="00E55C04" w:rsidRPr="00D02F93">
              <w:rPr>
                <w:color w:val="000000" w:themeColor="text1"/>
                <w:sz w:val="28"/>
                <w:szCs w:val="28"/>
              </w:rPr>
              <w:t xml:space="preserve"> nepieciešams aktualizēt </w:t>
            </w:r>
            <w:r>
              <w:rPr>
                <w:color w:val="000000" w:themeColor="text1"/>
                <w:sz w:val="28"/>
                <w:szCs w:val="28"/>
              </w:rPr>
              <w:t xml:space="preserve">vai izstrādāt </w:t>
            </w:r>
            <w:proofErr w:type="gramStart"/>
            <w:r>
              <w:rPr>
                <w:color w:val="000000" w:themeColor="text1"/>
                <w:sz w:val="28"/>
                <w:szCs w:val="28"/>
              </w:rPr>
              <w:t xml:space="preserve">jaunus </w:t>
            </w:r>
            <w:r w:rsidR="00E55C04" w:rsidRPr="00D02F93">
              <w:rPr>
                <w:color w:val="000000" w:themeColor="text1"/>
                <w:sz w:val="28"/>
                <w:szCs w:val="28"/>
              </w:rPr>
              <w:t>noteikumu</w:t>
            </w:r>
            <w:r w:rsidR="00FC0951" w:rsidRPr="00D02F93">
              <w:rPr>
                <w:color w:val="000000" w:themeColor="text1"/>
                <w:sz w:val="28"/>
                <w:szCs w:val="28"/>
              </w:rPr>
              <w:t xml:space="preserve"> projekta</w:t>
            </w:r>
            <w:r w:rsidR="00E55C04" w:rsidRPr="00D02F93">
              <w:rPr>
                <w:color w:val="000000" w:themeColor="text1"/>
                <w:sz w:val="28"/>
                <w:szCs w:val="28"/>
              </w:rPr>
              <w:t xml:space="preserve"> pielikum</w:t>
            </w:r>
            <w:r w:rsidR="00925B2B" w:rsidRPr="00D02F93">
              <w:rPr>
                <w:color w:val="000000" w:themeColor="text1"/>
                <w:sz w:val="28"/>
                <w:szCs w:val="28"/>
              </w:rPr>
              <w:t>ā</w:t>
            </w:r>
            <w:r w:rsidR="00E55C04" w:rsidRPr="00D02F93">
              <w:rPr>
                <w:color w:val="000000" w:themeColor="text1"/>
                <w:sz w:val="28"/>
                <w:szCs w:val="28"/>
              </w:rPr>
              <w:t xml:space="preserve"> iekļautos profesiju standartus un profesionālās kvalifikācijas prasības</w:t>
            </w:r>
            <w:proofErr w:type="gramEnd"/>
            <w:r w:rsidR="00E55C04" w:rsidRPr="00D02F93">
              <w:rPr>
                <w:color w:val="000000" w:themeColor="text1"/>
                <w:sz w:val="28"/>
                <w:szCs w:val="28"/>
              </w:rPr>
              <w:t xml:space="preserve"> gan LKI </w:t>
            </w:r>
            <w:r w:rsidR="00BE3831" w:rsidRPr="00D02F93">
              <w:rPr>
                <w:color w:val="000000" w:themeColor="text1"/>
                <w:sz w:val="28"/>
                <w:szCs w:val="28"/>
              </w:rPr>
              <w:t>sestajam un septītajam</w:t>
            </w:r>
            <w:r w:rsidR="00E55C04" w:rsidRPr="00D02F93">
              <w:rPr>
                <w:color w:val="000000" w:themeColor="text1"/>
                <w:sz w:val="28"/>
                <w:szCs w:val="28"/>
              </w:rPr>
              <w:t xml:space="preserve">, gan arī LKI </w:t>
            </w:r>
            <w:r w:rsidR="00BE3831" w:rsidRPr="00D02F93">
              <w:rPr>
                <w:color w:val="000000" w:themeColor="text1"/>
                <w:sz w:val="28"/>
                <w:szCs w:val="28"/>
              </w:rPr>
              <w:t>otrajam, trešajam, ceturtajam un piektajam</w:t>
            </w:r>
            <w:r w:rsidR="00E55C04" w:rsidRPr="00D02F93">
              <w:rPr>
                <w:color w:val="000000" w:themeColor="text1"/>
                <w:sz w:val="28"/>
                <w:szCs w:val="28"/>
              </w:rPr>
              <w:t xml:space="preserve"> līmenim. </w:t>
            </w:r>
          </w:p>
          <w:p w:rsidR="005034E5" w:rsidRPr="005C0AC8" w:rsidRDefault="00EA540E" w:rsidP="005034E5">
            <w:pPr>
              <w:pStyle w:val="tv2132"/>
              <w:spacing w:line="240" w:lineRule="auto"/>
              <w:ind w:left="125" w:firstLine="487"/>
              <w:jc w:val="both"/>
              <w:rPr>
                <w:color w:val="auto"/>
                <w:sz w:val="28"/>
                <w:szCs w:val="28"/>
              </w:rPr>
            </w:pPr>
            <w:r w:rsidRPr="005C0AC8">
              <w:rPr>
                <w:color w:val="auto"/>
                <w:sz w:val="28"/>
                <w:szCs w:val="28"/>
              </w:rPr>
              <w:t xml:space="preserve">Lai nodrošinātu nozaru kvalifikāciju struktūru izstrādi, atbilstoši 2016. gada 27. septembra </w:t>
            </w:r>
            <w:r w:rsidRPr="005C0AC8">
              <w:rPr>
                <w:bCs/>
                <w:color w:val="auto"/>
                <w:sz w:val="28"/>
                <w:szCs w:val="28"/>
              </w:rPr>
              <w:t>Ministru kabineta noteikum</w:t>
            </w:r>
            <w:r w:rsidR="006D1FC5">
              <w:rPr>
                <w:bCs/>
                <w:color w:val="auto"/>
                <w:sz w:val="28"/>
                <w:szCs w:val="28"/>
              </w:rPr>
              <w:t>u</w:t>
            </w:r>
            <w:r w:rsidRPr="005C0AC8">
              <w:rPr>
                <w:bCs/>
                <w:color w:val="auto"/>
                <w:sz w:val="28"/>
                <w:szCs w:val="28"/>
              </w:rPr>
              <w:t xml:space="preserve"> Nr. 633</w:t>
            </w:r>
            <w:r w:rsidRPr="005C0AC8">
              <w:rPr>
                <w:color w:val="auto"/>
                <w:sz w:val="28"/>
                <w:szCs w:val="28"/>
              </w:rPr>
              <w:t xml:space="preserve"> </w:t>
            </w:r>
            <w:r w:rsidRPr="005C0AC8">
              <w:rPr>
                <w:bCs/>
                <w:color w:val="auto"/>
                <w:sz w:val="28"/>
                <w:szCs w:val="28"/>
              </w:rPr>
              <w:t>“</w:t>
            </w:r>
            <w:r w:rsidRPr="005C0AC8">
              <w:rPr>
                <w:color w:val="auto"/>
                <w:sz w:val="28"/>
                <w:szCs w:val="28"/>
              </w:rPr>
              <w:t>Profesijas standarta, profesionālās kvalifikācijas prasību (ja profesijai neapstiprina profesijas standartu) un nozares kvalifikāciju struktūras izstrādes kārtība” nosacījumiem tika izveidotas ekspertu darba grupas. Darba grup</w:t>
            </w:r>
            <w:r w:rsidR="00EF1459" w:rsidRPr="005C0AC8">
              <w:rPr>
                <w:color w:val="auto"/>
                <w:sz w:val="28"/>
                <w:szCs w:val="28"/>
              </w:rPr>
              <w:t>u</w:t>
            </w:r>
            <w:r w:rsidRPr="005C0AC8">
              <w:rPr>
                <w:color w:val="auto"/>
                <w:sz w:val="28"/>
                <w:szCs w:val="28"/>
              </w:rPr>
              <w:t xml:space="preserve"> sastāvā tika iekļauti attiecīgās nozares ministrijas</w:t>
            </w:r>
            <w:r w:rsidR="00EF1459" w:rsidRPr="005C0AC8">
              <w:rPr>
                <w:color w:val="auto"/>
                <w:sz w:val="28"/>
                <w:szCs w:val="28"/>
              </w:rPr>
              <w:t xml:space="preserve">, </w:t>
            </w:r>
            <w:r w:rsidRPr="005C0AC8">
              <w:rPr>
                <w:color w:val="auto"/>
                <w:sz w:val="28"/>
                <w:szCs w:val="28"/>
              </w:rPr>
              <w:t xml:space="preserve">IZM </w:t>
            </w:r>
            <w:r w:rsidR="00EF1459" w:rsidRPr="005C0AC8">
              <w:rPr>
                <w:color w:val="auto"/>
                <w:sz w:val="28"/>
                <w:szCs w:val="28"/>
              </w:rPr>
              <w:t xml:space="preserve">un VISC </w:t>
            </w:r>
            <w:r w:rsidRPr="005C0AC8">
              <w:rPr>
                <w:color w:val="auto"/>
                <w:sz w:val="28"/>
                <w:szCs w:val="28"/>
              </w:rPr>
              <w:t xml:space="preserve">pārstāvji, iesniedzēju un nozaru ekspertu padomju pārstāvji, kā arī </w:t>
            </w:r>
            <w:r w:rsidRPr="005C0AC8">
              <w:rPr>
                <w:color w:val="auto"/>
                <w:sz w:val="28"/>
                <w:szCs w:val="28"/>
              </w:rPr>
              <w:lastRenderedPageBreak/>
              <w:t xml:space="preserve">tika uzaicināti piedalīties izglītības iestādes pārstāvošu organizāciju, t.sk. augstskolu deleģēti pārstāvji. </w:t>
            </w:r>
          </w:p>
          <w:p w:rsidR="00692738" w:rsidRPr="00D02F93" w:rsidRDefault="00EF1459" w:rsidP="0058366A">
            <w:pPr>
              <w:pStyle w:val="ListParagraph"/>
              <w:spacing w:after="0" w:line="240" w:lineRule="auto"/>
              <w:ind w:left="11" w:firstLine="425"/>
              <w:jc w:val="both"/>
              <w:rPr>
                <w:sz w:val="28"/>
                <w:szCs w:val="28"/>
              </w:rPr>
            </w:pPr>
            <w:r w:rsidRPr="005C0AC8">
              <w:rPr>
                <w:sz w:val="28"/>
                <w:szCs w:val="28"/>
              </w:rPr>
              <w:t>Sarakstā iekļauto profesiju standarti un profesionālās kvalifikācijas prasības atbilst Nozaru kvalifikāciju struktūru identificētajām un darba tirgū aktuālajām profesijām (gan pēc atbilstoša nosaukuma, gan izglītības līmeņa), kā arī 5. profesionālās kvalifikācijas līmenī ir</w:t>
            </w:r>
            <w:proofErr w:type="gramStart"/>
            <w:r w:rsidRPr="005C0AC8">
              <w:rPr>
                <w:sz w:val="28"/>
                <w:szCs w:val="28"/>
              </w:rPr>
              <w:t xml:space="preserve">  </w:t>
            </w:r>
            <w:proofErr w:type="gramEnd"/>
            <w:r w:rsidRPr="005C0AC8">
              <w:rPr>
                <w:sz w:val="28"/>
                <w:szCs w:val="28"/>
              </w:rPr>
              <w:t xml:space="preserve">izvērtēts, kurām profesijām nepieciešams izstrādāt profesiju standartus un kurām profesionālās kvalifikācijas prasības. </w:t>
            </w:r>
          </w:p>
          <w:p w:rsidR="00692738" w:rsidRPr="0058366A" w:rsidRDefault="00692738" w:rsidP="0058366A">
            <w:pPr>
              <w:ind w:firstLine="456"/>
              <w:jc w:val="both"/>
              <w:rPr>
                <w:sz w:val="28"/>
                <w:szCs w:val="28"/>
              </w:rPr>
            </w:pPr>
            <w:r w:rsidRPr="0058366A">
              <w:rPr>
                <w:sz w:val="28"/>
                <w:szCs w:val="28"/>
              </w:rPr>
              <w:t xml:space="preserve">Ceturtā un </w:t>
            </w:r>
            <w:r w:rsidR="00847E05" w:rsidRPr="0058366A">
              <w:rPr>
                <w:sz w:val="28"/>
                <w:szCs w:val="28"/>
              </w:rPr>
              <w:t>p</w:t>
            </w:r>
            <w:r w:rsidRPr="0058366A">
              <w:rPr>
                <w:sz w:val="28"/>
                <w:szCs w:val="28"/>
              </w:rPr>
              <w:t>iektā profesionālās kvalifikācijas līmeņa profesiju, kurām obligāti piemērojami profesiju standarts, atbilstība L</w:t>
            </w:r>
            <w:r w:rsidR="00847E05" w:rsidRPr="0058366A">
              <w:rPr>
                <w:sz w:val="28"/>
                <w:szCs w:val="28"/>
              </w:rPr>
              <w:t>KI</w:t>
            </w:r>
            <w:r w:rsidRPr="0058366A">
              <w:rPr>
                <w:sz w:val="28"/>
                <w:szCs w:val="28"/>
              </w:rPr>
              <w:t xml:space="preserve"> </w:t>
            </w:r>
            <w:r w:rsidR="00847E05" w:rsidRPr="0058366A">
              <w:rPr>
                <w:sz w:val="28"/>
                <w:szCs w:val="28"/>
              </w:rPr>
              <w:t>piektajam,</w:t>
            </w:r>
            <w:r w:rsidRPr="0058366A">
              <w:rPr>
                <w:sz w:val="28"/>
                <w:szCs w:val="28"/>
              </w:rPr>
              <w:t xml:space="preserve"> </w:t>
            </w:r>
            <w:r w:rsidR="00847E05" w:rsidRPr="0058366A">
              <w:rPr>
                <w:sz w:val="28"/>
                <w:szCs w:val="28"/>
              </w:rPr>
              <w:t>sestajam</w:t>
            </w:r>
            <w:r w:rsidRPr="0058366A">
              <w:rPr>
                <w:sz w:val="28"/>
                <w:szCs w:val="28"/>
              </w:rPr>
              <w:t xml:space="preserve"> un </w:t>
            </w:r>
            <w:r w:rsidR="00847E05" w:rsidRPr="0058366A">
              <w:rPr>
                <w:sz w:val="28"/>
                <w:szCs w:val="28"/>
              </w:rPr>
              <w:t>septītajam</w:t>
            </w:r>
            <w:r w:rsidRPr="0058366A">
              <w:rPr>
                <w:sz w:val="28"/>
                <w:szCs w:val="28"/>
              </w:rPr>
              <w:t xml:space="preserve"> līmenim tika izvērtēta un izmaiņas sarakstā veiktas, ņemot vērā:</w:t>
            </w:r>
          </w:p>
          <w:p w:rsidR="00692738" w:rsidRPr="0058366A" w:rsidRDefault="00692738" w:rsidP="00DB46AE">
            <w:pPr>
              <w:pStyle w:val="ListParagraph"/>
              <w:ind w:hanging="360"/>
              <w:jc w:val="both"/>
              <w:rPr>
                <w:rFonts w:eastAsia="Times New Roman" w:cs="Times New Roman"/>
                <w:sz w:val="28"/>
                <w:szCs w:val="28"/>
                <w:lang w:eastAsia="lv-LV"/>
              </w:rPr>
            </w:pPr>
            <w:r w:rsidRPr="0058366A">
              <w:rPr>
                <w:rFonts w:eastAsia="Times New Roman" w:cs="Times New Roman"/>
                <w:sz w:val="28"/>
                <w:szCs w:val="28"/>
                <w:lang w:eastAsia="lv-LV"/>
              </w:rPr>
              <w:t>-    normatīvajos aktos noteiktās izglītības prasības attiecībā uz reglamentētajām profesijām (likums Par reglamentētajām profesijām un profesionālās kvalifikācijas atzīšanu);</w:t>
            </w:r>
          </w:p>
          <w:p w:rsidR="00692738" w:rsidRPr="0058366A" w:rsidRDefault="00B32B2A" w:rsidP="00DB46AE">
            <w:pPr>
              <w:pStyle w:val="ListParagraph"/>
              <w:ind w:hanging="360"/>
              <w:jc w:val="both"/>
              <w:rPr>
                <w:rFonts w:eastAsia="Times New Roman" w:cs="Times New Roman"/>
                <w:sz w:val="28"/>
                <w:szCs w:val="28"/>
                <w:lang w:eastAsia="lv-LV"/>
              </w:rPr>
            </w:pPr>
            <w:r w:rsidRPr="0058366A">
              <w:rPr>
                <w:rFonts w:eastAsia="Times New Roman" w:cs="Times New Roman"/>
                <w:sz w:val="28"/>
                <w:szCs w:val="28"/>
                <w:lang w:eastAsia="lv-LV"/>
              </w:rPr>
              <w:t>-    </w:t>
            </w:r>
            <w:r w:rsidR="00692738" w:rsidRPr="0058366A">
              <w:rPr>
                <w:rFonts w:eastAsia="Times New Roman" w:cs="Times New Roman"/>
                <w:sz w:val="28"/>
                <w:szCs w:val="28"/>
                <w:lang w:eastAsia="lv-LV"/>
              </w:rPr>
              <w:t>nozaru ministriju (Aizsardzības ministrijas, Ekonomikas ministrijas, Iekšlietu ministrijas, Izglītības un zinātnes ministrijas, Kultūras ministrijas, Labklājības ministrijas, Tieslietu ministrijas, Vides aizsardzības un reģionālās attīstības ministrijas, Veselības ministrijas) sniegto informāciju atbilstoši ministriju kompetences jomām par darba tirgū un nozares attīstībai</w:t>
            </w:r>
            <w:r w:rsidR="00692738" w:rsidRPr="0058366A">
              <w:rPr>
                <w:sz w:val="28"/>
                <w:szCs w:val="28"/>
              </w:rPr>
              <w:t xml:space="preserve"> </w:t>
            </w:r>
            <w:r w:rsidR="00692738" w:rsidRPr="0058366A">
              <w:rPr>
                <w:rFonts w:eastAsia="Times New Roman" w:cs="Times New Roman"/>
                <w:sz w:val="28"/>
                <w:szCs w:val="28"/>
                <w:lang w:eastAsia="lv-LV"/>
              </w:rPr>
              <w:t>aktuālajām profesijām.</w:t>
            </w:r>
          </w:p>
          <w:p w:rsidR="00EF1459" w:rsidRPr="008673D2" w:rsidRDefault="00EF1459" w:rsidP="008673D2">
            <w:pPr>
              <w:ind w:firstLine="612"/>
              <w:jc w:val="both"/>
              <w:rPr>
                <w:color w:val="000000" w:themeColor="text1"/>
                <w:sz w:val="28"/>
                <w:szCs w:val="28"/>
              </w:rPr>
            </w:pPr>
            <w:r w:rsidRPr="0058366A">
              <w:rPr>
                <w:color w:val="000000" w:themeColor="text1"/>
                <w:sz w:val="28"/>
                <w:szCs w:val="28"/>
              </w:rPr>
              <w:t xml:space="preserve">Jomās, kurās nav izveidotas nozaru ekspertu padomes, ir </w:t>
            </w:r>
            <w:proofErr w:type="gramStart"/>
            <w:r w:rsidR="00E27BC2">
              <w:rPr>
                <w:color w:val="000000" w:themeColor="text1"/>
                <w:sz w:val="28"/>
                <w:szCs w:val="28"/>
              </w:rPr>
              <w:t xml:space="preserve">veikts </w:t>
            </w:r>
            <w:r w:rsidR="00A0404C" w:rsidRPr="0058366A">
              <w:rPr>
                <w:color w:val="000000" w:themeColor="text1"/>
                <w:sz w:val="28"/>
                <w:szCs w:val="28"/>
              </w:rPr>
              <w:t xml:space="preserve">līdz </w:t>
            </w:r>
            <w:r w:rsidR="00E27BC2">
              <w:rPr>
                <w:color w:val="000000" w:themeColor="text1"/>
                <w:sz w:val="28"/>
                <w:szCs w:val="28"/>
              </w:rPr>
              <w:t>šim piemēroto profesiju standartu</w:t>
            </w:r>
            <w:proofErr w:type="gramEnd"/>
            <w:r w:rsidR="00E27BC2">
              <w:rPr>
                <w:color w:val="000000" w:themeColor="text1"/>
                <w:sz w:val="28"/>
                <w:szCs w:val="28"/>
              </w:rPr>
              <w:t>, profesijas kvalifikācijas prasību</w:t>
            </w:r>
            <w:r w:rsidR="00A0404C" w:rsidRPr="0058366A">
              <w:rPr>
                <w:color w:val="000000" w:themeColor="text1"/>
                <w:sz w:val="28"/>
                <w:szCs w:val="28"/>
              </w:rPr>
              <w:t xml:space="preserve"> izvērtējums un to atbilstība darba tirgus prasībām</w:t>
            </w:r>
            <w:r w:rsidR="0058366A" w:rsidRPr="0058366A">
              <w:rPr>
                <w:color w:val="000000" w:themeColor="text1"/>
                <w:sz w:val="28"/>
                <w:szCs w:val="28"/>
              </w:rPr>
              <w:t>.</w:t>
            </w:r>
            <w:r w:rsidR="005D5E87" w:rsidRPr="003B09C8">
              <w:rPr>
                <w:sz w:val="28"/>
                <w:szCs w:val="28"/>
              </w:rPr>
              <w:t xml:space="preserve">  </w:t>
            </w:r>
          </w:p>
          <w:p w:rsidR="00EF1459" w:rsidRDefault="00847E05" w:rsidP="0058366A">
            <w:pPr>
              <w:ind w:firstLine="597"/>
              <w:jc w:val="both"/>
              <w:rPr>
                <w:color w:val="000000" w:themeColor="text1"/>
                <w:sz w:val="28"/>
                <w:szCs w:val="28"/>
              </w:rPr>
            </w:pPr>
            <w:r w:rsidRPr="003B09C8">
              <w:rPr>
                <w:color w:val="000000" w:themeColor="text1"/>
                <w:sz w:val="28"/>
                <w:szCs w:val="28"/>
              </w:rPr>
              <w:lastRenderedPageBreak/>
              <w:t xml:space="preserve">Noteikumu </w:t>
            </w:r>
            <w:r w:rsidR="00043DE5" w:rsidRPr="003B09C8">
              <w:rPr>
                <w:color w:val="000000" w:themeColor="text1"/>
                <w:sz w:val="28"/>
                <w:szCs w:val="28"/>
              </w:rPr>
              <w:t>projekta</w:t>
            </w:r>
            <w:r w:rsidR="005D5E87" w:rsidRPr="003B09C8">
              <w:rPr>
                <w:color w:val="000000" w:themeColor="text1"/>
                <w:sz w:val="28"/>
                <w:szCs w:val="28"/>
              </w:rPr>
              <w:t xml:space="preserve"> </w:t>
            </w:r>
            <w:r w:rsidR="00692738" w:rsidRPr="003B09C8">
              <w:rPr>
                <w:color w:val="000000" w:themeColor="text1"/>
                <w:sz w:val="28"/>
                <w:szCs w:val="28"/>
              </w:rPr>
              <w:t xml:space="preserve">pielikums ir papildināts ar profesiju standartiem un profesionālās kvalifikācijas prasībām, kuras </w:t>
            </w:r>
            <w:r w:rsidR="005D5E87" w:rsidRPr="003B09C8">
              <w:rPr>
                <w:color w:val="000000" w:themeColor="text1"/>
                <w:sz w:val="28"/>
                <w:szCs w:val="28"/>
              </w:rPr>
              <w:t xml:space="preserve">Nacionālās trīspusējās sadarbības padomes Profesionālās izglītības un nodarbinātības trīspusējās sadarbības </w:t>
            </w:r>
            <w:proofErr w:type="spellStart"/>
            <w:r w:rsidR="005D5E87" w:rsidRPr="003B09C8">
              <w:rPr>
                <w:color w:val="000000" w:themeColor="text1"/>
                <w:sz w:val="28"/>
                <w:szCs w:val="28"/>
              </w:rPr>
              <w:t>apakšpadome</w:t>
            </w:r>
            <w:proofErr w:type="spellEnd"/>
            <w:r w:rsidR="005D5E87" w:rsidRPr="003B09C8">
              <w:rPr>
                <w:color w:val="000000" w:themeColor="text1"/>
                <w:sz w:val="28"/>
                <w:szCs w:val="28"/>
              </w:rPr>
              <w:t xml:space="preserve"> </w:t>
            </w:r>
            <w:r w:rsidR="00692738" w:rsidRPr="003B09C8">
              <w:rPr>
                <w:color w:val="000000" w:themeColor="text1"/>
                <w:sz w:val="28"/>
                <w:szCs w:val="28"/>
              </w:rPr>
              <w:t>saskaņoja 2017.</w:t>
            </w:r>
            <w:r w:rsidR="00B32B2A" w:rsidRPr="003B09C8">
              <w:rPr>
                <w:color w:val="000000" w:themeColor="text1"/>
                <w:sz w:val="28"/>
                <w:szCs w:val="28"/>
              </w:rPr>
              <w:t xml:space="preserve"> </w:t>
            </w:r>
            <w:r w:rsidR="00692738" w:rsidRPr="003B09C8">
              <w:rPr>
                <w:color w:val="000000" w:themeColor="text1"/>
                <w:sz w:val="28"/>
                <w:szCs w:val="28"/>
              </w:rPr>
              <w:t>gada 11. oktobrī, 13.</w:t>
            </w:r>
            <w:r w:rsidR="00B32B2A" w:rsidRPr="003B09C8">
              <w:rPr>
                <w:color w:val="000000" w:themeColor="text1"/>
                <w:sz w:val="28"/>
                <w:szCs w:val="28"/>
              </w:rPr>
              <w:t xml:space="preserve"> </w:t>
            </w:r>
            <w:r w:rsidR="00692738" w:rsidRPr="003B09C8">
              <w:rPr>
                <w:color w:val="000000" w:themeColor="text1"/>
                <w:sz w:val="28"/>
                <w:szCs w:val="28"/>
              </w:rPr>
              <w:t>novembrī</w:t>
            </w:r>
            <w:r w:rsidR="003D0F12" w:rsidRPr="003B09C8">
              <w:rPr>
                <w:color w:val="000000" w:themeColor="text1"/>
                <w:sz w:val="28"/>
                <w:szCs w:val="28"/>
              </w:rPr>
              <w:t>,</w:t>
            </w:r>
            <w:r w:rsidR="00692738" w:rsidRPr="003B09C8">
              <w:rPr>
                <w:color w:val="000000" w:themeColor="text1"/>
                <w:sz w:val="28"/>
                <w:szCs w:val="28"/>
              </w:rPr>
              <w:t xml:space="preserve"> 13.</w:t>
            </w:r>
            <w:r w:rsidR="00B32B2A" w:rsidRPr="003B09C8">
              <w:rPr>
                <w:color w:val="000000" w:themeColor="text1"/>
                <w:sz w:val="28"/>
                <w:szCs w:val="28"/>
              </w:rPr>
              <w:t xml:space="preserve"> </w:t>
            </w:r>
            <w:r w:rsidR="00692738" w:rsidRPr="003B09C8">
              <w:rPr>
                <w:color w:val="000000" w:themeColor="text1"/>
                <w:sz w:val="28"/>
                <w:szCs w:val="28"/>
              </w:rPr>
              <w:t>decembrī</w:t>
            </w:r>
            <w:r w:rsidR="003D0F12" w:rsidRPr="003B09C8">
              <w:rPr>
                <w:color w:val="000000" w:themeColor="text1"/>
                <w:sz w:val="28"/>
                <w:szCs w:val="28"/>
              </w:rPr>
              <w:t xml:space="preserve"> un 20</w:t>
            </w:r>
            <w:r w:rsidR="003C0951" w:rsidRPr="003B09C8">
              <w:rPr>
                <w:color w:val="000000" w:themeColor="text1"/>
                <w:sz w:val="28"/>
                <w:szCs w:val="28"/>
              </w:rPr>
              <w:t>18.</w:t>
            </w:r>
            <w:r w:rsidR="00B32B2A" w:rsidRPr="003B09C8">
              <w:rPr>
                <w:color w:val="000000" w:themeColor="text1"/>
                <w:sz w:val="28"/>
                <w:szCs w:val="28"/>
              </w:rPr>
              <w:t xml:space="preserve"> </w:t>
            </w:r>
            <w:r w:rsidR="003C0951" w:rsidRPr="003B09C8">
              <w:rPr>
                <w:color w:val="000000" w:themeColor="text1"/>
                <w:sz w:val="28"/>
                <w:szCs w:val="28"/>
              </w:rPr>
              <w:t>gada 7.</w:t>
            </w:r>
            <w:r w:rsidR="00B32B2A" w:rsidRPr="003B09C8">
              <w:rPr>
                <w:color w:val="000000" w:themeColor="text1"/>
                <w:sz w:val="28"/>
                <w:szCs w:val="28"/>
              </w:rPr>
              <w:t xml:space="preserve"> </w:t>
            </w:r>
            <w:r w:rsidR="003C0951" w:rsidRPr="003B09C8">
              <w:rPr>
                <w:color w:val="000000" w:themeColor="text1"/>
                <w:sz w:val="28"/>
                <w:szCs w:val="28"/>
              </w:rPr>
              <w:t>februārī, 21.</w:t>
            </w:r>
            <w:r w:rsidR="00B32B2A" w:rsidRPr="003B09C8">
              <w:rPr>
                <w:color w:val="000000" w:themeColor="text1"/>
                <w:sz w:val="28"/>
                <w:szCs w:val="28"/>
              </w:rPr>
              <w:t xml:space="preserve"> </w:t>
            </w:r>
            <w:r w:rsidR="003C0951" w:rsidRPr="003B09C8">
              <w:rPr>
                <w:color w:val="000000" w:themeColor="text1"/>
                <w:sz w:val="28"/>
                <w:szCs w:val="28"/>
              </w:rPr>
              <w:t xml:space="preserve">martā, </w:t>
            </w:r>
            <w:r w:rsidR="003D0F12" w:rsidRPr="003B09C8">
              <w:rPr>
                <w:color w:val="000000" w:themeColor="text1"/>
                <w:sz w:val="28"/>
                <w:szCs w:val="28"/>
              </w:rPr>
              <w:t>11.</w:t>
            </w:r>
            <w:r w:rsidR="00B32B2A" w:rsidRPr="003B09C8">
              <w:rPr>
                <w:color w:val="000000" w:themeColor="text1"/>
                <w:sz w:val="28"/>
                <w:szCs w:val="28"/>
              </w:rPr>
              <w:t xml:space="preserve"> </w:t>
            </w:r>
            <w:r w:rsidR="003D0F12" w:rsidRPr="003B09C8">
              <w:rPr>
                <w:color w:val="000000" w:themeColor="text1"/>
                <w:sz w:val="28"/>
                <w:szCs w:val="28"/>
              </w:rPr>
              <w:t>aprīlī</w:t>
            </w:r>
            <w:r w:rsidR="00B32B2A" w:rsidRPr="003B09C8">
              <w:rPr>
                <w:color w:val="000000" w:themeColor="text1"/>
                <w:sz w:val="28"/>
                <w:szCs w:val="28"/>
              </w:rPr>
              <w:t>, 23. maijā un 13</w:t>
            </w:r>
            <w:r w:rsidR="003D0F12" w:rsidRPr="003B09C8">
              <w:rPr>
                <w:color w:val="000000" w:themeColor="text1"/>
                <w:sz w:val="28"/>
                <w:szCs w:val="28"/>
              </w:rPr>
              <w:t>.</w:t>
            </w:r>
            <w:r w:rsidR="00B32B2A" w:rsidRPr="003B09C8">
              <w:rPr>
                <w:color w:val="000000" w:themeColor="text1"/>
                <w:sz w:val="28"/>
                <w:szCs w:val="28"/>
              </w:rPr>
              <w:t xml:space="preserve"> jūnijā.</w:t>
            </w:r>
            <w:r w:rsidR="0058366A">
              <w:rPr>
                <w:color w:val="000000" w:themeColor="text1"/>
                <w:sz w:val="28"/>
                <w:szCs w:val="28"/>
              </w:rPr>
              <w:t xml:space="preserve"> T</w:t>
            </w:r>
            <w:r w:rsidR="00E47ABE">
              <w:rPr>
                <w:color w:val="000000" w:themeColor="text1"/>
                <w:sz w:val="28"/>
                <w:szCs w:val="28"/>
              </w:rPr>
              <w:t>ās kvalifikācijas</w:t>
            </w:r>
            <w:r w:rsidR="00EF1459">
              <w:rPr>
                <w:color w:val="000000" w:themeColor="text1"/>
                <w:sz w:val="28"/>
                <w:szCs w:val="28"/>
              </w:rPr>
              <w:t>, ku</w:t>
            </w:r>
            <w:r w:rsidR="00A0404C">
              <w:rPr>
                <w:color w:val="000000" w:themeColor="text1"/>
                <w:sz w:val="28"/>
                <w:szCs w:val="28"/>
              </w:rPr>
              <w:t>r</w:t>
            </w:r>
            <w:r w:rsidR="00E47ABE">
              <w:rPr>
                <w:color w:val="000000" w:themeColor="text1"/>
                <w:sz w:val="28"/>
                <w:szCs w:val="28"/>
              </w:rPr>
              <w:t>ā</w:t>
            </w:r>
            <w:r w:rsidR="00A0404C">
              <w:rPr>
                <w:color w:val="000000" w:themeColor="text1"/>
                <w:sz w:val="28"/>
                <w:szCs w:val="28"/>
              </w:rPr>
              <w:t xml:space="preserve">m </w:t>
            </w:r>
            <w:r w:rsidR="0058366A">
              <w:rPr>
                <w:color w:val="000000" w:themeColor="text1"/>
                <w:sz w:val="28"/>
                <w:szCs w:val="28"/>
              </w:rPr>
              <w:t xml:space="preserve">pagaidām </w:t>
            </w:r>
            <w:r w:rsidR="00A0404C">
              <w:rPr>
                <w:color w:val="000000" w:themeColor="text1"/>
                <w:sz w:val="28"/>
                <w:szCs w:val="28"/>
              </w:rPr>
              <w:t xml:space="preserve">nav izstrādāti </w:t>
            </w:r>
            <w:r w:rsidR="0058366A" w:rsidRPr="003B09C8">
              <w:rPr>
                <w:color w:val="000000" w:themeColor="text1"/>
                <w:sz w:val="28"/>
                <w:szCs w:val="28"/>
              </w:rPr>
              <w:t>profesiju standarti un profesionālās kvalifikācijas prasīb</w:t>
            </w:r>
            <w:r w:rsidR="005E6745">
              <w:rPr>
                <w:color w:val="000000" w:themeColor="text1"/>
                <w:sz w:val="28"/>
                <w:szCs w:val="28"/>
              </w:rPr>
              <w:t xml:space="preserve">as, </w:t>
            </w:r>
            <w:r w:rsidR="0058366A">
              <w:rPr>
                <w:color w:val="000000" w:themeColor="text1"/>
                <w:sz w:val="28"/>
                <w:szCs w:val="28"/>
              </w:rPr>
              <w:t>n</w:t>
            </w:r>
            <w:r w:rsidR="0058366A" w:rsidRPr="003B09C8">
              <w:rPr>
                <w:color w:val="000000" w:themeColor="text1"/>
                <w:sz w:val="28"/>
                <w:szCs w:val="28"/>
              </w:rPr>
              <w:t>oteikumu projekta pielikum</w:t>
            </w:r>
            <w:r w:rsidR="0058366A">
              <w:rPr>
                <w:color w:val="000000" w:themeColor="text1"/>
                <w:sz w:val="28"/>
                <w:szCs w:val="28"/>
              </w:rPr>
              <w:t>ā nav iekļautas.</w:t>
            </w:r>
          </w:p>
          <w:p w:rsidR="007D69E7" w:rsidRPr="00D02F93" w:rsidRDefault="002E5AE8" w:rsidP="00166345">
            <w:pPr>
              <w:pStyle w:val="tv2132"/>
              <w:spacing w:line="240" w:lineRule="auto"/>
              <w:ind w:left="127" w:firstLine="307"/>
              <w:jc w:val="both"/>
              <w:rPr>
                <w:color w:val="000000" w:themeColor="text1"/>
                <w:sz w:val="28"/>
                <w:szCs w:val="28"/>
              </w:rPr>
            </w:pPr>
            <w:r w:rsidRPr="003B09C8">
              <w:rPr>
                <w:color w:val="000000" w:themeColor="text1"/>
                <w:sz w:val="28"/>
                <w:szCs w:val="28"/>
              </w:rPr>
              <w:t>Obligāti piemērojamo profesiju standartu un profesionālās kvalifikācijas prasību sarakstu aktualizē pēc profesiju standartu un profesionālās kvalifikācijas prasību izstrādes un iekļaušanas nozares kvalifikāciju struktūrās</w:t>
            </w:r>
            <w:r w:rsidR="00830DCA">
              <w:rPr>
                <w:color w:val="000000" w:themeColor="text1"/>
                <w:sz w:val="28"/>
                <w:szCs w:val="28"/>
              </w:rPr>
              <w:t xml:space="preserve">, </w:t>
            </w:r>
            <w:r w:rsidR="00166345">
              <w:rPr>
                <w:color w:val="000000" w:themeColor="text1"/>
                <w:sz w:val="28"/>
                <w:szCs w:val="28"/>
              </w:rPr>
              <w:t xml:space="preserve">kad tos saskaņojusi </w:t>
            </w:r>
            <w:r w:rsidR="00830DCA" w:rsidRPr="00166345">
              <w:rPr>
                <w:color w:val="000000" w:themeColor="text1"/>
                <w:sz w:val="28"/>
                <w:szCs w:val="28"/>
              </w:rPr>
              <w:t xml:space="preserve">Nacionālās trīspusējās sadarbības padomes Profesionālās izglītības un nodarbinātības trīspusējās sadarbības </w:t>
            </w:r>
            <w:proofErr w:type="spellStart"/>
            <w:r w:rsidR="00830DCA" w:rsidRPr="00166345">
              <w:rPr>
                <w:color w:val="000000" w:themeColor="text1"/>
                <w:sz w:val="28"/>
                <w:szCs w:val="28"/>
              </w:rPr>
              <w:t>apakšpadome</w:t>
            </w:r>
            <w:proofErr w:type="spellEnd"/>
            <w:r w:rsidRPr="00166345">
              <w:rPr>
                <w:color w:val="000000" w:themeColor="text1"/>
                <w:sz w:val="28"/>
                <w:szCs w:val="28"/>
              </w:rPr>
              <w:t>.</w:t>
            </w:r>
            <w:r w:rsidR="00166345">
              <w:rPr>
                <w:color w:val="000000" w:themeColor="text1"/>
                <w:sz w:val="28"/>
                <w:szCs w:val="28"/>
              </w:rPr>
              <w:t xml:space="preserve"> </w:t>
            </w:r>
            <w:r w:rsidR="00F81C69" w:rsidRPr="00865403">
              <w:rPr>
                <w:color w:val="000000" w:themeColor="text1"/>
                <w:sz w:val="28"/>
                <w:szCs w:val="28"/>
              </w:rPr>
              <w:t>Ar šiem noteikumiem netiek mainīta Ministru kabineta noteikumos Nr. 633 “Profesijas standarta, profesionālās kvalifikācijas prasību (ja profesijai neapstiprina profesijas standartu) un nozares kvalifikāciju struktūras izstrādes kārtība”</w:t>
            </w:r>
            <w:r w:rsidR="00166345">
              <w:rPr>
                <w:color w:val="000000" w:themeColor="text1"/>
                <w:sz w:val="28"/>
                <w:szCs w:val="28"/>
              </w:rPr>
              <w:t xml:space="preserve"> noteiktā kārtība</w:t>
            </w:r>
            <w:r w:rsidR="00F81C69" w:rsidRPr="00865403">
              <w:rPr>
                <w:color w:val="000000" w:themeColor="text1"/>
                <w:sz w:val="28"/>
                <w:szCs w:val="28"/>
              </w:rPr>
              <w:t>.</w:t>
            </w:r>
          </w:p>
        </w:tc>
      </w:tr>
      <w:tr w:rsidR="0003784A" w:rsidTr="00895A06">
        <w:trPr>
          <w:trHeight w:val="476"/>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895A06" w:rsidRDefault="00895A06">
            <w:pPr>
              <w:spacing w:before="75" w:after="75"/>
              <w:rPr>
                <w:szCs w:val="28"/>
              </w:rPr>
            </w:pPr>
            <w:r>
              <w:rPr>
                <w:sz w:val="28"/>
                <w:szCs w:val="28"/>
              </w:rPr>
              <w:lastRenderedPageBreak/>
              <w:t> 3.</w:t>
            </w:r>
          </w:p>
        </w:tc>
        <w:tc>
          <w:tcPr>
            <w:tcW w:w="2323" w:type="dxa"/>
            <w:tcBorders>
              <w:top w:val="outset" w:sz="6" w:space="0" w:color="auto"/>
              <w:left w:val="outset" w:sz="6" w:space="0" w:color="auto"/>
              <w:bottom w:val="outset" w:sz="6" w:space="0" w:color="auto"/>
              <w:right w:val="outset" w:sz="6" w:space="0" w:color="auto"/>
            </w:tcBorders>
            <w:hideMark/>
          </w:tcPr>
          <w:p w:rsidR="00895A06" w:rsidRDefault="00895A06">
            <w:pPr>
              <w:spacing w:before="75" w:after="75"/>
              <w:ind w:left="40" w:right="126"/>
              <w:rPr>
                <w:szCs w:val="28"/>
              </w:rPr>
            </w:pPr>
            <w:r>
              <w:rPr>
                <w:sz w:val="28"/>
                <w:szCs w:val="28"/>
              </w:rPr>
              <w:t>Projekta izstrādē iesaistītās institūcijas</w:t>
            </w:r>
            <w:r w:rsidR="00F5475E">
              <w:t xml:space="preserve"> </w:t>
            </w:r>
            <w:r w:rsidR="00F5475E" w:rsidRPr="00F5475E">
              <w:rPr>
                <w:sz w:val="28"/>
                <w:szCs w:val="28"/>
              </w:rPr>
              <w:t>un publiskas personas kapitālsabiedrības</w:t>
            </w:r>
          </w:p>
        </w:tc>
        <w:tc>
          <w:tcPr>
            <w:tcW w:w="6251" w:type="dxa"/>
            <w:tcBorders>
              <w:top w:val="outset" w:sz="6" w:space="0" w:color="auto"/>
              <w:left w:val="outset" w:sz="6" w:space="0" w:color="auto"/>
              <w:bottom w:val="outset" w:sz="6" w:space="0" w:color="auto"/>
              <w:right w:val="outset" w:sz="6" w:space="0" w:color="auto"/>
            </w:tcBorders>
            <w:hideMark/>
          </w:tcPr>
          <w:p w:rsidR="00895A06" w:rsidRPr="00031D58" w:rsidRDefault="00727117" w:rsidP="008A0883">
            <w:pPr>
              <w:spacing w:before="100" w:beforeAutospacing="1" w:after="100" w:afterAutospacing="1"/>
              <w:ind w:left="127"/>
              <w:jc w:val="both"/>
              <w:rPr>
                <w:color w:val="000000" w:themeColor="text1"/>
              </w:rPr>
            </w:pPr>
            <w:r w:rsidRPr="00031D58">
              <w:rPr>
                <w:color w:val="000000" w:themeColor="text1"/>
                <w:sz w:val="28"/>
                <w:szCs w:val="28"/>
              </w:rPr>
              <w:t xml:space="preserve">    </w:t>
            </w:r>
            <w:r w:rsidR="00895A06" w:rsidRPr="00031D58">
              <w:rPr>
                <w:color w:val="000000" w:themeColor="text1"/>
                <w:sz w:val="28"/>
                <w:szCs w:val="28"/>
              </w:rPr>
              <w:t xml:space="preserve">Noteikumu projekta izstrādi veica </w:t>
            </w:r>
            <w:r w:rsidR="008A0883" w:rsidRPr="00031D58">
              <w:rPr>
                <w:color w:val="000000" w:themeColor="text1"/>
                <w:sz w:val="28"/>
                <w:szCs w:val="28"/>
              </w:rPr>
              <w:t xml:space="preserve">Izglītības un zinātnes ministrija un </w:t>
            </w:r>
            <w:r w:rsidR="00895A06" w:rsidRPr="00031D58">
              <w:rPr>
                <w:color w:val="000000" w:themeColor="text1"/>
                <w:sz w:val="28"/>
                <w:szCs w:val="28"/>
              </w:rPr>
              <w:t>Valsts izglītības satura centr</w:t>
            </w:r>
            <w:r w:rsidR="008A0883" w:rsidRPr="00031D58">
              <w:rPr>
                <w:color w:val="000000" w:themeColor="text1"/>
                <w:sz w:val="28"/>
                <w:szCs w:val="28"/>
              </w:rPr>
              <w:t>s</w:t>
            </w:r>
            <w:r w:rsidR="005D5E87">
              <w:rPr>
                <w:color w:val="000000" w:themeColor="text1"/>
                <w:sz w:val="28"/>
                <w:szCs w:val="28"/>
              </w:rPr>
              <w:t>.</w:t>
            </w:r>
            <w:r w:rsidR="00895A06" w:rsidRPr="00031D58">
              <w:rPr>
                <w:color w:val="000000" w:themeColor="text1"/>
                <w:sz w:val="28"/>
                <w:szCs w:val="28"/>
              </w:rPr>
              <w:t xml:space="preserve"> </w:t>
            </w:r>
          </w:p>
        </w:tc>
      </w:tr>
      <w:tr w:rsidR="0003784A" w:rsidTr="00895A06">
        <w:trPr>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895A06" w:rsidRDefault="00895A06">
            <w:pPr>
              <w:spacing w:before="75" w:after="75"/>
              <w:jc w:val="both"/>
              <w:rPr>
                <w:szCs w:val="28"/>
              </w:rPr>
            </w:pPr>
            <w:r>
              <w:rPr>
                <w:sz w:val="28"/>
                <w:szCs w:val="28"/>
              </w:rPr>
              <w:t> 4.</w:t>
            </w:r>
          </w:p>
        </w:tc>
        <w:tc>
          <w:tcPr>
            <w:tcW w:w="2323" w:type="dxa"/>
            <w:tcBorders>
              <w:top w:val="outset" w:sz="6" w:space="0" w:color="auto"/>
              <w:left w:val="outset" w:sz="6" w:space="0" w:color="auto"/>
              <w:bottom w:val="outset" w:sz="6" w:space="0" w:color="auto"/>
              <w:right w:val="outset" w:sz="6" w:space="0" w:color="auto"/>
            </w:tcBorders>
            <w:hideMark/>
          </w:tcPr>
          <w:p w:rsidR="00895A06" w:rsidRDefault="00895A06">
            <w:pPr>
              <w:spacing w:before="75" w:after="75"/>
              <w:ind w:left="40" w:right="126"/>
              <w:rPr>
                <w:szCs w:val="28"/>
              </w:rPr>
            </w:pPr>
            <w:r>
              <w:rPr>
                <w:sz w:val="28"/>
                <w:szCs w:val="28"/>
              </w:rPr>
              <w:t> Cita informācija</w:t>
            </w:r>
          </w:p>
        </w:tc>
        <w:tc>
          <w:tcPr>
            <w:tcW w:w="6251" w:type="dxa"/>
            <w:tcBorders>
              <w:top w:val="outset" w:sz="6" w:space="0" w:color="auto"/>
              <w:left w:val="outset" w:sz="6" w:space="0" w:color="auto"/>
              <w:bottom w:val="outset" w:sz="6" w:space="0" w:color="auto"/>
              <w:right w:val="outset" w:sz="6" w:space="0" w:color="auto"/>
            </w:tcBorders>
            <w:hideMark/>
          </w:tcPr>
          <w:p w:rsidR="00895A06" w:rsidRDefault="00895A06">
            <w:pPr>
              <w:spacing w:before="75" w:after="75"/>
              <w:ind w:left="127" w:right="140"/>
              <w:jc w:val="both"/>
              <w:rPr>
                <w:szCs w:val="28"/>
              </w:rPr>
            </w:pPr>
            <w:r>
              <w:rPr>
                <w:sz w:val="28"/>
                <w:szCs w:val="28"/>
              </w:rPr>
              <w:t>Nav.</w:t>
            </w:r>
          </w:p>
        </w:tc>
      </w:tr>
    </w:tbl>
    <w:p w:rsidR="00895A06" w:rsidRDefault="00895A06" w:rsidP="00895A06">
      <w:pPr>
        <w:rPr>
          <w:b/>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5"/>
        <w:gridCol w:w="2271"/>
        <w:gridCol w:w="5534"/>
      </w:tblGrid>
      <w:tr w:rsidR="00895A06" w:rsidTr="00BD520F">
        <w:trPr>
          <w:tblCellSpacing w:w="0" w:type="dxa"/>
        </w:trPr>
        <w:tc>
          <w:tcPr>
            <w:tcW w:w="8290" w:type="dxa"/>
            <w:gridSpan w:val="3"/>
            <w:tcBorders>
              <w:top w:val="outset" w:sz="6" w:space="0" w:color="auto"/>
              <w:left w:val="outset" w:sz="6" w:space="0" w:color="auto"/>
              <w:bottom w:val="outset" w:sz="6" w:space="0" w:color="auto"/>
              <w:right w:val="outset" w:sz="6" w:space="0" w:color="auto"/>
            </w:tcBorders>
            <w:vAlign w:val="center"/>
            <w:hideMark/>
          </w:tcPr>
          <w:p w:rsidR="00895A06" w:rsidRDefault="00895A06">
            <w:pPr>
              <w:spacing w:before="150" w:after="150"/>
              <w:jc w:val="center"/>
              <w:rPr>
                <w:b/>
                <w:bCs/>
                <w:szCs w:val="28"/>
              </w:rPr>
            </w:pPr>
            <w:r>
              <w:rPr>
                <w:b/>
                <w:bCs/>
                <w:sz w:val="28"/>
                <w:szCs w:val="28"/>
              </w:rPr>
              <w:t>II. Tiesību akta projekta ietekme uz sabiedrību, tautsaimniecības attīstību un administratīvo slogu</w:t>
            </w:r>
          </w:p>
        </w:tc>
      </w:tr>
      <w:tr w:rsidR="00895A06" w:rsidTr="00BD520F">
        <w:trPr>
          <w:trHeight w:val="595"/>
          <w:tblCellSpacing w:w="0" w:type="dxa"/>
        </w:trPr>
        <w:tc>
          <w:tcPr>
            <w:tcW w:w="485" w:type="dxa"/>
            <w:tcBorders>
              <w:top w:val="outset" w:sz="6" w:space="0" w:color="auto"/>
              <w:left w:val="outset" w:sz="6" w:space="0" w:color="auto"/>
              <w:bottom w:val="outset" w:sz="6" w:space="0" w:color="auto"/>
              <w:right w:val="outset" w:sz="6" w:space="0" w:color="auto"/>
            </w:tcBorders>
            <w:hideMark/>
          </w:tcPr>
          <w:p w:rsidR="00895A06" w:rsidRDefault="00895A06">
            <w:pPr>
              <w:spacing w:before="75" w:after="75"/>
              <w:jc w:val="both"/>
              <w:rPr>
                <w:szCs w:val="28"/>
              </w:rPr>
            </w:pPr>
            <w:r>
              <w:rPr>
                <w:sz w:val="28"/>
                <w:szCs w:val="28"/>
              </w:rPr>
              <w:t> 1.</w:t>
            </w:r>
          </w:p>
        </w:tc>
        <w:tc>
          <w:tcPr>
            <w:tcW w:w="2271" w:type="dxa"/>
            <w:tcBorders>
              <w:top w:val="outset" w:sz="6" w:space="0" w:color="auto"/>
              <w:left w:val="outset" w:sz="6" w:space="0" w:color="auto"/>
              <w:bottom w:val="outset" w:sz="6" w:space="0" w:color="auto"/>
              <w:right w:val="outset" w:sz="6" w:space="0" w:color="auto"/>
            </w:tcBorders>
            <w:hideMark/>
          </w:tcPr>
          <w:p w:rsidR="00895A06" w:rsidRPr="008A0883" w:rsidRDefault="00895A06">
            <w:pPr>
              <w:pStyle w:val="NoSpacing"/>
              <w:ind w:left="47" w:right="126" w:hanging="47"/>
              <w:jc w:val="both"/>
              <w:rPr>
                <w:rStyle w:val="SubtleEmphasis"/>
                <w:i w:val="0"/>
                <w:iCs w:val="0"/>
                <w:color w:val="000000" w:themeColor="text1"/>
                <w:sz w:val="28"/>
              </w:rPr>
            </w:pPr>
            <w:r w:rsidRPr="008A0883">
              <w:rPr>
                <w:rStyle w:val="SubtleEmphasis"/>
                <w:i w:val="0"/>
                <w:iCs w:val="0"/>
                <w:color w:val="000000" w:themeColor="text1"/>
                <w:sz w:val="28"/>
              </w:rPr>
              <w:t xml:space="preserve"> Sabiedrības mērķgrupas, </w:t>
            </w:r>
            <w:r w:rsidRPr="008A0883">
              <w:rPr>
                <w:rStyle w:val="SubtleEmphasis"/>
                <w:i w:val="0"/>
                <w:iCs w:val="0"/>
                <w:color w:val="000000" w:themeColor="text1"/>
                <w:sz w:val="28"/>
              </w:rPr>
              <w:lastRenderedPageBreak/>
              <w:t>kuras tiesiskais regulējums ietekmē vai varētu ietekmēt</w:t>
            </w:r>
          </w:p>
        </w:tc>
        <w:tc>
          <w:tcPr>
            <w:tcW w:w="5534" w:type="dxa"/>
            <w:tcBorders>
              <w:top w:val="outset" w:sz="6" w:space="0" w:color="auto"/>
              <w:left w:val="outset" w:sz="6" w:space="0" w:color="auto"/>
              <w:bottom w:val="outset" w:sz="6" w:space="0" w:color="auto"/>
              <w:right w:val="outset" w:sz="6" w:space="0" w:color="auto"/>
            </w:tcBorders>
            <w:hideMark/>
          </w:tcPr>
          <w:p w:rsidR="00895A06" w:rsidRDefault="00727117" w:rsidP="00FA3B2C">
            <w:pPr>
              <w:pStyle w:val="NoSpacing"/>
              <w:ind w:left="127" w:right="140"/>
              <w:jc w:val="both"/>
              <w:rPr>
                <w:sz w:val="28"/>
                <w:szCs w:val="28"/>
              </w:rPr>
            </w:pPr>
            <w:r>
              <w:rPr>
                <w:sz w:val="28"/>
                <w:szCs w:val="28"/>
              </w:rPr>
              <w:lastRenderedPageBreak/>
              <w:t xml:space="preserve">   </w:t>
            </w:r>
            <w:r w:rsidR="00895A06">
              <w:rPr>
                <w:sz w:val="28"/>
                <w:szCs w:val="28"/>
              </w:rPr>
              <w:t xml:space="preserve">Noteikumu projekta tiesiskais regulējums attiecas </w:t>
            </w:r>
            <w:r w:rsidR="00DA4261">
              <w:rPr>
                <w:sz w:val="28"/>
                <w:szCs w:val="28"/>
              </w:rPr>
              <w:t xml:space="preserve">uz </w:t>
            </w:r>
            <w:r w:rsidR="00895A06">
              <w:rPr>
                <w:sz w:val="28"/>
                <w:szCs w:val="28"/>
              </w:rPr>
              <w:t>Valsts izglītības satura centru,</w:t>
            </w:r>
            <w:r w:rsidR="00FA3B2C" w:rsidRPr="008A0ED3">
              <w:rPr>
                <w:sz w:val="28"/>
                <w:szCs w:val="28"/>
              </w:rPr>
              <w:t xml:space="preserve"> </w:t>
            </w:r>
            <w:r w:rsidR="00FA3B2C" w:rsidRPr="008A0ED3">
              <w:rPr>
                <w:sz w:val="28"/>
                <w:szCs w:val="28"/>
              </w:rPr>
              <w:lastRenderedPageBreak/>
              <w:t xml:space="preserve">Nacionālās Trīspusējās sadarbības padomes Profesionālās izglītības un nodarbinātības trīspusējās sadarbības </w:t>
            </w:r>
            <w:proofErr w:type="spellStart"/>
            <w:r w:rsidR="00FA3B2C" w:rsidRPr="008A0ED3">
              <w:rPr>
                <w:sz w:val="28"/>
                <w:szCs w:val="28"/>
              </w:rPr>
              <w:t>apakšpadom</w:t>
            </w:r>
            <w:r w:rsidR="00844EDB">
              <w:rPr>
                <w:sz w:val="28"/>
                <w:szCs w:val="28"/>
              </w:rPr>
              <w:t>i</w:t>
            </w:r>
            <w:proofErr w:type="spellEnd"/>
            <w:r w:rsidR="00FA3B2C">
              <w:rPr>
                <w:sz w:val="28"/>
                <w:szCs w:val="28"/>
              </w:rPr>
              <w:t>, izglītības i</w:t>
            </w:r>
            <w:r w:rsidR="00895A06">
              <w:rPr>
                <w:sz w:val="28"/>
                <w:szCs w:val="28"/>
              </w:rPr>
              <w:t>estādēm</w:t>
            </w:r>
            <w:r w:rsidR="00C71397">
              <w:rPr>
                <w:sz w:val="28"/>
                <w:szCs w:val="28"/>
              </w:rPr>
              <w:t xml:space="preserve">, </w:t>
            </w:r>
            <w:r w:rsidR="00C71397" w:rsidRPr="0058366A">
              <w:rPr>
                <w:sz w:val="28"/>
                <w:szCs w:val="28"/>
              </w:rPr>
              <w:t>kas īsteno profesionālās izglītības programmas.</w:t>
            </w:r>
          </w:p>
          <w:p w:rsidR="00FA3B2C" w:rsidRDefault="00FA3B2C" w:rsidP="00FA3B2C">
            <w:pPr>
              <w:pStyle w:val="NoSpacing"/>
              <w:ind w:left="127" w:right="140"/>
              <w:jc w:val="both"/>
              <w:rPr>
                <w:iCs/>
                <w:szCs w:val="28"/>
              </w:rPr>
            </w:pPr>
          </w:p>
        </w:tc>
      </w:tr>
      <w:tr w:rsidR="00895A06" w:rsidTr="00BD520F">
        <w:trPr>
          <w:trHeight w:val="517"/>
          <w:tblCellSpacing w:w="0" w:type="dxa"/>
        </w:trPr>
        <w:tc>
          <w:tcPr>
            <w:tcW w:w="485" w:type="dxa"/>
            <w:tcBorders>
              <w:top w:val="outset" w:sz="6" w:space="0" w:color="auto"/>
              <w:left w:val="outset" w:sz="6" w:space="0" w:color="auto"/>
              <w:bottom w:val="outset" w:sz="6" w:space="0" w:color="auto"/>
              <w:right w:val="outset" w:sz="6" w:space="0" w:color="auto"/>
            </w:tcBorders>
            <w:hideMark/>
          </w:tcPr>
          <w:p w:rsidR="00895A06" w:rsidRDefault="00895A06">
            <w:pPr>
              <w:spacing w:before="75" w:after="75"/>
              <w:jc w:val="both"/>
              <w:rPr>
                <w:szCs w:val="28"/>
              </w:rPr>
            </w:pPr>
            <w:r>
              <w:rPr>
                <w:sz w:val="28"/>
                <w:szCs w:val="28"/>
              </w:rPr>
              <w:lastRenderedPageBreak/>
              <w:t> 2.</w:t>
            </w:r>
          </w:p>
        </w:tc>
        <w:tc>
          <w:tcPr>
            <w:tcW w:w="2271" w:type="dxa"/>
            <w:tcBorders>
              <w:top w:val="outset" w:sz="6" w:space="0" w:color="auto"/>
              <w:left w:val="outset" w:sz="6" w:space="0" w:color="auto"/>
              <w:bottom w:val="outset" w:sz="6" w:space="0" w:color="auto"/>
              <w:right w:val="outset" w:sz="6" w:space="0" w:color="auto"/>
            </w:tcBorders>
            <w:hideMark/>
          </w:tcPr>
          <w:p w:rsidR="00895A06" w:rsidRPr="008A0883" w:rsidRDefault="00895A06">
            <w:pPr>
              <w:spacing w:before="75" w:after="75"/>
              <w:ind w:left="47" w:right="126"/>
              <w:jc w:val="both"/>
              <w:rPr>
                <w:color w:val="000000" w:themeColor="text1"/>
                <w:szCs w:val="28"/>
              </w:rPr>
            </w:pPr>
            <w:r w:rsidRPr="008A0883">
              <w:rPr>
                <w:color w:val="000000" w:themeColor="text1"/>
                <w:sz w:val="28"/>
                <w:szCs w:val="28"/>
              </w:rPr>
              <w:t>Tiesiskā regulējuma ietekme uz tautsaimniecību un administratīvo slogu</w:t>
            </w:r>
          </w:p>
        </w:tc>
        <w:tc>
          <w:tcPr>
            <w:tcW w:w="5534" w:type="dxa"/>
            <w:tcBorders>
              <w:top w:val="outset" w:sz="6" w:space="0" w:color="auto"/>
              <w:left w:val="outset" w:sz="6" w:space="0" w:color="auto"/>
              <w:bottom w:val="outset" w:sz="6" w:space="0" w:color="auto"/>
              <w:right w:val="outset" w:sz="6" w:space="0" w:color="auto"/>
            </w:tcBorders>
            <w:hideMark/>
          </w:tcPr>
          <w:p w:rsidR="00895A06" w:rsidRDefault="00727117">
            <w:pPr>
              <w:ind w:left="127" w:right="140"/>
              <w:jc w:val="both"/>
              <w:rPr>
                <w:sz w:val="28"/>
                <w:szCs w:val="28"/>
              </w:rPr>
            </w:pPr>
            <w:r>
              <w:rPr>
                <w:sz w:val="28"/>
                <w:szCs w:val="28"/>
              </w:rPr>
              <w:t xml:space="preserve">    </w:t>
            </w:r>
            <w:r w:rsidR="00895A06">
              <w:rPr>
                <w:sz w:val="28"/>
                <w:szCs w:val="28"/>
              </w:rPr>
              <w:t>Sabiedrības grupām un institūcijām projekta tiesiskais regulējums nemaina tiesības un pienākumus, kā arī veicamās darbības.</w:t>
            </w:r>
          </w:p>
          <w:p w:rsidR="00C34715" w:rsidRDefault="00C34715">
            <w:pPr>
              <w:ind w:left="127" w:right="140"/>
              <w:jc w:val="both"/>
              <w:rPr>
                <w:sz w:val="26"/>
                <w:szCs w:val="26"/>
              </w:rPr>
            </w:pPr>
          </w:p>
        </w:tc>
      </w:tr>
      <w:tr w:rsidR="00895A06" w:rsidTr="00BD520F">
        <w:trPr>
          <w:trHeight w:val="517"/>
          <w:tblCellSpacing w:w="0" w:type="dxa"/>
        </w:trPr>
        <w:tc>
          <w:tcPr>
            <w:tcW w:w="485" w:type="dxa"/>
            <w:tcBorders>
              <w:top w:val="outset" w:sz="6" w:space="0" w:color="auto"/>
              <w:left w:val="outset" w:sz="6" w:space="0" w:color="auto"/>
              <w:bottom w:val="outset" w:sz="6" w:space="0" w:color="auto"/>
              <w:right w:val="outset" w:sz="6" w:space="0" w:color="auto"/>
            </w:tcBorders>
            <w:hideMark/>
          </w:tcPr>
          <w:p w:rsidR="00895A06" w:rsidRDefault="00895A06">
            <w:pPr>
              <w:spacing w:before="75" w:after="75"/>
              <w:jc w:val="both"/>
              <w:rPr>
                <w:szCs w:val="28"/>
              </w:rPr>
            </w:pPr>
            <w:r>
              <w:rPr>
                <w:sz w:val="28"/>
                <w:szCs w:val="28"/>
              </w:rPr>
              <w:t xml:space="preserve"> 3.</w:t>
            </w:r>
          </w:p>
        </w:tc>
        <w:tc>
          <w:tcPr>
            <w:tcW w:w="2271" w:type="dxa"/>
            <w:tcBorders>
              <w:top w:val="outset" w:sz="6" w:space="0" w:color="auto"/>
              <w:left w:val="outset" w:sz="6" w:space="0" w:color="auto"/>
              <w:bottom w:val="outset" w:sz="6" w:space="0" w:color="auto"/>
              <w:right w:val="outset" w:sz="6" w:space="0" w:color="auto"/>
            </w:tcBorders>
            <w:hideMark/>
          </w:tcPr>
          <w:p w:rsidR="00895A06" w:rsidRDefault="00895A06">
            <w:pPr>
              <w:spacing w:before="75" w:after="75"/>
              <w:ind w:left="47" w:right="126"/>
              <w:jc w:val="both"/>
              <w:rPr>
                <w:sz w:val="28"/>
                <w:szCs w:val="28"/>
              </w:rPr>
            </w:pPr>
            <w:r>
              <w:rPr>
                <w:sz w:val="28"/>
                <w:szCs w:val="28"/>
              </w:rPr>
              <w:t>Administratīvo izmaksu monetārs novērtējums</w:t>
            </w:r>
          </w:p>
        </w:tc>
        <w:tc>
          <w:tcPr>
            <w:tcW w:w="5534" w:type="dxa"/>
            <w:tcBorders>
              <w:top w:val="outset" w:sz="6" w:space="0" w:color="auto"/>
              <w:left w:val="outset" w:sz="6" w:space="0" w:color="auto"/>
              <w:bottom w:val="outset" w:sz="6" w:space="0" w:color="auto"/>
              <w:right w:val="outset" w:sz="6" w:space="0" w:color="auto"/>
            </w:tcBorders>
            <w:hideMark/>
          </w:tcPr>
          <w:p w:rsidR="00895A06" w:rsidRDefault="00895A06">
            <w:pPr>
              <w:pStyle w:val="NoSpacing"/>
              <w:ind w:left="127" w:right="140"/>
              <w:jc w:val="both"/>
              <w:rPr>
                <w:sz w:val="28"/>
                <w:szCs w:val="28"/>
              </w:rPr>
            </w:pPr>
            <w:r>
              <w:rPr>
                <w:sz w:val="28"/>
                <w:szCs w:val="28"/>
              </w:rPr>
              <w:t>Noteikumu projekts šo jomu neskar.</w:t>
            </w:r>
          </w:p>
        </w:tc>
      </w:tr>
      <w:tr w:rsidR="00F5475E" w:rsidTr="00BD520F">
        <w:trPr>
          <w:trHeight w:val="517"/>
          <w:tblCellSpacing w:w="0" w:type="dxa"/>
        </w:trPr>
        <w:tc>
          <w:tcPr>
            <w:tcW w:w="485" w:type="dxa"/>
            <w:tcBorders>
              <w:top w:val="outset" w:sz="6" w:space="0" w:color="auto"/>
              <w:left w:val="outset" w:sz="6" w:space="0" w:color="auto"/>
              <w:bottom w:val="outset" w:sz="6" w:space="0" w:color="auto"/>
              <w:right w:val="outset" w:sz="6" w:space="0" w:color="auto"/>
            </w:tcBorders>
          </w:tcPr>
          <w:p w:rsidR="00F5475E" w:rsidRDefault="00F5475E">
            <w:pPr>
              <w:spacing w:before="75" w:after="75"/>
              <w:jc w:val="both"/>
              <w:rPr>
                <w:sz w:val="28"/>
                <w:szCs w:val="28"/>
              </w:rPr>
            </w:pPr>
            <w:r>
              <w:rPr>
                <w:sz w:val="28"/>
                <w:szCs w:val="28"/>
              </w:rPr>
              <w:t>4.</w:t>
            </w:r>
          </w:p>
        </w:tc>
        <w:tc>
          <w:tcPr>
            <w:tcW w:w="2271" w:type="dxa"/>
            <w:tcBorders>
              <w:top w:val="outset" w:sz="6" w:space="0" w:color="auto"/>
              <w:left w:val="outset" w:sz="6" w:space="0" w:color="auto"/>
              <w:bottom w:val="outset" w:sz="6" w:space="0" w:color="auto"/>
              <w:right w:val="outset" w:sz="6" w:space="0" w:color="auto"/>
            </w:tcBorders>
          </w:tcPr>
          <w:p w:rsidR="00F5475E" w:rsidRDefault="00F5475E">
            <w:pPr>
              <w:spacing w:before="75" w:after="75"/>
              <w:ind w:left="47" w:right="126"/>
              <w:jc w:val="both"/>
              <w:rPr>
                <w:sz w:val="28"/>
                <w:szCs w:val="28"/>
              </w:rPr>
            </w:pPr>
            <w:r w:rsidRPr="00F5475E">
              <w:rPr>
                <w:sz w:val="28"/>
                <w:szCs w:val="28"/>
              </w:rPr>
              <w:t>Atbilstības izmaksu monetārs novērtējums</w:t>
            </w:r>
          </w:p>
        </w:tc>
        <w:tc>
          <w:tcPr>
            <w:tcW w:w="5534" w:type="dxa"/>
            <w:tcBorders>
              <w:top w:val="outset" w:sz="6" w:space="0" w:color="auto"/>
              <w:left w:val="outset" w:sz="6" w:space="0" w:color="auto"/>
              <w:bottom w:val="outset" w:sz="6" w:space="0" w:color="auto"/>
              <w:right w:val="outset" w:sz="6" w:space="0" w:color="auto"/>
            </w:tcBorders>
          </w:tcPr>
          <w:p w:rsidR="00F5475E" w:rsidRDefault="00F5475E">
            <w:pPr>
              <w:pStyle w:val="NoSpacing"/>
              <w:ind w:left="127" w:right="140"/>
              <w:jc w:val="both"/>
              <w:rPr>
                <w:sz w:val="28"/>
                <w:szCs w:val="28"/>
              </w:rPr>
            </w:pPr>
            <w:r>
              <w:rPr>
                <w:sz w:val="28"/>
                <w:szCs w:val="28"/>
              </w:rPr>
              <w:t xml:space="preserve">Noteikumu projekts </w:t>
            </w:r>
            <w:r w:rsidRPr="00F5475E">
              <w:rPr>
                <w:sz w:val="28"/>
                <w:szCs w:val="28"/>
              </w:rPr>
              <w:t>neparedz atbilstības izmaksas.</w:t>
            </w:r>
          </w:p>
        </w:tc>
      </w:tr>
      <w:tr w:rsidR="00895A06" w:rsidTr="00BD520F">
        <w:trPr>
          <w:tblCellSpacing w:w="0" w:type="dxa"/>
        </w:trPr>
        <w:tc>
          <w:tcPr>
            <w:tcW w:w="485" w:type="dxa"/>
            <w:tcBorders>
              <w:top w:val="outset" w:sz="6" w:space="0" w:color="auto"/>
              <w:left w:val="outset" w:sz="6" w:space="0" w:color="auto"/>
              <w:bottom w:val="outset" w:sz="6" w:space="0" w:color="auto"/>
              <w:right w:val="outset" w:sz="6" w:space="0" w:color="auto"/>
            </w:tcBorders>
            <w:hideMark/>
          </w:tcPr>
          <w:p w:rsidR="00895A06" w:rsidRDefault="00895A06">
            <w:pPr>
              <w:spacing w:before="75" w:after="75"/>
              <w:jc w:val="both"/>
              <w:rPr>
                <w:szCs w:val="28"/>
              </w:rPr>
            </w:pPr>
            <w:r>
              <w:rPr>
                <w:sz w:val="28"/>
                <w:szCs w:val="28"/>
              </w:rPr>
              <w:t> </w:t>
            </w:r>
            <w:r w:rsidR="00F5475E">
              <w:rPr>
                <w:sz w:val="28"/>
                <w:szCs w:val="28"/>
              </w:rPr>
              <w:t>5</w:t>
            </w:r>
            <w:r>
              <w:rPr>
                <w:sz w:val="28"/>
                <w:szCs w:val="28"/>
              </w:rPr>
              <w:t>.</w:t>
            </w:r>
          </w:p>
        </w:tc>
        <w:tc>
          <w:tcPr>
            <w:tcW w:w="2271" w:type="dxa"/>
            <w:tcBorders>
              <w:top w:val="outset" w:sz="6" w:space="0" w:color="auto"/>
              <w:left w:val="outset" w:sz="6" w:space="0" w:color="auto"/>
              <w:bottom w:val="outset" w:sz="6" w:space="0" w:color="auto"/>
              <w:right w:val="outset" w:sz="6" w:space="0" w:color="auto"/>
            </w:tcBorders>
            <w:hideMark/>
          </w:tcPr>
          <w:p w:rsidR="00895A06" w:rsidRDefault="00895A06">
            <w:pPr>
              <w:spacing w:before="75" w:after="75"/>
              <w:ind w:left="47" w:right="126"/>
              <w:jc w:val="both"/>
              <w:rPr>
                <w:szCs w:val="28"/>
              </w:rPr>
            </w:pPr>
            <w:r>
              <w:rPr>
                <w:sz w:val="28"/>
                <w:szCs w:val="28"/>
              </w:rPr>
              <w:t> Cita informācija</w:t>
            </w:r>
          </w:p>
        </w:tc>
        <w:tc>
          <w:tcPr>
            <w:tcW w:w="5534" w:type="dxa"/>
            <w:tcBorders>
              <w:top w:val="outset" w:sz="6" w:space="0" w:color="auto"/>
              <w:left w:val="outset" w:sz="6" w:space="0" w:color="auto"/>
              <w:bottom w:val="outset" w:sz="6" w:space="0" w:color="auto"/>
              <w:right w:val="outset" w:sz="6" w:space="0" w:color="auto"/>
            </w:tcBorders>
            <w:hideMark/>
          </w:tcPr>
          <w:p w:rsidR="00895A06" w:rsidRDefault="00895A06">
            <w:pPr>
              <w:spacing w:before="75" w:after="75"/>
              <w:ind w:left="127" w:right="140"/>
              <w:jc w:val="both"/>
              <w:rPr>
                <w:szCs w:val="28"/>
              </w:rPr>
            </w:pPr>
            <w:r>
              <w:rPr>
                <w:sz w:val="28"/>
                <w:szCs w:val="28"/>
              </w:rPr>
              <w:t>Nav.</w:t>
            </w:r>
          </w:p>
        </w:tc>
      </w:tr>
    </w:tbl>
    <w:p w:rsidR="00895A06" w:rsidRDefault="00895A06" w:rsidP="00895A06">
      <w:pPr>
        <w:spacing w:before="75" w:after="75"/>
        <w:jc w:val="both"/>
      </w:pPr>
    </w:p>
    <w:tbl>
      <w:tblPr>
        <w:tblW w:w="9072"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
        <w:gridCol w:w="3217"/>
        <w:gridCol w:w="5395"/>
      </w:tblGrid>
      <w:tr w:rsidR="00895A06" w:rsidTr="00895A06">
        <w:trPr>
          <w:tblCellSpacing w:w="0" w:type="dxa"/>
        </w:trPr>
        <w:tc>
          <w:tcPr>
            <w:tcW w:w="9072" w:type="dxa"/>
            <w:gridSpan w:val="3"/>
            <w:tcBorders>
              <w:top w:val="outset" w:sz="6" w:space="0" w:color="auto"/>
              <w:left w:val="outset" w:sz="6" w:space="0" w:color="auto"/>
              <w:bottom w:val="outset" w:sz="6" w:space="0" w:color="auto"/>
              <w:right w:val="outset" w:sz="6" w:space="0" w:color="auto"/>
            </w:tcBorders>
            <w:hideMark/>
          </w:tcPr>
          <w:p w:rsidR="00895A06" w:rsidRDefault="00BD520F" w:rsidP="00BD520F">
            <w:pPr>
              <w:spacing w:before="75" w:after="75"/>
              <w:jc w:val="center"/>
              <w:rPr>
                <w:szCs w:val="28"/>
              </w:rPr>
            </w:pPr>
            <w:r>
              <w:rPr>
                <w:b/>
                <w:bCs/>
                <w:sz w:val="28"/>
                <w:szCs w:val="28"/>
              </w:rPr>
              <w:t>I</w:t>
            </w:r>
            <w:r w:rsidR="00895A06">
              <w:rPr>
                <w:b/>
                <w:bCs/>
                <w:sz w:val="28"/>
                <w:szCs w:val="28"/>
              </w:rPr>
              <w:t xml:space="preserve">II. Tiesību akta </w:t>
            </w:r>
            <w:r>
              <w:rPr>
                <w:b/>
                <w:bCs/>
                <w:sz w:val="28"/>
                <w:szCs w:val="28"/>
              </w:rPr>
              <w:t xml:space="preserve">projekta ietekme uz valsts budžetu un pašvaldību budžetiem </w:t>
            </w:r>
          </w:p>
        </w:tc>
      </w:tr>
      <w:tr w:rsidR="00BD520F" w:rsidTr="00895A06">
        <w:trPr>
          <w:tblCellSpacing w:w="0" w:type="dxa"/>
        </w:trPr>
        <w:tc>
          <w:tcPr>
            <w:tcW w:w="9072" w:type="dxa"/>
            <w:gridSpan w:val="3"/>
            <w:tcBorders>
              <w:top w:val="outset" w:sz="6" w:space="0" w:color="auto"/>
              <w:left w:val="outset" w:sz="6" w:space="0" w:color="auto"/>
              <w:bottom w:val="outset" w:sz="6" w:space="0" w:color="auto"/>
              <w:right w:val="outset" w:sz="6" w:space="0" w:color="auto"/>
            </w:tcBorders>
          </w:tcPr>
          <w:p w:rsidR="00BD520F" w:rsidRPr="00613393" w:rsidRDefault="00BD520F">
            <w:pPr>
              <w:spacing w:before="75" w:after="75"/>
              <w:jc w:val="center"/>
              <w:rPr>
                <w:bCs/>
                <w:sz w:val="28"/>
                <w:szCs w:val="28"/>
              </w:rPr>
            </w:pPr>
            <w:r w:rsidRPr="00613393">
              <w:rPr>
                <w:bCs/>
                <w:sz w:val="28"/>
                <w:szCs w:val="28"/>
              </w:rPr>
              <w:t>Projekts šo jomu neskar</w:t>
            </w:r>
          </w:p>
        </w:tc>
      </w:tr>
      <w:tr w:rsidR="00BD520F" w:rsidTr="00895A06">
        <w:trPr>
          <w:tblCellSpacing w:w="0" w:type="dxa"/>
        </w:trPr>
        <w:tc>
          <w:tcPr>
            <w:tcW w:w="9072" w:type="dxa"/>
            <w:gridSpan w:val="3"/>
            <w:tcBorders>
              <w:top w:val="outset" w:sz="6" w:space="0" w:color="auto"/>
              <w:left w:val="outset" w:sz="6" w:space="0" w:color="auto"/>
              <w:bottom w:val="outset" w:sz="6" w:space="0" w:color="auto"/>
              <w:right w:val="outset" w:sz="6" w:space="0" w:color="auto"/>
            </w:tcBorders>
          </w:tcPr>
          <w:p w:rsidR="00BD520F" w:rsidRDefault="00BD520F" w:rsidP="006F4793">
            <w:pPr>
              <w:spacing w:before="75" w:after="75"/>
              <w:jc w:val="center"/>
              <w:rPr>
                <w:b/>
                <w:bCs/>
                <w:sz w:val="28"/>
                <w:szCs w:val="28"/>
              </w:rPr>
            </w:pPr>
            <w:r>
              <w:rPr>
                <w:b/>
                <w:bCs/>
                <w:sz w:val="28"/>
                <w:szCs w:val="28"/>
              </w:rPr>
              <w:t xml:space="preserve">IV. </w:t>
            </w:r>
            <w:r w:rsidR="00613393">
              <w:rPr>
                <w:b/>
                <w:bCs/>
                <w:sz w:val="28"/>
                <w:szCs w:val="28"/>
              </w:rPr>
              <w:t>Tiesību akta projekta ietekme uz spēkā esošo tiesību normu sistēma</w:t>
            </w:r>
            <w:proofErr w:type="gramStart"/>
            <w:r w:rsidR="00613393">
              <w:rPr>
                <w:b/>
                <w:bCs/>
                <w:sz w:val="28"/>
                <w:szCs w:val="28"/>
              </w:rPr>
              <w:t xml:space="preserve">  </w:t>
            </w:r>
            <w:proofErr w:type="gramEnd"/>
          </w:p>
        </w:tc>
      </w:tr>
      <w:tr w:rsidR="00BD520F" w:rsidTr="00895A06">
        <w:trPr>
          <w:tblCellSpacing w:w="0" w:type="dxa"/>
        </w:trPr>
        <w:tc>
          <w:tcPr>
            <w:tcW w:w="9072" w:type="dxa"/>
            <w:gridSpan w:val="3"/>
            <w:tcBorders>
              <w:top w:val="outset" w:sz="6" w:space="0" w:color="auto"/>
              <w:left w:val="outset" w:sz="6" w:space="0" w:color="auto"/>
              <w:bottom w:val="outset" w:sz="6" w:space="0" w:color="auto"/>
              <w:right w:val="outset" w:sz="6" w:space="0" w:color="auto"/>
            </w:tcBorders>
          </w:tcPr>
          <w:p w:rsidR="00BD520F" w:rsidRDefault="00613393">
            <w:pPr>
              <w:spacing w:before="75" w:after="75"/>
              <w:jc w:val="center"/>
              <w:rPr>
                <w:b/>
                <w:bCs/>
                <w:sz w:val="28"/>
                <w:szCs w:val="28"/>
              </w:rPr>
            </w:pPr>
            <w:r w:rsidRPr="00613393">
              <w:rPr>
                <w:bCs/>
                <w:sz w:val="28"/>
                <w:szCs w:val="28"/>
              </w:rPr>
              <w:t>Projekts šo jomu neskar</w:t>
            </w:r>
          </w:p>
        </w:tc>
      </w:tr>
      <w:tr w:rsidR="00BD520F" w:rsidTr="00895A06">
        <w:trPr>
          <w:tblCellSpacing w:w="0" w:type="dxa"/>
        </w:trPr>
        <w:tc>
          <w:tcPr>
            <w:tcW w:w="9072" w:type="dxa"/>
            <w:gridSpan w:val="3"/>
            <w:tcBorders>
              <w:top w:val="outset" w:sz="6" w:space="0" w:color="auto"/>
              <w:left w:val="outset" w:sz="6" w:space="0" w:color="auto"/>
              <w:bottom w:val="outset" w:sz="6" w:space="0" w:color="auto"/>
              <w:right w:val="outset" w:sz="6" w:space="0" w:color="auto"/>
            </w:tcBorders>
          </w:tcPr>
          <w:p w:rsidR="00BD520F" w:rsidRDefault="00613393" w:rsidP="00613393">
            <w:pPr>
              <w:spacing w:before="75" w:after="75"/>
              <w:jc w:val="center"/>
              <w:rPr>
                <w:b/>
                <w:bCs/>
                <w:sz w:val="28"/>
                <w:szCs w:val="28"/>
              </w:rPr>
            </w:pPr>
            <w:r>
              <w:rPr>
                <w:b/>
                <w:bCs/>
                <w:sz w:val="28"/>
                <w:szCs w:val="28"/>
              </w:rPr>
              <w:t>V. Tiesību akta projekta atbilstība Latvijas Republikas starptautiskajām saistībām</w:t>
            </w:r>
          </w:p>
        </w:tc>
      </w:tr>
      <w:tr w:rsidR="00BD520F" w:rsidTr="00895A06">
        <w:trPr>
          <w:tblCellSpacing w:w="0" w:type="dxa"/>
        </w:trPr>
        <w:tc>
          <w:tcPr>
            <w:tcW w:w="9072" w:type="dxa"/>
            <w:gridSpan w:val="3"/>
            <w:tcBorders>
              <w:top w:val="outset" w:sz="6" w:space="0" w:color="auto"/>
              <w:left w:val="outset" w:sz="6" w:space="0" w:color="auto"/>
              <w:bottom w:val="outset" w:sz="6" w:space="0" w:color="auto"/>
              <w:right w:val="outset" w:sz="6" w:space="0" w:color="auto"/>
            </w:tcBorders>
          </w:tcPr>
          <w:p w:rsidR="00BD520F" w:rsidRDefault="00613393">
            <w:pPr>
              <w:spacing w:before="75" w:after="75"/>
              <w:jc w:val="center"/>
              <w:rPr>
                <w:b/>
                <w:bCs/>
                <w:sz w:val="28"/>
                <w:szCs w:val="28"/>
              </w:rPr>
            </w:pPr>
            <w:r w:rsidRPr="00613393">
              <w:rPr>
                <w:bCs/>
                <w:sz w:val="28"/>
                <w:szCs w:val="28"/>
              </w:rPr>
              <w:t>Projekts šo jomu neskar</w:t>
            </w:r>
          </w:p>
        </w:tc>
      </w:tr>
      <w:tr w:rsidR="00613393" w:rsidTr="00895A06">
        <w:trPr>
          <w:tblCellSpacing w:w="0" w:type="dxa"/>
        </w:trPr>
        <w:tc>
          <w:tcPr>
            <w:tcW w:w="9072" w:type="dxa"/>
            <w:gridSpan w:val="3"/>
            <w:tcBorders>
              <w:top w:val="outset" w:sz="6" w:space="0" w:color="auto"/>
              <w:left w:val="outset" w:sz="6" w:space="0" w:color="auto"/>
              <w:bottom w:val="outset" w:sz="6" w:space="0" w:color="auto"/>
              <w:right w:val="outset" w:sz="6" w:space="0" w:color="auto"/>
            </w:tcBorders>
          </w:tcPr>
          <w:p w:rsidR="00613393" w:rsidRPr="00613393" w:rsidRDefault="00613393">
            <w:pPr>
              <w:spacing w:before="75" w:after="75"/>
              <w:jc w:val="center"/>
              <w:rPr>
                <w:b/>
                <w:bCs/>
                <w:sz w:val="28"/>
                <w:szCs w:val="28"/>
              </w:rPr>
            </w:pPr>
            <w:r w:rsidRPr="00613393">
              <w:rPr>
                <w:b/>
                <w:bCs/>
                <w:sz w:val="28"/>
                <w:szCs w:val="28"/>
              </w:rPr>
              <w:t>VI. Sabiedrības līdzdalība un komunikācijas aktivitātes</w:t>
            </w:r>
          </w:p>
        </w:tc>
      </w:tr>
      <w:tr w:rsidR="00613393" w:rsidTr="00895A06">
        <w:trPr>
          <w:tblCellSpacing w:w="0" w:type="dxa"/>
        </w:trPr>
        <w:tc>
          <w:tcPr>
            <w:tcW w:w="9072" w:type="dxa"/>
            <w:gridSpan w:val="3"/>
            <w:tcBorders>
              <w:top w:val="outset" w:sz="6" w:space="0" w:color="auto"/>
              <w:left w:val="outset" w:sz="6" w:space="0" w:color="auto"/>
              <w:bottom w:val="outset" w:sz="6" w:space="0" w:color="auto"/>
              <w:right w:val="outset" w:sz="6" w:space="0" w:color="auto"/>
            </w:tcBorders>
          </w:tcPr>
          <w:p w:rsidR="00613393" w:rsidRPr="00613393" w:rsidRDefault="00613393">
            <w:pPr>
              <w:spacing w:before="75" w:after="75"/>
              <w:jc w:val="center"/>
              <w:rPr>
                <w:bCs/>
                <w:sz w:val="28"/>
                <w:szCs w:val="28"/>
              </w:rPr>
            </w:pPr>
            <w:r w:rsidRPr="00613393">
              <w:rPr>
                <w:bCs/>
                <w:sz w:val="28"/>
                <w:szCs w:val="28"/>
              </w:rPr>
              <w:t>Projekts šo jomu neskar</w:t>
            </w:r>
          </w:p>
        </w:tc>
      </w:tr>
      <w:tr w:rsidR="00BD520F" w:rsidTr="00895A06">
        <w:trPr>
          <w:tblCellSpacing w:w="0" w:type="dxa"/>
        </w:trPr>
        <w:tc>
          <w:tcPr>
            <w:tcW w:w="9072" w:type="dxa"/>
            <w:gridSpan w:val="3"/>
            <w:tcBorders>
              <w:top w:val="outset" w:sz="6" w:space="0" w:color="auto"/>
              <w:left w:val="outset" w:sz="6" w:space="0" w:color="auto"/>
              <w:bottom w:val="outset" w:sz="6" w:space="0" w:color="auto"/>
              <w:right w:val="outset" w:sz="6" w:space="0" w:color="auto"/>
            </w:tcBorders>
          </w:tcPr>
          <w:p w:rsidR="00BD520F" w:rsidRDefault="00BD520F">
            <w:pPr>
              <w:spacing w:before="75" w:after="75"/>
              <w:jc w:val="center"/>
              <w:rPr>
                <w:b/>
                <w:bCs/>
                <w:sz w:val="28"/>
                <w:szCs w:val="28"/>
              </w:rPr>
            </w:pPr>
            <w:r>
              <w:rPr>
                <w:b/>
                <w:bCs/>
                <w:sz w:val="28"/>
                <w:szCs w:val="28"/>
              </w:rPr>
              <w:t>VII. Tiesību akta projekta izpildes nodrošināšana un tās ietekme uz institūcijām</w:t>
            </w:r>
          </w:p>
        </w:tc>
      </w:tr>
      <w:tr w:rsidR="00895A06" w:rsidTr="00895A06">
        <w:trPr>
          <w:trHeight w:val="568"/>
          <w:tblCellSpacing w:w="0" w:type="dxa"/>
        </w:trPr>
        <w:tc>
          <w:tcPr>
            <w:tcW w:w="460" w:type="dxa"/>
            <w:tcBorders>
              <w:top w:val="outset" w:sz="6" w:space="0" w:color="auto"/>
              <w:left w:val="outset" w:sz="6" w:space="0" w:color="auto"/>
              <w:bottom w:val="outset" w:sz="6" w:space="0" w:color="auto"/>
              <w:right w:val="outset" w:sz="6" w:space="0" w:color="auto"/>
            </w:tcBorders>
            <w:hideMark/>
          </w:tcPr>
          <w:p w:rsidR="00895A06" w:rsidRDefault="00895A06">
            <w:pPr>
              <w:spacing w:before="75" w:after="75"/>
              <w:jc w:val="both"/>
              <w:rPr>
                <w:szCs w:val="28"/>
              </w:rPr>
            </w:pPr>
            <w:r>
              <w:rPr>
                <w:sz w:val="28"/>
                <w:szCs w:val="28"/>
              </w:rPr>
              <w:t> 1.</w:t>
            </w:r>
          </w:p>
        </w:tc>
        <w:tc>
          <w:tcPr>
            <w:tcW w:w="3217" w:type="dxa"/>
            <w:tcBorders>
              <w:top w:val="outset" w:sz="6" w:space="0" w:color="auto"/>
              <w:left w:val="outset" w:sz="6" w:space="0" w:color="auto"/>
              <w:bottom w:val="outset" w:sz="6" w:space="0" w:color="auto"/>
              <w:right w:val="outset" w:sz="6" w:space="0" w:color="auto"/>
            </w:tcBorders>
            <w:hideMark/>
          </w:tcPr>
          <w:p w:rsidR="00895A06" w:rsidRDefault="00895A06">
            <w:pPr>
              <w:spacing w:before="75" w:after="75"/>
              <w:ind w:left="92" w:right="118"/>
              <w:rPr>
                <w:szCs w:val="28"/>
              </w:rPr>
            </w:pPr>
            <w:r>
              <w:rPr>
                <w:sz w:val="28"/>
                <w:szCs w:val="28"/>
              </w:rPr>
              <w:t xml:space="preserve">Projekta izpildē iesaistītās </w:t>
            </w:r>
            <w:r>
              <w:rPr>
                <w:sz w:val="28"/>
                <w:szCs w:val="28"/>
              </w:rPr>
              <w:lastRenderedPageBreak/>
              <w:t>institūcijas</w:t>
            </w:r>
          </w:p>
        </w:tc>
        <w:tc>
          <w:tcPr>
            <w:tcW w:w="5395" w:type="dxa"/>
            <w:tcBorders>
              <w:top w:val="outset" w:sz="6" w:space="0" w:color="auto"/>
              <w:left w:val="outset" w:sz="6" w:space="0" w:color="auto"/>
              <w:bottom w:val="outset" w:sz="6" w:space="0" w:color="auto"/>
              <w:right w:val="outset" w:sz="6" w:space="0" w:color="auto"/>
            </w:tcBorders>
            <w:hideMark/>
          </w:tcPr>
          <w:p w:rsidR="001A6940" w:rsidRDefault="00727117" w:rsidP="00166345">
            <w:pPr>
              <w:spacing w:before="75" w:after="75"/>
              <w:ind w:left="136" w:right="127"/>
              <w:jc w:val="both"/>
              <w:rPr>
                <w:sz w:val="28"/>
                <w:szCs w:val="28"/>
              </w:rPr>
            </w:pPr>
            <w:r>
              <w:rPr>
                <w:sz w:val="28"/>
                <w:szCs w:val="28"/>
              </w:rPr>
              <w:lastRenderedPageBreak/>
              <w:t xml:space="preserve">    </w:t>
            </w:r>
            <w:r w:rsidR="006D1FC5">
              <w:rPr>
                <w:sz w:val="28"/>
                <w:szCs w:val="28"/>
              </w:rPr>
              <w:t>Noteikumu projekta</w:t>
            </w:r>
            <w:r w:rsidR="00895A06">
              <w:rPr>
                <w:sz w:val="28"/>
                <w:szCs w:val="28"/>
              </w:rPr>
              <w:t xml:space="preserve"> izpildi nodrošinās</w:t>
            </w:r>
            <w:proofErr w:type="gramStart"/>
            <w:r w:rsidR="00895A06">
              <w:rPr>
                <w:sz w:val="28"/>
                <w:szCs w:val="28"/>
              </w:rPr>
              <w:t xml:space="preserve">  </w:t>
            </w:r>
            <w:proofErr w:type="gramEnd"/>
            <w:r w:rsidR="00895A06">
              <w:rPr>
                <w:sz w:val="28"/>
                <w:szCs w:val="28"/>
              </w:rPr>
              <w:lastRenderedPageBreak/>
              <w:t>Izglītības un zinātnes ministrija, Valsts izglītības satura centrs</w:t>
            </w:r>
            <w:r w:rsidR="00C34715">
              <w:rPr>
                <w:sz w:val="28"/>
                <w:szCs w:val="28"/>
              </w:rPr>
              <w:t xml:space="preserve">, </w:t>
            </w:r>
            <w:r w:rsidR="00C34715" w:rsidRPr="008A0ED3">
              <w:rPr>
                <w:sz w:val="28"/>
                <w:szCs w:val="28"/>
              </w:rPr>
              <w:t xml:space="preserve">Nacionālās Trīspusējās sadarbības padomes Profesionālās izglītības un nodarbinātības trīspusējās sadarbības </w:t>
            </w:r>
            <w:proofErr w:type="spellStart"/>
            <w:r w:rsidR="00C34715" w:rsidRPr="008A0ED3">
              <w:rPr>
                <w:sz w:val="28"/>
                <w:szCs w:val="28"/>
              </w:rPr>
              <w:t>apakšpadome</w:t>
            </w:r>
            <w:proofErr w:type="spellEnd"/>
            <w:r w:rsidR="00895A06">
              <w:rPr>
                <w:sz w:val="28"/>
                <w:szCs w:val="28"/>
              </w:rPr>
              <w:t>.</w:t>
            </w:r>
            <w:r w:rsidR="005D5E87">
              <w:rPr>
                <w:sz w:val="28"/>
                <w:szCs w:val="28"/>
              </w:rPr>
              <w:t xml:space="preserve"> N</w:t>
            </w:r>
            <w:r w:rsidR="00E04EF9">
              <w:rPr>
                <w:sz w:val="28"/>
                <w:szCs w:val="28"/>
              </w:rPr>
              <w:t>ozaru ekspertu padomes</w:t>
            </w:r>
            <w:r w:rsidR="005D5E87">
              <w:rPr>
                <w:sz w:val="28"/>
                <w:szCs w:val="28"/>
              </w:rPr>
              <w:t>, nozaru ministrijas</w:t>
            </w:r>
            <w:r w:rsidR="00E04EF9">
              <w:rPr>
                <w:sz w:val="28"/>
                <w:szCs w:val="28"/>
              </w:rPr>
              <w:t>, Latvijas Darba devēju konfederācija.</w:t>
            </w:r>
            <w:r w:rsidR="005D5E87">
              <w:rPr>
                <w:sz w:val="28"/>
                <w:szCs w:val="28"/>
              </w:rPr>
              <w:t xml:space="preserve"> </w:t>
            </w:r>
          </w:p>
        </w:tc>
      </w:tr>
      <w:tr w:rsidR="00895A06" w:rsidTr="00895A06">
        <w:trPr>
          <w:trHeight w:val="463"/>
          <w:tblCellSpacing w:w="0" w:type="dxa"/>
        </w:trPr>
        <w:tc>
          <w:tcPr>
            <w:tcW w:w="460" w:type="dxa"/>
            <w:tcBorders>
              <w:top w:val="outset" w:sz="6" w:space="0" w:color="auto"/>
              <w:left w:val="outset" w:sz="6" w:space="0" w:color="auto"/>
              <w:bottom w:val="outset" w:sz="6" w:space="0" w:color="auto"/>
              <w:right w:val="outset" w:sz="6" w:space="0" w:color="auto"/>
            </w:tcBorders>
            <w:hideMark/>
          </w:tcPr>
          <w:p w:rsidR="00895A06" w:rsidRDefault="00895A06">
            <w:pPr>
              <w:spacing w:before="75" w:after="75"/>
              <w:jc w:val="both"/>
              <w:rPr>
                <w:szCs w:val="28"/>
              </w:rPr>
            </w:pPr>
            <w:r>
              <w:rPr>
                <w:sz w:val="28"/>
                <w:szCs w:val="28"/>
              </w:rPr>
              <w:lastRenderedPageBreak/>
              <w:t> 2.</w:t>
            </w:r>
          </w:p>
        </w:tc>
        <w:tc>
          <w:tcPr>
            <w:tcW w:w="3217" w:type="dxa"/>
            <w:tcBorders>
              <w:top w:val="outset" w:sz="6" w:space="0" w:color="auto"/>
              <w:left w:val="outset" w:sz="6" w:space="0" w:color="auto"/>
              <w:bottom w:val="outset" w:sz="6" w:space="0" w:color="auto"/>
              <w:right w:val="outset" w:sz="6" w:space="0" w:color="auto"/>
            </w:tcBorders>
            <w:hideMark/>
          </w:tcPr>
          <w:p w:rsidR="00895A06" w:rsidRDefault="00895A06">
            <w:pPr>
              <w:ind w:left="92" w:right="118"/>
              <w:rPr>
                <w:szCs w:val="28"/>
              </w:rPr>
            </w:pPr>
            <w:r>
              <w:rPr>
                <w:sz w:val="28"/>
                <w:szCs w:val="28"/>
              </w:rPr>
              <w:t>Projekta izpildes ietekme uz pārvaldes funkcijām un institucionālo struktūru.</w:t>
            </w:r>
          </w:p>
          <w:p w:rsidR="00895A06" w:rsidRDefault="00895A06" w:rsidP="00F5475E">
            <w:pPr>
              <w:spacing w:before="75" w:after="75"/>
              <w:ind w:left="92" w:right="118"/>
              <w:rPr>
                <w:szCs w:val="28"/>
              </w:rPr>
            </w:pPr>
            <w:r>
              <w:rPr>
                <w:sz w:val="28"/>
                <w:szCs w:val="28"/>
              </w:rPr>
              <w:t>Jaunu institūciju izveide</w:t>
            </w:r>
            <w:r w:rsidR="00F5475E">
              <w:rPr>
                <w:sz w:val="28"/>
                <w:szCs w:val="28"/>
              </w:rPr>
              <w:t>,</w:t>
            </w:r>
            <w:r>
              <w:rPr>
                <w:sz w:val="28"/>
                <w:szCs w:val="28"/>
              </w:rPr>
              <w:t xml:space="preserve"> esošu institūciju likvidācija vai reorganizācija, to ietekme uz institūcijas cilvēkresursiem</w:t>
            </w:r>
          </w:p>
        </w:tc>
        <w:tc>
          <w:tcPr>
            <w:tcW w:w="5395" w:type="dxa"/>
            <w:tcBorders>
              <w:top w:val="outset" w:sz="6" w:space="0" w:color="auto"/>
              <w:left w:val="outset" w:sz="6" w:space="0" w:color="auto"/>
              <w:bottom w:val="outset" w:sz="6" w:space="0" w:color="auto"/>
              <w:right w:val="outset" w:sz="6" w:space="0" w:color="auto"/>
            </w:tcBorders>
            <w:hideMark/>
          </w:tcPr>
          <w:p w:rsidR="00895A06" w:rsidRDefault="00727117">
            <w:pPr>
              <w:spacing w:before="75" w:after="75"/>
              <w:ind w:left="136" w:right="127"/>
              <w:jc w:val="both"/>
              <w:rPr>
                <w:sz w:val="28"/>
                <w:szCs w:val="28"/>
              </w:rPr>
            </w:pPr>
            <w:r>
              <w:rPr>
                <w:sz w:val="28"/>
                <w:szCs w:val="28"/>
              </w:rPr>
              <w:t xml:space="preserve">   </w:t>
            </w:r>
            <w:r w:rsidR="00895A06">
              <w:rPr>
                <w:sz w:val="28"/>
                <w:szCs w:val="28"/>
              </w:rPr>
              <w:t>Pārvaldes funkcijas un uzdevumi netiek grozīti, institucionālā struktūra netiek mainīta. Jaunas institūcijas netiks izveidotas. Esošās institūcijas netiks likvidētas vai reorganizētas.</w:t>
            </w:r>
          </w:p>
          <w:p w:rsidR="001A6940" w:rsidRDefault="001A6940">
            <w:pPr>
              <w:spacing w:before="75" w:after="75"/>
              <w:ind w:left="136" w:right="127"/>
              <w:jc w:val="both"/>
              <w:rPr>
                <w:sz w:val="28"/>
                <w:szCs w:val="28"/>
              </w:rPr>
            </w:pPr>
          </w:p>
          <w:p w:rsidR="001A6940" w:rsidRDefault="001A6940">
            <w:pPr>
              <w:spacing w:before="75" w:after="75"/>
              <w:ind w:left="136" w:right="127"/>
              <w:jc w:val="both"/>
              <w:rPr>
                <w:sz w:val="28"/>
                <w:szCs w:val="28"/>
              </w:rPr>
            </w:pPr>
          </w:p>
          <w:p w:rsidR="001A6940" w:rsidRDefault="001A6940">
            <w:pPr>
              <w:spacing w:before="75" w:after="75"/>
              <w:ind w:left="136" w:right="127"/>
              <w:jc w:val="both"/>
              <w:rPr>
                <w:sz w:val="28"/>
                <w:szCs w:val="28"/>
              </w:rPr>
            </w:pPr>
          </w:p>
          <w:p w:rsidR="001A6940" w:rsidRDefault="001A6940">
            <w:pPr>
              <w:spacing w:before="75" w:after="75"/>
              <w:ind w:left="136" w:right="127"/>
              <w:jc w:val="both"/>
              <w:rPr>
                <w:szCs w:val="28"/>
              </w:rPr>
            </w:pPr>
          </w:p>
        </w:tc>
      </w:tr>
      <w:tr w:rsidR="00895A06" w:rsidTr="00895A06">
        <w:trPr>
          <w:trHeight w:val="476"/>
          <w:tblCellSpacing w:w="0" w:type="dxa"/>
        </w:trPr>
        <w:tc>
          <w:tcPr>
            <w:tcW w:w="460" w:type="dxa"/>
            <w:tcBorders>
              <w:top w:val="outset" w:sz="6" w:space="0" w:color="auto"/>
              <w:left w:val="outset" w:sz="6" w:space="0" w:color="auto"/>
              <w:bottom w:val="outset" w:sz="6" w:space="0" w:color="auto"/>
              <w:right w:val="outset" w:sz="6" w:space="0" w:color="auto"/>
            </w:tcBorders>
            <w:hideMark/>
          </w:tcPr>
          <w:p w:rsidR="00895A06" w:rsidRDefault="00895A06">
            <w:pPr>
              <w:spacing w:before="75" w:after="75"/>
              <w:jc w:val="both"/>
              <w:rPr>
                <w:szCs w:val="28"/>
              </w:rPr>
            </w:pPr>
            <w:r>
              <w:rPr>
                <w:sz w:val="28"/>
                <w:szCs w:val="28"/>
              </w:rPr>
              <w:t> 3.</w:t>
            </w:r>
          </w:p>
        </w:tc>
        <w:tc>
          <w:tcPr>
            <w:tcW w:w="3217" w:type="dxa"/>
            <w:tcBorders>
              <w:top w:val="outset" w:sz="6" w:space="0" w:color="auto"/>
              <w:left w:val="outset" w:sz="6" w:space="0" w:color="auto"/>
              <w:bottom w:val="outset" w:sz="6" w:space="0" w:color="auto"/>
              <w:right w:val="outset" w:sz="6" w:space="0" w:color="auto"/>
            </w:tcBorders>
            <w:hideMark/>
          </w:tcPr>
          <w:p w:rsidR="00895A06" w:rsidRDefault="00895A06">
            <w:pPr>
              <w:spacing w:before="75" w:after="75"/>
              <w:ind w:left="92" w:right="118"/>
              <w:rPr>
                <w:szCs w:val="28"/>
              </w:rPr>
            </w:pPr>
            <w:r>
              <w:rPr>
                <w:sz w:val="28"/>
                <w:szCs w:val="28"/>
              </w:rPr>
              <w:t>Cita informācija</w:t>
            </w:r>
          </w:p>
        </w:tc>
        <w:tc>
          <w:tcPr>
            <w:tcW w:w="5395" w:type="dxa"/>
            <w:tcBorders>
              <w:top w:val="outset" w:sz="6" w:space="0" w:color="auto"/>
              <w:left w:val="outset" w:sz="6" w:space="0" w:color="auto"/>
              <w:bottom w:val="outset" w:sz="6" w:space="0" w:color="auto"/>
              <w:right w:val="outset" w:sz="6" w:space="0" w:color="auto"/>
            </w:tcBorders>
            <w:hideMark/>
          </w:tcPr>
          <w:p w:rsidR="00895A06" w:rsidRDefault="00895A06">
            <w:pPr>
              <w:ind w:left="136" w:right="127"/>
              <w:jc w:val="both"/>
              <w:rPr>
                <w:sz w:val="28"/>
                <w:szCs w:val="28"/>
              </w:rPr>
            </w:pPr>
            <w:r>
              <w:rPr>
                <w:sz w:val="28"/>
                <w:szCs w:val="28"/>
              </w:rPr>
              <w:t>Nav.</w:t>
            </w:r>
          </w:p>
          <w:p w:rsidR="001A6940" w:rsidRDefault="001A6940">
            <w:pPr>
              <w:ind w:left="136" w:right="127"/>
              <w:jc w:val="both"/>
              <w:rPr>
                <w:szCs w:val="28"/>
              </w:rPr>
            </w:pPr>
          </w:p>
        </w:tc>
      </w:tr>
    </w:tbl>
    <w:p w:rsidR="00895A06" w:rsidRDefault="00895A06" w:rsidP="00895A06">
      <w:pPr>
        <w:rPr>
          <w:sz w:val="28"/>
          <w:szCs w:val="28"/>
        </w:rPr>
      </w:pPr>
    </w:p>
    <w:p w:rsidR="00011ECE" w:rsidRDefault="00011ECE" w:rsidP="00895A06">
      <w:pPr>
        <w:jc w:val="both"/>
        <w:rPr>
          <w:sz w:val="28"/>
          <w:szCs w:val="28"/>
        </w:rPr>
      </w:pPr>
    </w:p>
    <w:p w:rsidR="00895A06" w:rsidRDefault="00895A06" w:rsidP="00895A06">
      <w:pPr>
        <w:jc w:val="both"/>
        <w:rPr>
          <w:sz w:val="28"/>
          <w:szCs w:val="28"/>
        </w:rPr>
      </w:pPr>
      <w:r>
        <w:rPr>
          <w:sz w:val="28"/>
          <w:szCs w:val="28"/>
        </w:rPr>
        <w:t>Izglītības un zinātnes ministrs</w:t>
      </w:r>
      <w:proofErr w:type="gramStart"/>
      <w:r>
        <w:rPr>
          <w:sz w:val="28"/>
          <w:szCs w:val="28"/>
        </w:rPr>
        <w:t xml:space="preserve">  </w:t>
      </w:r>
      <w:proofErr w:type="gramEnd"/>
      <w:r>
        <w:rPr>
          <w:sz w:val="28"/>
          <w:szCs w:val="28"/>
        </w:rPr>
        <w:tab/>
      </w:r>
      <w:r>
        <w:rPr>
          <w:sz w:val="28"/>
          <w:szCs w:val="28"/>
        </w:rPr>
        <w:tab/>
      </w:r>
      <w:r>
        <w:rPr>
          <w:sz w:val="28"/>
          <w:szCs w:val="28"/>
        </w:rPr>
        <w:tab/>
      </w:r>
      <w:r>
        <w:rPr>
          <w:sz w:val="28"/>
          <w:szCs w:val="28"/>
        </w:rPr>
        <w:tab/>
        <w:t xml:space="preserve">    Kārlis Šadurskis</w:t>
      </w:r>
    </w:p>
    <w:p w:rsidR="00895A06" w:rsidRDefault="00895A06" w:rsidP="00895A06">
      <w:pPr>
        <w:jc w:val="both"/>
      </w:pPr>
      <w:r>
        <w:rPr>
          <w:sz w:val="28"/>
          <w:szCs w:val="28"/>
        </w:rPr>
        <w:tab/>
      </w:r>
      <w:r>
        <w:rPr>
          <w:sz w:val="28"/>
          <w:szCs w:val="28"/>
        </w:rPr>
        <w:tab/>
      </w:r>
      <w:r>
        <w:rPr>
          <w:sz w:val="28"/>
          <w:szCs w:val="28"/>
        </w:rPr>
        <w:tab/>
      </w:r>
      <w:r>
        <w:rPr>
          <w:sz w:val="28"/>
          <w:szCs w:val="28"/>
        </w:rPr>
        <w:tab/>
      </w:r>
    </w:p>
    <w:p w:rsidR="00895A06" w:rsidRDefault="00895A06" w:rsidP="00895A06">
      <w:pPr>
        <w:jc w:val="both"/>
        <w:rPr>
          <w:sz w:val="28"/>
          <w:szCs w:val="28"/>
        </w:rPr>
      </w:pPr>
      <w:r>
        <w:rPr>
          <w:sz w:val="28"/>
          <w:szCs w:val="28"/>
        </w:rPr>
        <w:t xml:space="preserve">Vizē: </w:t>
      </w:r>
    </w:p>
    <w:p w:rsidR="00895A06" w:rsidRDefault="00895A06" w:rsidP="00895A06">
      <w:pPr>
        <w:jc w:val="both"/>
        <w:rPr>
          <w:sz w:val="28"/>
          <w:szCs w:val="28"/>
        </w:rPr>
      </w:pPr>
      <w:r>
        <w:rPr>
          <w:sz w:val="28"/>
          <w:szCs w:val="28"/>
        </w:rPr>
        <w:t xml:space="preserve">Valsts sekretāre </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 xml:space="preserve">    </w:t>
      </w:r>
      <w:proofErr w:type="gramEnd"/>
      <w:r>
        <w:rPr>
          <w:sz w:val="28"/>
          <w:szCs w:val="28"/>
        </w:rPr>
        <w:t>Līga Lejiņa</w:t>
      </w:r>
    </w:p>
    <w:bookmarkEnd w:id="0"/>
    <w:bookmarkEnd w:id="1"/>
    <w:p w:rsidR="002D4208" w:rsidRDefault="002D4208" w:rsidP="00895A06">
      <w:pPr>
        <w:pStyle w:val="BodyText"/>
        <w:jc w:val="both"/>
        <w:rPr>
          <w:bCs/>
          <w:sz w:val="22"/>
          <w:szCs w:val="22"/>
        </w:rPr>
      </w:pPr>
    </w:p>
    <w:p w:rsidR="002D4208" w:rsidRDefault="002D4208" w:rsidP="00895A06">
      <w:pPr>
        <w:pStyle w:val="BodyText"/>
        <w:jc w:val="both"/>
        <w:rPr>
          <w:bCs/>
          <w:sz w:val="22"/>
          <w:szCs w:val="22"/>
        </w:rPr>
      </w:pPr>
    </w:p>
    <w:p w:rsidR="00DB46AE" w:rsidRDefault="00DB46AE" w:rsidP="002D4208">
      <w:pPr>
        <w:pStyle w:val="NoSpacing"/>
        <w:rPr>
          <w:sz w:val="20"/>
          <w:szCs w:val="20"/>
        </w:rPr>
      </w:pPr>
    </w:p>
    <w:p w:rsidR="00D63874" w:rsidRDefault="00D63874" w:rsidP="002D4208">
      <w:pPr>
        <w:pStyle w:val="NoSpacing"/>
        <w:rPr>
          <w:sz w:val="20"/>
          <w:szCs w:val="20"/>
        </w:rPr>
      </w:pPr>
    </w:p>
    <w:p w:rsidR="00D63874" w:rsidRDefault="00D63874" w:rsidP="002D4208">
      <w:pPr>
        <w:pStyle w:val="NoSpacing"/>
        <w:rPr>
          <w:sz w:val="20"/>
          <w:szCs w:val="20"/>
        </w:rPr>
      </w:pPr>
    </w:p>
    <w:p w:rsidR="00D63874" w:rsidRDefault="00D63874" w:rsidP="002D4208">
      <w:pPr>
        <w:pStyle w:val="NoSpacing"/>
        <w:rPr>
          <w:sz w:val="20"/>
          <w:szCs w:val="20"/>
        </w:rPr>
      </w:pPr>
    </w:p>
    <w:p w:rsidR="00D63874" w:rsidRDefault="00D63874" w:rsidP="002D4208">
      <w:pPr>
        <w:pStyle w:val="NoSpacing"/>
        <w:rPr>
          <w:sz w:val="20"/>
          <w:szCs w:val="20"/>
        </w:rPr>
      </w:pPr>
    </w:p>
    <w:p w:rsidR="00D63874" w:rsidRDefault="00D63874" w:rsidP="002D4208">
      <w:pPr>
        <w:pStyle w:val="NoSpacing"/>
        <w:rPr>
          <w:sz w:val="20"/>
          <w:szCs w:val="20"/>
        </w:rPr>
      </w:pPr>
    </w:p>
    <w:p w:rsidR="00D63874" w:rsidRDefault="00D63874" w:rsidP="002D4208">
      <w:pPr>
        <w:pStyle w:val="NoSpacing"/>
        <w:rPr>
          <w:sz w:val="20"/>
          <w:szCs w:val="20"/>
        </w:rPr>
      </w:pPr>
    </w:p>
    <w:p w:rsidR="00D63874" w:rsidRDefault="00D63874" w:rsidP="002D4208">
      <w:pPr>
        <w:pStyle w:val="NoSpacing"/>
        <w:rPr>
          <w:sz w:val="20"/>
          <w:szCs w:val="20"/>
        </w:rPr>
      </w:pPr>
    </w:p>
    <w:p w:rsidR="00D63874" w:rsidRDefault="00D63874" w:rsidP="002D4208">
      <w:pPr>
        <w:pStyle w:val="NoSpacing"/>
        <w:rPr>
          <w:sz w:val="20"/>
          <w:szCs w:val="20"/>
        </w:rPr>
      </w:pPr>
    </w:p>
    <w:p w:rsidR="00D63874" w:rsidRDefault="00D63874" w:rsidP="002D4208">
      <w:pPr>
        <w:pStyle w:val="NoSpacing"/>
        <w:rPr>
          <w:sz w:val="20"/>
          <w:szCs w:val="20"/>
        </w:rPr>
      </w:pPr>
    </w:p>
    <w:p w:rsidR="00D63874" w:rsidRDefault="00D63874" w:rsidP="002D4208">
      <w:pPr>
        <w:pStyle w:val="NoSpacing"/>
        <w:rPr>
          <w:sz w:val="20"/>
          <w:szCs w:val="20"/>
        </w:rPr>
      </w:pPr>
    </w:p>
    <w:p w:rsidR="00D63874" w:rsidRDefault="00D63874" w:rsidP="002D4208">
      <w:pPr>
        <w:pStyle w:val="NoSpacing"/>
        <w:rPr>
          <w:sz w:val="20"/>
          <w:szCs w:val="20"/>
        </w:rPr>
      </w:pPr>
    </w:p>
    <w:p w:rsidR="002D4208" w:rsidRPr="00592D21" w:rsidRDefault="00D63874" w:rsidP="002D4208">
      <w:pPr>
        <w:pStyle w:val="NoSpacing"/>
        <w:rPr>
          <w:sz w:val="20"/>
          <w:szCs w:val="20"/>
        </w:rPr>
      </w:pPr>
      <w:r>
        <w:rPr>
          <w:sz w:val="20"/>
          <w:szCs w:val="20"/>
        </w:rPr>
        <w:t>07</w:t>
      </w:r>
      <w:r w:rsidR="002D4208" w:rsidRPr="00592D21">
        <w:rPr>
          <w:sz w:val="20"/>
          <w:szCs w:val="20"/>
        </w:rPr>
        <w:t>.</w:t>
      </w:r>
      <w:r w:rsidR="00692738">
        <w:rPr>
          <w:sz w:val="20"/>
          <w:szCs w:val="20"/>
        </w:rPr>
        <w:t>0</w:t>
      </w:r>
      <w:r>
        <w:rPr>
          <w:sz w:val="20"/>
          <w:szCs w:val="20"/>
        </w:rPr>
        <w:t>9</w:t>
      </w:r>
      <w:r w:rsidR="002D4208" w:rsidRPr="00592D21">
        <w:rPr>
          <w:sz w:val="20"/>
          <w:szCs w:val="20"/>
        </w:rPr>
        <w:t>.201</w:t>
      </w:r>
      <w:r w:rsidR="00692738">
        <w:rPr>
          <w:sz w:val="20"/>
          <w:szCs w:val="20"/>
        </w:rPr>
        <w:t>8</w:t>
      </w:r>
      <w:r>
        <w:rPr>
          <w:sz w:val="20"/>
          <w:szCs w:val="20"/>
        </w:rPr>
        <w:t>. 10:16</w:t>
      </w:r>
    </w:p>
    <w:p w:rsidR="002D4208" w:rsidRPr="00592D21" w:rsidRDefault="005F290B" w:rsidP="002D4208">
      <w:pPr>
        <w:pStyle w:val="NoSpacing"/>
        <w:rPr>
          <w:sz w:val="20"/>
          <w:szCs w:val="20"/>
        </w:rPr>
      </w:pPr>
      <w:r>
        <w:rPr>
          <w:sz w:val="20"/>
          <w:szCs w:val="20"/>
        </w:rPr>
        <w:t>1</w:t>
      </w:r>
      <w:r w:rsidR="00865403">
        <w:rPr>
          <w:sz w:val="20"/>
          <w:szCs w:val="20"/>
        </w:rPr>
        <w:t>3</w:t>
      </w:r>
      <w:r w:rsidR="00D63874">
        <w:rPr>
          <w:sz w:val="20"/>
          <w:szCs w:val="20"/>
        </w:rPr>
        <w:t>55</w:t>
      </w:r>
    </w:p>
    <w:p w:rsidR="002D4208" w:rsidRDefault="002D4208" w:rsidP="002D4208">
      <w:pPr>
        <w:pStyle w:val="NoSpacing"/>
        <w:rPr>
          <w:sz w:val="20"/>
          <w:szCs w:val="20"/>
        </w:rPr>
      </w:pPr>
      <w:r w:rsidRPr="00592D21">
        <w:rPr>
          <w:sz w:val="20"/>
          <w:szCs w:val="20"/>
        </w:rPr>
        <w:t xml:space="preserve">67047702, </w:t>
      </w:r>
      <w:hyperlink r:id="rId10" w:history="1">
        <w:r w:rsidRPr="00592D21">
          <w:rPr>
            <w:rStyle w:val="Hyperlink"/>
            <w:sz w:val="20"/>
            <w:szCs w:val="20"/>
          </w:rPr>
          <w:t>dainis.bilmanis@izm.gov.lv</w:t>
        </w:r>
      </w:hyperlink>
      <w:r w:rsidRPr="00592D21">
        <w:rPr>
          <w:sz w:val="20"/>
          <w:szCs w:val="20"/>
        </w:rPr>
        <w:t xml:space="preserve"> </w:t>
      </w:r>
    </w:p>
    <w:p w:rsidR="00343A0C" w:rsidRDefault="00343A0C" w:rsidP="00F75995">
      <w:pPr>
        <w:pStyle w:val="NoSpacing"/>
        <w:rPr>
          <w:sz w:val="20"/>
          <w:szCs w:val="20"/>
        </w:rPr>
      </w:pPr>
    </w:p>
    <w:p w:rsidR="00464CB7" w:rsidRPr="00464CB7" w:rsidRDefault="00464CB7" w:rsidP="00464CB7">
      <w:pPr>
        <w:pStyle w:val="NoSpacing"/>
        <w:rPr>
          <w:sz w:val="20"/>
          <w:szCs w:val="20"/>
        </w:rPr>
      </w:pPr>
      <w:r w:rsidRPr="00464CB7">
        <w:rPr>
          <w:sz w:val="20"/>
          <w:szCs w:val="20"/>
        </w:rPr>
        <w:t>R.Saksons</w:t>
      </w:r>
    </w:p>
    <w:p w:rsidR="00F75995" w:rsidRDefault="00464CB7" w:rsidP="00464CB7">
      <w:pPr>
        <w:pStyle w:val="NoSpacing"/>
      </w:pPr>
      <w:r w:rsidRPr="00464CB7">
        <w:rPr>
          <w:sz w:val="20"/>
          <w:szCs w:val="20"/>
        </w:rPr>
        <w:t>67503753, ronalds.saksons@visc.gov.lv</w:t>
      </w:r>
      <w:bookmarkStart w:id="4" w:name="_GoBack"/>
      <w:bookmarkEnd w:id="4"/>
    </w:p>
    <w:sectPr w:rsidR="00F75995" w:rsidSect="00CC4DCE">
      <w:headerReference w:type="default" r:id="rId11"/>
      <w:footerReference w:type="defaul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91A" w:rsidRDefault="0093791A" w:rsidP="00CC4DCE">
      <w:r>
        <w:separator/>
      </w:r>
    </w:p>
  </w:endnote>
  <w:endnote w:type="continuationSeparator" w:id="0">
    <w:p w:rsidR="0093791A" w:rsidRDefault="0093791A" w:rsidP="00CC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059" w:rsidRPr="006C4B86" w:rsidRDefault="006D1FC5" w:rsidP="00576059">
    <w:pPr>
      <w:pStyle w:val="naislab"/>
      <w:spacing w:before="0" w:after="0"/>
      <w:jc w:val="both"/>
      <w:outlineLvl w:val="0"/>
      <w:rPr>
        <w:sz w:val="20"/>
        <w:szCs w:val="20"/>
      </w:rPr>
    </w:pPr>
    <w:r>
      <w:rPr>
        <w:sz w:val="20"/>
        <w:szCs w:val="20"/>
      </w:rPr>
      <w:t>IZMANOT</w:t>
    </w:r>
    <w:r w:rsidR="00576059">
      <w:rPr>
        <w:sz w:val="20"/>
        <w:szCs w:val="20"/>
      </w:rPr>
      <w:t>_</w:t>
    </w:r>
    <w:r w:rsidR="00D63874">
      <w:rPr>
        <w:sz w:val="20"/>
        <w:szCs w:val="20"/>
      </w:rPr>
      <w:t>0709</w:t>
    </w:r>
    <w:r w:rsidR="00692738">
      <w:rPr>
        <w:sz w:val="20"/>
        <w:szCs w:val="20"/>
      </w:rPr>
      <w:t>18</w:t>
    </w:r>
    <w:r w:rsidR="00576059">
      <w:rPr>
        <w:sz w:val="20"/>
        <w:szCs w:val="20"/>
      </w:rPr>
      <w:t>_PS_PKP</w:t>
    </w:r>
    <w:r w:rsidR="00576059" w:rsidRPr="006C4B86">
      <w:rPr>
        <w:sz w:val="20"/>
        <w:szCs w:val="20"/>
      </w:rPr>
      <w:t xml:space="preserve">; </w:t>
    </w:r>
    <w:r w:rsidR="00576059" w:rsidRPr="009F05E7">
      <w:rPr>
        <w:bCs/>
        <w:sz w:val="20"/>
        <w:szCs w:val="20"/>
      </w:rPr>
      <w:t>Ministru kabineta noteikumu</w:t>
    </w:r>
    <w:r w:rsidR="00576059">
      <w:rPr>
        <w:bCs/>
        <w:sz w:val="20"/>
        <w:szCs w:val="20"/>
      </w:rPr>
      <w:t xml:space="preserve"> projekta</w:t>
    </w:r>
    <w:r w:rsidR="00576059" w:rsidRPr="009F05E7">
      <w:rPr>
        <w:bCs/>
        <w:sz w:val="20"/>
        <w:szCs w:val="20"/>
      </w:rPr>
      <w:t xml:space="preserve"> „</w:t>
    </w:r>
    <w:r w:rsidR="00576059">
      <w:rPr>
        <w:bCs/>
        <w:sz w:val="20"/>
        <w:szCs w:val="20"/>
      </w:rPr>
      <w:t>Obligāti piemērojamo profesiju standartu un profesionālās kvalifikācijas prasību saraksts un tajā iekļauto profesiju standartu un profesionālās kvalifikācijas prasību publiskošanas kārtība</w:t>
    </w:r>
    <w:r w:rsidR="00576059" w:rsidRPr="009F05E7">
      <w:rPr>
        <w:sz w:val="20"/>
        <w:szCs w:val="20"/>
      </w:rPr>
      <w:t>”</w:t>
    </w:r>
    <w:r w:rsidR="00576059">
      <w:rPr>
        <w:sz w:val="28"/>
        <w:szCs w:val="28"/>
      </w:rPr>
      <w:t xml:space="preserve"> </w:t>
    </w:r>
    <w:r w:rsidR="00576059" w:rsidRPr="006C4B86">
      <w:rPr>
        <w:sz w:val="20"/>
        <w:szCs w:val="20"/>
      </w:rPr>
      <w:t>sākotnējās ietekmes novērtējuma ziņojums (anotācija)</w:t>
    </w:r>
  </w:p>
  <w:p w:rsidR="00CC4DCE" w:rsidRPr="00576059" w:rsidRDefault="00CC4DCE" w:rsidP="005760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8B6" w:rsidRPr="006C4B86" w:rsidRDefault="00732D6E" w:rsidP="004368B6">
    <w:pPr>
      <w:pStyle w:val="naislab"/>
      <w:spacing w:before="0" w:after="0"/>
      <w:jc w:val="both"/>
      <w:outlineLvl w:val="0"/>
      <w:rPr>
        <w:sz w:val="20"/>
        <w:szCs w:val="20"/>
      </w:rPr>
    </w:pPr>
    <w:r>
      <w:rPr>
        <w:sz w:val="20"/>
        <w:szCs w:val="20"/>
      </w:rPr>
      <w:t>IZMANOT</w:t>
    </w:r>
    <w:r w:rsidR="004368B6">
      <w:rPr>
        <w:sz w:val="20"/>
        <w:szCs w:val="20"/>
      </w:rPr>
      <w:t>_</w:t>
    </w:r>
    <w:r w:rsidR="00D63874">
      <w:rPr>
        <w:sz w:val="20"/>
        <w:szCs w:val="20"/>
      </w:rPr>
      <w:t>0709</w:t>
    </w:r>
    <w:r w:rsidR="00692738">
      <w:rPr>
        <w:sz w:val="20"/>
        <w:szCs w:val="20"/>
      </w:rPr>
      <w:t>18</w:t>
    </w:r>
    <w:r w:rsidR="004368B6">
      <w:rPr>
        <w:sz w:val="20"/>
        <w:szCs w:val="20"/>
      </w:rPr>
      <w:t>_PS_PKP</w:t>
    </w:r>
    <w:r w:rsidR="004368B6" w:rsidRPr="006C4B86">
      <w:rPr>
        <w:sz w:val="20"/>
        <w:szCs w:val="20"/>
      </w:rPr>
      <w:t xml:space="preserve">; </w:t>
    </w:r>
    <w:r w:rsidR="004368B6" w:rsidRPr="009F05E7">
      <w:rPr>
        <w:bCs/>
        <w:sz w:val="20"/>
        <w:szCs w:val="20"/>
      </w:rPr>
      <w:t>Ministru kabineta noteikumu</w:t>
    </w:r>
    <w:r w:rsidR="004368B6">
      <w:rPr>
        <w:bCs/>
        <w:sz w:val="20"/>
        <w:szCs w:val="20"/>
      </w:rPr>
      <w:t xml:space="preserve"> projekta</w:t>
    </w:r>
    <w:r w:rsidR="004368B6" w:rsidRPr="009F05E7">
      <w:rPr>
        <w:bCs/>
        <w:sz w:val="20"/>
        <w:szCs w:val="20"/>
      </w:rPr>
      <w:t xml:space="preserve"> „</w:t>
    </w:r>
    <w:r w:rsidR="004368B6">
      <w:rPr>
        <w:bCs/>
        <w:sz w:val="20"/>
        <w:szCs w:val="20"/>
      </w:rPr>
      <w:t>Obligāti piemērojamo profesiju standartu un profesionālās kvalifikācijas prasību saraksts un tajā iekļauto profesiju standartu un profesionālās kvalifikācijas prasību publiskošanas kārtība</w:t>
    </w:r>
    <w:r w:rsidR="004368B6" w:rsidRPr="009F05E7">
      <w:rPr>
        <w:sz w:val="20"/>
        <w:szCs w:val="20"/>
      </w:rPr>
      <w:t>”</w:t>
    </w:r>
    <w:r w:rsidR="004368B6">
      <w:rPr>
        <w:sz w:val="28"/>
        <w:szCs w:val="28"/>
      </w:rPr>
      <w:t xml:space="preserve"> </w:t>
    </w:r>
    <w:r w:rsidR="004368B6" w:rsidRPr="006C4B86">
      <w:rPr>
        <w:sz w:val="20"/>
        <w:szCs w:val="20"/>
      </w:rPr>
      <w:t>sākotnējās ietekmes novērtējuma ziņojums (anotācija)</w:t>
    </w:r>
  </w:p>
  <w:p w:rsidR="00CC4DCE" w:rsidRDefault="00CC4D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91A" w:rsidRDefault="0093791A" w:rsidP="00CC4DCE">
      <w:r>
        <w:separator/>
      </w:r>
    </w:p>
  </w:footnote>
  <w:footnote w:type="continuationSeparator" w:id="0">
    <w:p w:rsidR="0093791A" w:rsidRDefault="0093791A" w:rsidP="00CC4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344780"/>
      <w:docPartObj>
        <w:docPartGallery w:val="Page Numbers (Top of Page)"/>
        <w:docPartUnique/>
      </w:docPartObj>
    </w:sdtPr>
    <w:sdtEndPr>
      <w:rPr>
        <w:noProof/>
      </w:rPr>
    </w:sdtEndPr>
    <w:sdtContent>
      <w:p w:rsidR="00CC4DCE" w:rsidRDefault="00CC4DCE">
        <w:pPr>
          <w:pStyle w:val="Header"/>
          <w:jc w:val="center"/>
        </w:pPr>
        <w:r>
          <w:fldChar w:fldCharType="begin"/>
        </w:r>
        <w:r>
          <w:instrText xml:space="preserve"> PAGE   \* MERGEFORMAT </w:instrText>
        </w:r>
        <w:r>
          <w:fldChar w:fldCharType="separate"/>
        </w:r>
        <w:r w:rsidR="00D63874">
          <w:rPr>
            <w:noProof/>
          </w:rPr>
          <w:t>8</w:t>
        </w:r>
        <w:r>
          <w:rPr>
            <w:noProof/>
          </w:rPr>
          <w:fldChar w:fldCharType="end"/>
        </w:r>
      </w:p>
    </w:sdtContent>
  </w:sdt>
  <w:p w:rsidR="00CC4DCE" w:rsidRDefault="00CC4D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6D2"/>
    <w:multiLevelType w:val="hybridMultilevel"/>
    <w:tmpl w:val="AF82AF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E76305A"/>
    <w:multiLevelType w:val="hybridMultilevel"/>
    <w:tmpl w:val="3EAE100A"/>
    <w:lvl w:ilvl="0" w:tplc="A014912E">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2">
    <w:nsid w:val="667265BC"/>
    <w:multiLevelType w:val="hybridMultilevel"/>
    <w:tmpl w:val="1FA44288"/>
    <w:lvl w:ilvl="0" w:tplc="4AFC1E9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A2D"/>
    <w:rsid w:val="00011ECE"/>
    <w:rsid w:val="00021642"/>
    <w:rsid w:val="00031D58"/>
    <w:rsid w:val="00033EB3"/>
    <w:rsid w:val="0003784A"/>
    <w:rsid w:val="00043DE5"/>
    <w:rsid w:val="00051CA3"/>
    <w:rsid w:val="00054ED3"/>
    <w:rsid w:val="000625DE"/>
    <w:rsid w:val="0006645C"/>
    <w:rsid w:val="000725F4"/>
    <w:rsid w:val="00097A82"/>
    <w:rsid w:val="000A7759"/>
    <w:rsid w:val="000B1CF1"/>
    <w:rsid w:val="000D07F2"/>
    <w:rsid w:val="00100E94"/>
    <w:rsid w:val="00106854"/>
    <w:rsid w:val="00166345"/>
    <w:rsid w:val="001934FC"/>
    <w:rsid w:val="001970D3"/>
    <w:rsid w:val="001A6940"/>
    <w:rsid w:val="001C6F13"/>
    <w:rsid w:val="001D7054"/>
    <w:rsid w:val="001E68A4"/>
    <w:rsid w:val="001F0624"/>
    <w:rsid w:val="001F18FB"/>
    <w:rsid w:val="001F73EC"/>
    <w:rsid w:val="00220278"/>
    <w:rsid w:val="00234193"/>
    <w:rsid w:val="002400A8"/>
    <w:rsid w:val="00250B71"/>
    <w:rsid w:val="00260E25"/>
    <w:rsid w:val="00267E33"/>
    <w:rsid w:val="00280DC6"/>
    <w:rsid w:val="00290EBD"/>
    <w:rsid w:val="00297239"/>
    <w:rsid w:val="002D4208"/>
    <w:rsid w:val="002E5AE8"/>
    <w:rsid w:val="002F0D7F"/>
    <w:rsid w:val="0032260F"/>
    <w:rsid w:val="0033722E"/>
    <w:rsid w:val="00343A0C"/>
    <w:rsid w:val="00380B0F"/>
    <w:rsid w:val="0039311C"/>
    <w:rsid w:val="003B09C8"/>
    <w:rsid w:val="003C0951"/>
    <w:rsid w:val="003D0F12"/>
    <w:rsid w:val="003D4B04"/>
    <w:rsid w:val="00401432"/>
    <w:rsid w:val="00435C7D"/>
    <w:rsid w:val="004368B6"/>
    <w:rsid w:val="00463106"/>
    <w:rsid w:val="00464CB7"/>
    <w:rsid w:val="004821D1"/>
    <w:rsid w:val="004A4480"/>
    <w:rsid w:val="004B6898"/>
    <w:rsid w:val="004E0C7B"/>
    <w:rsid w:val="004E4926"/>
    <w:rsid w:val="004E56B8"/>
    <w:rsid w:val="005034E5"/>
    <w:rsid w:val="00526828"/>
    <w:rsid w:val="00535B76"/>
    <w:rsid w:val="00576059"/>
    <w:rsid w:val="0058366A"/>
    <w:rsid w:val="00590C61"/>
    <w:rsid w:val="005A07D1"/>
    <w:rsid w:val="005C0AC8"/>
    <w:rsid w:val="005C585F"/>
    <w:rsid w:val="005D5E87"/>
    <w:rsid w:val="005E0D25"/>
    <w:rsid w:val="005E5E11"/>
    <w:rsid w:val="005E6745"/>
    <w:rsid w:val="005F290B"/>
    <w:rsid w:val="00613393"/>
    <w:rsid w:val="00631B0A"/>
    <w:rsid w:val="00651CA4"/>
    <w:rsid w:val="00652264"/>
    <w:rsid w:val="006555C9"/>
    <w:rsid w:val="00657D09"/>
    <w:rsid w:val="00661D26"/>
    <w:rsid w:val="006716B5"/>
    <w:rsid w:val="006837FE"/>
    <w:rsid w:val="00692738"/>
    <w:rsid w:val="006A3E3A"/>
    <w:rsid w:val="006C4200"/>
    <w:rsid w:val="006D1FC5"/>
    <w:rsid w:val="006F4793"/>
    <w:rsid w:val="007034B6"/>
    <w:rsid w:val="00712696"/>
    <w:rsid w:val="00723768"/>
    <w:rsid w:val="007245AF"/>
    <w:rsid w:val="00727117"/>
    <w:rsid w:val="00730CC4"/>
    <w:rsid w:val="007317B4"/>
    <w:rsid w:val="00732D6E"/>
    <w:rsid w:val="00744365"/>
    <w:rsid w:val="00767942"/>
    <w:rsid w:val="007919CC"/>
    <w:rsid w:val="007C6BC2"/>
    <w:rsid w:val="007D69E7"/>
    <w:rsid w:val="00810430"/>
    <w:rsid w:val="0082668D"/>
    <w:rsid w:val="00830DCA"/>
    <w:rsid w:val="00833E88"/>
    <w:rsid w:val="00844EDB"/>
    <w:rsid w:val="00847E05"/>
    <w:rsid w:val="00865403"/>
    <w:rsid w:val="008673D2"/>
    <w:rsid w:val="0087332E"/>
    <w:rsid w:val="0087445B"/>
    <w:rsid w:val="00895A06"/>
    <w:rsid w:val="008A0883"/>
    <w:rsid w:val="008E450A"/>
    <w:rsid w:val="008F5D61"/>
    <w:rsid w:val="00910246"/>
    <w:rsid w:val="0091558B"/>
    <w:rsid w:val="00916031"/>
    <w:rsid w:val="009210BC"/>
    <w:rsid w:val="00925B2B"/>
    <w:rsid w:val="00931E7B"/>
    <w:rsid w:val="009342CF"/>
    <w:rsid w:val="0093791A"/>
    <w:rsid w:val="00980D34"/>
    <w:rsid w:val="009A0067"/>
    <w:rsid w:val="009A109F"/>
    <w:rsid w:val="009A71EB"/>
    <w:rsid w:val="009C5E83"/>
    <w:rsid w:val="00A00FC4"/>
    <w:rsid w:val="00A0404C"/>
    <w:rsid w:val="00A07B0A"/>
    <w:rsid w:val="00A3471C"/>
    <w:rsid w:val="00A361B0"/>
    <w:rsid w:val="00A57472"/>
    <w:rsid w:val="00A775A1"/>
    <w:rsid w:val="00A90A8D"/>
    <w:rsid w:val="00A95CFF"/>
    <w:rsid w:val="00AA5A2D"/>
    <w:rsid w:val="00AB5B9A"/>
    <w:rsid w:val="00AD7041"/>
    <w:rsid w:val="00AE4078"/>
    <w:rsid w:val="00AF2492"/>
    <w:rsid w:val="00B12E42"/>
    <w:rsid w:val="00B16572"/>
    <w:rsid w:val="00B23BDF"/>
    <w:rsid w:val="00B26246"/>
    <w:rsid w:val="00B32B2A"/>
    <w:rsid w:val="00B40137"/>
    <w:rsid w:val="00B42418"/>
    <w:rsid w:val="00B61470"/>
    <w:rsid w:val="00B65132"/>
    <w:rsid w:val="00B8306D"/>
    <w:rsid w:val="00B94FC0"/>
    <w:rsid w:val="00B97643"/>
    <w:rsid w:val="00BA41DC"/>
    <w:rsid w:val="00BC7E3C"/>
    <w:rsid w:val="00BD070D"/>
    <w:rsid w:val="00BD0C5B"/>
    <w:rsid w:val="00BD520F"/>
    <w:rsid w:val="00BE3831"/>
    <w:rsid w:val="00BF0AB1"/>
    <w:rsid w:val="00C0097F"/>
    <w:rsid w:val="00C03D4F"/>
    <w:rsid w:val="00C06575"/>
    <w:rsid w:val="00C231E7"/>
    <w:rsid w:val="00C30A89"/>
    <w:rsid w:val="00C34715"/>
    <w:rsid w:val="00C354E1"/>
    <w:rsid w:val="00C502EC"/>
    <w:rsid w:val="00C52A94"/>
    <w:rsid w:val="00C71397"/>
    <w:rsid w:val="00C868F4"/>
    <w:rsid w:val="00CA40D5"/>
    <w:rsid w:val="00CA7EAB"/>
    <w:rsid w:val="00CC4DCE"/>
    <w:rsid w:val="00CD71C7"/>
    <w:rsid w:val="00CE2858"/>
    <w:rsid w:val="00CE56A5"/>
    <w:rsid w:val="00D02F93"/>
    <w:rsid w:val="00D219B8"/>
    <w:rsid w:val="00D22274"/>
    <w:rsid w:val="00D63874"/>
    <w:rsid w:val="00D803C0"/>
    <w:rsid w:val="00DA4261"/>
    <w:rsid w:val="00DA7437"/>
    <w:rsid w:val="00DB46AE"/>
    <w:rsid w:val="00DC1FA8"/>
    <w:rsid w:val="00E04EF9"/>
    <w:rsid w:val="00E130D2"/>
    <w:rsid w:val="00E27BC2"/>
    <w:rsid w:val="00E40C76"/>
    <w:rsid w:val="00E47ABE"/>
    <w:rsid w:val="00E55C04"/>
    <w:rsid w:val="00E60D64"/>
    <w:rsid w:val="00E705BF"/>
    <w:rsid w:val="00E77A33"/>
    <w:rsid w:val="00E90657"/>
    <w:rsid w:val="00EA540E"/>
    <w:rsid w:val="00EA7785"/>
    <w:rsid w:val="00EE16BF"/>
    <w:rsid w:val="00EF1459"/>
    <w:rsid w:val="00EF5A87"/>
    <w:rsid w:val="00F425FA"/>
    <w:rsid w:val="00F5475E"/>
    <w:rsid w:val="00F75995"/>
    <w:rsid w:val="00F81C69"/>
    <w:rsid w:val="00F83A1B"/>
    <w:rsid w:val="00FA3B2C"/>
    <w:rsid w:val="00FB283C"/>
    <w:rsid w:val="00FB32DF"/>
    <w:rsid w:val="00FB6DEC"/>
    <w:rsid w:val="00FC0951"/>
    <w:rsid w:val="00FD4838"/>
    <w:rsid w:val="00FE34D6"/>
    <w:rsid w:val="00FF17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A0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95A06"/>
    <w:rPr>
      <w:sz w:val="28"/>
      <w:lang w:eastAsia="en-US"/>
    </w:rPr>
  </w:style>
  <w:style w:type="character" w:customStyle="1" w:styleId="BodyTextChar">
    <w:name w:val="Body Text Char"/>
    <w:basedOn w:val="DefaultParagraphFont"/>
    <w:link w:val="BodyText"/>
    <w:semiHidden/>
    <w:rsid w:val="00895A06"/>
    <w:rPr>
      <w:rFonts w:ascii="Times New Roman" w:eastAsia="Times New Roman" w:hAnsi="Times New Roman" w:cs="Times New Roman"/>
      <w:sz w:val="28"/>
      <w:szCs w:val="24"/>
    </w:rPr>
  </w:style>
  <w:style w:type="paragraph" w:styleId="NoSpacing">
    <w:name w:val="No Spacing"/>
    <w:uiPriority w:val="1"/>
    <w:qFormat/>
    <w:rsid w:val="00895A06"/>
    <w:pPr>
      <w:spacing w:after="0" w:line="240" w:lineRule="auto"/>
    </w:pPr>
    <w:rPr>
      <w:rFonts w:ascii="Times New Roman" w:eastAsia="Times New Roman" w:hAnsi="Times New Roman" w:cs="Times New Roman"/>
      <w:sz w:val="24"/>
      <w:szCs w:val="24"/>
      <w:lang w:eastAsia="lv-LV"/>
    </w:rPr>
  </w:style>
  <w:style w:type="paragraph" w:customStyle="1" w:styleId="naislab">
    <w:name w:val="naislab"/>
    <w:basedOn w:val="Normal"/>
    <w:rsid w:val="00895A06"/>
    <w:pPr>
      <w:spacing w:before="75" w:after="75"/>
      <w:jc w:val="right"/>
    </w:pPr>
  </w:style>
  <w:style w:type="paragraph" w:customStyle="1" w:styleId="tv2132">
    <w:name w:val="tv2132"/>
    <w:basedOn w:val="Normal"/>
    <w:rsid w:val="00895A06"/>
    <w:pPr>
      <w:spacing w:line="360" w:lineRule="auto"/>
      <w:ind w:firstLine="300"/>
    </w:pPr>
    <w:rPr>
      <w:color w:val="414142"/>
      <w:sz w:val="20"/>
      <w:szCs w:val="20"/>
    </w:rPr>
  </w:style>
  <w:style w:type="character" w:styleId="SubtleEmphasis">
    <w:name w:val="Subtle Emphasis"/>
    <w:uiPriority w:val="19"/>
    <w:qFormat/>
    <w:rsid w:val="00895A06"/>
    <w:rPr>
      <w:i/>
      <w:iCs/>
      <w:color w:val="808080"/>
    </w:rPr>
  </w:style>
  <w:style w:type="paragraph" w:styleId="Header">
    <w:name w:val="header"/>
    <w:basedOn w:val="Normal"/>
    <w:link w:val="HeaderChar"/>
    <w:uiPriority w:val="99"/>
    <w:unhideWhenUsed/>
    <w:rsid w:val="00CC4DCE"/>
    <w:pPr>
      <w:tabs>
        <w:tab w:val="center" w:pos="4153"/>
        <w:tab w:val="right" w:pos="8306"/>
      </w:tabs>
    </w:pPr>
  </w:style>
  <w:style w:type="character" w:customStyle="1" w:styleId="HeaderChar">
    <w:name w:val="Header Char"/>
    <w:basedOn w:val="DefaultParagraphFont"/>
    <w:link w:val="Header"/>
    <w:uiPriority w:val="99"/>
    <w:rsid w:val="00CC4DC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C4DCE"/>
    <w:pPr>
      <w:tabs>
        <w:tab w:val="center" w:pos="4153"/>
        <w:tab w:val="right" w:pos="8306"/>
      </w:tabs>
    </w:pPr>
  </w:style>
  <w:style w:type="character" w:customStyle="1" w:styleId="FooterChar">
    <w:name w:val="Footer Char"/>
    <w:basedOn w:val="DefaultParagraphFont"/>
    <w:link w:val="Footer"/>
    <w:uiPriority w:val="99"/>
    <w:rsid w:val="00CC4DCE"/>
    <w:rPr>
      <w:rFonts w:ascii="Times New Roman" w:eastAsia="Times New Roman" w:hAnsi="Times New Roman" w:cs="Times New Roman"/>
      <w:sz w:val="24"/>
      <w:szCs w:val="24"/>
      <w:lang w:eastAsia="lv-LV"/>
    </w:rPr>
  </w:style>
  <w:style w:type="character" w:styleId="Hyperlink">
    <w:name w:val="Hyperlink"/>
    <w:basedOn w:val="DefaultParagraphFont"/>
    <w:rsid w:val="002D4208"/>
    <w:rPr>
      <w:color w:val="0000FF"/>
      <w:u w:val="single"/>
    </w:rPr>
  </w:style>
  <w:style w:type="paragraph" w:styleId="ListParagraph">
    <w:name w:val="List Paragraph"/>
    <w:basedOn w:val="Normal"/>
    <w:uiPriority w:val="34"/>
    <w:qFormat/>
    <w:rsid w:val="00E55C04"/>
    <w:pPr>
      <w:spacing w:after="160" w:line="259" w:lineRule="auto"/>
      <w:ind w:left="720"/>
      <w:contextualSpacing/>
    </w:pPr>
    <w:rPr>
      <w:rFonts w:eastAsiaTheme="minorHAnsi" w:cstheme="minorBidi"/>
      <w:sz w:val="26"/>
      <w:szCs w:val="22"/>
      <w:lang w:eastAsia="en-US"/>
    </w:rPr>
  </w:style>
  <w:style w:type="paragraph" w:styleId="BalloonText">
    <w:name w:val="Balloon Text"/>
    <w:basedOn w:val="Normal"/>
    <w:link w:val="BalloonTextChar"/>
    <w:uiPriority w:val="99"/>
    <w:semiHidden/>
    <w:unhideWhenUsed/>
    <w:rsid w:val="00D803C0"/>
    <w:rPr>
      <w:rFonts w:ascii="Tahoma" w:hAnsi="Tahoma" w:cs="Tahoma"/>
      <w:sz w:val="16"/>
      <w:szCs w:val="16"/>
    </w:rPr>
  </w:style>
  <w:style w:type="character" w:customStyle="1" w:styleId="BalloonTextChar">
    <w:name w:val="Balloon Text Char"/>
    <w:basedOn w:val="DefaultParagraphFont"/>
    <w:link w:val="BalloonText"/>
    <w:uiPriority w:val="99"/>
    <w:semiHidden/>
    <w:rsid w:val="00D803C0"/>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A0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95A06"/>
    <w:rPr>
      <w:sz w:val="28"/>
      <w:lang w:eastAsia="en-US"/>
    </w:rPr>
  </w:style>
  <w:style w:type="character" w:customStyle="1" w:styleId="BodyTextChar">
    <w:name w:val="Body Text Char"/>
    <w:basedOn w:val="DefaultParagraphFont"/>
    <w:link w:val="BodyText"/>
    <w:semiHidden/>
    <w:rsid w:val="00895A06"/>
    <w:rPr>
      <w:rFonts w:ascii="Times New Roman" w:eastAsia="Times New Roman" w:hAnsi="Times New Roman" w:cs="Times New Roman"/>
      <w:sz w:val="28"/>
      <w:szCs w:val="24"/>
    </w:rPr>
  </w:style>
  <w:style w:type="paragraph" w:styleId="NoSpacing">
    <w:name w:val="No Spacing"/>
    <w:uiPriority w:val="1"/>
    <w:qFormat/>
    <w:rsid w:val="00895A06"/>
    <w:pPr>
      <w:spacing w:after="0" w:line="240" w:lineRule="auto"/>
    </w:pPr>
    <w:rPr>
      <w:rFonts w:ascii="Times New Roman" w:eastAsia="Times New Roman" w:hAnsi="Times New Roman" w:cs="Times New Roman"/>
      <w:sz w:val="24"/>
      <w:szCs w:val="24"/>
      <w:lang w:eastAsia="lv-LV"/>
    </w:rPr>
  </w:style>
  <w:style w:type="paragraph" w:customStyle="1" w:styleId="naislab">
    <w:name w:val="naislab"/>
    <w:basedOn w:val="Normal"/>
    <w:rsid w:val="00895A06"/>
    <w:pPr>
      <w:spacing w:before="75" w:after="75"/>
      <w:jc w:val="right"/>
    </w:pPr>
  </w:style>
  <w:style w:type="paragraph" w:customStyle="1" w:styleId="tv2132">
    <w:name w:val="tv2132"/>
    <w:basedOn w:val="Normal"/>
    <w:rsid w:val="00895A06"/>
    <w:pPr>
      <w:spacing w:line="360" w:lineRule="auto"/>
      <w:ind w:firstLine="300"/>
    </w:pPr>
    <w:rPr>
      <w:color w:val="414142"/>
      <w:sz w:val="20"/>
      <w:szCs w:val="20"/>
    </w:rPr>
  </w:style>
  <w:style w:type="character" w:styleId="SubtleEmphasis">
    <w:name w:val="Subtle Emphasis"/>
    <w:uiPriority w:val="19"/>
    <w:qFormat/>
    <w:rsid w:val="00895A06"/>
    <w:rPr>
      <w:i/>
      <w:iCs/>
      <w:color w:val="808080"/>
    </w:rPr>
  </w:style>
  <w:style w:type="paragraph" w:styleId="Header">
    <w:name w:val="header"/>
    <w:basedOn w:val="Normal"/>
    <w:link w:val="HeaderChar"/>
    <w:uiPriority w:val="99"/>
    <w:unhideWhenUsed/>
    <w:rsid w:val="00CC4DCE"/>
    <w:pPr>
      <w:tabs>
        <w:tab w:val="center" w:pos="4153"/>
        <w:tab w:val="right" w:pos="8306"/>
      </w:tabs>
    </w:pPr>
  </w:style>
  <w:style w:type="character" w:customStyle="1" w:styleId="HeaderChar">
    <w:name w:val="Header Char"/>
    <w:basedOn w:val="DefaultParagraphFont"/>
    <w:link w:val="Header"/>
    <w:uiPriority w:val="99"/>
    <w:rsid w:val="00CC4DC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C4DCE"/>
    <w:pPr>
      <w:tabs>
        <w:tab w:val="center" w:pos="4153"/>
        <w:tab w:val="right" w:pos="8306"/>
      </w:tabs>
    </w:pPr>
  </w:style>
  <w:style w:type="character" w:customStyle="1" w:styleId="FooterChar">
    <w:name w:val="Footer Char"/>
    <w:basedOn w:val="DefaultParagraphFont"/>
    <w:link w:val="Footer"/>
    <w:uiPriority w:val="99"/>
    <w:rsid w:val="00CC4DCE"/>
    <w:rPr>
      <w:rFonts w:ascii="Times New Roman" w:eastAsia="Times New Roman" w:hAnsi="Times New Roman" w:cs="Times New Roman"/>
      <w:sz w:val="24"/>
      <w:szCs w:val="24"/>
      <w:lang w:eastAsia="lv-LV"/>
    </w:rPr>
  </w:style>
  <w:style w:type="character" w:styleId="Hyperlink">
    <w:name w:val="Hyperlink"/>
    <w:basedOn w:val="DefaultParagraphFont"/>
    <w:rsid w:val="002D4208"/>
    <w:rPr>
      <w:color w:val="0000FF"/>
      <w:u w:val="single"/>
    </w:rPr>
  </w:style>
  <w:style w:type="paragraph" w:styleId="ListParagraph">
    <w:name w:val="List Paragraph"/>
    <w:basedOn w:val="Normal"/>
    <w:uiPriority w:val="34"/>
    <w:qFormat/>
    <w:rsid w:val="00E55C04"/>
    <w:pPr>
      <w:spacing w:after="160" w:line="259" w:lineRule="auto"/>
      <w:ind w:left="720"/>
      <w:contextualSpacing/>
    </w:pPr>
    <w:rPr>
      <w:rFonts w:eastAsiaTheme="minorHAnsi" w:cstheme="minorBidi"/>
      <w:sz w:val="26"/>
      <w:szCs w:val="22"/>
      <w:lang w:eastAsia="en-US"/>
    </w:rPr>
  </w:style>
  <w:style w:type="paragraph" w:styleId="BalloonText">
    <w:name w:val="Balloon Text"/>
    <w:basedOn w:val="Normal"/>
    <w:link w:val="BalloonTextChar"/>
    <w:uiPriority w:val="99"/>
    <w:semiHidden/>
    <w:unhideWhenUsed/>
    <w:rsid w:val="00D803C0"/>
    <w:rPr>
      <w:rFonts w:ascii="Tahoma" w:hAnsi="Tahoma" w:cs="Tahoma"/>
      <w:sz w:val="16"/>
      <w:szCs w:val="16"/>
    </w:rPr>
  </w:style>
  <w:style w:type="character" w:customStyle="1" w:styleId="BalloonTextChar">
    <w:name w:val="Balloon Text Char"/>
    <w:basedOn w:val="DefaultParagraphFont"/>
    <w:link w:val="BalloonText"/>
    <w:uiPriority w:val="99"/>
    <w:semiHidden/>
    <w:rsid w:val="00D803C0"/>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55138">
      <w:bodyDiv w:val="1"/>
      <w:marLeft w:val="0"/>
      <w:marRight w:val="0"/>
      <w:marTop w:val="0"/>
      <w:marBottom w:val="0"/>
      <w:divBdr>
        <w:top w:val="none" w:sz="0" w:space="0" w:color="auto"/>
        <w:left w:val="none" w:sz="0" w:space="0" w:color="auto"/>
        <w:bottom w:val="none" w:sz="0" w:space="0" w:color="auto"/>
        <w:right w:val="none" w:sz="0" w:space="0" w:color="auto"/>
      </w:divBdr>
    </w:div>
    <w:div w:id="521675933">
      <w:bodyDiv w:val="1"/>
      <w:marLeft w:val="0"/>
      <w:marRight w:val="0"/>
      <w:marTop w:val="0"/>
      <w:marBottom w:val="0"/>
      <w:divBdr>
        <w:top w:val="none" w:sz="0" w:space="0" w:color="auto"/>
        <w:left w:val="none" w:sz="0" w:space="0" w:color="auto"/>
        <w:bottom w:val="none" w:sz="0" w:space="0" w:color="auto"/>
        <w:right w:val="none" w:sz="0" w:space="0" w:color="auto"/>
      </w:divBdr>
    </w:div>
    <w:div w:id="572817094">
      <w:bodyDiv w:val="1"/>
      <w:marLeft w:val="0"/>
      <w:marRight w:val="0"/>
      <w:marTop w:val="0"/>
      <w:marBottom w:val="0"/>
      <w:divBdr>
        <w:top w:val="none" w:sz="0" w:space="0" w:color="auto"/>
        <w:left w:val="none" w:sz="0" w:space="0" w:color="auto"/>
        <w:bottom w:val="none" w:sz="0" w:space="0" w:color="auto"/>
        <w:right w:val="none" w:sz="0" w:space="0" w:color="auto"/>
      </w:divBdr>
    </w:div>
    <w:div w:id="879435902">
      <w:bodyDiv w:val="1"/>
      <w:marLeft w:val="0"/>
      <w:marRight w:val="0"/>
      <w:marTop w:val="0"/>
      <w:marBottom w:val="0"/>
      <w:divBdr>
        <w:top w:val="none" w:sz="0" w:space="0" w:color="auto"/>
        <w:left w:val="none" w:sz="0" w:space="0" w:color="auto"/>
        <w:bottom w:val="none" w:sz="0" w:space="0" w:color="auto"/>
        <w:right w:val="none" w:sz="0" w:space="0" w:color="auto"/>
      </w:divBdr>
    </w:div>
    <w:div w:id="983006370">
      <w:bodyDiv w:val="1"/>
      <w:marLeft w:val="0"/>
      <w:marRight w:val="0"/>
      <w:marTop w:val="0"/>
      <w:marBottom w:val="0"/>
      <w:divBdr>
        <w:top w:val="none" w:sz="0" w:space="0" w:color="auto"/>
        <w:left w:val="none" w:sz="0" w:space="0" w:color="auto"/>
        <w:bottom w:val="none" w:sz="0" w:space="0" w:color="auto"/>
        <w:right w:val="none" w:sz="0" w:space="0" w:color="auto"/>
      </w:divBdr>
    </w:div>
    <w:div w:id="1227184958">
      <w:bodyDiv w:val="1"/>
      <w:marLeft w:val="0"/>
      <w:marRight w:val="0"/>
      <w:marTop w:val="0"/>
      <w:marBottom w:val="0"/>
      <w:divBdr>
        <w:top w:val="none" w:sz="0" w:space="0" w:color="auto"/>
        <w:left w:val="none" w:sz="0" w:space="0" w:color="auto"/>
        <w:bottom w:val="none" w:sz="0" w:space="0" w:color="auto"/>
        <w:right w:val="none" w:sz="0" w:space="0" w:color="auto"/>
      </w:divBdr>
    </w:div>
    <w:div w:id="147799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inis.bilmanis@izm.gov.lv" TargetMode="External"/><Relationship Id="rId4" Type="http://schemas.microsoft.com/office/2007/relationships/stylesWithEffects" Target="stylesWithEffects.xml"/><Relationship Id="rId9" Type="http://schemas.openxmlformats.org/officeDocument/2006/relationships/hyperlink" Target="http://www.visc.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CCB4B-AA25-4AA3-A85C-6E0990C6A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7637</Words>
  <Characters>4354</Characters>
  <Application>Microsoft Office Word</Application>
  <DocSecurity>0</DocSecurity>
  <Lines>36</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„Obligāti piemērojamo profesiju standartu un profesionālās kvalifikācijas prasību saraksts un tajā iekļauto profesijas standartu un profesionālās kvalifikācijas prasību publiskošanas kārtība” sākotnējās ietekmes novērtējuma ziņojums (anotācija)</dc:title>
  <dc:creator>Dainis Bīlmanis;Ronalds Saksons 67503753;Ronalds.Saksons@visc.gov.lv</dc:creator>
  <cp:lastModifiedBy>Ivars Zemļanskis</cp:lastModifiedBy>
  <cp:revision>3</cp:revision>
  <cp:lastPrinted>2018-08-03T09:05:00Z</cp:lastPrinted>
  <dcterms:created xsi:type="dcterms:W3CDTF">2018-08-27T13:17:00Z</dcterms:created>
  <dcterms:modified xsi:type="dcterms:W3CDTF">2018-09-07T07:18:00Z</dcterms:modified>
</cp:coreProperties>
</file>