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8B633" w14:textId="77777777" w:rsidR="00DF6F16" w:rsidRPr="0079316C" w:rsidRDefault="00DF6F16" w:rsidP="00DF6F16">
      <w:pPr>
        <w:pStyle w:val="NoSpacing"/>
        <w:jc w:val="center"/>
        <w:rPr>
          <w:rFonts w:ascii="Times New Roman" w:hAnsi="Times New Roman" w:cs="Times New Roman"/>
          <w:b/>
          <w:bCs/>
          <w:sz w:val="28"/>
        </w:rPr>
      </w:pPr>
      <w:r>
        <w:rPr>
          <w:rFonts w:ascii="Times New Roman" w:hAnsi="Times New Roman" w:cs="Times New Roman"/>
          <w:b/>
          <w:sz w:val="28"/>
        </w:rPr>
        <w:t xml:space="preserve">  </w:t>
      </w:r>
      <w:r w:rsidRPr="0079316C">
        <w:rPr>
          <w:rFonts w:ascii="Times New Roman" w:hAnsi="Times New Roman" w:cs="Times New Roman"/>
          <w:b/>
          <w:sz w:val="28"/>
        </w:rPr>
        <w:t>Ministru kabineta rīkojuma projekta „Par finanšu līdzekļu piešķiršanu no valsts budžeta programmas „Līdzekļi neparedzētiem gadījumiem””</w:t>
      </w:r>
    </w:p>
    <w:p w14:paraId="4C78B634" w14:textId="77777777" w:rsidR="00DF6F16" w:rsidRPr="0079316C" w:rsidRDefault="00DF6F16" w:rsidP="00DF6F16">
      <w:pPr>
        <w:pStyle w:val="NoSpacing"/>
        <w:jc w:val="center"/>
        <w:rPr>
          <w:rFonts w:ascii="Times New Roman" w:hAnsi="Times New Roman" w:cs="Times New Roman"/>
          <w:b/>
          <w:bCs/>
          <w:sz w:val="28"/>
        </w:rPr>
      </w:pPr>
      <w:r w:rsidRPr="0079316C">
        <w:rPr>
          <w:rFonts w:ascii="Times New Roman" w:hAnsi="Times New Roman" w:cs="Times New Roman"/>
          <w:b/>
          <w:bCs/>
          <w:sz w:val="28"/>
        </w:rPr>
        <w:t>sākotnējās ietekmes novērtējuma ziņojums (anotācija)</w:t>
      </w:r>
    </w:p>
    <w:p w14:paraId="4C78B635" w14:textId="77777777" w:rsidR="00DF6F16" w:rsidRDefault="00DF6F16" w:rsidP="00DF6F16">
      <w:pPr>
        <w:pStyle w:val="NoSpacing"/>
        <w:rPr>
          <w:rFonts w:ascii="Times New Roman" w:hAnsi="Times New Roman" w:cs="Times New Roman"/>
          <w:sz w:val="24"/>
          <w:szCs w:val="24"/>
          <w:lang w:eastAsia="lv-LV"/>
        </w:rPr>
      </w:pPr>
    </w:p>
    <w:tbl>
      <w:tblPr>
        <w:tblStyle w:val="TableGrid"/>
        <w:tblW w:w="10060" w:type="dxa"/>
        <w:jc w:val="center"/>
        <w:tblLook w:val="04A0" w:firstRow="1" w:lastRow="0" w:firstColumn="1" w:lastColumn="0" w:noHBand="0" w:noVBand="1"/>
      </w:tblPr>
      <w:tblGrid>
        <w:gridCol w:w="10060"/>
      </w:tblGrid>
      <w:tr w:rsidR="00DF6F16" w14:paraId="4C78B637" w14:textId="77777777" w:rsidTr="00DF6F16">
        <w:trPr>
          <w:jc w:val="center"/>
        </w:trPr>
        <w:tc>
          <w:tcPr>
            <w:tcW w:w="10060" w:type="dxa"/>
          </w:tcPr>
          <w:p w14:paraId="4C78B636" w14:textId="77777777" w:rsidR="00DF6F16" w:rsidRPr="00967728" w:rsidRDefault="00DF6F16" w:rsidP="00B262D9">
            <w:pPr>
              <w:pStyle w:val="NoSpacing"/>
              <w:jc w:val="center"/>
              <w:rPr>
                <w:rFonts w:ascii="Times New Roman" w:hAnsi="Times New Roman" w:cs="Times New Roman"/>
                <w:b/>
                <w:sz w:val="24"/>
                <w:szCs w:val="24"/>
                <w:lang w:eastAsia="lv-LV"/>
              </w:rPr>
            </w:pPr>
            <w:r w:rsidRPr="00967728">
              <w:rPr>
                <w:rFonts w:ascii="Times New Roman" w:hAnsi="Times New Roman" w:cs="Times New Roman"/>
                <w:b/>
                <w:sz w:val="24"/>
                <w:szCs w:val="24"/>
                <w:lang w:eastAsia="lv-LV"/>
              </w:rPr>
              <w:t>Tiesību akta projekta anotācijas kopsavilkums</w:t>
            </w:r>
          </w:p>
        </w:tc>
      </w:tr>
      <w:tr w:rsidR="00DF6F16" w14:paraId="4C78B639" w14:textId="77777777" w:rsidTr="00DF6F16">
        <w:trPr>
          <w:jc w:val="center"/>
        </w:trPr>
        <w:tc>
          <w:tcPr>
            <w:tcW w:w="10060" w:type="dxa"/>
          </w:tcPr>
          <w:p w14:paraId="4C78B638" w14:textId="77777777" w:rsidR="00DF6F16" w:rsidRDefault="00DF6F16" w:rsidP="00B262D9">
            <w:pPr>
              <w:pStyle w:val="NoSpacing"/>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sidR="00225FC9">
              <w:rPr>
                <w:rFonts w:ascii="Times New Roman" w:hAnsi="Times New Roman" w:cs="Times New Roman"/>
                <w:sz w:val="24"/>
                <w:szCs w:val="24"/>
                <w:lang w:eastAsia="lv-LV"/>
              </w:rPr>
              <w:t>.</w:t>
            </w:r>
          </w:p>
        </w:tc>
      </w:tr>
    </w:tbl>
    <w:p w14:paraId="4C78B63A" w14:textId="77777777" w:rsidR="00DF6F16" w:rsidRPr="0079316C" w:rsidRDefault="00DF6F16" w:rsidP="00DF6F16">
      <w:pPr>
        <w:pStyle w:val="NoSpacing"/>
        <w:rPr>
          <w:rFonts w:ascii="Times New Roman" w:hAnsi="Times New Roman" w:cs="Times New Roman"/>
          <w:sz w:val="24"/>
          <w:szCs w:val="24"/>
          <w:lang w:eastAsia="lv-LV"/>
        </w:rPr>
      </w:pPr>
    </w:p>
    <w:tbl>
      <w:tblPr>
        <w:tblStyle w:val="TableGrid"/>
        <w:tblW w:w="10201" w:type="dxa"/>
        <w:jc w:val="center"/>
        <w:tblLook w:val="04A0" w:firstRow="1" w:lastRow="0" w:firstColumn="1" w:lastColumn="0" w:noHBand="0" w:noVBand="1"/>
      </w:tblPr>
      <w:tblGrid>
        <w:gridCol w:w="719"/>
        <w:gridCol w:w="2185"/>
        <w:gridCol w:w="7297"/>
      </w:tblGrid>
      <w:tr w:rsidR="00DF6F16" w14:paraId="4C78B63C" w14:textId="77777777" w:rsidTr="00EF09CD">
        <w:trPr>
          <w:jc w:val="center"/>
        </w:trPr>
        <w:tc>
          <w:tcPr>
            <w:tcW w:w="10201" w:type="dxa"/>
            <w:gridSpan w:val="3"/>
          </w:tcPr>
          <w:p w14:paraId="4C78B63B" w14:textId="77777777" w:rsidR="00DF6F16" w:rsidRDefault="00DF6F16" w:rsidP="00B262D9">
            <w:pPr>
              <w:pStyle w:val="NoSpacing"/>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 Tiesību akta projekta izstrādes nepieciešamība</w:t>
            </w:r>
          </w:p>
        </w:tc>
      </w:tr>
      <w:tr w:rsidR="00DF6F16" w14:paraId="4C78B640" w14:textId="77777777" w:rsidTr="00EF09CD">
        <w:trPr>
          <w:jc w:val="center"/>
        </w:trPr>
        <w:tc>
          <w:tcPr>
            <w:tcW w:w="719" w:type="dxa"/>
          </w:tcPr>
          <w:p w14:paraId="4C78B63D" w14:textId="77777777" w:rsidR="00DF6F16" w:rsidRPr="0079316C" w:rsidRDefault="00DF6F16" w:rsidP="00B262D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2185" w:type="dxa"/>
          </w:tcPr>
          <w:p w14:paraId="4C78B63E" w14:textId="77777777" w:rsidR="00DF6F16" w:rsidRPr="0079316C" w:rsidRDefault="00DF6F16" w:rsidP="00B262D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Pamatojums</w:t>
            </w:r>
          </w:p>
        </w:tc>
        <w:tc>
          <w:tcPr>
            <w:tcW w:w="7297" w:type="dxa"/>
          </w:tcPr>
          <w:p w14:paraId="4C78B63F" w14:textId="39200D3F" w:rsidR="00DF6F16" w:rsidRPr="00182835" w:rsidRDefault="00F714E0" w:rsidP="005812A3">
            <w:pPr>
              <w:pStyle w:val="NoSpacing"/>
              <w:jc w:val="both"/>
              <w:rPr>
                <w:rFonts w:ascii="Times New Roman" w:hAnsi="Times New Roman" w:cs="Times New Roman"/>
                <w:sz w:val="24"/>
                <w:szCs w:val="24"/>
                <w:lang w:eastAsia="lv-LV"/>
              </w:rPr>
            </w:pPr>
            <w:r w:rsidRPr="00F714E0">
              <w:rPr>
                <w:rFonts w:ascii="Times New Roman" w:hAnsi="Times New Roman" w:cs="Times New Roman"/>
                <w:sz w:val="24"/>
                <w:szCs w:val="24"/>
              </w:rPr>
              <w:t xml:space="preserve">  Min</w:t>
            </w:r>
            <w:r w:rsidR="00852933">
              <w:rPr>
                <w:rFonts w:ascii="Times New Roman" w:hAnsi="Times New Roman" w:cs="Times New Roman"/>
                <w:sz w:val="24"/>
                <w:szCs w:val="24"/>
              </w:rPr>
              <w:t>istru kabineta rīkojuma projekts</w:t>
            </w:r>
            <w:r w:rsidRPr="00F714E0">
              <w:rPr>
                <w:rFonts w:ascii="Times New Roman" w:hAnsi="Times New Roman" w:cs="Times New Roman"/>
                <w:sz w:val="24"/>
                <w:szCs w:val="24"/>
              </w:rPr>
              <w:t xml:space="preserve"> „Par finanšu līdzekļu piešķiršanu no valsts budžeta programmas „Līdz</w:t>
            </w:r>
            <w:r w:rsidR="002F100F">
              <w:rPr>
                <w:rFonts w:ascii="Times New Roman" w:hAnsi="Times New Roman" w:cs="Times New Roman"/>
                <w:sz w:val="24"/>
                <w:szCs w:val="24"/>
              </w:rPr>
              <w:t>ekļi neparedzētiem gadījumiem” (</w:t>
            </w:r>
            <w:proofErr w:type="spellStart"/>
            <w:r w:rsidRPr="00F714E0">
              <w:rPr>
                <w:rFonts w:ascii="Times New Roman" w:hAnsi="Times New Roman" w:cs="Times New Roman"/>
                <w:sz w:val="24"/>
                <w:szCs w:val="24"/>
              </w:rPr>
              <w:t>turpmak</w:t>
            </w:r>
            <w:proofErr w:type="spellEnd"/>
            <w:r w:rsidRPr="00F714E0">
              <w:rPr>
                <w:rFonts w:ascii="Times New Roman" w:hAnsi="Times New Roman" w:cs="Times New Roman"/>
                <w:sz w:val="24"/>
                <w:szCs w:val="24"/>
              </w:rPr>
              <w:t xml:space="preserve"> – projekts) sagatavots, pamatojoties uz</w:t>
            </w:r>
            <w:r>
              <w:rPr>
                <w:rFonts w:ascii="Times New Roman" w:hAnsi="Times New Roman" w:cs="Times New Roman"/>
                <w:b/>
                <w:sz w:val="28"/>
              </w:rPr>
              <w:t xml:space="preserve"> </w:t>
            </w:r>
            <w:r w:rsidR="00DF6F16" w:rsidRPr="00182835">
              <w:rPr>
                <w:rFonts w:ascii="Times New Roman" w:hAnsi="Times New Roman" w:cs="Times New Roman"/>
                <w:sz w:val="24"/>
              </w:rPr>
              <w:t>Ministru kabineta 20</w:t>
            </w:r>
            <w:r w:rsidR="000D320A" w:rsidRPr="00182835">
              <w:rPr>
                <w:rFonts w:ascii="Times New Roman" w:hAnsi="Times New Roman" w:cs="Times New Roman"/>
                <w:sz w:val="24"/>
              </w:rPr>
              <w:t>18</w:t>
            </w:r>
            <w:r w:rsidR="00DF6F16" w:rsidRPr="00182835">
              <w:rPr>
                <w:rFonts w:ascii="Times New Roman" w:hAnsi="Times New Roman" w:cs="Times New Roman"/>
                <w:sz w:val="24"/>
              </w:rPr>
              <w:t xml:space="preserve">. gada </w:t>
            </w:r>
            <w:r w:rsidR="000D320A" w:rsidRPr="00182835">
              <w:rPr>
                <w:rFonts w:ascii="Times New Roman" w:hAnsi="Times New Roman" w:cs="Times New Roman"/>
                <w:sz w:val="24"/>
              </w:rPr>
              <w:t>17</w:t>
            </w:r>
            <w:r w:rsidR="00DF6F16" w:rsidRPr="00182835">
              <w:rPr>
                <w:rFonts w:ascii="Times New Roman" w:hAnsi="Times New Roman" w:cs="Times New Roman"/>
                <w:sz w:val="24"/>
              </w:rPr>
              <w:t xml:space="preserve">. </w:t>
            </w:r>
            <w:r w:rsidR="000D320A" w:rsidRPr="00182835">
              <w:rPr>
                <w:rFonts w:ascii="Times New Roman" w:hAnsi="Times New Roman" w:cs="Times New Roman"/>
                <w:sz w:val="24"/>
              </w:rPr>
              <w:t>jūlija</w:t>
            </w:r>
            <w:r w:rsidR="00DF6F16" w:rsidRPr="00182835">
              <w:rPr>
                <w:rFonts w:ascii="Times New Roman" w:hAnsi="Times New Roman" w:cs="Times New Roman"/>
                <w:sz w:val="24"/>
              </w:rPr>
              <w:t xml:space="preserve"> noteikumu Nr.</w:t>
            </w:r>
            <w:r w:rsidR="000D320A" w:rsidRPr="00182835">
              <w:rPr>
                <w:rFonts w:ascii="Times New Roman" w:hAnsi="Times New Roman" w:cs="Times New Roman"/>
                <w:sz w:val="24"/>
              </w:rPr>
              <w:t>421</w:t>
            </w:r>
            <w:r w:rsidR="00DF6F16" w:rsidRPr="00182835">
              <w:rPr>
                <w:rFonts w:ascii="Times New Roman" w:hAnsi="Times New Roman" w:cs="Times New Roman"/>
                <w:sz w:val="24"/>
              </w:rPr>
              <w:t xml:space="preserve"> „Kārtība, kādā</w:t>
            </w:r>
            <w:r w:rsidR="000D320A" w:rsidRPr="00182835">
              <w:rPr>
                <w:rFonts w:ascii="Times New Roman" w:hAnsi="Times New Roman" w:cs="Times New Roman"/>
                <w:sz w:val="24"/>
              </w:rPr>
              <w:t xml:space="preserve"> veic gadskārtējā valsts budžeta likumā noteiktās apropriācijas izmaiņas</w:t>
            </w:r>
            <w:r w:rsidR="00DF6F16" w:rsidRPr="00182835">
              <w:rPr>
                <w:rFonts w:ascii="Times New Roman" w:hAnsi="Times New Roman" w:cs="Times New Roman"/>
                <w:sz w:val="24"/>
              </w:rPr>
              <w:t>” (turpmāk</w:t>
            </w:r>
            <w:r w:rsidR="00225FC9" w:rsidRPr="00182835">
              <w:rPr>
                <w:rFonts w:ascii="Times New Roman" w:hAnsi="Times New Roman" w:cs="Times New Roman"/>
                <w:sz w:val="24"/>
              </w:rPr>
              <w:t> </w:t>
            </w:r>
            <w:r w:rsidR="00DF6F16" w:rsidRPr="00182835">
              <w:rPr>
                <w:rFonts w:ascii="Times New Roman" w:hAnsi="Times New Roman" w:cs="Times New Roman"/>
                <w:sz w:val="24"/>
              </w:rPr>
              <w:t>– noteikumi Nr.</w:t>
            </w:r>
            <w:r w:rsidR="000D320A" w:rsidRPr="00182835">
              <w:rPr>
                <w:rFonts w:ascii="Times New Roman" w:hAnsi="Times New Roman" w:cs="Times New Roman"/>
                <w:sz w:val="24"/>
              </w:rPr>
              <w:t>421</w:t>
            </w:r>
            <w:r w:rsidR="00DF6F16" w:rsidRPr="00182835">
              <w:rPr>
                <w:rFonts w:ascii="Times New Roman" w:hAnsi="Times New Roman" w:cs="Times New Roman"/>
                <w:sz w:val="24"/>
              </w:rPr>
              <w:t xml:space="preserve">) </w:t>
            </w:r>
            <w:r w:rsidR="000D320A" w:rsidRPr="00182835">
              <w:rPr>
                <w:rFonts w:ascii="Times New Roman" w:hAnsi="Times New Roman" w:cs="Times New Roman"/>
                <w:sz w:val="24"/>
              </w:rPr>
              <w:t>43</w:t>
            </w:r>
            <w:r w:rsidR="00852933">
              <w:rPr>
                <w:rFonts w:ascii="Times New Roman" w:hAnsi="Times New Roman" w:cs="Times New Roman"/>
                <w:sz w:val="24"/>
              </w:rPr>
              <w:t>.punktu</w:t>
            </w:r>
            <w:r w:rsidR="005812A3" w:rsidRPr="00182835">
              <w:rPr>
                <w:rFonts w:ascii="Times New Roman" w:hAnsi="Times New Roman" w:cs="Times New Roman"/>
                <w:sz w:val="24"/>
              </w:rPr>
              <w:t>.</w:t>
            </w:r>
          </w:p>
        </w:tc>
      </w:tr>
      <w:tr w:rsidR="005812A3" w14:paraId="4C78B67A" w14:textId="77777777" w:rsidTr="00EF09CD">
        <w:trPr>
          <w:jc w:val="center"/>
        </w:trPr>
        <w:tc>
          <w:tcPr>
            <w:tcW w:w="719" w:type="dxa"/>
          </w:tcPr>
          <w:p w14:paraId="4C78B641" w14:textId="77777777" w:rsidR="005812A3" w:rsidRPr="0079316C" w:rsidRDefault="005812A3" w:rsidP="005812A3">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2185" w:type="dxa"/>
          </w:tcPr>
          <w:p w14:paraId="4C78B642" w14:textId="77777777" w:rsidR="00D9504B" w:rsidRDefault="005812A3" w:rsidP="005812A3">
            <w:pPr>
              <w:pStyle w:val="NoSpacing"/>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Pašreizējā situācija un problēmas, kuru risināšanai tiesību akta projekts izstrādāts, tiesiskā regulējuma mērķis un būtība</w:t>
            </w:r>
          </w:p>
          <w:p w14:paraId="4C78B643" w14:textId="77777777" w:rsidR="00D9504B" w:rsidRPr="00D9504B" w:rsidRDefault="00D9504B" w:rsidP="00D9504B"/>
          <w:p w14:paraId="4C78B644" w14:textId="77777777" w:rsidR="00D9504B" w:rsidRPr="00D9504B" w:rsidRDefault="00D9504B" w:rsidP="00D9504B"/>
          <w:p w14:paraId="4C78B645" w14:textId="77777777" w:rsidR="00D9504B" w:rsidRPr="00D9504B" w:rsidRDefault="00D9504B" w:rsidP="00D9504B"/>
          <w:p w14:paraId="4C78B646" w14:textId="77777777" w:rsidR="00D9504B" w:rsidRPr="00D9504B" w:rsidRDefault="00D9504B" w:rsidP="00D9504B"/>
          <w:p w14:paraId="4C78B647" w14:textId="77777777" w:rsidR="00D9504B" w:rsidRPr="00D9504B" w:rsidRDefault="00D9504B" w:rsidP="00D9504B"/>
          <w:p w14:paraId="4C78B648" w14:textId="77777777" w:rsidR="00D9504B" w:rsidRPr="00D9504B" w:rsidRDefault="00D9504B" w:rsidP="00D9504B"/>
          <w:p w14:paraId="4C78B649" w14:textId="77777777" w:rsidR="00D9504B" w:rsidRPr="00D9504B" w:rsidRDefault="00D9504B" w:rsidP="00D9504B"/>
          <w:p w14:paraId="4C78B64A" w14:textId="77777777" w:rsidR="00D9504B" w:rsidRPr="00D9504B" w:rsidRDefault="00D9504B" w:rsidP="00D9504B"/>
          <w:p w14:paraId="4C78B64B" w14:textId="77777777" w:rsidR="00D9504B" w:rsidRPr="00D9504B" w:rsidRDefault="00D9504B" w:rsidP="00D9504B"/>
          <w:p w14:paraId="4C78B64C" w14:textId="77777777" w:rsidR="00D9504B" w:rsidRPr="00D9504B" w:rsidRDefault="00D9504B" w:rsidP="00D9504B"/>
          <w:p w14:paraId="4C78B64D" w14:textId="77777777" w:rsidR="00D9504B" w:rsidRPr="00D9504B" w:rsidRDefault="00D9504B" w:rsidP="00D9504B"/>
          <w:p w14:paraId="4C78B64E" w14:textId="77777777" w:rsidR="00D9504B" w:rsidRPr="00D9504B" w:rsidRDefault="00D9504B" w:rsidP="00D9504B"/>
          <w:p w14:paraId="4C78B64F" w14:textId="77777777" w:rsidR="00D9504B" w:rsidRPr="00D9504B" w:rsidRDefault="00D9504B" w:rsidP="00D9504B"/>
          <w:p w14:paraId="4C78B650" w14:textId="77777777" w:rsidR="00D9504B" w:rsidRPr="00D9504B" w:rsidRDefault="00D9504B" w:rsidP="00D9504B"/>
          <w:p w14:paraId="4C78B651" w14:textId="77777777" w:rsidR="00D9504B" w:rsidRPr="00D9504B" w:rsidRDefault="00D9504B" w:rsidP="00D9504B"/>
          <w:p w14:paraId="4C78B652" w14:textId="77777777" w:rsidR="00D9504B" w:rsidRPr="00D9504B" w:rsidRDefault="00D9504B" w:rsidP="00D9504B"/>
          <w:p w14:paraId="4C78B653" w14:textId="77777777" w:rsidR="00D9504B" w:rsidRPr="00D9504B" w:rsidRDefault="00D9504B" w:rsidP="00D9504B"/>
          <w:p w14:paraId="4C78B654" w14:textId="77777777" w:rsidR="00D9504B" w:rsidRPr="00D9504B" w:rsidRDefault="00D9504B" w:rsidP="00D9504B"/>
          <w:p w14:paraId="4C78B655" w14:textId="77777777" w:rsidR="00D9504B" w:rsidRPr="00D9504B" w:rsidRDefault="00D9504B" w:rsidP="00D9504B"/>
          <w:p w14:paraId="4C78B656" w14:textId="77777777" w:rsidR="00D9504B" w:rsidRPr="00D9504B" w:rsidRDefault="00D9504B" w:rsidP="00D9504B"/>
          <w:p w14:paraId="4C78B657" w14:textId="77777777" w:rsidR="00D9504B" w:rsidRPr="00D9504B" w:rsidRDefault="00D9504B" w:rsidP="00D9504B"/>
          <w:p w14:paraId="4C78B658" w14:textId="77777777" w:rsidR="00D9504B" w:rsidRPr="00D9504B" w:rsidRDefault="00D9504B" w:rsidP="00D9504B"/>
          <w:p w14:paraId="4C78B659" w14:textId="77777777" w:rsidR="00D9504B" w:rsidRPr="00D9504B" w:rsidRDefault="00D9504B" w:rsidP="00D9504B"/>
          <w:p w14:paraId="4C78B65A" w14:textId="77777777" w:rsidR="00D9504B" w:rsidRPr="00D9504B" w:rsidRDefault="00D9504B" w:rsidP="00D9504B"/>
          <w:p w14:paraId="4C78B65B" w14:textId="77777777" w:rsidR="00D9504B" w:rsidRPr="00D9504B" w:rsidRDefault="00D9504B" w:rsidP="00D9504B"/>
          <w:p w14:paraId="4C78B65C" w14:textId="77777777" w:rsidR="00D9504B" w:rsidRPr="00D9504B" w:rsidRDefault="00D9504B" w:rsidP="00D9504B"/>
          <w:p w14:paraId="4C78B65D" w14:textId="77777777" w:rsidR="00D9504B" w:rsidRPr="00D9504B" w:rsidRDefault="00D9504B" w:rsidP="00D9504B"/>
          <w:p w14:paraId="4C78B65E" w14:textId="77777777" w:rsidR="00D9504B" w:rsidRPr="00D9504B" w:rsidRDefault="00D9504B" w:rsidP="00D9504B"/>
          <w:p w14:paraId="4C78B65F" w14:textId="77777777" w:rsidR="00D9504B" w:rsidRPr="00D9504B" w:rsidRDefault="00D9504B" w:rsidP="00D9504B"/>
          <w:p w14:paraId="4C78B660" w14:textId="77777777" w:rsidR="00D9504B" w:rsidRPr="00D9504B" w:rsidRDefault="00D9504B" w:rsidP="00D9504B"/>
          <w:p w14:paraId="4C78B661" w14:textId="77777777" w:rsidR="00D9504B" w:rsidRPr="00D9504B" w:rsidRDefault="00D9504B" w:rsidP="00D9504B"/>
          <w:p w14:paraId="4C78B662" w14:textId="77777777" w:rsidR="00D9504B" w:rsidRDefault="00D9504B" w:rsidP="00D9504B"/>
          <w:p w14:paraId="4C78B663" w14:textId="77777777" w:rsidR="005812A3" w:rsidRPr="00D9504B" w:rsidRDefault="005812A3" w:rsidP="00107E43">
            <w:pPr>
              <w:jc w:val="center"/>
            </w:pPr>
          </w:p>
        </w:tc>
        <w:tc>
          <w:tcPr>
            <w:tcW w:w="7297" w:type="dxa"/>
          </w:tcPr>
          <w:p w14:paraId="29B78A6B" w14:textId="09AEA4D1" w:rsidR="00A962BF" w:rsidRDefault="000847BD" w:rsidP="000847BD">
            <w:pPr>
              <w:jc w:val="both"/>
            </w:pPr>
            <w:r w:rsidRPr="000F3570">
              <w:lastRenderedPageBreak/>
              <w:t>Ventspils Augstskolas (</w:t>
            </w:r>
            <w:r>
              <w:t xml:space="preserve">turpmāk – </w:t>
            </w:r>
            <w:proofErr w:type="spellStart"/>
            <w:r w:rsidRPr="000F3570">
              <w:t>VeA</w:t>
            </w:r>
            <w:proofErr w:type="spellEnd"/>
            <w:r w:rsidRPr="000F3570">
              <w:t>) Inženierzinātņu institūts “Ventspils Starptautiskais Rad</w:t>
            </w:r>
            <w:r>
              <w:t xml:space="preserve">ioastronomijas Centrs” (turpmāk – </w:t>
            </w:r>
            <w:r w:rsidRPr="000F3570">
              <w:t xml:space="preserve">VSRC) </w:t>
            </w:r>
            <w:r w:rsidRPr="007B0EBF">
              <w:t>2005</w:t>
            </w:r>
            <w:r w:rsidR="002F100F">
              <w:t>.</w:t>
            </w:r>
            <w:r w:rsidRPr="007B0EBF">
              <w:t xml:space="preserve">-2018.gadu periodā savas infrastruktūras attīstībā īsteno no Krievijas armijas pārņemto radioteleskopu </w:t>
            </w:r>
            <w:r w:rsidR="00852933">
              <w:t>atjaunošanu un</w:t>
            </w:r>
            <w:r w:rsidRPr="007B0EBF">
              <w:t xml:space="preserve"> uzlabošanu. VSRC Irbenes radioteleskopu infrastruktūrā ieguldīts vairāk kā 8,4 </w:t>
            </w:r>
            <w:proofErr w:type="spellStart"/>
            <w:r w:rsidR="00652449">
              <w:t>milj</w:t>
            </w:r>
            <w:proofErr w:type="spellEnd"/>
            <w:r w:rsidR="002F100F">
              <w:t xml:space="preserve"> </w:t>
            </w:r>
            <w:r w:rsidR="00652449">
              <w:t>.</w:t>
            </w:r>
            <w:proofErr w:type="spellStart"/>
            <w:r w:rsidR="00902E09" w:rsidRPr="00902E09">
              <w:rPr>
                <w:i/>
              </w:rPr>
              <w:t>euro</w:t>
            </w:r>
            <w:proofErr w:type="spellEnd"/>
            <w:r w:rsidRPr="007B0EBF">
              <w:t>, kā rezultātā</w:t>
            </w:r>
            <w:r w:rsidRPr="000F3570">
              <w:t xml:space="preserve"> VSRC radioteleskop</w:t>
            </w:r>
            <w:r>
              <w:t>i</w:t>
            </w:r>
            <w:r w:rsidRPr="000F3570">
              <w:t xml:space="preserve"> ir atzīt</w:t>
            </w:r>
            <w:r>
              <w:t>i</w:t>
            </w:r>
            <w:r w:rsidRPr="000F3570">
              <w:t xml:space="preserve"> kā pilnvērtīg</w:t>
            </w:r>
            <w:r>
              <w:t>i</w:t>
            </w:r>
            <w:r w:rsidRPr="000F3570">
              <w:t xml:space="preserve"> zinātnes infrastruktūras objekt</w:t>
            </w:r>
            <w:r>
              <w:t>i</w:t>
            </w:r>
            <w:r w:rsidRPr="000F3570">
              <w:t xml:space="preserve"> ne tikai Latv</w:t>
            </w:r>
            <w:r>
              <w:t xml:space="preserve">ijā, bet arī Eiropā un pasaulē. </w:t>
            </w:r>
          </w:p>
          <w:p w14:paraId="4C78B665" w14:textId="77777777" w:rsidR="000847BD" w:rsidRDefault="000847BD" w:rsidP="000847BD">
            <w:pPr>
              <w:jc w:val="both"/>
            </w:pPr>
            <w:r w:rsidRPr="000F3570">
              <w:t xml:space="preserve">Līdz šim VSRC ir veicis sistemātiskus uzlabojumus </w:t>
            </w:r>
            <w:r>
              <w:t>gan</w:t>
            </w:r>
            <w:r w:rsidRPr="000F3570">
              <w:t xml:space="preserve"> teleskopu attīstībā, </w:t>
            </w:r>
            <w:r>
              <w:t xml:space="preserve">gan arī risināja jautājumus </w:t>
            </w:r>
            <w:r w:rsidRPr="000F3570">
              <w:t xml:space="preserve">par objektu drošību, </w:t>
            </w:r>
            <w:r>
              <w:t xml:space="preserve">taču </w:t>
            </w:r>
            <w:r w:rsidRPr="000F3570">
              <w:t>nepietiekamo finanšu līdzekļu dēļ nav bijis iespējams risināt kompleksu un efektīvu ugunsdrošības standartu ieviešanu Irbenes radioteleskopu infrastruktūrā</w:t>
            </w:r>
            <w:r>
              <w:t xml:space="preserve"> un, </w:t>
            </w:r>
            <w:r w:rsidRPr="000F3570">
              <w:t>pirmkārt</w:t>
            </w:r>
            <w:r>
              <w:t>,</w:t>
            </w:r>
            <w:r w:rsidRPr="000F3570">
              <w:t xml:space="preserve"> </w:t>
            </w:r>
            <w:r>
              <w:t xml:space="preserve">abos radioteleskopos – </w:t>
            </w:r>
            <w:r w:rsidRPr="000F3570">
              <w:t>RT-32 un RT-16</w:t>
            </w:r>
            <w:r w:rsidR="00EF5CDC">
              <w:t xml:space="preserve"> (turpmāk – radioteleskopi)</w:t>
            </w:r>
            <w:r w:rsidRPr="000F3570">
              <w:t>.</w:t>
            </w:r>
          </w:p>
          <w:p w14:paraId="4C78B666" w14:textId="1DC87EDF" w:rsidR="000847BD" w:rsidRDefault="00852933" w:rsidP="000847BD">
            <w:pPr>
              <w:jc w:val="both"/>
            </w:pPr>
            <w:r>
              <w:t>Īstenojot r</w:t>
            </w:r>
            <w:r w:rsidR="000847BD">
              <w:t>adioteleskopa RT-32 pārbūvi, tika veikta vispārējā objekta</w:t>
            </w:r>
            <w:r w:rsidR="00EF5CDC">
              <w:t xml:space="preserve"> (stacija, “</w:t>
            </w:r>
            <w:proofErr w:type="spellStart"/>
            <w:r w:rsidR="00EF5CDC">
              <w:t>Viraki</w:t>
            </w:r>
            <w:proofErr w:type="spellEnd"/>
            <w:r w:rsidR="00EF5CDC">
              <w:t>”, Irbene) (turpmāk – objekts)</w:t>
            </w:r>
            <w:r w:rsidR="000847BD">
              <w:t xml:space="preserve"> novērtēšana un sagatavots objekta Tehniskās apsekošanas atzinums</w:t>
            </w:r>
            <w:r w:rsidR="00EF5CDC">
              <w:t xml:space="preserve"> Nr.3-4.5.4/68294  (anotācijas pielikumā)</w:t>
            </w:r>
            <w:r w:rsidR="000847BD">
              <w:t xml:space="preserve">. </w:t>
            </w:r>
            <w:r w:rsidR="00EF5CDC">
              <w:t>Šo a</w:t>
            </w:r>
            <w:r w:rsidR="000847BD">
              <w:t>tzinumu sagatavoja A/S “</w:t>
            </w:r>
            <w:proofErr w:type="spellStart"/>
            <w:r w:rsidR="000847BD">
              <w:t>Inspecta</w:t>
            </w:r>
            <w:proofErr w:type="spellEnd"/>
            <w:r w:rsidR="000847BD">
              <w:t xml:space="preserve"> Latvia” 2015.gada 17. jūnijā, </w:t>
            </w:r>
            <w:r>
              <w:t>konstatējot</w:t>
            </w:r>
            <w:r w:rsidR="000847BD">
              <w:t>, ka objektā</w:t>
            </w:r>
            <w:r w:rsidR="00EF5CDC">
              <w:t xml:space="preserve"> </w:t>
            </w:r>
            <w:r w:rsidR="000847BD">
              <w:t>nav izveidota automātiskā ugunsdzēsības sistēma, kas šāda veida objektiem ir kritiski nepieciešama.</w:t>
            </w:r>
          </w:p>
          <w:p w14:paraId="4C78B667" w14:textId="1F6AD82F" w:rsidR="000847BD" w:rsidRDefault="00852933" w:rsidP="000847BD">
            <w:pPr>
              <w:jc w:val="both"/>
            </w:pPr>
            <w:r>
              <w:t>Savukārt r</w:t>
            </w:r>
            <w:r w:rsidR="000847BD">
              <w:t xml:space="preserve">adioteleskopā RT-16 šāda veida tehniskās apsekošanas atzinums nav veikts, taču, ņemot vērā </w:t>
            </w:r>
            <w:r>
              <w:t>radioteleskopu</w:t>
            </w:r>
            <w:r w:rsidR="000847BD">
              <w:t xml:space="preserve"> līdzību, šāda situācija ir konstatējama arī radioteleskopā RT-16.</w:t>
            </w:r>
          </w:p>
          <w:p w14:paraId="4C78B668" w14:textId="60F437E6" w:rsidR="000847BD" w:rsidRDefault="000847BD" w:rsidP="000847BD">
            <w:pPr>
              <w:jc w:val="both"/>
            </w:pPr>
            <w:r w:rsidRPr="00AD7D64">
              <w:t xml:space="preserve">Lai nodrošinātu  </w:t>
            </w:r>
            <w:r w:rsidR="00EF5CDC">
              <w:t>r</w:t>
            </w:r>
            <w:r w:rsidRPr="00AD7D64">
              <w:t xml:space="preserve">adioteleskopu atbilstību ugunsdrošības standartu prasībām, ir nepieciešams izveidot automātiskās </w:t>
            </w:r>
            <w:r w:rsidR="00EF5CDC" w:rsidRPr="00AD7D64">
              <w:t>ugunsdz</w:t>
            </w:r>
            <w:r w:rsidR="00EF5CDC">
              <w:t>ēsības</w:t>
            </w:r>
            <w:r w:rsidRPr="00AD7D64">
              <w:t xml:space="preserve"> sistēmas</w:t>
            </w:r>
            <w:r w:rsidR="00EF5CDC">
              <w:t xml:space="preserve"> (turpmāk – sistēma)</w:t>
            </w:r>
            <w:r w:rsidRPr="00AD7D64">
              <w:t xml:space="preserve">. </w:t>
            </w:r>
            <w:r w:rsidR="00EF5CDC">
              <w:t>S</w:t>
            </w:r>
            <w:r w:rsidRPr="00AD7D64">
              <w:t>istēmas izveide nepieciešama, jo objekt</w:t>
            </w:r>
            <w:r w:rsidR="00EF5CDC">
              <w:t>s un teleskopi</w:t>
            </w:r>
            <w:r w:rsidRPr="00AD7D64">
              <w:t xml:space="preserve"> atrodas vairāk kā 30 km attālumā no tuvākā ugunsdzēsības depo (Ventspils Nafta), kā rezultātā ir nepieciešamas vairāk kā 40 minūtes, līdz ugunsdzēsēji paspēj ierasties objektā.</w:t>
            </w:r>
          </w:p>
          <w:p w14:paraId="4C78B669" w14:textId="77777777" w:rsidR="000847BD" w:rsidRPr="00AD7D64" w:rsidRDefault="000847BD" w:rsidP="000847BD">
            <w:pPr>
              <w:jc w:val="both"/>
            </w:pPr>
            <w:r w:rsidRPr="00AD7D64">
              <w:t>Ņemot vērā objekt</w:t>
            </w:r>
            <w:r w:rsidR="00EF5CDC">
              <w:t>a un teleskopu</w:t>
            </w:r>
            <w:r w:rsidRPr="00AD7D64">
              <w:t xml:space="preserve"> sarežģīto </w:t>
            </w:r>
            <w:r>
              <w:t>specifiku (</w:t>
            </w:r>
            <w:r w:rsidR="00EF5CDC">
              <w:t>tajos</w:t>
            </w:r>
            <w:r w:rsidRPr="00AD7D64">
              <w:t xml:space="preserve"> izvietotas augstas pievienotās </w:t>
            </w:r>
            <w:r>
              <w:t xml:space="preserve">vērtības iekārtas </w:t>
            </w:r>
            <w:r w:rsidRPr="00AD7D64">
              <w:t xml:space="preserve">vairāk nekā 5 milj. </w:t>
            </w:r>
            <w:proofErr w:type="spellStart"/>
            <w:r w:rsidR="00902E09" w:rsidRPr="00902E09">
              <w:rPr>
                <w:i/>
              </w:rPr>
              <w:t>euro</w:t>
            </w:r>
            <w:proofErr w:type="spellEnd"/>
            <w:r w:rsidR="00902E09">
              <w:t xml:space="preserve"> </w:t>
            </w:r>
            <w:r w:rsidRPr="00AD7D64">
              <w:t xml:space="preserve">vērtībā), sistēmai jābūt kompleksai, </w:t>
            </w:r>
            <w:r w:rsidR="00EF5CDC">
              <w:t xml:space="preserve">tas ir </w:t>
            </w:r>
            <w:r w:rsidRPr="00AD7D64">
              <w:t xml:space="preserve"> nepieciešams izveidot savstarpēji saistītu iekārtu kompleksu ugunsgrēka atklāšanai un apdzēšanai tā agrīnās attīstības stadijās, kā arī nodrošināt ūdens pieejamību ārējai ugunsgrēka dzēšanai (hidranti).</w:t>
            </w:r>
            <w:r>
              <w:t xml:space="preserve"> Automātiskai u</w:t>
            </w:r>
            <w:r w:rsidRPr="00AD7D64">
              <w:t>gunsdzē</w:t>
            </w:r>
            <w:r w:rsidR="00EF5CDC">
              <w:t>sības</w:t>
            </w:r>
            <w:r w:rsidRPr="00AD7D64">
              <w:t xml:space="preserve"> sistēm</w:t>
            </w:r>
            <w:r>
              <w:t>ām</w:t>
            </w:r>
            <w:r w:rsidRPr="00AD7D64">
              <w:t xml:space="preserve"> jābūt </w:t>
            </w:r>
            <w:r w:rsidRPr="00AD7D64">
              <w:lastRenderedPageBreak/>
              <w:t>savienotai ar ugunsgrēka atklāšanas un trauksmes signalizāciju un izziņošanas un evakuācijas vadības sistēmu. Ņemot vērā telpu funkcijas, iekārtu izvietojumu un to specifiku, radioteleskopos nepieciešams izveidot šādas iekšējās automātiskās ugunsdzēsības sistēmas:</w:t>
            </w:r>
          </w:p>
          <w:p w14:paraId="4C78B66A" w14:textId="77777777" w:rsidR="000847BD" w:rsidRDefault="000847BD" w:rsidP="000847BD">
            <w:pPr>
              <w:jc w:val="both"/>
              <w:textAlignment w:val="baseline"/>
              <w:outlineLvl w:val="1"/>
              <w:rPr>
                <w:b/>
                <w:bCs/>
              </w:rPr>
            </w:pPr>
            <w:r>
              <w:rPr>
                <w:b/>
                <w:bCs/>
                <w:iCs/>
                <w:bdr w:val="none" w:sz="0" w:space="0" w:color="auto" w:frame="1"/>
              </w:rPr>
              <w:t xml:space="preserve">- </w:t>
            </w:r>
            <w:r w:rsidRPr="000847BD">
              <w:rPr>
                <w:b/>
                <w:bCs/>
                <w:iCs/>
                <w:bdr w:val="none" w:sz="0" w:space="0" w:color="auto" w:frame="1"/>
              </w:rPr>
              <w:t>Ūdens ugunsdzēšana.</w:t>
            </w:r>
            <w:r w:rsidRPr="000847BD">
              <w:t xml:space="preserve"> </w:t>
            </w:r>
            <w:r w:rsidRPr="00AD7D64">
              <w:t>Telpās, kurās nav elektroniskās sistēmas aizsardzībai, jāizv</w:t>
            </w:r>
            <w:r>
              <w:t>iet</w:t>
            </w:r>
            <w:r w:rsidRPr="00AD7D64">
              <w:t xml:space="preserve">o ugunsdzēšanas iekārtas, kas sastāv no caurulēs iemontētiem </w:t>
            </w:r>
            <w:proofErr w:type="spellStart"/>
            <w:r w:rsidRPr="00AD7D64">
              <w:t>sprinkleriem</w:t>
            </w:r>
            <w:proofErr w:type="spellEnd"/>
            <w:r w:rsidRPr="00AD7D64">
              <w:t xml:space="preserve"> (rasinātājiem). Lai nodrošinātu</w:t>
            </w:r>
            <w:r>
              <w:t xml:space="preserve"> </w:t>
            </w:r>
            <w:proofErr w:type="spellStart"/>
            <w:r>
              <w:t>s</w:t>
            </w:r>
            <w:r w:rsidRPr="00AD7D64">
              <w:t>prinkleru</w:t>
            </w:r>
            <w:proofErr w:type="spellEnd"/>
            <w:r w:rsidRPr="00AD7D64">
              <w:t xml:space="preserve"> ugunsdzēšanas iekārtu efektivitāti papildus nepieciešams izbūvēt telpu sūkņu stacijai, kurā atradīsies ūdens padeves ūdensvadi</w:t>
            </w:r>
            <w:r>
              <w:t xml:space="preserve"> </w:t>
            </w:r>
            <w:r w:rsidRPr="00AD7D64">
              <w:t xml:space="preserve">un sūkņi. </w:t>
            </w:r>
          </w:p>
          <w:p w14:paraId="4C78B66B" w14:textId="77777777" w:rsidR="000847BD" w:rsidRPr="000847BD" w:rsidRDefault="000847BD" w:rsidP="000847BD">
            <w:pPr>
              <w:jc w:val="both"/>
              <w:textAlignment w:val="baseline"/>
              <w:outlineLvl w:val="1"/>
              <w:rPr>
                <w:b/>
                <w:bCs/>
              </w:rPr>
            </w:pPr>
            <w:r>
              <w:rPr>
                <w:b/>
                <w:bCs/>
              </w:rPr>
              <w:t xml:space="preserve">- </w:t>
            </w:r>
            <w:r w:rsidRPr="000847BD">
              <w:rPr>
                <w:b/>
                <w:bCs/>
                <w:iCs/>
                <w:bdr w:val="none" w:sz="0" w:space="0" w:color="auto" w:frame="1"/>
              </w:rPr>
              <w:t>Pulvera ugunsdzēšanas sistēmas</w:t>
            </w:r>
            <w:r>
              <w:rPr>
                <w:b/>
                <w:bCs/>
              </w:rPr>
              <w:t xml:space="preserve">. </w:t>
            </w:r>
            <w:r>
              <w:t>Pulvera ugunsdzēšanas sistēmās</w:t>
            </w:r>
            <w:r w:rsidRPr="00AD7D64">
              <w:t xml:space="preserve"> kā ugunsdzēsīgā</w:t>
            </w:r>
            <w:r>
              <w:t xml:space="preserve"> </w:t>
            </w:r>
            <w:r w:rsidRPr="00AD7D64">
              <w:t>viela tiek izmantots īpašs pulveris. Automātiskā pulvera ugunsdzēšanas sistēma nodrošina ugunsgrēka dzēšanu ar speciāla pulvera moduļa palīdzību, iespējams dzēst elektroierīces bez to atvienošanas no strāvas avota, minimāls kaitējums materiālajām vērtībām.</w:t>
            </w:r>
          </w:p>
          <w:p w14:paraId="4C78B66C" w14:textId="77777777" w:rsidR="000847BD" w:rsidRDefault="000847BD" w:rsidP="000847BD">
            <w:pPr>
              <w:jc w:val="both"/>
            </w:pPr>
            <w:r w:rsidRPr="00AD7D64">
              <w:t xml:space="preserve">Ņemot vērā objektu specifiku, ir jāizbūvē </w:t>
            </w:r>
            <w:r w:rsidRPr="00AD7D64">
              <w:rPr>
                <w:u w:val="single"/>
              </w:rPr>
              <w:t>katram teleskopam atsevišķa</w:t>
            </w:r>
            <w:r w:rsidRPr="00AD7D64">
              <w:t xml:space="preserve"> ugunsdzēsības sistēma, paredzot veikt sekojošus darbus:</w:t>
            </w:r>
          </w:p>
          <w:p w14:paraId="4C78B66D" w14:textId="77777777" w:rsidR="000847BD" w:rsidRDefault="000847BD" w:rsidP="000847BD">
            <w:pPr>
              <w:jc w:val="both"/>
            </w:pPr>
            <w:r>
              <w:t xml:space="preserve">1. </w:t>
            </w:r>
            <w:r w:rsidRPr="00AD7D64">
              <w:t>vietējās ūdens ņemšanas ietaišu izveidi (alternatīvas):</w:t>
            </w:r>
          </w:p>
          <w:p w14:paraId="4C78B66E" w14:textId="77777777" w:rsidR="000847BD" w:rsidRDefault="000847BD" w:rsidP="000847BD">
            <w:pPr>
              <w:jc w:val="both"/>
            </w:pPr>
            <w:r>
              <w:t>1.1.</w:t>
            </w:r>
            <w:r w:rsidRPr="00AD7D64">
              <w:t>spice vai dziļurbums;</w:t>
            </w:r>
          </w:p>
          <w:p w14:paraId="4C78B66F" w14:textId="77777777" w:rsidR="000847BD" w:rsidRDefault="000847BD" w:rsidP="000847BD">
            <w:pPr>
              <w:jc w:val="both"/>
            </w:pPr>
            <w:r>
              <w:t xml:space="preserve">1.2. </w:t>
            </w:r>
            <w:r w:rsidRPr="00AD7D64">
              <w:t>ārējais ūdens rezervuārs;</w:t>
            </w:r>
          </w:p>
          <w:p w14:paraId="4C78B670" w14:textId="77777777" w:rsidR="000847BD" w:rsidRDefault="000847BD" w:rsidP="000847BD">
            <w:pPr>
              <w:jc w:val="both"/>
            </w:pPr>
            <w:r>
              <w:t xml:space="preserve">1.3. </w:t>
            </w:r>
            <w:r w:rsidRPr="00AD7D64">
              <w:t>sūkņu stacijas izbūve;</w:t>
            </w:r>
          </w:p>
          <w:p w14:paraId="4C78B671" w14:textId="77777777" w:rsidR="000847BD" w:rsidRDefault="000847BD" w:rsidP="000847BD">
            <w:pPr>
              <w:jc w:val="both"/>
            </w:pPr>
            <w:r>
              <w:t xml:space="preserve">1.4. </w:t>
            </w:r>
            <w:r w:rsidRPr="00AD7D64">
              <w:t>hidranti;</w:t>
            </w:r>
          </w:p>
          <w:p w14:paraId="4C78B672" w14:textId="77777777" w:rsidR="000847BD" w:rsidRDefault="000847BD" w:rsidP="000847BD">
            <w:pPr>
              <w:jc w:val="both"/>
            </w:pPr>
            <w:r>
              <w:t xml:space="preserve">1.5. </w:t>
            </w:r>
            <w:r w:rsidRPr="00AD7D64">
              <w:t>ārējie cauruļvadi u.c.</w:t>
            </w:r>
          </w:p>
          <w:p w14:paraId="4C78B673" w14:textId="77777777" w:rsidR="000847BD" w:rsidRDefault="000847BD" w:rsidP="000847BD">
            <w:pPr>
              <w:jc w:val="both"/>
            </w:pPr>
            <w:r>
              <w:t xml:space="preserve">2. </w:t>
            </w:r>
            <w:r w:rsidRPr="00AD7D64">
              <w:t>Iekšējās sistēmas izveide:</w:t>
            </w:r>
          </w:p>
          <w:p w14:paraId="4C78B674" w14:textId="68F982A4" w:rsidR="000847BD" w:rsidRDefault="000847BD" w:rsidP="000847BD">
            <w:pPr>
              <w:jc w:val="both"/>
            </w:pPr>
            <w:r>
              <w:t>2.1.</w:t>
            </w:r>
            <w:r w:rsidRPr="00AD7D64">
              <w:t xml:space="preserve">Sprinkleri vai </w:t>
            </w:r>
            <w:proofErr w:type="spellStart"/>
            <w:r w:rsidRPr="00AD7D64">
              <w:t>drenčeri</w:t>
            </w:r>
            <w:proofErr w:type="spellEnd"/>
            <w:r w:rsidRPr="00AD7D64">
              <w:t xml:space="preserve"> </w:t>
            </w:r>
            <w:r w:rsidR="002F100F">
              <w:t>;</w:t>
            </w:r>
          </w:p>
          <w:p w14:paraId="4C78B675" w14:textId="4715AF36" w:rsidR="000847BD" w:rsidRDefault="000847BD" w:rsidP="000847BD">
            <w:pPr>
              <w:jc w:val="both"/>
            </w:pPr>
            <w:r>
              <w:t>2.2.</w:t>
            </w:r>
            <w:r w:rsidRPr="00AD7D64">
              <w:t>Pulvera ugunsdzēsības sistēmas izveide</w:t>
            </w:r>
            <w:r w:rsidR="002F100F">
              <w:t>.</w:t>
            </w:r>
          </w:p>
          <w:p w14:paraId="4C78B676" w14:textId="77777777" w:rsidR="000847BD" w:rsidRDefault="000847BD" w:rsidP="009059B8">
            <w:pPr>
              <w:pStyle w:val="ListParagraph"/>
              <w:ind w:left="0"/>
              <w:jc w:val="both"/>
              <w:rPr>
                <w:rFonts w:ascii="Times New Roman" w:hAnsi="Times New Roman" w:cs="Times New Roman"/>
                <w:lang w:val="lv-LV"/>
              </w:rPr>
            </w:pPr>
            <w:r>
              <w:rPr>
                <w:rFonts w:ascii="Times New Roman" w:hAnsi="Times New Roman" w:cs="Times New Roman"/>
                <w:lang w:val="lv-LV"/>
              </w:rPr>
              <w:t xml:space="preserve">3. </w:t>
            </w:r>
            <w:r w:rsidRPr="000847BD">
              <w:rPr>
                <w:rFonts w:ascii="Times New Roman" w:hAnsi="Times New Roman" w:cs="Times New Roman"/>
                <w:lang w:val="lv-LV"/>
              </w:rPr>
              <w:t xml:space="preserve">ugunsgrēka atklāšanas, izziņošanas  un signalizācijas </w:t>
            </w:r>
            <w:r w:rsidR="009059B8" w:rsidRPr="000847BD">
              <w:rPr>
                <w:rFonts w:ascii="Times New Roman" w:hAnsi="Times New Roman" w:cs="Times New Roman"/>
                <w:lang w:val="lv-LV"/>
              </w:rPr>
              <w:t>sistēmas</w:t>
            </w:r>
            <w:r w:rsidRPr="000847BD">
              <w:rPr>
                <w:rFonts w:ascii="Times New Roman" w:hAnsi="Times New Roman" w:cs="Times New Roman"/>
                <w:lang w:val="lv-LV"/>
              </w:rPr>
              <w:t xml:space="preserve"> izveide un savienošana ar  ugunsgrēka dzēšanas sistēmu.</w:t>
            </w:r>
          </w:p>
          <w:p w14:paraId="75786101" w14:textId="262E67EA" w:rsidR="0018026F" w:rsidRDefault="000847BD" w:rsidP="00852933">
            <w:pPr>
              <w:jc w:val="both"/>
              <w:textAlignment w:val="baseline"/>
            </w:pPr>
            <w:r w:rsidRPr="00D4193C">
              <w:t>Lai nodrošinātu radioteleskopu atbilstību ugunsdrošības standartu prasībām, starptautiskajai praksei, kā arī lai izvairītos no iespējamām ugunsnelaimēm, kas savukārt var apdraudēt teleskopu ekspluatāciju,  steidzamības kārtā ir nepieciešams pilnveidot esošo uguns atklāšanas sistēmu</w:t>
            </w:r>
            <w:r>
              <w:t xml:space="preserve"> ar</w:t>
            </w:r>
            <w:r w:rsidRPr="00D4193C">
              <w:t xml:space="preserve"> automātiskajām ugunsdzēšanas sistēmām radioteleskopos RT-16 un RT-32. </w:t>
            </w:r>
          </w:p>
          <w:p w14:paraId="3B19E6B5" w14:textId="6BB47FB9" w:rsidR="000C2536" w:rsidRPr="00852933" w:rsidRDefault="000C2536" w:rsidP="00852933">
            <w:pPr>
              <w:jc w:val="both"/>
              <w:textAlignment w:val="baseline"/>
            </w:pPr>
            <w:r w:rsidRPr="000B4F17">
              <w:rPr>
                <w:lang w:val="cs-CZ"/>
              </w:rPr>
              <w:t xml:space="preserve">Ņemot vērā minēto, </w:t>
            </w:r>
            <w:r>
              <w:rPr>
                <w:lang w:val="cs-CZ"/>
              </w:rPr>
              <w:t>ir nepieciešams</w:t>
            </w:r>
            <w:r w:rsidRPr="000B4F17">
              <w:rPr>
                <w:lang w:val="cs-CZ"/>
              </w:rPr>
              <w:t xml:space="preserve"> </w:t>
            </w:r>
            <w:r>
              <w:rPr>
                <w:lang w:val="cs-CZ"/>
              </w:rPr>
              <w:t>papildu finansējums</w:t>
            </w:r>
            <w:r w:rsidRPr="000B4F17">
              <w:rPr>
                <w:lang w:val="cs-CZ"/>
              </w:rPr>
              <w:t xml:space="preserve"> 339 000 </w:t>
            </w:r>
            <w:r w:rsidRPr="00902E09">
              <w:rPr>
                <w:i/>
                <w:lang w:val="cs-CZ"/>
              </w:rPr>
              <w:t>euro</w:t>
            </w:r>
            <w:r w:rsidRPr="000B4F17">
              <w:rPr>
                <w:lang w:val="cs-CZ"/>
              </w:rPr>
              <w:t xml:space="preserve"> apmērā</w:t>
            </w:r>
            <w:r>
              <w:rPr>
                <w:lang w:val="cs-CZ"/>
              </w:rPr>
              <w:t xml:space="preserve"> </w:t>
            </w:r>
            <w:r w:rsidRPr="000B4F17">
              <w:rPr>
                <w:lang w:val="cs-CZ"/>
              </w:rPr>
              <w:t>VSRC Irbenes radioteleskopu</w:t>
            </w:r>
            <w:r w:rsidRPr="00D4193C">
              <w:t xml:space="preserve"> RT-16 un RT-32</w:t>
            </w:r>
            <w:r w:rsidRPr="000B4F17">
              <w:rPr>
                <w:lang w:val="cs-CZ"/>
              </w:rPr>
              <w:t xml:space="preserve"> uguns</w:t>
            </w:r>
            <w:r>
              <w:rPr>
                <w:lang w:val="cs-CZ"/>
              </w:rPr>
              <w:t>dzēsības</w:t>
            </w:r>
            <w:r w:rsidRPr="000B4F17">
              <w:rPr>
                <w:lang w:val="cs-CZ"/>
              </w:rPr>
              <w:t xml:space="preserve"> sistēmas izveidei. VSRC Irbenes radioteleskopu</w:t>
            </w:r>
            <w:r w:rsidRPr="00D4193C">
              <w:t xml:space="preserve"> RT-16 un RT-32</w:t>
            </w:r>
            <w:r w:rsidRPr="000B4F17">
              <w:rPr>
                <w:lang w:val="cs-CZ"/>
              </w:rPr>
              <w:t xml:space="preserve"> uguns</w:t>
            </w:r>
            <w:r>
              <w:rPr>
                <w:lang w:val="cs-CZ"/>
              </w:rPr>
              <w:t xml:space="preserve">dzēsības sistēmas izveides kopējās izmaksu aprēķins </w:t>
            </w:r>
            <w:r>
              <w:rPr>
                <w:bCs/>
              </w:rPr>
              <w:t xml:space="preserve">ir </w:t>
            </w:r>
            <w:r w:rsidRPr="00182835">
              <w:rPr>
                <w:bCs/>
              </w:rPr>
              <w:t>pievienot</w:t>
            </w:r>
            <w:r>
              <w:rPr>
                <w:bCs/>
              </w:rPr>
              <w:t>s</w:t>
            </w:r>
            <w:r w:rsidRPr="00182835">
              <w:rPr>
                <w:bCs/>
              </w:rPr>
              <w:t xml:space="preserve"> anotācija</w:t>
            </w:r>
            <w:r>
              <w:rPr>
                <w:bCs/>
              </w:rPr>
              <w:t xml:space="preserve"> </w:t>
            </w:r>
            <w:r w:rsidRPr="00182835">
              <w:rPr>
                <w:bCs/>
              </w:rPr>
              <w:t>pielikumā.</w:t>
            </w:r>
          </w:p>
          <w:p w14:paraId="4C78B679" w14:textId="0050404F" w:rsidR="0018026F" w:rsidRPr="000C2536" w:rsidRDefault="000C2536" w:rsidP="00233F7B">
            <w:pPr>
              <w:jc w:val="both"/>
            </w:pPr>
            <w:r>
              <w:rPr>
                <w:lang w:val="cs-CZ"/>
              </w:rPr>
              <w:t xml:space="preserve">Finanšu </w:t>
            </w:r>
            <w:r>
              <w:rPr>
                <w:lang w:val="cs-CZ"/>
              </w:rPr>
              <w:t xml:space="preserve">līdzekļu piešķiršanas gadījumā </w:t>
            </w:r>
            <w:r>
              <w:rPr>
                <w:lang w:val="cs-CZ"/>
              </w:rPr>
              <w:t>nav</w:t>
            </w:r>
            <w:r>
              <w:rPr>
                <w:lang w:val="cs-CZ"/>
              </w:rPr>
              <w:t xml:space="preserve"> jāpiemēro komercdarbības atbalsta kontroles regulējums</w:t>
            </w:r>
            <w:r>
              <w:rPr>
                <w:lang w:val="cs-CZ"/>
              </w:rPr>
              <w:t>, jo</w:t>
            </w:r>
            <w:r w:rsidRPr="000F3570">
              <w:t xml:space="preserve"> </w:t>
            </w:r>
            <w:r w:rsidR="00A962BF" w:rsidRPr="000F3570">
              <w:t>VSRC</w:t>
            </w:r>
            <w:r w:rsidR="00A962BF">
              <w:t xml:space="preserve"> īstenotas darbības ir nesaimnieciska rakstura darbības</w:t>
            </w:r>
            <w:r w:rsidR="00233F7B">
              <w:rPr>
                <w:bCs/>
              </w:rPr>
              <w:t>. Finanšu līdzekļu piešķiršana</w:t>
            </w:r>
            <w:r w:rsidR="00A962BF">
              <w:rPr>
                <w:bCs/>
              </w:rPr>
              <w:t xml:space="preserve"> arī atbilst Eiropas </w:t>
            </w:r>
            <w:r w:rsidR="00A962BF">
              <w:t>Komisijas paziņojuma “Nostādnes par valsts atbalstu pētniecībai, izstrādei un inovācijai” (2014/C 198/01) 19.punktam. VSRC nodarbojas ar neatkarīgu pētniecību un izstrādi, lai gūtu vairāk zināšanu un labāku izpratni, tostarp kopīgu pētniecību un izstrādi, kad pētniecības organizācija vai pētniecības infrastruktūra iesaistās efektīvā sadarbībā.</w:t>
            </w:r>
            <w:r w:rsidR="0018026F">
              <w:t xml:space="preserve"> VSRC pētniecības rezultāti tiek plaši izplatīti </w:t>
            </w:r>
            <w:r w:rsidR="00A962BF">
              <w:t xml:space="preserve">bez ekskluzivitātes un diskriminēšanas, piemēram, </w:t>
            </w:r>
            <w:r w:rsidR="0018026F">
              <w:t xml:space="preserve">atklātās publikācijas. </w:t>
            </w:r>
            <w:bookmarkStart w:id="0" w:name="_GoBack"/>
            <w:bookmarkEnd w:id="0"/>
          </w:p>
        </w:tc>
      </w:tr>
      <w:tr w:rsidR="005812A3" w14:paraId="4C78B67E" w14:textId="77777777" w:rsidTr="00EF09CD">
        <w:trPr>
          <w:jc w:val="center"/>
        </w:trPr>
        <w:tc>
          <w:tcPr>
            <w:tcW w:w="719" w:type="dxa"/>
          </w:tcPr>
          <w:p w14:paraId="4C78B67B" w14:textId="5A049B7B" w:rsidR="005812A3" w:rsidRPr="0079316C" w:rsidRDefault="005812A3" w:rsidP="005812A3">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3.</w:t>
            </w:r>
          </w:p>
        </w:tc>
        <w:tc>
          <w:tcPr>
            <w:tcW w:w="2185" w:type="dxa"/>
          </w:tcPr>
          <w:p w14:paraId="4C78B67C" w14:textId="77777777" w:rsidR="005812A3" w:rsidRPr="0079316C" w:rsidRDefault="005812A3" w:rsidP="005812A3">
            <w:pPr>
              <w:pStyle w:val="NoSpacing"/>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izstrādē iesaistītās institūcijas un publiskas personas kapitālsabiedrības</w:t>
            </w:r>
          </w:p>
        </w:tc>
        <w:tc>
          <w:tcPr>
            <w:tcW w:w="7297" w:type="dxa"/>
          </w:tcPr>
          <w:p w14:paraId="4C78B67D" w14:textId="77777777" w:rsidR="005812A3" w:rsidRPr="00182835" w:rsidRDefault="00F714E0" w:rsidP="00F714E0">
            <w:pPr>
              <w:jc w:val="both"/>
            </w:pPr>
            <w:r>
              <w:t xml:space="preserve">Izglītības un zinātnes ministrija un </w:t>
            </w:r>
            <w:r w:rsidR="00D9504B">
              <w:t xml:space="preserve">Ventspils Augstskola </w:t>
            </w:r>
          </w:p>
        </w:tc>
      </w:tr>
      <w:tr w:rsidR="005812A3" w14:paraId="4C78B682" w14:textId="77777777" w:rsidTr="00EF09CD">
        <w:trPr>
          <w:jc w:val="center"/>
        </w:trPr>
        <w:tc>
          <w:tcPr>
            <w:tcW w:w="719" w:type="dxa"/>
          </w:tcPr>
          <w:p w14:paraId="4C78B67F" w14:textId="77777777" w:rsidR="005812A3" w:rsidRPr="0079316C" w:rsidRDefault="005812A3" w:rsidP="005812A3">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2185" w:type="dxa"/>
          </w:tcPr>
          <w:p w14:paraId="4C78B680" w14:textId="77777777" w:rsidR="005812A3" w:rsidRPr="0079316C" w:rsidRDefault="005812A3" w:rsidP="005812A3">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7297" w:type="dxa"/>
          </w:tcPr>
          <w:p w14:paraId="4C78B681" w14:textId="77777777" w:rsidR="005812A3" w:rsidRDefault="005812A3" w:rsidP="005812A3">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r>
              <w:rPr>
                <w:rFonts w:ascii="Times New Roman" w:hAnsi="Times New Roman" w:cs="Times New Roman"/>
                <w:sz w:val="24"/>
                <w:szCs w:val="24"/>
                <w:lang w:eastAsia="lv-LV"/>
              </w:rPr>
              <w:t>.</w:t>
            </w:r>
          </w:p>
        </w:tc>
      </w:tr>
    </w:tbl>
    <w:p w14:paraId="4C78B683" w14:textId="77777777" w:rsidR="00DF6F16" w:rsidRDefault="00DF6F16" w:rsidP="00DF6F16">
      <w:pPr>
        <w:pStyle w:val="NoSpacing"/>
        <w:rPr>
          <w:rFonts w:ascii="Times New Roman" w:hAnsi="Times New Roman" w:cs="Times New Roman"/>
          <w:sz w:val="24"/>
          <w:szCs w:val="24"/>
          <w:lang w:eastAsia="lv-LV"/>
        </w:rPr>
      </w:pPr>
    </w:p>
    <w:tbl>
      <w:tblPr>
        <w:tblStyle w:val="TableGrid"/>
        <w:tblW w:w="10207" w:type="dxa"/>
        <w:jc w:val="center"/>
        <w:tblLook w:val="04A0" w:firstRow="1" w:lastRow="0" w:firstColumn="1" w:lastColumn="0" w:noHBand="0" w:noVBand="1"/>
      </w:tblPr>
      <w:tblGrid>
        <w:gridCol w:w="993"/>
        <w:gridCol w:w="3119"/>
        <w:gridCol w:w="6095"/>
      </w:tblGrid>
      <w:tr w:rsidR="00DF6F16" w14:paraId="4C78B685" w14:textId="77777777" w:rsidTr="00970602">
        <w:trPr>
          <w:jc w:val="center"/>
        </w:trPr>
        <w:tc>
          <w:tcPr>
            <w:tcW w:w="10207" w:type="dxa"/>
            <w:gridSpan w:val="3"/>
          </w:tcPr>
          <w:p w14:paraId="4C78B684" w14:textId="77777777" w:rsidR="00DF6F16" w:rsidRDefault="00DF6F16" w:rsidP="00B262D9">
            <w:pPr>
              <w:pStyle w:val="NoSpacing"/>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II. Tiesību akta projekta ietekme uz sabiedrību, tautsaimniecības attīstību un administratīvo slogu</w:t>
            </w:r>
          </w:p>
        </w:tc>
      </w:tr>
      <w:tr w:rsidR="00DF6F16" w14:paraId="4C78B689" w14:textId="77777777" w:rsidTr="00970602">
        <w:trPr>
          <w:jc w:val="center"/>
        </w:trPr>
        <w:tc>
          <w:tcPr>
            <w:tcW w:w="993" w:type="dxa"/>
          </w:tcPr>
          <w:p w14:paraId="4C78B686" w14:textId="77777777" w:rsidR="00DF6F16" w:rsidRPr="0079316C" w:rsidRDefault="00DF6F16" w:rsidP="00B262D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3119" w:type="dxa"/>
          </w:tcPr>
          <w:p w14:paraId="4C78B687" w14:textId="77777777" w:rsidR="00DF6F16" w:rsidRPr="0079316C" w:rsidRDefault="00DF6F16" w:rsidP="00B262D9">
            <w:pPr>
              <w:pStyle w:val="NoSpacing"/>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Sabiedrības </w:t>
            </w:r>
            <w:proofErr w:type="spellStart"/>
            <w:r w:rsidRPr="0079316C">
              <w:rPr>
                <w:rFonts w:ascii="Times New Roman" w:hAnsi="Times New Roman" w:cs="Times New Roman"/>
                <w:sz w:val="24"/>
                <w:szCs w:val="24"/>
                <w:lang w:eastAsia="lv-LV"/>
              </w:rPr>
              <w:t>mērķgrupas</w:t>
            </w:r>
            <w:proofErr w:type="spellEnd"/>
            <w:r w:rsidRPr="0079316C">
              <w:rPr>
                <w:rFonts w:ascii="Times New Roman" w:hAnsi="Times New Roman" w:cs="Times New Roman"/>
                <w:sz w:val="24"/>
                <w:szCs w:val="24"/>
                <w:lang w:eastAsia="lv-LV"/>
              </w:rPr>
              <w:t>, kuras tiesiskais regulējums ietekmē vai varētu ietekmēt</w:t>
            </w:r>
          </w:p>
        </w:tc>
        <w:tc>
          <w:tcPr>
            <w:tcW w:w="6095" w:type="dxa"/>
          </w:tcPr>
          <w:p w14:paraId="4C78B688" w14:textId="77777777" w:rsidR="00DF6F16" w:rsidRPr="00182835" w:rsidRDefault="00D9504B" w:rsidP="00B262D9">
            <w:pPr>
              <w:jc w:val="both"/>
            </w:pPr>
            <w:r>
              <w:t>VSRC</w:t>
            </w:r>
            <w:r w:rsidRPr="00182835">
              <w:t xml:space="preserve"> </w:t>
            </w:r>
            <w:r w:rsidR="00805D29" w:rsidRPr="00182835">
              <w:t>objektu apmeklētāji, mācībspēki</w:t>
            </w:r>
            <w:r>
              <w:t>, darbinieki</w:t>
            </w:r>
            <w:r w:rsidR="00805D29" w:rsidRPr="00182835">
              <w:t xml:space="preserve"> un izglītojamie.</w:t>
            </w:r>
          </w:p>
        </w:tc>
      </w:tr>
      <w:tr w:rsidR="00DF6F16" w14:paraId="4C78B68D" w14:textId="77777777" w:rsidTr="00970602">
        <w:trPr>
          <w:jc w:val="center"/>
        </w:trPr>
        <w:tc>
          <w:tcPr>
            <w:tcW w:w="993" w:type="dxa"/>
          </w:tcPr>
          <w:p w14:paraId="4C78B68A" w14:textId="77777777" w:rsidR="00DF6F16" w:rsidRPr="0079316C" w:rsidRDefault="00DF6F16" w:rsidP="00B262D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3119" w:type="dxa"/>
          </w:tcPr>
          <w:p w14:paraId="4C78B68B" w14:textId="77777777" w:rsidR="00DF6F16" w:rsidRPr="0079316C" w:rsidRDefault="00DF6F16" w:rsidP="00B262D9">
            <w:pPr>
              <w:pStyle w:val="NoSpacing"/>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Tiesiskā regulējuma ietekme uz tautsaimniecību un administratīvo slogu</w:t>
            </w:r>
          </w:p>
        </w:tc>
        <w:tc>
          <w:tcPr>
            <w:tcW w:w="6095" w:type="dxa"/>
          </w:tcPr>
          <w:p w14:paraId="4C78B68C" w14:textId="77777777" w:rsidR="00D9504B" w:rsidRPr="00D9504B" w:rsidRDefault="00DF6F16" w:rsidP="00F714E0">
            <w:pPr>
              <w:jc w:val="both"/>
            </w:pPr>
            <w:r w:rsidRPr="00D9504B">
              <w:t>Rīkojuma projekt</w:t>
            </w:r>
            <w:r w:rsidR="00805D29" w:rsidRPr="00D9504B">
              <w:t xml:space="preserve">am nav ietekmes uz administratīvo slogu, rīkojums </w:t>
            </w:r>
            <w:r w:rsidRPr="00D9504B">
              <w:t xml:space="preserve">paredz </w:t>
            </w:r>
            <w:r w:rsidR="00805D29" w:rsidRPr="00D9504B">
              <w:t xml:space="preserve">finansējumu </w:t>
            </w:r>
            <w:r w:rsidR="00D9504B" w:rsidRPr="00D9504B">
              <w:rPr>
                <w:b/>
              </w:rPr>
              <w:t>339 000</w:t>
            </w:r>
            <w:r w:rsidR="00805D29" w:rsidRPr="00D9504B">
              <w:rPr>
                <w:b/>
              </w:rPr>
              <w:t>,00</w:t>
            </w:r>
            <w:r w:rsidR="00805D29" w:rsidRPr="00D9504B">
              <w:t xml:space="preserve"> </w:t>
            </w:r>
            <w:proofErr w:type="spellStart"/>
            <w:r w:rsidR="00805D29" w:rsidRPr="00D9504B">
              <w:rPr>
                <w:i/>
              </w:rPr>
              <w:t>euro</w:t>
            </w:r>
            <w:proofErr w:type="spellEnd"/>
            <w:r w:rsidR="00D9504B" w:rsidRPr="00D9504B">
              <w:t xml:space="preserve"> apmērā Ventspils Augstskolas Inženierzinātņu institūtam “Ventspils Starptautiskais Radioastronomijas Centrs” </w:t>
            </w:r>
            <w:r w:rsidR="00D9504B" w:rsidRPr="00D9504B">
              <w:rPr>
                <w:lang w:val="cs-CZ"/>
              </w:rPr>
              <w:t>Irbenes</w:t>
            </w:r>
            <w:r w:rsidR="00F714E0" w:rsidRPr="000B4F17">
              <w:rPr>
                <w:lang w:val="cs-CZ"/>
              </w:rPr>
              <w:t>.</w:t>
            </w:r>
            <w:r w:rsidR="00D9504B" w:rsidRPr="00D9504B">
              <w:rPr>
                <w:lang w:val="cs-CZ"/>
              </w:rPr>
              <w:t xml:space="preserve">radioteleskopu </w:t>
            </w:r>
            <w:r w:rsidR="00F714E0" w:rsidRPr="00D4193C">
              <w:t>RT-16 un RT-32</w:t>
            </w:r>
            <w:r w:rsidR="00F714E0">
              <w:t xml:space="preserve"> </w:t>
            </w:r>
            <w:r w:rsidR="00F714E0">
              <w:rPr>
                <w:lang w:val="cs-CZ"/>
              </w:rPr>
              <w:t xml:space="preserve"> automātiskās ugunsdzēsības </w:t>
            </w:r>
            <w:r w:rsidR="00D9504B" w:rsidRPr="00D9504B">
              <w:rPr>
                <w:lang w:val="cs-CZ"/>
              </w:rPr>
              <w:t>sistēmas izveidei</w:t>
            </w:r>
          </w:p>
        </w:tc>
      </w:tr>
      <w:tr w:rsidR="00DF6F16" w14:paraId="4C78B691" w14:textId="77777777" w:rsidTr="00970602">
        <w:trPr>
          <w:jc w:val="center"/>
        </w:trPr>
        <w:tc>
          <w:tcPr>
            <w:tcW w:w="993" w:type="dxa"/>
          </w:tcPr>
          <w:p w14:paraId="4C78B68E" w14:textId="77777777" w:rsidR="00DF6F16" w:rsidRPr="0079316C" w:rsidRDefault="00DF6F16" w:rsidP="00B262D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3.</w:t>
            </w:r>
          </w:p>
        </w:tc>
        <w:tc>
          <w:tcPr>
            <w:tcW w:w="3119" w:type="dxa"/>
          </w:tcPr>
          <w:p w14:paraId="4C78B68F" w14:textId="77777777" w:rsidR="00DF6F16" w:rsidRPr="0079316C" w:rsidRDefault="00DF6F16" w:rsidP="00B262D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Administratīvo izmaksu monetārs novērtējums</w:t>
            </w:r>
          </w:p>
        </w:tc>
        <w:tc>
          <w:tcPr>
            <w:tcW w:w="6095" w:type="dxa"/>
          </w:tcPr>
          <w:p w14:paraId="4C78B690" w14:textId="77777777" w:rsidR="00DF6F16" w:rsidRPr="0039467E" w:rsidRDefault="00DF6F16" w:rsidP="00B262D9">
            <w:pPr>
              <w:pStyle w:val="NoSpacing"/>
              <w:rPr>
                <w:rFonts w:ascii="Times New Roman" w:hAnsi="Times New Roman" w:cs="Times New Roman"/>
                <w:sz w:val="24"/>
                <w:szCs w:val="24"/>
                <w:lang w:eastAsia="lv-LV"/>
              </w:rPr>
            </w:pPr>
            <w:r w:rsidRPr="0039467E">
              <w:rPr>
                <w:rFonts w:ascii="Times New Roman" w:hAnsi="Times New Roman" w:cs="Times New Roman"/>
                <w:sz w:val="24"/>
              </w:rPr>
              <w:t>Projekts šo jomu neskar.</w:t>
            </w:r>
          </w:p>
        </w:tc>
      </w:tr>
      <w:tr w:rsidR="00DF6F16" w14:paraId="4C78B695" w14:textId="77777777" w:rsidTr="00970602">
        <w:trPr>
          <w:jc w:val="center"/>
        </w:trPr>
        <w:tc>
          <w:tcPr>
            <w:tcW w:w="993" w:type="dxa"/>
          </w:tcPr>
          <w:p w14:paraId="4C78B692" w14:textId="77777777" w:rsidR="00DF6F16" w:rsidRPr="0079316C" w:rsidRDefault="00DF6F16" w:rsidP="00B262D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3119" w:type="dxa"/>
          </w:tcPr>
          <w:p w14:paraId="4C78B693" w14:textId="77777777" w:rsidR="00DF6F16" w:rsidRPr="0079316C" w:rsidRDefault="00DF6F16" w:rsidP="00B262D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Atbilstības izmaksu monetārs novērtējums</w:t>
            </w:r>
          </w:p>
        </w:tc>
        <w:tc>
          <w:tcPr>
            <w:tcW w:w="6095" w:type="dxa"/>
          </w:tcPr>
          <w:p w14:paraId="4C78B694" w14:textId="77777777" w:rsidR="00DF6F16" w:rsidRPr="0039467E" w:rsidRDefault="00DF6F16" w:rsidP="00B262D9">
            <w:pPr>
              <w:pStyle w:val="NoSpacing"/>
              <w:rPr>
                <w:rFonts w:ascii="Times New Roman" w:hAnsi="Times New Roman" w:cs="Times New Roman"/>
                <w:sz w:val="24"/>
                <w:szCs w:val="24"/>
                <w:lang w:eastAsia="lv-LV"/>
              </w:rPr>
            </w:pPr>
            <w:r w:rsidRPr="0039467E">
              <w:rPr>
                <w:rFonts w:ascii="Times New Roman" w:hAnsi="Times New Roman" w:cs="Times New Roman"/>
                <w:sz w:val="24"/>
              </w:rPr>
              <w:t>Projekts šo jomu neskar.</w:t>
            </w:r>
          </w:p>
        </w:tc>
      </w:tr>
      <w:tr w:rsidR="00DF6F16" w14:paraId="4C78B699" w14:textId="77777777" w:rsidTr="00970602">
        <w:trPr>
          <w:jc w:val="center"/>
        </w:trPr>
        <w:tc>
          <w:tcPr>
            <w:tcW w:w="993" w:type="dxa"/>
          </w:tcPr>
          <w:p w14:paraId="4C78B696" w14:textId="77777777" w:rsidR="00DF6F16" w:rsidRPr="0079316C" w:rsidRDefault="00DF6F16" w:rsidP="00B262D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5.</w:t>
            </w:r>
          </w:p>
        </w:tc>
        <w:tc>
          <w:tcPr>
            <w:tcW w:w="3119" w:type="dxa"/>
          </w:tcPr>
          <w:p w14:paraId="4C78B697" w14:textId="77777777" w:rsidR="00DF6F16" w:rsidRPr="0079316C" w:rsidRDefault="00DF6F16" w:rsidP="00B262D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6095" w:type="dxa"/>
          </w:tcPr>
          <w:p w14:paraId="4C78B698" w14:textId="77777777" w:rsidR="00DF6F16" w:rsidRDefault="00DF6F16" w:rsidP="00B262D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r>
              <w:rPr>
                <w:rFonts w:ascii="Times New Roman" w:hAnsi="Times New Roman" w:cs="Times New Roman"/>
                <w:sz w:val="24"/>
                <w:szCs w:val="24"/>
                <w:lang w:eastAsia="lv-LV"/>
              </w:rPr>
              <w:t>.</w:t>
            </w:r>
          </w:p>
        </w:tc>
      </w:tr>
    </w:tbl>
    <w:p w14:paraId="4C78B69A" w14:textId="77777777" w:rsidR="00DF6F16" w:rsidRDefault="00DF6F16" w:rsidP="00DF6F16">
      <w:pPr>
        <w:pStyle w:val="NoSpacing"/>
        <w:rPr>
          <w:rFonts w:ascii="Times New Roman" w:hAnsi="Times New Roman" w:cs="Times New Roman"/>
          <w:sz w:val="24"/>
          <w:szCs w:val="24"/>
          <w:lang w:eastAsia="lv-LV"/>
        </w:rPr>
      </w:pPr>
    </w:p>
    <w:p w14:paraId="4C78B69B" w14:textId="77777777" w:rsidR="00035F74" w:rsidRDefault="00035F74" w:rsidP="00DF6F16">
      <w:pPr>
        <w:pStyle w:val="NoSpacing"/>
        <w:rPr>
          <w:rFonts w:ascii="Times New Roman" w:hAnsi="Times New Roman" w:cs="Times New Roman"/>
          <w:sz w:val="24"/>
          <w:szCs w:val="24"/>
          <w:lang w:eastAsia="lv-LV"/>
        </w:rPr>
      </w:pPr>
    </w:p>
    <w:tbl>
      <w:tblPr>
        <w:tblStyle w:val="TableGrid"/>
        <w:tblW w:w="10065" w:type="dxa"/>
        <w:jc w:val="center"/>
        <w:tblLayout w:type="fixed"/>
        <w:tblLook w:val="04A0" w:firstRow="1" w:lastRow="0" w:firstColumn="1" w:lastColumn="0" w:noHBand="0" w:noVBand="1"/>
      </w:tblPr>
      <w:tblGrid>
        <w:gridCol w:w="1702"/>
        <w:gridCol w:w="992"/>
        <w:gridCol w:w="1270"/>
        <w:gridCol w:w="993"/>
        <w:gridCol w:w="1275"/>
        <w:gridCol w:w="1134"/>
        <w:gridCol w:w="1276"/>
        <w:gridCol w:w="1423"/>
      </w:tblGrid>
      <w:tr w:rsidR="00DF6F16" w14:paraId="4C78B69D" w14:textId="77777777" w:rsidTr="00970602">
        <w:trPr>
          <w:jc w:val="center"/>
        </w:trPr>
        <w:tc>
          <w:tcPr>
            <w:tcW w:w="10065" w:type="dxa"/>
            <w:gridSpan w:val="8"/>
          </w:tcPr>
          <w:p w14:paraId="4C78B69C" w14:textId="77777777" w:rsidR="00DF6F16" w:rsidRDefault="00DF6F16" w:rsidP="00B262D9">
            <w:pPr>
              <w:pStyle w:val="NoSpacing"/>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III. Tiesību akta projekta ietekme uz valsts budžetu un pašvaldību budžetiem</w:t>
            </w:r>
          </w:p>
        </w:tc>
      </w:tr>
      <w:tr w:rsidR="00DF6F16" w14:paraId="4C78B6A1" w14:textId="77777777" w:rsidTr="00970602">
        <w:trPr>
          <w:jc w:val="center"/>
        </w:trPr>
        <w:tc>
          <w:tcPr>
            <w:tcW w:w="1702" w:type="dxa"/>
            <w:vMerge w:val="restart"/>
          </w:tcPr>
          <w:p w14:paraId="4C78B69E" w14:textId="77777777" w:rsidR="00DF6F16" w:rsidRDefault="00DF6F16" w:rsidP="00B262D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Rādītāji</w:t>
            </w:r>
          </w:p>
        </w:tc>
        <w:tc>
          <w:tcPr>
            <w:tcW w:w="2262" w:type="dxa"/>
            <w:gridSpan w:val="2"/>
            <w:vMerge w:val="restart"/>
          </w:tcPr>
          <w:p w14:paraId="4C78B69F" w14:textId="77777777" w:rsidR="00DF6F16" w:rsidRDefault="00DF6F16" w:rsidP="00B262D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 xml:space="preserve">2018. </w:t>
            </w:r>
            <w:r w:rsidRPr="0079316C">
              <w:rPr>
                <w:rFonts w:ascii="Times New Roman" w:hAnsi="Times New Roman" w:cs="Times New Roman"/>
                <w:sz w:val="24"/>
                <w:szCs w:val="24"/>
                <w:lang w:eastAsia="lv-LV"/>
              </w:rPr>
              <w:t>gads</w:t>
            </w:r>
          </w:p>
        </w:tc>
        <w:tc>
          <w:tcPr>
            <w:tcW w:w="6101" w:type="dxa"/>
            <w:gridSpan w:val="5"/>
          </w:tcPr>
          <w:p w14:paraId="4C78B6A0" w14:textId="77777777" w:rsidR="00DF6F16" w:rsidRDefault="00DF6F16" w:rsidP="00B262D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Turpmākie trīs gadi (</w:t>
            </w:r>
            <w:proofErr w:type="spellStart"/>
            <w:r w:rsidRPr="0079316C">
              <w:rPr>
                <w:rFonts w:ascii="Times New Roman" w:hAnsi="Times New Roman" w:cs="Times New Roman"/>
                <w:i/>
                <w:iCs/>
                <w:sz w:val="24"/>
                <w:szCs w:val="24"/>
                <w:lang w:eastAsia="lv-LV"/>
              </w:rPr>
              <w:t>euro</w:t>
            </w:r>
            <w:proofErr w:type="spellEnd"/>
            <w:r w:rsidRPr="0079316C">
              <w:rPr>
                <w:rFonts w:ascii="Times New Roman" w:hAnsi="Times New Roman" w:cs="Times New Roman"/>
                <w:sz w:val="24"/>
                <w:szCs w:val="24"/>
                <w:lang w:eastAsia="lv-LV"/>
              </w:rPr>
              <w:t>)</w:t>
            </w:r>
          </w:p>
        </w:tc>
      </w:tr>
      <w:tr w:rsidR="00DF6F16" w14:paraId="4C78B6A7" w14:textId="77777777" w:rsidTr="00970602">
        <w:trPr>
          <w:jc w:val="center"/>
        </w:trPr>
        <w:tc>
          <w:tcPr>
            <w:tcW w:w="1702" w:type="dxa"/>
            <w:vMerge/>
          </w:tcPr>
          <w:p w14:paraId="4C78B6A2" w14:textId="77777777" w:rsidR="00DF6F16" w:rsidRDefault="00DF6F16" w:rsidP="00B262D9">
            <w:pPr>
              <w:pStyle w:val="NoSpacing"/>
              <w:rPr>
                <w:rFonts w:ascii="Times New Roman" w:hAnsi="Times New Roman" w:cs="Times New Roman"/>
                <w:sz w:val="24"/>
                <w:szCs w:val="24"/>
                <w:lang w:eastAsia="lv-LV"/>
              </w:rPr>
            </w:pPr>
          </w:p>
        </w:tc>
        <w:tc>
          <w:tcPr>
            <w:tcW w:w="2262" w:type="dxa"/>
            <w:gridSpan w:val="2"/>
            <w:vMerge/>
          </w:tcPr>
          <w:p w14:paraId="4C78B6A3" w14:textId="77777777" w:rsidR="00DF6F16" w:rsidRDefault="00DF6F16" w:rsidP="00B262D9">
            <w:pPr>
              <w:pStyle w:val="NoSpacing"/>
              <w:rPr>
                <w:rFonts w:ascii="Times New Roman" w:hAnsi="Times New Roman" w:cs="Times New Roman"/>
                <w:sz w:val="24"/>
                <w:szCs w:val="24"/>
                <w:lang w:eastAsia="lv-LV"/>
              </w:rPr>
            </w:pPr>
          </w:p>
        </w:tc>
        <w:tc>
          <w:tcPr>
            <w:tcW w:w="2268" w:type="dxa"/>
            <w:gridSpan w:val="2"/>
          </w:tcPr>
          <w:p w14:paraId="4C78B6A4" w14:textId="77777777" w:rsidR="00DF6F16" w:rsidRDefault="00DF6F16" w:rsidP="00B262D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2019.gads</w:t>
            </w:r>
          </w:p>
        </w:tc>
        <w:tc>
          <w:tcPr>
            <w:tcW w:w="2410" w:type="dxa"/>
            <w:gridSpan w:val="2"/>
          </w:tcPr>
          <w:p w14:paraId="4C78B6A5" w14:textId="77777777" w:rsidR="00DF6F16" w:rsidRDefault="00DF6F16" w:rsidP="00B262D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2020.gads</w:t>
            </w:r>
          </w:p>
        </w:tc>
        <w:tc>
          <w:tcPr>
            <w:tcW w:w="1423" w:type="dxa"/>
          </w:tcPr>
          <w:p w14:paraId="4C78B6A6" w14:textId="77777777" w:rsidR="00DF6F16" w:rsidRDefault="00DF6F16" w:rsidP="00B262D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2021.gads</w:t>
            </w:r>
          </w:p>
        </w:tc>
      </w:tr>
      <w:tr w:rsidR="00DF6F16" w14:paraId="4C78B6B0" w14:textId="77777777" w:rsidTr="00970602">
        <w:trPr>
          <w:jc w:val="center"/>
        </w:trPr>
        <w:tc>
          <w:tcPr>
            <w:tcW w:w="1702" w:type="dxa"/>
            <w:vMerge/>
          </w:tcPr>
          <w:p w14:paraId="4C78B6A8" w14:textId="77777777" w:rsidR="00DF6F16" w:rsidRDefault="00DF6F16" w:rsidP="00B262D9">
            <w:pPr>
              <w:pStyle w:val="NoSpacing"/>
              <w:rPr>
                <w:rFonts w:ascii="Times New Roman" w:hAnsi="Times New Roman" w:cs="Times New Roman"/>
                <w:sz w:val="24"/>
                <w:szCs w:val="24"/>
                <w:lang w:eastAsia="lv-LV"/>
              </w:rPr>
            </w:pPr>
          </w:p>
        </w:tc>
        <w:tc>
          <w:tcPr>
            <w:tcW w:w="992" w:type="dxa"/>
          </w:tcPr>
          <w:p w14:paraId="4C78B6A9" w14:textId="77777777" w:rsidR="00DF6F16" w:rsidRDefault="00DF6F16" w:rsidP="00B262D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saskaņā ar valsts budžetu kārtējam gadam</w:t>
            </w:r>
          </w:p>
        </w:tc>
        <w:tc>
          <w:tcPr>
            <w:tcW w:w="1270" w:type="dxa"/>
          </w:tcPr>
          <w:p w14:paraId="4C78B6AA" w14:textId="77777777" w:rsidR="00DF6F16" w:rsidRDefault="00DF6F16" w:rsidP="00B262D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izmaiņas kārtējā gadā, salīdzinot ar valsts budžetu kārtējam gadam</w:t>
            </w:r>
          </w:p>
        </w:tc>
        <w:tc>
          <w:tcPr>
            <w:tcW w:w="993" w:type="dxa"/>
          </w:tcPr>
          <w:p w14:paraId="4C78B6AB" w14:textId="77777777" w:rsidR="00DF6F16" w:rsidRPr="0079316C" w:rsidRDefault="00DF6F16" w:rsidP="00B262D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saskaņā ar vidēja termiņa budžeta ietvaru</w:t>
            </w:r>
          </w:p>
        </w:tc>
        <w:tc>
          <w:tcPr>
            <w:tcW w:w="1275" w:type="dxa"/>
          </w:tcPr>
          <w:p w14:paraId="4C78B6AC" w14:textId="77777777" w:rsidR="00DF6F16" w:rsidRDefault="00DF6F16" w:rsidP="00B262D9">
            <w:pPr>
              <w:pStyle w:val="NoSpacing"/>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izmaiņas, salīdzinot ar vidēja termiņa budžeta ietvaru </w:t>
            </w:r>
            <w:r>
              <w:rPr>
                <w:rFonts w:ascii="Times New Roman" w:hAnsi="Times New Roman" w:cs="Times New Roman"/>
                <w:sz w:val="24"/>
                <w:szCs w:val="24"/>
                <w:lang w:eastAsia="lv-LV"/>
              </w:rPr>
              <w:t>2019.</w:t>
            </w:r>
            <w:r w:rsidRPr="0079316C">
              <w:rPr>
                <w:rFonts w:ascii="Times New Roman" w:hAnsi="Times New Roman" w:cs="Times New Roman"/>
                <w:sz w:val="24"/>
                <w:szCs w:val="24"/>
                <w:lang w:eastAsia="lv-LV"/>
              </w:rPr>
              <w:t xml:space="preserve"> gadam</w:t>
            </w:r>
          </w:p>
        </w:tc>
        <w:tc>
          <w:tcPr>
            <w:tcW w:w="1134" w:type="dxa"/>
          </w:tcPr>
          <w:p w14:paraId="4C78B6AD" w14:textId="77777777" w:rsidR="00DF6F16" w:rsidRDefault="00DF6F16" w:rsidP="00B262D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saskaņā ar vidēja termiņa budžeta ietvaru</w:t>
            </w:r>
          </w:p>
        </w:tc>
        <w:tc>
          <w:tcPr>
            <w:tcW w:w="1276" w:type="dxa"/>
          </w:tcPr>
          <w:p w14:paraId="4C78B6AE" w14:textId="77777777" w:rsidR="00DF6F16" w:rsidRDefault="00DF6F16" w:rsidP="00B262D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izmaiņas, salīdzinot ar vidēja termiņa budžeta ietvaru </w:t>
            </w:r>
            <w:r>
              <w:rPr>
                <w:rFonts w:ascii="Times New Roman" w:hAnsi="Times New Roman" w:cs="Times New Roman"/>
                <w:sz w:val="24"/>
                <w:szCs w:val="24"/>
                <w:lang w:eastAsia="lv-LV"/>
              </w:rPr>
              <w:t>2020.</w:t>
            </w:r>
            <w:r w:rsidRPr="0079316C">
              <w:rPr>
                <w:rFonts w:ascii="Times New Roman" w:hAnsi="Times New Roman" w:cs="Times New Roman"/>
                <w:sz w:val="24"/>
                <w:szCs w:val="24"/>
                <w:lang w:eastAsia="lv-LV"/>
              </w:rPr>
              <w:t xml:space="preserve"> gadam</w:t>
            </w:r>
          </w:p>
        </w:tc>
        <w:tc>
          <w:tcPr>
            <w:tcW w:w="1423" w:type="dxa"/>
          </w:tcPr>
          <w:p w14:paraId="4C78B6AF" w14:textId="77777777" w:rsidR="00DF6F16" w:rsidRDefault="00DF6F16" w:rsidP="00B262D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izmaiņas, salīdzinot ar vidēja termiņa budžeta ietvaru </w:t>
            </w:r>
            <w:r>
              <w:rPr>
                <w:rFonts w:ascii="Times New Roman" w:hAnsi="Times New Roman" w:cs="Times New Roman"/>
                <w:sz w:val="24"/>
                <w:szCs w:val="24"/>
                <w:lang w:eastAsia="lv-LV"/>
              </w:rPr>
              <w:t>2021.</w:t>
            </w:r>
            <w:r w:rsidRPr="0079316C">
              <w:rPr>
                <w:rFonts w:ascii="Times New Roman" w:hAnsi="Times New Roman" w:cs="Times New Roman"/>
                <w:sz w:val="24"/>
                <w:szCs w:val="24"/>
                <w:lang w:eastAsia="lv-LV"/>
              </w:rPr>
              <w:t xml:space="preserve"> gadam</w:t>
            </w:r>
          </w:p>
        </w:tc>
      </w:tr>
      <w:tr w:rsidR="00DF6F16" w14:paraId="4C78B6B9" w14:textId="77777777" w:rsidTr="00970602">
        <w:trPr>
          <w:jc w:val="center"/>
        </w:trPr>
        <w:tc>
          <w:tcPr>
            <w:tcW w:w="1702" w:type="dxa"/>
            <w:vAlign w:val="center"/>
          </w:tcPr>
          <w:p w14:paraId="4C78B6B1" w14:textId="77777777" w:rsidR="00DF6F16" w:rsidRPr="0079316C" w:rsidRDefault="00DF6F16" w:rsidP="00B262D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992" w:type="dxa"/>
            <w:vAlign w:val="center"/>
          </w:tcPr>
          <w:p w14:paraId="4C78B6B2" w14:textId="77777777" w:rsidR="00DF6F16" w:rsidRPr="0079316C" w:rsidRDefault="00DF6F16" w:rsidP="00B262D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1270" w:type="dxa"/>
            <w:vAlign w:val="center"/>
          </w:tcPr>
          <w:p w14:paraId="4C78B6B3" w14:textId="77777777" w:rsidR="00DF6F16" w:rsidRPr="0079316C" w:rsidRDefault="00DF6F16" w:rsidP="00B262D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3</w:t>
            </w:r>
          </w:p>
        </w:tc>
        <w:tc>
          <w:tcPr>
            <w:tcW w:w="993" w:type="dxa"/>
            <w:vAlign w:val="center"/>
          </w:tcPr>
          <w:p w14:paraId="4C78B6B4" w14:textId="77777777" w:rsidR="00DF6F16" w:rsidRPr="0079316C" w:rsidRDefault="00DF6F16" w:rsidP="00B262D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1275" w:type="dxa"/>
            <w:vAlign w:val="center"/>
          </w:tcPr>
          <w:p w14:paraId="4C78B6B5" w14:textId="77777777" w:rsidR="00DF6F16" w:rsidRPr="0079316C" w:rsidRDefault="00DF6F16" w:rsidP="00B262D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5</w:t>
            </w:r>
          </w:p>
        </w:tc>
        <w:tc>
          <w:tcPr>
            <w:tcW w:w="1134" w:type="dxa"/>
            <w:vAlign w:val="center"/>
          </w:tcPr>
          <w:p w14:paraId="4C78B6B6" w14:textId="77777777" w:rsidR="00DF6F16" w:rsidRPr="0079316C" w:rsidRDefault="00DF6F16" w:rsidP="00B262D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6</w:t>
            </w:r>
          </w:p>
        </w:tc>
        <w:tc>
          <w:tcPr>
            <w:tcW w:w="1276" w:type="dxa"/>
            <w:vAlign w:val="center"/>
          </w:tcPr>
          <w:p w14:paraId="4C78B6B7" w14:textId="77777777" w:rsidR="00DF6F16" w:rsidRPr="0079316C" w:rsidRDefault="00DF6F16" w:rsidP="00B262D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7</w:t>
            </w:r>
          </w:p>
        </w:tc>
        <w:tc>
          <w:tcPr>
            <w:tcW w:w="1423" w:type="dxa"/>
            <w:vAlign w:val="center"/>
          </w:tcPr>
          <w:p w14:paraId="4C78B6B8" w14:textId="77777777" w:rsidR="00DF6F16" w:rsidRPr="0079316C" w:rsidRDefault="00DF6F16" w:rsidP="00B262D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8</w:t>
            </w:r>
          </w:p>
        </w:tc>
      </w:tr>
      <w:tr w:rsidR="00DF6F16" w14:paraId="4C78B6C2" w14:textId="77777777" w:rsidTr="00970602">
        <w:trPr>
          <w:jc w:val="center"/>
        </w:trPr>
        <w:tc>
          <w:tcPr>
            <w:tcW w:w="1702" w:type="dxa"/>
          </w:tcPr>
          <w:p w14:paraId="4C78B6BA" w14:textId="77777777" w:rsidR="00DF6F16" w:rsidRDefault="00DF6F16" w:rsidP="00B262D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1. Budžeta ieņēmumi</w:t>
            </w:r>
          </w:p>
        </w:tc>
        <w:tc>
          <w:tcPr>
            <w:tcW w:w="992" w:type="dxa"/>
          </w:tcPr>
          <w:p w14:paraId="4C78B6BB" w14:textId="77777777" w:rsidR="00DF6F16" w:rsidRDefault="00DF6F16" w:rsidP="00B262D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14:paraId="4C78B6BC" w14:textId="77777777" w:rsidR="00DF6F16" w:rsidRDefault="00DF6F16" w:rsidP="00B262D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tcPr>
          <w:p w14:paraId="4C78B6BD" w14:textId="77777777" w:rsidR="00DF6F16" w:rsidRPr="00805D29" w:rsidRDefault="00805D29" w:rsidP="00B262D9">
            <w:pPr>
              <w:pStyle w:val="NoSpacing"/>
              <w:rPr>
                <w:rFonts w:ascii="Times New Roman" w:hAnsi="Times New Roman" w:cs="Times New Roman"/>
                <w:sz w:val="24"/>
                <w:szCs w:val="24"/>
                <w:lang w:eastAsia="lv-LV"/>
              </w:rPr>
            </w:pPr>
            <w:r w:rsidRPr="00805D29">
              <w:rPr>
                <w:rFonts w:ascii="Times New Roman" w:hAnsi="Times New Roman" w:cs="Times New Roman"/>
                <w:sz w:val="24"/>
                <w:szCs w:val="24"/>
                <w:lang w:eastAsia="lv-LV"/>
              </w:rPr>
              <w:t>0</w:t>
            </w:r>
          </w:p>
        </w:tc>
        <w:tc>
          <w:tcPr>
            <w:tcW w:w="1275" w:type="dxa"/>
          </w:tcPr>
          <w:p w14:paraId="4C78B6BE" w14:textId="77777777" w:rsidR="00DF6F16" w:rsidRDefault="00DF6F16" w:rsidP="00B262D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14:paraId="4C78B6BF" w14:textId="77777777" w:rsidR="00DF6F16" w:rsidRDefault="00DF6F16" w:rsidP="00B262D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4C78B6C0" w14:textId="77777777" w:rsidR="00DF6F16" w:rsidRDefault="00DF6F16" w:rsidP="00B262D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14:paraId="4C78B6C1" w14:textId="77777777" w:rsidR="00DF6F16" w:rsidRDefault="00DF6F16" w:rsidP="00B262D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AF0AE9" w14:paraId="4C78B6CB" w14:textId="77777777" w:rsidTr="00970602">
        <w:trPr>
          <w:jc w:val="center"/>
        </w:trPr>
        <w:tc>
          <w:tcPr>
            <w:tcW w:w="1702" w:type="dxa"/>
          </w:tcPr>
          <w:p w14:paraId="4C78B6C3" w14:textId="77777777" w:rsidR="00AF0AE9" w:rsidRPr="0079316C" w:rsidRDefault="00AF0AE9" w:rsidP="00AF0AE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1.1. valsts pamatbudžets, tai skaitā ieņēmumi no maksas pakalpojumiem un citi pašu ieņēmumi</w:t>
            </w:r>
          </w:p>
        </w:tc>
        <w:tc>
          <w:tcPr>
            <w:tcW w:w="992" w:type="dxa"/>
          </w:tcPr>
          <w:p w14:paraId="4C78B6C4"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14:paraId="4C78B6C5"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tcPr>
          <w:p w14:paraId="4C78B6C6" w14:textId="77777777" w:rsidR="00AF0AE9" w:rsidRPr="00805D29" w:rsidRDefault="00805D29" w:rsidP="00AF0AE9">
            <w:pPr>
              <w:pStyle w:val="NoSpacing"/>
              <w:rPr>
                <w:rFonts w:ascii="Times New Roman" w:hAnsi="Times New Roman" w:cs="Times New Roman"/>
                <w:sz w:val="24"/>
                <w:szCs w:val="24"/>
                <w:lang w:eastAsia="lv-LV"/>
              </w:rPr>
            </w:pPr>
            <w:r w:rsidRPr="00805D29">
              <w:rPr>
                <w:rFonts w:ascii="Times New Roman" w:hAnsi="Times New Roman" w:cs="Times New Roman"/>
                <w:sz w:val="24"/>
                <w:szCs w:val="24"/>
                <w:lang w:eastAsia="lv-LV"/>
              </w:rPr>
              <w:t xml:space="preserve">0 </w:t>
            </w:r>
          </w:p>
        </w:tc>
        <w:tc>
          <w:tcPr>
            <w:tcW w:w="1275" w:type="dxa"/>
          </w:tcPr>
          <w:p w14:paraId="4C78B6C7"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14:paraId="4C78B6C8"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4C78B6C9"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14:paraId="4C78B6CA"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DF6F16" w14:paraId="4C78B6D4" w14:textId="77777777" w:rsidTr="00970602">
        <w:trPr>
          <w:jc w:val="center"/>
        </w:trPr>
        <w:tc>
          <w:tcPr>
            <w:tcW w:w="1702" w:type="dxa"/>
          </w:tcPr>
          <w:p w14:paraId="4C78B6CC" w14:textId="77777777" w:rsidR="00DF6F16" w:rsidRPr="0079316C" w:rsidRDefault="00DF6F16" w:rsidP="00B262D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1.2. valsts speciālais budžets</w:t>
            </w:r>
          </w:p>
        </w:tc>
        <w:tc>
          <w:tcPr>
            <w:tcW w:w="992" w:type="dxa"/>
          </w:tcPr>
          <w:p w14:paraId="4C78B6CD" w14:textId="77777777" w:rsidR="00DF6F16" w:rsidRDefault="00DF6F16" w:rsidP="00B262D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14:paraId="4C78B6CE" w14:textId="77777777" w:rsidR="00DF6F16" w:rsidRDefault="00DF6F16" w:rsidP="00B262D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tcPr>
          <w:p w14:paraId="4C78B6CF" w14:textId="77777777" w:rsidR="00DF6F16" w:rsidRDefault="00DF6F16" w:rsidP="00B262D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5" w:type="dxa"/>
          </w:tcPr>
          <w:p w14:paraId="4C78B6D0" w14:textId="77777777" w:rsidR="00DF6F16" w:rsidRDefault="00DF6F16" w:rsidP="00B262D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14:paraId="4C78B6D1" w14:textId="77777777" w:rsidR="00DF6F16" w:rsidRDefault="00DF6F16" w:rsidP="00B262D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4C78B6D2" w14:textId="77777777" w:rsidR="00DF6F16" w:rsidRDefault="00DF6F16" w:rsidP="00B262D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14:paraId="4C78B6D3" w14:textId="77777777" w:rsidR="00DF6F16" w:rsidRDefault="00DF6F16" w:rsidP="00B262D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DF6F16" w14:paraId="4C78B6DD" w14:textId="77777777" w:rsidTr="00970602">
        <w:trPr>
          <w:jc w:val="center"/>
        </w:trPr>
        <w:tc>
          <w:tcPr>
            <w:tcW w:w="1702" w:type="dxa"/>
          </w:tcPr>
          <w:p w14:paraId="4C78B6D5" w14:textId="77777777" w:rsidR="00DF6F16" w:rsidRPr="0079316C" w:rsidRDefault="00DF6F16" w:rsidP="00B262D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1.3. pašvaldību budžets</w:t>
            </w:r>
          </w:p>
        </w:tc>
        <w:tc>
          <w:tcPr>
            <w:tcW w:w="992" w:type="dxa"/>
          </w:tcPr>
          <w:p w14:paraId="4C78B6D6" w14:textId="77777777" w:rsidR="00DF6F16" w:rsidRDefault="00DF6F16" w:rsidP="00B262D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14:paraId="4C78B6D7" w14:textId="77777777" w:rsidR="00DF6F16" w:rsidRDefault="00DF6F16" w:rsidP="00B262D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tcPr>
          <w:p w14:paraId="4C78B6D8" w14:textId="77777777" w:rsidR="00DF6F16" w:rsidRDefault="00DF6F16" w:rsidP="00B262D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5" w:type="dxa"/>
          </w:tcPr>
          <w:p w14:paraId="4C78B6D9" w14:textId="77777777" w:rsidR="00DF6F16" w:rsidRDefault="00DF6F16" w:rsidP="00B262D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14:paraId="4C78B6DA" w14:textId="77777777" w:rsidR="00DF6F16" w:rsidRDefault="00DF6F16" w:rsidP="00B262D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4C78B6DB" w14:textId="77777777" w:rsidR="00DF6F16" w:rsidRDefault="00DF6F16" w:rsidP="00B262D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14:paraId="4C78B6DC" w14:textId="77777777" w:rsidR="00DF6F16" w:rsidRDefault="00DF6F16" w:rsidP="00B262D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DF6F16" w14:paraId="4C78B6E6" w14:textId="77777777" w:rsidTr="00970602">
        <w:trPr>
          <w:jc w:val="center"/>
        </w:trPr>
        <w:tc>
          <w:tcPr>
            <w:tcW w:w="1702" w:type="dxa"/>
          </w:tcPr>
          <w:p w14:paraId="4C78B6DE" w14:textId="77777777" w:rsidR="00DF6F16" w:rsidRPr="0079316C" w:rsidRDefault="00DF6F16" w:rsidP="00B262D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2. Budžeta izdevumi</w:t>
            </w:r>
          </w:p>
        </w:tc>
        <w:tc>
          <w:tcPr>
            <w:tcW w:w="992" w:type="dxa"/>
          </w:tcPr>
          <w:p w14:paraId="4C78B6DF" w14:textId="77777777" w:rsidR="00DF6F16" w:rsidRDefault="00DF6F16" w:rsidP="00B262D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14:paraId="4C78B6E0" w14:textId="77777777" w:rsidR="00DF6F16" w:rsidRPr="00182835" w:rsidRDefault="00D9504B" w:rsidP="0026173E">
            <w:pPr>
              <w:pStyle w:val="NoSpacing"/>
              <w:rPr>
                <w:rFonts w:ascii="Times New Roman" w:hAnsi="Times New Roman" w:cs="Times New Roman"/>
                <w:b/>
                <w:sz w:val="24"/>
                <w:szCs w:val="24"/>
                <w:lang w:eastAsia="lv-LV"/>
              </w:rPr>
            </w:pPr>
            <w:r>
              <w:rPr>
                <w:rFonts w:ascii="Times New Roman" w:hAnsi="Times New Roman" w:cs="Times New Roman"/>
                <w:b/>
                <w:sz w:val="24"/>
                <w:szCs w:val="24"/>
              </w:rPr>
              <w:t>339 000</w:t>
            </w:r>
          </w:p>
        </w:tc>
        <w:tc>
          <w:tcPr>
            <w:tcW w:w="993" w:type="dxa"/>
          </w:tcPr>
          <w:p w14:paraId="4C78B6E1" w14:textId="77777777" w:rsidR="00DF6F16" w:rsidRPr="00033FAC" w:rsidRDefault="00DF6F16" w:rsidP="00B262D9">
            <w:pPr>
              <w:pStyle w:val="NoSpacing"/>
              <w:rPr>
                <w:rFonts w:ascii="Times New Roman" w:hAnsi="Times New Roman" w:cs="Times New Roman"/>
                <w:sz w:val="24"/>
                <w:szCs w:val="24"/>
                <w:lang w:eastAsia="lv-LV"/>
              </w:rPr>
            </w:pPr>
            <w:r w:rsidRPr="00033FAC">
              <w:rPr>
                <w:rFonts w:ascii="Times New Roman" w:hAnsi="Times New Roman" w:cs="Times New Roman"/>
                <w:sz w:val="24"/>
                <w:szCs w:val="24"/>
                <w:lang w:eastAsia="lv-LV"/>
              </w:rPr>
              <w:t>0</w:t>
            </w:r>
          </w:p>
        </w:tc>
        <w:tc>
          <w:tcPr>
            <w:tcW w:w="1275" w:type="dxa"/>
          </w:tcPr>
          <w:p w14:paraId="4C78B6E2" w14:textId="77777777" w:rsidR="00DF6F16" w:rsidRDefault="00DF6F16" w:rsidP="00B262D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14:paraId="4C78B6E3" w14:textId="77777777" w:rsidR="00DF6F16" w:rsidRDefault="00DF6F16" w:rsidP="00B262D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4C78B6E4" w14:textId="77777777" w:rsidR="00DF6F16" w:rsidRDefault="00DF6F16" w:rsidP="00B262D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14:paraId="4C78B6E5" w14:textId="77777777" w:rsidR="00DF6F16" w:rsidRDefault="00DF6F16" w:rsidP="00B262D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AF0AE9" w14:paraId="4C78B6EF" w14:textId="77777777" w:rsidTr="00970602">
        <w:trPr>
          <w:jc w:val="center"/>
        </w:trPr>
        <w:tc>
          <w:tcPr>
            <w:tcW w:w="1702" w:type="dxa"/>
          </w:tcPr>
          <w:p w14:paraId="4C78B6E7" w14:textId="77777777" w:rsidR="00AF0AE9" w:rsidRPr="0079316C" w:rsidRDefault="00AF0AE9" w:rsidP="00AF0AE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2.1. valsts pamatbudžets</w:t>
            </w:r>
          </w:p>
        </w:tc>
        <w:tc>
          <w:tcPr>
            <w:tcW w:w="992" w:type="dxa"/>
          </w:tcPr>
          <w:p w14:paraId="4C78B6E8"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14:paraId="4C78B6E9" w14:textId="77777777" w:rsidR="00AF0AE9" w:rsidRPr="00182835" w:rsidRDefault="00D9504B" w:rsidP="0026173E">
            <w:pPr>
              <w:pStyle w:val="NoSpacing"/>
              <w:rPr>
                <w:rFonts w:ascii="Times New Roman" w:hAnsi="Times New Roman" w:cs="Times New Roman"/>
                <w:b/>
                <w:sz w:val="24"/>
                <w:szCs w:val="24"/>
                <w:lang w:eastAsia="lv-LV"/>
              </w:rPr>
            </w:pPr>
            <w:r>
              <w:rPr>
                <w:rFonts w:ascii="Times New Roman" w:hAnsi="Times New Roman" w:cs="Times New Roman"/>
                <w:b/>
                <w:sz w:val="24"/>
                <w:szCs w:val="24"/>
              </w:rPr>
              <w:t>339 000</w:t>
            </w:r>
          </w:p>
        </w:tc>
        <w:tc>
          <w:tcPr>
            <w:tcW w:w="993" w:type="dxa"/>
          </w:tcPr>
          <w:p w14:paraId="4C78B6EA" w14:textId="77777777" w:rsidR="00AF0AE9" w:rsidRPr="00033FAC" w:rsidRDefault="00AF0AE9" w:rsidP="00AF0AE9">
            <w:pPr>
              <w:pStyle w:val="NoSpacing"/>
              <w:rPr>
                <w:rFonts w:ascii="Times New Roman" w:hAnsi="Times New Roman" w:cs="Times New Roman"/>
                <w:sz w:val="24"/>
                <w:szCs w:val="24"/>
                <w:lang w:eastAsia="lv-LV"/>
              </w:rPr>
            </w:pPr>
            <w:r w:rsidRPr="00033FAC">
              <w:rPr>
                <w:rFonts w:ascii="Times New Roman" w:hAnsi="Times New Roman" w:cs="Times New Roman"/>
                <w:sz w:val="24"/>
                <w:szCs w:val="24"/>
                <w:lang w:eastAsia="lv-LV"/>
              </w:rPr>
              <w:t>0</w:t>
            </w:r>
          </w:p>
        </w:tc>
        <w:tc>
          <w:tcPr>
            <w:tcW w:w="1275" w:type="dxa"/>
          </w:tcPr>
          <w:p w14:paraId="4C78B6EB"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14:paraId="4C78B6EC"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4C78B6ED"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14:paraId="4C78B6EE"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DF6F16" w14:paraId="4C78B6F8" w14:textId="77777777" w:rsidTr="00970602">
        <w:trPr>
          <w:jc w:val="center"/>
        </w:trPr>
        <w:tc>
          <w:tcPr>
            <w:tcW w:w="1702" w:type="dxa"/>
          </w:tcPr>
          <w:p w14:paraId="4C78B6F0" w14:textId="77777777" w:rsidR="00DF6F16" w:rsidRPr="0079316C" w:rsidRDefault="00DF6F16" w:rsidP="00B262D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2.2. valsts speciālais budžets</w:t>
            </w:r>
          </w:p>
        </w:tc>
        <w:tc>
          <w:tcPr>
            <w:tcW w:w="992" w:type="dxa"/>
          </w:tcPr>
          <w:p w14:paraId="4C78B6F1" w14:textId="77777777" w:rsidR="00DF6F16" w:rsidRDefault="00DF6F16" w:rsidP="00B262D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14:paraId="4C78B6F2" w14:textId="77777777" w:rsidR="00DF6F16" w:rsidRDefault="00DF6F16" w:rsidP="00B262D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tcPr>
          <w:p w14:paraId="4C78B6F3" w14:textId="77777777" w:rsidR="00DF6F16" w:rsidRPr="00033FAC" w:rsidRDefault="00DF6F16" w:rsidP="00B262D9">
            <w:pPr>
              <w:pStyle w:val="NoSpacing"/>
              <w:rPr>
                <w:rFonts w:ascii="Times New Roman" w:hAnsi="Times New Roman" w:cs="Times New Roman"/>
                <w:sz w:val="24"/>
                <w:szCs w:val="24"/>
                <w:lang w:eastAsia="lv-LV"/>
              </w:rPr>
            </w:pPr>
            <w:r w:rsidRPr="00033FAC">
              <w:rPr>
                <w:rFonts w:ascii="Times New Roman" w:hAnsi="Times New Roman" w:cs="Times New Roman"/>
                <w:sz w:val="24"/>
                <w:szCs w:val="24"/>
                <w:lang w:eastAsia="lv-LV"/>
              </w:rPr>
              <w:t>0</w:t>
            </w:r>
          </w:p>
        </w:tc>
        <w:tc>
          <w:tcPr>
            <w:tcW w:w="1275" w:type="dxa"/>
          </w:tcPr>
          <w:p w14:paraId="4C78B6F4" w14:textId="77777777" w:rsidR="00DF6F16" w:rsidRDefault="00DF6F16" w:rsidP="00B262D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14:paraId="4C78B6F5" w14:textId="77777777" w:rsidR="00DF6F16" w:rsidRDefault="00DF6F16" w:rsidP="00B262D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4C78B6F6" w14:textId="77777777" w:rsidR="00DF6F16" w:rsidRDefault="00DF6F16" w:rsidP="00B262D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14:paraId="4C78B6F7" w14:textId="77777777" w:rsidR="00DF6F16" w:rsidRDefault="00DF6F16" w:rsidP="00B262D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DF6F16" w14:paraId="4C78B701" w14:textId="77777777" w:rsidTr="00970602">
        <w:trPr>
          <w:jc w:val="center"/>
        </w:trPr>
        <w:tc>
          <w:tcPr>
            <w:tcW w:w="1702" w:type="dxa"/>
          </w:tcPr>
          <w:p w14:paraId="4C78B6F9" w14:textId="77777777" w:rsidR="00DF6F16" w:rsidRPr="0079316C" w:rsidRDefault="00DF6F16" w:rsidP="00B262D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2.3. pašvaldību budžets</w:t>
            </w:r>
          </w:p>
        </w:tc>
        <w:tc>
          <w:tcPr>
            <w:tcW w:w="992" w:type="dxa"/>
          </w:tcPr>
          <w:p w14:paraId="4C78B6FA" w14:textId="77777777" w:rsidR="00DF6F16" w:rsidRDefault="00DF6F16" w:rsidP="00B262D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14:paraId="4C78B6FB" w14:textId="77777777" w:rsidR="00DF6F16" w:rsidRDefault="00DF6F16" w:rsidP="00B262D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tcPr>
          <w:p w14:paraId="4C78B6FC" w14:textId="77777777" w:rsidR="00DF6F16" w:rsidRPr="00033FAC" w:rsidRDefault="00DF6F16" w:rsidP="00B262D9">
            <w:pPr>
              <w:pStyle w:val="NoSpacing"/>
              <w:rPr>
                <w:rFonts w:ascii="Times New Roman" w:hAnsi="Times New Roman" w:cs="Times New Roman"/>
                <w:sz w:val="24"/>
                <w:szCs w:val="24"/>
                <w:lang w:eastAsia="lv-LV"/>
              </w:rPr>
            </w:pPr>
            <w:r w:rsidRPr="00033FAC">
              <w:rPr>
                <w:rFonts w:ascii="Times New Roman" w:hAnsi="Times New Roman" w:cs="Times New Roman"/>
                <w:sz w:val="24"/>
                <w:szCs w:val="24"/>
                <w:lang w:eastAsia="lv-LV"/>
              </w:rPr>
              <w:t>0</w:t>
            </w:r>
          </w:p>
        </w:tc>
        <w:tc>
          <w:tcPr>
            <w:tcW w:w="1275" w:type="dxa"/>
          </w:tcPr>
          <w:p w14:paraId="4C78B6FD" w14:textId="77777777" w:rsidR="00DF6F16" w:rsidRDefault="00DF6F16" w:rsidP="00B262D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14:paraId="4C78B6FE" w14:textId="77777777" w:rsidR="00DF6F16" w:rsidRDefault="00DF6F16" w:rsidP="00B262D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4C78B6FF" w14:textId="77777777" w:rsidR="00DF6F16" w:rsidRDefault="00DF6F16" w:rsidP="00B262D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14:paraId="4C78B700" w14:textId="77777777" w:rsidR="00DF6F16" w:rsidRDefault="00DF6F16" w:rsidP="00B262D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AF0AE9" w14:paraId="4C78B70A" w14:textId="77777777" w:rsidTr="00970602">
        <w:trPr>
          <w:jc w:val="center"/>
        </w:trPr>
        <w:tc>
          <w:tcPr>
            <w:tcW w:w="1702" w:type="dxa"/>
          </w:tcPr>
          <w:p w14:paraId="4C78B702" w14:textId="77777777" w:rsidR="00AF0AE9" w:rsidRPr="0079316C" w:rsidRDefault="00AF0AE9" w:rsidP="00AF0AE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3. Finansiālā ietekme</w:t>
            </w:r>
          </w:p>
        </w:tc>
        <w:tc>
          <w:tcPr>
            <w:tcW w:w="992" w:type="dxa"/>
          </w:tcPr>
          <w:p w14:paraId="4C78B703"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14:paraId="4C78B704" w14:textId="77777777" w:rsidR="00AF0AE9" w:rsidRPr="00182835" w:rsidRDefault="00AF0AE9" w:rsidP="0026173E">
            <w:pPr>
              <w:pStyle w:val="NoSpacing"/>
              <w:rPr>
                <w:rFonts w:ascii="Times New Roman" w:hAnsi="Times New Roman" w:cs="Times New Roman"/>
                <w:b/>
                <w:sz w:val="24"/>
                <w:szCs w:val="24"/>
                <w:lang w:eastAsia="lv-LV"/>
              </w:rPr>
            </w:pPr>
            <w:r w:rsidRPr="00182835">
              <w:rPr>
                <w:rFonts w:ascii="Times New Roman" w:hAnsi="Times New Roman" w:cs="Times New Roman"/>
                <w:b/>
                <w:sz w:val="24"/>
              </w:rPr>
              <w:t>–</w:t>
            </w:r>
            <w:r w:rsidR="00D9504B">
              <w:rPr>
                <w:rFonts w:ascii="Times New Roman" w:hAnsi="Times New Roman" w:cs="Times New Roman"/>
                <w:b/>
                <w:sz w:val="24"/>
                <w:szCs w:val="24"/>
              </w:rPr>
              <w:t>339 000</w:t>
            </w:r>
          </w:p>
        </w:tc>
        <w:tc>
          <w:tcPr>
            <w:tcW w:w="993" w:type="dxa"/>
          </w:tcPr>
          <w:p w14:paraId="4C78B705" w14:textId="77777777" w:rsidR="00AF0AE9" w:rsidRPr="00805D29" w:rsidRDefault="00805D29" w:rsidP="00AF0AE9">
            <w:pPr>
              <w:pStyle w:val="NoSpacing"/>
              <w:rPr>
                <w:rFonts w:ascii="Times New Roman" w:hAnsi="Times New Roman" w:cs="Times New Roman"/>
                <w:sz w:val="24"/>
                <w:szCs w:val="24"/>
                <w:lang w:eastAsia="lv-LV"/>
              </w:rPr>
            </w:pPr>
            <w:r w:rsidRPr="00805D29">
              <w:rPr>
                <w:rFonts w:ascii="Times New Roman" w:hAnsi="Times New Roman" w:cs="Times New Roman"/>
                <w:sz w:val="24"/>
                <w:szCs w:val="24"/>
                <w:lang w:eastAsia="lv-LV"/>
              </w:rPr>
              <w:t>0</w:t>
            </w:r>
          </w:p>
        </w:tc>
        <w:tc>
          <w:tcPr>
            <w:tcW w:w="1275" w:type="dxa"/>
          </w:tcPr>
          <w:p w14:paraId="4C78B706"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14:paraId="4C78B707"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4C78B708"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14:paraId="4C78B709"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AF0AE9" w14:paraId="4C78B713" w14:textId="77777777" w:rsidTr="00970602">
        <w:trPr>
          <w:jc w:val="center"/>
        </w:trPr>
        <w:tc>
          <w:tcPr>
            <w:tcW w:w="1702" w:type="dxa"/>
          </w:tcPr>
          <w:p w14:paraId="4C78B70B" w14:textId="77777777" w:rsidR="00AF0AE9" w:rsidRPr="0079316C" w:rsidRDefault="00AF0AE9" w:rsidP="00AF0AE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3.1. valsts pamatbudžets</w:t>
            </w:r>
          </w:p>
        </w:tc>
        <w:tc>
          <w:tcPr>
            <w:tcW w:w="992" w:type="dxa"/>
          </w:tcPr>
          <w:p w14:paraId="4C78B70C"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14:paraId="4C78B70D" w14:textId="77777777" w:rsidR="00AF0AE9" w:rsidRPr="00182835" w:rsidRDefault="00AF0AE9" w:rsidP="0026173E">
            <w:pPr>
              <w:pStyle w:val="NoSpacing"/>
              <w:rPr>
                <w:rFonts w:ascii="Times New Roman" w:hAnsi="Times New Roman" w:cs="Times New Roman"/>
                <w:b/>
                <w:sz w:val="24"/>
                <w:szCs w:val="24"/>
                <w:lang w:eastAsia="lv-LV"/>
              </w:rPr>
            </w:pPr>
            <w:r w:rsidRPr="00182835">
              <w:rPr>
                <w:rFonts w:ascii="Times New Roman" w:hAnsi="Times New Roman" w:cs="Times New Roman"/>
                <w:b/>
                <w:sz w:val="24"/>
              </w:rPr>
              <w:t>–</w:t>
            </w:r>
            <w:r w:rsidR="00D9504B">
              <w:rPr>
                <w:rFonts w:ascii="Times New Roman" w:hAnsi="Times New Roman" w:cs="Times New Roman"/>
                <w:b/>
                <w:sz w:val="24"/>
                <w:szCs w:val="24"/>
              </w:rPr>
              <w:t>339 000</w:t>
            </w:r>
          </w:p>
        </w:tc>
        <w:tc>
          <w:tcPr>
            <w:tcW w:w="993" w:type="dxa"/>
          </w:tcPr>
          <w:p w14:paraId="4C78B70E" w14:textId="77777777" w:rsidR="00AF0AE9" w:rsidRPr="00805D29" w:rsidRDefault="00805D29" w:rsidP="00AF0AE9">
            <w:pPr>
              <w:pStyle w:val="NoSpacing"/>
              <w:rPr>
                <w:rFonts w:ascii="Times New Roman" w:hAnsi="Times New Roman" w:cs="Times New Roman"/>
                <w:sz w:val="24"/>
                <w:szCs w:val="24"/>
                <w:lang w:eastAsia="lv-LV"/>
              </w:rPr>
            </w:pPr>
            <w:r w:rsidRPr="00805D29">
              <w:rPr>
                <w:rFonts w:ascii="Times New Roman" w:hAnsi="Times New Roman" w:cs="Times New Roman"/>
                <w:sz w:val="24"/>
                <w:szCs w:val="24"/>
                <w:lang w:eastAsia="lv-LV"/>
              </w:rPr>
              <w:t>0</w:t>
            </w:r>
          </w:p>
        </w:tc>
        <w:tc>
          <w:tcPr>
            <w:tcW w:w="1275" w:type="dxa"/>
          </w:tcPr>
          <w:p w14:paraId="4C78B70F"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14:paraId="4C78B710"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4C78B711"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14:paraId="4C78B712"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AF0AE9" w14:paraId="4C78B71C" w14:textId="77777777" w:rsidTr="00970602">
        <w:trPr>
          <w:jc w:val="center"/>
        </w:trPr>
        <w:tc>
          <w:tcPr>
            <w:tcW w:w="1702" w:type="dxa"/>
          </w:tcPr>
          <w:p w14:paraId="4C78B714" w14:textId="77777777" w:rsidR="00AF0AE9" w:rsidRPr="0079316C" w:rsidRDefault="00AF0AE9" w:rsidP="00AF0AE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3.2. speciālais budžets</w:t>
            </w:r>
          </w:p>
        </w:tc>
        <w:tc>
          <w:tcPr>
            <w:tcW w:w="992" w:type="dxa"/>
          </w:tcPr>
          <w:p w14:paraId="4C78B715"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14:paraId="4C78B716" w14:textId="77777777" w:rsidR="00AF0AE9" w:rsidRPr="00182835" w:rsidRDefault="00AF0AE9" w:rsidP="00AF0AE9">
            <w:pPr>
              <w:pStyle w:val="NoSpacing"/>
              <w:rPr>
                <w:rFonts w:ascii="Times New Roman" w:hAnsi="Times New Roman" w:cs="Times New Roman"/>
                <w:sz w:val="24"/>
                <w:szCs w:val="24"/>
                <w:lang w:eastAsia="lv-LV"/>
              </w:rPr>
            </w:pPr>
            <w:r w:rsidRPr="00182835">
              <w:rPr>
                <w:rFonts w:ascii="Times New Roman" w:hAnsi="Times New Roman" w:cs="Times New Roman"/>
                <w:sz w:val="24"/>
                <w:szCs w:val="24"/>
                <w:lang w:eastAsia="lv-LV"/>
              </w:rPr>
              <w:t>0</w:t>
            </w:r>
          </w:p>
        </w:tc>
        <w:tc>
          <w:tcPr>
            <w:tcW w:w="993" w:type="dxa"/>
          </w:tcPr>
          <w:p w14:paraId="4C78B717"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5" w:type="dxa"/>
          </w:tcPr>
          <w:p w14:paraId="4C78B718"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14:paraId="4C78B719"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4C78B71A"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14:paraId="4C78B71B"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AF0AE9" w14:paraId="4C78B725" w14:textId="77777777" w:rsidTr="00970602">
        <w:trPr>
          <w:jc w:val="center"/>
        </w:trPr>
        <w:tc>
          <w:tcPr>
            <w:tcW w:w="1702" w:type="dxa"/>
          </w:tcPr>
          <w:p w14:paraId="4C78B71D" w14:textId="77777777" w:rsidR="00AF0AE9" w:rsidRPr="0079316C" w:rsidRDefault="00AF0AE9" w:rsidP="00AF0AE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3.3. pašvaldību budžets</w:t>
            </w:r>
          </w:p>
        </w:tc>
        <w:tc>
          <w:tcPr>
            <w:tcW w:w="992" w:type="dxa"/>
          </w:tcPr>
          <w:p w14:paraId="4C78B71E"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14:paraId="4C78B71F" w14:textId="77777777" w:rsidR="00AF0AE9" w:rsidRPr="00182835" w:rsidRDefault="00AF0AE9" w:rsidP="00AF0AE9">
            <w:pPr>
              <w:pStyle w:val="NoSpacing"/>
              <w:rPr>
                <w:rFonts w:ascii="Times New Roman" w:hAnsi="Times New Roman" w:cs="Times New Roman"/>
                <w:sz w:val="24"/>
                <w:szCs w:val="24"/>
                <w:lang w:eastAsia="lv-LV"/>
              </w:rPr>
            </w:pPr>
            <w:r w:rsidRPr="00182835">
              <w:rPr>
                <w:rFonts w:ascii="Times New Roman" w:hAnsi="Times New Roman" w:cs="Times New Roman"/>
                <w:sz w:val="24"/>
                <w:szCs w:val="24"/>
                <w:lang w:eastAsia="lv-LV"/>
              </w:rPr>
              <w:t>0</w:t>
            </w:r>
          </w:p>
        </w:tc>
        <w:tc>
          <w:tcPr>
            <w:tcW w:w="993" w:type="dxa"/>
          </w:tcPr>
          <w:p w14:paraId="4C78B720"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5" w:type="dxa"/>
          </w:tcPr>
          <w:p w14:paraId="4C78B721"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14:paraId="4C78B722"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4C78B723"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14:paraId="4C78B724"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AF0AE9" w14:paraId="4C78B72E" w14:textId="77777777" w:rsidTr="00970602">
        <w:trPr>
          <w:jc w:val="center"/>
        </w:trPr>
        <w:tc>
          <w:tcPr>
            <w:tcW w:w="1702" w:type="dxa"/>
          </w:tcPr>
          <w:p w14:paraId="4C78B726" w14:textId="77777777" w:rsidR="00AF0AE9" w:rsidRPr="0079316C" w:rsidRDefault="00AF0AE9" w:rsidP="00AF0AE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4. Finanšu līdzekļi papildu izdevumu finansēšanai (kompensējošu izdevumu samazinājumu norāda ar "+" zīmi)</w:t>
            </w:r>
          </w:p>
        </w:tc>
        <w:tc>
          <w:tcPr>
            <w:tcW w:w="992" w:type="dxa"/>
          </w:tcPr>
          <w:p w14:paraId="4C78B727"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X</w:t>
            </w:r>
          </w:p>
        </w:tc>
        <w:tc>
          <w:tcPr>
            <w:tcW w:w="1270" w:type="dxa"/>
          </w:tcPr>
          <w:p w14:paraId="4C78B728" w14:textId="77777777" w:rsidR="00AF0AE9" w:rsidRPr="00182835" w:rsidRDefault="00AF0AE9" w:rsidP="0026173E">
            <w:pPr>
              <w:pStyle w:val="NoSpacing"/>
              <w:rPr>
                <w:rFonts w:ascii="Times New Roman" w:hAnsi="Times New Roman" w:cs="Times New Roman"/>
                <w:b/>
                <w:sz w:val="24"/>
                <w:szCs w:val="24"/>
                <w:lang w:eastAsia="lv-LV"/>
              </w:rPr>
            </w:pPr>
            <w:r w:rsidRPr="00182835">
              <w:rPr>
                <w:rFonts w:ascii="Times New Roman" w:hAnsi="Times New Roman" w:cs="Times New Roman"/>
                <w:b/>
                <w:sz w:val="24"/>
              </w:rPr>
              <w:t>+</w:t>
            </w:r>
            <w:r w:rsidR="00D9504B">
              <w:rPr>
                <w:rFonts w:ascii="Times New Roman" w:hAnsi="Times New Roman" w:cs="Times New Roman"/>
                <w:b/>
                <w:sz w:val="24"/>
                <w:szCs w:val="24"/>
              </w:rPr>
              <w:t>339 000</w:t>
            </w:r>
          </w:p>
        </w:tc>
        <w:tc>
          <w:tcPr>
            <w:tcW w:w="993" w:type="dxa"/>
          </w:tcPr>
          <w:p w14:paraId="4C78B729"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5" w:type="dxa"/>
          </w:tcPr>
          <w:p w14:paraId="4C78B72A"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14:paraId="4C78B72B"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4C78B72C"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14:paraId="4C78B72D"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AF0AE9" w14:paraId="4C78B737" w14:textId="77777777" w:rsidTr="00970602">
        <w:trPr>
          <w:jc w:val="center"/>
        </w:trPr>
        <w:tc>
          <w:tcPr>
            <w:tcW w:w="1702" w:type="dxa"/>
          </w:tcPr>
          <w:p w14:paraId="4C78B72F" w14:textId="77777777" w:rsidR="00AF0AE9" w:rsidRPr="0079316C" w:rsidRDefault="00AF0AE9" w:rsidP="00AF0AE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5. Precizēta finansiālā ietekme</w:t>
            </w:r>
          </w:p>
        </w:tc>
        <w:tc>
          <w:tcPr>
            <w:tcW w:w="992" w:type="dxa"/>
            <w:vMerge w:val="restart"/>
          </w:tcPr>
          <w:p w14:paraId="4C78B730"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X</w:t>
            </w:r>
          </w:p>
        </w:tc>
        <w:tc>
          <w:tcPr>
            <w:tcW w:w="1270" w:type="dxa"/>
          </w:tcPr>
          <w:p w14:paraId="4C78B731"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rPr>
              <w:t>0</w:t>
            </w:r>
          </w:p>
        </w:tc>
        <w:tc>
          <w:tcPr>
            <w:tcW w:w="993" w:type="dxa"/>
            <w:vMerge w:val="restart"/>
          </w:tcPr>
          <w:p w14:paraId="4C78B732"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5" w:type="dxa"/>
          </w:tcPr>
          <w:p w14:paraId="4C78B733"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vMerge w:val="restart"/>
          </w:tcPr>
          <w:p w14:paraId="4C78B734"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4C78B735"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14:paraId="4C78B736"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AF0AE9" w14:paraId="4C78B740" w14:textId="77777777" w:rsidTr="00970602">
        <w:trPr>
          <w:jc w:val="center"/>
        </w:trPr>
        <w:tc>
          <w:tcPr>
            <w:tcW w:w="1702" w:type="dxa"/>
          </w:tcPr>
          <w:p w14:paraId="4C78B738" w14:textId="77777777" w:rsidR="00AF0AE9" w:rsidRPr="0079316C" w:rsidRDefault="00AF0AE9" w:rsidP="00AF0AE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5.1. valsts pamatbudžets</w:t>
            </w:r>
          </w:p>
        </w:tc>
        <w:tc>
          <w:tcPr>
            <w:tcW w:w="992" w:type="dxa"/>
            <w:vMerge/>
          </w:tcPr>
          <w:p w14:paraId="4C78B739" w14:textId="77777777" w:rsidR="00AF0AE9" w:rsidRDefault="00AF0AE9" w:rsidP="00AF0AE9">
            <w:pPr>
              <w:pStyle w:val="NoSpacing"/>
              <w:rPr>
                <w:rFonts w:ascii="Times New Roman" w:hAnsi="Times New Roman" w:cs="Times New Roman"/>
                <w:sz w:val="24"/>
                <w:szCs w:val="24"/>
                <w:lang w:eastAsia="lv-LV"/>
              </w:rPr>
            </w:pPr>
          </w:p>
        </w:tc>
        <w:tc>
          <w:tcPr>
            <w:tcW w:w="1270" w:type="dxa"/>
          </w:tcPr>
          <w:p w14:paraId="4C78B73A"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rPr>
              <w:t>0</w:t>
            </w:r>
          </w:p>
        </w:tc>
        <w:tc>
          <w:tcPr>
            <w:tcW w:w="993" w:type="dxa"/>
            <w:vMerge/>
          </w:tcPr>
          <w:p w14:paraId="4C78B73B" w14:textId="77777777" w:rsidR="00AF0AE9" w:rsidRDefault="00AF0AE9" w:rsidP="00AF0AE9">
            <w:pPr>
              <w:pStyle w:val="NoSpacing"/>
              <w:rPr>
                <w:rFonts w:ascii="Times New Roman" w:hAnsi="Times New Roman" w:cs="Times New Roman"/>
                <w:sz w:val="24"/>
                <w:szCs w:val="24"/>
                <w:lang w:eastAsia="lv-LV"/>
              </w:rPr>
            </w:pPr>
          </w:p>
        </w:tc>
        <w:tc>
          <w:tcPr>
            <w:tcW w:w="1275" w:type="dxa"/>
          </w:tcPr>
          <w:p w14:paraId="4C78B73C"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vMerge/>
          </w:tcPr>
          <w:p w14:paraId="4C78B73D" w14:textId="77777777" w:rsidR="00AF0AE9" w:rsidRDefault="00AF0AE9" w:rsidP="00AF0AE9">
            <w:pPr>
              <w:pStyle w:val="NoSpacing"/>
              <w:rPr>
                <w:rFonts w:ascii="Times New Roman" w:hAnsi="Times New Roman" w:cs="Times New Roman"/>
                <w:sz w:val="24"/>
                <w:szCs w:val="24"/>
                <w:lang w:eastAsia="lv-LV"/>
              </w:rPr>
            </w:pPr>
          </w:p>
        </w:tc>
        <w:tc>
          <w:tcPr>
            <w:tcW w:w="1276" w:type="dxa"/>
          </w:tcPr>
          <w:p w14:paraId="4C78B73E"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14:paraId="4C78B73F"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AF0AE9" w14:paraId="4C78B749" w14:textId="77777777" w:rsidTr="00970602">
        <w:trPr>
          <w:jc w:val="center"/>
        </w:trPr>
        <w:tc>
          <w:tcPr>
            <w:tcW w:w="1702" w:type="dxa"/>
          </w:tcPr>
          <w:p w14:paraId="4C78B741" w14:textId="77777777" w:rsidR="00AF0AE9" w:rsidRPr="0079316C" w:rsidRDefault="00AF0AE9" w:rsidP="00AF0AE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5.2. speciālais budžets</w:t>
            </w:r>
          </w:p>
        </w:tc>
        <w:tc>
          <w:tcPr>
            <w:tcW w:w="992" w:type="dxa"/>
            <w:vMerge/>
          </w:tcPr>
          <w:p w14:paraId="4C78B742" w14:textId="77777777" w:rsidR="00AF0AE9" w:rsidRDefault="00AF0AE9" w:rsidP="00AF0AE9">
            <w:pPr>
              <w:pStyle w:val="NoSpacing"/>
              <w:rPr>
                <w:rFonts w:ascii="Times New Roman" w:hAnsi="Times New Roman" w:cs="Times New Roman"/>
                <w:sz w:val="24"/>
                <w:szCs w:val="24"/>
                <w:lang w:eastAsia="lv-LV"/>
              </w:rPr>
            </w:pPr>
          </w:p>
        </w:tc>
        <w:tc>
          <w:tcPr>
            <w:tcW w:w="1270" w:type="dxa"/>
          </w:tcPr>
          <w:p w14:paraId="4C78B743"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vMerge/>
          </w:tcPr>
          <w:p w14:paraId="4C78B744" w14:textId="77777777" w:rsidR="00AF0AE9" w:rsidRDefault="00AF0AE9" w:rsidP="00AF0AE9">
            <w:pPr>
              <w:pStyle w:val="NoSpacing"/>
              <w:rPr>
                <w:rFonts w:ascii="Times New Roman" w:hAnsi="Times New Roman" w:cs="Times New Roman"/>
                <w:sz w:val="24"/>
                <w:szCs w:val="24"/>
                <w:lang w:eastAsia="lv-LV"/>
              </w:rPr>
            </w:pPr>
          </w:p>
        </w:tc>
        <w:tc>
          <w:tcPr>
            <w:tcW w:w="1275" w:type="dxa"/>
          </w:tcPr>
          <w:p w14:paraId="4C78B745"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vMerge/>
          </w:tcPr>
          <w:p w14:paraId="4C78B746" w14:textId="77777777" w:rsidR="00AF0AE9" w:rsidRDefault="00AF0AE9" w:rsidP="00AF0AE9">
            <w:pPr>
              <w:pStyle w:val="NoSpacing"/>
              <w:rPr>
                <w:rFonts w:ascii="Times New Roman" w:hAnsi="Times New Roman" w:cs="Times New Roman"/>
                <w:sz w:val="24"/>
                <w:szCs w:val="24"/>
                <w:lang w:eastAsia="lv-LV"/>
              </w:rPr>
            </w:pPr>
          </w:p>
        </w:tc>
        <w:tc>
          <w:tcPr>
            <w:tcW w:w="1276" w:type="dxa"/>
          </w:tcPr>
          <w:p w14:paraId="4C78B747"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14:paraId="4C78B748"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AF0AE9" w14:paraId="4C78B752" w14:textId="77777777" w:rsidTr="00970602">
        <w:trPr>
          <w:jc w:val="center"/>
        </w:trPr>
        <w:tc>
          <w:tcPr>
            <w:tcW w:w="1702" w:type="dxa"/>
          </w:tcPr>
          <w:p w14:paraId="4C78B74A" w14:textId="77777777" w:rsidR="00AF0AE9" w:rsidRPr="0079316C" w:rsidRDefault="00AF0AE9" w:rsidP="00AF0AE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5.3. pašvaldību budžets</w:t>
            </w:r>
          </w:p>
        </w:tc>
        <w:tc>
          <w:tcPr>
            <w:tcW w:w="992" w:type="dxa"/>
            <w:vMerge/>
          </w:tcPr>
          <w:p w14:paraId="4C78B74B" w14:textId="77777777" w:rsidR="00AF0AE9" w:rsidRDefault="00AF0AE9" w:rsidP="00AF0AE9">
            <w:pPr>
              <w:pStyle w:val="NoSpacing"/>
              <w:rPr>
                <w:rFonts w:ascii="Times New Roman" w:hAnsi="Times New Roman" w:cs="Times New Roman"/>
                <w:sz w:val="24"/>
                <w:szCs w:val="24"/>
                <w:lang w:eastAsia="lv-LV"/>
              </w:rPr>
            </w:pPr>
          </w:p>
        </w:tc>
        <w:tc>
          <w:tcPr>
            <w:tcW w:w="1270" w:type="dxa"/>
          </w:tcPr>
          <w:p w14:paraId="4C78B74C"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vMerge/>
          </w:tcPr>
          <w:p w14:paraId="4C78B74D" w14:textId="77777777" w:rsidR="00AF0AE9" w:rsidRDefault="00AF0AE9" w:rsidP="00AF0AE9">
            <w:pPr>
              <w:pStyle w:val="NoSpacing"/>
              <w:rPr>
                <w:rFonts w:ascii="Times New Roman" w:hAnsi="Times New Roman" w:cs="Times New Roman"/>
                <w:sz w:val="24"/>
                <w:szCs w:val="24"/>
                <w:lang w:eastAsia="lv-LV"/>
              </w:rPr>
            </w:pPr>
          </w:p>
        </w:tc>
        <w:tc>
          <w:tcPr>
            <w:tcW w:w="1275" w:type="dxa"/>
          </w:tcPr>
          <w:p w14:paraId="4C78B74E"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vMerge/>
          </w:tcPr>
          <w:p w14:paraId="4C78B74F" w14:textId="77777777" w:rsidR="00AF0AE9" w:rsidRDefault="00AF0AE9" w:rsidP="00AF0AE9">
            <w:pPr>
              <w:pStyle w:val="NoSpacing"/>
              <w:rPr>
                <w:rFonts w:ascii="Times New Roman" w:hAnsi="Times New Roman" w:cs="Times New Roman"/>
                <w:sz w:val="24"/>
                <w:szCs w:val="24"/>
                <w:lang w:eastAsia="lv-LV"/>
              </w:rPr>
            </w:pPr>
          </w:p>
        </w:tc>
        <w:tc>
          <w:tcPr>
            <w:tcW w:w="1276" w:type="dxa"/>
          </w:tcPr>
          <w:p w14:paraId="4C78B750"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14:paraId="4C78B751" w14:textId="77777777" w:rsidR="00AF0AE9" w:rsidRDefault="00AF0AE9" w:rsidP="00AF0AE9">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AF0AE9" w14:paraId="4C78B759" w14:textId="77777777" w:rsidTr="00970602">
        <w:trPr>
          <w:jc w:val="center"/>
        </w:trPr>
        <w:tc>
          <w:tcPr>
            <w:tcW w:w="1702" w:type="dxa"/>
          </w:tcPr>
          <w:p w14:paraId="4C78B753" w14:textId="77777777" w:rsidR="00AF0AE9" w:rsidRPr="0079316C" w:rsidRDefault="00AF0AE9" w:rsidP="00AF0AE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6. Detalizēts ieņēmumu un izdevumu aprēķins (ja nepieciešams, detalizētu ieņēmumu un </w:t>
            </w:r>
            <w:r w:rsidRPr="0079316C">
              <w:rPr>
                <w:rFonts w:ascii="Times New Roman" w:hAnsi="Times New Roman" w:cs="Times New Roman"/>
                <w:sz w:val="24"/>
                <w:szCs w:val="24"/>
                <w:lang w:eastAsia="lv-LV"/>
              </w:rPr>
              <w:lastRenderedPageBreak/>
              <w:t>izdevumu aprēķinu var pievienot anotācijas pielikumā)</w:t>
            </w:r>
          </w:p>
        </w:tc>
        <w:tc>
          <w:tcPr>
            <w:tcW w:w="8363" w:type="dxa"/>
            <w:gridSpan w:val="7"/>
            <w:vMerge w:val="restart"/>
          </w:tcPr>
          <w:p w14:paraId="4C78B754" w14:textId="77777777" w:rsidR="00482975" w:rsidRPr="00182835" w:rsidRDefault="00482975" w:rsidP="00AF0AE9">
            <w:pPr>
              <w:jc w:val="both"/>
            </w:pPr>
          </w:p>
          <w:p w14:paraId="4C78B755" w14:textId="77777777" w:rsidR="00130368" w:rsidRPr="00182835" w:rsidRDefault="00130368" w:rsidP="00AF0AE9">
            <w:pPr>
              <w:jc w:val="both"/>
            </w:pPr>
          </w:p>
          <w:p w14:paraId="4C78B756" w14:textId="77777777" w:rsidR="00F714E0" w:rsidRPr="00182835" w:rsidRDefault="00F714E0" w:rsidP="00F714E0">
            <w:pPr>
              <w:jc w:val="both"/>
              <w:rPr>
                <w:bCs/>
              </w:rPr>
            </w:pPr>
            <w:r w:rsidRPr="000B4F17">
              <w:rPr>
                <w:lang w:val="cs-CZ"/>
              </w:rPr>
              <w:t>VSRC Irbenes radioteleskopu</w:t>
            </w:r>
            <w:r w:rsidRPr="00D4193C">
              <w:t xml:space="preserve"> RT-16 un RT-32</w:t>
            </w:r>
            <w:r w:rsidRPr="000B4F17">
              <w:rPr>
                <w:lang w:val="cs-CZ"/>
              </w:rPr>
              <w:t xml:space="preserve"> uguns</w:t>
            </w:r>
            <w:r>
              <w:rPr>
                <w:lang w:val="cs-CZ"/>
              </w:rPr>
              <w:t xml:space="preserve">dzēsības sistēmas izveides kopējās izmaksu aprēķins </w:t>
            </w:r>
            <w:r>
              <w:rPr>
                <w:bCs/>
              </w:rPr>
              <w:t xml:space="preserve">ir </w:t>
            </w:r>
            <w:r w:rsidRPr="00182835">
              <w:rPr>
                <w:bCs/>
              </w:rPr>
              <w:t>pievienot</w:t>
            </w:r>
            <w:r>
              <w:rPr>
                <w:bCs/>
              </w:rPr>
              <w:t>s</w:t>
            </w:r>
            <w:r w:rsidRPr="00182835">
              <w:rPr>
                <w:bCs/>
              </w:rPr>
              <w:t xml:space="preserve"> anotācija</w:t>
            </w:r>
            <w:r>
              <w:rPr>
                <w:bCs/>
              </w:rPr>
              <w:t xml:space="preserve"> </w:t>
            </w:r>
            <w:r w:rsidRPr="00182835">
              <w:rPr>
                <w:bCs/>
              </w:rPr>
              <w:t>pielikumā.</w:t>
            </w:r>
          </w:p>
          <w:p w14:paraId="4C78B757" w14:textId="77777777" w:rsidR="00F714E0" w:rsidRPr="00182835" w:rsidRDefault="00F714E0" w:rsidP="00F714E0">
            <w:pPr>
              <w:jc w:val="both"/>
            </w:pPr>
          </w:p>
          <w:p w14:paraId="4C78B758" w14:textId="77777777" w:rsidR="00AF0AE9" w:rsidRPr="00182835" w:rsidRDefault="00AF0AE9" w:rsidP="00130368">
            <w:pPr>
              <w:jc w:val="both"/>
            </w:pPr>
          </w:p>
        </w:tc>
      </w:tr>
      <w:tr w:rsidR="00AF0AE9" w14:paraId="4C78B75C" w14:textId="77777777" w:rsidTr="00970602">
        <w:trPr>
          <w:jc w:val="center"/>
        </w:trPr>
        <w:tc>
          <w:tcPr>
            <w:tcW w:w="1702" w:type="dxa"/>
          </w:tcPr>
          <w:p w14:paraId="4C78B75A" w14:textId="77777777" w:rsidR="00AF0AE9" w:rsidRPr="0079316C" w:rsidRDefault="00AF0AE9" w:rsidP="00AF0AE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6.1. detalizēts ieņēmumu aprēķins</w:t>
            </w:r>
          </w:p>
        </w:tc>
        <w:tc>
          <w:tcPr>
            <w:tcW w:w="8363" w:type="dxa"/>
            <w:gridSpan w:val="7"/>
            <w:vMerge/>
          </w:tcPr>
          <w:p w14:paraId="4C78B75B" w14:textId="77777777" w:rsidR="00AF0AE9" w:rsidRDefault="00AF0AE9" w:rsidP="00AF0AE9">
            <w:pPr>
              <w:pStyle w:val="NoSpacing"/>
              <w:rPr>
                <w:rFonts w:ascii="Times New Roman" w:hAnsi="Times New Roman" w:cs="Times New Roman"/>
                <w:sz w:val="24"/>
                <w:szCs w:val="24"/>
                <w:lang w:eastAsia="lv-LV"/>
              </w:rPr>
            </w:pPr>
          </w:p>
        </w:tc>
      </w:tr>
      <w:tr w:rsidR="00AF0AE9" w14:paraId="4C78B75F" w14:textId="77777777" w:rsidTr="00970602">
        <w:trPr>
          <w:jc w:val="center"/>
        </w:trPr>
        <w:tc>
          <w:tcPr>
            <w:tcW w:w="1702" w:type="dxa"/>
          </w:tcPr>
          <w:p w14:paraId="4C78B75D" w14:textId="77777777" w:rsidR="00AF0AE9" w:rsidRPr="0079316C" w:rsidRDefault="00AF0AE9" w:rsidP="00AF0AE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6.2. detalizēts izdevumu aprēķins</w:t>
            </w:r>
          </w:p>
        </w:tc>
        <w:tc>
          <w:tcPr>
            <w:tcW w:w="8363" w:type="dxa"/>
            <w:gridSpan w:val="7"/>
            <w:vMerge/>
          </w:tcPr>
          <w:p w14:paraId="4C78B75E" w14:textId="77777777" w:rsidR="00AF0AE9" w:rsidRDefault="00AF0AE9" w:rsidP="00AF0AE9">
            <w:pPr>
              <w:pStyle w:val="NoSpacing"/>
              <w:rPr>
                <w:rFonts w:ascii="Times New Roman" w:hAnsi="Times New Roman" w:cs="Times New Roman"/>
                <w:sz w:val="24"/>
                <w:szCs w:val="24"/>
                <w:lang w:eastAsia="lv-LV"/>
              </w:rPr>
            </w:pPr>
          </w:p>
        </w:tc>
      </w:tr>
      <w:tr w:rsidR="00AF0AE9" w14:paraId="4C78B764" w14:textId="77777777" w:rsidTr="00970602">
        <w:trPr>
          <w:jc w:val="center"/>
        </w:trPr>
        <w:tc>
          <w:tcPr>
            <w:tcW w:w="1702" w:type="dxa"/>
          </w:tcPr>
          <w:p w14:paraId="4C78B760" w14:textId="77777777" w:rsidR="00AF0AE9" w:rsidRPr="0079316C" w:rsidRDefault="00AF0AE9" w:rsidP="00AF0AE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7. Amata vietu skaita izmaiņas</w:t>
            </w:r>
          </w:p>
        </w:tc>
        <w:tc>
          <w:tcPr>
            <w:tcW w:w="8363" w:type="dxa"/>
            <w:gridSpan w:val="7"/>
          </w:tcPr>
          <w:p w14:paraId="4C78B761" w14:textId="77777777" w:rsidR="00AF0AE9" w:rsidRDefault="00AF0AE9" w:rsidP="00AF0AE9">
            <w:pPr>
              <w:pStyle w:val="NoSpacing"/>
              <w:rPr>
                <w:rFonts w:ascii="Times New Roman" w:hAnsi="Times New Roman" w:cs="Times New Roman"/>
                <w:sz w:val="24"/>
              </w:rPr>
            </w:pPr>
            <w:r w:rsidRPr="0039467E">
              <w:rPr>
                <w:rFonts w:ascii="Times New Roman" w:hAnsi="Times New Roman" w:cs="Times New Roman"/>
                <w:sz w:val="24"/>
              </w:rPr>
              <w:t>Projekts šo jomu neskar.</w:t>
            </w:r>
          </w:p>
          <w:p w14:paraId="4C78B762" w14:textId="77777777" w:rsidR="00195E01" w:rsidRDefault="00195E01" w:rsidP="00AF0AE9">
            <w:pPr>
              <w:pStyle w:val="NoSpacing"/>
              <w:rPr>
                <w:rFonts w:ascii="Times New Roman" w:hAnsi="Times New Roman" w:cs="Times New Roman"/>
                <w:sz w:val="24"/>
              </w:rPr>
            </w:pPr>
          </w:p>
          <w:p w14:paraId="4C78B763" w14:textId="77777777" w:rsidR="00195E01" w:rsidRPr="0039467E" w:rsidRDefault="00195E01" w:rsidP="00AF0AE9">
            <w:pPr>
              <w:pStyle w:val="NoSpacing"/>
              <w:rPr>
                <w:rFonts w:ascii="Times New Roman" w:hAnsi="Times New Roman" w:cs="Times New Roman"/>
                <w:sz w:val="24"/>
                <w:szCs w:val="24"/>
                <w:lang w:eastAsia="lv-LV"/>
              </w:rPr>
            </w:pPr>
          </w:p>
        </w:tc>
      </w:tr>
      <w:tr w:rsidR="00AF0AE9" w14:paraId="4C78B767" w14:textId="77777777" w:rsidTr="00970602">
        <w:trPr>
          <w:jc w:val="center"/>
        </w:trPr>
        <w:tc>
          <w:tcPr>
            <w:tcW w:w="1702" w:type="dxa"/>
          </w:tcPr>
          <w:p w14:paraId="4C78B765" w14:textId="77777777" w:rsidR="00AF0AE9" w:rsidRPr="0079316C" w:rsidRDefault="00AF0AE9" w:rsidP="00AF0AE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8. Cita informācija</w:t>
            </w:r>
          </w:p>
        </w:tc>
        <w:tc>
          <w:tcPr>
            <w:tcW w:w="8363" w:type="dxa"/>
            <w:gridSpan w:val="7"/>
          </w:tcPr>
          <w:p w14:paraId="4C78B766" w14:textId="77777777" w:rsidR="00AF0AE9" w:rsidRPr="00182835" w:rsidRDefault="00AF0AE9" w:rsidP="00AF0AE9">
            <w:pPr>
              <w:jc w:val="both"/>
              <w:rPr>
                <w:bCs/>
              </w:rPr>
            </w:pPr>
            <w:r w:rsidRPr="00182835">
              <w:rPr>
                <w:bCs/>
              </w:rPr>
              <w:t xml:space="preserve">Izdevumus sedz no </w:t>
            </w:r>
            <w:r w:rsidR="00F714E0">
              <w:rPr>
                <w:bCs/>
              </w:rPr>
              <w:t xml:space="preserve">2018.gada </w:t>
            </w:r>
            <w:r w:rsidRPr="00182835">
              <w:rPr>
                <w:bCs/>
              </w:rPr>
              <w:t>valsts budžeta programmas 02.00.00 “Līdzekļi neparedzētiem gadījumiem”.</w:t>
            </w:r>
          </w:p>
        </w:tc>
      </w:tr>
    </w:tbl>
    <w:p w14:paraId="4C78B768" w14:textId="77777777" w:rsidR="00DF6F16" w:rsidRPr="0079316C" w:rsidRDefault="00DF6F16" w:rsidP="00DF6F16">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   </w:t>
      </w:r>
    </w:p>
    <w:tbl>
      <w:tblPr>
        <w:tblStyle w:val="TableGrid"/>
        <w:tblW w:w="9918" w:type="dxa"/>
        <w:jc w:val="center"/>
        <w:tblLook w:val="04A0" w:firstRow="1" w:lastRow="0" w:firstColumn="1" w:lastColumn="0" w:noHBand="0" w:noVBand="1"/>
      </w:tblPr>
      <w:tblGrid>
        <w:gridCol w:w="9918"/>
      </w:tblGrid>
      <w:tr w:rsidR="00DF6F16" w14:paraId="4C78B76A" w14:textId="77777777" w:rsidTr="00970602">
        <w:trPr>
          <w:jc w:val="center"/>
        </w:trPr>
        <w:tc>
          <w:tcPr>
            <w:tcW w:w="9918" w:type="dxa"/>
          </w:tcPr>
          <w:p w14:paraId="4C78B769" w14:textId="77777777" w:rsidR="00DF6F16" w:rsidRDefault="00DF6F16" w:rsidP="00B262D9">
            <w:pPr>
              <w:pStyle w:val="NoSpacing"/>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IV. Tiesību akta projekta ietekme uz spēkā esošo tiesību normu sistēmu</w:t>
            </w:r>
          </w:p>
        </w:tc>
      </w:tr>
      <w:tr w:rsidR="00DF6F16" w14:paraId="4C78B76C" w14:textId="77777777" w:rsidTr="00970602">
        <w:trPr>
          <w:jc w:val="center"/>
        </w:trPr>
        <w:tc>
          <w:tcPr>
            <w:tcW w:w="9918" w:type="dxa"/>
          </w:tcPr>
          <w:p w14:paraId="4C78B76B" w14:textId="77777777" w:rsidR="00DF6F16" w:rsidRDefault="00DF6F16" w:rsidP="00B262D9">
            <w:pPr>
              <w:pStyle w:val="NoSpacing"/>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Pr>
                <w:rFonts w:ascii="Times New Roman" w:hAnsi="Times New Roman" w:cs="Times New Roman"/>
                <w:sz w:val="24"/>
                <w:szCs w:val="24"/>
                <w:lang w:eastAsia="lv-LV"/>
              </w:rPr>
              <w:t>.</w:t>
            </w:r>
          </w:p>
        </w:tc>
      </w:tr>
    </w:tbl>
    <w:p w14:paraId="4C78B76D" w14:textId="77777777" w:rsidR="00DF6F16" w:rsidRDefault="00DF6F16" w:rsidP="00DF6F16">
      <w:pPr>
        <w:pStyle w:val="NoSpacing"/>
        <w:rPr>
          <w:rFonts w:ascii="Times New Roman" w:hAnsi="Times New Roman" w:cs="Times New Roman"/>
          <w:sz w:val="24"/>
          <w:szCs w:val="24"/>
          <w:lang w:eastAsia="lv-LV"/>
        </w:rPr>
      </w:pPr>
    </w:p>
    <w:tbl>
      <w:tblPr>
        <w:tblStyle w:val="TableGrid"/>
        <w:tblW w:w="9923" w:type="dxa"/>
        <w:jc w:val="center"/>
        <w:tblLook w:val="04A0" w:firstRow="1" w:lastRow="0" w:firstColumn="1" w:lastColumn="0" w:noHBand="0" w:noVBand="1"/>
      </w:tblPr>
      <w:tblGrid>
        <w:gridCol w:w="9923"/>
      </w:tblGrid>
      <w:tr w:rsidR="00DF6F16" w14:paraId="4C78B76F" w14:textId="77777777" w:rsidTr="00970602">
        <w:trPr>
          <w:jc w:val="center"/>
        </w:trPr>
        <w:tc>
          <w:tcPr>
            <w:tcW w:w="9923" w:type="dxa"/>
          </w:tcPr>
          <w:p w14:paraId="4C78B76E" w14:textId="77777777" w:rsidR="00DF6F16" w:rsidRDefault="00DF6F16" w:rsidP="00B262D9">
            <w:pPr>
              <w:pStyle w:val="NoSpacing"/>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V. Tiesību akta projekta atbilstība Latvijas Republikas starptautiskajām saistībām</w:t>
            </w:r>
          </w:p>
        </w:tc>
      </w:tr>
      <w:tr w:rsidR="00DF6F16" w14:paraId="4C78B771" w14:textId="77777777" w:rsidTr="00970602">
        <w:trPr>
          <w:jc w:val="center"/>
        </w:trPr>
        <w:tc>
          <w:tcPr>
            <w:tcW w:w="9923" w:type="dxa"/>
          </w:tcPr>
          <w:p w14:paraId="4C78B770" w14:textId="77777777" w:rsidR="00DF6F16" w:rsidRDefault="00DF6F16" w:rsidP="00B262D9">
            <w:pPr>
              <w:pStyle w:val="NoSpacing"/>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Pr>
                <w:rFonts w:ascii="Times New Roman" w:hAnsi="Times New Roman" w:cs="Times New Roman"/>
                <w:sz w:val="24"/>
                <w:szCs w:val="24"/>
                <w:lang w:eastAsia="lv-LV"/>
              </w:rPr>
              <w:t>.</w:t>
            </w:r>
          </w:p>
        </w:tc>
      </w:tr>
    </w:tbl>
    <w:p w14:paraId="4C78B772" w14:textId="77777777" w:rsidR="00DF6F16" w:rsidRPr="0079316C" w:rsidRDefault="00DF6F16" w:rsidP="00DF6F16">
      <w:pPr>
        <w:pStyle w:val="NoSpacing"/>
        <w:rPr>
          <w:rFonts w:ascii="Times New Roman" w:hAnsi="Times New Roman" w:cs="Times New Roman"/>
          <w:sz w:val="24"/>
          <w:szCs w:val="24"/>
          <w:lang w:eastAsia="lv-LV"/>
        </w:rPr>
      </w:pPr>
    </w:p>
    <w:tbl>
      <w:tblPr>
        <w:tblStyle w:val="TableGrid"/>
        <w:tblW w:w="9918" w:type="dxa"/>
        <w:jc w:val="center"/>
        <w:tblLook w:val="04A0" w:firstRow="1" w:lastRow="0" w:firstColumn="1" w:lastColumn="0" w:noHBand="0" w:noVBand="1"/>
      </w:tblPr>
      <w:tblGrid>
        <w:gridCol w:w="9918"/>
      </w:tblGrid>
      <w:tr w:rsidR="00DF6F16" w14:paraId="4C78B774" w14:textId="77777777" w:rsidTr="00970602">
        <w:trPr>
          <w:jc w:val="center"/>
        </w:trPr>
        <w:tc>
          <w:tcPr>
            <w:tcW w:w="9918" w:type="dxa"/>
          </w:tcPr>
          <w:p w14:paraId="4C78B773" w14:textId="77777777" w:rsidR="00DF6F16" w:rsidRDefault="00DF6F16" w:rsidP="00B262D9">
            <w:pPr>
              <w:pStyle w:val="NoSpacing"/>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VI. Sabiedrības līdzdalība un komunikācijas aktivitātes</w:t>
            </w:r>
          </w:p>
        </w:tc>
      </w:tr>
      <w:tr w:rsidR="00DF6F16" w14:paraId="4C78B776" w14:textId="77777777" w:rsidTr="00970602">
        <w:trPr>
          <w:jc w:val="center"/>
        </w:trPr>
        <w:tc>
          <w:tcPr>
            <w:tcW w:w="9918" w:type="dxa"/>
          </w:tcPr>
          <w:p w14:paraId="4C78B775" w14:textId="77777777" w:rsidR="00DF6F16" w:rsidRDefault="00DF6F16" w:rsidP="00B262D9">
            <w:pPr>
              <w:pStyle w:val="NoSpacing"/>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Pr>
                <w:rFonts w:ascii="Times New Roman" w:hAnsi="Times New Roman" w:cs="Times New Roman"/>
                <w:sz w:val="24"/>
                <w:szCs w:val="24"/>
                <w:lang w:eastAsia="lv-LV"/>
              </w:rPr>
              <w:t>.</w:t>
            </w:r>
          </w:p>
        </w:tc>
      </w:tr>
    </w:tbl>
    <w:p w14:paraId="4C78B777" w14:textId="77777777" w:rsidR="00DF6F16" w:rsidRPr="002C15A5" w:rsidRDefault="00DF6F16" w:rsidP="00DF6F16">
      <w:pPr>
        <w:pStyle w:val="NoSpacing"/>
        <w:rPr>
          <w:rFonts w:ascii="Times New Roman" w:hAnsi="Times New Roman" w:cs="Times New Roman"/>
          <w:b/>
          <w:sz w:val="24"/>
          <w:szCs w:val="24"/>
          <w:lang w:eastAsia="lv-LV"/>
        </w:rPr>
      </w:pPr>
      <w:r w:rsidRPr="0079316C">
        <w:rPr>
          <w:rFonts w:ascii="Times New Roman" w:hAnsi="Times New Roman" w:cs="Times New Roman"/>
          <w:sz w:val="24"/>
          <w:szCs w:val="24"/>
          <w:lang w:eastAsia="lv-LV"/>
        </w:rPr>
        <w:t xml:space="preserve"> </w:t>
      </w:r>
    </w:p>
    <w:tbl>
      <w:tblPr>
        <w:tblStyle w:val="TableGrid"/>
        <w:tblW w:w="9923" w:type="dxa"/>
        <w:jc w:val="center"/>
        <w:tblLook w:val="04A0" w:firstRow="1" w:lastRow="0" w:firstColumn="1" w:lastColumn="0" w:noHBand="0" w:noVBand="1"/>
      </w:tblPr>
      <w:tblGrid>
        <w:gridCol w:w="709"/>
        <w:gridCol w:w="3119"/>
        <w:gridCol w:w="6095"/>
      </w:tblGrid>
      <w:tr w:rsidR="00DF6F16" w14:paraId="4C78B779" w14:textId="77777777" w:rsidTr="00970602">
        <w:trPr>
          <w:jc w:val="center"/>
        </w:trPr>
        <w:tc>
          <w:tcPr>
            <w:tcW w:w="9923" w:type="dxa"/>
            <w:gridSpan w:val="3"/>
          </w:tcPr>
          <w:p w14:paraId="4C78B778" w14:textId="77777777" w:rsidR="00DF6F16" w:rsidRDefault="00DF6F16" w:rsidP="00B262D9">
            <w:pPr>
              <w:pStyle w:val="NoSpacing"/>
              <w:jc w:val="center"/>
              <w:rPr>
                <w:rFonts w:ascii="Times New Roman" w:hAnsi="Times New Roman" w:cs="Times New Roman"/>
                <w:sz w:val="24"/>
                <w:szCs w:val="24"/>
                <w:lang w:eastAsia="lv-LV"/>
              </w:rPr>
            </w:pPr>
            <w:r w:rsidRPr="00E749DB">
              <w:rPr>
                <w:rFonts w:ascii="Times New Roman" w:hAnsi="Times New Roman" w:cs="Times New Roman"/>
                <w:b/>
                <w:sz w:val="24"/>
                <w:szCs w:val="24"/>
                <w:lang w:eastAsia="lv-LV"/>
              </w:rPr>
              <w:t>VII. Tiesību akta projekta izpildes nodrošināšana un tās ietekme uz institūcijām</w:t>
            </w:r>
          </w:p>
        </w:tc>
      </w:tr>
      <w:tr w:rsidR="00DF6F16" w14:paraId="4C78B77F" w14:textId="77777777" w:rsidTr="00970602">
        <w:trPr>
          <w:jc w:val="center"/>
        </w:trPr>
        <w:tc>
          <w:tcPr>
            <w:tcW w:w="709" w:type="dxa"/>
          </w:tcPr>
          <w:p w14:paraId="4C78B77A" w14:textId="77777777" w:rsidR="00DF6F16" w:rsidRPr="0079316C" w:rsidRDefault="00DF6F16" w:rsidP="00B262D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3119" w:type="dxa"/>
          </w:tcPr>
          <w:p w14:paraId="4C78B77B" w14:textId="77777777" w:rsidR="00DF6F16" w:rsidRDefault="00DF6F16" w:rsidP="00B262D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izpildē iesaistītās institūcijas</w:t>
            </w:r>
          </w:p>
        </w:tc>
        <w:tc>
          <w:tcPr>
            <w:tcW w:w="6095" w:type="dxa"/>
          </w:tcPr>
          <w:p w14:paraId="4C78B77C" w14:textId="77777777" w:rsidR="00DF6F16" w:rsidRPr="00182835" w:rsidRDefault="00D9504B" w:rsidP="00B262D9">
            <w:pPr>
              <w:jc w:val="both"/>
            </w:pPr>
            <w:r>
              <w:t xml:space="preserve">IZM, </w:t>
            </w:r>
            <w:proofErr w:type="spellStart"/>
            <w:r>
              <w:t>VeA</w:t>
            </w:r>
            <w:proofErr w:type="spellEnd"/>
            <w:r>
              <w:t>, VSRC</w:t>
            </w:r>
          </w:p>
          <w:p w14:paraId="4C78B77D" w14:textId="77777777" w:rsidR="00195E01" w:rsidRPr="00182835" w:rsidRDefault="00195E01" w:rsidP="00B262D9">
            <w:pPr>
              <w:jc w:val="both"/>
            </w:pPr>
          </w:p>
          <w:p w14:paraId="4C78B77E" w14:textId="77777777" w:rsidR="00195E01" w:rsidRPr="00182835" w:rsidRDefault="00195E01" w:rsidP="00B262D9">
            <w:pPr>
              <w:jc w:val="both"/>
            </w:pPr>
          </w:p>
        </w:tc>
      </w:tr>
      <w:tr w:rsidR="00DF6F16" w14:paraId="4C78B783" w14:textId="77777777" w:rsidTr="00970602">
        <w:trPr>
          <w:jc w:val="center"/>
        </w:trPr>
        <w:tc>
          <w:tcPr>
            <w:tcW w:w="709" w:type="dxa"/>
          </w:tcPr>
          <w:p w14:paraId="4C78B780" w14:textId="77777777" w:rsidR="00DF6F16" w:rsidRPr="0079316C" w:rsidRDefault="00DF6F16" w:rsidP="00B262D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3119" w:type="dxa"/>
          </w:tcPr>
          <w:p w14:paraId="4C78B781" w14:textId="77777777" w:rsidR="00DF6F16" w:rsidRDefault="00DF6F16" w:rsidP="00B262D9">
            <w:pPr>
              <w:pStyle w:val="NoSpacing"/>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izpildes ietekme uz pārvaldes funkcijām un institucionālo struktūru.</w:t>
            </w:r>
            <w:r w:rsidRPr="0079316C">
              <w:rPr>
                <w:rFonts w:ascii="Times New Roman" w:hAnsi="Times New Roman" w:cs="Times New Roman"/>
                <w:sz w:val="24"/>
                <w:szCs w:val="24"/>
                <w:lang w:eastAsia="lv-LV"/>
              </w:rPr>
              <w:br/>
              <w:t>Jaunu institūciju izveide, esošu institūciju likvidācija vai reorganizācija, to ietekme uz institūcijas cilvēkresursiem</w:t>
            </w:r>
          </w:p>
        </w:tc>
        <w:tc>
          <w:tcPr>
            <w:tcW w:w="6095" w:type="dxa"/>
          </w:tcPr>
          <w:p w14:paraId="4C78B782" w14:textId="77777777" w:rsidR="00DF6F16" w:rsidRPr="00D65792" w:rsidRDefault="00DF6F16" w:rsidP="00B262D9">
            <w:r w:rsidRPr="00D65792">
              <w:t>Projekts šo jomu neskar.</w:t>
            </w:r>
          </w:p>
        </w:tc>
      </w:tr>
      <w:tr w:rsidR="00DF6F16" w14:paraId="4C78B788" w14:textId="77777777" w:rsidTr="00970602">
        <w:trPr>
          <w:jc w:val="center"/>
        </w:trPr>
        <w:tc>
          <w:tcPr>
            <w:tcW w:w="709" w:type="dxa"/>
          </w:tcPr>
          <w:p w14:paraId="4C78B784" w14:textId="77777777" w:rsidR="00DF6F16" w:rsidRPr="0079316C" w:rsidRDefault="00DF6F16" w:rsidP="00B262D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3.</w:t>
            </w:r>
          </w:p>
        </w:tc>
        <w:tc>
          <w:tcPr>
            <w:tcW w:w="3119" w:type="dxa"/>
          </w:tcPr>
          <w:p w14:paraId="4C78B785" w14:textId="77777777" w:rsidR="00DF6F16" w:rsidRDefault="00DF6F16" w:rsidP="00B262D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6095" w:type="dxa"/>
          </w:tcPr>
          <w:p w14:paraId="4C78B786" w14:textId="77777777" w:rsidR="00DF6F16" w:rsidRDefault="00DF6F16" w:rsidP="00B262D9">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r w:rsidR="0008006E">
              <w:rPr>
                <w:rFonts w:ascii="Times New Roman" w:hAnsi="Times New Roman" w:cs="Times New Roman"/>
                <w:sz w:val="24"/>
                <w:szCs w:val="24"/>
                <w:lang w:eastAsia="lv-LV"/>
              </w:rPr>
              <w:t>.</w:t>
            </w:r>
          </w:p>
          <w:p w14:paraId="4C78B787" w14:textId="77777777" w:rsidR="00195E01" w:rsidRDefault="00195E01" w:rsidP="00B262D9">
            <w:pPr>
              <w:pStyle w:val="NoSpacing"/>
              <w:rPr>
                <w:rFonts w:ascii="Times New Roman" w:hAnsi="Times New Roman" w:cs="Times New Roman"/>
                <w:sz w:val="24"/>
                <w:szCs w:val="24"/>
                <w:lang w:eastAsia="lv-LV"/>
              </w:rPr>
            </w:pPr>
          </w:p>
        </w:tc>
      </w:tr>
    </w:tbl>
    <w:p w14:paraId="4C78B789" w14:textId="77777777" w:rsidR="00DF6F16" w:rsidRDefault="00DF6F16" w:rsidP="00DF6F16">
      <w:pPr>
        <w:pStyle w:val="NoSpacing"/>
        <w:rPr>
          <w:rFonts w:ascii="Times New Roman" w:hAnsi="Times New Roman" w:cs="Times New Roman"/>
          <w:sz w:val="28"/>
          <w:szCs w:val="24"/>
          <w:lang w:eastAsia="lv-LV"/>
        </w:rPr>
      </w:pPr>
    </w:p>
    <w:p w14:paraId="4C78B78A" w14:textId="77777777" w:rsidR="00195E01" w:rsidRDefault="00195E01" w:rsidP="00DF6F16">
      <w:pPr>
        <w:pStyle w:val="NoSpacing"/>
        <w:rPr>
          <w:rFonts w:ascii="Times New Roman" w:hAnsi="Times New Roman" w:cs="Times New Roman"/>
          <w:sz w:val="28"/>
          <w:szCs w:val="24"/>
          <w:lang w:eastAsia="lv-LV"/>
        </w:rPr>
      </w:pPr>
    </w:p>
    <w:p w14:paraId="4C78B78B" w14:textId="77777777" w:rsidR="00195E01" w:rsidRPr="00035F74" w:rsidRDefault="00195E01" w:rsidP="00DF6F16">
      <w:pPr>
        <w:pStyle w:val="NoSpacing"/>
        <w:rPr>
          <w:rFonts w:ascii="Times New Roman" w:hAnsi="Times New Roman" w:cs="Times New Roman"/>
          <w:sz w:val="28"/>
          <w:szCs w:val="24"/>
          <w:lang w:eastAsia="lv-LV"/>
        </w:rPr>
      </w:pPr>
    </w:p>
    <w:p w14:paraId="4C78B78C" w14:textId="77777777" w:rsidR="00DF6F16" w:rsidRPr="00E15F9D" w:rsidRDefault="00D9504B" w:rsidP="00035F74">
      <w:pPr>
        <w:jc w:val="both"/>
        <w:rPr>
          <w:color w:val="000000"/>
          <w:sz w:val="28"/>
          <w:szCs w:val="28"/>
        </w:rPr>
      </w:pPr>
      <w:r>
        <w:rPr>
          <w:color w:val="000000"/>
          <w:sz w:val="28"/>
          <w:szCs w:val="28"/>
        </w:rPr>
        <w:t>Izglītības un zinātnes</w:t>
      </w:r>
      <w:r w:rsidR="00DF6F16">
        <w:rPr>
          <w:color w:val="000000"/>
          <w:sz w:val="28"/>
          <w:szCs w:val="28"/>
        </w:rPr>
        <w:t xml:space="preserve"> ministrs </w:t>
      </w:r>
      <w:r w:rsidR="00DF6F16">
        <w:rPr>
          <w:color w:val="000000"/>
          <w:sz w:val="28"/>
          <w:szCs w:val="28"/>
        </w:rPr>
        <w:tab/>
      </w:r>
      <w:r w:rsidR="00035F74">
        <w:rPr>
          <w:color w:val="000000"/>
          <w:sz w:val="28"/>
          <w:szCs w:val="28"/>
        </w:rPr>
        <w:tab/>
      </w:r>
      <w:r>
        <w:rPr>
          <w:color w:val="000000"/>
          <w:sz w:val="28"/>
          <w:szCs w:val="28"/>
        </w:rPr>
        <w:tab/>
      </w:r>
      <w:r>
        <w:rPr>
          <w:color w:val="000000"/>
          <w:sz w:val="28"/>
          <w:szCs w:val="28"/>
        </w:rPr>
        <w:tab/>
      </w:r>
      <w:r>
        <w:rPr>
          <w:color w:val="000000"/>
          <w:sz w:val="28"/>
          <w:szCs w:val="28"/>
        </w:rPr>
        <w:tab/>
      </w:r>
      <w:r w:rsidR="00DF6F16">
        <w:rPr>
          <w:color w:val="000000"/>
          <w:sz w:val="28"/>
          <w:szCs w:val="28"/>
        </w:rPr>
        <w:tab/>
      </w:r>
      <w:r>
        <w:rPr>
          <w:color w:val="000000"/>
          <w:sz w:val="28"/>
          <w:szCs w:val="28"/>
        </w:rPr>
        <w:t>Kārlis Šadurskis</w:t>
      </w:r>
    </w:p>
    <w:p w14:paraId="4C78B78D" w14:textId="77777777" w:rsidR="00DF6F16" w:rsidRPr="00035F74" w:rsidRDefault="00DF6F16" w:rsidP="00DF6F16">
      <w:pPr>
        <w:ind w:firstLine="720"/>
        <w:jc w:val="both"/>
        <w:rPr>
          <w:sz w:val="28"/>
          <w:szCs w:val="28"/>
        </w:rPr>
      </w:pPr>
    </w:p>
    <w:p w14:paraId="4C78B78E" w14:textId="77777777" w:rsidR="00EF5CDC" w:rsidRPr="008958BC" w:rsidRDefault="00EF5CDC" w:rsidP="00EF5CDC">
      <w:pPr>
        <w:tabs>
          <w:tab w:val="left" w:pos="6237"/>
        </w:tabs>
        <w:ind w:firstLine="720"/>
        <w:rPr>
          <w:sz w:val="28"/>
          <w:szCs w:val="28"/>
        </w:rPr>
      </w:pPr>
    </w:p>
    <w:p w14:paraId="4C78B78F" w14:textId="77777777" w:rsidR="00EF5CDC" w:rsidRDefault="00EF5CDC" w:rsidP="00EF5CDC">
      <w:pPr>
        <w:tabs>
          <w:tab w:val="left" w:pos="6237"/>
        </w:tabs>
        <w:rPr>
          <w:sz w:val="28"/>
          <w:szCs w:val="28"/>
        </w:rPr>
      </w:pPr>
      <w:r>
        <w:rPr>
          <w:sz w:val="28"/>
          <w:szCs w:val="28"/>
        </w:rPr>
        <w:t>Vizē:</w:t>
      </w:r>
      <w:r>
        <w:rPr>
          <w:sz w:val="28"/>
          <w:szCs w:val="28"/>
        </w:rPr>
        <w:tab/>
      </w:r>
    </w:p>
    <w:p w14:paraId="4C78B790" w14:textId="562E9B05" w:rsidR="00EF5CDC" w:rsidRPr="008958BC" w:rsidRDefault="00EF5CDC" w:rsidP="00EF5CDC">
      <w:pPr>
        <w:tabs>
          <w:tab w:val="left" w:pos="6237"/>
        </w:tabs>
        <w:rPr>
          <w:sz w:val="28"/>
          <w:szCs w:val="28"/>
        </w:rPr>
      </w:pPr>
      <w:r>
        <w:rPr>
          <w:sz w:val="28"/>
          <w:szCs w:val="28"/>
        </w:rPr>
        <w:lastRenderedPageBreak/>
        <w:t>Valsts sekretāre</w:t>
      </w:r>
      <w:r>
        <w:rPr>
          <w:sz w:val="28"/>
          <w:szCs w:val="28"/>
        </w:rPr>
        <w:tab/>
      </w:r>
      <w:r w:rsidR="00852933">
        <w:rPr>
          <w:sz w:val="28"/>
          <w:szCs w:val="28"/>
        </w:rPr>
        <w:tab/>
      </w:r>
      <w:r w:rsidR="00852933">
        <w:rPr>
          <w:sz w:val="28"/>
          <w:szCs w:val="28"/>
        </w:rPr>
        <w:tab/>
      </w:r>
      <w:r>
        <w:rPr>
          <w:sz w:val="28"/>
          <w:szCs w:val="28"/>
        </w:rPr>
        <w:t>Līga Lejiņa</w:t>
      </w:r>
    </w:p>
    <w:p w14:paraId="4C78B791" w14:textId="77777777" w:rsidR="00EF5CDC" w:rsidRPr="008958BC" w:rsidRDefault="00EF5CDC" w:rsidP="00EF5CDC">
      <w:pPr>
        <w:tabs>
          <w:tab w:val="left" w:pos="6237"/>
        </w:tabs>
        <w:rPr>
          <w:sz w:val="28"/>
          <w:szCs w:val="28"/>
        </w:rPr>
      </w:pPr>
    </w:p>
    <w:p w14:paraId="4C78B792" w14:textId="77777777" w:rsidR="00035F74" w:rsidRDefault="00035F74" w:rsidP="00DF6F16">
      <w:pPr>
        <w:jc w:val="both"/>
        <w:rPr>
          <w:sz w:val="28"/>
          <w:szCs w:val="20"/>
        </w:rPr>
      </w:pPr>
    </w:p>
    <w:p w14:paraId="4C78B793" w14:textId="77777777" w:rsidR="00035F74" w:rsidRDefault="00035F74" w:rsidP="00DF6F16">
      <w:pPr>
        <w:jc w:val="both"/>
        <w:rPr>
          <w:sz w:val="28"/>
          <w:szCs w:val="20"/>
        </w:rPr>
      </w:pPr>
    </w:p>
    <w:p w14:paraId="4C78B794" w14:textId="77777777" w:rsidR="00035F74" w:rsidRPr="00035F74" w:rsidRDefault="00035F74" w:rsidP="00DF6F16">
      <w:pPr>
        <w:jc w:val="both"/>
        <w:rPr>
          <w:sz w:val="28"/>
          <w:szCs w:val="20"/>
        </w:rPr>
      </w:pPr>
    </w:p>
    <w:p w14:paraId="4C78B795" w14:textId="77777777" w:rsidR="00DF6F16" w:rsidRPr="00852933" w:rsidRDefault="00D9504B" w:rsidP="00DF6F16">
      <w:pPr>
        <w:jc w:val="both"/>
        <w:rPr>
          <w:sz w:val="20"/>
          <w:szCs w:val="20"/>
        </w:rPr>
      </w:pPr>
      <w:r w:rsidRPr="00852933">
        <w:rPr>
          <w:sz w:val="20"/>
          <w:szCs w:val="20"/>
        </w:rPr>
        <w:t>Laudere 67047895</w:t>
      </w:r>
    </w:p>
    <w:p w14:paraId="4C78B796" w14:textId="77777777" w:rsidR="00D942C8" w:rsidRPr="00852933" w:rsidRDefault="00D9504B" w:rsidP="00AD749D">
      <w:pPr>
        <w:jc w:val="both"/>
        <w:rPr>
          <w:sz w:val="20"/>
          <w:szCs w:val="20"/>
        </w:rPr>
      </w:pPr>
      <w:r w:rsidRPr="00852933">
        <w:rPr>
          <w:sz w:val="20"/>
          <w:szCs w:val="20"/>
        </w:rPr>
        <w:t>Marika</w:t>
      </w:r>
      <w:r w:rsidR="005812A3" w:rsidRPr="00852933">
        <w:rPr>
          <w:sz w:val="20"/>
          <w:szCs w:val="20"/>
        </w:rPr>
        <w:t>.</w:t>
      </w:r>
      <w:r w:rsidRPr="00852933">
        <w:rPr>
          <w:sz w:val="20"/>
          <w:szCs w:val="20"/>
        </w:rPr>
        <w:t>Laudere</w:t>
      </w:r>
      <w:r w:rsidR="00DF6F16" w:rsidRPr="00852933">
        <w:rPr>
          <w:sz w:val="20"/>
          <w:szCs w:val="20"/>
        </w:rPr>
        <w:t>@</w:t>
      </w:r>
      <w:r w:rsidRPr="00852933">
        <w:rPr>
          <w:sz w:val="20"/>
          <w:szCs w:val="20"/>
        </w:rPr>
        <w:t>i</w:t>
      </w:r>
      <w:r w:rsidR="00DF6F16" w:rsidRPr="00852933">
        <w:rPr>
          <w:sz w:val="20"/>
          <w:szCs w:val="20"/>
        </w:rPr>
        <w:t>zm.gov.lv</w:t>
      </w:r>
    </w:p>
    <w:sectPr w:rsidR="00D942C8" w:rsidRPr="00852933" w:rsidSect="00685F6D">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002F7" w14:textId="77777777" w:rsidR="00C31213" w:rsidRDefault="00C31213">
      <w:r>
        <w:separator/>
      </w:r>
    </w:p>
  </w:endnote>
  <w:endnote w:type="continuationSeparator" w:id="0">
    <w:p w14:paraId="05005B18" w14:textId="77777777" w:rsidR="00C31213" w:rsidRDefault="00C3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8B79D" w14:textId="4A17CED2" w:rsidR="00EF5CDC" w:rsidRPr="002A63B9" w:rsidRDefault="00EF5CDC" w:rsidP="00EF5CDC">
    <w:pPr>
      <w:pStyle w:val="NoSpacing"/>
      <w:jc w:val="both"/>
      <w:rPr>
        <w:rFonts w:ascii="Times New Roman" w:hAnsi="Times New Roman" w:cs="Times New Roman"/>
        <w:bCs/>
      </w:rPr>
    </w:pPr>
    <w:r w:rsidRPr="002A63B9">
      <w:rPr>
        <w:rFonts w:ascii="Times New Roman" w:hAnsi="Times New Roman" w:cs="Times New Roman"/>
      </w:rPr>
      <w:t>IZManot_151018_VeA</w:t>
    </w:r>
    <w:r w:rsidR="00852933">
      <w:rPr>
        <w:rFonts w:ascii="Times New Roman" w:hAnsi="Times New Roman" w:cs="Times New Roman"/>
      </w:rPr>
      <w:t>_Irbene</w:t>
    </w:r>
    <w:r w:rsidRPr="002A63B9">
      <w:rPr>
        <w:rFonts w:ascii="Times New Roman" w:hAnsi="Times New Roman" w:cs="Times New Roman"/>
      </w:rPr>
      <w:t>; Ministru kabineta rīkojuma projekta „Par finanšu līdzekļu piešķiršanu no valsts budžeta programmas „Līdzekļi neparedzētiem gadījumiem””</w:t>
    </w:r>
    <w:r w:rsidR="00852933">
      <w:rPr>
        <w:rFonts w:ascii="Times New Roman" w:hAnsi="Times New Roman" w:cs="Times New Roman"/>
      </w:rPr>
      <w:t xml:space="preserve"> </w:t>
    </w:r>
    <w:r w:rsidRPr="002A63B9">
      <w:rPr>
        <w:rFonts w:ascii="Times New Roman" w:hAnsi="Times New Roman" w:cs="Times New Roman"/>
        <w:bCs/>
      </w:rPr>
      <w:t>sākotnējās ietekmes novērtējuma ziņojums (anotācija)</w:t>
    </w:r>
  </w:p>
  <w:p w14:paraId="4C78B79E" w14:textId="77777777" w:rsidR="00EF5CDC" w:rsidRPr="002A63B9" w:rsidRDefault="00EF5CDC" w:rsidP="00EF5CDC">
    <w:pPr>
      <w:pStyle w:val="Footer"/>
      <w:jc w:val="both"/>
      <w:rPr>
        <w:sz w:val="22"/>
        <w:szCs w:val="22"/>
      </w:rPr>
    </w:pPr>
  </w:p>
  <w:p w14:paraId="4C78B79F" w14:textId="77777777" w:rsidR="00B262D9" w:rsidRPr="00685F6D" w:rsidRDefault="00B262D9" w:rsidP="00685F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8B7A0" w14:textId="66B2A471" w:rsidR="00EF5CDC" w:rsidRPr="00107E43" w:rsidRDefault="00D9504B" w:rsidP="00107E43">
    <w:pPr>
      <w:pStyle w:val="NoSpacing"/>
      <w:jc w:val="both"/>
      <w:rPr>
        <w:rFonts w:ascii="Times New Roman" w:hAnsi="Times New Roman" w:cs="Times New Roman"/>
        <w:bCs/>
      </w:rPr>
    </w:pPr>
    <w:r w:rsidRPr="00107E43">
      <w:rPr>
        <w:rFonts w:ascii="Times New Roman" w:hAnsi="Times New Roman" w:cs="Times New Roman"/>
      </w:rPr>
      <w:t>I</w:t>
    </w:r>
    <w:r w:rsidR="00685F6D" w:rsidRPr="00107E43">
      <w:rPr>
        <w:rFonts w:ascii="Times New Roman" w:hAnsi="Times New Roman" w:cs="Times New Roman"/>
      </w:rPr>
      <w:t>ZManot_</w:t>
    </w:r>
    <w:r w:rsidRPr="00107E43">
      <w:rPr>
        <w:rFonts w:ascii="Times New Roman" w:hAnsi="Times New Roman" w:cs="Times New Roman"/>
      </w:rPr>
      <w:t>1510</w:t>
    </w:r>
    <w:r w:rsidR="00685F6D" w:rsidRPr="00107E43">
      <w:rPr>
        <w:rFonts w:ascii="Times New Roman" w:hAnsi="Times New Roman" w:cs="Times New Roman"/>
      </w:rPr>
      <w:t>18</w:t>
    </w:r>
    <w:r w:rsidR="00EF5CDC" w:rsidRPr="00107E43">
      <w:rPr>
        <w:rFonts w:ascii="Times New Roman" w:hAnsi="Times New Roman" w:cs="Times New Roman"/>
      </w:rPr>
      <w:t>_VeA</w:t>
    </w:r>
    <w:r w:rsidR="00852933">
      <w:rPr>
        <w:rFonts w:ascii="Times New Roman" w:hAnsi="Times New Roman" w:cs="Times New Roman"/>
      </w:rPr>
      <w:t>_Irbene</w:t>
    </w:r>
    <w:r w:rsidR="00EF5CDC" w:rsidRPr="00107E43">
      <w:rPr>
        <w:rFonts w:ascii="Times New Roman" w:hAnsi="Times New Roman" w:cs="Times New Roman"/>
      </w:rPr>
      <w:t>; Ministru kabineta rīkojuma projekta „Par finanšu līdzekļu piešķiršanu no valsts budžeta programmas „Līdzekļi neparedzētiem gadījumiem””</w:t>
    </w:r>
    <w:r w:rsidR="00E13B46">
      <w:rPr>
        <w:rFonts w:ascii="Times New Roman" w:hAnsi="Times New Roman" w:cs="Times New Roman"/>
      </w:rPr>
      <w:t xml:space="preserve"> </w:t>
    </w:r>
    <w:r w:rsidR="00EF5CDC" w:rsidRPr="00107E43">
      <w:rPr>
        <w:rFonts w:ascii="Times New Roman" w:hAnsi="Times New Roman" w:cs="Times New Roman"/>
        <w:bCs/>
      </w:rPr>
      <w:t>sākotnējās ietekmes novērtējuma ziņojums (anotācija)</w:t>
    </w:r>
  </w:p>
  <w:p w14:paraId="4C78B7A1" w14:textId="77777777" w:rsidR="00B262D9" w:rsidRPr="00107E43" w:rsidRDefault="00B262D9" w:rsidP="00107E43">
    <w:pPr>
      <w:pStyle w:val="Footer"/>
      <w:jc w:val="both"/>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74204" w14:textId="77777777" w:rsidR="00C31213" w:rsidRDefault="00C31213">
      <w:r>
        <w:separator/>
      </w:r>
    </w:p>
  </w:footnote>
  <w:footnote w:type="continuationSeparator" w:id="0">
    <w:p w14:paraId="4C854882" w14:textId="77777777" w:rsidR="00C31213" w:rsidRDefault="00C31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16131"/>
      <w:docPartObj>
        <w:docPartGallery w:val="Page Numbers (Top of Page)"/>
        <w:docPartUnique/>
      </w:docPartObj>
    </w:sdtPr>
    <w:sdtEndPr/>
    <w:sdtContent>
      <w:p w14:paraId="4C78B79B" w14:textId="77777777" w:rsidR="00B262D9" w:rsidRDefault="00B262D9">
        <w:pPr>
          <w:pStyle w:val="Header"/>
          <w:jc w:val="center"/>
        </w:pPr>
        <w:r>
          <w:fldChar w:fldCharType="begin"/>
        </w:r>
        <w:r>
          <w:instrText>PAGE   \* MERGEFORMAT</w:instrText>
        </w:r>
        <w:r>
          <w:fldChar w:fldCharType="separate"/>
        </w:r>
        <w:r w:rsidR="00233F7B">
          <w:rPr>
            <w:noProof/>
          </w:rPr>
          <w:t>3</w:t>
        </w:r>
        <w:r>
          <w:fldChar w:fldCharType="end"/>
        </w:r>
      </w:p>
    </w:sdtContent>
  </w:sdt>
  <w:p w14:paraId="4C78B79C" w14:textId="77777777" w:rsidR="00B262D9" w:rsidRDefault="00B262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B21A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E43BDC"/>
    <w:multiLevelType w:val="hybridMultilevel"/>
    <w:tmpl w:val="5CC6AD3A"/>
    <w:lvl w:ilvl="0" w:tplc="3C200CC4">
      <w:start w:val="1"/>
      <w:numFmt w:val="decimal"/>
      <w:lvlText w:val="%1."/>
      <w:lvlJc w:val="right"/>
      <w:pPr>
        <w:ind w:left="720" w:hanging="360"/>
      </w:pPr>
      <w:rPr>
        <w:rFonts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FDF7DA4"/>
    <w:multiLevelType w:val="hybridMultilevel"/>
    <w:tmpl w:val="5CC6AD3A"/>
    <w:lvl w:ilvl="0" w:tplc="3C200CC4">
      <w:start w:val="1"/>
      <w:numFmt w:val="decimal"/>
      <w:lvlText w:val="%1."/>
      <w:lvlJc w:val="right"/>
      <w:pPr>
        <w:ind w:left="720" w:hanging="360"/>
      </w:pPr>
      <w:rPr>
        <w:rFonts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0NTQ2Mja3MDIwMzVQ0lEKTi0uzszPAykwrAUAz4c+5iwAAAA="/>
  </w:docVars>
  <w:rsids>
    <w:rsidRoot w:val="00DF6F16"/>
    <w:rsid w:val="00006167"/>
    <w:rsid w:val="0001275C"/>
    <w:rsid w:val="00016276"/>
    <w:rsid w:val="00023155"/>
    <w:rsid w:val="00023CB2"/>
    <w:rsid w:val="00025CA1"/>
    <w:rsid w:val="0002627A"/>
    <w:rsid w:val="00027821"/>
    <w:rsid w:val="00030436"/>
    <w:rsid w:val="0003269F"/>
    <w:rsid w:val="00034534"/>
    <w:rsid w:val="00035419"/>
    <w:rsid w:val="00035F74"/>
    <w:rsid w:val="000477BC"/>
    <w:rsid w:val="000500BF"/>
    <w:rsid w:val="00053610"/>
    <w:rsid w:val="00055C38"/>
    <w:rsid w:val="0006574C"/>
    <w:rsid w:val="000669C5"/>
    <w:rsid w:val="00073666"/>
    <w:rsid w:val="0008006E"/>
    <w:rsid w:val="000847BD"/>
    <w:rsid w:val="00094499"/>
    <w:rsid w:val="00094C50"/>
    <w:rsid w:val="00094ECB"/>
    <w:rsid w:val="0009789C"/>
    <w:rsid w:val="000A1EF1"/>
    <w:rsid w:val="000A28D0"/>
    <w:rsid w:val="000A5E1E"/>
    <w:rsid w:val="000A6930"/>
    <w:rsid w:val="000B12BA"/>
    <w:rsid w:val="000B4F17"/>
    <w:rsid w:val="000B6774"/>
    <w:rsid w:val="000C16D5"/>
    <w:rsid w:val="000C2536"/>
    <w:rsid w:val="000C2666"/>
    <w:rsid w:val="000C5FDB"/>
    <w:rsid w:val="000D09E6"/>
    <w:rsid w:val="000D15C4"/>
    <w:rsid w:val="000D31E1"/>
    <w:rsid w:val="000D320A"/>
    <w:rsid w:val="000E04F9"/>
    <w:rsid w:val="000E09F8"/>
    <w:rsid w:val="000E11AA"/>
    <w:rsid w:val="000E2697"/>
    <w:rsid w:val="000E26B8"/>
    <w:rsid w:val="000E32E4"/>
    <w:rsid w:val="000F42F5"/>
    <w:rsid w:val="00100735"/>
    <w:rsid w:val="00101731"/>
    <w:rsid w:val="00102D83"/>
    <w:rsid w:val="00107E43"/>
    <w:rsid w:val="001171D7"/>
    <w:rsid w:val="0012077C"/>
    <w:rsid w:val="00122898"/>
    <w:rsid w:val="001239FB"/>
    <w:rsid w:val="00125A36"/>
    <w:rsid w:val="00130368"/>
    <w:rsid w:val="001324CB"/>
    <w:rsid w:val="001348A7"/>
    <w:rsid w:val="0013676A"/>
    <w:rsid w:val="00137FB5"/>
    <w:rsid w:val="00140BF7"/>
    <w:rsid w:val="0014167E"/>
    <w:rsid w:val="00146A00"/>
    <w:rsid w:val="0014768A"/>
    <w:rsid w:val="001564D5"/>
    <w:rsid w:val="001619B1"/>
    <w:rsid w:val="00162D48"/>
    <w:rsid w:val="001647C9"/>
    <w:rsid w:val="00171402"/>
    <w:rsid w:val="00174841"/>
    <w:rsid w:val="00174DE1"/>
    <w:rsid w:val="0018026F"/>
    <w:rsid w:val="00181320"/>
    <w:rsid w:val="00182835"/>
    <w:rsid w:val="00183E85"/>
    <w:rsid w:val="00195E01"/>
    <w:rsid w:val="0019620F"/>
    <w:rsid w:val="001A0E77"/>
    <w:rsid w:val="001A1482"/>
    <w:rsid w:val="001A2A4D"/>
    <w:rsid w:val="001B317B"/>
    <w:rsid w:val="001B76DF"/>
    <w:rsid w:val="001D2289"/>
    <w:rsid w:val="001D2B4F"/>
    <w:rsid w:val="001D2D3F"/>
    <w:rsid w:val="001D49A5"/>
    <w:rsid w:val="001D5CD2"/>
    <w:rsid w:val="001D778E"/>
    <w:rsid w:val="001E085A"/>
    <w:rsid w:val="001E28B5"/>
    <w:rsid w:val="001E47AC"/>
    <w:rsid w:val="001F118C"/>
    <w:rsid w:val="001F1FAC"/>
    <w:rsid w:val="001F3F4F"/>
    <w:rsid w:val="00204158"/>
    <w:rsid w:val="002065C0"/>
    <w:rsid w:val="00206E01"/>
    <w:rsid w:val="00207E09"/>
    <w:rsid w:val="002137B5"/>
    <w:rsid w:val="002145C9"/>
    <w:rsid w:val="00224F44"/>
    <w:rsid w:val="0022579A"/>
    <w:rsid w:val="00225FC9"/>
    <w:rsid w:val="00233F7B"/>
    <w:rsid w:val="00246753"/>
    <w:rsid w:val="00247597"/>
    <w:rsid w:val="00250A66"/>
    <w:rsid w:val="00253307"/>
    <w:rsid w:val="0025464C"/>
    <w:rsid w:val="00255060"/>
    <w:rsid w:val="0025660A"/>
    <w:rsid w:val="0026173E"/>
    <w:rsid w:val="002624A5"/>
    <w:rsid w:val="00267E00"/>
    <w:rsid w:val="0027271A"/>
    <w:rsid w:val="00273033"/>
    <w:rsid w:val="00274A5D"/>
    <w:rsid w:val="00275135"/>
    <w:rsid w:val="00277ADA"/>
    <w:rsid w:val="00280B31"/>
    <w:rsid w:val="002846F1"/>
    <w:rsid w:val="002A0689"/>
    <w:rsid w:val="002A3877"/>
    <w:rsid w:val="002A72C9"/>
    <w:rsid w:val="002B110A"/>
    <w:rsid w:val="002B1A6C"/>
    <w:rsid w:val="002B3BD1"/>
    <w:rsid w:val="002C1C2F"/>
    <w:rsid w:val="002C3C48"/>
    <w:rsid w:val="002C6BE6"/>
    <w:rsid w:val="002C7B0D"/>
    <w:rsid w:val="002D08CE"/>
    <w:rsid w:val="002D640C"/>
    <w:rsid w:val="002D713C"/>
    <w:rsid w:val="002E1258"/>
    <w:rsid w:val="002F100F"/>
    <w:rsid w:val="002F639C"/>
    <w:rsid w:val="002F68C6"/>
    <w:rsid w:val="003010E3"/>
    <w:rsid w:val="00313A4B"/>
    <w:rsid w:val="003210A7"/>
    <w:rsid w:val="00325EF9"/>
    <w:rsid w:val="003301E1"/>
    <w:rsid w:val="00333E8E"/>
    <w:rsid w:val="003365D4"/>
    <w:rsid w:val="00340EC5"/>
    <w:rsid w:val="00345D93"/>
    <w:rsid w:val="003461A3"/>
    <w:rsid w:val="00346E71"/>
    <w:rsid w:val="0035511C"/>
    <w:rsid w:val="00366070"/>
    <w:rsid w:val="003667BF"/>
    <w:rsid w:val="003670E2"/>
    <w:rsid w:val="003677F7"/>
    <w:rsid w:val="00375761"/>
    <w:rsid w:val="00377E05"/>
    <w:rsid w:val="00383385"/>
    <w:rsid w:val="00384DD0"/>
    <w:rsid w:val="00393474"/>
    <w:rsid w:val="00396CD9"/>
    <w:rsid w:val="00397994"/>
    <w:rsid w:val="003A2782"/>
    <w:rsid w:val="003A651E"/>
    <w:rsid w:val="003B0766"/>
    <w:rsid w:val="003B13B2"/>
    <w:rsid w:val="003B16F6"/>
    <w:rsid w:val="003E40AC"/>
    <w:rsid w:val="003E5370"/>
    <w:rsid w:val="003E5387"/>
    <w:rsid w:val="003F1573"/>
    <w:rsid w:val="003F3807"/>
    <w:rsid w:val="003F6838"/>
    <w:rsid w:val="003F706D"/>
    <w:rsid w:val="00420674"/>
    <w:rsid w:val="004215A9"/>
    <w:rsid w:val="004223EE"/>
    <w:rsid w:val="00425D04"/>
    <w:rsid w:val="004322F1"/>
    <w:rsid w:val="00433D4D"/>
    <w:rsid w:val="00437D42"/>
    <w:rsid w:val="004470DA"/>
    <w:rsid w:val="00450B62"/>
    <w:rsid w:val="0045286D"/>
    <w:rsid w:val="00456783"/>
    <w:rsid w:val="004615E8"/>
    <w:rsid w:val="00463220"/>
    <w:rsid w:val="0046594D"/>
    <w:rsid w:val="00470669"/>
    <w:rsid w:val="00470FE6"/>
    <w:rsid w:val="0047453B"/>
    <w:rsid w:val="0047709A"/>
    <w:rsid w:val="00482975"/>
    <w:rsid w:val="00484966"/>
    <w:rsid w:val="0048618D"/>
    <w:rsid w:val="004863EC"/>
    <w:rsid w:val="00495739"/>
    <w:rsid w:val="004A0D15"/>
    <w:rsid w:val="004A615A"/>
    <w:rsid w:val="004B0678"/>
    <w:rsid w:val="004B4A0E"/>
    <w:rsid w:val="004C056E"/>
    <w:rsid w:val="004C08A9"/>
    <w:rsid w:val="004C296D"/>
    <w:rsid w:val="004C42EB"/>
    <w:rsid w:val="004C757B"/>
    <w:rsid w:val="004D37BB"/>
    <w:rsid w:val="004E2C01"/>
    <w:rsid w:val="004F3AEB"/>
    <w:rsid w:val="004F45F1"/>
    <w:rsid w:val="004F5152"/>
    <w:rsid w:val="004F7416"/>
    <w:rsid w:val="00500B7A"/>
    <w:rsid w:val="005012C9"/>
    <w:rsid w:val="005019BC"/>
    <w:rsid w:val="005038CF"/>
    <w:rsid w:val="00520801"/>
    <w:rsid w:val="00523F2A"/>
    <w:rsid w:val="0053587E"/>
    <w:rsid w:val="00543BAF"/>
    <w:rsid w:val="005530A0"/>
    <w:rsid w:val="005567B2"/>
    <w:rsid w:val="00561A43"/>
    <w:rsid w:val="00562885"/>
    <w:rsid w:val="0056437F"/>
    <w:rsid w:val="005647BA"/>
    <w:rsid w:val="00564D37"/>
    <w:rsid w:val="00575F9D"/>
    <w:rsid w:val="005812A3"/>
    <w:rsid w:val="005828C7"/>
    <w:rsid w:val="00594010"/>
    <w:rsid w:val="005A2C8D"/>
    <w:rsid w:val="005A35A1"/>
    <w:rsid w:val="005A53C6"/>
    <w:rsid w:val="005B4C6A"/>
    <w:rsid w:val="005B7576"/>
    <w:rsid w:val="005C0019"/>
    <w:rsid w:val="005C081D"/>
    <w:rsid w:val="005C6ED6"/>
    <w:rsid w:val="005E0554"/>
    <w:rsid w:val="005E151B"/>
    <w:rsid w:val="005E2E7E"/>
    <w:rsid w:val="005E4F99"/>
    <w:rsid w:val="005E6441"/>
    <w:rsid w:val="005F5AE0"/>
    <w:rsid w:val="00607476"/>
    <w:rsid w:val="0061081E"/>
    <w:rsid w:val="00610D11"/>
    <w:rsid w:val="006130A5"/>
    <w:rsid w:val="00615193"/>
    <w:rsid w:val="0063244A"/>
    <w:rsid w:val="006340D2"/>
    <w:rsid w:val="00634698"/>
    <w:rsid w:val="006347FD"/>
    <w:rsid w:val="00634C75"/>
    <w:rsid w:val="00634EDD"/>
    <w:rsid w:val="006354B9"/>
    <w:rsid w:val="006436F4"/>
    <w:rsid w:val="00650720"/>
    <w:rsid w:val="00652449"/>
    <w:rsid w:val="0066098D"/>
    <w:rsid w:val="00660B81"/>
    <w:rsid w:val="006612E5"/>
    <w:rsid w:val="00662AC4"/>
    <w:rsid w:val="006707A5"/>
    <w:rsid w:val="0067241D"/>
    <w:rsid w:val="00672BAC"/>
    <w:rsid w:val="00675FC5"/>
    <w:rsid w:val="00684A67"/>
    <w:rsid w:val="00685F6D"/>
    <w:rsid w:val="00687B26"/>
    <w:rsid w:val="006921DB"/>
    <w:rsid w:val="00692969"/>
    <w:rsid w:val="00694FA6"/>
    <w:rsid w:val="006976A9"/>
    <w:rsid w:val="006A54EE"/>
    <w:rsid w:val="006B2488"/>
    <w:rsid w:val="006B697C"/>
    <w:rsid w:val="006B7BDC"/>
    <w:rsid w:val="006C18B0"/>
    <w:rsid w:val="006C410F"/>
    <w:rsid w:val="006C6A52"/>
    <w:rsid w:val="006D1E2C"/>
    <w:rsid w:val="006E4D36"/>
    <w:rsid w:val="006F1454"/>
    <w:rsid w:val="006F1627"/>
    <w:rsid w:val="006F2F1B"/>
    <w:rsid w:val="007046AD"/>
    <w:rsid w:val="007126D1"/>
    <w:rsid w:val="00714DFB"/>
    <w:rsid w:val="00715EE7"/>
    <w:rsid w:val="007179E4"/>
    <w:rsid w:val="007212E6"/>
    <w:rsid w:val="00721B02"/>
    <w:rsid w:val="00722BEF"/>
    <w:rsid w:val="007232A3"/>
    <w:rsid w:val="00724971"/>
    <w:rsid w:val="007267E6"/>
    <w:rsid w:val="00734F99"/>
    <w:rsid w:val="007427D8"/>
    <w:rsid w:val="00751265"/>
    <w:rsid w:val="0075149B"/>
    <w:rsid w:val="007541FA"/>
    <w:rsid w:val="00755E7D"/>
    <w:rsid w:val="00764DBE"/>
    <w:rsid w:val="007659E9"/>
    <w:rsid w:val="00770732"/>
    <w:rsid w:val="00772048"/>
    <w:rsid w:val="00773C57"/>
    <w:rsid w:val="00776235"/>
    <w:rsid w:val="007766EE"/>
    <w:rsid w:val="00784898"/>
    <w:rsid w:val="00785FBB"/>
    <w:rsid w:val="007A7F30"/>
    <w:rsid w:val="007B26BE"/>
    <w:rsid w:val="007C1077"/>
    <w:rsid w:val="007C7506"/>
    <w:rsid w:val="007D5ADC"/>
    <w:rsid w:val="007E0FBA"/>
    <w:rsid w:val="007E2AFC"/>
    <w:rsid w:val="008049BE"/>
    <w:rsid w:val="00805D29"/>
    <w:rsid w:val="00806A8F"/>
    <w:rsid w:val="00817746"/>
    <w:rsid w:val="00817DCA"/>
    <w:rsid w:val="008215B5"/>
    <w:rsid w:val="00822FD0"/>
    <w:rsid w:val="00825721"/>
    <w:rsid w:val="00832703"/>
    <w:rsid w:val="00834CE7"/>
    <w:rsid w:val="00834DC9"/>
    <w:rsid w:val="00835D85"/>
    <w:rsid w:val="00842027"/>
    <w:rsid w:val="00844835"/>
    <w:rsid w:val="00850E21"/>
    <w:rsid w:val="00852933"/>
    <w:rsid w:val="00852A96"/>
    <w:rsid w:val="00853868"/>
    <w:rsid w:val="0086204B"/>
    <w:rsid w:val="00865684"/>
    <w:rsid w:val="00871C55"/>
    <w:rsid w:val="00872E42"/>
    <w:rsid w:val="00876AA8"/>
    <w:rsid w:val="00883D96"/>
    <w:rsid w:val="00894623"/>
    <w:rsid w:val="00897183"/>
    <w:rsid w:val="00897BF1"/>
    <w:rsid w:val="008A2895"/>
    <w:rsid w:val="008A576D"/>
    <w:rsid w:val="008A6902"/>
    <w:rsid w:val="008B172E"/>
    <w:rsid w:val="008B3532"/>
    <w:rsid w:val="008B3A15"/>
    <w:rsid w:val="008B3F93"/>
    <w:rsid w:val="008C07F9"/>
    <w:rsid w:val="008C1C00"/>
    <w:rsid w:val="008C3B16"/>
    <w:rsid w:val="008C584E"/>
    <w:rsid w:val="008D56DC"/>
    <w:rsid w:val="008D7C40"/>
    <w:rsid w:val="008E4FCE"/>
    <w:rsid w:val="008E5888"/>
    <w:rsid w:val="008F1159"/>
    <w:rsid w:val="008F51F1"/>
    <w:rsid w:val="00902E09"/>
    <w:rsid w:val="009059B8"/>
    <w:rsid w:val="0091203D"/>
    <w:rsid w:val="009267BF"/>
    <w:rsid w:val="00937576"/>
    <w:rsid w:val="00942E63"/>
    <w:rsid w:val="00947FAA"/>
    <w:rsid w:val="00957963"/>
    <w:rsid w:val="00960102"/>
    <w:rsid w:val="00970602"/>
    <w:rsid w:val="00973971"/>
    <w:rsid w:val="00973A35"/>
    <w:rsid w:val="00973EEC"/>
    <w:rsid w:val="00987316"/>
    <w:rsid w:val="0099046D"/>
    <w:rsid w:val="009915F9"/>
    <w:rsid w:val="00991720"/>
    <w:rsid w:val="00992690"/>
    <w:rsid w:val="00997D23"/>
    <w:rsid w:val="00997F0C"/>
    <w:rsid w:val="009A0DDC"/>
    <w:rsid w:val="009A12E6"/>
    <w:rsid w:val="009A451A"/>
    <w:rsid w:val="009A69B5"/>
    <w:rsid w:val="009A7E0B"/>
    <w:rsid w:val="009B23E3"/>
    <w:rsid w:val="009B2FF9"/>
    <w:rsid w:val="009C084C"/>
    <w:rsid w:val="009C4A5D"/>
    <w:rsid w:val="009D016F"/>
    <w:rsid w:val="009D02A2"/>
    <w:rsid w:val="009D0D71"/>
    <w:rsid w:val="009D45A2"/>
    <w:rsid w:val="009D540F"/>
    <w:rsid w:val="009D601B"/>
    <w:rsid w:val="009D7B84"/>
    <w:rsid w:val="009E73FE"/>
    <w:rsid w:val="009E7886"/>
    <w:rsid w:val="009F157D"/>
    <w:rsid w:val="009F6695"/>
    <w:rsid w:val="00A01D90"/>
    <w:rsid w:val="00A04A5B"/>
    <w:rsid w:val="00A05BED"/>
    <w:rsid w:val="00A11FE4"/>
    <w:rsid w:val="00A24759"/>
    <w:rsid w:val="00A260B9"/>
    <w:rsid w:val="00A3100B"/>
    <w:rsid w:val="00A32FA0"/>
    <w:rsid w:val="00A3308D"/>
    <w:rsid w:val="00A3638A"/>
    <w:rsid w:val="00A469F0"/>
    <w:rsid w:val="00A51383"/>
    <w:rsid w:val="00A51B56"/>
    <w:rsid w:val="00A52AF5"/>
    <w:rsid w:val="00A537D4"/>
    <w:rsid w:val="00A60A6C"/>
    <w:rsid w:val="00A6134D"/>
    <w:rsid w:val="00A65F37"/>
    <w:rsid w:val="00A70FFC"/>
    <w:rsid w:val="00A8241F"/>
    <w:rsid w:val="00A8333A"/>
    <w:rsid w:val="00A962BF"/>
    <w:rsid w:val="00AA2CB1"/>
    <w:rsid w:val="00AA48C6"/>
    <w:rsid w:val="00AA56FE"/>
    <w:rsid w:val="00AA664B"/>
    <w:rsid w:val="00AB4B3D"/>
    <w:rsid w:val="00AB6522"/>
    <w:rsid w:val="00AB6AFD"/>
    <w:rsid w:val="00AC0F99"/>
    <w:rsid w:val="00AC112B"/>
    <w:rsid w:val="00AC310C"/>
    <w:rsid w:val="00AC61EB"/>
    <w:rsid w:val="00AD749D"/>
    <w:rsid w:val="00AD773E"/>
    <w:rsid w:val="00AE1B50"/>
    <w:rsid w:val="00AF0AE9"/>
    <w:rsid w:val="00AF0D89"/>
    <w:rsid w:val="00AF168A"/>
    <w:rsid w:val="00AF3023"/>
    <w:rsid w:val="00B0699A"/>
    <w:rsid w:val="00B07550"/>
    <w:rsid w:val="00B078FB"/>
    <w:rsid w:val="00B136C9"/>
    <w:rsid w:val="00B1600F"/>
    <w:rsid w:val="00B176F2"/>
    <w:rsid w:val="00B17D83"/>
    <w:rsid w:val="00B2555B"/>
    <w:rsid w:val="00B262D9"/>
    <w:rsid w:val="00B31271"/>
    <w:rsid w:val="00B36821"/>
    <w:rsid w:val="00B41FBB"/>
    <w:rsid w:val="00B46FD3"/>
    <w:rsid w:val="00B4729B"/>
    <w:rsid w:val="00B50215"/>
    <w:rsid w:val="00B50473"/>
    <w:rsid w:val="00B52B51"/>
    <w:rsid w:val="00B55FC9"/>
    <w:rsid w:val="00B56735"/>
    <w:rsid w:val="00B57D3C"/>
    <w:rsid w:val="00B57DB1"/>
    <w:rsid w:val="00B6080D"/>
    <w:rsid w:val="00B61CA0"/>
    <w:rsid w:val="00B679F8"/>
    <w:rsid w:val="00B75C17"/>
    <w:rsid w:val="00B77C0D"/>
    <w:rsid w:val="00B83665"/>
    <w:rsid w:val="00B86410"/>
    <w:rsid w:val="00B91C43"/>
    <w:rsid w:val="00B92CED"/>
    <w:rsid w:val="00BA25F6"/>
    <w:rsid w:val="00BA2810"/>
    <w:rsid w:val="00BA521B"/>
    <w:rsid w:val="00BB314E"/>
    <w:rsid w:val="00BB353E"/>
    <w:rsid w:val="00BB4546"/>
    <w:rsid w:val="00BB5BAD"/>
    <w:rsid w:val="00BC244C"/>
    <w:rsid w:val="00BC25CF"/>
    <w:rsid w:val="00BC55FF"/>
    <w:rsid w:val="00BC7AD5"/>
    <w:rsid w:val="00BD0EEE"/>
    <w:rsid w:val="00BD127D"/>
    <w:rsid w:val="00BD2BDB"/>
    <w:rsid w:val="00BD5536"/>
    <w:rsid w:val="00BD727D"/>
    <w:rsid w:val="00BF11D0"/>
    <w:rsid w:val="00BF2C5B"/>
    <w:rsid w:val="00BF5564"/>
    <w:rsid w:val="00BF7B8B"/>
    <w:rsid w:val="00C00B22"/>
    <w:rsid w:val="00C01922"/>
    <w:rsid w:val="00C108F4"/>
    <w:rsid w:val="00C114C5"/>
    <w:rsid w:val="00C1386C"/>
    <w:rsid w:val="00C14CF8"/>
    <w:rsid w:val="00C15CF1"/>
    <w:rsid w:val="00C161EF"/>
    <w:rsid w:val="00C23172"/>
    <w:rsid w:val="00C25C9E"/>
    <w:rsid w:val="00C2741B"/>
    <w:rsid w:val="00C31213"/>
    <w:rsid w:val="00C35ABB"/>
    <w:rsid w:val="00C3675E"/>
    <w:rsid w:val="00C42D0A"/>
    <w:rsid w:val="00C44C38"/>
    <w:rsid w:val="00C4751E"/>
    <w:rsid w:val="00C50365"/>
    <w:rsid w:val="00C52380"/>
    <w:rsid w:val="00C61C8C"/>
    <w:rsid w:val="00C740B3"/>
    <w:rsid w:val="00C76661"/>
    <w:rsid w:val="00C809C5"/>
    <w:rsid w:val="00C878DF"/>
    <w:rsid w:val="00C87EED"/>
    <w:rsid w:val="00C93F8A"/>
    <w:rsid w:val="00C970E8"/>
    <w:rsid w:val="00C971ED"/>
    <w:rsid w:val="00C97847"/>
    <w:rsid w:val="00CB0156"/>
    <w:rsid w:val="00CB41DE"/>
    <w:rsid w:val="00CB53EE"/>
    <w:rsid w:val="00CC2F15"/>
    <w:rsid w:val="00CC2F8C"/>
    <w:rsid w:val="00CC7F60"/>
    <w:rsid w:val="00CD1620"/>
    <w:rsid w:val="00CD30F9"/>
    <w:rsid w:val="00CD564C"/>
    <w:rsid w:val="00CE3258"/>
    <w:rsid w:val="00CE48B5"/>
    <w:rsid w:val="00CE74F9"/>
    <w:rsid w:val="00CF1D01"/>
    <w:rsid w:val="00CF52C3"/>
    <w:rsid w:val="00CF6F73"/>
    <w:rsid w:val="00D0193C"/>
    <w:rsid w:val="00D02011"/>
    <w:rsid w:val="00D026BC"/>
    <w:rsid w:val="00D02D8D"/>
    <w:rsid w:val="00D03206"/>
    <w:rsid w:val="00D0679E"/>
    <w:rsid w:val="00D10A6A"/>
    <w:rsid w:val="00D10ACE"/>
    <w:rsid w:val="00D1398A"/>
    <w:rsid w:val="00D14A14"/>
    <w:rsid w:val="00D1532D"/>
    <w:rsid w:val="00D205D0"/>
    <w:rsid w:val="00D241D1"/>
    <w:rsid w:val="00D26E86"/>
    <w:rsid w:val="00D27469"/>
    <w:rsid w:val="00D34F7D"/>
    <w:rsid w:val="00D40875"/>
    <w:rsid w:val="00D42794"/>
    <w:rsid w:val="00D45C93"/>
    <w:rsid w:val="00D472CD"/>
    <w:rsid w:val="00D47DDB"/>
    <w:rsid w:val="00D5566B"/>
    <w:rsid w:val="00D569C9"/>
    <w:rsid w:val="00D6115B"/>
    <w:rsid w:val="00D62EAC"/>
    <w:rsid w:val="00D639DA"/>
    <w:rsid w:val="00D66749"/>
    <w:rsid w:val="00D71B4D"/>
    <w:rsid w:val="00D72ADB"/>
    <w:rsid w:val="00D8413E"/>
    <w:rsid w:val="00D85A37"/>
    <w:rsid w:val="00D87DD1"/>
    <w:rsid w:val="00D90A0A"/>
    <w:rsid w:val="00D942C8"/>
    <w:rsid w:val="00D95043"/>
    <w:rsid w:val="00D9504B"/>
    <w:rsid w:val="00D95646"/>
    <w:rsid w:val="00D96A69"/>
    <w:rsid w:val="00DA0317"/>
    <w:rsid w:val="00DA1744"/>
    <w:rsid w:val="00DA58D6"/>
    <w:rsid w:val="00DB073B"/>
    <w:rsid w:val="00DB1BF5"/>
    <w:rsid w:val="00DB22EF"/>
    <w:rsid w:val="00DB57E1"/>
    <w:rsid w:val="00DC429A"/>
    <w:rsid w:val="00DC5943"/>
    <w:rsid w:val="00DC5AD4"/>
    <w:rsid w:val="00DD1962"/>
    <w:rsid w:val="00DD4C83"/>
    <w:rsid w:val="00DD6E03"/>
    <w:rsid w:val="00DE4E41"/>
    <w:rsid w:val="00DE587F"/>
    <w:rsid w:val="00DF1047"/>
    <w:rsid w:val="00DF20D4"/>
    <w:rsid w:val="00DF560A"/>
    <w:rsid w:val="00DF5E99"/>
    <w:rsid w:val="00DF6F16"/>
    <w:rsid w:val="00E0175D"/>
    <w:rsid w:val="00E04E2C"/>
    <w:rsid w:val="00E052DC"/>
    <w:rsid w:val="00E0604E"/>
    <w:rsid w:val="00E13B46"/>
    <w:rsid w:val="00E15E5F"/>
    <w:rsid w:val="00E24C5F"/>
    <w:rsid w:val="00E26269"/>
    <w:rsid w:val="00E33300"/>
    <w:rsid w:val="00E33F15"/>
    <w:rsid w:val="00E36E7A"/>
    <w:rsid w:val="00E41193"/>
    <w:rsid w:val="00E41E00"/>
    <w:rsid w:val="00E5757C"/>
    <w:rsid w:val="00E6558C"/>
    <w:rsid w:val="00E71B26"/>
    <w:rsid w:val="00E76E84"/>
    <w:rsid w:val="00E813D5"/>
    <w:rsid w:val="00E83F6E"/>
    <w:rsid w:val="00E85EBA"/>
    <w:rsid w:val="00EA00A6"/>
    <w:rsid w:val="00EA00CA"/>
    <w:rsid w:val="00EA0EAF"/>
    <w:rsid w:val="00EA39A5"/>
    <w:rsid w:val="00EA4FB4"/>
    <w:rsid w:val="00EB2D96"/>
    <w:rsid w:val="00EB33A3"/>
    <w:rsid w:val="00EB5593"/>
    <w:rsid w:val="00EB5B17"/>
    <w:rsid w:val="00EC17D2"/>
    <w:rsid w:val="00EC22E2"/>
    <w:rsid w:val="00EC641D"/>
    <w:rsid w:val="00EC6E98"/>
    <w:rsid w:val="00ED4618"/>
    <w:rsid w:val="00ED5402"/>
    <w:rsid w:val="00EE0B44"/>
    <w:rsid w:val="00EE53E4"/>
    <w:rsid w:val="00EE636A"/>
    <w:rsid w:val="00EE7330"/>
    <w:rsid w:val="00EE7BA0"/>
    <w:rsid w:val="00EF09CD"/>
    <w:rsid w:val="00EF50FE"/>
    <w:rsid w:val="00EF5CDC"/>
    <w:rsid w:val="00EF5DBA"/>
    <w:rsid w:val="00EF6981"/>
    <w:rsid w:val="00F02994"/>
    <w:rsid w:val="00F2138A"/>
    <w:rsid w:val="00F3661E"/>
    <w:rsid w:val="00F533E6"/>
    <w:rsid w:val="00F5544A"/>
    <w:rsid w:val="00F56239"/>
    <w:rsid w:val="00F62951"/>
    <w:rsid w:val="00F63A13"/>
    <w:rsid w:val="00F64EF0"/>
    <w:rsid w:val="00F65054"/>
    <w:rsid w:val="00F67C59"/>
    <w:rsid w:val="00F714E0"/>
    <w:rsid w:val="00F7154B"/>
    <w:rsid w:val="00F74389"/>
    <w:rsid w:val="00F7604A"/>
    <w:rsid w:val="00F768D1"/>
    <w:rsid w:val="00F81750"/>
    <w:rsid w:val="00F82998"/>
    <w:rsid w:val="00F83375"/>
    <w:rsid w:val="00F9118A"/>
    <w:rsid w:val="00F9748C"/>
    <w:rsid w:val="00F974BF"/>
    <w:rsid w:val="00FA3A6F"/>
    <w:rsid w:val="00FA3B4A"/>
    <w:rsid w:val="00FA5791"/>
    <w:rsid w:val="00FB2367"/>
    <w:rsid w:val="00FB26DF"/>
    <w:rsid w:val="00FB482B"/>
    <w:rsid w:val="00FC05E9"/>
    <w:rsid w:val="00FC3F43"/>
    <w:rsid w:val="00FC4EA7"/>
    <w:rsid w:val="00FD1C9C"/>
    <w:rsid w:val="00FE2BA6"/>
    <w:rsid w:val="00FF4A2D"/>
    <w:rsid w:val="00FF4B15"/>
    <w:rsid w:val="00FF72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B633"/>
  <w15:chartTrackingRefBased/>
  <w15:docId w15:val="{14E8E8FD-BE16-4770-9A8C-0E18313C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F1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6F16"/>
    <w:pPr>
      <w:spacing w:after="0" w:line="240" w:lineRule="auto"/>
    </w:pPr>
  </w:style>
  <w:style w:type="paragraph" w:styleId="Header">
    <w:name w:val="header"/>
    <w:basedOn w:val="Normal"/>
    <w:link w:val="HeaderChar"/>
    <w:uiPriority w:val="99"/>
    <w:unhideWhenUsed/>
    <w:rsid w:val="00DF6F16"/>
    <w:pPr>
      <w:tabs>
        <w:tab w:val="center" w:pos="4513"/>
        <w:tab w:val="right" w:pos="9026"/>
      </w:tabs>
    </w:pPr>
  </w:style>
  <w:style w:type="character" w:customStyle="1" w:styleId="HeaderChar">
    <w:name w:val="Header Char"/>
    <w:basedOn w:val="DefaultParagraphFont"/>
    <w:link w:val="Header"/>
    <w:uiPriority w:val="99"/>
    <w:rsid w:val="00DF6F1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F6F16"/>
    <w:pPr>
      <w:tabs>
        <w:tab w:val="center" w:pos="4513"/>
        <w:tab w:val="right" w:pos="9026"/>
      </w:tabs>
    </w:pPr>
  </w:style>
  <w:style w:type="character" w:customStyle="1" w:styleId="FooterChar">
    <w:name w:val="Footer Char"/>
    <w:basedOn w:val="DefaultParagraphFont"/>
    <w:link w:val="Footer"/>
    <w:uiPriority w:val="99"/>
    <w:rsid w:val="00DF6F16"/>
    <w:rPr>
      <w:rFonts w:ascii="Times New Roman" w:eastAsia="Times New Roman" w:hAnsi="Times New Roman" w:cs="Times New Roman"/>
      <w:sz w:val="24"/>
      <w:szCs w:val="24"/>
      <w:lang w:eastAsia="lv-LV"/>
    </w:rPr>
  </w:style>
  <w:style w:type="table" w:styleId="TableGrid">
    <w:name w:val="Table Grid"/>
    <w:basedOn w:val="TableNormal"/>
    <w:uiPriority w:val="59"/>
    <w:rsid w:val="00DF6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F6F16"/>
    <w:rPr>
      <w:b/>
      <w:bCs/>
    </w:rPr>
  </w:style>
  <w:style w:type="paragraph" w:styleId="BalloonText">
    <w:name w:val="Balloon Text"/>
    <w:basedOn w:val="Normal"/>
    <w:link w:val="BalloonTextChar"/>
    <w:uiPriority w:val="99"/>
    <w:semiHidden/>
    <w:unhideWhenUsed/>
    <w:rsid w:val="00A32F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FA0"/>
    <w:rPr>
      <w:rFonts w:ascii="Segoe UI" w:eastAsia="Times New Roman" w:hAnsi="Segoe UI" w:cs="Segoe UI"/>
      <w:sz w:val="18"/>
      <w:szCs w:val="18"/>
      <w:lang w:eastAsia="lv-LV"/>
    </w:rPr>
  </w:style>
  <w:style w:type="paragraph" w:styleId="ListParagraph">
    <w:name w:val="List Paragraph"/>
    <w:basedOn w:val="Normal"/>
    <w:uiPriority w:val="34"/>
    <w:qFormat/>
    <w:rsid w:val="000847BD"/>
    <w:pPr>
      <w:ind w:left="720"/>
      <w:contextualSpacing/>
    </w:pPr>
    <w:rPr>
      <w:rFonts w:asciiTheme="minorHAnsi" w:eastAsiaTheme="minorEastAsia" w:hAnsiTheme="minorHAnsi" w:cstheme="minorBidi"/>
      <w:lang w:val="en-US" w:eastAsia="en-US"/>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Podrozdział,o,Reference"/>
    <w:basedOn w:val="Normal"/>
    <w:link w:val="FootnoteTextChar"/>
    <w:rsid w:val="000847BD"/>
    <w:pPr>
      <w:suppressAutoHyphens/>
    </w:pPr>
    <w:rPr>
      <w:rFonts w:eastAsia="Calibri"/>
      <w:sz w:val="20"/>
      <w:szCs w:val="20"/>
      <w:lang w:eastAsia="ar-SA"/>
    </w:rPr>
  </w:style>
  <w:style w:type="character" w:customStyle="1" w:styleId="FootnoteTextChar">
    <w:name w:val="Footnote Text Char"/>
    <w:aliases w:val="Schriftart: 9 pt Char,Schriftart: 10 pt Char,Schriftart: 8 pt Char,WB-Fußnotentext Char,fn Char,footnote text Char,Footnotes Char,Footnote ak Char,FoodNote Char,ft Char,Footnote text Char,Footnote Char,Footnote Text Char1 Char,o Char"/>
    <w:basedOn w:val="DefaultParagraphFont"/>
    <w:link w:val="FootnoteText"/>
    <w:rsid w:val="000847BD"/>
    <w:rPr>
      <w:rFonts w:ascii="Times New Roman" w:eastAsia="Calibri" w:hAnsi="Times New Roman" w:cs="Times New Roman"/>
      <w:sz w:val="20"/>
      <w:szCs w:val="20"/>
      <w:lang w:eastAsia="ar-SA"/>
    </w:rPr>
  </w:style>
  <w:style w:type="character" w:styleId="FootnoteReference">
    <w:name w:val="footnote reference"/>
    <w:aliases w:val="Footnote symbol,Times 10 Point,Exposant 3 Point, Exposant 3 Point,Footnote anchor,Footnote reference number,Voetnootverwijzing,Footnote number,fr,Footnotemark,FR,Footnotemark1,Footnotemark2,FR1,Footnotemark3,FR2,Footnotemark4,FR3,Ref"/>
    <w:link w:val="CharCharCharChar"/>
    <w:rsid w:val="000847BD"/>
    <w:rPr>
      <w:vertAlign w:val="superscript"/>
    </w:rPr>
  </w:style>
  <w:style w:type="paragraph" w:customStyle="1" w:styleId="CharCharCharChar">
    <w:name w:val="Char Char Char Char"/>
    <w:aliases w:val="Char2"/>
    <w:basedOn w:val="Normal"/>
    <w:next w:val="Normal"/>
    <w:link w:val="FootnoteReference"/>
    <w:rsid w:val="000847BD"/>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6173</Words>
  <Characters>3520</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 projektu</vt:lpstr>
      <vt:lpstr>Par Ministru kabineta rīkojuma projektu</vt:lpstr>
    </vt:vector>
  </TitlesOfParts>
  <Company>Zemkopibas Ministrija</Company>
  <LinksUpToDate>false</LinksUpToDate>
  <CharactersWithSpaces>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dc:title>
  <dc:subject>Anotācija</dc:subject>
  <dc:creator>Jānis Šnakšis</dc:creator>
  <cp:keywords/>
  <dc:description>Šnakšis 67027672_x000d_
Janis.Snaksis@zm.gov.lv</dc:description>
  <cp:lastModifiedBy>Marika Laudere</cp:lastModifiedBy>
  <cp:revision>6</cp:revision>
  <cp:lastPrinted>2018-08-16T07:43:00Z</cp:lastPrinted>
  <dcterms:created xsi:type="dcterms:W3CDTF">2018-10-16T08:17:00Z</dcterms:created>
  <dcterms:modified xsi:type="dcterms:W3CDTF">2018-10-18T07:45:00Z</dcterms:modified>
</cp:coreProperties>
</file>