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46" w:rsidRPr="00A55C27" w:rsidRDefault="006C4F46" w:rsidP="006C4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55C2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tru kabineta noteikumu projekta</w:t>
      </w:r>
    </w:p>
    <w:p w:rsidR="006C4F46" w:rsidRPr="00BC7C7B" w:rsidRDefault="00682CE2" w:rsidP="00682CE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„</w:t>
      </w:r>
      <w:r w:rsidRPr="000114FA">
        <w:rPr>
          <w:rFonts w:ascii="Times New Roman" w:eastAsia="Times New Roman" w:hAnsi="Times New Roman"/>
          <w:b/>
          <w:sz w:val="28"/>
          <w:szCs w:val="28"/>
          <w:lang w:eastAsia="lv-LV"/>
        </w:rPr>
        <w:t>Noteikumi par profesionālā doktora grāda mākslās profesionālās augstākās izglītības valsts standartu un profesionālā doktora grāda mākslās piešķiršanas kārtību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” </w:t>
      </w:r>
      <w:r w:rsidR="006C4F4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</w:p>
    <w:p w:rsidR="006C4F46" w:rsidRPr="00A55C27" w:rsidRDefault="006C4F46" w:rsidP="006C4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55C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p w:rsidR="006C4F46" w:rsidRPr="00A55C27" w:rsidRDefault="006C4F46" w:rsidP="006C4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36"/>
        <w:gridCol w:w="5885"/>
      </w:tblGrid>
      <w:tr w:rsidR="006C4F46" w:rsidRPr="00A55C27" w:rsidTr="00B1674F">
        <w:trPr>
          <w:trHeight w:val="54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6C4F46" w:rsidRPr="000356D3" w:rsidTr="00174513">
        <w:trPr>
          <w:tblCellSpacing w:w="15" w:type="dxa"/>
        </w:trPr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0356D3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610B3" w:rsidRDefault="0057655B" w:rsidP="0015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3E">
              <w:rPr>
                <w:rFonts w:ascii="Times New Roman" w:hAnsi="Times New Roman"/>
                <w:sz w:val="28"/>
                <w:szCs w:val="28"/>
              </w:rPr>
              <w:t>Ministru kabineta noteikumu projekts „Noteikumi par profesionālā doktora grāda mākslās profesionālās augstākās izglītības valsts standartu un profesionālā doktora grāda mākslās piešķiršanas kārtību” (turpmāk – Projekts) sagatavots, lai no 2019./2020.</w:t>
            </w:r>
            <w:r w:rsidR="00153C7E">
              <w:rPr>
                <w:rFonts w:ascii="Times New Roman" w:hAnsi="Times New Roman"/>
                <w:sz w:val="28"/>
                <w:szCs w:val="28"/>
              </w:rPr>
              <w:t>akadēmiskā</w:t>
            </w:r>
            <w:r w:rsidRPr="00E9053E">
              <w:rPr>
                <w:rFonts w:ascii="Times New Roman" w:hAnsi="Times New Roman"/>
                <w:sz w:val="28"/>
                <w:szCs w:val="28"/>
              </w:rPr>
              <w:t xml:space="preserve"> gada augstskolās būtu iespējams uzsākt profesionālā doktora studiju mākslās ieviešanu</w:t>
            </w:r>
            <w:r w:rsidR="001F5697" w:rsidRPr="00E905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76403" w:rsidRPr="00E9053E">
              <w:rPr>
                <w:rFonts w:ascii="Times New Roman" w:hAnsi="Times New Roman"/>
                <w:sz w:val="28"/>
                <w:szCs w:val="28"/>
              </w:rPr>
              <w:t xml:space="preserve">Projekts </w:t>
            </w:r>
            <w:r w:rsidRPr="00E9053E">
              <w:rPr>
                <w:rFonts w:ascii="Times New Roman" w:hAnsi="Times New Roman"/>
                <w:sz w:val="28"/>
                <w:szCs w:val="28"/>
              </w:rPr>
              <w:t>no</w:t>
            </w:r>
            <w:r w:rsidR="00676403" w:rsidRPr="00E9053E">
              <w:rPr>
                <w:rFonts w:ascii="Times New Roman" w:hAnsi="Times New Roman"/>
                <w:sz w:val="28"/>
                <w:szCs w:val="28"/>
              </w:rPr>
              <w:t>saka</w:t>
            </w:r>
            <w:r w:rsidRPr="00E9053E">
              <w:rPr>
                <w:rFonts w:ascii="Times New Roman" w:hAnsi="Times New Roman"/>
                <w:sz w:val="28"/>
                <w:szCs w:val="28"/>
              </w:rPr>
              <w:t xml:space="preserve"> profesionālā doktora grāda mākslās profesionālās augstākās izglītības valsts standart</w:t>
            </w:r>
            <w:r w:rsidR="001F5697" w:rsidRPr="00E9053E">
              <w:rPr>
                <w:rFonts w:ascii="Times New Roman" w:hAnsi="Times New Roman"/>
                <w:sz w:val="28"/>
                <w:szCs w:val="28"/>
              </w:rPr>
              <w:t>u</w:t>
            </w:r>
            <w:r w:rsidRPr="00E9053E">
              <w:rPr>
                <w:rFonts w:ascii="Times New Roman" w:hAnsi="Times New Roman"/>
                <w:sz w:val="28"/>
                <w:szCs w:val="28"/>
              </w:rPr>
              <w:t xml:space="preserve"> un profesionālā doktora grāda mākslās piešķiršanas kārtīb</w:t>
            </w:r>
            <w:r w:rsidR="001F5697" w:rsidRPr="00E9053E">
              <w:rPr>
                <w:rFonts w:ascii="Times New Roman" w:hAnsi="Times New Roman"/>
                <w:sz w:val="28"/>
                <w:szCs w:val="28"/>
              </w:rPr>
              <w:t>u</w:t>
            </w:r>
            <w:r w:rsidRPr="00E9053E">
              <w:rPr>
                <w:rFonts w:ascii="Times New Roman" w:hAnsi="Times New Roman"/>
                <w:sz w:val="28"/>
                <w:szCs w:val="28"/>
              </w:rPr>
              <w:t>.</w:t>
            </w:r>
            <w:r w:rsidR="00707E88" w:rsidRPr="00E9053E">
              <w:rPr>
                <w:rFonts w:ascii="Times New Roman" w:hAnsi="Times New Roman"/>
                <w:sz w:val="28"/>
                <w:szCs w:val="28"/>
              </w:rPr>
              <w:t xml:space="preserve"> Projekts stāsies spēkā Oficiālo publikāciju un tiesiskās informācijas likuma noteiktajā kārtībā</w:t>
            </w:r>
            <w:r w:rsidR="00707E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C4F46" w:rsidRPr="000356D3" w:rsidRDefault="006C4F46" w:rsidP="006C4F4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3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9"/>
        <w:gridCol w:w="2753"/>
        <w:gridCol w:w="5957"/>
      </w:tblGrid>
      <w:tr w:rsidR="006C4F46" w:rsidRPr="000356D3" w:rsidTr="00722286">
        <w:trPr>
          <w:trHeight w:val="656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0356D3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6C4F46" w:rsidRPr="000356D3" w:rsidTr="00722286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0356D3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0356D3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822" w:rsidRPr="0067785F" w:rsidRDefault="006C4F46" w:rsidP="007A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34F">
              <w:rPr>
                <w:rFonts w:ascii="Times New Roman" w:hAnsi="Times New Roman" w:cs="Times New Roman"/>
                <w:sz w:val="28"/>
                <w:szCs w:val="28"/>
              </w:rPr>
              <w:t>Projekts sagatavots saskaņā ar</w:t>
            </w:r>
            <w:r w:rsidR="00BE100D" w:rsidRPr="004E1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26B" w:rsidRPr="004E134F">
              <w:rPr>
                <w:rFonts w:ascii="Times New Roman" w:hAnsi="Times New Roman"/>
                <w:sz w:val="28"/>
                <w:szCs w:val="28"/>
              </w:rPr>
              <w:t xml:space="preserve">Izglītības likuma 14.panta 19.punktu un </w:t>
            </w:r>
            <w:r w:rsidR="00452822" w:rsidRPr="004E134F">
              <w:rPr>
                <w:rFonts w:ascii="Times New Roman" w:hAnsi="Times New Roman"/>
                <w:sz w:val="28"/>
                <w:szCs w:val="28"/>
              </w:rPr>
              <w:t>Augstskolu likuma 63.</w:t>
            </w:r>
            <w:r w:rsidR="00452822" w:rsidRPr="004E134F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="00B8102E">
              <w:rPr>
                <w:rFonts w:ascii="Times New Roman" w:hAnsi="Times New Roman"/>
                <w:sz w:val="28"/>
                <w:szCs w:val="28"/>
                <w:vertAlign w:val="superscript"/>
              </w:rPr>
              <w:t> </w:t>
            </w:r>
            <w:r w:rsidR="00452822" w:rsidRPr="004E134F">
              <w:rPr>
                <w:rFonts w:ascii="Times New Roman" w:hAnsi="Times New Roman"/>
                <w:sz w:val="28"/>
                <w:szCs w:val="28"/>
              </w:rPr>
              <w:t>panta otr</w:t>
            </w:r>
            <w:r w:rsidR="0066326B" w:rsidRPr="004E134F">
              <w:rPr>
                <w:rFonts w:ascii="Times New Roman" w:hAnsi="Times New Roman"/>
                <w:sz w:val="28"/>
                <w:szCs w:val="28"/>
              </w:rPr>
              <w:t>o</w:t>
            </w:r>
            <w:r w:rsidR="00452822" w:rsidRPr="004E134F">
              <w:rPr>
                <w:rFonts w:ascii="Times New Roman" w:hAnsi="Times New Roman"/>
                <w:sz w:val="28"/>
                <w:szCs w:val="28"/>
              </w:rPr>
              <w:t xml:space="preserve"> daļu</w:t>
            </w:r>
            <w:r w:rsidR="002E48CE" w:rsidRPr="004E13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326B" w:rsidRPr="004E134F">
              <w:rPr>
                <w:rFonts w:ascii="Times New Roman" w:hAnsi="Times New Roman" w:cs="Times New Roman"/>
                <w:sz w:val="28"/>
                <w:szCs w:val="28"/>
              </w:rPr>
              <w:t>ņemot</w:t>
            </w:r>
            <w:r w:rsidR="002E48CE" w:rsidRPr="004E134F">
              <w:rPr>
                <w:rFonts w:ascii="Times New Roman" w:hAnsi="Times New Roman" w:cs="Times New Roman"/>
                <w:sz w:val="28"/>
                <w:szCs w:val="28"/>
              </w:rPr>
              <w:t xml:space="preserve"> vērā</w:t>
            </w:r>
            <w:r w:rsidR="007A6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32B" w:rsidRPr="004E134F">
              <w:rPr>
                <w:rFonts w:ascii="Times New Roman" w:hAnsi="Times New Roman" w:cs="Times New Roman"/>
                <w:sz w:val="28"/>
                <w:szCs w:val="28"/>
              </w:rPr>
              <w:t>2018.gada 1.</w:t>
            </w:r>
            <w:r w:rsidR="007A632B">
              <w:rPr>
                <w:rFonts w:ascii="Times New Roman" w:hAnsi="Times New Roman" w:cs="Times New Roman"/>
                <w:sz w:val="28"/>
                <w:szCs w:val="28"/>
              </w:rPr>
              <w:t>februāra</w:t>
            </w:r>
            <w:r w:rsidR="002E48CE" w:rsidRPr="004E1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469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2E48CE" w:rsidRPr="004E134F">
              <w:rPr>
                <w:rFonts w:ascii="Times New Roman" w:hAnsi="Times New Roman" w:cs="Times New Roman"/>
                <w:sz w:val="28"/>
                <w:szCs w:val="28"/>
              </w:rPr>
              <w:t>rozījumus Augstskolu likum</w:t>
            </w:r>
            <w:r w:rsidR="0066326B" w:rsidRPr="004E134F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="002E48CE" w:rsidRPr="004E134F">
              <w:rPr>
                <w:rFonts w:ascii="Times New Roman" w:hAnsi="Times New Roman" w:cs="Times New Roman"/>
                <w:sz w:val="28"/>
                <w:szCs w:val="28"/>
              </w:rPr>
              <w:t>, ka</w:t>
            </w:r>
            <w:r w:rsidR="00E7046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2E48CE" w:rsidRPr="004E134F">
              <w:rPr>
                <w:rFonts w:ascii="Times New Roman" w:hAnsi="Times New Roman" w:cs="Times New Roman"/>
                <w:sz w:val="28"/>
                <w:szCs w:val="28"/>
              </w:rPr>
              <w:t xml:space="preserve"> ir stājušies spēkā 2018.gada</w:t>
            </w:r>
            <w:r w:rsidR="0066326B" w:rsidRPr="004E1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8CE" w:rsidRPr="004E134F">
              <w:rPr>
                <w:rFonts w:ascii="Times New Roman" w:hAnsi="Times New Roman" w:cs="Times New Roman"/>
                <w:sz w:val="28"/>
                <w:szCs w:val="28"/>
              </w:rPr>
              <w:t>1.aprīli</w:t>
            </w:r>
            <w:r w:rsidR="0066326B" w:rsidRPr="004E13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326B" w:rsidRPr="004E134F">
              <w:rPr>
                <w:rFonts w:ascii="Times New Roman" w:hAnsi="Times New Roman"/>
                <w:sz w:val="28"/>
                <w:szCs w:val="28"/>
              </w:rPr>
              <w:t xml:space="preserve">Augstskolu likuma </w:t>
            </w:r>
            <w:r w:rsidR="00682CE2" w:rsidRPr="004E134F">
              <w:rPr>
                <w:rFonts w:ascii="Times New Roman" w:hAnsi="Times New Roman" w:cs="Times New Roman"/>
                <w:bCs/>
                <w:sz w:val="28"/>
                <w:szCs w:val="28"/>
              </w:rPr>
              <w:t>63.</w:t>
            </w:r>
            <w:r w:rsidR="00682CE2" w:rsidRPr="004E13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4</w:t>
            </w:r>
            <w:r w:rsidR="00682CE2" w:rsidRPr="004E13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2E48CE" w:rsidRPr="004E134F">
              <w:rPr>
                <w:rFonts w:ascii="Times New Roman" w:hAnsi="Times New Roman" w:cs="Times New Roman"/>
                <w:bCs/>
                <w:sz w:val="28"/>
                <w:szCs w:val="28"/>
              </w:rPr>
              <w:t>pant</w:t>
            </w:r>
            <w:r w:rsidR="0066326B" w:rsidRPr="004E134F">
              <w:rPr>
                <w:rFonts w:ascii="Times New Roman" w:hAnsi="Times New Roman" w:cs="Times New Roman"/>
                <w:bCs/>
                <w:sz w:val="28"/>
                <w:szCs w:val="28"/>
              </w:rPr>
              <w:t>a otrā daļa</w:t>
            </w:r>
            <w:r w:rsidR="002E48CE" w:rsidRPr="004E1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26B" w:rsidRPr="004E134F">
              <w:rPr>
                <w:rFonts w:ascii="Times New Roman" w:hAnsi="Times New Roman" w:cs="Times New Roman"/>
                <w:sz w:val="28"/>
                <w:szCs w:val="28"/>
              </w:rPr>
              <w:t xml:space="preserve">paredz, </w:t>
            </w:r>
            <w:r w:rsidR="0067785F" w:rsidRPr="004E134F">
              <w:rPr>
                <w:rFonts w:ascii="Times New Roman" w:hAnsi="Times New Roman" w:cs="Times New Roman"/>
                <w:sz w:val="28"/>
                <w:szCs w:val="28"/>
              </w:rPr>
              <w:t>ka p</w:t>
            </w:r>
            <w:r w:rsidR="00682CE2" w:rsidRPr="004E134F">
              <w:rPr>
                <w:rFonts w:ascii="Times New Roman" w:hAnsi="Times New Roman" w:cs="Times New Roman"/>
                <w:sz w:val="28"/>
                <w:szCs w:val="28"/>
              </w:rPr>
              <w:t xml:space="preserve">rofesionālās doktora studiju programmas mākslās galvenos mērķus un uzdevumus, studiju programmas </w:t>
            </w:r>
            <w:proofErr w:type="spellStart"/>
            <w:r w:rsidR="00682CE2" w:rsidRPr="004E134F">
              <w:rPr>
                <w:rFonts w:ascii="Times New Roman" w:hAnsi="Times New Roman" w:cs="Times New Roman"/>
                <w:sz w:val="28"/>
                <w:szCs w:val="28"/>
              </w:rPr>
              <w:t>pamatsaturu</w:t>
            </w:r>
            <w:proofErr w:type="spellEnd"/>
            <w:r w:rsidR="00682CE2" w:rsidRPr="004E134F">
              <w:rPr>
                <w:rFonts w:ascii="Times New Roman" w:hAnsi="Times New Roman" w:cs="Times New Roman"/>
                <w:sz w:val="28"/>
                <w:szCs w:val="28"/>
              </w:rPr>
              <w:t>, iegūtās izglītības vērtēšanas pamatprincipus, kā arī profesionālā doktora grāda mākslās piešķiršanas kārtību nosaka Ministru kabinets.</w:t>
            </w:r>
            <w:r w:rsidR="002E48CE" w:rsidRPr="004E134F">
              <w:rPr>
                <w:rFonts w:ascii="Times New Roman" w:hAnsi="Times New Roman" w:cs="Times New Roman"/>
                <w:sz w:val="28"/>
                <w:szCs w:val="28"/>
              </w:rPr>
              <w:t xml:space="preserve"> Projekts </w:t>
            </w:r>
            <w:r w:rsidR="007A632B">
              <w:rPr>
                <w:rFonts w:ascii="Times New Roman" w:hAnsi="Times New Roman" w:cs="Times New Roman"/>
                <w:sz w:val="28"/>
                <w:szCs w:val="28"/>
              </w:rPr>
              <w:t xml:space="preserve">sagatavots saskaņā ar </w:t>
            </w:r>
            <w:r w:rsidR="002E48CE" w:rsidRPr="004E134F">
              <w:rPr>
                <w:rFonts w:ascii="Times New Roman" w:hAnsi="Times New Roman" w:cs="Times New Roman"/>
                <w:sz w:val="28"/>
                <w:szCs w:val="28"/>
              </w:rPr>
              <w:t>Augstskolu likum</w:t>
            </w:r>
            <w:r w:rsidR="007A632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6326B" w:rsidRPr="004E134F">
              <w:rPr>
                <w:rFonts w:ascii="Times New Roman" w:hAnsi="Times New Roman" w:cs="Times New Roman"/>
                <w:sz w:val="28"/>
                <w:szCs w:val="28"/>
              </w:rPr>
              <w:t xml:space="preserve"> pā</w:t>
            </w:r>
            <w:r w:rsidR="002E48CE" w:rsidRPr="004E134F">
              <w:rPr>
                <w:rFonts w:ascii="Times New Roman" w:hAnsi="Times New Roman" w:cs="Times New Roman"/>
                <w:sz w:val="28"/>
                <w:szCs w:val="28"/>
              </w:rPr>
              <w:t>rejas noteikumu 46.punktu, kas paredz, ka</w:t>
            </w:r>
            <w:r w:rsidR="00EE5409" w:rsidRPr="004E134F">
              <w:rPr>
                <w:rFonts w:ascii="Times New Roman" w:hAnsi="Times New Roman" w:cs="Times New Roman"/>
                <w:sz w:val="28"/>
                <w:szCs w:val="28"/>
              </w:rPr>
              <w:t xml:space="preserve"> Ministru kabinets līdz 2018.gada 30.novembrim izdod šā likuma 63.</w:t>
            </w:r>
            <w:r w:rsidR="0066326B" w:rsidRPr="004E134F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="00EE5409" w:rsidRPr="004E134F">
              <w:rPr>
                <w:rFonts w:ascii="Times New Roman" w:hAnsi="Times New Roman" w:cs="Times New Roman"/>
                <w:sz w:val="28"/>
                <w:szCs w:val="28"/>
              </w:rPr>
              <w:t> panta otrajā daļā minētos Ministru kabineta noteikumus</w:t>
            </w:r>
            <w:r w:rsidR="00EE5409" w:rsidRPr="00EE5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4F46" w:rsidRPr="000356D3" w:rsidTr="00722286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0356D3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0356D3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Pašreizējā situācija un problēmas, kuru </w:t>
            </w: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risināšanai tiesību akta projekts izstrādāts, tiesiskā regulējuma mērķis un būtība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74F" w:rsidRDefault="00055242" w:rsidP="00B1674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390481">
              <w:rPr>
                <w:rFonts w:ascii="Times New Roman" w:hAnsi="Times New Roman"/>
                <w:sz w:val="28"/>
                <w:szCs w:val="28"/>
              </w:rPr>
              <w:lastRenderedPageBreak/>
              <w:t>Līdz</w:t>
            </w:r>
            <w:r w:rsidR="000971D1" w:rsidRPr="00390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2BD" w:rsidRPr="00390481">
              <w:rPr>
                <w:rFonts w:ascii="Times New Roman" w:hAnsi="Times New Roman"/>
                <w:sz w:val="28"/>
                <w:szCs w:val="28"/>
              </w:rPr>
              <w:t>2018.gada 1.aprīlim, pirms likuma „Grozījumi Augstskolu likumā” stāšanās spēkā,</w:t>
            </w:r>
            <w:r w:rsidR="005512BD" w:rsidRPr="00390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1D1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lastRenderedPageBreak/>
              <w:t>Latvijā</w:t>
            </w:r>
            <w:r w:rsidR="005B491E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nebija </w:t>
            </w:r>
            <w:r w:rsidR="005B491E">
              <w:rPr>
                <w:rFonts w:ascii="Times New Roman" w:hAnsi="Times New Roman"/>
                <w:sz w:val="28"/>
                <w:szCs w:val="28"/>
              </w:rPr>
              <w:t>iespējams</w:t>
            </w:r>
            <w:r w:rsidR="005B491E" w:rsidRPr="00E9053E">
              <w:rPr>
                <w:rFonts w:ascii="Times New Roman" w:hAnsi="Times New Roman"/>
                <w:sz w:val="28"/>
                <w:szCs w:val="28"/>
              </w:rPr>
              <w:t xml:space="preserve"> uzsākt profesionālā doktora studiju mākslās ieviešanu</w:t>
            </w:r>
            <w:r w:rsidR="00722286">
              <w:rPr>
                <w:rFonts w:ascii="Times New Roman" w:hAnsi="Times New Roman"/>
                <w:sz w:val="28"/>
                <w:szCs w:val="28"/>
              </w:rPr>
              <w:t>, kā arī</w:t>
            </w:r>
            <w:proofErr w:type="gramStart"/>
            <w:r w:rsidR="0072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4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722286">
              <w:rPr>
                <w:rFonts w:ascii="Times New Roman" w:hAnsi="Times New Roman"/>
                <w:sz w:val="28"/>
                <w:szCs w:val="28"/>
                <w:lang w:eastAsia="lv-LV"/>
              </w:rPr>
              <w:t>p</w:t>
            </w:r>
            <w:r w:rsidR="005B491E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>rofesionāl</w:t>
            </w:r>
            <w:r w:rsidR="005B491E">
              <w:rPr>
                <w:rFonts w:ascii="Times New Roman" w:hAnsi="Times New Roman"/>
                <w:sz w:val="28"/>
                <w:szCs w:val="28"/>
                <w:lang w:eastAsia="lv-LV"/>
              </w:rPr>
              <w:t>ās</w:t>
            </w:r>
            <w:r w:rsidR="005B491E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doktora līmeņa studijas </w:t>
            </w:r>
            <w:r w:rsidR="002F0B7E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>nebija pieejamas</w:t>
            </w:r>
            <w:r w:rsidR="005E695A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>.</w:t>
            </w:r>
            <w:r w:rsidR="000971D1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C44238"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Pašlaik </w:t>
            </w:r>
            <w:r w:rsidR="005B491E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kultūras un </w:t>
            </w:r>
            <w:r w:rsidR="00C44238"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>mākslas augstskolu absolventi, kuri vēla</w:t>
            </w:r>
            <w:r w:rsidR="00936893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s turpināt studijas </w:t>
            </w:r>
            <w:r w:rsidR="00C44238"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>profesionāl</w:t>
            </w:r>
            <w:r w:rsidR="00936893">
              <w:rPr>
                <w:rFonts w:ascii="Times New Roman" w:hAnsi="Times New Roman"/>
                <w:sz w:val="28"/>
                <w:szCs w:val="28"/>
                <w:lang w:eastAsia="lv-LV"/>
              </w:rPr>
              <w:t>aj</w:t>
            </w:r>
            <w:r w:rsidR="00C44238"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ās doktora studiju programmās mākslās, aizplūst no Latvijas un savu karjeru veido ārpus Latvijas robežām. </w:t>
            </w:r>
            <w:r w:rsidR="00FD3AA0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Pirms likuma </w:t>
            </w:r>
            <w:r w:rsidR="00FD3AA0" w:rsidRPr="00390481">
              <w:rPr>
                <w:rFonts w:ascii="Times New Roman" w:hAnsi="Times New Roman"/>
                <w:sz w:val="28"/>
                <w:szCs w:val="28"/>
              </w:rPr>
              <w:t>„Grozījumi Augstskolu likumā”</w:t>
            </w:r>
            <w:r w:rsidR="00FD3AA0">
              <w:rPr>
                <w:rFonts w:ascii="Times New Roman" w:hAnsi="Times New Roman"/>
                <w:sz w:val="28"/>
                <w:szCs w:val="28"/>
              </w:rPr>
              <w:t xml:space="preserve"> stāšanās spēkā</w:t>
            </w:r>
            <w:r w:rsidR="00FD3AA0" w:rsidRPr="00390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AA0">
              <w:rPr>
                <w:rFonts w:ascii="Times New Roman" w:hAnsi="Times New Roman"/>
                <w:sz w:val="28"/>
                <w:szCs w:val="28"/>
                <w:lang w:eastAsia="lv-LV"/>
              </w:rPr>
              <w:t>Latvijā nebija izstrādāts</w:t>
            </w:r>
            <w:r w:rsidR="00730529"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tiesiskais regulējums</w:t>
            </w:r>
            <w:r w:rsidR="00FD3AA0">
              <w:rPr>
                <w:rFonts w:ascii="Times New Roman" w:hAnsi="Times New Roman"/>
                <w:sz w:val="28"/>
                <w:szCs w:val="28"/>
                <w:lang w:eastAsia="lv-LV"/>
              </w:rPr>
              <w:t>, kas</w:t>
            </w:r>
            <w:r w:rsidR="00730529"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Latvijas kultūras un mākslas augstskolām </w:t>
            </w:r>
            <w:r w:rsidR="00FD3AA0">
              <w:rPr>
                <w:rFonts w:ascii="Times New Roman" w:hAnsi="Times New Roman"/>
                <w:sz w:val="28"/>
                <w:szCs w:val="28"/>
                <w:lang w:eastAsia="lv-LV"/>
              </w:rPr>
              <w:t>dotu</w:t>
            </w:r>
            <w:r w:rsidR="00730529"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iespēju vienlīdzīgi un konkurētspējīgi iesaistīties Eiropas augstskolu tīkla aktivitātēs</w:t>
            </w:r>
            <w:r w:rsidR="00730529">
              <w:rPr>
                <w:rFonts w:ascii="Times New Roman" w:hAnsi="Times New Roman"/>
                <w:sz w:val="28"/>
                <w:szCs w:val="28"/>
                <w:lang w:eastAsia="lv-LV"/>
              </w:rPr>
              <w:t>.</w:t>
            </w:r>
            <w:r w:rsidR="00566705"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Profesionālā doktora grāda mākslās iegūšana tiek nodrošināta daudzās Eiropas valstīs (piemēram, Lielbritānijā, Francijā, Itālijā, Somijā, Norvēģijā, Lietuvā</w:t>
            </w:r>
            <w:r w:rsidR="00566705">
              <w:rPr>
                <w:rFonts w:ascii="Times New Roman" w:hAnsi="Times New Roman"/>
                <w:sz w:val="28"/>
                <w:szCs w:val="28"/>
                <w:lang w:eastAsia="lv-LV"/>
              </w:rPr>
              <w:t>, Igaunijā</w:t>
            </w:r>
            <w:r w:rsidR="00566705"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u.c.). Profesionālais doktora grāds mākslās ir nozīmīgs augstskolas absolventa konkurētspējas un kvalifikācijas līmeņa rādītājs Latvijas un starptautiskajā darba tirgū profesionālajās jomās</w:t>
            </w:r>
            <w:r w:rsidR="00566705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mākslās</w:t>
            </w:r>
            <w:r w:rsidR="00566705"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>, īpaši</w:t>
            </w:r>
            <w:r w:rsidR="00566705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566705"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>– mūzikā un skatuves mākslā,</w:t>
            </w:r>
            <w:r w:rsidR="00566705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dizainā,</w:t>
            </w:r>
            <w:r w:rsidR="00566705"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vizuāli plastiskajā mākslā, audiovizuālajā mākslā un mediju mākslā</w:t>
            </w:r>
            <w:r w:rsidR="00566705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u.c</w:t>
            </w:r>
            <w:r w:rsidR="00CE39E2">
              <w:rPr>
                <w:rFonts w:ascii="Times New Roman" w:hAnsi="Times New Roman"/>
                <w:sz w:val="28"/>
                <w:szCs w:val="28"/>
                <w:lang w:eastAsia="lv-LV"/>
              </w:rPr>
              <w:t>.</w:t>
            </w:r>
          </w:p>
          <w:p w:rsidR="00B1674F" w:rsidRDefault="00807886" w:rsidP="00B1674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Nepieciešamību veikt izmaiņas tiesiskajā regulējumā nosaka </w:t>
            </w:r>
            <w:r w:rsidRPr="00865A32">
              <w:rPr>
                <w:rFonts w:ascii="Times New Roman" w:hAnsi="Times New Roman"/>
                <w:sz w:val="28"/>
                <w:szCs w:val="28"/>
              </w:rPr>
              <w:t>Kultūrpolitikas pamatnostādnes 2014. – 2020.gadam „Radošā Latvija”</w:t>
            </w:r>
            <w:r>
              <w:rPr>
                <w:rStyle w:val="Vresatsauce"/>
                <w:rFonts w:ascii="Times New Roman" w:hAnsi="Times New Roman"/>
                <w:sz w:val="28"/>
                <w:szCs w:val="28"/>
              </w:rPr>
              <w:footnoteReference w:id="1"/>
            </w:r>
            <w:r w:rsidRPr="00865A32">
              <w:rPr>
                <w:rFonts w:ascii="Times New Roman" w:hAnsi="Times New Roman"/>
                <w:sz w:val="28"/>
                <w:szCs w:val="28"/>
              </w:rPr>
              <w:t xml:space="preserve"> 3.rīcības virziena „Konkurētspējīga augstākā izglī</w:t>
            </w:r>
            <w:r>
              <w:rPr>
                <w:rFonts w:ascii="Times New Roman" w:hAnsi="Times New Roman"/>
                <w:sz w:val="28"/>
                <w:szCs w:val="28"/>
              </w:rPr>
              <w:t>tība un pētniecība” 3.1.uzdevuma</w:t>
            </w:r>
            <w:r w:rsidRPr="00865A32">
              <w:rPr>
                <w:rFonts w:ascii="Times New Roman" w:hAnsi="Times New Roman"/>
                <w:sz w:val="28"/>
                <w:szCs w:val="28"/>
              </w:rPr>
              <w:t xml:space="preserve"> „Nodrošināt starptautiski konkurētspējīgas augstākās izglītības piedāvājumu kultūras nozarēs” 3.1.4.apakšpunkt</w:t>
            </w:r>
            <w:r>
              <w:rPr>
                <w:rFonts w:ascii="Times New Roman" w:hAnsi="Times New Roman"/>
                <w:sz w:val="28"/>
                <w:szCs w:val="28"/>
              </w:rPr>
              <w:t>s, kas paredz</w:t>
            </w:r>
            <w:r w:rsidR="005B491E">
              <w:rPr>
                <w:rFonts w:ascii="Times New Roman" w:hAnsi="Times New Roman"/>
                <w:sz w:val="28"/>
                <w:szCs w:val="28"/>
              </w:rPr>
              <w:t xml:space="preserve"> īstenot šādu pasākumu: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A32">
              <w:rPr>
                <w:rFonts w:ascii="Times New Roman" w:hAnsi="Times New Roman"/>
                <w:sz w:val="28"/>
                <w:szCs w:val="28"/>
              </w:rPr>
              <w:t>„Izvērtēt iespēju sagatavot priekšlikumus grozījumiem normatīvajos aktos, nodrošinot iespēju iegūt trīs līmeņu augstāko mākslas izglītību visās mākslu studiju jomās”.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Arī Pasaules Bankas 2016.gada pētījumā „</w:t>
            </w:r>
            <w:r w:rsidR="0057655B" w:rsidRPr="0057655B">
              <w:rPr>
                <w:rFonts w:ascii="Times New Roman" w:hAnsi="Times New Roman"/>
                <w:sz w:val="28"/>
                <w:szCs w:val="28"/>
                <w:lang w:eastAsia="lv-LV"/>
              </w:rPr>
              <w:t>Doktora līmeņa studijas un promocijas sistēma Latvijā” ir minēta profesionālās jeb „praktiskās”</w:t>
            </w:r>
            <w:r w:rsidR="00EC156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57655B" w:rsidRPr="0057655B">
              <w:rPr>
                <w:rFonts w:ascii="Times New Roman" w:hAnsi="Times New Roman"/>
                <w:sz w:val="28"/>
                <w:szCs w:val="28"/>
                <w:lang w:eastAsia="lv-LV"/>
              </w:rPr>
              <w:t>doktorantūras attīstība</w:t>
            </w:r>
            <w:r w:rsidR="0057655B" w:rsidRPr="0057655B">
              <w:rPr>
                <w:rStyle w:val="Vresatsauce"/>
                <w:bCs/>
                <w:sz w:val="28"/>
                <w:szCs w:val="28"/>
              </w:rPr>
              <w:footnoteReference w:id="2"/>
            </w:r>
            <w:r w:rsidR="0057655B" w:rsidRPr="0057655B">
              <w:rPr>
                <w:bCs/>
                <w:sz w:val="28"/>
                <w:szCs w:val="28"/>
              </w:rPr>
              <w:t xml:space="preserve">, </w:t>
            </w:r>
            <w:r w:rsidR="0057655B" w:rsidRPr="00CE39E2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tostarp arī mākslas jomā</w:t>
            </w:r>
            <w:r w:rsidRPr="00CE39E2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</w:t>
            </w:r>
            <w:r w:rsidR="0057655B" w:rsidRPr="00CE39E2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:rsidR="00B1674F" w:rsidRDefault="00807886" w:rsidP="00B1674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CE39E2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Esošais regulējums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ierobežo Latvijas kultūras un mākslas augstskolu un tajās studējošo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lastRenderedPageBreak/>
              <w:t>tiesības un vajadzības iegūt profesionāl</w:t>
            </w:r>
            <w:r w:rsidR="00284273">
              <w:rPr>
                <w:rFonts w:ascii="Times New Roman" w:hAnsi="Times New Roman"/>
                <w:sz w:val="28"/>
                <w:szCs w:val="28"/>
                <w:lang w:eastAsia="lv-LV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doktora grādu mākslās, ko ir </w:t>
            </w:r>
            <w:r w:rsidR="006D39D6">
              <w:rPr>
                <w:rFonts w:ascii="Times New Roman" w:hAnsi="Times New Roman"/>
                <w:sz w:val="28"/>
                <w:szCs w:val="28"/>
                <w:lang w:eastAsia="lv-LV"/>
              </w:rPr>
              <w:t>paudusi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gan Latvijas Mākslas augstskolu asociācija, gan Latvijas Studentu apvienība.</w:t>
            </w:r>
          </w:p>
          <w:p w:rsidR="00B1674F" w:rsidRDefault="00C44238" w:rsidP="00B1674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Profesionālais doktora grāds mākslās </w:t>
            </w:r>
            <w:r w:rsidR="00722286"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dos iespēju Latvijā apgūt trešā līmeņa </w:t>
            </w:r>
            <w:r w:rsidR="00722286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(doktora) profesionālās </w:t>
            </w:r>
            <w:r w:rsidR="00722286"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>studiju programmas mākslās</w:t>
            </w:r>
            <w:r w:rsidR="00722286">
              <w:rPr>
                <w:rFonts w:ascii="Times New Roman" w:hAnsi="Times New Roman"/>
                <w:sz w:val="28"/>
                <w:szCs w:val="28"/>
                <w:lang w:eastAsia="lv-LV"/>
              </w:rPr>
              <w:t>, kā arī</w:t>
            </w:r>
            <w:r w:rsidR="00722286"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>veicinās Latvijas kultūras un mākslas augstskolās studējošo konkurētspēju</w:t>
            </w:r>
            <w:r w:rsidR="00722286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gan Latvijā, gan</w:t>
            </w:r>
            <w:r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starptautiskā vidē.</w:t>
            </w:r>
            <w:r w:rsidR="00730529"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Tādējādi tiks ievērots Boloņas procesā noteiktais par trešo studiju ciklu – doktora studiju programmām kā integrālu augstākās izglītības sastāvdaļu.</w:t>
            </w:r>
            <w:r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Profesionālā doktora grāda iegūšanas iespējas mākslās </w:t>
            </w:r>
            <w:r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>veicinā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s</w:t>
            </w:r>
            <w:r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augstākās izglītības kvalitāti, konkurētspēju un eksportspēju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, kā arī dos iespēju</w:t>
            </w:r>
            <w:r w:rsidRPr="00865A3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iekļauties Eiropas kopējā augstākās izglītības telpā, harmonizējot mākslas jomu studijas Latvijā ar tuvākajās Eiropas Savienības valstīs īstenotajām augstākās izglītības studijām.</w:t>
            </w:r>
          </w:p>
          <w:p w:rsidR="00B1674F" w:rsidRDefault="00FE64BF" w:rsidP="00B1674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>L</w:t>
            </w:r>
            <w:r w:rsidR="00B574CA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>ī</w:t>
            </w:r>
            <w:r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>dz ar to,</w:t>
            </w:r>
            <w:r w:rsidR="005512BD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lai būtu iespējams</w:t>
            </w:r>
            <w:r w:rsidR="00BD72AE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uzsākt</w:t>
            </w:r>
            <w:r w:rsidR="00C36C58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profesionālo</w:t>
            </w:r>
            <w:r w:rsidR="005E695A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doktora līmeņa studiju mākslās</w:t>
            </w:r>
            <w:r w:rsidR="00BD72AE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ieviešanu</w:t>
            </w:r>
            <w:r w:rsidR="005E695A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>,</w:t>
            </w:r>
            <w:r w:rsidR="00BD72AE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2F0B7E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>ir nepieciešams</w:t>
            </w:r>
            <w:r w:rsidR="000971D1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7A214B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atbilstošs </w:t>
            </w:r>
            <w:r w:rsidR="000971D1" w:rsidRPr="00390481">
              <w:rPr>
                <w:rFonts w:ascii="Times New Roman" w:hAnsi="Times New Roman"/>
                <w:sz w:val="28"/>
                <w:szCs w:val="28"/>
              </w:rPr>
              <w:t>tiesiskais regulējums</w:t>
            </w:r>
            <w:r w:rsidR="007A214B" w:rsidRPr="00390481">
              <w:rPr>
                <w:rFonts w:ascii="Times New Roman" w:hAnsi="Times New Roman"/>
                <w:sz w:val="28"/>
                <w:szCs w:val="28"/>
              </w:rPr>
              <w:t>.</w:t>
            </w:r>
            <w:r w:rsidR="00F001A1">
              <w:rPr>
                <w:rFonts w:ascii="Times New Roman" w:hAnsi="Times New Roman"/>
                <w:sz w:val="28"/>
                <w:szCs w:val="28"/>
              </w:rPr>
              <w:t xml:space="preserve"> Projekts</w:t>
            </w:r>
            <w:r w:rsidR="000971D1" w:rsidRPr="003904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ir nepieciešam</w:t>
            </w:r>
            <w:r w:rsidR="00F001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</w:t>
            </w:r>
            <w:r w:rsidR="000971D1" w:rsidRPr="003904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lai</w:t>
            </w:r>
            <w:r w:rsidR="005512BD" w:rsidRPr="003904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augstskolās</w:t>
            </w:r>
            <w:r w:rsidR="000971D1" w:rsidRPr="003904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nodrošinātu </w:t>
            </w:r>
            <w:r w:rsidR="000971D1" w:rsidRPr="00390481">
              <w:rPr>
                <w:rFonts w:ascii="Times New Roman" w:hAnsi="Times New Roman"/>
                <w:sz w:val="28"/>
                <w:szCs w:val="28"/>
              </w:rPr>
              <w:t xml:space="preserve">profesionālo doktora studiju </w:t>
            </w:r>
            <w:r w:rsidR="000971D1" w:rsidRPr="00F001A1">
              <w:rPr>
                <w:rFonts w:ascii="Times New Roman" w:hAnsi="Times New Roman"/>
                <w:sz w:val="28"/>
                <w:szCs w:val="28"/>
              </w:rPr>
              <w:t>programmu</w:t>
            </w:r>
            <w:r w:rsidR="005E695A" w:rsidRPr="00F00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F0B">
              <w:rPr>
                <w:rFonts w:ascii="Times New Roman" w:hAnsi="Times New Roman"/>
                <w:sz w:val="28"/>
                <w:szCs w:val="28"/>
              </w:rPr>
              <w:t xml:space="preserve">mākslās </w:t>
            </w:r>
            <w:r w:rsidR="005E695A" w:rsidRPr="00F001A1">
              <w:rPr>
                <w:rFonts w:ascii="Times New Roman" w:hAnsi="Times New Roman"/>
                <w:sz w:val="28"/>
                <w:szCs w:val="28"/>
              </w:rPr>
              <w:t>izstrādi</w:t>
            </w:r>
            <w:r w:rsidR="00B574CA" w:rsidRPr="00F001A1">
              <w:rPr>
                <w:rFonts w:ascii="Times New Roman" w:hAnsi="Times New Roman"/>
                <w:sz w:val="28"/>
                <w:szCs w:val="28"/>
              </w:rPr>
              <w:t xml:space="preserve"> un ieviešanu</w:t>
            </w:r>
            <w:r w:rsidR="005B491E">
              <w:rPr>
                <w:rFonts w:ascii="Times New Roman" w:hAnsi="Times New Roman"/>
                <w:sz w:val="28"/>
                <w:szCs w:val="28"/>
              </w:rPr>
              <w:t>, kā arī</w:t>
            </w:r>
            <w:r w:rsidR="00676084" w:rsidRPr="00F00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952">
              <w:rPr>
                <w:rFonts w:ascii="Times New Roman" w:hAnsi="Times New Roman"/>
                <w:sz w:val="28"/>
                <w:szCs w:val="28"/>
              </w:rPr>
              <w:t>noteiktu</w:t>
            </w:r>
            <w:r w:rsidR="00676084" w:rsidRPr="00F001A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676084" w:rsidRPr="00F001A1">
              <w:rPr>
                <w:rFonts w:ascii="Times New Roman" w:hAnsi="Times New Roman"/>
                <w:sz w:val="28"/>
                <w:szCs w:val="28"/>
              </w:rPr>
              <w:t>profesionālā</w:t>
            </w:r>
            <w:r w:rsidR="00676084" w:rsidRPr="00390481">
              <w:rPr>
                <w:rFonts w:ascii="Times New Roman" w:hAnsi="Times New Roman"/>
                <w:sz w:val="28"/>
                <w:szCs w:val="28"/>
              </w:rPr>
              <w:t xml:space="preserve"> doktora grāda mākslās piešķiršanas kārtību</w:t>
            </w:r>
            <w:r w:rsidR="007A214B" w:rsidRPr="003904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674F" w:rsidRDefault="00610471" w:rsidP="00B1674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Saskaņā ar</w:t>
            </w:r>
            <w:r w:rsidR="003247A6">
              <w:rPr>
                <w:rFonts w:ascii="Times New Roman" w:hAnsi="Times New Roman"/>
                <w:sz w:val="28"/>
                <w:szCs w:val="28"/>
              </w:rPr>
              <w:t xml:space="preserve"> Projekta </w:t>
            </w:r>
            <w:r w:rsidR="007B7867">
              <w:rPr>
                <w:rFonts w:ascii="Times New Roman" w:hAnsi="Times New Roman"/>
                <w:sz w:val="28"/>
                <w:szCs w:val="28"/>
              </w:rPr>
              <w:t>no</w:t>
            </w:r>
            <w:r w:rsidR="003247A6">
              <w:rPr>
                <w:rFonts w:ascii="Times New Roman" w:hAnsi="Times New Roman"/>
                <w:sz w:val="28"/>
                <w:szCs w:val="28"/>
              </w:rPr>
              <w:t>daļas „I</w:t>
            </w:r>
            <w:r w:rsidR="003247A6" w:rsidRPr="003247A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247A6">
              <w:rPr>
                <w:rFonts w:ascii="Times New Roman" w:hAnsi="Times New Roman"/>
                <w:sz w:val="28"/>
                <w:szCs w:val="28"/>
              </w:rPr>
              <w:t>Vispār</w:t>
            </w:r>
            <w:r w:rsidR="00F1783A">
              <w:rPr>
                <w:rFonts w:ascii="Times New Roman" w:hAnsi="Times New Roman"/>
                <w:sz w:val="28"/>
                <w:szCs w:val="28"/>
              </w:rPr>
              <w:t>īgie</w:t>
            </w:r>
            <w:r w:rsidR="00324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783A">
              <w:rPr>
                <w:rFonts w:ascii="Times New Roman" w:hAnsi="Times New Roman"/>
                <w:sz w:val="28"/>
                <w:szCs w:val="28"/>
              </w:rPr>
              <w:t>jautājumi</w:t>
            </w:r>
            <w:r w:rsidR="003247A6" w:rsidRPr="003247A6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="003247A6">
              <w:rPr>
                <w:rFonts w:ascii="Times New Roman" w:hAnsi="Times New Roman"/>
                <w:sz w:val="28"/>
                <w:szCs w:val="28"/>
              </w:rPr>
              <w:t>1</w:t>
            </w:r>
            <w:r w:rsidR="003247A6" w:rsidRPr="003247A6">
              <w:rPr>
                <w:rFonts w:ascii="Times New Roman" w:hAnsi="Times New Roman"/>
                <w:sz w:val="28"/>
                <w:szCs w:val="28"/>
              </w:rPr>
              <w:t>.punkt</w:t>
            </w:r>
            <w:r>
              <w:rPr>
                <w:rFonts w:ascii="Times New Roman" w:hAnsi="Times New Roman"/>
                <w:sz w:val="28"/>
                <w:szCs w:val="28"/>
              </w:rPr>
              <w:t>u</w:t>
            </w:r>
            <w:r w:rsidR="00324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šie</w:t>
            </w:r>
            <w:r w:rsidR="00AB5BD0">
              <w:rPr>
                <w:rFonts w:ascii="Times New Roman" w:hAnsi="Times New Roman"/>
                <w:sz w:val="28"/>
                <w:szCs w:val="28"/>
              </w:rPr>
              <w:t xml:space="preserve"> noteikumi</w:t>
            </w:r>
            <w:r w:rsidR="00324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BD0">
              <w:rPr>
                <w:rFonts w:ascii="Times New Roman" w:hAnsi="Times New Roman"/>
                <w:sz w:val="28"/>
                <w:szCs w:val="28"/>
              </w:rPr>
              <w:t xml:space="preserve">nosaka </w:t>
            </w:r>
            <w:r w:rsidR="00021BC8" w:rsidRPr="00390481">
              <w:rPr>
                <w:rFonts w:ascii="Times New Roman" w:hAnsi="Times New Roman"/>
                <w:sz w:val="28"/>
                <w:szCs w:val="28"/>
              </w:rPr>
              <w:t>profesionālā doktora grāda mākslās profesionālās augstākās izglītības valsts standartu</w:t>
            </w:r>
            <w:r w:rsidR="00021BC8" w:rsidRPr="003247A6">
              <w:rPr>
                <w:rFonts w:ascii="Times New Roman" w:hAnsi="Times New Roman"/>
                <w:sz w:val="28"/>
                <w:szCs w:val="28"/>
              </w:rPr>
              <w:t xml:space="preserve">, kas ietver profesionālās doktora studiju programmas mākslās galvenos mērķus un uzdevumus, studiju programmas </w:t>
            </w:r>
            <w:proofErr w:type="spellStart"/>
            <w:r w:rsidR="00021BC8" w:rsidRPr="003247A6">
              <w:rPr>
                <w:rFonts w:ascii="Times New Roman" w:hAnsi="Times New Roman"/>
                <w:sz w:val="28"/>
                <w:szCs w:val="28"/>
              </w:rPr>
              <w:t>pamatsaturu</w:t>
            </w:r>
            <w:proofErr w:type="spellEnd"/>
            <w:r w:rsidR="00021BC8" w:rsidRPr="003247A6">
              <w:rPr>
                <w:rFonts w:ascii="Times New Roman" w:hAnsi="Times New Roman"/>
                <w:sz w:val="28"/>
                <w:szCs w:val="28"/>
              </w:rPr>
              <w:t xml:space="preserve"> un studiju programmas apguves vērtēšanas pamatprincipus</w:t>
            </w:r>
            <w:r w:rsidR="00345B77" w:rsidRPr="003247A6">
              <w:rPr>
                <w:rFonts w:ascii="Times New Roman" w:hAnsi="Times New Roman"/>
                <w:sz w:val="28"/>
                <w:szCs w:val="28"/>
              </w:rPr>
              <w:t>, kā arī profesionālā doktora grāda mākslās piešķiršanas kārtīb</w:t>
            </w:r>
            <w:r w:rsidR="00E0043F">
              <w:rPr>
                <w:rFonts w:ascii="Times New Roman" w:hAnsi="Times New Roman"/>
                <w:sz w:val="28"/>
                <w:szCs w:val="28"/>
              </w:rPr>
              <w:t>u</w:t>
            </w:r>
            <w:r w:rsidR="00345B77" w:rsidRPr="003247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6AE2" w:rsidRPr="003247A6" w:rsidRDefault="003247A6" w:rsidP="00B1674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7A6">
              <w:rPr>
                <w:rFonts w:ascii="Times New Roman" w:hAnsi="Times New Roman"/>
                <w:sz w:val="28"/>
                <w:szCs w:val="28"/>
              </w:rPr>
              <w:t xml:space="preserve">Projektā </w:t>
            </w:r>
            <w:r w:rsidR="008E68DA">
              <w:rPr>
                <w:rFonts w:ascii="Times New Roman" w:hAnsi="Times New Roman"/>
                <w:sz w:val="28"/>
                <w:szCs w:val="28"/>
              </w:rPr>
              <w:t>no</w:t>
            </w:r>
            <w:r w:rsidRPr="003247A6">
              <w:rPr>
                <w:rFonts w:ascii="Times New Roman" w:hAnsi="Times New Roman"/>
                <w:sz w:val="28"/>
                <w:szCs w:val="28"/>
              </w:rPr>
              <w:t>daļas „II. Studiju programmas stratēģiskais mērķis un uzdevumi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Pr="003247A6">
              <w:rPr>
                <w:rFonts w:ascii="Times New Roman" w:hAnsi="Times New Roman"/>
                <w:sz w:val="28"/>
                <w:szCs w:val="28"/>
              </w:rPr>
              <w:t>3.punkts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nosaka,</w:t>
            </w:r>
            <w:r w:rsidR="007A214B" w:rsidRPr="003247A6">
              <w:rPr>
                <w:rFonts w:ascii="Times New Roman" w:hAnsi="Times New Roman"/>
                <w:sz w:val="28"/>
                <w:szCs w:val="28"/>
              </w:rPr>
              <w:t xml:space="preserve"> ka </w:t>
            </w:r>
            <w:r w:rsidR="00452822" w:rsidRPr="003247A6">
              <w:rPr>
                <w:rFonts w:ascii="Times New Roman" w:hAnsi="Times New Roman"/>
                <w:sz w:val="28"/>
                <w:szCs w:val="28"/>
              </w:rPr>
              <w:t xml:space="preserve">studiju programmu stratēģiskais mērķis ir nodrošināt kultūras, sabiedrības un sociālajām vajadzībām atbilstošas, mākslinieciskajā jaunradē </w:t>
            </w:r>
            <w:r w:rsidR="00452822" w:rsidRPr="003247A6">
              <w:rPr>
                <w:rFonts w:ascii="Times New Roman" w:hAnsi="Times New Roman"/>
                <w:sz w:val="28"/>
                <w:szCs w:val="28"/>
              </w:rPr>
              <w:lastRenderedPageBreak/>
              <w:t>un zinātnē balstītas, kā arī mākslinieciskajā praksē piemērojamas profesionālās studijas, kuru rezultātā tiek iegūtas zinātniskā pētniecībā balstītu mākslinieciski augstvērtīgu darbu veidošanas prasmes un attīstītas praktiskas iemaņas unikālu māksliniecisku ideju īstenošanā</w:t>
            </w:r>
            <w:r w:rsidR="00676084" w:rsidRPr="003247A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Savukārt</w:t>
            </w:r>
            <w:r w:rsidRPr="00324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AAC">
              <w:rPr>
                <w:rFonts w:ascii="Times New Roman" w:hAnsi="Times New Roman"/>
                <w:sz w:val="28"/>
                <w:szCs w:val="28"/>
              </w:rPr>
              <w:t xml:space="preserve">Projekta </w:t>
            </w:r>
            <w:r w:rsidR="008E68DA">
              <w:rPr>
                <w:rFonts w:ascii="Times New Roman" w:hAnsi="Times New Roman"/>
                <w:sz w:val="28"/>
                <w:szCs w:val="28"/>
              </w:rPr>
              <w:t>no</w:t>
            </w:r>
            <w:r w:rsidRPr="003247A6">
              <w:rPr>
                <w:rFonts w:ascii="Times New Roman" w:hAnsi="Times New Roman"/>
                <w:sz w:val="28"/>
                <w:szCs w:val="28"/>
              </w:rPr>
              <w:t>daļ</w:t>
            </w:r>
            <w:r>
              <w:rPr>
                <w:rFonts w:ascii="Times New Roman" w:hAnsi="Times New Roman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3247A6">
              <w:rPr>
                <w:rFonts w:ascii="Times New Roman" w:hAnsi="Times New Roman"/>
                <w:sz w:val="28"/>
                <w:szCs w:val="28"/>
              </w:rPr>
              <w:t>„II. Studiju programmas stratēģiskais mērķis un uzdevumi</w:t>
            </w:r>
            <w:r>
              <w:rPr>
                <w:rFonts w:ascii="Times New Roman" w:hAnsi="Times New Roman"/>
                <w:sz w:val="28"/>
                <w:szCs w:val="28"/>
              </w:rPr>
              <w:t>” 4</w:t>
            </w:r>
            <w:r w:rsidRPr="003247A6">
              <w:rPr>
                <w:rFonts w:ascii="Times New Roman" w:hAnsi="Times New Roman"/>
                <w:sz w:val="28"/>
                <w:szCs w:val="28"/>
              </w:rPr>
              <w:t>.punkt</w:t>
            </w:r>
            <w:r>
              <w:rPr>
                <w:rFonts w:ascii="Times New Roman" w:hAnsi="Times New Roman"/>
                <w:sz w:val="28"/>
                <w:szCs w:val="28"/>
              </w:rPr>
              <w:t>ā ir iekļauti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</w:t>
            </w:r>
            <w:r w:rsidR="00CB4B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rofesionālās</w:t>
            </w:r>
            <w:r w:rsidR="00AE1D9C" w:rsidRPr="003904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doktora </w:t>
            </w:r>
            <w:r w:rsidR="005624A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studiju programmas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mākslās</w:t>
            </w:r>
            <w:r w:rsidR="005512BD" w:rsidRPr="003904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galvenie uzdevumi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proti</w:t>
            </w:r>
            <w:r w:rsidR="005512BD" w:rsidRPr="003904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:</w:t>
            </w:r>
          </w:p>
          <w:p w:rsidR="0060099D" w:rsidRPr="00606AE2" w:rsidRDefault="00606AE2" w:rsidP="00606AE2">
            <w:pPr>
              <w:spacing w:after="0" w:line="240" w:lineRule="auto"/>
              <w:ind w:firstLine="5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– </w:t>
            </w:r>
            <w:r w:rsidR="00EE5409" w:rsidRPr="00606AE2">
              <w:rPr>
                <w:rFonts w:ascii="Times New Roman" w:eastAsia="Times New Roman" w:hAnsi="Times New Roman"/>
                <w:sz w:val="28"/>
                <w:szCs w:val="28"/>
              </w:rPr>
              <w:t>izglītot studējošos, nodrošinot profesionāl</w:t>
            </w:r>
            <w:r w:rsidR="003B3891">
              <w:rPr>
                <w:rFonts w:ascii="Times New Roman" w:eastAsia="Times New Roman" w:hAnsi="Times New Roman"/>
                <w:sz w:val="28"/>
                <w:szCs w:val="28"/>
              </w:rPr>
              <w:t>ā doktora grāda mākslās ieguvi;</w:t>
            </w:r>
          </w:p>
          <w:p w:rsidR="0060099D" w:rsidRDefault="00606AE2">
            <w:pPr>
              <w:spacing w:after="0" w:line="240" w:lineRule="auto"/>
              <w:ind w:firstLine="5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EE5409" w:rsidRPr="00EE5409">
              <w:rPr>
                <w:rFonts w:ascii="Times New Roman" w:eastAsia="Times New Roman" w:hAnsi="Times New Roman"/>
                <w:sz w:val="28"/>
                <w:szCs w:val="28"/>
              </w:rPr>
              <w:t>sekmēt studējošo izcilību, konkurētspēju mainīgajos sociālekonomiskajos apstākļos Latvijas un starptautiskajā darba tirgū;</w:t>
            </w:r>
          </w:p>
          <w:p w:rsidR="0060099D" w:rsidRDefault="00606AE2">
            <w:pPr>
              <w:spacing w:after="0" w:line="240" w:lineRule="auto"/>
              <w:ind w:firstLine="5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EE5409" w:rsidRPr="00EE5409">
              <w:rPr>
                <w:rFonts w:ascii="Times New Roman" w:eastAsia="Times New Roman" w:hAnsi="Times New Roman"/>
                <w:sz w:val="28"/>
                <w:szCs w:val="28"/>
              </w:rPr>
              <w:t>nodrošināt studiju rezultātu</w:t>
            </w:r>
            <w:r w:rsidR="005B491E">
              <w:rPr>
                <w:rFonts w:ascii="Times New Roman" w:eastAsia="Times New Roman" w:hAnsi="Times New Roman"/>
                <w:sz w:val="28"/>
                <w:szCs w:val="28"/>
              </w:rPr>
              <w:t xml:space="preserve"> (zināšanu, prasmju un kompetenču</w:t>
            </w:r>
            <w:r w:rsidR="00EE5409" w:rsidRPr="00EE5409">
              <w:rPr>
                <w:rFonts w:ascii="Times New Roman" w:eastAsia="Times New Roman" w:hAnsi="Times New Roman"/>
                <w:sz w:val="28"/>
                <w:szCs w:val="28"/>
              </w:rPr>
              <w:t xml:space="preserve">) sasniegšanu atbilstoši Latvijas izglītības klasifikācijā noteiktajām Eiropas kvalifikācijas </w:t>
            </w:r>
            <w:proofErr w:type="spellStart"/>
            <w:r w:rsidR="00EE5409" w:rsidRPr="00EE5409">
              <w:rPr>
                <w:rFonts w:ascii="Times New Roman" w:eastAsia="Times New Roman" w:hAnsi="Times New Roman"/>
                <w:sz w:val="28"/>
                <w:szCs w:val="28"/>
              </w:rPr>
              <w:t>ietvarstruktūras</w:t>
            </w:r>
            <w:proofErr w:type="spellEnd"/>
            <w:r w:rsidR="00EE5409" w:rsidRPr="00EE5409">
              <w:rPr>
                <w:rFonts w:ascii="Times New Roman" w:eastAsia="Times New Roman" w:hAnsi="Times New Roman"/>
                <w:sz w:val="28"/>
                <w:szCs w:val="28"/>
              </w:rPr>
              <w:t xml:space="preserve"> 8.līmenim;</w:t>
            </w:r>
          </w:p>
          <w:p w:rsidR="00B1674F" w:rsidRDefault="00606AE2" w:rsidP="00B1674F">
            <w:pPr>
              <w:spacing w:after="0" w:line="240" w:lineRule="auto"/>
              <w:ind w:firstLine="5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EE5409" w:rsidRPr="00EE5409">
              <w:rPr>
                <w:rFonts w:ascii="Times New Roman" w:eastAsia="Times New Roman" w:hAnsi="Times New Roman"/>
                <w:sz w:val="28"/>
                <w:szCs w:val="28"/>
              </w:rPr>
              <w:t xml:space="preserve">nodrošināt un attīstīt studiju, pētniecības un mākslinieciskās jaunrades darba vienotību, sekmēt izcilību un kvalitāti, konkurētspēju un eksportspēju studējošā izvēlētajā </w:t>
            </w:r>
            <w:r w:rsidR="00920981">
              <w:rPr>
                <w:rFonts w:ascii="Times New Roman" w:eastAsia="Times New Roman" w:hAnsi="Times New Roman"/>
                <w:sz w:val="28"/>
                <w:szCs w:val="28"/>
              </w:rPr>
              <w:t>mākslinieciskās darbības</w:t>
            </w:r>
            <w:r w:rsidR="00920981" w:rsidRPr="00EE54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E5409" w:rsidRPr="00EE5409">
              <w:rPr>
                <w:rFonts w:ascii="Times New Roman" w:eastAsia="Times New Roman" w:hAnsi="Times New Roman"/>
                <w:sz w:val="28"/>
                <w:szCs w:val="28"/>
              </w:rPr>
              <w:t>jomā</w:t>
            </w:r>
            <w:r w:rsidR="0045282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1674F" w:rsidRDefault="00676084" w:rsidP="00B1674F">
            <w:pPr>
              <w:spacing w:after="0" w:line="240" w:lineRule="auto"/>
              <w:ind w:firstLine="553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C82588">
              <w:rPr>
                <w:rFonts w:ascii="Times New Roman" w:eastAsia="Times New Roman" w:hAnsi="Times New Roman"/>
                <w:sz w:val="28"/>
                <w:szCs w:val="28"/>
              </w:rPr>
              <w:t xml:space="preserve">Zinātniskā doktora grāda iegūšanā viens no galvenajiem </w:t>
            </w:r>
            <w:r w:rsidR="005512BD" w:rsidRPr="00C82588">
              <w:rPr>
                <w:rFonts w:ascii="Times New Roman" w:eastAsia="Times New Roman" w:hAnsi="Times New Roman"/>
                <w:sz w:val="28"/>
                <w:szCs w:val="28"/>
              </w:rPr>
              <w:t>priekšnoteikumiem</w:t>
            </w:r>
            <w:r w:rsidRPr="00C82588">
              <w:rPr>
                <w:rFonts w:ascii="Times New Roman" w:eastAsia="Times New Roman" w:hAnsi="Times New Roman"/>
                <w:sz w:val="28"/>
                <w:szCs w:val="28"/>
              </w:rPr>
              <w:t xml:space="preserve"> ir mākslas un kultūras procesu pētniecība, savukārt profesionālā doktora grāda iegūšanai mākslās būtiskākais nosacījums ir mākslinieciskā</w:t>
            </w:r>
            <w:r w:rsidR="002375AA">
              <w:rPr>
                <w:rFonts w:ascii="Times New Roman" w:eastAsia="Times New Roman" w:hAnsi="Times New Roman"/>
                <w:sz w:val="28"/>
                <w:szCs w:val="28"/>
              </w:rPr>
              <w:t>s</w:t>
            </w:r>
            <w:r w:rsidRPr="00C82588">
              <w:rPr>
                <w:rFonts w:ascii="Times New Roman" w:eastAsia="Times New Roman" w:hAnsi="Times New Roman"/>
                <w:sz w:val="28"/>
                <w:szCs w:val="28"/>
              </w:rPr>
              <w:t xml:space="preserve"> jaunrad</w:t>
            </w:r>
            <w:r w:rsidR="009C7952">
              <w:rPr>
                <w:rFonts w:ascii="Times New Roman" w:eastAsia="Times New Roman" w:hAnsi="Times New Roman"/>
                <w:sz w:val="28"/>
                <w:szCs w:val="28"/>
              </w:rPr>
              <w:t>es darbs</w:t>
            </w:r>
            <w:r w:rsidR="007A214B" w:rsidRPr="00C82588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C82588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Tādēļ </w:t>
            </w:r>
            <w:r w:rsidR="00C82588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>iespēja iegūt profesionālo doktora grādu mākslās</w:t>
            </w:r>
            <w:r w:rsidR="00C82588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būs pēc</w:t>
            </w:r>
            <w:r w:rsidR="00C82588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akreditētas profesionālās doktora studiju programmas </w:t>
            </w:r>
            <w:r w:rsidR="0059096F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mākslās </w:t>
            </w:r>
            <w:r w:rsidR="00C82588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apguves, </w:t>
            </w:r>
            <w:r w:rsidR="00C82588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doktora </w:t>
            </w:r>
            <w:r w:rsidR="00C82588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>teorētiskā pētījuma un mākslinieciskās jaunrades darba izstrādes un aizstāvēšanas</w:t>
            </w:r>
            <w:r w:rsidR="00C82588">
              <w:rPr>
                <w:rFonts w:ascii="Times New Roman" w:hAnsi="Times New Roman"/>
                <w:sz w:val="28"/>
                <w:szCs w:val="28"/>
                <w:lang w:eastAsia="lv-LV"/>
              </w:rPr>
              <w:t>,</w:t>
            </w:r>
            <w:r w:rsidR="00C82588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kas demonstrēs izcilību, augsta līmeņa māksliniecisko jaunradi, mākslinieciskos un radošos s</w:t>
            </w:r>
            <w:r w:rsidR="00EF51D4">
              <w:rPr>
                <w:rFonts w:ascii="Times New Roman" w:hAnsi="Times New Roman"/>
                <w:sz w:val="28"/>
                <w:szCs w:val="28"/>
                <w:lang w:eastAsia="lv-LV"/>
              </w:rPr>
              <w:t>as</w:t>
            </w:r>
            <w:r w:rsidR="00C82588"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>nieg</w:t>
            </w:r>
            <w:r w:rsidR="00C82588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umus. </w:t>
            </w:r>
          </w:p>
          <w:p w:rsidR="00B1674F" w:rsidRDefault="00D81515" w:rsidP="00B1674F">
            <w:pPr>
              <w:spacing w:after="0" w:line="240" w:lineRule="auto"/>
              <w:ind w:firstLine="5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15">
              <w:rPr>
                <w:rFonts w:ascii="Times New Roman" w:hAnsi="Times New Roman"/>
                <w:sz w:val="28"/>
                <w:szCs w:val="28"/>
              </w:rPr>
              <w:t xml:space="preserve">Projekta </w:t>
            </w:r>
            <w:r w:rsidR="00573460">
              <w:rPr>
                <w:rFonts w:ascii="Times New Roman" w:hAnsi="Times New Roman"/>
                <w:sz w:val="28"/>
                <w:szCs w:val="28"/>
              </w:rPr>
              <w:t>no</w:t>
            </w:r>
            <w:r w:rsidRPr="00D81515">
              <w:rPr>
                <w:rFonts w:ascii="Times New Roman" w:hAnsi="Times New Roman"/>
                <w:sz w:val="28"/>
                <w:szCs w:val="28"/>
              </w:rPr>
              <w:t>daļas „IV. Studiju programmas apguves vērtēšanas pamatprincip</w:t>
            </w:r>
            <w:r w:rsidR="00555176">
              <w:rPr>
                <w:rFonts w:ascii="Times New Roman" w:hAnsi="Times New Roman"/>
                <w:sz w:val="28"/>
                <w:szCs w:val="28"/>
              </w:rPr>
              <w:t>i” 1</w:t>
            </w:r>
            <w:r w:rsidR="00622EB0">
              <w:rPr>
                <w:rFonts w:ascii="Times New Roman" w:hAnsi="Times New Roman"/>
                <w:sz w:val="28"/>
                <w:szCs w:val="28"/>
              </w:rPr>
              <w:t>3</w:t>
            </w:r>
            <w:r w:rsidR="00555176">
              <w:rPr>
                <w:rFonts w:ascii="Times New Roman" w:hAnsi="Times New Roman"/>
                <w:sz w:val="28"/>
                <w:szCs w:val="28"/>
              </w:rPr>
              <w:t xml:space="preserve">.punktā ir noteikti, kādi </w:t>
            </w:r>
            <w:r w:rsidRPr="00D81515">
              <w:rPr>
                <w:rFonts w:ascii="Times New Roman" w:hAnsi="Times New Roman"/>
                <w:sz w:val="28"/>
                <w:szCs w:val="28"/>
              </w:rPr>
              <w:t xml:space="preserve">pamatprincipi </w:t>
            </w:r>
            <w:r w:rsidR="00A564F2">
              <w:rPr>
                <w:rFonts w:ascii="Times New Roman" w:hAnsi="Times New Roman"/>
                <w:sz w:val="28"/>
                <w:szCs w:val="28"/>
              </w:rPr>
              <w:t xml:space="preserve">ir </w:t>
            </w:r>
            <w:r w:rsidRPr="00D81515">
              <w:rPr>
                <w:rFonts w:ascii="Times New Roman" w:hAnsi="Times New Roman"/>
                <w:sz w:val="28"/>
                <w:szCs w:val="28"/>
              </w:rPr>
              <w:t>jāievēro, vērtējot studiju programmas apguves rezultātus</w:t>
            </w:r>
            <w:r w:rsidR="00BC55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674F" w:rsidRDefault="00D81515" w:rsidP="00B1674F">
            <w:pPr>
              <w:spacing w:after="0" w:line="240" w:lineRule="auto"/>
              <w:ind w:firstLine="5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>Projekt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ā</w:t>
            </w:r>
            <w:r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ir </w:t>
            </w:r>
            <w:r w:rsidR="00AA226F">
              <w:rPr>
                <w:rFonts w:ascii="Times New Roman" w:hAnsi="Times New Roman"/>
                <w:sz w:val="28"/>
                <w:szCs w:val="28"/>
                <w:lang w:eastAsia="lv-LV"/>
              </w:rPr>
              <w:t>iekļauta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Pr="00390481">
              <w:rPr>
                <w:rFonts w:ascii="Times New Roman" w:hAnsi="Times New Roman"/>
                <w:sz w:val="28"/>
                <w:szCs w:val="28"/>
                <w:lang w:eastAsia="lv-LV"/>
              </w:rPr>
              <w:t>profesionālā doktora grāda mākslās piešķiršanas kārtība</w:t>
            </w:r>
            <w:r w:rsidR="009A7CE8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, proti, </w:t>
            </w:r>
            <w:r w:rsidR="001871AA">
              <w:rPr>
                <w:rFonts w:ascii="Times New Roman" w:hAnsi="Times New Roman"/>
                <w:sz w:val="28"/>
                <w:szCs w:val="28"/>
                <w:lang w:eastAsia="lv-LV"/>
              </w:rPr>
              <w:t>P</w:t>
            </w:r>
            <w:r w:rsidR="00CB43E3">
              <w:rPr>
                <w:rFonts w:ascii="Times New Roman" w:hAnsi="Times New Roman"/>
                <w:sz w:val="28"/>
                <w:szCs w:val="28"/>
                <w:lang w:eastAsia="lv-LV"/>
              </w:rPr>
              <w:t>rojekta no</w:t>
            </w:r>
            <w:r w:rsidR="003247A6" w:rsidRPr="00C82588">
              <w:rPr>
                <w:rFonts w:ascii="Times New Roman" w:eastAsia="Times New Roman" w:hAnsi="Times New Roman"/>
                <w:sz w:val="28"/>
                <w:szCs w:val="28"/>
              </w:rPr>
              <w:t>daļ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as </w:t>
            </w:r>
            <w:r w:rsidR="00C82588" w:rsidRPr="00C82588">
              <w:rPr>
                <w:rFonts w:ascii="Times New Roman" w:eastAsia="Times New Roman" w:hAnsi="Times New Roman"/>
                <w:sz w:val="28"/>
                <w:szCs w:val="28"/>
              </w:rPr>
              <w:t>„V. Profesionālā doktora grāda mākslās piešķiršanas kārtība”</w:t>
            </w:r>
            <w:r w:rsidR="00C25165">
              <w:rPr>
                <w:rFonts w:ascii="Times New Roman" w:eastAsia="Times New Roman" w:hAnsi="Times New Roman"/>
                <w:sz w:val="28"/>
                <w:szCs w:val="28"/>
              </w:rPr>
              <w:t xml:space="preserve"> 19</w:t>
            </w:r>
            <w:r w:rsidR="00C82588" w:rsidRPr="00C82588">
              <w:rPr>
                <w:rFonts w:ascii="Times New Roman" w:eastAsia="Times New Roman" w:hAnsi="Times New Roman"/>
                <w:sz w:val="28"/>
                <w:szCs w:val="28"/>
              </w:rPr>
              <w:t>.punktā ir noteikts, ka</w:t>
            </w:r>
            <w:r w:rsidR="00C8258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825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v</w:t>
            </w:r>
            <w:r w:rsidR="00C82588" w:rsidRPr="00C82588">
              <w:rPr>
                <w:rFonts w:ascii="Times New Roman" w:eastAsia="Times New Roman" w:hAnsi="Times New Roman"/>
                <w:sz w:val="28"/>
                <w:szCs w:val="28"/>
              </w:rPr>
              <w:t xml:space="preserve">alsts pārbaudījumus vērtē un profesionālā doktora grādu mākslās piešķir </w:t>
            </w:r>
            <w:r w:rsidR="001871AA">
              <w:rPr>
                <w:rFonts w:ascii="Times New Roman" w:eastAsia="Times New Roman" w:hAnsi="Times New Roman"/>
                <w:sz w:val="28"/>
                <w:szCs w:val="28"/>
              </w:rPr>
              <w:t>v</w:t>
            </w:r>
            <w:r w:rsidR="00C82588" w:rsidRPr="00C82588">
              <w:rPr>
                <w:rFonts w:ascii="Times New Roman" w:eastAsia="Times New Roman" w:hAnsi="Times New Roman"/>
                <w:sz w:val="28"/>
                <w:szCs w:val="28"/>
              </w:rPr>
              <w:t>alsts pārbaudījumu komisija</w:t>
            </w:r>
            <w:r w:rsidR="00E0043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1674F" w:rsidRDefault="00581076" w:rsidP="00B1674F">
            <w:pPr>
              <w:spacing w:after="0" w:line="240" w:lineRule="auto"/>
              <w:ind w:firstLine="5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370C">
              <w:rPr>
                <w:rFonts w:ascii="Times New Roman" w:hAnsi="Times New Roman"/>
                <w:sz w:val="28"/>
                <w:szCs w:val="28"/>
              </w:rPr>
              <w:t xml:space="preserve">Projekta </w:t>
            </w:r>
            <w:r w:rsidR="00B9759B" w:rsidRPr="0074370C">
              <w:rPr>
                <w:rFonts w:ascii="Times New Roman" w:hAnsi="Times New Roman"/>
                <w:sz w:val="28"/>
                <w:szCs w:val="28"/>
              </w:rPr>
              <w:t>19</w:t>
            </w:r>
            <w:r w:rsidRPr="0074370C">
              <w:rPr>
                <w:rFonts w:ascii="Times New Roman" w:hAnsi="Times New Roman"/>
                <w:sz w:val="28"/>
                <w:szCs w:val="28"/>
              </w:rPr>
              <w:t>.punkts</w:t>
            </w:r>
            <w:r w:rsidR="00BC55E0" w:rsidRPr="0074370C">
              <w:rPr>
                <w:rFonts w:ascii="Times New Roman" w:hAnsi="Times New Roman"/>
                <w:sz w:val="28"/>
                <w:szCs w:val="28"/>
              </w:rPr>
              <w:t xml:space="preserve"> nosaka, ka augstskola, kura īsteno profesionālās doktora studijas mākslās, veido valsts pārbaudījumu komisiju profesionālā doktora grāda mākslās piešķiršanai. </w:t>
            </w:r>
            <w:r w:rsidR="007E457F" w:rsidRPr="0074370C">
              <w:rPr>
                <w:rFonts w:ascii="Times New Roman" w:hAnsi="Times New Roman"/>
                <w:sz w:val="28"/>
                <w:szCs w:val="28"/>
              </w:rPr>
              <w:t>K</w:t>
            </w:r>
            <w:r w:rsidR="00BC55E0" w:rsidRPr="0074370C">
              <w:rPr>
                <w:rFonts w:ascii="Times New Roman" w:hAnsi="Times New Roman"/>
                <w:sz w:val="28"/>
                <w:szCs w:val="28"/>
              </w:rPr>
              <w:t>atrā mākslinieciskās darbības jomā veido atsevišķu valsts pārbaudījumu komisiju.</w:t>
            </w:r>
            <w:r w:rsidR="006F1500" w:rsidRPr="00743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51" w:rsidRPr="0074370C">
              <w:rPr>
                <w:rFonts w:ascii="Times New Roman" w:eastAsia="Times New Roman" w:hAnsi="Times New Roman"/>
                <w:sz w:val="28"/>
                <w:szCs w:val="28"/>
              </w:rPr>
              <w:t>Projekta 2</w:t>
            </w:r>
            <w:r w:rsidR="00B9759B" w:rsidRPr="0074370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DB6251" w:rsidRPr="0074370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A5D26" w:rsidRPr="0074370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326EF" w:rsidRPr="0074370C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DB6251" w:rsidRPr="0074370C">
              <w:rPr>
                <w:rFonts w:ascii="Times New Roman" w:eastAsia="Times New Roman" w:hAnsi="Times New Roman"/>
                <w:sz w:val="28"/>
                <w:szCs w:val="28"/>
              </w:rPr>
              <w:t xml:space="preserve"> 2</w:t>
            </w:r>
            <w:r w:rsidR="00B9759B" w:rsidRPr="007437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B6251" w:rsidRPr="0074370C">
              <w:rPr>
                <w:rFonts w:ascii="Times New Roman" w:eastAsia="Times New Roman" w:hAnsi="Times New Roman"/>
                <w:sz w:val="28"/>
                <w:szCs w:val="28"/>
              </w:rPr>
              <w:t>.punktā ir noteikts regulējums par v</w:t>
            </w:r>
            <w:r w:rsidR="00BC55E0" w:rsidRPr="0074370C">
              <w:rPr>
                <w:rFonts w:ascii="Times New Roman" w:eastAsia="Times New Roman" w:hAnsi="Times New Roman"/>
                <w:sz w:val="28"/>
                <w:szCs w:val="28"/>
              </w:rPr>
              <w:t xml:space="preserve">alsts pārbaudījumu </w:t>
            </w:r>
            <w:r w:rsidR="00BC55E0" w:rsidRPr="0074370C">
              <w:rPr>
                <w:rFonts w:ascii="Times New Roman" w:hAnsi="Times New Roman"/>
                <w:sz w:val="28"/>
                <w:szCs w:val="28"/>
              </w:rPr>
              <w:t xml:space="preserve">komisijas sastāvu, </w:t>
            </w:r>
            <w:r w:rsidR="00DB6251" w:rsidRPr="0074370C">
              <w:rPr>
                <w:rFonts w:ascii="Times New Roman" w:hAnsi="Times New Roman"/>
                <w:sz w:val="28"/>
                <w:szCs w:val="28"/>
              </w:rPr>
              <w:t>savukārt</w:t>
            </w:r>
            <w:r w:rsidR="00000BE0" w:rsidRPr="0074370C">
              <w:rPr>
                <w:rFonts w:ascii="Times New Roman" w:hAnsi="Times New Roman"/>
                <w:sz w:val="28"/>
                <w:szCs w:val="28"/>
              </w:rPr>
              <w:t xml:space="preserve"> Projekta</w:t>
            </w:r>
            <w:r w:rsidR="00DB6251" w:rsidRPr="0074370C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9759B" w:rsidRPr="0074370C">
              <w:rPr>
                <w:rFonts w:ascii="Times New Roman" w:hAnsi="Times New Roman"/>
                <w:sz w:val="28"/>
                <w:szCs w:val="28"/>
              </w:rPr>
              <w:t>3</w:t>
            </w:r>
            <w:r w:rsidR="00DB6251" w:rsidRPr="0074370C">
              <w:rPr>
                <w:rFonts w:ascii="Times New Roman" w:hAnsi="Times New Roman"/>
                <w:sz w:val="28"/>
                <w:szCs w:val="28"/>
              </w:rPr>
              <w:t xml:space="preserve">.punktā – par </w:t>
            </w:r>
            <w:r w:rsidR="006C777B" w:rsidRPr="0074370C">
              <w:rPr>
                <w:rFonts w:ascii="Times New Roman" w:hAnsi="Times New Roman"/>
                <w:sz w:val="28"/>
                <w:szCs w:val="28"/>
              </w:rPr>
              <w:t xml:space="preserve">valsts pārbaudījumu komisijas </w:t>
            </w:r>
            <w:r w:rsidR="00DB6251" w:rsidRPr="0074370C">
              <w:rPr>
                <w:rFonts w:ascii="Times New Roman" w:hAnsi="Times New Roman"/>
                <w:sz w:val="28"/>
                <w:szCs w:val="28"/>
              </w:rPr>
              <w:t>lēmumu pieņemšanas procesu.</w:t>
            </w:r>
            <w:r w:rsidR="00DB6251" w:rsidRPr="0074370C">
              <w:rPr>
                <w:rFonts w:ascii="Times New Roman" w:eastAsia="Times New Roman" w:hAnsi="Times New Roman"/>
                <w:sz w:val="28"/>
                <w:szCs w:val="28"/>
              </w:rPr>
              <w:t xml:space="preserve"> Projekta </w:t>
            </w:r>
            <w:r w:rsidR="00B9759B" w:rsidRPr="0074370C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="0074370C" w:rsidRPr="0074370C">
              <w:rPr>
                <w:rFonts w:ascii="Times New Roman" w:eastAsia="Times New Roman" w:hAnsi="Times New Roman"/>
                <w:sz w:val="28"/>
                <w:szCs w:val="28"/>
              </w:rPr>
              <w:t>.punkts</w:t>
            </w:r>
            <w:r w:rsidR="00B9759B" w:rsidRPr="0074370C">
              <w:rPr>
                <w:rFonts w:ascii="Times New Roman" w:eastAsia="Times New Roman" w:hAnsi="Times New Roman"/>
                <w:sz w:val="28"/>
                <w:szCs w:val="28"/>
              </w:rPr>
              <w:t xml:space="preserve"> un </w:t>
            </w:r>
            <w:r w:rsidR="00BC55E0" w:rsidRPr="007437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C777B" w:rsidRPr="0074370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BC55E0" w:rsidRPr="0074370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B6251" w:rsidRPr="0074370C">
              <w:rPr>
                <w:rFonts w:ascii="Times New Roman" w:eastAsia="Times New Roman" w:hAnsi="Times New Roman"/>
                <w:sz w:val="28"/>
                <w:szCs w:val="28"/>
              </w:rPr>
              <w:t>punkts</w:t>
            </w:r>
            <w:r w:rsidR="00B9759B" w:rsidRPr="0074370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11B70" w:rsidRPr="00A1797B">
              <w:rPr>
                <w:rFonts w:ascii="Times New Roman" w:eastAsia="Times New Roman" w:hAnsi="Times New Roman"/>
                <w:sz w:val="28"/>
                <w:szCs w:val="28"/>
              </w:rPr>
              <w:t>nosaka</w:t>
            </w:r>
            <w:r w:rsidR="00B9759B" w:rsidRPr="00A179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9759B" w:rsidRPr="00A1797B">
              <w:rPr>
                <w:rFonts w:ascii="Times New Roman" w:hAnsi="Times New Roman"/>
                <w:sz w:val="28"/>
                <w:szCs w:val="28"/>
              </w:rPr>
              <w:t>valsts pārbaudījumu komisijas darbības nodrošināšanu</w:t>
            </w:r>
            <w:r w:rsidR="00B9759B" w:rsidRPr="00A1797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636F5F" w:rsidRPr="00A1797B">
              <w:rPr>
                <w:rFonts w:ascii="Times New Roman" w:eastAsia="Times New Roman" w:hAnsi="Times New Roman"/>
                <w:sz w:val="28"/>
                <w:szCs w:val="28"/>
              </w:rPr>
              <w:t>Saskaņā ar Projekta</w:t>
            </w:r>
            <w:r w:rsidR="0074370C" w:rsidRPr="00A179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F5F" w:rsidRPr="00A1797B">
              <w:rPr>
                <w:rFonts w:ascii="Times New Roman" w:eastAsia="Times New Roman" w:hAnsi="Times New Roman"/>
                <w:sz w:val="28"/>
                <w:szCs w:val="28"/>
              </w:rPr>
              <w:t>24.punktu</w:t>
            </w:r>
            <w:r w:rsidR="00B9759B" w:rsidRPr="00A179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B6251" w:rsidRPr="00A1797B">
              <w:rPr>
                <w:rFonts w:ascii="Times New Roman" w:eastAsia="Times New Roman" w:hAnsi="Times New Roman"/>
                <w:sz w:val="28"/>
                <w:szCs w:val="28"/>
              </w:rPr>
              <w:t>v</w:t>
            </w:r>
            <w:r w:rsidR="00BC55E0" w:rsidRPr="00A1797B">
              <w:rPr>
                <w:rFonts w:ascii="Times New Roman" w:eastAsia="Times New Roman" w:hAnsi="Times New Roman"/>
                <w:sz w:val="28"/>
                <w:szCs w:val="28"/>
              </w:rPr>
              <w:t>alsts pārbaudījumu komisijas darbu nodrošina augstskola</w:t>
            </w:r>
            <w:r w:rsidR="00636F5F" w:rsidRPr="00A1797B">
              <w:rPr>
                <w:rFonts w:ascii="Times New Roman" w:eastAsia="Times New Roman" w:hAnsi="Times New Roman"/>
                <w:sz w:val="28"/>
                <w:szCs w:val="28"/>
              </w:rPr>
              <w:t xml:space="preserve"> un</w:t>
            </w:r>
            <w:r w:rsidR="00B9759B" w:rsidRPr="00A1797B">
              <w:rPr>
                <w:rFonts w:ascii="Times New Roman" w:eastAsia="Times New Roman" w:hAnsi="Times New Roman"/>
                <w:sz w:val="28"/>
                <w:szCs w:val="28"/>
              </w:rPr>
              <w:t xml:space="preserve"> v</w:t>
            </w:r>
            <w:r w:rsidR="00BC55E0" w:rsidRPr="00A1797B">
              <w:rPr>
                <w:rFonts w:ascii="Times New Roman" w:eastAsia="Times New Roman" w:hAnsi="Times New Roman"/>
                <w:sz w:val="28"/>
                <w:szCs w:val="28"/>
              </w:rPr>
              <w:t>alsts pārbaudījumu procesa īstenošanas</w:t>
            </w:r>
            <w:r w:rsidR="00636F5F" w:rsidRPr="00A1797B">
              <w:rPr>
                <w:rFonts w:ascii="Times New Roman" w:eastAsia="Times New Roman" w:hAnsi="Times New Roman"/>
                <w:sz w:val="28"/>
                <w:szCs w:val="28"/>
              </w:rPr>
              <w:t xml:space="preserve"> izmaksas sedz studiju programmas</w:t>
            </w:r>
            <w:r w:rsidR="00BC55E0" w:rsidRPr="00A1797B">
              <w:rPr>
                <w:rFonts w:ascii="Times New Roman" w:eastAsia="Times New Roman" w:hAnsi="Times New Roman"/>
                <w:sz w:val="28"/>
                <w:szCs w:val="28"/>
              </w:rPr>
              <w:t xml:space="preserve"> īstenotāja augstskola no studiju programmas īstenošanai paredzētajiem līdzekļiem.</w:t>
            </w:r>
            <w:r w:rsidR="00E0043F" w:rsidRPr="00A1797B">
              <w:rPr>
                <w:sz w:val="28"/>
                <w:szCs w:val="28"/>
              </w:rPr>
              <w:t xml:space="preserve"> </w:t>
            </w:r>
            <w:r w:rsidR="0057655B" w:rsidRPr="00A1797B">
              <w:rPr>
                <w:rFonts w:ascii="Times New Roman" w:eastAsia="Times New Roman" w:hAnsi="Times New Roman"/>
                <w:sz w:val="28"/>
                <w:szCs w:val="28"/>
              </w:rPr>
              <w:t>Šīs nodaļas 2</w:t>
            </w:r>
            <w:r w:rsidR="00B9759B" w:rsidRPr="00A1797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57655B" w:rsidRPr="00A1797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A1797B" w:rsidRPr="00A1797B">
              <w:rPr>
                <w:rFonts w:ascii="Times New Roman" w:eastAsia="Times New Roman" w:hAnsi="Times New Roman"/>
                <w:sz w:val="28"/>
                <w:szCs w:val="28"/>
              </w:rPr>
              <w:t>punkts nosaka</w:t>
            </w:r>
            <w:r w:rsidR="0057655B" w:rsidRPr="00A179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797B" w:rsidRPr="00A1797B">
              <w:rPr>
                <w:rFonts w:ascii="Times New Roman" w:eastAsia="Times New Roman" w:hAnsi="Times New Roman"/>
                <w:sz w:val="28"/>
                <w:szCs w:val="28"/>
              </w:rPr>
              <w:t>v</w:t>
            </w:r>
            <w:r w:rsidR="0057655B" w:rsidRPr="00A1797B">
              <w:rPr>
                <w:rFonts w:ascii="Times New Roman" w:eastAsia="Times New Roman" w:hAnsi="Times New Roman"/>
                <w:sz w:val="28"/>
                <w:szCs w:val="28"/>
              </w:rPr>
              <w:t>alsts pārbaudījumu komisijas administratīvo un organizatorisko darbību, p</w:t>
            </w:r>
            <w:r w:rsidR="008237A7" w:rsidRPr="00A1797B">
              <w:rPr>
                <w:rFonts w:ascii="Times New Roman" w:eastAsia="Times New Roman" w:hAnsi="Times New Roman"/>
                <w:sz w:val="28"/>
                <w:szCs w:val="28"/>
              </w:rPr>
              <w:t>r</w:t>
            </w:r>
            <w:r w:rsidR="00A1797B" w:rsidRPr="00A1797B">
              <w:rPr>
                <w:rFonts w:ascii="Times New Roman" w:eastAsia="Times New Roman" w:hAnsi="Times New Roman"/>
                <w:sz w:val="28"/>
                <w:szCs w:val="28"/>
              </w:rPr>
              <w:t>oti,</w:t>
            </w:r>
            <w:r w:rsidR="0057655B" w:rsidRPr="00A179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797B" w:rsidRPr="00A1797B">
              <w:rPr>
                <w:rFonts w:ascii="Times New Roman" w:eastAsia="Times New Roman" w:hAnsi="Times New Roman"/>
                <w:sz w:val="28"/>
                <w:szCs w:val="28"/>
              </w:rPr>
              <w:t>to, ka v</w:t>
            </w:r>
            <w:r w:rsidR="00707E88" w:rsidRPr="00A1797B">
              <w:rPr>
                <w:rFonts w:ascii="Times New Roman" w:eastAsia="Times New Roman" w:hAnsi="Times New Roman"/>
                <w:sz w:val="28"/>
                <w:szCs w:val="28"/>
              </w:rPr>
              <w:t xml:space="preserve">alsts pārbaudījumu komisijas darbības organizēšanas un norises kārtību, kā arī citus ar valsts pārbaudījumu komisijas darbību saistītus jautājumus </w:t>
            </w:r>
            <w:r w:rsidR="005B1949" w:rsidRPr="00A1797B">
              <w:rPr>
                <w:rFonts w:ascii="Times New Roman" w:eastAsia="Times New Roman" w:hAnsi="Times New Roman"/>
                <w:sz w:val="28"/>
                <w:szCs w:val="28"/>
              </w:rPr>
              <w:t>nosaka ar augstskolas izstrādātu un ar augstskolas dibinātāju saskaņotu nolikumu.</w:t>
            </w:r>
            <w:r w:rsidR="006D39D6" w:rsidRPr="00A179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797B">
              <w:rPr>
                <w:rFonts w:ascii="Times New Roman" w:eastAsia="Times New Roman" w:hAnsi="Times New Roman"/>
                <w:sz w:val="28"/>
                <w:szCs w:val="28"/>
              </w:rPr>
              <w:t>Šo nolikumu augstskolas izstrādā, ņ</w:t>
            </w:r>
            <w:r w:rsidR="00AD022B" w:rsidRPr="00A1797B">
              <w:rPr>
                <w:rFonts w:ascii="Times New Roman" w:eastAsia="Times New Roman" w:hAnsi="Times New Roman"/>
                <w:sz w:val="28"/>
                <w:szCs w:val="28"/>
              </w:rPr>
              <w:t xml:space="preserve">emot vēra katras augstskolas </w:t>
            </w:r>
            <w:r w:rsidR="00326113" w:rsidRPr="00A1797B">
              <w:rPr>
                <w:rFonts w:ascii="Times New Roman" w:eastAsia="Times New Roman" w:hAnsi="Times New Roman"/>
                <w:sz w:val="28"/>
                <w:szCs w:val="28"/>
              </w:rPr>
              <w:t>atšķirīgās</w:t>
            </w:r>
            <w:r w:rsidR="00AD022B" w:rsidRPr="00A1797B">
              <w:rPr>
                <w:rFonts w:ascii="Times New Roman" w:eastAsia="Times New Roman" w:hAnsi="Times New Roman"/>
                <w:sz w:val="28"/>
                <w:szCs w:val="28"/>
              </w:rPr>
              <w:t xml:space="preserve"> mākslinieciskās darbības jomas</w:t>
            </w:r>
            <w:r w:rsidR="00326113" w:rsidRPr="00A1797B">
              <w:rPr>
                <w:rFonts w:ascii="Times New Roman" w:eastAsia="Times New Roman" w:hAnsi="Times New Roman"/>
                <w:sz w:val="28"/>
                <w:szCs w:val="28"/>
              </w:rPr>
              <w:t xml:space="preserve"> un to</w:t>
            </w:r>
            <w:r w:rsidR="00AD022B" w:rsidRPr="00A1797B">
              <w:rPr>
                <w:rFonts w:ascii="Times New Roman" w:eastAsia="Times New Roman" w:hAnsi="Times New Roman"/>
                <w:sz w:val="28"/>
                <w:szCs w:val="28"/>
              </w:rPr>
              <w:t xml:space="preserve"> specifiku.</w:t>
            </w:r>
          </w:p>
          <w:p w:rsidR="00912723" w:rsidRDefault="001E348A" w:rsidP="00B1674F">
            <w:pPr>
              <w:spacing w:after="0" w:line="240" w:lineRule="auto"/>
              <w:ind w:firstLine="553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4370C">
              <w:rPr>
                <w:rFonts w:ascii="Times New Roman" w:eastAsia="Times New Roman" w:hAnsi="Times New Roman"/>
                <w:sz w:val="28"/>
                <w:szCs w:val="28"/>
              </w:rPr>
              <w:t xml:space="preserve">Ņemot vērā, ka augstskolas pārstāv atšķirīgas mākslinieciskās darbības jomas, </w:t>
            </w:r>
            <w:r w:rsidR="00690720">
              <w:rPr>
                <w:rFonts w:ascii="Times New Roman" w:eastAsia="Times New Roman" w:hAnsi="Times New Roman"/>
                <w:sz w:val="28"/>
                <w:szCs w:val="28"/>
              </w:rPr>
              <w:t>P</w:t>
            </w:r>
            <w:r w:rsidR="002041B9" w:rsidRPr="0074370C">
              <w:rPr>
                <w:rFonts w:ascii="Times New Roman" w:eastAsia="Times New Roman" w:hAnsi="Times New Roman"/>
                <w:sz w:val="28"/>
                <w:szCs w:val="28"/>
              </w:rPr>
              <w:t>rojekta 2</w:t>
            </w:r>
            <w:r w:rsidR="00B9759B" w:rsidRPr="0074370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2041B9" w:rsidRPr="0074370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74370C">
              <w:rPr>
                <w:rFonts w:ascii="Times New Roman" w:eastAsia="Times New Roman" w:hAnsi="Times New Roman"/>
                <w:sz w:val="28"/>
                <w:szCs w:val="28"/>
              </w:rPr>
              <w:t xml:space="preserve">punktā ir noteikts </w:t>
            </w:r>
            <w:r w:rsidR="00B9759B" w:rsidRPr="0074370C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74370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B6251" w:rsidRPr="0074370C">
              <w:rPr>
                <w:rFonts w:ascii="Times New Roman" w:eastAsia="Times New Roman" w:hAnsi="Times New Roman"/>
                <w:sz w:val="28"/>
                <w:szCs w:val="28"/>
              </w:rPr>
              <w:t>j</w:t>
            </w:r>
            <w:r w:rsidR="00BC55E0" w:rsidRPr="0074370C">
              <w:rPr>
                <w:rFonts w:ascii="Times New Roman" w:eastAsia="Times New Roman" w:hAnsi="Times New Roman"/>
                <w:sz w:val="28"/>
                <w:szCs w:val="28"/>
              </w:rPr>
              <w:t>a studiju programmu kā kopīgo studiju programmu īsteno vairākas augstskolas, tās var izveidot atsevišķu</w:t>
            </w:r>
            <w:r w:rsidR="00BC55E0" w:rsidRPr="00063B17">
              <w:rPr>
                <w:rFonts w:ascii="Times New Roman" w:eastAsia="Times New Roman" w:hAnsi="Times New Roman"/>
                <w:sz w:val="28"/>
                <w:szCs w:val="28"/>
              </w:rPr>
              <w:t xml:space="preserve"> valsts pārbaudījumu komisiju katrā māksl</w:t>
            </w:r>
            <w:r w:rsidR="00BC55E0">
              <w:rPr>
                <w:rFonts w:ascii="Times New Roman" w:eastAsia="Times New Roman" w:hAnsi="Times New Roman"/>
                <w:sz w:val="28"/>
                <w:szCs w:val="28"/>
              </w:rPr>
              <w:t>inieciskās darbības jomā</w:t>
            </w:r>
            <w:r w:rsidR="00F74A9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4174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piemēram, mūzikā,</w:t>
            </w:r>
            <w:r w:rsidR="00F260F7">
              <w:rPr>
                <w:rFonts w:ascii="Times New Roman" w:eastAsia="Times New Roman" w:hAnsi="Times New Roman"/>
                <w:sz w:val="28"/>
                <w:szCs w:val="28"/>
              </w:rPr>
              <w:t xml:space="preserve"> skatuves mākslā,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vizuāl</w:t>
            </w:r>
            <w:r w:rsidR="00F260F7">
              <w:rPr>
                <w:rFonts w:ascii="Times New Roman" w:eastAsia="Times New Roman" w:hAnsi="Times New Roman"/>
                <w:sz w:val="28"/>
                <w:szCs w:val="28"/>
              </w:rPr>
              <w:t>i plastiskajā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mākslā, dizainā u.c. </w:t>
            </w:r>
          </w:p>
        </w:tc>
      </w:tr>
      <w:tr w:rsidR="006C4F46" w:rsidRPr="00A55C27" w:rsidTr="00722286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F0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F001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1B5B73" w:rsidRDefault="006C4F46" w:rsidP="00F001A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hAnsi="Times New Roman" w:cs="Times New Roman"/>
                <w:sz w:val="28"/>
                <w:szCs w:val="28"/>
              </w:rPr>
              <w:t>Kultūras ministrija</w:t>
            </w:r>
            <w:r w:rsidR="00985D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35373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Izglītības un zinātnes ministrija,</w:t>
            </w:r>
            <w:r w:rsidR="00985D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Jāzepa Vītola Latvijas Mūzikas akadēmija, Latvijas Mākslas akadēmija</w:t>
            </w:r>
            <w:r w:rsidR="00043B9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Latvijas Kultūras akadēmija</w:t>
            </w:r>
            <w:r w:rsidR="00AF74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6C4F46" w:rsidRPr="00A55C27" w:rsidTr="00722286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D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DC6E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DC6E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DC6EFC" w:rsidRPr="00DC6EFC" w:rsidRDefault="00DC6EFC" w:rsidP="00DC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0"/>
        <w:gridCol w:w="2643"/>
        <w:gridCol w:w="5948"/>
      </w:tblGrid>
      <w:tr w:rsidR="006C4F46" w:rsidRPr="00A55C27" w:rsidTr="00B1674F">
        <w:trPr>
          <w:trHeight w:val="75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A55C27" w:rsidRDefault="006C4F46" w:rsidP="00D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C4F46" w:rsidRPr="00A55C27" w:rsidTr="00DC6EFC">
        <w:trPr>
          <w:trHeight w:val="569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F0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F001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8C5004" w:rsidRDefault="006C4F46" w:rsidP="00342B7B">
            <w:pPr>
              <w:pStyle w:val="Vienkrsteksts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5004">
              <w:rPr>
                <w:rFonts w:ascii="Times New Roman" w:hAnsi="Times New Roman" w:cs="Times New Roman"/>
                <w:sz w:val="28"/>
                <w:szCs w:val="28"/>
              </w:rPr>
              <w:t xml:space="preserve">Projekta tiesiskais regulējums attieksies uz </w:t>
            </w:r>
            <w:r w:rsidR="009A1A9C">
              <w:rPr>
                <w:rFonts w:ascii="Times New Roman" w:hAnsi="Times New Roman" w:cs="Times New Roman"/>
                <w:sz w:val="28"/>
                <w:szCs w:val="28"/>
              </w:rPr>
              <w:t>augstskolām, kuras īsteno profesionāl</w:t>
            </w:r>
            <w:r w:rsidR="00342B7B">
              <w:rPr>
                <w:rFonts w:ascii="Times New Roman" w:hAnsi="Times New Roman" w:cs="Times New Roman"/>
                <w:sz w:val="28"/>
                <w:szCs w:val="28"/>
              </w:rPr>
              <w:t>ās</w:t>
            </w:r>
            <w:r w:rsidR="009A1A9C">
              <w:rPr>
                <w:rFonts w:ascii="Times New Roman" w:hAnsi="Times New Roman" w:cs="Times New Roman"/>
                <w:sz w:val="28"/>
                <w:szCs w:val="28"/>
              </w:rPr>
              <w:t xml:space="preserve"> doktora</w:t>
            </w:r>
            <w:r w:rsidR="00BE55C8">
              <w:rPr>
                <w:rFonts w:ascii="Times New Roman" w:hAnsi="Times New Roman" w:cs="Times New Roman"/>
                <w:sz w:val="28"/>
                <w:szCs w:val="28"/>
              </w:rPr>
              <w:t xml:space="preserve"> studiju</w:t>
            </w:r>
            <w:r w:rsidR="009A1A9C">
              <w:rPr>
                <w:rFonts w:ascii="Times New Roman" w:hAnsi="Times New Roman" w:cs="Times New Roman"/>
                <w:sz w:val="28"/>
                <w:szCs w:val="28"/>
              </w:rPr>
              <w:t xml:space="preserve"> programm</w:t>
            </w:r>
            <w:r w:rsidR="00342B7B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9A1A9C">
              <w:rPr>
                <w:rFonts w:ascii="Times New Roman" w:hAnsi="Times New Roman" w:cs="Times New Roman"/>
                <w:sz w:val="28"/>
                <w:szCs w:val="28"/>
              </w:rPr>
              <w:t xml:space="preserve"> mākslās</w:t>
            </w:r>
            <w:r w:rsidR="00043B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1A9C">
              <w:rPr>
                <w:rFonts w:ascii="Times New Roman" w:hAnsi="Times New Roman" w:cs="Times New Roman"/>
                <w:sz w:val="28"/>
                <w:szCs w:val="28"/>
              </w:rPr>
              <w:t xml:space="preserve"> un tajās studējošajiem.</w:t>
            </w:r>
          </w:p>
        </w:tc>
      </w:tr>
      <w:tr w:rsidR="006C4F46" w:rsidRPr="00A55C27" w:rsidTr="00DC6EFC">
        <w:trPr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Default="00985DBC" w:rsidP="00DF25C6">
            <w:pPr>
              <w:pStyle w:val="Vienkrsteks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BC">
              <w:rPr>
                <w:rFonts w:ascii="Times New Roman" w:hAnsi="Times New Roman" w:cs="Times New Roman"/>
                <w:sz w:val="28"/>
                <w:szCs w:val="28"/>
              </w:rPr>
              <w:t>Administratīvās procedūras nemainās. Administratīvās izmaksas netiek palielinātas, administratīvās procedūras tiek nodrošinātas esošā finansējuma ietvaros.</w:t>
            </w:r>
          </w:p>
        </w:tc>
      </w:tr>
      <w:tr w:rsidR="006C4F46" w:rsidRPr="00A55C27" w:rsidTr="00DC6EFC">
        <w:trPr>
          <w:trHeight w:val="259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C4F46" w:rsidRPr="00A55C27" w:rsidTr="00DC6EFC">
        <w:trPr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C4F46" w:rsidRPr="00CE39E2" w:rsidTr="00DC6EFC">
        <w:trPr>
          <w:trHeight w:val="2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CE39E2" w:rsidRDefault="006C4F46" w:rsidP="00C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E39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CE39E2" w:rsidRDefault="006C4F46" w:rsidP="00CE39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E39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CE39E2" w:rsidRDefault="006C4F46" w:rsidP="00CE39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E39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CE39E2" w:rsidRPr="00CE39E2" w:rsidRDefault="00CE39E2" w:rsidP="00CE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29"/>
      </w:tblGrid>
      <w:tr w:rsidR="00DF25C6" w:rsidRPr="00CE39E2" w:rsidTr="00B1674F">
        <w:trPr>
          <w:trHeight w:val="766"/>
          <w:tblCellSpacing w:w="0" w:type="dxa"/>
          <w:jc w:val="center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25C6" w:rsidRPr="00CE39E2" w:rsidRDefault="00DF25C6" w:rsidP="00CE39E2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CE39E2">
              <w:rPr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DF25C6" w:rsidRPr="003D3831" w:rsidTr="00B1674F">
        <w:trPr>
          <w:trHeight w:val="508"/>
          <w:tblCellSpacing w:w="0" w:type="dxa"/>
          <w:jc w:val="center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25C6" w:rsidRPr="00AE0D4E" w:rsidRDefault="00DF25C6" w:rsidP="00682CE2">
            <w:pPr>
              <w:pStyle w:val="naisnod"/>
              <w:spacing w:before="0" w:after="0"/>
              <w:rPr>
                <w:b w:val="0"/>
                <w:sz w:val="28"/>
                <w:szCs w:val="28"/>
              </w:rPr>
            </w:pPr>
            <w:r w:rsidRPr="00AE0D4E">
              <w:rPr>
                <w:b w:val="0"/>
                <w:sz w:val="28"/>
                <w:szCs w:val="28"/>
              </w:rPr>
              <w:t>Projekts šo jomu neskar.</w:t>
            </w:r>
          </w:p>
        </w:tc>
      </w:tr>
    </w:tbl>
    <w:p w:rsidR="00DF25C6" w:rsidRDefault="00DF25C6" w:rsidP="006C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3"/>
        <w:gridCol w:w="3474"/>
        <w:gridCol w:w="5254"/>
      </w:tblGrid>
      <w:tr w:rsidR="00066AAC" w:rsidRPr="003145EF" w:rsidTr="00066AAC">
        <w:trPr>
          <w:trHeight w:val="450"/>
          <w:tblCellSpacing w:w="15" w:type="dxa"/>
          <w:jc w:val="center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AAC" w:rsidRPr="003145EF" w:rsidRDefault="00066AAC" w:rsidP="00066AAC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145EF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066AAC" w:rsidRPr="003145EF" w:rsidTr="00066AAC">
        <w:trPr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AC" w:rsidRPr="003145EF" w:rsidRDefault="00066AAC" w:rsidP="0006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AC" w:rsidRPr="003145EF" w:rsidRDefault="00066AAC" w:rsidP="00066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AC" w:rsidRPr="003145EF" w:rsidRDefault="00066AAC" w:rsidP="00066A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Vienlaikus ar Projektu</w:t>
            </w:r>
            <w:r w:rsidRPr="00314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</w:t>
            </w:r>
            <w:r w:rsidRPr="00314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virzīti izskatīšanai Ministru kabinetā šādi tiesību aktu projekti</w:t>
            </w:r>
            <w:r w:rsidRPr="003145EF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066AAC" w:rsidRDefault="00066AAC" w:rsidP="00B167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iCs/>
                <w:sz w:val="28"/>
                <w:szCs w:val="28"/>
              </w:rPr>
              <w:t>1)</w:t>
            </w:r>
            <w:r w:rsidRPr="005A5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411DA">
              <w:rPr>
                <w:rFonts w:ascii="Times New Roman" w:hAnsi="Times New Roman"/>
                <w:sz w:val="28"/>
                <w:szCs w:val="28"/>
              </w:rPr>
              <w:t>Ministru kabineta noteikumu projekts „Grozījumi Ministru kabineta 2017. gada 13. jūnija noteikumos Nr. 322 „Noteikumi par Latvijas izglītības klasifikāciju””</w:t>
            </w:r>
            <w:proofErr w:type="gramStart"/>
            <w:r w:rsidR="00BD671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41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5411DA">
              <w:rPr>
                <w:rFonts w:ascii="Times New Roman" w:hAnsi="Times New Roman"/>
                <w:sz w:val="28"/>
                <w:szCs w:val="28"/>
              </w:rPr>
              <w:t>(VSS-493</w:t>
            </w:r>
            <w:r w:rsidR="00613F82">
              <w:rPr>
                <w:rFonts w:ascii="Times New Roman" w:hAnsi="Times New Roman"/>
                <w:sz w:val="28"/>
                <w:szCs w:val="28"/>
              </w:rPr>
              <w:t>,</w:t>
            </w:r>
            <w:r w:rsidR="001F5697">
              <w:rPr>
                <w:rFonts w:ascii="Times New Roman" w:hAnsi="Times New Roman"/>
                <w:sz w:val="28"/>
                <w:szCs w:val="28"/>
              </w:rPr>
              <w:t xml:space="preserve"> 24.05.2018</w:t>
            </w:r>
            <w:r w:rsidR="00B07E93">
              <w:rPr>
                <w:rFonts w:ascii="Times New Roman" w:hAnsi="Times New Roman"/>
                <w:sz w:val="28"/>
                <w:szCs w:val="28"/>
              </w:rPr>
              <w:t>.</w:t>
            </w:r>
            <w:r w:rsidR="001F56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07E93">
              <w:rPr>
                <w:rFonts w:ascii="Times New Roman" w:hAnsi="Times New Roman"/>
                <w:sz w:val="28"/>
                <w:szCs w:val="28"/>
              </w:rPr>
              <w:t xml:space="preserve">prot. </w:t>
            </w:r>
            <w:r w:rsidR="001F5697">
              <w:rPr>
                <w:rFonts w:ascii="Times New Roman" w:hAnsi="Times New Roman"/>
                <w:sz w:val="28"/>
                <w:szCs w:val="28"/>
              </w:rPr>
              <w:t>Nr.20</w:t>
            </w:r>
            <w:r w:rsidR="00B07E93">
              <w:rPr>
                <w:rFonts w:ascii="Times New Roman" w:hAnsi="Times New Roman"/>
                <w:sz w:val="28"/>
                <w:szCs w:val="28"/>
              </w:rPr>
              <w:t>,</w:t>
            </w:r>
            <w:r w:rsidR="0057655B" w:rsidRPr="0057655B">
              <w:rPr>
                <w:rFonts w:ascii="Times New Roman" w:hAnsi="Times New Roman"/>
                <w:sz w:val="28"/>
                <w:szCs w:val="28"/>
              </w:rPr>
              <w:t xml:space="preserve"> 22.§</w:t>
            </w:r>
            <w:r w:rsidRPr="005411DA">
              <w:rPr>
                <w:rFonts w:ascii="Times New Roman" w:hAnsi="Times New Roman"/>
                <w:sz w:val="28"/>
                <w:szCs w:val="28"/>
              </w:rPr>
              <w:t xml:space="preserve">) sagatavots, lai </w:t>
            </w:r>
            <w:r w:rsidRPr="005D2E46">
              <w:rPr>
                <w:rFonts w:ascii="Times New Roman" w:hAnsi="Times New Roman"/>
                <w:sz w:val="28"/>
                <w:szCs w:val="28"/>
              </w:rPr>
              <w:t xml:space="preserve">Latvijas kvalifikāciju </w:t>
            </w:r>
            <w:proofErr w:type="spellStart"/>
            <w:r w:rsidRPr="005D2E46">
              <w:rPr>
                <w:rFonts w:ascii="Times New Roman" w:hAnsi="Times New Roman"/>
                <w:sz w:val="28"/>
                <w:szCs w:val="28"/>
              </w:rPr>
              <w:t>ietvarstruktūras</w:t>
            </w:r>
            <w:proofErr w:type="spellEnd"/>
            <w:r w:rsidRPr="005D2E46">
              <w:rPr>
                <w:rFonts w:ascii="Times New Roman" w:hAnsi="Times New Roman"/>
                <w:sz w:val="28"/>
                <w:szCs w:val="28"/>
              </w:rPr>
              <w:t xml:space="preserve"> (LKI) līmenim atbilstošo zināšanu, </w:t>
            </w:r>
            <w:r>
              <w:rPr>
                <w:rFonts w:ascii="Times New Roman" w:hAnsi="Times New Roman"/>
                <w:sz w:val="28"/>
                <w:szCs w:val="28"/>
              </w:rPr>
              <w:t>prasmju un kompetenču aprakstos</w:t>
            </w:r>
            <w:r w:rsidRPr="005411DA">
              <w:rPr>
                <w:rFonts w:ascii="Times New Roman" w:hAnsi="Times New Roman"/>
                <w:sz w:val="28"/>
                <w:szCs w:val="28"/>
              </w:rPr>
              <w:t xml:space="preserve"> iekļautu</w:t>
            </w:r>
            <w:r w:rsidRPr="00865A32">
              <w:rPr>
                <w:rFonts w:ascii="Times New Roman" w:hAnsi="Times New Roman"/>
                <w:sz w:val="28"/>
                <w:szCs w:val="28"/>
              </w:rPr>
              <w:t xml:space="preserve"> papildinājumus saistībā ar</w:t>
            </w:r>
            <w:r w:rsidRPr="00541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A32">
              <w:rPr>
                <w:rFonts w:ascii="Times New Roman" w:hAnsi="Times New Roman"/>
                <w:sz w:val="28"/>
                <w:szCs w:val="28"/>
              </w:rPr>
              <w:t>profesi</w:t>
            </w:r>
            <w:r>
              <w:rPr>
                <w:rFonts w:ascii="Times New Roman" w:hAnsi="Times New Roman"/>
                <w:sz w:val="28"/>
                <w:szCs w:val="28"/>
              </w:rPr>
              <w:t>onālo doktora studiju programmu</w:t>
            </w:r>
            <w:r w:rsidRPr="00865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mākslās ieviešanu</w:t>
            </w:r>
            <w:r w:rsidRPr="00865A32">
              <w:rPr>
                <w:rFonts w:ascii="Times New Roman" w:hAnsi="Times New Roman"/>
                <w:sz w:val="28"/>
                <w:szCs w:val="28"/>
              </w:rPr>
              <w:t xml:space="preserve"> un profesionāl</w:t>
            </w:r>
            <w:r>
              <w:rPr>
                <w:rFonts w:ascii="Times New Roman" w:hAnsi="Times New Roman"/>
                <w:sz w:val="28"/>
                <w:szCs w:val="28"/>
              </w:rPr>
              <w:t>ā</w:t>
            </w:r>
            <w:r w:rsidRPr="00865A32">
              <w:rPr>
                <w:rFonts w:ascii="Times New Roman" w:hAnsi="Times New Roman"/>
                <w:sz w:val="28"/>
                <w:szCs w:val="28"/>
              </w:rPr>
              <w:t xml:space="preserve"> doktora grād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Pr="00865A32">
              <w:rPr>
                <w:rFonts w:ascii="Times New Roman" w:hAnsi="Times New Roman"/>
                <w:sz w:val="28"/>
                <w:szCs w:val="28"/>
              </w:rPr>
              <w:t xml:space="preserve"> mākslās</w:t>
            </w:r>
            <w:r w:rsidR="00B1674F">
              <w:rPr>
                <w:rFonts w:ascii="Times New Roman" w:hAnsi="Times New Roman"/>
                <w:sz w:val="28"/>
                <w:szCs w:val="28"/>
              </w:rPr>
              <w:t xml:space="preserve"> piešķiršanu;</w:t>
            </w:r>
          </w:p>
          <w:p w:rsidR="00066AAC" w:rsidRPr="003145EF" w:rsidRDefault="00066AAC" w:rsidP="00EF5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2) </w:t>
            </w:r>
            <w:r w:rsidRPr="00D537B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Ministru kabineta noteikumu projekt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  <w:r w:rsidRPr="00D537B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„</w:t>
            </w:r>
            <w:r w:rsidRPr="00D537B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Grozījumi Ministru kabineta 2013.gada 16.aprīļa noteikumos Nr.202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„</w:t>
            </w:r>
            <w:r w:rsidRPr="00D537B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Kārtība, kādā izsniedz valsts atzītus augstāko izgl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ītību apliecinošus dokumentus””</w:t>
            </w:r>
            <w:r w:rsidRPr="00D537B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(VSS-492</w:t>
            </w:r>
            <w:r w:rsidR="001F569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="001F5697">
              <w:rPr>
                <w:rFonts w:ascii="Times New Roman" w:hAnsi="Times New Roman"/>
                <w:sz w:val="28"/>
                <w:szCs w:val="28"/>
              </w:rPr>
              <w:t>24.05.2018</w:t>
            </w:r>
            <w:r w:rsidR="00B07E93">
              <w:rPr>
                <w:rFonts w:ascii="Times New Roman" w:hAnsi="Times New Roman"/>
                <w:sz w:val="28"/>
                <w:szCs w:val="28"/>
              </w:rPr>
              <w:t>.</w:t>
            </w:r>
            <w:r w:rsidR="001F56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07E93">
              <w:rPr>
                <w:rFonts w:ascii="Times New Roman" w:hAnsi="Times New Roman"/>
                <w:sz w:val="28"/>
                <w:szCs w:val="28"/>
              </w:rPr>
              <w:t xml:space="preserve">prot. </w:t>
            </w:r>
            <w:r w:rsidR="001F5697">
              <w:rPr>
                <w:rFonts w:ascii="Times New Roman" w:hAnsi="Times New Roman"/>
                <w:sz w:val="28"/>
                <w:szCs w:val="28"/>
              </w:rPr>
              <w:t>Nr.20,</w:t>
            </w:r>
            <w:r w:rsidR="001F5697" w:rsidRPr="001F569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1F5697">
              <w:rPr>
                <w:rFonts w:ascii="Times New Roman" w:hAnsi="Times New Roman"/>
                <w:sz w:val="28"/>
                <w:szCs w:val="28"/>
              </w:rPr>
              <w:t>1</w:t>
            </w:r>
            <w:r w:rsidR="001F5697" w:rsidRPr="001F5697">
              <w:rPr>
                <w:rFonts w:ascii="Times New Roman" w:hAnsi="Times New Roman"/>
                <w:sz w:val="28"/>
                <w:szCs w:val="28"/>
              </w:rPr>
              <w:t>.§</w:t>
            </w:r>
            <w:r w:rsidRPr="00D537B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sagatavots, lai nodrošinātu </w:t>
            </w:r>
            <w:r>
              <w:rPr>
                <w:rFonts w:ascii="Times New Roman" w:hAnsi="Times New Roman"/>
                <w:sz w:val="28"/>
                <w:szCs w:val="28"/>
              </w:rPr>
              <w:t>valsts atzītu</w:t>
            </w:r>
            <w:r w:rsidRPr="00BC7C7B">
              <w:rPr>
                <w:rFonts w:ascii="Times New Roman" w:hAnsi="Times New Roman"/>
                <w:sz w:val="28"/>
                <w:szCs w:val="28"/>
              </w:rPr>
              <w:t xml:space="preserve"> augstā</w:t>
            </w:r>
            <w:bookmarkStart w:id="0" w:name="_GoBack"/>
            <w:bookmarkEnd w:id="0"/>
            <w:r w:rsidRPr="00BC7C7B">
              <w:rPr>
                <w:rFonts w:ascii="Times New Roman" w:hAnsi="Times New Roman"/>
                <w:sz w:val="28"/>
                <w:szCs w:val="28"/>
              </w:rPr>
              <w:t>ko izglītību apliecinoš</w:t>
            </w:r>
            <w:r>
              <w:rPr>
                <w:rFonts w:ascii="Times New Roman" w:hAnsi="Times New Roman"/>
                <w:sz w:val="28"/>
                <w:szCs w:val="28"/>
              </w:rPr>
              <w:t>u</w:t>
            </w:r>
            <w:r w:rsidRPr="00BC7C7B">
              <w:rPr>
                <w:rFonts w:ascii="Times New Roman" w:hAnsi="Times New Roman"/>
                <w:sz w:val="28"/>
                <w:szCs w:val="28"/>
              </w:rPr>
              <w:t xml:space="preserve"> dokument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u </w:t>
            </w:r>
            <w:r w:rsidR="00EF51D4">
              <w:rPr>
                <w:rFonts w:ascii="Times New Roman" w:hAnsi="Times New Roman"/>
                <w:sz w:val="28"/>
                <w:szCs w:val="28"/>
              </w:rPr>
              <w:t xml:space="preserve">(profesionālo </w:t>
            </w:r>
            <w:r w:rsidR="00EF51D4" w:rsidRPr="00412C7A">
              <w:rPr>
                <w:rFonts w:ascii="Times New Roman" w:hAnsi="Times New Roman"/>
                <w:sz w:val="28"/>
                <w:szCs w:val="28"/>
              </w:rPr>
              <w:t>doktora diplomu mākslās</w:t>
            </w:r>
            <w:r w:rsidR="00EF51D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izsniegšanu </w:t>
            </w:r>
            <w:r w:rsidRPr="00BC7C7B">
              <w:rPr>
                <w:rFonts w:ascii="Times New Roman" w:hAnsi="Times New Roman"/>
                <w:sz w:val="28"/>
                <w:szCs w:val="28"/>
              </w:rPr>
              <w:t>pēc profesionāl</w:t>
            </w:r>
            <w:r w:rsidR="00EF51D4">
              <w:rPr>
                <w:rFonts w:ascii="Times New Roman" w:hAnsi="Times New Roman"/>
                <w:sz w:val="28"/>
                <w:szCs w:val="28"/>
              </w:rPr>
              <w:t>o</w:t>
            </w:r>
            <w:r w:rsidRPr="00BC7C7B">
              <w:rPr>
                <w:rFonts w:ascii="Times New Roman" w:hAnsi="Times New Roman"/>
                <w:sz w:val="28"/>
                <w:szCs w:val="28"/>
              </w:rPr>
              <w:t xml:space="preserve"> doktora studiju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mākslās</w:t>
            </w:r>
            <w:r w:rsidRPr="00BC7C7B">
              <w:rPr>
                <w:rFonts w:ascii="Times New Roman" w:hAnsi="Times New Roman"/>
                <w:sz w:val="28"/>
                <w:szCs w:val="28"/>
              </w:rPr>
              <w:t xml:space="preserve"> beigšanas</w:t>
            </w:r>
            <w:r w:rsidR="00EF51D4">
              <w:rPr>
                <w:rFonts w:ascii="Times New Roman" w:hAnsi="Times New Roman"/>
                <w:sz w:val="28"/>
                <w:szCs w:val="28"/>
              </w:rPr>
              <w:t xml:space="preserve"> un </w:t>
            </w:r>
            <w:r w:rsidRPr="00BC7C7B">
              <w:rPr>
                <w:rFonts w:ascii="Times New Roman" w:hAnsi="Times New Roman"/>
                <w:sz w:val="28"/>
                <w:szCs w:val="28"/>
              </w:rPr>
              <w:t>profesionālā doktora grāda mākslās iegūšanas</w:t>
            </w:r>
            <w:r w:rsidR="00EF5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6AAC" w:rsidRPr="003145EF" w:rsidTr="00B1674F">
        <w:trPr>
          <w:trHeight w:val="846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AC" w:rsidRPr="003145EF" w:rsidRDefault="00066AAC" w:rsidP="0006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AC" w:rsidRPr="003145EF" w:rsidRDefault="00066AAC" w:rsidP="00066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sz w:val="28"/>
                <w:szCs w:val="28"/>
              </w:rPr>
              <w:t>Atbildīgā institūcija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AC" w:rsidRPr="003145EF" w:rsidRDefault="00066AAC" w:rsidP="00342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Kultūras ministrija, </w:t>
            </w:r>
            <w:r w:rsidRPr="00066AAC">
              <w:rPr>
                <w:rFonts w:ascii="Times New Roman" w:hAnsi="Times New Roman" w:cs="Times New Roman"/>
                <w:sz w:val="28"/>
                <w:szCs w:val="28"/>
              </w:rPr>
              <w:t>augstskolas, kuras īsteno profesion</w:t>
            </w:r>
            <w:r w:rsidR="00153C7E">
              <w:rPr>
                <w:rFonts w:ascii="Times New Roman" w:hAnsi="Times New Roman" w:cs="Times New Roman"/>
                <w:sz w:val="28"/>
                <w:szCs w:val="28"/>
              </w:rPr>
              <w:t>āl</w:t>
            </w:r>
            <w:r w:rsidR="00342B7B">
              <w:rPr>
                <w:rFonts w:ascii="Times New Roman" w:hAnsi="Times New Roman" w:cs="Times New Roman"/>
                <w:sz w:val="28"/>
                <w:szCs w:val="28"/>
              </w:rPr>
              <w:t>ās</w:t>
            </w:r>
            <w:r w:rsidRPr="00066AAC">
              <w:rPr>
                <w:rFonts w:ascii="Times New Roman" w:hAnsi="Times New Roman" w:cs="Times New Roman"/>
                <w:sz w:val="28"/>
                <w:szCs w:val="28"/>
              </w:rPr>
              <w:t xml:space="preserve"> doktora studiju programm</w:t>
            </w:r>
            <w:r w:rsidR="00342B7B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Pr="00066AAC">
              <w:rPr>
                <w:rFonts w:ascii="Times New Roman" w:hAnsi="Times New Roman" w:cs="Times New Roman"/>
                <w:sz w:val="28"/>
                <w:szCs w:val="28"/>
              </w:rPr>
              <w:t xml:space="preserve"> mākslās</w:t>
            </w:r>
            <w:r w:rsidRPr="00066AA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066AAC" w:rsidRPr="003145EF" w:rsidTr="00066AAC">
        <w:trPr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AC" w:rsidRPr="003145EF" w:rsidRDefault="00066AAC" w:rsidP="0006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AC" w:rsidRPr="003145EF" w:rsidRDefault="00066AAC" w:rsidP="00066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AC" w:rsidRPr="003145EF" w:rsidRDefault="00066AAC" w:rsidP="00066AAC">
            <w:pPr>
              <w:pStyle w:val="tvhtml"/>
              <w:spacing w:before="0" w:beforeAutospacing="0" w:after="0" w:afterAutospacing="0"/>
              <w:rPr>
                <w:sz w:val="28"/>
                <w:szCs w:val="28"/>
              </w:rPr>
            </w:pPr>
            <w:r w:rsidRPr="003145EF">
              <w:rPr>
                <w:sz w:val="28"/>
                <w:szCs w:val="28"/>
              </w:rPr>
              <w:t>Nav</w:t>
            </w:r>
          </w:p>
        </w:tc>
      </w:tr>
    </w:tbl>
    <w:p w:rsidR="006C4F46" w:rsidRDefault="006C4F46" w:rsidP="006C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6C4F46" w:rsidRPr="00A55C27" w:rsidTr="00B1674F">
        <w:trPr>
          <w:trHeight w:val="758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6C4F46" w:rsidRPr="00A55C27" w:rsidTr="00B1674F">
        <w:trPr>
          <w:trHeight w:val="587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D71827" w:rsidRDefault="00D71827" w:rsidP="006C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7"/>
        <w:gridCol w:w="3483"/>
        <w:gridCol w:w="5221"/>
      </w:tblGrid>
      <w:tr w:rsidR="00D71827" w:rsidRPr="003145EF" w:rsidTr="00B1674F">
        <w:trPr>
          <w:trHeight w:val="614"/>
          <w:tblCellSpacing w:w="15" w:type="dxa"/>
          <w:jc w:val="center"/>
        </w:trPr>
        <w:tc>
          <w:tcPr>
            <w:tcW w:w="91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827" w:rsidRPr="003145EF" w:rsidRDefault="00D71827" w:rsidP="00B1008D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145EF">
              <w:rPr>
                <w:b/>
                <w:bCs/>
                <w:sz w:val="28"/>
                <w:szCs w:val="28"/>
              </w:rPr>
              <w:t>VI. Sabiedrības līdzdalība un komunikācijas aktivitātes</w:t>
            </w:r>
          </w:p>
        </w:tc>
      </w:tr>
      <w:tr w:rsidR="00D71827" w:rsidRPr="000474AF" w:rsidTr="00B1008D">
        <w:trPr>
          <w:trHeight w:val="540"/>
          <w:tblCellSpacing w:w="15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827" w:rsidRPr="000474AF" w:rsidRDefault="00D71827" w:rsidP="00B10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827" w:rsidRPr="000474AF" w:rsidRDefault="00D71827" w:rsidP="00B1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827" w:rsidRDefault="00F5168A" w:rsidP="00F51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pirms tā izsludināšanas Valsts sekretāru sanāksmē ir saskaņots ar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Jāzepa Vītola Latvijas Mūzikas akadēmiju, Latvijas Mākslas akadēmiju, Latvijas Kultūras akadēmiju,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Latvijas Studentu apvienību, Latvijas Zinātnes padomi un Augstākās izglītības padomi.</w:t>
            </w:r>
          </w:p>
        </w:tc>
      </w:tr>
      <w:tr w:rsidR="00D71827" w:rsidRPr="000474AF" w:rsidTr="00B1008D">
        <w:trPr>
          <w:trHeight w:val="330"/>
          <w:tblCellSpacing w:w="15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827" w:rsidRPr="000474AF" w:rsidRDefault="00D71827" w:rsidP="00B10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827" w:rsidRPr="000474AF" w:rsidRDefault="00D71827" w:rsidP="00B1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Sabiedrības līdzdalība projekta izstrādē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827" w:rsidRDefault="00D71827" w:rsidP="00B1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Pirms Augstskolu likuma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2018.gada 1.februāra grozījumu izstrādes par Augstskolu likuma grozījumiem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 saistībā ar Projektu notikušas konsultācijas ar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Jāzepa Vītola Latvijas Mūzikas akadēmiju, Latvijas Mākslas akadēmiju un Latvijas Kultūras akadēmiju, Kultūras ministrijai rīkojot tikšanās ar augstskolām (2018.gada 18.janvārī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Kultūras ministrijā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), kā arī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Latvijas Studentu apvienību (2016.gada 15.septembrī tikšanās Kultūras ministrijā), ar Latvijas Zinātnes padomi (2017.gada 16.februārī Latvijas Zinātnes padome sēdē), ar Augstākās izglītības padomi (2017.gada 2.martā Augstākas izglītības padomes sēdē). </w:t>
            </w:r>
          </w:p>
        </w:tc>
      </w:tr>
      <w:tr w:rsidR="00D71827" w:rsidRPr="003145EF" w:rsidTr="00B1008D">
        <w:trPr>
          <w:trHeight w:val="465"/>
          <w:tblCellSpacing w:w="15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827" w:rsidRPr="003145EF" w:rsidRDefault="00D71827" w:rsidP="00B10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827" w:rsidRPr="003145EF" w:rsidRDefault="00D71827" w:rsidP="00B1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sz w:val="28"/>
                <w:szCs w:val="28"/>
              </w:rPr>
              <w:t>Sabiedrības līdzdalības rezultāti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827" w:rsidRDefault="00D71827" w:rsidP="00A3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Pirms Projekta izsludināšanas Valsts sekretāru sanāksmē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Jāzepa Vītola Latvijas Mūzikas akadēmija (2018.gada 18.maijā), Latvijas Mākslas akadēmija (2018.gada 9.aprīlī) un Latvijas Kultūras akadēmija (2018.gada 11.maijā)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ir atsūtījušas Kultūras ministrijai priekšlikumus Projekta redakcijai, izsakot atbalstu sagatavotajam Projektam. </w:t>
            </w:r>
            <w:r w:rsidR="00DB455D">
              <w:rPr>
                <w:rFonts w:ascii="Times New Roman" w:hAnsi="Times New Roman" w:cs="Times New Roman"/>
                <w:sz w:val="28"/>
                <w:szCs w:val="28"/>
              </w:rPr>
              <w:t>Pēc Projekta izsludināšanas Valsts sekretāru sanāksmē</w:t>
            </w:r>
            <w:r w:rsidR="00DB455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Latvijas Studen</w:t>
            </w:r>
            <w:r w:rsidR="00821BD4">
              <w:rPr>
                <w:rFonts w:ascii="Times New Roman" w:hAnsi="Times New Roman" w:cs="Times New Roman"/>
                <w:sz w:val="28"/>
                <w:szCs w:val="28"/>
              </w:rPr>
              <w:t>tu apvienība 2018.gada 12.jūnija vēstulē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BD4" w:rsidRPr="00EA327F">
              <w:rPr>
                <w:rFonts w:ascii="Times New Roman" w:hAnsi="Times New Roman"/>
                <w:sz w:val="28"/>
                <w:szCs w:val="28"/>
                <w:lang w:eastAsia="lv-LV"/>
              </w:rPr>
              <w:t>Nr.2018/PV14</w:t>
            </w:r>
            <w:r w:rsidR="00FA541B">
              <w:rPr>
                <w:rFonts w:ascii="Times New Roman" w:hAnsi="Times New Roman"/>
                <w:sz w:val="28"/>
                <w:szCs w:val="28"/>
                <w:lang w:eastAsia="lv-LV"/>
              </w:rPr>
              <w:t>, 2018.gada</w:t>
            </w:r>
            <w:r w:rsidR="00A3618D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FA541B">
              <w:rPr>
                <w:rFonts w:ascii="Times New Roman" w:hAnsi="Times New Roman"/>
                <w:sz w:val="28"/>
                <w:szCs w:val="28"/>
                <w:lang w:eastAsia="lv-LV"/>
              </w:rPr>
              <w:t>23.augustā elektroniskā saskaņošanā</w:t>
            </w:r>
            <w:r w:rsidR="00FA541B">
              <w:rPr>
                <w:rFonts w:ascii="Times New Roman" w:hAnsi="Times New Roman" w:cs="Times New Roman"/>
                <w:sz w:val="28"/>
                <w:szCs w:val="28"/>
              </w:rPr>
              <w:t xml:space="preserve"> ir paudusi </w:t>
            </w:r>
            <w:r w:rsidR="00FA541B" w:rsidRPr="003145EF">
              <w:rPr>
                <w:rFonts w:ascii="Times New Roman" w:hAnsi="Times New Roman" w:cs="Times New Roman"/>
                <w:sz w:val="28"/>
                <w:szCs w:val="28"/>
              </w:rPr>
              <w:t>atbalst</w:t>
            </w:r>
            <w:r w:rsidR="00FA541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FA541B" w:rsidRPr="003145EF">
              <w:rPr>
                <w:rFonts w:ascii="Times New Roman" w:hAnsi="Times New Roman" w:cs="Times New Roman"/>
                <w:sz w:val="28"/>
                <w:szCs w:val="28"/>
              </w:rPr>
              <w:t xml:space="preserve"> Projekta turpmākai virzībai</w:t>
            </w:r>
            <w:r w:rsidR="00FA5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541B" w:rsidRPr="00EB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A9F">
              <w:rPr>
                <w:rFonts w:ascii="Times New Roman" w:hAnsi="Times New Roman" w:cs="Times New Roman"/>
                <w:sz w:val="28"/>
                <w:szCs w:val="28"/>
              </w:rPr>
              <w:t>Latvijas Brīvo arodbiedrību savienīb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2018.gada 6.jūnij</w:t>
            </w:r>
            <w:r w:rsidR="00A3618D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="00FA541B">
              <w:rPr>
                <w:rFonts w:ascii="Times New Roman" w:hAnsi="Times New Roman" w:cs="Times New Roman"/>
                <w:sz w:val="28"/>
                <w:szCs w:val="28"/>
              </w:rPr>
              <w:t>, 12.jūlij</w:t>
            </w:r>
            <w:r w:rsidR="00A3618D">
              <w:rPr>
                <w:rFonts w:ascii="Times New Roman" w:hAnsi="Times New Roman" w:cs="Times New Roman"/>
                <w:sz w:val="28"/>
                <w:szCs w:val="28"/>
              </w:rPr>
              <w:t>ā un 20.augustā</w:t>
            </w:r>
            <w:r w:rsidR="00432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41B">
              <w:rPr>
                <w:rFonts w:ascii="Times New Roman" w:hAnsi="Times New Roman" w:cs="Times New Roman"/>
                <w:sz w:val="28"/>
                <w:szCs w:val="28"/>
              </w:rPr>
              <w:t>elektroniskā saskaņošanā</w:t>
            </w:r>
            <w:r w:rsidR="00821BD4">
              <w:rPr>
                <w:rFonts w:ascii="Times New Roman" w:hAnsi="Times New Roman" w:cs="Times New Roman"/>
                <w:sz w:val="28"/>
                <w:szCs w:val="28"/>
              </w:rPr>
              <w:t xml:space="preserve"> ir paudu</w:t>
            </w:r>
            <w:r w:rsidR="00FA541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5EF">
              <w:rPr>
                <w:rFonts w:ascii="Times New Roman" w:hAnsi="Times New Roman" w:cs="Times New Roman"/>
                <w:sz w:val="28"/>
                <w:szCs w:val="28"/>
              </w:rPr>
              <w:t>atbalst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3145EF">
              <w:rPr>
                <w:rFonts w:ascii="Times New Roman" w:hAnsi="Times New Roman" w:cs="Times New Roman"/>
                <w:sz w:val="28"/>
                <w:szCs w:val="28"/>
              </w:rPr>
              <w:t xml:space="preserve"> Projekta turpmākai virzībai.</w:t>
            </w:r>
          </w:p>
        </w:tc>
      </w:tr>
      <w:tr w:rsidR="00D71827" w:rsidRPr="003145EF" w:rsidTr="00B1674F">
        <w:trPr>
          <w:trHeight w:val="161"/>
          <w:tblCellSpacing w:w="15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827" w:rsidRPr="003145EF" w:rsidRDefault="00D71827" w:rsidP="00B10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827" w:rsidRPr="003145EF" w:rsidRDefault="00D71827" w:rsidP="00B1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827" w:rsidRPr="003145EF" w:rsidRDefault="00D71827" w:rsidP="00B1008D">
            <w:pPr>
              <w:pStyle w:val="tvhtml"/>
              <w:spacing w:before="0" w:beforeAutospacing="0" w:after="0" w:afterAutospacing="0"/>
              <w:rPr>
                <w:sz w:val="28"/>
                <w:szCs w:val="28"/>
              </w:rPr>
            </w:pPr>
            <w:r w:rsidRPr="003145EF">
              <w:rPr>
                <w:sz w:val="28"/>
                <w:szCs w:val="28"/>
              </w:rPr>
              <w:t>Nav</w:t>
            </w:r>
          </w:p>
        </w:tc>
      </w:tr>
    </w:tbl>
    <w:p w:rsidR="003B3E00" w:rsidRDefault="003B3E00" w:rsidP="006C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6"/>
        <w:gridCol w:w="2982"/>
        <w:gridCol w:w="5673"/>
      </w:tblGrid>
      <w:tr w:rsidR="006C4F46" w:rsidRPr="00E968BE" w:rsidTr="00B1674F">
        <w:trPr>
          <w:trHeight w:val="894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E968BE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 w:rsidRPr="00E968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6C4F46" w:rsidRPr="00814F57" w:rsidTr="00B1674F">
        <w:trPr>
          <w:trHeight w:val="593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814F5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814F5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Default="006C4F46" w:rsidP="00DF25C6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hAnsi="Times New Roman" w:cs="Times New Roman"/>
                <w:sz w:val="28"/>
                <w:szCs w:val="28"/>
              </w:rPr>
              <w:t xml:space="preserve">Projekta izpildi nodrošinās </w:t>
            </w:r>
            <w:r w:rsidR="00DF25C6">
              <w:rPr>
                <w:rFonts w:ascii="Times New Roman" w:hAnsi="Times New Roman" w:cs="Times New Roman"/>
                <w:sz w:val="28"/>
                <w:szCs w:val="28"/>
              </w:rPr>
              <w:t>augstskolas.</w:t>
            </w:r>
          </w:p>
        </w:tc>
      </w:tr>
      <w:tr w:rsidR="006C4F46" w:rsidRPr="00814F57" w:rsidTr="00B1674F">
        <w:trPr>
          <w:trHeight w:val="3084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814F5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814F5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Default="006C4F46" w:rsidP="00174513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C4F46" w:rsidRPr="00A55C27" w:rsidTr="00B1674F">
        <w:trPr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ind w:left="128" w:right="1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6C4F46" w:rsidRDefault="006C4F46" w:rsidP="006C4F46">
      <w:pPr>
        <w:pStyle w:val="StyleRight"/>
        <w:spacing w:after="0"/>
        <w:ind w:firstLine="0"/>
        <w:jc w:val="both"/>
      </w:pPr>
    </w:p>
    <w:p w:rsidR="00AF74AE" w:rsidRPr="00A55C27" w:rsidRDefault="00AF74AE" w:rsidP="006C4F46">
      <w:pPr>
        <w:pStyle w:val="StyleRight"/>
        <w:spacing w:after="0"/>
        <w:ind w:firstLine="0"/>
        <w:jc w:val="both"/>
      </w:pPr>
    </w:p>
    <w:p w:rsidR="008746C9" w:rsidRPr="00063B17" w:rsidRDefault="008746C9" w:rsidP="00874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63B17">
        <w:rPr>
          <w:rFonts w:ascii="Times New Roman" w:eastAsia="Times New Roman" w:hAnsi="Times New Roman"/>
          <w:sz w:val="28"/>
          <w:szCs w:val="28"/>
          <w:lang w:eastAsia="lv-LV"/>
        </w:rPr>
        <w:t>Kultūras ministre</w:t>
      </w:r>
      <w:r w:rsidRPr="00063B17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63B17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63B17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63B17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63B17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63B17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63B17">
        <w:rPr>
          <w:rFonts w:ascii="Times New Roman" w:eastAsia="Times New Roman" w:hAnsi="Times New Roman"/>
          <w:sz w:val="28"/>
          <w:szCs w:val="28"/>
          <w:lang w:eastAsia="lv-LV"/>
        </w:rPr>
        <w:t>D.Melbārde</w:t>
      </w:r>
    </w:p>
    <w:p w:rsidR="006C4F46" w:rsidRPr="00A55C27" w:rsidRDefault="006C4F46" w:rsidP="006C4F46">
      <w:pPr>
        <w:pStyle w:val="StyleRight"/>
        <w:spacing w:after="0"/>
        <w:ind w:firstLine="0"/>
        <w:jc w:val="both"/>
      </w:pPr>
    </w:p>
    <w:p w:rsidR="006C4F46" w:rsidRPr="00A55C27" w:rsidRDefault="006C4F46" w:rsidP="006C4F46">
      <w:pPr>
        <w:pStyle w:val="StyleRight"/>
        <w:spacing w:after="0"/>
        <w:ind w:firstLine="0"/>
        <w:jc w:val="both"/>
      </w:pPr>
      <w:r>
        <w:rPr>
          <w:lang w:eastAsia="ru-RU"/>
        </w:rPr>
        <w:t>Vīza: Valsts sekretāre</w:t>
      </w:r>
      <w:r w:rsidRPr="00A55C27">
        <w:rPr>
          <w:lang w:eastAsia="ru-RU"/>
        </w:rPr>
        <w:tab/>
      </w:r>
      <w:r w:rsidRPr="00A55C27">
        <w:rPr>
          <w:lang w:eastAsia="ru-RU"/>
        </w:rPr>
        <w:tab/>
      </w:r>
      <w:r w:rsidRPr="00A55C27">
        <w:rPr>
          <w:lang w:eastAsia="ru-RU"/>
        </w:rPr>
        <w:tab/>
      </w:r>
      <w:r w:rsidRPr="00A55C27">
        <w:rPr>
          <w:lang w:eastAsia="ru-RU"/>
        </w:rPr>
        <w:tab/>
      </w:r>
      <w:r w:rsidRPr="00A55C27">
        <w:rPr>
          <w:lang w:eastAsia="ru-RU"/>
        </w:rPr>
        <w:tab/>
      </w:r>
      <w:r w:rsidRPr="00A55C27">
        <w:rPr>
          <w:lang w:eastAsia="ru-RU"/>
        </w:rPr>
        <w:tab/>
      </w:r>
      <w:r>
        <w:rPr>
          <w:lang w:eastAsia="ru-RU"/>
        </w:rPr>
        <w:tab/>
        <w:t>D.Vilsone</w:t>
      </w:r>
    </w:p>
    <w:p w:rsidR="006C4F46" w:rsidRPr="00A55C27" w:rsidRDefault="006C4F46" w:rsidP="006C4F46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</w:rPr>
      </w:pPr>
    </w:p>
    <w:p w:rsidR="00DF25C6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F25C6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F74AE" w:rsidRDefault="00AF74AE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F74AE" w:rsidRDefault="00AF74AE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F74AE" w:rsidRDefault="00AF74AE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F74AE" w:rsidRDefault="00AF74AE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F74AE" w:rsidRDefault="00AF74AE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F74AE" w:rsidRDefault="00AF74AE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F74AE" w:rsidRDefault="00AF74AE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F74AE" w:rsidRDefault="00AF74AE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F74AE" w:rsidRDefault="00AF74AE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8102E" w:rsidRDefault="00B8102E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8102E" w:rsidRDefault="00B8102E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8102E" w:rsidRDefault="00B8102E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1674F" w:rsidRDefault="00B1674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1674F" w:rsidRDefault="00B1674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1674F" w:rsidRDefault="00B1674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1674F" w:rsidRDefault="00B1674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1674F" w:rsidRDefault="00B1674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1674F" w:rsidRDefault="00B1674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1674F" w:rsidRDefault="00B1674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47699" w:rsidRDefault="00B47699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47699" w:rsidRDefault="00B47699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C4F46" w:rsidRPr="00166913" w:rsidRDefault="00DF25C6" w:rsidP="006C4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Rūsiņa</w:t>
      </w:r>
      <w:r w:rsidR="006C4F46" w:rsidRPr="0016691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67330206</w:t>
      </w:r>
    </w:p>
    <w:p w:rsidR="00174513" w:rsidRDefault="00DF25C6" w:rsidP="00AF74AE">
      <w:pPr>
        <w:pStyle w:val="StyleRight"/>
        <w:tabs>
          <w:tab w:val="left" w:pos="2552"/>
        </w:tabs>
        <w:spacing w:after="0"/>
        <w:ind w:firstLine="0"/>
        <w:jc w:val="left"/>
      </w:pPr>
      <w:r>
        <w:rPr>
          <w:color w:val="0000FF"/>
          <w:sz w:val="20"/>
          <w:szCs w:val="20"/>
          <w:u w:val="single"/>
          <w:lang w:eastAsia="lv-LV"/>
        </w:rPr>
        <w:t>Lolita.Rusina@km.gov.lv</w:t>
      </w:r>
    </w:p>
    <w:sectPr w:rsidR="00174513" w:rsidSect="006C196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7EA7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7EA70A" w16cid:durableId="1F167C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D4" w:rsidRDefault="00EF51D4" w:rsidP="006C4F46">
      <w:pPr>
        <w:spacing w:after="0" w:line="240" w:lineRule="auto"/>
      </w:pPr>
      <w:r>
        <w:separator/>
      </w:r>
    </w:p>
  </w:endnote>
  <w:endnote w:type="continuationSeparator" w:id="0">
    <w:p w:rsidR="00EF51D4" w:rsidRDefault="00EF51D4" w:rsidP="006C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D4" w:rsidRPr="00B8445F" w:rsidRDefault="00EF51D4" w:rsidP="00CE39E2">
    <w:pPr>
      <w:spacing w:after="0" w:line="240" w:lineRule="auto"/>
    </w:pPr>
    <w:r w:rsidRPr="006C1968">
      <w:rPr>
        <w:rFonts w:ascii="Times New Roman" w:hAnsi="Times New Roman"/>
        <w:sz w:val="20"/>
        <w:szCs w:val="20"/>
      </w:rPr>
      <w:t>KMAnot_</w:t>
    </w:r>
    <w:r>
      <w:rPr>
        <w:rFonts w:ascii="Times New Roman" w:hAnsi="Times New Roman"/>
        <w:sz w:val="20"/>
        <w:szCs w:val="20"/>
      </w:rPr>
      <w:t>2808</w:t>
    </w:r>
    <w:r w:rsidRPr="006C1968">
      <w:rPr>
        <w:rFonts w:ascii="Times New Roman" w:hAnsi="Times New Roman"/>
        <w:sz w:val="20"/>
        <w:szCs w:val="20"/>
      </w:rPr>
      <w:t>18_prof_doktors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D4" w:rsidRPr="006C1968" w:rsidRDefault="00EF51D4" w:rsidP="006C1968">
    <w:pPr>
      <w:spacing w:after="0" w:line="240" w:lineRule="auto"/>
      <w:rPr>
        <w:sz w:val="20"/>
        <w:szCs w:val="20"/>
      </w:rPr>
    </w:pPr>
    <w:r w:rsidRPr="006C1968">
      <w:rPr>
        <w:rFonts w:ascii="Times New Roman" w:hAnsi="Times New Roman"/>
        <w:sz w:val="20"/>
        <w:szCs w:val="20"/>
      </w:rPr>
      <w:t>KMAnot_</w:t>
    </w:r>
    <w:r>
      <w:rPr>
        <w:rFonts w:ascii="Times New Roman" w:hAnsi="Times New Roman"/>
        <w:sz w:val="20"/>
        <w:szCs w:val="20"/>
      </w:rPr>
      <w:t>2808</w:t>
    </w:r>
    <w:r w:rsidRPr="006C1968">
      <w:rPr>
        <w:rFonts w:ascii="Times New Roman" w:hAnsi="Times New Roman"/>
        <w:sz w:val="20"/>
        <w:szCs w:val="20"/>
      </w:rPr>
      <w:t>18_prof_doktors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D4" w:rsidRDefault="00EF51D4" w:rsidP="006C4F46">
      <w:pPr>
        <w:spacing w:after="0" w:line="240" w:lineRule="auto"/>
      </w:pPr>
      <w:r>
        <w:separator/>
      </w:r>
    </w:p>
  </w:footnote>
  <w:footnote w:type="continuationSeparator" w:id="0">
    <w:p w:rsidR="00EF51D4" w:rsidRDefault="00EF51D4" w:rsidP="006C4F46">
      <w:pPr>
        <w:spacing w:after="0" w:line="240" w:lineRule="auto"/>
      </w:pPr>
      <w:r>
        <w:continuationSeparator/>
      </w:r>
    </w:p>
  </w:footnote>
  <w:footnote w:id="1">
    <w:p w:rsidR="00EF51D4" w:rsidRPr="00E9053E" w:rsidRDefault="00EF51D4">
      <w:pPr>
        <w:pStyle w:val="Vresteksts"/>
        <w:rPr>
          <w:rFonts w:ascii="Times New Roman" w:hAnsi="Times New Roman" w:cs="Times New Roman"/>
        </w:rPr>
      </w:pPr>
      <w:r w:rsidRPr="00E9053E">
        <w:rPr>
          <w:rStyle w:val="Vresatsauce"/>
          <w:rFonts w:ascii="Times New Roman" w:hAnsi="Times New Roman" w:cs="Times New Roman"/>
        </w:rPr>
        <w:footnoteRef/>
      </w:r>
      <w:r w:rsidRPr="00E9053E">
        <w:rPr>
          <w:rFonts w:ascii="Times New Roman" w:hAnsi="Times New Roman" w:cs="Times New Roman"/>
        </w:rPr>
        <w:t xml:space="preserve"> </w:t>
      </w:r>
      <w:hyperlink r:id="rId1" w:history="1">
        <w:r w:rsidRPr="009B0D83">
          <w:rPr>
            <w:rStyle w:val="Hipersaite"/>
            <w:rFonts w:ascii="Times New Roman" w:hAnsi="Times New Roman" w:cs="Times New Roman"/>
          </w:rPr>
          <w:t>https://www.km.gov.lv/uploads/ckeditor/files/KM_dokumenti/Radosa_Latvija.pdf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2">
    <w:p w:rsidR="00EF51D4" w:rsidRDefault="00EF51D4">
      <w:pPr>
        <w:pStyle w:val="Vresteksts"/>
      </w:pPr>
      <w:r w:rsidRPr="00E9053E">
        <w:rPr>
          <w:rStyle w:val="Vresatsauce"/>
          <w:rFonts w:ascii="Times New Roman" w:hAnsi="Times New Roman" w:cs="Times New Roman"/>
        </w:rPr>
        <w:footnoteRef/>
      </w:r>
      <w:hyperlink r:id="rId2" w:history="1">
        <w:r w:rsidRPr="009B0D83">
          <w:rPr>
            <w:rStyle w:val="Hipersaite"/>
            <w:rFonts w:ascii="Times New Roman" w:hAnsi="Times New Roman" w:cs="Times New Roman"/>
          </w:rPr>
          <w:t>http://www.izm.gov.lv/images/izglitiba_augst/Pasaules_Banka/Doktora_limena_studijas_un_promocijas_sistema_Latvija.pdf</w:t>
        </w:r>
      </w:hyperlink>
      <w:r>
        <w:rPr>
          <w:rFonts w:ascii="Times New Roman" w:hAnsi="Times New Roman" w:cs="Times New Roman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7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F51D4" w:rsidRPr="00125F9B" w:rsidRDefault="008F6826">
        <w:pPr>
          <w:pStyle w:val="Galvene"/>
          <w:jc w:val="center"/>
          <w:rPr>
            <w:rFonts w:ascii="Times New Roman" w:hAnsi="Times New Roman" w:cs="Times New Roman"/>
          </w:rPr>
        </w:pPr>
        <w:r w:rsidRPr="00125F9B">
          <w:rPr>
            <w:rFonts w:ascii="Times New Roman" w:hAnsi="Times New Roman" w:cs="Times New Roman"/>
          </w:rPr>
          <w:fldChar w:fldCharType="begin"/>
        </w:r>
        <w:r w:rsidR="00EF51D4" w:rsidRPr="00125F9B">
          <w:rPr>
            <w:rFonts w:ascii="Times New Roman" w:hAnsi="Times New Roman" w:cs="Times New Roman"/>
          </w:rPr>
          <w:instrText xml:space="preserve"> PAGE   \* MERGEFORMAT </w:instrText>
        </w:r>
        <w:r w:rsidRPr="00125F9B">
          <w:rPr>
            <w:rFonts w:ascii="Times New Roman" w:hAnsi="Times New Roman" w:cs="Times New Roman"/>
          </w:rPr>
          <w:fldChar w:fldCharType="separate"/>
        </w:r>
        <w:r w:rsidR="00342B7B">
          <w:rPr>
            <w:rFonts w:ascii="Times New Roman" w:hAnsi="Times New Roman" w:cs="Times New Roman"/>
            <w:noProof/>
          </w:rPr>
          <w:t>9</w:t>
        </w:r>
        <w:r w:rsidRPr="00125F9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685F"/>
    <w:multiLevelType w:val="hybridMultilevel"/>
    <w:tmpl w:val="F06E399C"/>
    <w:lvl w:ilvl="0" w:tplc="988E1974">
      <w:start w:val="26"/>
      <w:numFmt w:val="bullet"/>
      <w:lvlText w:val="–"/>
      <w:lvlJc w:val="left"/>
      <w:pPr>
        <w:ind w:left="913" w:hanging="360"/>
      </w:pPr>
      <w:rPr>
        <w:rFonts w:ascii="Calibri" w:eastAsia="Times New Roman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5FE176FE"/>
    <w:multiLevelType w:val="hybridMultilevel"/>
    <w:tmpl w:val="3022062C"/>
    <w:lvl w:ilvl="0" w:tplc="E1065F5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B381E"/>
    <w:multiLevelType w:val="hybridMultilevel"/>
    <w:tmpl w:val="281AF4E6"/>
    <w:lvl w:ilvl="0" w:tplc="654CB108">
      <w:start w:val="26"/>
      <w:numFmt w:val="bullet"/>
      <w:lvlText w:val="-"/>
      <w:lvlJc w:val="left"/>
      <w:pPr>
        <w:ind w:left="91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Ērika Inkina">
    <w15:presenceInfo w15:providerId="AD" w15:userId="S-1-5-21-3313685600-2057428580-2752540593-50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F46"/>
    <w:rsid w:val="00000BE0"/>
    <w:rsid w:val="00001781"/>
    <w:rsid w:val="00021BC8"/>
    <w:rsid w:val="00025ED6"/>
    <w:rsid w:val="00031772"/>
    <w:rsid w:val="000327CD"/>
    <w:rsid w:val="000371FE"/>
    <w:rsid w:val="00043B99"/>
    <w:rsid w:val="00055242"/>
    <w:rsid w:val="00061AA5"/>
    <w:rsid w:val="00066AAC"/>
    <w:rsid w:val="00094727"/>
    <w:rsid w:val="00095572"/>
    <w:rsid w:val="000971D1"/>
    <w:rsid w:val="000A338B"/>
    <w:rsid w:val="000B1B5D"/>
    <w:rsid w:val="000B4C68"/>
    <w:rsid w:val="000D1827"/>
    <w:rsid w:val="000D3FD4"/>
    <w:rsid w:val="000D4DAB"/>
    <w:rsid w:val="000F5B78"/>
    <w:rsid w:val="001042B3"/>
    <w:rsid w:val="00117D25"/>
    <w:rsid w:val="00123F6F"/>
    <w:rsid w:val="00153C7E"/>
    <w:rsid w:val="00162BC4"/>
    <w:rsid w:val="00164DCC"/>
    <w:rsid w:val="00164F00"/>
    <w:rsid w:val="00174513"/>
    <w:rsid w:val="0017455A"/>
    <w:rsid w:val="001835AC"/>
    <w:rsid w:val="001871AA"/>
    <w:rsid w:val="00193920"/>
    <w:rsid w:val="001A030D"/>
    <w:rsid w:val="001A0CF6"/>
    <w:rsid w:val="001A50A4"/>
    <w:rsid w:val="001A6ED6"/>
    <w:rsid w:val="001A7D91"/>
    <w:rsid w:val="001C5CB2"/>
    <w:rsid w:val="001D3F09"/>
    <w:rsid w:val="001E348A"/>
    <w:rsid w:val="001F5697"/>
    <w:rsid w:val="001F5825"/>
    <w:rsid w:val="002041B9"/>
    <w:rsid w:val="00210CEB"/>
    <w:rsid w:val="00222DCE"/>
    <w:rsid w:val="00231D8D"/>
    <w:rsid w:val="00231FB5"/>
    <w:rsid w:val="002326EF"/>
    <w:rsid w:val="002375AA"/>
    <w:rsid w:val="00251026"/>
    <w:rsid w:val="0025519B"/>
    <w:rsid w:val="00260547"/>
    <w:rsid w:val="00265477"/>
    <w:rsid w:val="00270DFC"/>
    <w:rsid w:val="00281929"/>
    <w:rsid w:val="00284273"/>
    <w:rsid w:val="002D6AB7"/>
    <w:rsid w:val="002E48CE"/>
    <w:rsid w:val="002F0B7E"/>
    <w:rsid w:val="00300658"/>
    <w:rsid w:val="0030544E"/>
    <w:rsid w:val="0031202F"/>
    <w:rsid w:val="003247A6"/>
    <w:rsid w:val="00326113"/>
    <w:rsid w:val="00340972"/>
    <w:rsid w:val="00341050"/>
    <w:rsid w:val="00342B7B"/>
    <w:rsid w:val="00345B77"/>
    <w:rsid w:val="00353735"/>
    <w:rsid w:val="00371906"/>
    <w:rsid w:val="00371C53"/>
    <w:rsid w:val="00380BAD"/>
    <w:rsid w:val="00380F0B"/>
    <w:rsid w:val="00390481"/>
    <w:rsid w:val="003B3891"/>
    <w:rsid w:val="003B3E00"/>
    <w:rsid w:val="003C3D12"/>
    <w:rsid w:val="003C41BC"/>
    <w:rsid w:val="003D632D"/>
    <w:rsid w:val="003D6674"/>
    <w:rsid w:val="003E0CC4"/>
    <w:rsid w:val="003E339E"/>
    <w:rsid w:val="003F5AD9"/>
    <w:rsid w:val="003F605C"/>
    <w:rsid w:val="004309A9"/>
    <w:rsid w:val="00432F46"/>
    <w:rsid w:val="0043725D"/>
    <w:rsid w:val="00452822"/>
    <w:rsid w:val="0045358B"/>
    <w:rsid w:val="00490E84"/>
    <w:rsid w:val="00491B27"/>
    <w:rsid w:val="0049537D"/>
    <w:rsid w:val="004E134F"/>
    <w:rsid w:val="004F177C"/>
    <w:rsid w:val="00500663"/>
    <w:rsid w:val="00506A2B"/>
    <w:rsid w:val="00511D55"/>
    <w:rsid w:val="0053205E"/>
    <w:rsid w:val="005411DA"/>
    <w:rsid w:val="00545921"/>
    <w:rsid w:val="005512BD"/>
    <w:rsid w:val="00555176"/>
    <w:rsid w:val="005624A8"/>
    <w:rsid w:val="00566705"/>
    <w:rsid w:val="00572E91"/>
    <w:rsid w:val="00573460"/>
    <w:rsid w:val="0057655B"/>
    <w:rsid w:val="00581076"/>
    <w:rsid w:val="00583C0C"/>
    <w:rsid w:val="00583CA3"/>
    <w:rsid w:val="0059096F"/>
    <w:rsid w:val="00595B93"/>
    <w:rsid w:val="005A2139"/>
    <w:rsid w:val="005A584B"/>
    <w:rsid w:val="005A6C83"/>
    <w:rsid w:val="005B1949"/>
    <w:rsid w:val="005B491E"/>
    <w:rsid w:val="005B582D"/>
    <w:rsid w:val="005D2E46"/>
    <w:rsid w:val="005D7A7B"/>
    <w:rsid w:val="005E5D68"/>
    <w:rsid w:val="005E6853"/>
    <w:rsid w:val="005E695A"/>
    <w:rsid w:val="005F0F3E"/>
    <w:rsid w:val="005F2033"/>
    <w:rsid w:val="005F4F95"/>
    <w:rsid w:val="005F6FFC"/>
    <w:rsid w:val="0060099D"/>
    <w:rsid w:val="006045BE"/>
    <w:rsid w:val="00606AE2"/>
    <w:rsid w:val="00610471"/>
    <w:rsid w:val="00613F82"/>
    <w:rsid w:val="0061541C"/>
    <w:rsid w:val="00615F48"/>
    <w:rsid w:val="0061663F"/>
    <w:rsid w:val="00622EB0"/>
    <w:rsid w:val="00632068"/>
    <w:rsid w:val="00636F5F"/>
    <w:rsid w:val="00642504"/>
    <w:rsid w:val="006468D9"/>
    <w:rsid w:val="00651A17"/>
    <w:rsid w:val="006542E4"/>
    <w:rsid w:val="00656657"/>
    <w:rsid w:val="00662529"/>
    <w:rsid w:val="0066326B"/>
    <w:rsid w:val="00674044"/>
    <w:rsid w:val="00674064"/>
    <w:rsid w:val="0067406D"/>
    <w:rsid w:val="00676084"/>
    <w:rsid w:val="00676403"/>
    <w:rsid w:val="0067785F"/>
    <w:rsid w:val="00682CE2"/>
    <w:rsid w:val="006848F9"/>
    <w:rsid w:val="00690720"/>
    <w:rsid w:val="00690C82"/>
    <w:rsid w:val="006C1968"/>
    <w:rsid w:val="006C4DC3"/>
    <w:rsid w:val="006C4F46"/>
    <w:rsid w:val="006C777B"/>
    <w:rsid w:val="006D39D6"/>
    <w:rsid w:val="006D76AD"/>
    <w:rsid w:val="006E2AF1"/>
    <w:rsid w:val="006E39B1"/>
    <w:rsid w:val="006F1500"/>
    <w:rsid w:val="00707E88"/>
    <w:rsid w:val="00715A06"/>
    <w:rsid w:val="007162D0"/>
    <w:rsid w:val="00720571"/>
    <w:rsid w:val="00722286"/>
    <w:rsid w:val="007274B8"/>
    <w:rsid w:val="00730529"/>
    <w:rsid w:val="00737491"/>
    <w:rsid w:val="00741743"/>
    <w:rsid w:val="007433B3"/>
    <w:rsid w:val="0074370C"/>
    <w:rsid w:val="00752C3F"/>
    <w:rsid w:val="0075402D"/>
    <w:rsid w:val="0075648B"/>
    <w:rsid w:val="0076284B"/>
    <w:rsid w:val="0077637C"/>
    <w:rsid w:val="007847F5"/>
    <w:rsid w:val="007A214B"/>
    <w:rsid w:val="007A30A0"/>
    <w:rsid w:val="007A632B"/>
    <w:rsid w:val="007B41B8"/>
    <w:rsid w:val="007B7867"/>
    <w:rsid w:val="007C4284"/>
    <w:rsid w:val="007D108D"/>
    <w:rsid w:val="007D1FC7"/>
    <w:rsid w:val="007E457F"/>
    <w:rsid w:val="00804FCA"/>
    <w:rsid w:val="00807886"/>
    <w:rsid w:val="008106AB"/>
    <w:rsid w:val="00821BD4"/>
    <w:rsid w:val="008237A7"/>
    <w:rsid w:val="008252FD"/>
    <w:rsid w:val="0084666B"/>
    <w:rsid w:val="00871B01"/>
    <w:rsid w:val="008746C9"/>
    <w:rsid w:val="00887B9E"/>
    <w:rsid w:val="00894BE0"/>
    <w:rsid w:val="00896100"/>
    <w:rsid w:val="008B17C5"/>
    <w:rsid w:val="008B1BAE"/>
    <w:rsid w:val="008C22EA"/>
    <w:rsid w:val="008C2453"/>
    <w:rsid w:val="008C3986"/>
    <w:rsid w:val="008C4127"/>
    <w:rsid w:val="008D1378"/>
    <w:rsid w:val="008D435A"/>
    <w:rsid w:val="008E68DA"/>
    <w:rsid w:val="008F6826"/>
    <w:rsid w:val="008F75A8"/>
    <w:rsid w:val="009077BC"/>
    <w:rsid w:val="00912723"/>
    <w:rsid w:val="00914294"/>
    <w:rsid w:val="00920981"/>
    <w:rsid w:val="00932175"/>
    <w:rsid w:val="00936893"/>
    <w:rsid w:val="00953D75"/>
    <w:rsid w:val="009641B0"/>
    <w:rsid w:val="00972727"/>
    <w:rsid w:val="00972FCC"/>
    <w:rsid w:val="00985DBC"/>
    <w:rsid w:val="009A0867"/>
    <w:rsid w:val="009A1A9C"/>
    <w:rsid w:val="009A5D26"/>
    <w:rsid w:val="009A7CE8"/>
    <w:rsid w:val="009B28EC"/>
    <w:rsid w:val="009C0FEB"/>
    <w:rsid w:val="009C7952"/>
    <w:rsid w:val="009E1818"/>
    <w:rsid w:val="009F0B8F"/>
    <w:rsid w:val="009F25FC"/>
    <w:rsid w:val="00A01D3E"/>
    <w:rsid w:val="00A041BE"/>
    <w:rsid w:val="00A1797B"/>
    <w:rsid w:val="00A25D21"/>
    <w:rsid w:val="00A26130"/>
    <w:rsid w:val="00A3618D"/>
    <w:rsid w:val="00A44EC9"/>
    <w:rsid w:val="00A466B2"/>
    <w:rsid w:val="00A564F2"/>
    <w:rsid w:val="00A610B3"/>
    <w:rsid w:val="00A73251"/>
    <w:rsid w:val="00A76258"/>
    <w:rsid w:val="00A82E87"/>
    <w:rsid w:val="00A841F3"/>
    <w:rsid w:val="00A85035"/>
    <w:rsid w:val="00A86307"/>
    <w:rsid w:val="00A95D8E"/>
    <w:rsid w:val="00A96045"/>
    <w:rsid w:val="00A9687B"/>
    <w:rsid w:val="00AA226F"/>
    <w:rsid w:val="00AB2855"/>
    <w:rsid w:val="00AB30E7"/>
    <w:rsid w:val="00AB4D0A"/>
    <w:rsid w:val="00AB5BD0"/>
    <w:rsid w:val="00AC0995"/>
    <w:rsid w:val="00AD022B"/>
    <w:rsid w:val="00AD2D44"/>
    <w:rsid w:val="00AE1D9C"/>
    <w:rsid w:val="00AF5F26"/>
    <w:rsid w:val="00AF74AE"/>
    <w:rsid w:val="00B064A6"/>
    <w:rsid w:val="00B07E93"/>
    <w:rsid w:val="00B1008D"/>
    <w:rsid w:val="00B10A60"/>
    <w:rsid w:val="00B14D59"/>
    <w:rsid w:val="00B1674F"/>
    <w:rsid w:val="00B22B65"/>
    <w:rsid w:val="00B37F63"/>
    <w:rsid w:val="00B42FCE"/>
    <w:rsid w:val="00B46A51"/>
    <w:rsid w:val="00B47699"/>
    <w:rsid w:val="00B55510"/>
    <w:rsid w:val="00B574CA"/>
    <w:rsid w:val="00B66C34"/>
    <w:rsid w:val="00B70089"/>
    <w:rsid w:val="00B80AFB"/>
    <w:rsid w:val="00B8102E"/>
    <w:rsid w:val="00B8445F"/>
    <w:rsid w:val="00B92576"/>
    <w:rsid w:val="00B9759B"/>
    <w:rsid w:val="00BB72F8"/>
    <w:rsid w:val="00BC55E0"/>
    <w:rsid w:val="00BC7C7B"/>
    <w:rsid w:val="00BD6712"/>
    <w:rsid w:val="00BD72AE"/>
    <w:rsid w:val="00BE100D"/>
    <w:rsid w:val="00BE55C8"/>
    <w:rsid w:val="00BF1C50"/>
    <w:rsid w:val="00BF5666"/>
    <w:rsid w:val="00C07D91"/>
    <w:rsid w:val="00C13E36"/>
    <w:rsid w:val="00C14FC6"/>
    <w:rsid w:val="00C20199"/>
    <w:rsid w:val="00C20B89"/>
    <w:rsid w:val="00C25165"/>
    <w:rsid w:val="00C36C58"/>
    <w:rsid w:val="00C44238"/>
    <w:rsid w:val="00C47911"/>
    <w:rsid w:val="00C6421A"/>
    <w:rsid w:val="00C65E8E"/>
    <w:rsid w:val="00C666F0"/>
    <w:rsid w:val="00C8184B"/>
    <w:rsid w:val="00C82588"/>
    <w:rsid w:val="00C84A21"/>
    <w:rsid w:val="00CA3CEA"/>
    <w:rsid w:val="00CB43E3"/>
    <w:rsid w:val="00CB4B40"/>
    <w:rsid w:val="00CC06EE"/>
    <w:rsid w:val="00CC27D6"/>
    <w:rsid w:val="00CC4015"/>
    <w:rsid w:val="00CC7FAF"/>
    <w:rsid w:val="00CD2404"/>
    <w:rsid w:val="00CE39E2"/>
    <w:rsid w:val="00CE4E3D"/>
    <w:rsid w:val="00CF7AAA"/>
    <w:rsid w:val="00D03B4B"/>
    <w:rsid w:val="00D0543E"/>
    <w:rsid w:val="00D106BE"/>
    <w:rsid w:val="00D12F05"/>
    <w:rsid w:val="00D1790B"/>
    <w:rsid w:val="00D250AC"/>
    <w:rsid w:val="00D71827"/>
    <w:rsid w:val="00D7700A"/>
    <w:rsid w:val="00D7723F"/>
    <w:rsid w:val="00D8030B"/>
    <w:rsid w:val="00D81515"/>
    <w:rsid w:val="00D82D48"/>
    <w:rsid w:val="00DB455D"/>
    <w:rsid w:val="00DB6251"/>
    <w:rsid w:val="00DC409C"/>
    <w:rsid w:val="00DC5580"/>
    <w:rsid w:val="00DC6EFC"/>
    <w:rsid w:val="00DF25C6"/>
    <w:rsid w:val="00E0043F"/>
    <w:rsid w:val="00E005BA"/>
    <w:rsid w:val="00E05468"/>
    <w:rsid w:val="00E11B70"/>
    <w:rsid w:val="00E11DEC"/>
    <w:rsid w:val="00E2735A"/>
    <w:rsid w:val="00E46FFD"/>
    <w:rsid w:val="00E51941"/>
    <w:rsid w:val="00E5657D"/>
    <w:rsid w:val="00E64123"/>
    <w:rsid w:val="00E70469"/>
    <w:rsid w:val="00E70BC8"/>
    <w:rsid w:val="00E80639"/>
    <w:rsid w:val="00E80EDD"/>
    <w:rsid w:val="00E82CB1"/>
    <w:rsid w:val="00E9053E"/>
    <w:rsid w:val="00EA0CA9"/>
    <w:rsid w:val="00EA1797"/>
    <w:rsid w:val="00EC1562"/>
    <w:rsid w:val="00ED6ABD"/>
    <w:rsid w:val="00EE5409"/>
    <w:rsid w:val="00EF51D4"/>
    <w:rsid w:val="00F001A1"/>
    <w:rsid w:val="00F113D2"/>
    <w:rsid w:val="00F13134"/>
    <w:rsid w:val="00F1783A"/>
    <w:rsid w:val="00F25D70"/>
    <w:rsid w:val="00F260F7"/>
    <w:rsid w:val="00F341F0"/>
    <w:rsid w:val="00F34B96"/>
    <w:rsid w:val="00F5168A"/>
    <w:rsid w:val="00F525C5"/>
    <w:rsid w:val="00F60A44"/>
    <w:rsid w:val="00F738B0"/>
    <w:rsid w:val="00F74A93"/>
    <w:rsid w:val="00F85737"/>
    <w:rsid w:val="00FA13D8"/>
    <w:rsid w:val="00FA541B"/>
    <w:rsid w:val="00FA63F6"/>
    <w:rsid w:val="00FA6871"/>
    <w:rsid w:val="00FC4BFE"/>
    <w:rsid w:val="00FD3AA0"/>
    <w:rsid w:val="00FE11AA"/>
    <w:rsid w:val="00FE64BF"/>
    <w:rsid w:val="00FF1C58"/>
    <w:rsid w:val="00FF1F7E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C4F46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nhideWhenUsed/>
    <w:rsid w:val="006C4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6C4F46"/>
  </w:style>
  <w:style w:type="paragraph" w:styleId="Kjene">
    <w:name w:val="footer"/>
    <w:basedOn w:val="Parastais"/>
    <w:link w:val="KjeneRakstz"/>
    <w:uiPriority w:val="99"/>
    <w:unhideWhenUsed/>
    <w:rsid w:val="006C4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C4F46"/>
  </w:style>
  <w:style w:type="paragraph" w:customStyle="1" w:styleId="StyleRight">
    <w:name w:val="Style Right"/>
    <w:basedOn w:val="Parastais"/>
    <w:rsid w:val="006C4F46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kr">
    <w:name w:val="naiskr"/>
    <w:basedOn w:val="Parastais"/>
    <w:rsid w:val="006C4F4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enkrsteksts">
    <w:name w:val="Plain Text"/>
    <w:basedOn w:val="Parastais"/>
    <w:link w:val="VienkrstekstsRakstz"/>
    <w:uiPriority w:val="99"/>
    <w:unhideWhenUsed/>
    <w:rsid w:val="006C4F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C4F46"/>
    <w:rPr>
      <w:rFonts w:ascii="Consolas" w:hAnsi="Consolas"/>
      <w:sz w:val="21"/>
      <w:szCs w:val="21"/>
    </w:rPr>
  </w:style>
  <w:style w:type="paragraph" w:styleId="Bezatstarpm">
    <w:name w:val="No Spacing"/>
    <w:uiPriority w:val="1"/>
    <w:qFormat/>
    <w:rsid w:val="006C4F46"/>
    <w:pPr>
      <w:spacing w:after="0" w:line="240" w:lineRule="auto"/>
    </w:pPr>
  </w:style>
  <w:style w:type="paragraph" w:customStyle="1" w:styleId="naisf">
    <w:name w:val="naisf"/>
    <w:basedOn w:val="Parastais"/>
    <w:rsid w:val="00DF25C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ais"/>
    <w:rsid w:val="00DF25C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aisWeb">
    <w:name w:val="Normal (Web)"/>
    <w:basedOn w:val="Parastais"/>
    <w:uiPriority w:val="99"/>
    <w:semiHidden/>
    <w:unhideWhenUsed/>
    <w:rsid w:val="0068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B4C68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0B4C6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B4C6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B4C6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B4C68"/>
    <w:rPr>
      <w:b/>
      <w:bCs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B4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B4C68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ais"/>
    <w:uiPriority w:val="34"/>
    <w:qFormat/>
    <w:rsid w:val="00606AE2"/>
    <w:pPr>
      <w:ind w:left="720"/>
      <w:contextualSpacing/>
    </w:pPr>
  </w:style>
  <w:style w:type="paragraph" w:customStyle="1" w:styleId="tvhtml">
    <w:name w:val="tv_html"/>
    <w:basedOn w:val="Parastais"/>
    <w:rsid w:val="0006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807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resteksts">
    <w:name w:val="footnote text"/>
    <w:basedOn w:val="Parastais"/>
    <w:link w:val="VrestekstsRakstz"/>
    <w:uiPriority w:val="99"/>
    <w:semiHidden/>
    <w:unhideWhenUsed/>
    <w:rsid w:val="00807886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07886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07886"/>
    <w:rPr>
      <w:vertAlign w:val="superscript"/>
    </w:rPr>
  </w:style>
  <w:style w:type="paragraph" w:customStyle="1" w:styleId="tv213">
    <w:name w:val="tv213"/>
    <w:basedOn w:val="Parastais"/>
    <w:rsid w:val="005B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8C24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zm.gov.lv/images/izglitiba_augst/Pasaules_Banka/Doktora_limena_studijas_un_promocijas_sistema_Latvija.pdf" TargetMode="External"/><Relationship Id="rId1" Type="http://schemas.openxmlformats.org/officeDocument/2006/relationships/hyperlink" Target="https://www.km.gov.lv/uploads/ckeditor/files/KM_dokumenti/Radosa_Latvija.pdf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152F7-9E3C-4092-B83E-F5AAE9F424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AD9C46-02D9-495D-94C1-7D0CDFF4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9131</Words>
  <Characters>5206</Characters>
  <Application>Microsoft Office Word</Application>
  <DocSecurity>0</DocSecurity>
  <Lines>43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profesionālā doktora grāda mākslās profesionālās augstākās izglītības valsts standartu un profesionālā doktora grāda mākslās piešķiršanas kārtību</vt:lpstr>
      <vt:lpstr/>
    </vt:vector>
  </TitlesOfParts>
  <Company>LR Kultūras Ministrija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profesionālā doktora grāda mākslās profesionālās augstākās izglītības valsts standartu un profesionālā doktora grāda mākslās piešķiršanas kārtību</dc:title>
  <dc:subject>Ministru kabineta noteikumu projekta sākotnējās ietekmes novērtējuma ziņojums (anotācija)</dc:subject>
  <dc:creator>Lolita Rūsiņa</dc:creator>
  <cp:keywords>KMAnot_210518_prof_doktors</cp:keywords>
  <dc:description>Rūsiņa 67330206
Lolita.Rusina@km.gov.lv</dc:description>
  <cp:lastModifiedBy>Lolita Rūsiņa</cp:lastModifiedBy>
  <cp:revision>11</cp:revision>
  <cp:lastPrinted>2018-08-30T12:06:00Z</cp:lastPrinted>
  <dcterms:created xsi:type="dcterms:W3CDTF">2018-08-28T06:51:00Z</dcterms:created>
  <dcterms:modified xsi:type="dcterms:W3CDTF">2018-08-30T12:09:00Z</dcterms:modified>
</cp:coreProperties>
</file>