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5C0" w:rsidRPr="00343D80" w:rsidRDefault="00D115C0" w:rsidP="00D115C0">
      <w:pPr>
        <w:pStyle w:val="Heading2"/>
        <w:rPr>
          <w:i/>
          <w:sz w:val="28"/>
          <w:szCs w:val="28"/>
        </w:rPr>
      </w:pPr>
      <w:r w:rsidRPr="00343D80">
        <w:rPr>
          <w:i/>
          <w:sz w:val="28"/>
          <w:szCs w:val="28"/>
        </w:rPr>
        <w:t>Projekts</w:t>
      </w:r>
    </w:p>
    <w:p w:rsidR="002A7A11" w:rsidRDefault="002A7A11" w:rsidP="008E6946">
      <w:pPr>
        <w:pStyle w:val="Title"/>
        <w:jc w:val="left"/>
        <w:outlineLvl w:val="0"/>
        <w:rPr>
          <w:b w:val="0"/>
          <w:sz w:val="28"/>
          <w:szCs w:val="28"/>
        </w:rPr>
      </w:pPr>
    </w:p>
    <w:p w:rsidR="00D115C0" w:rsidRPr="008E6946" w:rsidRDefault="00D115C0" w:rsidP="008E6946">
      <w:pPr>
        <w:pStyle w:val="Title"/>
        <w:outlineLvl w:val="0"/>
        <w:rPr>
          <w:b w:val="0"/>
          <w:sz w:val="28"/>
          <w:szCs w:val="28"/>
        </w:rPr>
      </w:pPr>
      <w:r w:rsidRPr="00343D80">
        <w:rPr>
          <w:b w:val="0"/>
          <w:sz w:val="28"/>
          <w:szCs w:val="28"/>
        </w:rPr>
        <w:t>LATVIJAS REPUBLIKAS MINISTRU KABINETS</w:t>
      </w:r>
    </w:p>
    <w:p w:rsidR="00F37DAE" w:rsidRPr="00343D80" w:rsidRDefault="00F37DAE" w:rsidP="00D115C0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D115C0" w:rsidRPr="00343D80" w:rsidRDefault="003454B9" w:rsidP="00D115C0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="00D115C0" w:rsidRPr="00343D80">
        <w:rPr>
          <w:sz w:val="28"/>
          <w:szCs w:val="28"/>
        </w:rPr>
        <w:t>. gada ___. _________</w:t>
      </w:r>
      <w:r w:rsidR="00D115C0" w:rsidRPr="00343D80">
        <w:rPr>
          <w:sz w:val="28"/>
          <w:szCs w:val="28"/>
        </w:rPr>
        <w:tab/>
        <w:t>Noteikumi Nr.</w:t>
      </w:r>
    </w:p>
    <w:p w:rsidR="00D115C0" w:rsidRPr="00343D80" w:rsidRDefault="00D115C0" w:rsidP="00D115C0">
      <w:pPr>
        <w:tabs>
          <w:tab w:val="left" w:pos="6804"/>
          <w:tab w:val="left" w:pos="8364"/>
        </w:tabs>
        <w:rPr>
          <w:sz w:val="28"/>
          <w:szCs w:val="28"/>
        </w:rPr>
      </w:pPr>
      <w:r w:rsidRPr="00343D80">
        <w:rPr>
          <w:sz w:val="28"/>
          <w:szCs w:val="28"/>
        </w:rPr>
        <w:t>Rīgā</w:t>
      </w:r>
      <w:r w:rsidRPr="00343D80">
        <w:rPr>
          <w:sz w:val="28"/>
          <w:szCs w:val="28"/>
        </w:rPr>
        <w:tab/>
        <w:t>(prot.      Nr.  )</w:t>
      </w:r>
    </w:p>
    <w:p w:rsidR="00D115C0" w:rsidRDefault="00D115C0" w:rsidP="00F37DAE">
      <w:pPr>
        <w:rPr>
          <w:sz w:val="28"/>
          <w:szCs w:val="28"/>
        </w:rPr>
      </w:pPr>
      <w:bookmarkStart w:id="0" w:name="OLE_LINK2"/>
      <w:bookmarkStart w:id="1" w:name="OLE_LINK1"/>
    </w:p>
    <w:bookmarkEnd w:id="0"/>
    <w:bookmarkEnd w:id="1"/>
    <w:p w:rsidR="00716576" w:rsidRDefault="00716576" w:rsidP="00D115C0">
      <w:pPr>
        <w:jc w:val="center"/>
        <w:rPr>
          <w:b/>
          <w:bCs/>
          <w:sz w:val="28"/>
          <w:szCs w:val="28"/>
          <w:lang w:eastAsia="lv-LV"/>
        </w:rPr>
      </w:pPr>
    </w:p>
    <w:p w:rsidR="00D115C0" w:rsidRPr="00343D80" w:rsidRDefault="003454B9" w:rsidP="00D115C0">
      <w:pPr>
        <w:jc w:val="center"/>
        <w:rPr>
          <w:rFonts w:ascii="Arial" w:hAnsi="Arial" w:cs="Arial"/>
          <w:b/>
          <w:bCs/>
          <w:color w:val="414142"/>
          <w:sz w:val="28"/>
          <w:szCs w:val="28"/>
          <w:lang w:eastAsia="lv-LV"/>
        </w:rPr>
      </w:pPr>
      <w:r>
        <w:rPr>
          <w:b/>
          <w:bCs/>
          <w:sz w:val="28"/>
          <w:szCs w:val="28"/>
          <w:lang w:eastAsia="lv-LV"/>
        </w:rPr>
        <w:t>Grozījumi Ministru kabineta 2012. gada 15. maija noteikumos Nr.339</w:t>
      </w:r>
      <w:r w:rsidR="00D115C0" w:rsidRPr="00343D80">
        <w:rPr>
          <w:b/>
          <w:bCs/>
          <w:sz w:val="28"/>
          <w:szCs w:val="28"/>
          <w:lang w:eastAsia="lv-LV"/>
        </w:rPr>
        <w:t xml:space="preserve"> </w:t>
      </w:r>
      <w:r w:rsidR="00D115C0" w:rsidRPr="00343D80">
        <w:rPr>
          <w:b/>
          <w:bCs/>
          <w:color w:val="000000"/>
          <w:sz w:val="28"/>
          <w:szCs w:val="28"/>
        </w:rPr>
        <w:t>“Noteiku</w:t>
      </w:r>
      <w:r>
        <w:rPr>
          <w:b/>
          <w:bCs/>
          <w:color w:val="000000"/>
          <w:sz w:val="28"/>
          <w:szCs w:val="28"/>
        </w:rPr>
        <w:t>mi par ostu formalitātēm</w:t>
      </w:r>
      <w:r w:rsidR="00D115C0" w:rsidRPr="00343D80">
        <w:rPr>
          <w:b/>
          <w:bCs/>
          <w:color w:val="000000"/>
          <w:sz w:val="28"/>
          <w:szCs w:val="28"/>
        </w:rPr>
        <w:t>”</w:t>
      </w:r>
    </w:p>
    <w:p w:rsidR="00D115C0" w:rsidRPr="00343D80" w:rsidRDefault="00D115C0" w:rsidP="00D115C0">
      <w:pPr>
        <w:jc w:val="right"/>
        <w:rPr>
          <w:rFonts w:ascii="Arial" w:hAnsi="Arial" w:cs="Arial"/>
          <w:i/>
          <w:iCs/>
          <w:color w:val="414142"/>
          <w:sz w:val="28"/>
          <w:szCs w:val="28"/>
          <w:lang w:eastAsia="en-US"/>
        </w:rPr>
      </w:pPr>
    </w:p>
    <w:p w:rsidR="003454B9" w:rsidRDefault="003454B9" w:rsidP="003454B9">
      <w:pPr>
        <w:jc w:val="right"/>
        <w:rPr>
          <w:color w:val="000000"/>
          <w:sz w:val="28"/>
          <w:szCs w:val="28"/>
          <w:lang w:eastAsia="lv-LV"/>
        </w:rPr>
      </w:pPr>
      <w:r w:rsidRPr="003454B9">
        <w:rPr>
          <w:color w:val="000000"/>
          <w:sz w:val="28"/>
          <w:szCs w:val="28"/>
          <w:lang w:eastAsia="lv-LV"/>
        </w:rPr>
        <w:t>Izdoti saskaņā ar Jūrlietu pārvaldes</w:t>
      </w:r>
    </w:p>
    <w:p w:rsidR="003454B9" w:rsidRDefault="003454B9" w:rsidP="003454B9">
      <w:pPr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u</w:t>
      </w:r>
      <w:r w:rsidRPr="003454B9">
        <w:rPr>
          <w:color w:val="000000"/>
          <w:sz w:val="28"/>
          <w:szCs w:val="28"/>
          <w:lang w:eastAsia="lv-LV"/>
        </w:rPr>
        <w:t>n</w:t>
      </w:r>
      <w:r>
        <w:rPr>
          <w:color w:val="000000"/>
          <w:sz w:val="28"/>
          <w:szCs w:val="28"/>
          <w:lang w:eastAsia="lv-LV"/>
        </w:rPr>
        <w:t xml:space="preserve"> jūras drošības likuma </w:t>
      </w:r>
      <w:r w:rsidRPr="003454B9">
        <w:rPr>
          <w:color w:val="000000"/>
          <w:sz w:val="28"/>
          <w:szCs w:val="28"/>
          <w:lang w:eastAsia="lv-LV"/>
        </w:rPr>
        <w:t>35.</w:t>
      </w:r>
      <w:r>
        <w:rPr>
          <w:color w:val="000000"/>
          <w:sz w:val="28"/>
          <w:szCs w:val="28"/>
          <w:lang w:eastAsia="lv-LV"/>
        </w:rPr>
        <w:t xml:space="preserve"> </w:t>
      </w:r>
      <w:r w:rsidRPr="003454B9">
        <w:rPr>
          <w:color w:val="000000"/>
          <w:sz w:val="28"/>
          <w:szCs w:val="28"/>
          <w:lang w:eastAsia="lv-LV"/>
        </w:rPr>
        <w:t>panta</w:t>
      </w:r>
    </w:p>
    <w:p w:rsidR="003454B9" w:rsidRDefault="003454B9" w:rsidP="003454B9">
      <w:pPr>
        <w:jc w:val="right"/>
        <w:rPr>
          <w:color w:val="000000"/>
          <w:sz w:val="28"/>
          <w:szCs w:val="28"/>
          <w:lang w:eastAsia="lv-LV"/>
        </w:rPr>
      </w:pPr>
      <w:r w:rsidRPr="003454B9">
        <w:rPr>
          <w:color w:val="000000"/>
          <w:sz w:val="28"/>
          <w:szCs w:val="28"/>
          <w:lang w:eastAsia="lv-LV"/>
        </w:rPr>
        <w:t>otro daļu</w:t>
      </w:r>
      <w:r>
        <w:rPr>
          <w:color w:val="000000"/>
          <w:sz w:val="28"/>
          <w:szCs w:val="28"/>
          <w:lang w:eastAsia="lv-LV"/>
        </w:rPr>
        <w:t xml:space="preserve"> </w:t>
      </w:r>
      <w:r w:rsidRPr="003454B9">
        <w:rPr>
          <w:color w:val="000000"/>
          <w:sz w:val="28"/>
          <w:szCs w:val="28"/>
          <w:lang w:eastAsia="lv-LV"/>
        </w:rPr>
        <w:t>un 41.</w:t>
      </w:r>
      <w:r w:rsidRPr="003454B9">
        <w:rPr>
          <w:color w:val="000000"/>
          <w:sz w:val="28"/>
          <w:szCs w:val="28"/>
          <w:vertAlign w:val="superscript"/>
          <w:lang w:eastAsia="lv-LV"/>
        </w:rPr>
        <w:t>1</w:t>
      </w:r>
      <w:r>
        <w:rPr>
          <w:color w:val="000000"/>
          <w:sz w:val="28"/>
          <w:szCs w:val="28"/>
          <w:lang w:eastAsia="lv-LV"/>
        </w:rPr>
        <w:t xml:space="preserve"> panta trešo daļu un</w:t>
      </w:r>
    </w:p>
    <w:p w:rsidR="003454B9" w:rsidRDefault="003454B9" w:rsidP="003454B9">
      <w:pPr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 </w:t>
      </w:r>
      <w:r w:rsidRPr="003454B9">
        <w:rPr>
          <w:color w:val="000000"/>
          <w:sz w:val="28"/>
          <w:szCs w:val="28"/>
          <w:lang w:eastAsia="lv-LV"/>
        </w:rPr>
        <w:t>Latvijas Republikas valsts robežas</w:t>
      </w:r>
    </w:p>
    <w:p w:rsidR="003454B9" w:rsidRDefault="003454B9" w:rsidP="003454B9">
      <w:pPr>
        <w:jc w:val="right"/>
        <w:rPr>
          <w:color w:val="000000"/>
          <w:sz w:val="28"/>
          <w:szCs w:val="28"/>
          <w:lang w:eastAsia="lv-LV"/>
        </w:rPr>
      </w:pPr>
      <w:r w:rsidRPr="003454B9">
        <w:rPr>
          <w:color w:val="000000"/>
          <w:sz w:val="28"/>
          <w:szCs w:val="28"/>
          <w:lang w:eastAsia="lv-LV"/>
        </w:rPr>
        <w:t>likuma 22.</w:t>
      </w:r>
      <w:r>
        <w:rPr>
          <w:color w:val="000000"/>
          <w:sz w:val="28"/>
          <w:szCs w:val="28"/>
          <w:lang w:eastAsia="lv-LV"/>
        </w:rPr>
        <w:t xml:space="preserve"> </w:t>
      </w:r>
      <w:r w:rsidRPr="003454B9">
        <w:rPr>
          <w:color w:val="000000"/>
          <w:sz w:val="28"/>
          <w:szCs w:val="28"/>
          <w:lang w:eastAsia="lv-LV"/>
        </w:rPr>
        <w:t>panta astoto daļu</w:t>
      </w:r>
    </w:p>
    <w:p w:rsidR="003454B9" w:rsidRDefault="003454B9" w:rsidP="00D115C0">
      <w:pPr>
        <w:jc w:val="right"/>
        <w:rPr>
          <w:color w:val="000000"/>
          <w:sz w:val="28"/>
          <w:szCs w:val="28"/>
          <w:lang w:eastAsia="lv-LV"/>
        </w:rPr>
      </w:pPr>
    </w:p>
    <w:p w:rsidR="00D115C0" w:rsidRPr="00343D80" w:rsidRDefault="002A7A11" w:rsidP="002A7A1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1. </w:t>
      </w:r>
      <w:r w:rsidR="00A37255">
        <w:rPr>
          <w:rFonts w:eastAsia="Calibri"/>
          <w:sz w:val="28"/>
          <w:szCs w:val="28"/>
        </w:rPr>
        <w:t>Izdarīt Ministru kabineta 2012</w:t>
      </w:r>
      <w:r w:rsidR="00D115C0" w:rsidRPr="00343D80">
        <w:rPr>
          <w:rFonts w:eastAsia="Calibri"/>
          <w:sz w:val="28"/>
          <w:szCs w:val="28"/>
        </w:rPr>
        <w:t>.</w:t>
      </w:r>
      <w:r w:rsidR="00A37255">
        <w:rPr>
          <w:rFonts w:eastAsia="Calibri"/>
          <w:sz w:val="28"/>
          <w:szCs w:val="28"/>
        </w:rPr>
        <w:t xml:space="preserve"> gada 15</w:t>
      </w:r>
      <w:r w:rsidR="00D115C0" w:rsidRPr="00343D80">
        <w:rPr>
          <w:rFonts w:eastAsia="Calibri"/>
          <w:sz w:val="28"/>
          <w:szCs w:val="28"/>
        </w:rPr>
        <w:t>.</w:t>
      </w:r>
      <w:r w:rsidR="00A37255">
        <w:rPr>
          <w:rFonts w:eastAsia="Calibri"/>
          <w:sz w:val="28"/>
          <w:szCs w:val="28"/>
        </w:rPr>
        <w:t xml:space="preserve"> maija noteikumos Nr.339 “Noteikumi par ostu formalitātēm” (Latvijas Vēstnesis, 2012, 85.nr.; 2013, 122</w:t>
      </w:r>
      <w:r w:rsidR="00D115C0" w:rsidRPr="00343D80">
        <w:rPr>
          <w:rFonts w:eastAsia="Calibri"/>
          <w:sz w:val="28"/>
          <w:szCs w:val="28"/>
        </w:rPr>
        <w:t>.nr.</w:t>
      </w:r>
      <w:r w:rsidR="00A37255">
        <w:rPr>
          <w:rFonts w:eastAsia="Calibri"/>
          <w:sz w:val="28"/>
          <w:szCs w:val="28"/>
        </w:rPr>
        <w:t>; 2017, 9.nr.</w:t>
      </w:r>
      <w:r w:rsidR="00D115C0" w:rsidRPr="00343D80">
        <w:rPr>
          <w:rFonts w:eastAsia="Calibri"/>
          <w:sz w:val="28"/>
          <w:szCs w:val="28"/>
        </w:rPr>
        <w:t>) šādus grozījumus:</w:t>
      </w:r>
    </w:p>
    <w:p w:rsidR="00D115C0" w:rsidRDefault="00D115C0" w:rsidP="00D115C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37255" w:rsidRDefault="00A37255" w:rsidP="00A3725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A7A11">
        <w:rPr>
          <w:sz w:val="28"/>
          <w:szCs w:val="28"/>
        </w:rPr>
        <w:t>1.</w:t>
      </w:r>
      <w:r>
        <w:rPr>
          <w:sz w:val="28"/>
          <w:szCs w:val="28"/>
        </w:rPr>
        <w:t xml:space="preserve"> Izteikt 2.15. apakšpunktu šādā redakcijā:</w:t>
      </w:r>
    </w:p>
    <w:p w:rsidR="00A37255" w:rsidRDefault="00A37255" w:rsidP="00A37255">
      <w:pPr>
        <w:tabs>
          <w:tab w:val="left" w:pos="851"/>
        </w:tabs>
        <w:jc w:val="both"/>
        <w:rPr>
          <w:sz w:val="28"/>
          <w:szCs w:val="28"/>
        </w:rPr>
      </w:pPr>
    </w:p>
    <w:p w:rsidR="00A37255" w:rsidRDefault="00A37255" w:rsidP="00A3725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“2.15. SKLOIS – Starptautiskā kravu loģistikas un ostu informācijas sistēma kā tā definēta Jūrlietu pārvaldes un jūras drošības likuma 41.</w:t>
      </w:r>
      <w:r w:rsidRPr="00A3725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panta pirmajā daļā;”</w:t>
      </w:r>
      <w:r w:rsidR="00AC29FB">
        <w:rPr>
          <w:sz w:val="28"/>
          <w:szCs w:val="28"/>
        </w:rPr>
        <w:t>.</w:t>
      </w:r>
    </w:p>
    <w:p w:rsidR="00AC29FB" w:rsidRDefault="00AC29FB" w:rsidP="00A37255">
      <w:pPr>
        <w:tabs>
          <w:tab w:val="left" w:pos="851"/>
        </w:tabs>
        <w:jc w:val="both"/>
        <w:rPr>
          <w:sz w:val="28"/>
          <w:szCs w:val="28"/>
        </w:rPr>
      </w:pPr>
    </w:p>
    <w:p w:rsidR="00AC29FB" w:rsidRDefault="00AC29FB" w:rsidP="00A3725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7A11">
        <w:rPr>
          <w:sz w:val="28"/>
          <w:szCs w:val="28"/>
        </w:rPr>
        <w:t>1.</w:t>
      </w:r>
      <w:r>
        <w:rPr>
          <w:sz w:val="28"/>
          <w:szCs w:val="28"/>
        </w:rPr>
        <w:t xml:space="preserve">2. Aizstāt </w:t>
      </w:r>
      <w:r w:rsidR="006B24F6">
        <w:rPr>
          <w:sz w:val="28"/>
          <w:szCs w:val="28"/>
        </w:rPr>
        <w:t>9., 11., 22., 24., 32., 33., 37., 46., 50., 58., 61., 70., 72., 75., 77., 78., 80., 81., 84., 85., 87., 88., 89., 90., 102., 106., 107., 108., 11</w:t>
      </w:r>
      <w:r w:rsidR="00716576">
        <w:rPr>
          <w:sz w:val="28"/>
          <w:szCs w:val="28"/>
        </w:rPr>
        <w:t>0. un</w:t>
      </w:r>
      <w:r w:rsidR="006B24F6">
        <w:rPr>
          <w:sz w:val="28"/>
          <w:szCs w:val="28"/>
        </w:rPr>
        <w:t xml:space="preserve"> 110.</w:t>
      </w:r>
      <w:r w:rsidR="006B24F6" w:rsidRPr="006B24F6">
        <w:rPr>
          <w:sz w:val="28"/>
          <w:szCs w:val="28"/>
          <w:vertAlign w:val="superscript"/>
        </w:rPr>
        <w:t>4</w:t>
      </w:r>
      <w:r w:rsidR="006B24F6">
        <w:rPr>
          <w:sz w:val="28"/>
          <w:szCs w:val="28"/>
        </w:rPr>
        <w:t xml:space="preserve"> punktā </w:t>
      </w:r>
      <w:r w:rsidR="004E6680">
        <w:rPr>
          <w:sz w:val="28"/>
          <w:szCs w:val="28"/>
        </w:rPr>
        <w:t>vārdus “nacionālā SSN sistēma” (attiecīgā locījumā) ar vārdu “SKLOIS”.</w:t>
      </w:r>
    </w:p>
    <w:p w:rsidR="00716576" w:rsidRDefault="00716576" w:rsidP="00A37255">
      <w:pPr>
        <w:tabs>
          <w:tab w:val="left" w:pos="851"/>
        </w:tabs>
        <w:jc w:val="both"/>
        <w:rPr>
          <w:sz w:val="28"/>
          <w:szCs w:val="28"/>
        </w:rPr>
      </w:pPr>
    </w:p>
    <w:p w:rsidR="00716576" w:rsidRPr="00A37255" w:rsidRDefault="00716576" w:rsidP="00A3725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Svītrot 115., 116., 117., 118., 119. un 121. punktu.</w:t>
      </w:r>
    </w:p>
    <w:p w:rsidR="00A37255" w:rsidRDefault="00A37255" w:rsidP="00D115C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A7A11" w:rsidRDefault="002A7A11" w:rsidP="002A7A1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Noteikumi stājas spēkā 2019. gada 1. janvārī.</w:t>
      </w:r>
    </w:p>
    <w:p w:rsidR="002A7A11" w:rsidRDefault="002A7A11" w:rsidP="002A7A11">
      <w:pPr>
        <w:tabs>
          <w:tab w:val="left" w:pos="851"/>
        </w:tabs>
        <w:jc w:val="both"/>
        <w:rPr>
          <w:sz w:val="28"/>
          <w:szCs w:val="28"/>
        </w:rPr>
      </w:pPr>
    </w:p>
    <w:p w:rsidR="006B24F6" w:rsidRPr="00725285" w:rsidRDefault="002A7A11" w:rsidP="008E694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161" w:rsidRPr="00312161" w:rsidRDefault="00312161" w:rsidP="00312161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312161">
        <w:rPr>
          <w:sz w:val="28"/>
          <w:szCs w:val="24"/>
          <w:lang w:eastAsia="en-US"/>
        </w:rPr>
        <w:t xml:space="preserve">Ministru prezidents            </w:t>
      </w:r>
      <w:r w:rsidRPr="00312161">
        <w:rPr>
          <w:sz w:val="28"/>
          <w:szCs w:val="24"/>
          <w:lang w:eastAsia="en-US"/>
        </w:rPr>
        <w:tab/>
        <w:t>M.</w:t>
      </w:r>
      <w:r>
        <w:rPr>
          <w:sz w:val="28"/>
          <w:szCs w:val="24"/>
          <w:lang w:eastAsia="en-US"/>
        </w:rPr>
        <w:t xml:space="preserve"> </w:t>
      </w:r>
      <w:r w:rsidRPr="00312161">
        <w:rPr>
          <w:sz w:val="28"/>
          <w:szCs w:val="24"/>
          <w:lang w:eastAsia="en-US"/>
        </w:rPr>
        <w:t>Kučinskis</w:t>
      </w:r>
    </w:p>
    <w:p w:rsidR="002A7A11" w:rsidRPr="00312161" w:rsidRDefault="002A7A11" w:rsidP="008E6946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:rsidR="00312161" w:rsidRPr="00312161" w:rsidRDefault="00312161" w:rsidP="0031216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312161">
        <w:rPr>
          <w:sz w:val="28"/>
          <w:szCs w:val="24"/>
          <w:lang w:eastAsia="en-US"/>
        </w:rPr>
        <w:t>Satiksmes ministrs</w:t>
      </w:r>
      <w:r w:rsidRPr="00312161">
        <w:rPr>
          <w:sz w:val="28"/>
          <w:szCs w:val="24"/>
          <w:lang w:eastAsia="en-US"/>
        </w:rPr>
        <w:tab/>
        <w:t>U.</w:t>
      </w:r>
      <w:r>
        <w:rPr>
          <w:sz w:val="28"/>
          <w:szCs w:val="24"/>
          <w:lang w:eastAsia="en-US"/>
        </w:rPr>
        <w:t xml:space="preserve"> </w:t>
      </w:r>
      <w:r w:rsidRPr="00312161">
        <w:rPr>
          <w:sz w:val="28"/>
          <w:szCs w:val="24"/>
          <w:lang w:eastAsia="en-US"/>
        </w:rPr>
        <w:t>Augulis</w:t>
      </w:r>
    </w:p>
    <w:p w:rsidR="002A7A11" w:rsidRDefault="002A7A11" w:rsidP="008E6946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  <w:bookmarkStart w:id="2" w:name="_GoBack"/>
      <w:bookmarkEnd w:id="2"/>
    </w:p>
    <w:p w:rsidR="00312161" w:rsidRDefault="00312161" w:rsidP="0031216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312161">
        <w:rPr>
          <w:sz w:val="28"/>
          <w:szCs w:val="24"/>
          <w:lang w:eastAsia="en-US"/>
        </w:rPr>
        <w:t>Iesniedzējs:</w:t>
      </w:r>
    </w:p>
    <w:p w:rsidR="00312161" w:rsidRPr="00312161" w:rsidRDefault="00312161" w:rsidP="0031216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312161">
        <w:rPr>
          <w:sz w:val="28"/>
          <w:szCs w:val="24"/>
          <w:lang w:eastAsia="en-US"/>
        </w:rPr>
        <w:t>satiksmes ministrs</w:t>
      </w:r>
      <w:r w:rsidRPr="00312161">
        <w:rPr>
          <w:sz w:val="28"/>
          <w:szCs w:val="24"/>
          <w:lang w:eastAsia="en-US"/>
        </w:rPr>
        <w:tab/>
      </w:r>
      <w:proofErr w:type="spellStart"/>
      <w:r w:rsidRPr="00312161">
        <w:rPr>
          <w:sz w:val="28"/>
          <w:szCs w:val="24"/>
          <w:lang w:eastAsia="en-US"/>
        </w:rPr>
        <w:t>U.Augulis</w:t>
      </w:r>
      <w:proofErr w:type="spellEnd"/>
    </w:p>
    <w:p w:rsidR="00312161" w:rsidRPr="00312161" w:rsidRDefault="00312161" w:rsidP="0031216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:rsidR="00312161" w:rsidRDefault="00312161" w:rsidP="0031216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312161">
        <w:rPr>
          <w:sz w:val="28"/>
          <w:szCs w:val="24"/>
          <w:lang w:eastAsia="en-US"/>
        </w:rPr>
        <w:t>Vīza:</w:t>
      </w:r>
    </w:p>
    <w:p w:rsidR="00D21325" w:rsidRDefault="00312161" w:rsidP="004E6680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312161">
        <w:rPr>
          <w:sz w:val="28"/>
          <w:szCs w:val="24"/>
          <w:lang w:eastAsia="en-US"/>
        </w:rPr>
        <w:t>valsts sekretār</w:t>
      </w:r>
      <w:r w:rsidR="00D21325">
        <w:rPr>
          <w:sz w:val="28"/>
          <w:szCs w:val="24"/>
          <w:lang w:eastAsia="en-US"/>
        </w:rPr>
        <w:t xml:space="preserve">a vietā – </w:t>
      </w:r>
    </w:p>
    <w:p w:rsidR="00312161" w:rsidRPr="004E6680" w:rsidRDefault="00D21325" w:rsidP="004E6680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>
        <w:rPr>
          <w:sz w:val="28"/>
          <w:szCs w:val="24"/>
          <w:lang w:eastAsia="en-US"/>
        </w:rPr>
        <w:t xml:space="preserve">valsts sekretāra vietniece </w:t>
      </w:r>
      <w:r w:rsidR="00312161" w:rsidRPr="00312161">
        <w:rPr>
          <w:sz w:val="28"/>
          <w:szCs w:val="24"/>
          <w:lang w:eastAsia="en-US"/>
        </w:rPr>
        <w:tab/>
      </w:r>
      <w:proofErr w:type="spellStart"/>
      <w:r>
        <w:rPr>
          <w:sz w:val="28"/>
          <w:szCs w:val="24"/>
          <w:lang w:eastAsia="en-US"/>
        </w:rPr>
        <w:t>Dž. Innusa</w:t>
      </w:r>
      <w:proofErr w:type="spellEnd"/>
      <w:r>
        <w:rPr>
          <w:sz w:val="28"/>
          <w:szCs w:val="24"/>
          <w:lang w:eastAsia="en-US"/>
        </w:rPr>
        <w:t xml:space="preserve"> </w:t>
      </w:r>
    </w:p>
    <w:sectPr w:rsidR="00312161" w:rsidRPr="004E6680" w:rsidSect="004E6680">
      <w:footerReference w:type="default" r:id="rId8"/>
      <w:headerReference w:type="first" r:id="rId9"/>
      <w:footerReference w:type="first" r:id="rId10"/>
      <w:pgSz w:w="11906" w:h="16838" w:code="9"/>
      <w:pgMar w:top="1138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D86" w:rsidRDefault="00F27D86" w:rsidP="002B7079">
      <w:r>
        <w:separator/>
      </w:r>
    </w:p>
  </w:endnote>
  <w:endnote w:type="continuationSeparator" w:id="0">
    <w:p w:rsidR="00F27D86" w:rsidRDefault="00F27D86" w:rsidP="002B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76" w:rsidRPr="00FA3901" w:rsidRDefault="007564C0" w:rsidP="00BF6CE2">
    <w:pPr>
      <w:pStyle w:val="Footer"/>
      <w:jc w:val="both"/>
    </w:pPr>
    <w:r>
      <w:t>SMnot_17</w:t>
    </w:r>
    <w:r w:rsidR="00716576">
      <w:t>1018_groz339</w:t>
    </w:r>
  </w:p>
  <w:p w:rsidR="00716576" w:rsidRPr="00BF6CE2" w:rsidRDefault="00716576" w:rsidP="00BF6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76" w:rsidRPr="00FA3901" w:rsidRDefault="00716576" w:rsidP="002B7079">
    <w:pPr>
      <w:pStyle w:val="Footer"/>
      <w:jc w:val="both"/>
    </w:pPr>
    <w:r>
      <w:t>SMnot_091018_groz339</w:t>
    </w:r>
  </w:p>
  <w:p w:rsidR="00716576" w:rsidRPr="002B7079" w:rsidRDefault="00716576" w:rsidP="008360C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D86" w:rsidRDefault="00F27D86" w:rsidP="002B7079">
      <w:r>
        <w:separator/>
      </w:r>
    </w:p>
  </w:footnote>
  <w:footnote w:type="continuationSeparator" w:id="0">
    <w:p w:rsidR="00F27D86" w:rsidRDefault="00F27D86" w:rsidP="002B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88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6576" w:rsidRDefault="007165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576" w:rsidRDefault="00716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2C90"/>
    <w:multiLevelType w:val="hybridMultilevel"/>
    <w:tmpl w:val="9AF89736"/>
    <w:lvl w:ilvl="0" w:tplc="F8F2F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5C72"/>
    <w:multiLevelType w:val="hybridMultilevel"/>
    <w:tmpl w:val="61D6EA6E"/>
    <w:lvl w:ilvl="0" w:tplc="549C4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96FBC"/>
    <w:multiLevelType w:val="hybridMultilevel"/>
    <w:tmpl w:val="6EA65BD0"/>
    <w:lvl w:ilvl="0" w:tplc="F8F2F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C57CA"/>
    <w:multiLevelType w:val="hybridMultilevel"/>
    <w:tmpl w:val="52E0C4CC"/>
    <w:lvl w:ilvl="0" w:tplc="9170095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C27DCB"/>
    <w:multiLevelType w:val="hybridMultilevel"/>
    <w:tmpl w:val="7476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000DE"/>
    <w:multiLevelType w:val="hybridMultilevel"/>
    <w:tmpl w:val="3B5C8070"/>
    <w:lvl w:ilvl="0" w:tplc="39327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D552E2"/>
    <w:multiLevelType w:val="hybridMultilevel"/>
    <w:tmpl w:val="B4A0FDC4"/>
    <w:lvl w:ilvl="0" w:tplc="456A7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25E27"/>
    <w:multiLevelType w:val="hybridMultilevel"/>
    <w:tmpl w:val="0AD84896"/>
    <w:lvl w:ilvl="0" w:tplc="B2643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47"/>
    <w:rsid w:val="000069E9"/>
    <w:rsid w:val="00026C3E"/>
    <w:rsid w:val="000308D6"/>
    <w:rsid w:val="0003124F"/>
    <w:rsid w:val="0003435A"/>
    <w:rsid w:val="00053781"/>
    <w:rsid w:val="00056BE3"/>
    <w:rsid w:val="000B1490"/>
    <w:rsid w:val="000B2730"/>
    <w:rsid w:val="000B52EA"/>
    <w:rsid w:val="000E675A"/>
    <w:rsid w:val="000F1F7E"/>
    <w:rsid w:val="00171CE7"/>
    <w:rsid w:val="0018305C"/>
    <w:rsid w:val="00191934"/>
    <w:rsid w:val="001C0BC9"/>
    <w:rsid w:val="001C2A90"/>
    <w:rsid w:val="00213ED9"/>
    <w:rsid w:val="00255EDD"/>
    <w:rsid w:val="002600AD"/>
    <w:rsid w:val="002A7A11"/>
    <w:rsid w:val="002B2C74"/>
    <w:rsid w:val="002B5449"/>
    <w:rsid w:val="002B7079"/>
    <w:rsid w:val="002C11E0"/>
    <w:rsid w:val="002F1798"/>
    <w:rsid w:val="00312161"/>
    <w:rsid w:val="00320D23"/>
    <w:rsid w:val="00340221"/>
    <w:rsid w:val="00343D80"/>
    <w:rsid w:val="003454B9"/>
    <w:rsid w:val="00354DCF"/>
    <w:rsid w:val="003E3E33"/>
    <w:rsid w:val="003E492E"/>
    <w:rsid w:val="0041082F"/>
    <w:rsid w:val="00453747"/>
    <w:rsid w:val="004670E9"/>
    <w:rsid w:val="004747A6"/>
    <w:rsid w:val="00476C9D"/>
    <w:rsid w:val="004A720F"/>
    <w:rsid w:val="004D6673"/>
    <w:rsid w:val="004E2B3C"/>
    <w:rsid w:val="004E6680"/>
    <w:rsid w:val="00510DB0"/>
    <w:rsid w:val="0054732D"/>
    <w:rsid w:val="0059274C"/>
    <w:rsid w:val="00622B6D"/>
    <w:rsid w:val="00640805"/>
    <w:rsid w:val="00662062"/>
    <w:rsid w:val="006A016D"/>
    <w:rsid w:val="006B24F6"/>
    <w:rsid w:val="006D1AE4"/>
    <w:rsid w:val="006E4E8F"/>
    <w:rsid w:val="006F21A3"/>
    <w:rsid w:val="00716576"/>
    <w:rsid w:val="00725285"/>
    <w:rsid w:val="007564C0"/>
    <w:rsid w:val="00770906"/>
    <w:rsid w:val="00790D51"/>
    <w:rsid w:val="007C1967"/>
    <w:rsid w:val="007F2524"/>
    <w:rsid w:val="00813C40"/>
    <w:rsid w:val="00816F6C"/>
    <w:rsid w:val="008203EB"/>
    <w:rsid w:val="00826F1A"/>
    <w:rsid w:val="008346A6"/>
    <w:rsid w:val="008360C9"/>
    <w:rsid w:val="00836F7F"/>
    <w:rsid w:val="008C5F59"/>
    <w:rsid w:val="008E6946"/>
    <w:rsid w:val="008F7D1E"/>
    <w:rsid w:val="0090209F"/>
    <w:rsid w:val="00927C9E"/>
    <w:rsid w:val="00935B99"/>
    <w:rsid w:val="009510E7"/>
    <w:rsid w:val="009639EC"/>
    <w:rsid w:val="00991F73"/>
    <w:rsid w:val="009B48A1"/>
    <w:rsid w:val="009C0B4A"/>
    <w:rsid w:val="00A07DB3"/>
    <w:rsid w:val="00A232B3"/>
    <w:rsid w:val="00A37255"/>
    <w:rsid w:val="00A41D2F"/>
    <w:rsid w:val="00A95EE5"/>
    <w:rsid w:val="00AB3D3F"/>
    <w:rsid w:val="00AC29FB"/>
    <w:rsid w:val="00AD627A"/>
    <w:rsid w:val="00AE10FE"/>
    <w:rsid w:val="00B1305E"/>
    <w:rsid w:val="00B764A4"/>
    <w:rsid w:val="00BE411D"/>
    <w:rsid w:val="00BF5BF7"/>
    <w:rsid w:val="00BF6CE2"/>
    <w:rsid w:val="00C02B8A"/>
    <w:rsid w:val="00C04440"/>
    <w:rsid w:val="00C22780"/>
    <w:rsid w:val="00C3426E"/>
    <w:rsid w:val="00C62AB6"/>
    <w:rsid w:val="00C70807"/>
    <w:rsid w:val="00C750E5"/>
    <w:rsid w:val="00CB4C9E"/>
    <w:rsid w:val="00CC6FB1"/>
    <w:rsid w:val="00CD7B9D"/>
    <w:rsid w:val="00D115C0"/>
    <w:rsid w:val="00D21325"/>
    <w:rsid w:val="00D97D49"/>
    <w:rsid w:val="00DA0003"/>
    <w:rsid w:val="00DD7B42"/>
    <w:rsid w:val="00E2776F"/>
    <w:rsid w:val="00E347D8"/>
    <w:rsid w:val="00E367D8"/>
    <w:rsid w:val="00E54FD3"/>
    <w:rsid w:val="00E653E3"/>
    <w:rsid w:val="00E72DB7"/>
    <w:rsid w:val="00E97336"/>
    <w:rsid w:val="00EA15D3"/>
    <w:rsid w:val="00EB6C01"/>
    <w:rsid w:val="00ED7EB9"/>
    <w:rsid w:val="00F02DE7"/>
    <w:rsid w:val="00F053F1"/>
    <w:rsid w:val="00F13575"/>
    <w:rsid w:val="00F16796"/>
    <w:rsid w:val="00F27D86"/>
    <w:rsid w:val="00F37D2E"/>
    <w:rsid w:val="00F37DAE"/>
    <w:rsid w:val="00F639EC"/>
    <w:rsid w:val="00F65344"/>
    <w:rsid w:val="00F74ED8"/>
    <w:rsid w:val="00F76397"/>
    <w:rsid w:val="00F84016"/>
    <w:rsid w:val="00F94DEF"/>
    <w:rsid w:val="00FA26DE"/>
    <w:rsid w:val="00F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CB5EB"/>
  <w15:docId w15:val="{28022236-CA24-46BA-A365-ABEEC0A1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74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5C0"/>
    <w:pPr>
      <w:keepNext/>
      <w:widowControl/>
      <w:suppressAutoHyphens w:val="0"/>
      <w:overflowPunct/>
      <w:autoSpaceDE/>
      <w:autoSpaceDN/>
      <w:adjustRightInd/>
      <w:jc w:val="right"/>
      <w:textAlignment w:val="auto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53747"/>
    <w:pPr>
      <w:spacing w:line="200" w:lineRule="atLeast"/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D115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115C0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D115C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v213">
    <w:name w:val="tv213"/>
    <w:basedOn w:val="Normal"/>
    <w:rsid w:val="00F053F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53F1"/>
  </w:style>
  <w:style w:type="character" w:styleId="Hyperlink">
    <w:name w:val="Hyperlink"/>
    <w:basedOn w:val="DefaultParagraphFont"/>
    <w:uiPriority w:val="99"/>
    <w:unhideWhenUsed/>
    <w:rsid w:val="00F05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3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6CE2"/>
    <w:pPr>
      <w:ind w:left="720"/>
      <w:contextualSpacing/>
    </w:pPr>
  </w:style>
  <w:style w:type="table" w:styleId="TableGrid">
    <w:name w:val="Table Grid"/>
    <w:basedOn w:val="TableNormal"/>
    <w:uiPriority w:val="59"/>
    <w:rsid w:val="0083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460F-1813-4575-9699-3FF46C8C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 gada 15. maija noteikumos Nr.339 “Noteikumi par ostu formalitātēm”</vt:lpstr>
      <vt:lpstr>Grozījumi Ministru kabineta 2014. gada 2. septembra noteikumos Nr. 529 „Ēku būvnoteikumi”</vt:lpstr>
    </vt:vector>
  </TitlesOfParts>
  <Company>Satiksmes ministrija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15. maija noteikumos Nr.339 “Noteikumi par ostu formalitātēm”</dc:title>
  <dc:subject>Ministru kabineta noteikumu projekts</dc:subject>
  <dc:creator>Anete Logina</dc:creator>
  <dc:description>67062133, anete.logina@lja.lv</dc:description>
  <cp:lastModifiedBy>Jūlija Gabranova</cp:lastModifiedBy>
  <cp:revision>2</cp:revision>
  <cp:lastPrinted>2018-10-22T07:41:00Z</cp:lastPrinted>
  <dcterms:created xsi:type="dcterms:W3CDTF">2018-10-22T07:41:00Z</dcterms:created>
  <dcterms:modified xsi:type="dcterms:W3CDTF">2018-10-22T07:41:00Z</dcterms:modified>
</cp:coreProperties>
</file>