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59289" w14:textId="77777777" w:rsidR="00CD0761" w:rsidRDefault="00CD0761" w:rsidP="00CD0761">
      <w:pPr>
        <w:pStyle w:val="ListParagraph"/>
        <w:ind w:left="0" w:firstLine="709"/>
        <w:jc w:val="right"/>
      </w:pPr>
      <w:r>
        <w:t>Pielikums</w:t>
      </w:r>
    </w:p>
    <w:p w14:paraId="305DF083" w14:textId="61484538" w:rsidR="00E56F2A" w:rsidRDefault="00CD0761" w:rsidP="00E56F2A">
      <w:pPr>
        <w:pStyle w:val="ListParagraph"/>
        <w:ind w:left="0" w:firstLine="709"/>
        <w:jc w:val="right"/>
        <w:rPr>
          <w:sz w:val="20"/>
          <w:szCs w:val="20"/>
        </w:rPr>
      </w:pPr>
      <w:r w:rsidRPr="00134616">
        <w:rPr>
          <w:sz w:val="20"/>
          <w:szCs w:val="20"/>
        </w:rPr>
        <w:t xml:space="preserve">Informatīvajam ziņojumam </w:t>
      </w:r>
      <w:r w:rsidR="00390F87">
        <w:rPr>
          <w:sz w:val="20"/>
          <w:szCs w:val="20"/>
        </w:rPr>
        <w:t>“P</w:t>
      </w:r>
      <w:r w:rsidRPr="00134616">
        <w:rPr>
          <w:sz w:val="20"/>
          <w:szCs w:val="20"/>
        </w:rPr>
        <w:t>ar</w:t>
      </w:r>
      <w:r w:rsidRPr="00134616">
        <w:rPr>
          <w:b/>
          <w:sz w:val="20"/>
          <w:szCs w:val="20"/>
        </w:rPr>
        <w:t xml:space="preserve"> </w:t>
      </w:r>
      <w:r w:rsidRPr="00134616">
        <w:rPr>
          <w:sz w:val="20"/>
          <w:szCs w:val="20"/>
        </w:rPr>
        <w:t xml:space="preserve">papildu finansējumu </w:t>
      </w:r>
      <w:r w:rsidR="00E56F2A" w:rsidRPr="00134616">
        <w:rPr>
          <w:sz w:val="20"/>
          <w:szCs w:val="20"/>
        </w:rPr>
        <w:t xml:space="preserve">sabiedriskā </w:t>
      </w:r>
    </w:p>
    <w:p w14:paraId="21201189" w14:textId="37E23920" w:rsidR="00CD0761" w:rsidRDefault="00E56F2A" w:rsidP="00E56F2A">
      <w:pPr>
        <w:pStyle w:val="ListParagraph"/>
        <w:ind w:left="0" w:firstLine="709"/>
        <w:jc w:val="right"/>
        <w:rPr>
          <w:sz w:val="20"/>
          <w:szCs w:val="20"/>
        </w:rPr>
      </w:pPr>
      <w:r w:rsidRPr="00134616">
        <w:rPr>
          <w:sz w:val="20"/>
          <w:szCs w:val="20"/>
        </w:rPr>
        <w:t>transporta pakalpojumu nodrošināšanai</w:t>
      </w:r>
      <w:r>
        <w:rPr>
          <w:sz w:val="20"/>
          <w:szCs w:val="20"/>
        </w:rPr>
        <w:t xml:space="preserve"> </w:t>
      </w:r>
      <w:r w:rsidR="00CD0761" w:rsidRPr="00134616">
        <w:rPr>
          <w:sz w:val="20"/>
          <w:szCs w:val="20"/>
        </w:rPr>
        <w:t>2018.gadā</w:t>
      </w:r>
      <w:r w:rsidR="00390F87">
        <w:rPr>
          <w:sz w:val="20"/>
          <w:szCs w:val="20"/>
        </w:rPr>
        <w:t>“</w:t>
      </w:r>
    </w:p>
    <w:p w14:paraId="43404393" w14:textId="77777777" w:rsidR="00CD0761" w:rsidRDefault="00CD0761" w:rsidP="00CD0761">
      <w:pPr>
        <w:jc w:val="both"/>
        <w:rPr>
          <w:b/>
        </w:rPr>
      </w:pPr>
      <w:r>
        <w:rPr>
          <w:b/>
          <w:sz w:val="28"/>
          <w:szCs w:val="28"/>
        </w:rPr>
        <w:t xml:space="preserve">Potenciālo zaudējumu samazināšanai 2018.gadā veikto pasākumu </w:t>
      </w:r>
      <w:proofErr w:type="spellStart"/>
      <w:r>
        <w:rPr>
          <w:b/>
          <w:sz w:val="28"/>
          <w:szCs w:val="28"/>
        </w:rPr>
        <w:t>izvērtējuma</w:t>
      </w:r>
      <w:proofErr w:type="spellEnd"/>
      <w:r>
        <w:rPr>
          <w:b/>
          <w:sz w:val="28"/>
          <w:szCs w:val="28"/>
        </w:rPr>
        <w:t xml:space="preserve"> kopsavilkums</w:t>
      </w:r>
      <w:r w:rsidRPr="00F44378">
        <w:rPr>
          <w:b/>
        </w:rPr>
        <w:t>.</w:t>
      </w:r>
    </w:p>
    <w:p w14:paraId="136D3F70" w14:textId="77777777" w:rsidR="00CD0761" w:rsidRPr="00F44378" w:rsidRDefault="00CD0761" w:rsidP="00CD0761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2180"/>
        <w:gridCol w:w="5529"/>
        <w:gridCol w:w="2551"/>
        <w:gridCol w:w="2552"/>
      </w:tblGrid>
      <w:tr w:rsidR="00CD0761" w:rsidRPr="00F44378" w14:paraId="172DF522" w14:textId="77777777" w:rsidTr="00DA7D01">
        <w:tc>
          <w:tcPr>
            <w:tcW w:w="650" w:type="dxa"/>
          </w:tcPr>
          <w:p w14:paraId="612767C7" w14:textId="77777777" w:rsidR="00CD0761" w:rsidRPr="00F44378" w:rsidRDefault="00CD0761" w:rsidP="00DA7D01">
            <w:pPr>
              <w:jc w:val="both"/>
              <w:rPr>
                <w:b/>
              </w:rPr>
            </w:pPr>
            <w:r w:rsidRPr="00F44378">
              <w:rPr>
                <w:b/>
              </w:rPr>
              <w:t>Nr. p.k.</w:t>
            </w:r>
          </w:p>
        </w:tc>
        <w:tc>
          <w:tcPr>
            <w:tcW w:w="2180" w:type="dxa"/>
          </w:tcPr>
          <w:p w14:paraId="3FC5310F" w14:textId="77777777" w:rsidR="00CD0761" w:rsidRPr="00F44378" w:rsidRDefault="00CD0761" w:rsidP="00DA7D01">
            <w:pPr>
              <w:jc w:val="both"/>
              <w:rPr>
                <w:b/>
              </w:rPr>
            </w:pPr>
            <w:r w:rsidRPr="00F44378">
              <w:rPr>
                <w:b/>
              </w:rPr>
              <w:t>Pasākums</w:t>
            </w:r>
          </w:p>
        </w:tc>
        <w:tc>
          <w:tcPr>
            <w:tcW w:w="5529" w:type="dxa"/>
          </w:tcPr>
          <w:p w14:paraId="0AF7D848" w14:textId="77777777" w:rsidR="00CD0761" w:rsidRDefault="00CD0761" w:rsidP="00DA7D01">
            <w:pPr>
              <w:jc w:val="both"/>
              <w:rPr>
                <w:b/>
              </w:rPr>
            </w:pPr>
            <w:r>
              <w:rPr>
                <w:b/>
              </w:rPr>
              <w:t>Paskaidrojums</w:t>
            </w:r>
          </w:p>
        </w:tc>
        <w:tc>
          <w:tcPr>
            <w:tcW w:w="2551" w:type="dxa"/>
          </w:tcPr>
          <w:p w14:paraId="6130EEBD" w14:textId="77777777" w:rsidR="00CD0761" w:rsidRPr="00F44378" w:rsidRDefault="00CD0761" w:rsidP="00DA7D01">
            <w:pPr>
              <w:jc w:val="both"/>
              <w:rPr>
                <w:b/>
              </w:rPr>
            </w:pPr>
            <w:r>
              <w:rPr>
                <w:b/>
              </w:rPr>
              <w:t>Aprēķinātā plānotā ietekme uz 2018.gada finansējumu</w:t>
            </w:r>
            <w:r w:rsidRPr="00F44378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14:paraId="2D43A56C" w14:textId="77777777" w:rsidR="00CD0761" w:rsidRPr="00F44378" w:rsidRDefault="00CD0761" w:rsidP="00DA7D01">
            <w:pPr>
              <w:jc w:val="both"/>
              <w:rPr>
                <w:b/>
              </w:rPr>
            </w:pPr>
            <w:r>
              <w:rPr>
                <w:b/>
              </w:rPr>
              <w:t>Aprēķinātā plānotā ietekme uz 2019.gada finansējumu</w:t>
            </w:r>
          </w:p>
        </w:tc>
      </w:tr>
      <w:tr w:rsidR="00CD0761" w:rsidRPr="00F44378" w14:paraId="005C5DBD" w14:textId="77777777" w:rsidTr="00DA7D01">
        <w:tc>
          <w:tcPr>
            <w:tcW w:w="650" w:type="dxa"/>
          </w:tcPr>
          <w:p w14:paraId="5921C51C" w14:textId="77777777" w:rsidR="00CD0761" w:rsidRPr="00F44378" w:rsidRDefault="00CD0761" w:rsidP="00DA7D01">
            <w:pPr>
              <w:jc w:val="both"/>
              <w:rPr>
                <w:b/>
                <w:i/>
              </w:rPr>
            </w:pPr>
            <w:r w:rsidRPr="00F44378">
              <w:rPr>
                <w:b/>
                <w:i/>
              </w:rPr>
              <w:t>1.</w:t>
            </w:r>
          </w:p>
        </w:tc>
        <w:tc>
          <w:tcPr>
            <w:tcW w:w="2180" w:type="dxa"/>
          </w:tcPr>
          <w:p w14:paraId="7F93A001" w14:textId="77777777" w:rsidR="00CD0761" w:rsidRPr="00F44378" w:rsidRDefault="00CD0761" w:rsidP="00DA7D0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Plānotā m</w:t>
            </w:r>
            <w:r w:rsidRPr="00F44378">
              <w:rPr>
                <w:b/>
                <w:i/>
              </w:rPr>
              <w:t xml:space="preserve">aršrutu tīkla </w:t>
            </w:r>
            <w:r>
              <w:rPr>
                <w:b/>
                <w:i/>
              </w:rPr>
              <w:t xml:space="preserve">apjoma pārskatīšana nākamajam gadam </w:t>
            </w:r>
            <w:r w:rsidRPr="008D21A5">
              <w:rPr>
                <w:sz w:val="20"/>
                <w:szCs w:val="20"/>
              </w:rPr>
              <w:t>(Ministru kabineta noteikumu Nr.435 17.1.apakkšpunkts)</w:t>
            </w:r>
          </w:p>
        </w:tc>
        <w:tc>
          <w:tcPr>
            <w:tcW w:w="5529" w:type="dxa"/>
          </w:tcPr>
          <w:p w14:paraId="5D6E4896" w14:textId="77777777" w:rsidR="00CD0761" w:rsidRPr="007150C8" w:rsidRDefault="00CD0761" w:rsidP="00DA7D01">
            <w:pPr>
              <w:jc w:val="both"/>
            </w:pPr>
            <w:r w:rsidRPr="007150C8">
              <w:t>2018.gada piecos mēnešos</w:t>
            </w:r>
            <w:r>
              <w:t xml:space="preserve"> veikts m</w:t>
            </w:r>
            <w:r w:rsidRPr="007150C8">
              <w:t>aršrutu tīkla apjoma samazinājums par 1,035 milj. km gada griezumā,</w:t>
            </w:r>
            <w:r w:rsidRPr="007150C8">
              <w:rPr>
                <w:b/>
              </w:rPr>
              <w:t xml:space="preserve"> </w:t>
            </w:r>
            <w:r w:rsidRPr="007150C8">
              <w:t>tai skaitā reģion</w:t>
            </w:r>
            <w:r>
              <w:t>os</w:t>
            </w:r>
            <w:r w:rsidRPr="007150C8">
              <w:t>:</w:t>
            </w:r>
          </w:p>
          <w:p w14:paraId="6AE39701" w14:textId="77777777" w:rsidR="00CD0761" w:rsidRPr="007150C8" w:rsidRDefault="00CD0761" w:rsidP="00DA7D01">
            <w:pPr>
              <w:jc w:val="both"/>
            </w:pPr>
            <w:r w:rsidRPr="007150C8">
              <w:t>- Vidzemes plānošanas reģionā 87 tūkst. km;</w:t>
            </w:r>
          </w:p>
          <w:p w14:paraId="3824EC83" w14:textId="77777777" w:rsidR="00CD0761" w:rsidRPr="007150C8" w:rsidRDefault="00CD0761" w:rsidP="00DA7D01">
            <w:pPr>
              <w:jc w:val="both"/>
            </w:pPr>
            <w:r w:rsidRPr="007150C8">
              <w:t xml:space="preserve">- Zemgales plānošanas reģionā – </w:t>
            </w:r>
            <w:r>
              <w:t>226</w:t>
            </w:r>
            <w:r w:rsidRPr="007150C8">
              <w:t xml:space="preserve"> tūkst. </w:t>
            </w:r>
            <w:r>
              <w:t>k</w:t>
            </w:r>
            <w:r w:rsidRPr="007150C8">
              <w:t>m;</w:t>
            </w:r>
          </w:p>
          <w:p w14:paraId="7B922DD6" w14:textId="77777777" w:rsidR="00CD0761" w:rsidRPr="007150C8" w:rsidRDefault="00CD0761" w:rsidP="00DA7D01">
            <w:pPr>
              <w:jc w:val="both"/>
            </w:pPr>
            <w:r w:rsidRPr="007150C8">
              <w:t xml:space="preserve">- Rīgas plānošanas reģionā – </w:t>
            </w:r>
            <w:r>
              <w:t>605</w:t>
            </w:r>
            <w:r w:rsidRPr="007150C8">
              <w:t xml:space="preserve"> tūkst. km;</w:t>
            </w:r>
          </w:p>
          <w:p w14:paraId="31F55930" w14:textId="77777777" w:rsidR="00CD0761" w:rsidRPr="007150C8" w:rsidRDefault="00CD0761" w:rsidP="00DA7D01">
            <w:pPr>
              <w:jc w:val="both"/>
            </w:pPr>
            <w:r w:rsidRPr="007150C8">
              <w:t>- Latgales plānošanas reģionā – 54 tūkst. km;</w:t>
            </w:r>
          </w:p>
          <w:p w14:paraId="2C6B5663" w14:textId="77777777" w:rsidR="00CD0761" w:rsidRDefault="00CD0761" w:rsidP="00DA7D01">
            <w:pPr>
              <w:jc w:val="both"/>
            </w:pPr>
            <w:r w:rsidRPr="007150C8">
              <w:t xml:space="preserve">- Kurzemes plānošanas reģionā – 63 tūkst. </w:t>
            </w:r>
            <w:r>
              <w:t>k</w:t>
            </w:r>
            <w:r w:rsidRPr="007150C8">
              <w:t>m</w:t>
            </w:r>
            <w:r>
              <w:t>.</w:t>
            </w:r>
          </w:p>
          <w:p w14:paraId="2CDDE68A" w14:textId="77777777" w:rsidR="00CD0761" w:rsidRDefault="00CD0761" w:rsidP="00DA7D01">
            <w:pPr>
              <w:jc w:val="both"/>
            </w:pPr>
          </w:p>
          <w:p w14:paraId="57E1F60D" w14:textId="77777777" w:rsidR="00CD0761" w:rsidRPr="007150C8" w:rsidRDefault="00CD0761" w:rsidP="00DA7D01">
            <w:pPr>
              <w:jc w:val="both"/>
            </w:pPr>
            <w:r w:rsidRPr="00511576">
              <w:t>Plānotā ietekme uz finansējumu aprēķināta atbilstoši faktiskajiem un plānotajiem grozījumiem maršrutu tīklā, ievērojot sabiedriskā transporta pakalpojumu sniedzēju sniegtās prognozes</w:t>
            </w:r>
          </w:p>
          <w:p w14:paraId="12A93A3A" w14:textId="77777777" w:rsidR="00CD0761" w:rsidRDefault="00CD0761" w:rsidP="00DA7D01">
            <w:pPr>
              <w:jc w:val="both"/>
              <w:rPr>
                <w:b/>
                <w:i/>
              </w:rPr>
            </w:pPr>
          </w:p>
        </w:tc>
        <w:tc>
          <w:tcPr>
            <w:tcW w:w="2551" w:type="dxa"/>
          </w:tcPr>
          <w:p w14:paraId="012B6CF6" w14:textId="77777777" w:rsidR="00CD0761" w:rsidRDefault="00CD0761" w:rsidP="00DA7D01">
            <w:pPr>
              <w:jc w:val="center"/>
              <w:rPr>
                <w:b/>
                <w:i/>
              </w:rPr>
            </w:pPr>
          </w:p>
          <w:p w14:paraId="79FFBB15" w14:textId="77777777" w:rsidR="00CD0761" w:rsidRDefault="00CD0761" w:rsidP="00DA7D01">
            <w:pPr>
              <w:jc w:val="center"/>
              <w:rPr>
                <w:b/>
                <w:i/>
              </w:rPr>
            </w:pPr>
          </w:p>
          <w:p w14:paraId="62B90ACA" w14:textId="77777777" w:rsidR="00CD0761" w:rsidRDefault="00CD0761" w:rsidP="00DA7D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0,4 milj. </w:t>
            </w:r>
            <w:proofErr w:type="spellStart"/>
            <w:r>
              <w:rPr>
                <w:b/>
                <w:i/>
              </w:rPr>
              <w:t>e</w:t>
            </w:r>
            <w:r w:rsidRPr="00F44378">
              <w:rPr>
                <w:b/>
                <w:i/>
              </w:rPr>
              <w:t>uro</w:t>
            </w:r>
            <w:proofErr w:type="spellEnd"/>
          </w:p>
          <w:p w14:paraId="6FDFDDFE" w14:textId="77777777" w:rsidR="00CD0761" w:rsidRDefault="00CD0761" w:rsidP="00DA7D01">
            <w:pPr>
              <w:jc w:val="center"/>
            </w:pPr>
            <w:r>
              <w:t>(ietekme atlikušajam gada periodam, no katru attiecīgo izmaiņu spēkā stāšanās datuma)</w:t>
            </w:r>
          </w:p>
          <w:p w14:paraId="7A5447B7" w14:textId="77777777" w:rsidR="00CD0761" w:rsidRPr="005D4FA6" w:rsidRDefault="00CD0761" w:rsidP="00DA7D01">
            <w:pPr>
              <w:jc w:val="both"/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14:paraId="0E502DCC" w14:textId="77777777" w:rsidR="00CD0761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</w:p>
          <w:p w14:paraId="34F99765" w14:textId="77777777" w:rsidR="00CD0761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</w:p>
          <w:p w14:paraId="6631BE94" w14:textId="77777777" w:rsidR="00CD0761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0,6 milj.</w:t>
            </w:r>
            <w:r w:rsidRPr="00F4437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44378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  <w:p w14:paraId="1D691925" w14:textId="77777777" w:rsidR="00CD0761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</w:p>
          <w:p w14:paraId="63F67110" w14:textId="77777777" w:rsidR="00CD0761" w:rsidRPr="005D4FA6" w:rsidRDefault="00CD0761" w:rsidP="00DA7D01">
            <w:pPr>
              <w:pStyle w:val="CommentText"/>
              <w:jc w:val="both"/>
              <w:rPr>
                <w:sz w:val="24"/>
                <w:szCs w:val="24"/>
              </w:rPr>
            </w:pPr>
          </w:p>
        </w:tc>
      </w:tr>
      <w:tr w:rsidR="00CD0761" w:rsidRPr="00F44378" w14:paraId="4C0D8DCE" w14:textId="77777777" w:rsidTr="00DA7D01">
        <w:tc>
          <w:tcPr>
            <w:tcW w:w="650" w:type="dxa"/>
          </w:tcPr>
          <w:p w14:paraId="7284D6DA" w14:textId="77777777" w:rsidR="00CD0761" w:rsidRPr="00F44378" w:rsidRDefault="00CD0761" w:rsidP="00DA7D0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</w:p>
        </w:tc>
        <w:tc>
          <w:tcPr>
            <w:tcW w:w="2180" w:type="dxa"/>
          </w:tcPr>
          <w:p w14:paraId="6D335611" w14:textId="77777777" w:rsidR="00CD0761" w:rsidRPr="009B64E4" w:rsidRDefault="00CD0761" w:rsidP="00DA7D01">
            <w:pPr>
              <w:jc w:val="both"/>
              <w:rPr>
                <w:b/>
                <w:i/>
              </w:rPr>
            </w:pPr>
            <w:r w:rsidRPr="00803459">
              <w:rPr>
                <w:b/>
                <w:i/>
                <w:shd w:val="clear" w:color="auto" w:fill="FFFFFF"/>
              </w:rPr>
              <w:t xml:space="preserve">Plānoto tarifu (braukšanas maksas) nākamajam gadam pārskatīšana </w:t>
            </w:r>
            <w:r w:rsidRPr="00803459">
              <w:rPr>
                <w:sz w:val="20"/>
                <w:szCs w:val="20"/>
              </w:rPr>
              <w:t>(Ministru kabineta noteikumu Nr.435 17.2.apakkšpunkts)</w:t>
            </w:r>
            <w:r w:rsidRPr="00803459">
              <w:rPr>
                <w:b/>
                <w:i/>
                <w:shd w:val="clear" w:color="auto" w:fill="FFFFFF"/>
              </w:rPr>
              <w:t xml:space="preserve"> </w:t>
            </w:r>
          </w:p>
        </w:tc>
        <w:tc>
          <w:tcPr>
            <w:tcW w:w="5529" w:type="dxa"/>
          </w:tcPr>
          <w:p w14:paraId="6579AF8D" w14:textId="77777777" w:rsidR="00CD0761" w:rsidRDefault="00CD0761" w:rsidP="00DA7D01">
            <w:pPr>
              <w:jc w:val="both"/>
            </w:pPr>
            <w:r w:rsidRPr="00512089">
              <w:t>2018.gada 1.jūnijā pieņemts Sabiedriskā transporta padomes lēmums (prot. Nr.5§7), par minimālo maksu palielināšanu braucieniem uz/no pieturvietām republikas nozīmes pilsētās un attīstības centros reģionālajos vietējās nozīmes autobusu maršrutos ar 2019.gada 1.janvāri</w:t>
            </w:r>
            <w:r>
              <w:t>. Minimālā braukšanas maksa tiks paaugstināta:</w:t>
            </w:r>
          </w:p>
          <w:p w14:paraId="0850AB4A" w14:textId="77777777" w:rsidR="00CD0761" w:rsidRDefault="00CD0761" w:rsidP="00DA7D01">
            <w:pPr>
              <w:jc w:val="both"/>
            </w:pPr>
            <w:r>
              <w:t xml:space="preserve">- </w:t>
            </w:r>
            <w:r w:rsidRPr="00512089">
              <w:t xml:space="preserve">uz/no pieturvietām republikas nozīmes pilsētās līdz 1,00 </w:t>
            </w:r>
            <w:proofErr w:type="spellStart"/>
            <w:r w:rsidRPr="00512089">
              <w:rPr>
                <w:i/>
              </w:rPr>
              <w:t>euro</w:t>
            </w:r>
            <w:proofErr w:type="spellEnd"/>
            <w:r>
              <w:t xml:space="preserve"> Rīgā un</w:t>
            </w:r>
            <w:r w:rsidRPr="00512089">
              <w:t xml:space="preserve"> līdz 0,70 </w:t>
            </w:r>
            <w:proofErr w:type="spellStart"/>
            <w:r w:rsidRPr="00512089">
              <w:rPr>
                <w:i/>
              </w:rPr>
              <w:t>euro</w:t>
            </w:r>
            <w:proofErr w:type="spellEnd"/>
            <w:r w:rsidRPr="00512089">
              <w:t xml:space="preserve"> citās republikas nozīmes pilsētās</w:t>
            </w:r>
            <w:r>
              <w:t xml:space="preserve"> (pašlaik </w:t>
            </w:r>
            <w:r w:rsidRPr="00512089">
              <w:t xml:space="preserve">0,80 </w:t>
            </w:r>
            <w:proofErr w:type="spellStart"/>
            <w:r w:rsidRPr="00512089">
              <w:rPr>
                <w:i/>
              </w:rPr>
              <w:t>euro</w:t>
            </w:r>
            <w:proofErr w:type="spellEnd"/>
            <w:r>
              <w:rPr>
                <w:i/>
              </w:rPr>
              <w:t xml:space="preserve"> </w:t>
            </w:r>
            <w:r>
              <w:t>Rīgā un 0,6</w:t>
            </w:r>
            <w:r w:rsidRPr="00512089">
              <w:t xml:space="preserve">0 </w:t>
            </w:r>
            <w:proofErr w:type="spellStart"/>
            <w:r w:rsidRPr="00512089">
              <w:rPr>
                <w:i/>
              </w:rPr>
              <w:t>euro</w:t>
            </w:r>
            <w:proofErr w:type="spellEnd"/>
            <w:r>
              <w:rPr>
                <w:i/>
              </w:rPr>
              <w:t xml:space="preserve"> </w:t>
            </w:r>
            <w:r w:rsidRPr="00512089">
              <w:t>citās republikas nozīmes pilsētās</w:t>
            </w:r>
            <w:r>
              <w:t>);</w:t>
            </w:r>
          </w:p>
          <w:p w14:paraId="19C7DB0D" w14:textId="77777777" w:rsidR="00CD0761" w:rsidRDefault="00CD0761" w:rsidP="00DA7D01">
            <w:pPr>
              <w:jc w:val="both"/>
            </w:pPr>
            <w:r>
              <w:lastRenderedPageBreak/>
              <w:t>- uz/no pieturvietām</w:t>
            </w:r>
            <w:r w:rsidRPr="00512089">
              <w:t xml:space="preserve"> reģionālās attīstības centros līdz 0,60 </w:t>
            </w:r>
            <w:proofErr w:type="spellStart"/>
            <w:r w:rsidRPr="00512089">
              <w:rPr>
                <w:i/>
                <w:iCs/>
              </w:rPr>
              <w:t>euro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(pašlaik </w:t>
            </w:r>
            <w:r w:rsidRPr="00512089">
              <w:t xml:space="preserve">0,50 </w:t>
            </w:r>
            <w:proofErr w:type="spellStart"/>
            <w:r w:rsidRPr="00512089">
              <w:rPr>
                <w:i/>
              </w:rPr>
              <w:t>euro</w:t>
            </w:r>
            <w:proofErr w:type="spellEnd"/>
            <w:r>
              <w:t>).</w:t>
            </w:r>
          </w:p>
          <w:p w14:paraId="232B38CC" w14:textId="77777777" w:rsidR="00CD0761" w:rsidRDefault="00CD0761" w:rsidP="00DA7D01">
            <w:pPr>
              <w:jc w:val="both"/>
            </w:pPr>
          </w:p>
          <w:p w14:paraId="4C2EB0FE" w14:textId="77777777" w:rsidR="00CD0761" w:rsidRDefault="00CD0761" w:rsidP="00DA7D01">
            <w:pPr>
              <w:jc w:val="both"/>
            </w:pPr>
            <w:r>
              <w:t>Plānotā ietekme uz 2019.gada finansējumu aprēķināta, pieņemot, ka pasažieru skaits būs nemainīgs.</w:t>
            </w:r>
            <w:r w:rsidRPr="00512089">
              <w:t xml:space="preserve"> </w:t>
            </w:r>
          </w:p>
          <w:p w14:paraId="3648D3AB" w14:textId="77777777" w:rsidR="00CD0761" w:rsidRPr="00512089" w:rsidRDefault="00CD0761" w:rsidP="00DA7D01">
            <w:pPr>
              <w:jc w:val="both"/>
            </w:pPr>
            <w:r w:rsidRPr="00512089">
              <w:t xml:space="preserve"> </w:t>
            </w:r>
          </w:p>
        </w:tc>
        <w:tc>
          <w:tcPr>
            <w:tcW w:w="2551" w:type="dxa"/>
          </w:tcPr>
          <w:p w14:paraId="22ED2755" w14:textId="77777777" w:rsidR="00CD0761" w:rsidRDefault="00CD0761" w:rsidP="00DA7D01">
            <w:pPr>
              <w:jc w:val="center"/>
              <w:rPr>
                <w:b/>
                <w:i/>
              </w:rPr>
            </w:pPr>
          </w:p>
          <w:p w14:paraId="7F0AA40B" w14:textId="77777777" w:rsidR="00CD0761" w:rsidRDefault="00CD0761" w:rsidP="00DA7D01">
            <w:pPr>
              <w:jc w:val="center"/>
              <w:rPr>
                <w:b/>
                <w:i/>
              </w:rPr>
            </w:pPr>
          </w:p>
          <w:p w14:paraId="564434BA" w14:textId="77777777" w:rsidR="00CD0761" w:rsidRPr="00F44378" w:rsidRDefault="00CD0761" w:rsidP="00DA7D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Nav ietekme</w:t>
            </w:r>
          </w:p>
        </w:tc>
        <w:tc>
          <w:tcPr>
            <w:tcW w:w="2552" w:type="dxa"/>
          </w:tcPr>
          <w:p w14:paraId="11A7B1CB" w14:textId="77777777" w:rsidR="00CD0761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</w:p>
          <w:p w14:paraId="695C73A3" w14:textId="77777777" w:rsidR="00CD0761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</w:p>
          <w:p w14:paraId="1ACD2B94" w14:textId="77777777" w:rsidR="00CD0761" w:rsidRPr="009B64E4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  <w:r w:rsidRPr="009B64E4">
              <w:rPr>
                <w:b/>
                <w:i/>
                <w:sz w:val="24"/>
                <w:szCs w:val="24"/>
              </w:rPr>
              <w:t>0,3 milj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9B64E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B64E4">
              <w:rPr>
                <w:b/>
                <w:i/>
                <w:sz w:val="24"/>
                <w:szCs w:val="24"/>
              </w:rPr>
              <w:t>euro</w:t>
            </w:r>
            <w:proofErr w:type="spellEnd"/>
            <w:r w:rsidRPr="009B64E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D0761" w:rsidRPr="00F57440" w14:paraId="05ECD262" w14:textId="77777777" w:rsidTr="00DA7D01">
        <w:tc>
          <w:tcPr>
            <w:tcW w:w="650" w:type="dxa"/>
          </w:tcPr>
          <w:p w14:paraId="3F05E4CA" w14:textId="77777777" w:rsidR="00CD0761" w:rsidRDefault="00CD0761" w:rsidP="00DA7D0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2180" w:type="dxa"/>
          </w:tcPr>
          <w:p w14:paraId="6026E1C3" w14:textId="77777777" w:rsidR="00CD0761" w:rsidRDefault="00CD0761" w:rsidP="00DA7D01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color w:val="414142"/>
                <w:shd w:val="clear" w:color="auto" w:fill="FFFFFF"/>
              </w:rPr>
              <w:t>Pakalpojumu sniegšanā iesaistīto transportlīdzekļu ietilpības maiņa</w:t>
            </w:r>
          </w:p>
          <w:p w14:paraId="4EAFE183" w14:textId="77777777" w:rsidR="00CD0761" w:rsidRPr="00D34749" w:rsidRDefault="00CD0761" w:rsidP="00DA7D01">
            <w:pPr>
              <w:jc w:val="both"/>
              <w:rPr>
                <w:b/>
                <w:i/>
                <w:color w:val="414142"/>
                <w:shd w:val="clear" w:color="auto" w:fill="FFFFFF"/>
              </w:rPr>
            </w:pPr>
            <w:r w:rsidRPr="00D34749">
              <w:rPr>
                <w:i/>
                <w:sz w:val="20"/>
                <w:szCs w:val="20"/>
              </w:rPr>
              <w:t>(līdz 2018.gada 1.maijam)</w:t>
            </w:r>
            <w:r w:rsidRPr="00D34749">
              <w:rPr>
                <w:i/>
                <w:highlight w:val="yellow"/>
              </w:rPr>
              <w:t xml:space="preserve"> </w:t>
            </w:r>
          </w:p>
        </w:tc>
        <w:tc>
          <w:tcPr>
            <w:tcW w:w="5529" w:type="dxa"/>
          </w:tcPr>
          <w:p w14:paraId="4C6B391A" w14:textId="77777777" w:rsidR="00CD0761" w:rsidRDefault="00CD0761" w:rsidP="00DA7D01">
            <w:pPr>
              <w:jc w:val="both"/>
            </w:pPr>
            <w:r w:rsidRPr="00057136">
              <w:t>Vei</w:t>
            </w:r>
            <w:r>
              <w:t xml:space="preserve">cot </w:t>
            </w:r>
            <w:r w:rsidRPr="00057136">
              <w:t>izmaiņas sabiedriskā transporta pakalpojumu līgumos</w:t>
            </w:r>
            <w:r>
              <w:t>,</w:t>
            </w:r>
            <w:r w:rsidRPr="00057136">
              <w:t xml:space="preserve"> </w:t>
            </w:r>
            <w:r>
              <w:t xml:space="preserve">M3 kategorijas autobusi tiek aizstāti ar </w:t>
            </w:r>
            <w:r w:rsidRPr="00057136">
              <w:t>M2 kategorijas autobusi</w:t>
            </w:r>
            <w:r>
              <w:t>em, kas</w:t>
            </w:r>
            <w:r w:rsidRPr="00057136">
              <w:t xml:space="preserve"> ir būtiski ekonomiskāki </w:t>
            </w:r>
            <w:r>
              <w:t xml:space="preserve">ekspluatācijā </w:t>
            </w:r>
            <w:r w:rsidRPr="00057136">
              <w:t>par M3 kategorijas autobusiem (degvielas patēriņš, amortizācijas izdevumi)</w:t>
            </w:r>
            <w:r>
              <w:t xml:space="preserve"> maršrutos ar zemu pasažieru plūsmu.</w:t>
            </w:r>
          </w:p>
          <w:p w14:paraId="487A8478" w14:textId="77777777" w:rsidR="00CD0761" w:rsidRDefault="00CD0761" w:rsidP="00DA7D01">
            <w:pPr>
              <w:jc w:val="both"/>
            </w:pPr>
          </w:p>
          <w:p w14:paraId="1F38CA42" w14:textId="77777777" w:rsidR="00CD0761" w:rsidRPr="00057136" w:rsidRDefault="00CD0761" w:rsidP="00DA7D01">
            <w:pPr>
              <w:jc w:val="both"/>
            </w:pPr>
            <w:r w:rsidRPr="00057136">
              <w:t>2017.gadā M2 autobusu īpatsvars bija 24,3%</w:t>
            </w:r>
            <w:r>
              <w:t xml:space="preserve">, bet </w:t>
            </w:r>
            <w:r w:rsidRPr="00057136">
              <w:t xml:space="preserve">2018.gadā </w:t>
            </w:r>
            <w:r>
              <w:t xml:space="preserve">tas </w:t>
            </w:r>
            <w:r w:rsidRPr="00057136">
              <w:t>sasniedz 28% no kopējā autobusu skaita</w:t>
            </w:r>
            <w:r>
              <w:t>. D</w:t>
            </w:r>
            <w:r w:rsidRPr="00057136">
              <w:t xml:space="preserve">egvielas patēriņa samazinājums – 2017.gadā salīdzinot ar 2016.gadu par 2,54%. </w:t>
            </w:r>
            <w:r w:rsidRPr="00511576">
              <w:t xml:space="preserve">Ievērojot to, ka M3 kategorijas autobusiem degvielas patēriņš uz 100 km vidēji sastāda 25,75 l/100km, bet M2 – 13,05 l/100km, tad, ja 2018.gadā nebūtu iesaistīti M2 ietilpības, aizvietojot M3 kategorijas autobusus, tad degvielas izmaksas pie 2018.gada degvielas cenām pieaugtu vēl vismaz par 0,232 milj. </w:t>
            </w:r>
            <w:proofErr w:type="spellStart"/>
            <w:r w:rsidRPr="00511576">
              <w:t>euro</w:t>
            </w:r>
            <w:proofErr w:type="spellEnd"/>
            <w:r w:rsidRPr="00511576">
              <w:t xml:space="preserve"> </w:t>
            </w:r>
            <w:r w:rsidRPr="00511576">
              <w:rPr>
                <w:i/>
              </w:rPr>
              <w:t xml:space="preserve">  </w:t>
            </w:r>
          </w:p>
        </w:tc>
        <w:tc>
          <w:tcPr>
            <w:tcW w:w="2551" w:type="dxa"/>
          </w:tcPr>
          <w:p w14:paraId="60B41792" w14:textId="77777777" w:rsidR="00CD0761" w:rsidRPr="00F57440" w:rsidRDefault="00CD0761" w:rsidP="00DA7D01">
            <w:pPr>
              <w:jc w:val="center"/>
              <w:rPr>
                <w:b/>
                <w:i/>
              </w:rPr>
            </w:pPr>
          </w:p>
          <w:p w14:paraId="77F934D2" w14:textId="77777777" w:rsidR="00CD0761" w:rsidRPr="00F57440" w:rsidRDefault="00CD0761" w:rsidP="00DA7D01">
            <w:pPr>
              <w:jc w:val="center"/>
              <w:rPr>
                <w:b/>
                <w:i/>
              </w:rPr>
            </w:pPr>
          </w:p>
          <w:p w14:paraId="2E6C5500" w14:textId="77777777" w:rsidR="00CD0761" w:rsidRPr="00F57440" w:rsidRDefault="00CD0761" w:rsidP="00DA7D01">
            <w:pPr>
              <w:jc w:val="center"/>
              <w:rPr>
                <w:b/>
                <w:i/>
              </w:rPr>
            </w:pPr>
            <w:r w:rsidRPr="00F57440">
              <w:rPr>
                <w:b/>
                <w:i/>
              </w:rPr>
              <w:t xml:space="preserve">0,23 milj. </w:t>
            </w:r>
            <w:proofErr w:type="spellStart"/>
            <w:r w:rsidRPr="00F57440">
              <w:rPr>
                <w:b/>
                <w:i/>
              </w:rPr>
              <w:t>euro</w:t>
            </w:r>
            <w:proofErr w:type="spellEnd"/>
            <w:r w:rsidRPr="00F57440">
              <w:rPr>
                <w:b/>
                <w:i/>
              </w:rPr>
              <w:t xml:space="preserve"> </w:t>
            </w:r>
          </w:p>
        </w:tc>
        <w:tc>
          <w:tcPr>
            <w:tcW w:w="2552" w:type="dxa"/>
          </w:tcPr>
          <w:p w14:paraId="0D05AC75" w14:textId="77777777" w:rsidR="00CD0761" w:rsidRPr="00F57440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  <w:r w:rsidRPr="00F57440">
              <w:rPr>
                <w:b/>
                <w:i/>
                <w:sz w:val="24"/>
                <w:szCs w:val="24"/>
              </w:rPr>
              <w:t xml:space="preserve"> </w:t>
            </w:r>
          </w:p>
          <w:p w14:paraId="2DB5B49C" w14:textId="77777777" w:rsidR="00CD0761" w:rsidRPr="00F57440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</w:p>
          <w:p w14:paraId="2EDE8FAD" w14:textId="77777777" w:rsidR="00CD0761" w:rsidRPr="00F57440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  <w:r w:rsidRPr="00F57440">
              <w:rPr>
                <w:b/>
                <w:i/>
                <w:sz w:val="24"/>
                <w:szCs w:val="24"/>
              </w:rPr>
              <w:t xml:space="preserve">0,23 milj. </w:t>
            </w:r>
            <w:proofErr w:type="spellStart"/>
            <w:r w:rsidRPr="00F57440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  <w:p w14:paraId="2B3AB2DF" w14:textId="77777777" w:rsidR="00CD0761" w:rsidRPr="00F57440" w:rsidRDefault="00CD0761" w:rsidP="00DA7D01">
            <w:pPr>
              <w:pStyle w:val="CommentText"/>
              <w:jc w:val="center"/>
              <w:rPr>
                <w:b/>
                <w:sz w:val="24"/>
                <w:szCs w:val="24"/>
              </w:rPr>
            </w:pPr>
          </w:p>
        </w:tc>
      </w:tr>
      <w:tr w:rsidR="00CD0761" w:rsidRPr="00F57440" w14:paraId="3B574F11" w14:textId="77777777" w:rsidTr="00DA7D01">
        <w:tc>
          <w:tcPr>
            <w:tcW w:w="650" w:type="dxa"/>
          </w:tcPr>
          <w:p w14:paraId="694FA402" w14:textId="77777777" w:rsidR="00CD0761" w:rsidRPr="00F44378" w:rsidRDefault="00CD0761" w:rsidP="00DA7D0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2180" w:type="dxa"/>
          </w:tcPr>
          <w:p w14:paraId="2F53D996" w14:textId="77777777" w:rsidR="00CD0761" w:rsidRPr="00F44378" w:rsidRDefault="00CD0761" w:rsidP="00DA7D01">
            <w:pPr>
              <w:jc w:val="both"/>
              <w:rPr>
                <w:b/>
                <w:i/>
              </w:rPr>
            </w:pPr>
            <w:r w:rsidRPr="00F44378">
              <w:rPr>
                <w:b/>
                <w:i/>
              </w:rPr>
              <w:t>Uzraudzība</w:t>
            </w:r>
            <w:r>
              <w:rPr>
                <w:b/>
                <w:i/>
              </w:rPr>
              <w:t>s</w:t>
            </w:r>
            <w:r w:rsidRPr="00F44378">
              <w:rPr>
                <w:b/>
                <w:i/>
              </w:rPr>
              <w:t xml:space="preserve"> un kontrole</w:t>
            </w:r>
            <w:r>
              <w:rPr>
                <w:b/>
                <w:i/>
              </w:rPr>
              <w:t xml:space="preserve">s, kā arī pasažieru skaita krituma mazināšanas pasākumi </w:t>
            </w:r>
            <w:r w:rsidRPr="00D34749">
              <w:rPr>
                <w:i/>
                <w:sz w:val="20"/>
                <w:szCs w:val="20"/>
              </w:rPr>
              <w:t>(līdz 2018.gada 1.jūnijam)</w:t>
            </w:r>
          </w:p>
        </w:tc>
        <w:tc>
          <w:tcPr>
            <w:tcW w:w="5529" w:type="dxa"/>
          </w:tcPr>
          <w:p w14:paraId="3ECF28CF" w14:textId="77777777" w:rsidR="00CD0761" w:rsidRDefault="00CD0761" w:rsidP="00DA7D01">
            <w:pPr>
              <w:jc w:val="both"/>
            </w:pPr>
            <w:r w:rsidRPr="007E06ED">
              <w:t>1)</w:t>
            </w:r>
            <w:r w:rsidRPr="007E06ED">
              <w:rPr>
                <w:b/>
              </w:rPr>
              <w:t xml:space="preserve"> </w:t>
            </w:r>
            <w:r w:rsidRPr="00F44378">
              <w:t>Veiktas 473 pārbaudes reģionālās satiksmes autobusos</w:t>
            </w:r>
            <w:r>
              <w:t xml:space="preserve"> </w:t>
            </w:r>
          </w:p>
          <w:p w14:paraId="2C5D5475" w14:textId="77777777" w:rsidR="00CD0761" w:rsidRDefault="00CD0761" w:rsidP="00DA7D01">
            <w:pPr>
              <w:jc w:val="both"/>
            </w:pPr>
            <w:r>
              <w:t xml:space="preserve">2) </w:t>
            </w:r>
            <w:r w:rsidRPr="00F44378">
              <w:t>VSIA “Autotransporta direkcija” organizēta kampaņa “Neapzodz sevi – paņem biļeti”</w:t>
            </w:r>
          </w:p>
          <w:p w14:paraId="137DDC61" w14:textId="77777777" w:rsidR="00CD0761" w:rsidRDefault="00CD0761" w:rsidP="00DA7D01">
            <w:pPr>
              <w:jc w:val="both"/>
            </w:pPr>
            <w:r>
              <w:t xml:space="preserve">3) </w:t>
            </w:r>
            <w:r w:rsidRPr="00F44378">
              <w:t>Ieviestas abonementa biļetes 500 reģionālajos maršrutos</w:t>
            </w:r>
          </w:p>
          <w:p w14:paraId="5E7C40D7" w14:textId="77777777" w:rsidR="00CD0761" w:rsidRDefault="00CD0761" w:rsidP="00DA7D01">
            <w:pPr>
              <w:jc w:val="both"/>
            </w:pPr>
            <w:r>
              <w:t xml:space="preserve">4) </w:t>
            </w:r>
            <w:r w:rsidRPr="00F44378">
              <w:t>Bezskaidras naudas norēķinu ieviešana (pieejamība 219 maršrutos)</w:t>
            </w:r>
          </w:p>
          <w:p w14:paraId="5FD05C82" w14:textId="77777777" w:rsidR="00CD0761" w:rsidRDefault="00CD0761" w:rsidP="00DA7D01">
            <w:pPr>
              <w:jc w:val="both"/>
            </w:pPr>
            <w:r>
              <w:t xml:space="preserve">5) </w:t>
            </w:r>
            <w:r w:rsidRPr="00F44378">
              <w:t>Ieviestas videonovērošanas sistēmas 157 autobusos, kas brauc 120 maršrutos</w:t>
            </w:r>
            <w:r>
              <w:t>.</w:t>
            </w:r>
          </w:p>
          <w:p w14:paraId="5779D05A" w14:textId="77777777" w:rsidR="00CD0761" w:rsidRDefault="00CD0761" w:rsidP="00DA7D01">
            <w:pPr>
              <w:jc w:val="both"/>
              <w:rPr>
                <w:color w:val="00B0F0"/>
              </w:rPr>
            </w:pPr>
          </w:p>
          <w:p w14:paraId="773AE076" w14:textId="77777777" w:rsidR="00CD0761" w:rsidRPr="000D14B0" w:rsidRDefault="00CD0761" w:rsidP="00DA7D01">
            <w:pPr>
              <w:jc w:val="both"/>
            </w:pPr>
            <w:r>
              <w:t>N</w:t>
            </w:r>
            <w:r w:rsidRPr="000D14B0">
              <w:t>erealizējot minētos pasākumus,</w:t>
            </w:r>
            <w:r>
              <w:t xml:space="preserve"> tiek pieņemts, ka </w:t>
            </w:r>
            <w:r w:rsidRPr="000D14B0">
              <w:t xml:space="preserve">pasažieru skaita kritums būtu par ~1% lielāks nekā šobrīd (2017.gadā, salīdzinot ar 2016.gadu, maksājošo pasažieru skaits ir samazinājies par 2,0 %, savukārt iepriekšējos divos gados pasažieru skaita kritums bija ~5% ), kā rezultātā ieņēmumi no pārdotajām biļetēm autobusu pārvadājumos būtu par apmēram 0, 36 milj. </w:t>
            </w:r>
            <w:proofErr w:type="spellStart"/>
            <w:r w:rsidRPr="000D14B0">
              <w:t>euro</w:t>
            </w:r>
            <w:proofErr w:type="spellEnd"/>
            <w:r w:rsidRPr="000D14B0">
              <w:t xml:space="preserve"> mazāki</w:t>
            </w:r>
            <w:r>
              <w:t>.</w:t>
            </w:r>
          </w:p>
          <w:p w14:paraId="28C211EB" w14:textId="77777777" w:rsidR="00CD0761" w:rsidRPr="00851D44" w:rsidRDefault="00CD0761" w:rsidP="00DA7D01">
            <w:pPr>
              <w:jc w:val="both"/>
              <w:rPr>
                <w:b/>
                <w:i/>
                <w:color w:val="00B0F0"/>
              </w:rPr>
            </w:pPr>
          </w:p>
        </w:tc>
        <w:tc>
          <w:tcPr>
            <w:tcW w:w="2551" w:type="dxa"/>
          </w:tcPr>
          <w:p w14:paraId="3836325F" w14:textId="77777777" w:rsidR="00CD0761" w:rsidRPr="00F57440" w:rsidRDefault="00CD0761" w:rsidP="00DA7D01">
            <w:pPr>
              <w:jc w:val="center"/>
              <w:rPr>
                <w:b/>
                <w:i/>
              </w:rPr>
            </w:pPr>
          </w:p>
          <w:p w14:paraId="123743BA" w14:textId="77777777" w:rsidR="00CD0761" w:rsidRPr="00F57440" w:rsidRDefault="00CD0761" w:rsidP="00DA7D01">
            <w:pPr>
              <w:jc w:val="center"/>
              <w:rPr>
                <w:b/>
                <w:i/>
              </w:rPr>
            </w:pPr>
          </w:p>
          <w:p w14:paraId="6D2DE88C" w14:textId="77777777" w:rsidR="00CD0761" w:rsidRPr="0079366B" w:rsidRDefault="00CD0761" w:rsidP="00DA7D01">
            <w:pPr>
              <w:jc w:val="center"/>
              <w:rPr>
                <w:b/>
                <w:i/>
              </w:rPr>
            </w:pPr>
            <w:r w:rsidRPr="00F57440">
              <w:rPr>
                <w:b/>
                <w:i/>
              </w:rPr>
              <w:t xml:space="preserve">0,36 milj. </w:t>
            </w:r>
            <w:proofErr w:type="spellStart"/>
            <w:r w:rsidRPr="00F57440">
              <w:rPr>
                <w:b/>
                <w:i/>
              </w:rPr>
              <w:t>euro</w:t>
            </w:r>
            <w:proofErr w:type="spellEnd"/>
          </w:p>
          <w:p w14:paraId="153F229F" w14:textId="77777777" w:rsidR="00CD0761" w:rsidRPr="00F57440" w:rsidRDefault="00CD0761" w:rsidP="00DA7D01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</w:tcPr>
          <w:p w14:paraId="321FE6A2" w14:textId="77777777" w:rsidR="00CD0761" w:rsidRPr="00F57440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</w:p>
          <w:p w14:paraId="0CDFA986" w14:textId="77777777" w:rsidR="00CD0761" w:rsidRPr="00F57440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</w:p>
          <w:p w14:paraId="7B7736E5" w14:textId="77777777" w:rsidR="00CD0761" w:rsidRPr="0079366B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  <w:r w:rsidRPr="00F57440">
              <w:rPr>
                <w:b/>
                <w:i/>
                <w:sz w:val="24"/>
                <w:szCs w:val="24"/>
              </w:rPr>
              <w:t xml:space="preserve">0,36 milj. </w:t>
            </w:r>
            <w:proofErr w:type="spellStart"/>
            <w:r w:rsidRPr="00F57440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  <w:p w14:paraId="2781D864" w14:textId="77777777" w:rsidR="00CD0761" w:rsidRPr="00F57440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D0761" w:rsidRPr="00F44378" w14:paraId="6F52301D" w14:textId="77777777" w:rsidTr="00DA7D01">
        <w:tc>
          <w:tcPr>
            <w:tcW w:w="650" w:type="dxa"/>
          </w:tcPr>
          <w:p w14:paraId="1F8117BE" w14:textId="77777777" w:rsidR="00CD0761" w:rsidRPr="0057067C" w:rsidRDefault="00CD0761" w:rsidP="00DA7D01">
            <w:pPr>
              <w:jc w:val="both"/>
              <w:rPr>
                <w:b/>
                <w:i/>
              </w:rPr>
            </w:pPr>
            <w:r w:rsidRPr="0057067C">
              <w:rPr>
                <w:b/>
                <w:i/>
              </w:rPr>
              <w:t>5</w:t>
            </w:r>
            <w:r>
              <w:rPr>
                <w:b/>
                <w:i/>
              </w:rPr>
              <w:t>.</w:t>
            </w:r>
          </w:p>
        </w:tc>
        <w:tc>
          <w:tcPr>
            <w:tcW w:w="2180" w:type="dxa"/>
          </w:tcPr>
          <w:p w14:paraId="3678A253" w14:textId="77777777" w:rsidR="00CD0761" w:rsidRPr="0057067C" w:rsidRDefault="00CD0761" w:rsidP="00DA7D01">
            <w:pPr>
              <w:jc w:val="both"/>
              <w:rPr>
                <w:b/>
                <w:i/>
              </w:rPr>
            </w:pPr>
            <w:r w:rsidRPr="0057067C">
              <w:rPr>
                <w:b/>
                <w:i/>
              </w:rPr>
              <w:t>Sabiedriskā transporta pakalpojumu nozares peļņas aprēķina formulas pārskatīšana</w:t>
            </w:r>
            <w:r>
              <w:rPr>
                <w:b/>
                <w:i/>
              </w:rPr>
              <w:t xml:space="preserve"> </w:t>
            </w:r>
            <w:r w:rsidRPr="008D21A5">
              <w:rPr>
                <w:sz w:val="20"/>
                <w:szCs w:val="20"/>
              </w:rPr>
              <w:t xml:space="preserve">(Ministru kabineta </w:t>
            </w:r>
            <w:r>
              <w:rPr>
                <w:sz w:val="20"/>
                <w:szCs w:val="20"/>
              </w:rPr>
              <w:t xml:space="preserve">2017.gada 12.decembra sēdes protokola Nr.61 </w:t>
            </w:r>
            <w:r w:rsidRPr="0057067C">
              <w:rPr>
                <w:color w:val="000000" w:themeColor="text1"/>
                <w:sz w:val="20"/>
                <w:szCs w:val="20"/>
              </w:rPr>
              <w:t>§66</w:t>
            </w:r>
            <w:r>
              <w:rPr>
                <w:color w:val="000000" w:themeColor="text1"/>
                <w:sz w:val="20"/>
                <w:szCs w:val="20"/>
              </w:rPr>
              <w:t xml:space="preserve"> 2.2.punkts</w:t>
            </w:r>
            <w:r w:rsidRPr="008D21A5">
              <w:rPr>
                <w:sz w:val="20"/>
                <w:szCs w:val="20"/>
              </w:rPr>
              <w:t>)</w:t>
            </w:r>
          </w:p>
        </w:tc>
        <w:tc>
          <w:tcPr>
            <w:tcW w:w="5529" w:type="dxa"/>
          </w:tcPr>
          <w:p w14:paraId="4CF81CDF" w14:textId="77777777" w:rsidR="00CD0761" w:rsidRPr="007E06ED" w:rsidRDefault="00CD0761" w:rsidP="00DA7D01">
            <w:pPr>
              <w:jc w:val="both"/>
            </w:pPr>
            <w:r w:rsidRPr="0057067C">
              <w:rPr>
                <w:color w:val="000000" w:themeColor="text1"/>
              </w:rPr>
              <w:t xml:space="preserve">Tiek apspriesti VSIA “Autotransporta direkcija” sagatavotie peļņas </w:t>
            </w:r>
            <w:r>
              <w:rPr>
                <w:color w:val="000000" w:themeColor="text1"/>
              </w:rPr>
              <w:t>aprēķina formulas</w:t>
            </w:r>
            <w:r w:rsidRPr="0057067C">
              <w:rPr>
                <w:color w:val="000000" w:themeColor="text1"/>
              </w:rPr>
              <w:t xml:space="preserve"> maiņas priekšlikumi</w:t>
            </w:r>
            <w:r>
              <w:rPr>
                <w:color w:val="000000" w:themeColor="text1"/>
              </w:rPr>
              <w:t>, kas paredz</w:t>
            </w:r>
            <w:r w:rsidRPr="0057067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ar 2019.gada 1.janvāri </w:t>
            </w:r>
            <w:r w:rsidRPr="0057067C">
              <w:rPr>
                <w:color w:val="000000" w:themeColor="text1"/>
              </w:rPr>
              <w:t>mainīt Ministru kabineta noteikumu Nr.435 54.punktā noteikto peļņas aprēķina formulu</w:t>
            </w:r>
          </w:p>
        </w:tc>
        <w:tc>
          <w:tcPr>
            <w:tcW w:w="2551" w:type="dxa"/>
          </w:tcPr>
          <w:p w14:paraId="6578853B" w14:textId="77777777" w:rsidR="00CD0761" w:rsidRDefault="00CD0761" w:rsidP="00DA7D01">
            <w:pPr>
              <w:jc w:val="center"/>
              <w:rPr>
                <w:b/>
                <w:i/>
              </w:rPr>
            </w:pPr>
          </w:p>
          <w:p w14:paraId="5B9C09B0" w14:textId="77777777" w:rsidR="00CD0761" w:rsidRDefault="00CD0761" w:rsidP="00DA7D01">
            <w:pPr>
              <w:jc w:val="center"/>
              <w:rPr>
                <w:b/>
                <w:i/>
              </w:rPr>
            </w:pPr>
          </w:p>
          <w:p w14:paraId="0C2C9C4D" w14:textId="77777777" w:rsidR="00CD0761" w:rsidRDefault="00CD0761" w:rsidP="00DA7D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Nav ietekme</w:t>
            </w:r>
          </w:p>
        </w:tc>
        <w:tc>
          <w:tcPr>
            <w:tcW w:w="2552" w:type="dxa"/>
          </w:tcPr>
          <w:p w14:paraId="2674F703" w14:textId="77777777" w:rsidR="00CD0761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</w:p>
          <w:p w14:paraId="7034FB0A" w14:textId="77777777" w:rsidR="00CD0761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</w:p>
          <w:p w14:paraId="3B8F9D61" w14:textId="77777777" w:rsidR="00CD0761" w:rsidRDefault="00CD0761" w:rsidP="00DA7D01">
            <w:pPr>
              <w:pStyle w:val="CommentText"/>
              <w:jc w:val="center"/>
              <w:rPr>
                <w:b/>
                <w:i/>
                <w:sz w:val="24"/>
                <w:szCs w:val="24"/>
              </w:rPr>
            </w:pPr>
            <w:r w:rsidRPr="00D67D9C">
              <w:rPr>
                <w:b/>
                <w:i/>
                <w:sz w:val="24"/>
                <w:szCs w:val="24"/>
              </w:rPr>
              <w:t xml:space="preserve">2 milj. </w:t>
            </w:r>
            <w:proofErr w:type="spellStart"/>
            <w:r w:rsidRPr="00D67D9C">
              <w:rPr>
                <w:b/>
                <w:i/>
                <w:sz w:val="24"/>
                <w:szCs w:val="24"/>
              </w:rPr>
              <w:t>euro</w:t>
            </w:r>
            <w:proofErr w:type="spellEnd"/>
            <w:r w:rsidRPr="00D67D9C">
              <w:rPr>
                <w:b/>
                <w:i/>
                <w:sz w:val="24"/>
                <w:szCs w:val="24"/>
              </w:rPr>
              <w:t xml:space="preserve"> gadā</w:t>
            </w:r>
          </w:p>
          <w:p w14:paraId="0F9557B3" w14:textId="77777777" w:rsidR="00CD0761" w:rsidRPr="00D67D9C" w:rsidRDefault="00CD0761" w:rsidP="00DA7D01">
            <w:pPr>
              <w:pStyle w:val="Comment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(plānotā ietekme, ja tiks izdots attiecīgs normatīvais akts ar priekšlikumos paredzētajiem nosacījumiem)</w:t>
            </w:r>
          </w:p>
        </w:tc>
      </w:tr>
    </w:tbl>
    <w:p w14:paraId="3F0CAA51" w14:textId="77777777" w:rsidR="00CD0761" w:rsidRDefault="00CD0761" w:rsidP="00CD0761"/>
    <w:p w14:paraId="63EEC0E9" w14:textId="77777777" w:rsidR="00CD0761" w:rsidRPr="001E1F98" w:rsidRDefault="00CD0761" w:rsidP="00CD0761">
      <w:pPr>
        <w:jc w:val="both"/>
      </w:pPr>
      <w:r w:rsidRPr="002300A2">
        <w:t xml:space="preserve">Kopsavilkumā sniegtā informācija par veikto pasākumu aprēķināto pozitīvo ietekmi uz attiecīgā gada finansējumu, </w:t>
      </w:r>
      <w:r w:rsidRPr="002300A2">
        <w:rPr>
          <w:u w:val="single"/>
        </w:rPr>
        <w:t xml:space="preserve">nav vērtējama kopsakarā ar 2018.gadam aprēķināto nepietiekamā valsts budžeta finansējuma apmēru </w:t>
      </w:r>
      <w:r>
        <w:rPr>
          <w:u w:val="single"/>
        </w:rPr>
        <w:t>9 239 924</w:t>
      </w:r>
      <w:r w:rsidRPr="002300A2">
        <w:rPr>
          <w:u w:val="single"/>
        </w:rPr>
        <w:t xml:space="preserve"> </w:t>
      </w:r>
      <w:proofErr w:type="spellStart"/>
      <w:r w:rsidRPr="002300A2">
        <w:rPr>
          <w:i/>
          <w:u w:val="single"/>
        </w:rPr>
        <w:t>euro</w:t>
      </w:r>
      <w:proofErr w:type="spellEnd"/>
      <w:r w:rsidRPr="002300A2">
        <w:t xml:space="preserve">, </w:t>
      </w:r>
      <w:r w:rsidRPr="002300A2">
        <w:rPr>
          <w:u w:val="single"/>
        </w:rPr>
        <w:t xml:space="preserve">kā arī </w:t>
      </w:r>
      <w:r w:rsidRPr="002300A2">
        <w:rPr>
          <w:color w:val="000000" w:themeColor="text1"/>
          <w:u w:val="single"/>
        </w:rPr>
        <w:t xml:space="preserve">nepieciešamo finansējumu </w:t>
      </w:r>
      <w:r>
        <w:rPr>
          <w:color w:val="000000" w:themeColor="text1"/>
          <w:u w:val="single"/>
        </w:rPr>
        <w:t>2 686 380</w:t>
      </w:r>
      <w:r w:rsidRPr="002300A2">
        <w:rPr>
          <w:color w:val="000000" w:themeColor="text1"/>
          <w:u w:val="single"/>
        </w:rPr>
        <w:t xml:space="preserve"> </w:t>
      </w:r>
      <w:proofErr w:type="spellStart"/>
      <w:r w:rsidRPr="002300A2">
        <w:rPr>
          <w:i/>
          <w:color w:val="000000" w:themeColor="text1"/>
          <w:u w:val="single"/>
        </w:rPr>
        <w:t>euro</w:t>
      </w:r>
      <w:proofErr w:type="spellEnd"/>
      <w:r w:rsidRPr="002300A2">
        <w:rPr>
          <w:color w:val="000000" w:themeColor="text1"/>
          <w:u w:val="single"/>
        </w:rPr>
        <w:t xml:space="preserve"> </w:t>
      </w:r>
      <w:r w:rsidRPr="002300A2">
        <w:rPr>
          <w:u w:val="single"/>
        </w:rPr>
        <w:t xml:space="preserve">par </w:t>
      </w:r>
      <w:r>
        <w:rPr>
          <w:u w:val="single"/>
        </w:rPr>
        <w:t>sabiedriskā transporta pakalpojumu sniedzējiem</w:t>
      </w:r>
      <w:r w:rsidRPr="002300A2">
        <w:rPr>
          <w:u w:val="single"/>
        </w:rPr>
        <w:t xml:space="preserve"> nekompensētiem zaudējumiem par 2017.gadu.</w:t>
      </w:r>
      <w:r w:rsidRPr="002300A2">
        <w:t xml:space="preserve"> Neveicot kopsavilkumā norādītos pasākumus valsts budžeta izdevumu samazināšanai, pašlaik noteiktais nepietiekamais finansējums 2018.gadā, kas sastāda attiecīgi </w:t>
      </w:r>
      <w:r>
        <w:rPr>
          <w:u w:val="single"/>
        </w:rPr>
        <w:t>9 239 924</w:t>
      </w:r>
      <w:r w:rsidRPr="002300A2">
        <w:rPr>
          <w:u w:val="single"/>
        </w:rPr>
        <w:t xml:space="preserve"> </w:t>
      </w:r>
      <w:proofErr w:type="spellStart"/>
      <w:r w:rsidRPr="002300A2">
        <w:rPr>
          <w:i/>
          <w:u w:val="single"/>
        </w:rPr>
        <w:t>euro</w:t>
      </w:r>
      <w:proofErr w:type="spellEnd"/>
      <w:r w:rsidRPr="002300A2">
        <w:rPr>
          <w:i/>
          <w:u w:val="single"/>
        </w:rPr>
        <w:t xml:space="preserve"> </w:t>
      </w:r>
      <w:r w:rsidRPr="002300A2">
        <w:rPr>
          <w:u w:val="single"/>
        </w:rPr>
        <w:t>un</w:t>
      </w:r>
      <w:r w:rsidRPr="002300A2">
        <w:rPr>
          <w:i/>
          <w:u w:val="single"/>
        </w:rPr>
        <w:t xml:space="preserve"> </w:t>
      </w:r>
      <w:r>
        <w:rPr>
          <w:color w:val="000000" w:themeColor="text1"/>
          <w:u w:val="single"/>
        </w:rPr>
        <w:t>2 686 380</w:t>
      </w:r>
      <w:r w:rsidRPr="002300A2">
        <w:rPr>
          <w:color w:val="000000" w:themeColor="text1"/>
          <w:u w:val="single"/>
        </w:rPr>
        <w:t xml:space="preserve"> </w:t>
      </w:r>
      <w:proofErr w:type="spellStart"/>
      <w:r w:rsidRPr="002300A2">
        <w:rPr>
          <w:i/>
          <w:color w:val="000000" w:themeColor="text1"/>
          <w:u w:val="single"/>
        </w:rPr>
        <w:t>euro</w:t>
      </w:r>
      <w:proofErr w:type="spellEnd"/>
      <w:r w:rsidRPr="002300A2">
        <w:rPr>
          <w:i/>
          <w:u w:val="single"/>
        </w:rPr>
        <w:t>,</w:t>
      </w:r>
      <w:r w:rsidRPr="002300A2">
        <w:rPr>
          <w:u w:val="single"/>
        </w:rPr>
        <w:t xml:space="preserve"> būtu lielāks</w:t>
      </w:r>
      <w:r w:rsidRPr="002300A2">
        <w:t xml:space="preserve"> </w:t>
      </w:r>
      <w:r w:rsidRPr="002300A2">
        <w:rPr>
          <w:u w:val="single"/>
        </w:rPr>
        <w:t>par attiecīgajam pasākumam aprēķināto pozitīvās finanšu ietekmes apmēru.</w:t>
      </w:r>
    </w:p>
    <w:p w14:paraId="596BA287" w14:textId="77777777" w:rsidR="00CD0761" w:rsidRDefault="00CD0761" w:rsidP="00CD0761">
      <w:pPr>
        <w:pStyle w:val="naisf"/>
        <w:spacing w:before="0" w:after="0"/>
        <w:ind w:firstLine="709"/>
        <w:rPr>
          <w:sz w:val="28"/>
          <w:szCs w:val="28"/>
        </w:rPr>
      </w:pPr>
    </w:p>
    <w:p w14:paraId="114706DD" w14:textId="77777777" w:rsidR="00CD0761" w:rsidRPr="00A920EF" w:rsidRDefault="00CD0761" w:rsidP="00CD0761">
      <w:pPr>
        <w:pStyle w:val="naisf"/>
        <w:spacing w:before="0" w:after="0"/>
        <w:ind w:left="2160" w:firstLine="720"/>
        <w:rPr>
          <w:sz w:val="28"/>
          <w:szCs w:val="28"/>
        </w:rPr>
      </w:pPr>
      <w:r w:rsidRPr="00A920EF">
        <w:rPr>
          <w:sz w:val="28"/>
          <w:szCs w:val="28"/>
        </w:rPr>
        <w:t xml:space="preserve">Satiksmes ministrs </w:t>
      </w:r>
      <w:r w:rsidRPr="00A920EF">
        <w:rPr>
          <w:sz w:val="28"/>
          <w:szCs w:val="28"/>
        </w:rPr>
        <w:tab/>
      </w:r>
      <w:r w:rsidRPr="00A920EF">
        <w:rPr>
          <w:sz w:val="28"/>
          <w:szCs w:val="28"/>
        </w:rPr>
        <w:tab/>
      </w:r>
      <w:r w:rsidRPr="00A920EF">
        <w:rPr>
          <w:sz w:val="28"/>
          <w:szCs w:val="28"/>
        </w:rPr>
        <w:tab/>
      </w:r>
      <w:r w:rsidRPr="00A920EF">
        <w:rPr>
          <w:sz w:val="28"/>
          <w:szCs w:val="28"/>
        </w:rPr>
        <w:tab/>
      </w:r>
      <w:r w:rsidRPr="00A920EF">
        <w:rPr>
          <w:sz w:val="28"/>
          <w:szCs w:val="28"/>
        </w:rPr>
        <w:tab/>
      </w:r>
      <w:r w:rsidRPr="00A920E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A920EF">
        <w:rPr>
          <w:sz w:val="28"/>
          <w:szCs w:val="28"/>
        </w:rPr>
        <w:t>U.Augulis</w:t>
      </w:r>
      <w:proofErr w:type="spellEnd"/>
    </w:p>
    <w:p w14:paraId="6CDEFC63" w14:textId="77777777" w:rsidR="00CD0761" w:rsidRDefault="00CD0761" w:rsidP="00CD0761">
      <w:pPr>
        <w:ind w:firstLine="709"/>
        <w:jc w:val="both"/>
        <w:rPr>
          <w:sz w:val="28"/>
          <w:szCs w:val="28"/>
        </w:rPr>
      </w:pPr>
    </w:p>
    <w:p w14:paraId="41855355" w14:textId="77777777" w:rsidR="00CD0761" w:rsidRDefault="00CD0761" w:rsidP="00CD0761">
      <w:pPr>
        <w:ind w:left="2160" w:firstLine="720"/>
        <w:jc w:val="both"/>
        <w:rPr>
          <w:sz w:val="28"/>
          <w:szCs w:val="28"/>
        </w:rPr>
      </w:pPr>
      <w:r w:rsidRPr="00A920EF">
        <w:rPr>
          <w:sz w:val="28"/>
          <w:szCs w:val="28"/>
        </w:rPr>
        <w:t>Vīza: Valsts sekretārs</w:t>
      </w:r>
      <w:r w:rsidRPr="00A920EF">
        <w:rPr>
          <w:sz w:val="28"/>
          <w:szCs w:val="28"/>
        </w:rPr>
        <w:tab/>
      </w:r>
      <w:r w:rsidRPr="00A920E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20EF">
        <w:rPr>
          <w:sz w:val="28"/>
          <w:szCs w:val="28"/>
        </w:rPr>
        <w:tab/>
      </w:r>
      <w:r w:rsidRPr="00A920EF">
        <w:rPr>
          <w:sz w:val="28"/>
          <w:szCs w:val="28"/>
        </w:rPr>
        <w:tab/>
      </w:r>
      <w:proofErr w:type="spellStart"/>
      <w:r w:rsidRPr="00A920EF">
        <w:rPr>
          <w:sz w:val="28"/>
          <w:szCs w:val="28"/>
        </w:rPr>
        <w:t>K.Ozoliņš</w:t>
      </w:r>
      <w:proofErr w:type="spellEnd"/>
    </w:p>
    <w:p w14:paraId="32DAB6FA" w14:textId="17FB0164" w:rsidR="00CD0761" w:rsidRDefault="00CD0761" w:rsidP="00CD0761">
      <w:pPr>
        <w:jc w:val="both"/>
        <w:rPr>
          <w:sz w:val="20"/>
          <w:szCs w:val="20"/>
        </w:rPr>
      </w:pPr>
      <w:r w:rsidRPr="00E6644F">
        <w:rPr>
          <w:sz w:val="20"/>
          <w:szCs w:val="20"/>
        </w:rPr>
        <w:t>Ziemele-Adricka 67027036</w:t>
      </w:r>
    </w:p>
    <w:p w14:paraId="0BAA5929" w14:textId="77777777" w:rsidR="00CD0761" w:rsidRDefault="00CD0761" w:rsidP="00CD07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Dana.Ziemele-Adricka@sam.gov.lv </w:t>
      </w:r>
    </w:p>
    <w:p w14:paraId="212B202F" w14:textId="772C9CA7" w:rsidR="00CD0761" w:rsidRDefault="00CD0761" w:rsidP="00CD0761">
      <w:pPr>
        <w:jc w:val="both"/>
        <w:rPr>
          <w:sz w:val="20"/>
          <w:szCs w:val="20"/>
        </w:rPr>
      </w:pPr>
      <w:r>
        <w:rPr>
          <w:sz w:val="20"/>
          <w:szCs w:val="20"/>
        </w:rPr>
        <w:t>Grīviņa 67356130</w:t>
      </w:r>
    </w:p>
    <w:p w14:paraId="44979542" w14:textId="628BACAB" w:rsidR="00D44F9E" w:rsidRDefault="00CD0761" w:rsidP="006B5E2B">
      <w:pPr>
        <w:jc w:val="both"/>
      </w:pPr>
      <w:r>
        <w:rPr>
          <w:sz w:val="20"/>
          <w:szCs w:val="20"/>
        </w:rPr>
        <w:t>Kristine.Grivina@atd.lv</w:t>
      </w:r>
    </w:p>
    <w:sectPr w:rsidR="00D44F9E" w:rsidSect="00E6644F">
      <w:headerReference w:type="default" r:id="rId6"/>
      <w:footerReference w:type="default" r:id="rId7"/>
      <w:footerReference w:type="first" r:id="rId8"/>
      <w:pgSz w:w="16838" w:h="11906" w:orient="landscape"/>
      <w:pgMar w:top="1134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FBB73" w14:textId="77777777" w:rsidR="00EC3B27" w:rsidRDefault="00EC3B27" w:rsidP="00EC3B27">
      <w:r>
        <w:separator/>
      </w:r>
    </w:p>
  </w:endnote>
  <w:endnote w:type="continuationSeparator" w:id="0">
    <w:p w14:paraId="73D512F6" w14:textId="77777777" w:rsidR="00EC3B27" w:rsidRDefault="00EC3B27" w:rsidP="00E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58423" w14:textId="77777777" w:rsidR="00EC3B27" w:rsidRPr="00EC3B27" w:rsidRDefault="00EC3B27" w:rsidP="00EC3B27">
    <w:pPr>
      <w:pStyle w:val="Footer"/>
      <w:rPr>
        <w:sz w:val="20"/>
        <w:szCs w:val="20"/>
      </w:rPr>
    </w:pPr>
    <w:r w:rsidRPr="00EC3B27">
      <w:rPr>
        <w:sz w:val="20"/>
        <w:szCs w:val="20"/>
      </w:rPr>
      <w:t>SMzinop1_140918_IZ_sabtr</w:t>
    </w:r>
  </w:p>
  <w:p w14:paraId="71F549C2" w14:textId="77777777" w:rsidR="00EC3B27" w:rsidRDefault="00EC3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D6A0" w14:textId="2E49F371" w:rsidR="00EC3B27" w:rsidRPr="00EC3B27" w:rsidRDefault="00EC3B27">
    <w:pPr>
      <w:pStyle w:val="Footer"/>
      <w:rPr>
        <w:sz w:val="20"/>
        <w:szCs w:val="20"/>
      </w:rPr>
    </w:pPr>
    <w:r w:rsidRPr="00EC3B27">
      <w:rPr>
        <w:sz w:val="20"/>
        <w:szCs w:val="20"/>
      </w:rPr>
      <w:t>SMzinop1_140918_IZ_sabtr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1A232" w14:textId="77777777" w:rsidR="00EC3B27" w:rsidRDefault="00EC3B27" w:rsidP="00EC3B27">
      <w:r>
        <w:separator/>
      </w:r>
    </w:p>
  </w:footnote>
  <w:footnote w:type="continuationSeparator" w:id="0">
    <w:p w14:paraId="70BCE06B" w14:textId="77777777" w:rsidR="00EC3B27" w:rsidRDefault="00EC3B27" w:rsidP="00E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26469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E03698" w14:textId="5FC628FF" w:rsidR="00822294" w:rsidRDefault="008222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0580F" w14:textId="77777777" w:rsidR="00822294" w:rsidRDefault="00822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61"/>
    <w:rsid w:val="00001FD2"/>
    <w:rsid w:val="000020F0"/>
    <w:rsid w:val="00002ECE"/>
    <w:rsid w:val="00002FF3"/>
    <w:rsid w:val="00004BA5"/>
    <w:rsid w:val="00014F0E"/>
    <w:rsid w:val="00030212"/>
    <w:rsid w:val="00033B04"/>
    <w:rsid w:val="000358D4"/>
    <w:rsid w:val="00035CBB"/>
    <w:rsid w:val="00041684"/>
    <w:rsid w:val="000416D9"/>
    <w:rsid w:val="000509E6"/>
    <w:rsid w:val="0005369C"/>
    <w:rsid w:val="000566E5"/>
    <w:rsid w:val="0006106B"/>
    <w:rsid w:val="0006195E"/>
    <w:rsid w:val="000623D4"/>
    <w:rsid w:val="00066003"/>
    <w:rsid w:val="0006765C"/>
    <w:rsid w:val="000704E0"/>
    <w:rsid w:val="00080073"/>
    <w:rsid w:val="000815F2"/>
    <w:rsid w:val="000823C2"/>
    <w:rsid w:val="00086F46"/>
    <w:rsid w:val="00087CD0"/>
    <w:rsid w:val="00090142"/>
    <w:rsid w:val="000903CA"/>
    <w:rsid w:val="00093D59"/>
    <w:rsid w:val="000A0ED7"/>
    <w:rsid w:val="000A1807"/>
    <w:rsid w:val="000A2377"/>
    <w:rsid w:val="000A5034"/>
    <w:rsid w:val="000B0F84"/>
    <w:rsid w:val="000B1BDB"/>
    <w:rsid w:val="000C0E7C"/>
    <w:rsid w:val="000C208A"/>
    <w:rsid w:val="000D3965"/>
    <w:rsid w:val="000D6D42"/>
    <w:rsid w:val="000E1976"/>
    <w:rsid w:val="000E3FF8"/>
    <w:rsid w:val="000E41AC"/>
    <w:rsid w:val="000E469F"/>
    <w:rsid w:val="000E76CC"/>
    <w:rsid w:val="000F1DC3"/>
    <w:rsid w:val="000F6AFF"/>
    <w:rsid w:val="001026EB"/>
    <w:rsid w:val="00103AC9"/>
    <w:rsid w:val="00106477"/>
    <w:rsid w:val="001067D9"/>
    <w:rsid w:val="0011328D"/>
    <w:rsid w:val="00113C5D"/>
    <w:rsid w:val="001144C3"/>
    <w:rsid w:val="0011481B"/>
    <w:rsid w:val="00117BA0"/>
    <w:rsid w:val="001208F2"/>
    <w:rsid w:val="00122662"/>
    <w:rsid w:val="001238D2"/>
    <w:rsid w:val="00123E9E"/>
    <w:rsid w:val="00124F4B"/>
    <w:rsid w:val="001311D2"/>
    <w:rsid w:val="00131F7C"/>
    <w:rsid w:val="001352FC"/>
    <w:rsid w:val="00147158"/>
    <w:rsid w:val="00147601"/>
    <w:rsid w:val="001501C6"/>
    <w:rsid w:val="0015080D"/>
    <w:rsid w:val="00151D73"/>
    <w:rsid w:val="0015213E"/>
    <w:rsid w:val="00153624"/>
    <w:rsid w:val="001536E6"/>
    <w:rsid w:val="00153FCF"/>
    <w:rsid w:val="00163E83"/>
    <w:rsid w:val="001805B8"/>
    <w:rsid w:val="0018552D"/>
    <w:rsid w:val="00186871"/>
    <w:rsid w:val="001948E0"/>
    <w:rsid w:val="00196570"/>
    <w:rsid w:val="001A2BF4"/>
    <w:rsid w:val="001A5E3D"/>
    <w:rsid w:val="001A7F8A"/>
    <w:rsid w:val="001B2F16"/>
    <w:rsid w:val="001B3B01"/>
    <w:rsid w:val="001B55D6"/>
    <w:rsid w:val="001C15CB"/>
    <w:rsid w:val="001C6B70"/>
    <w:rsid w:val="001D07ED"/>
    <w:rsid w:val="001D278B"/>
    <w:rsid w:val="001D3D35"/>
    <w:rsid w:val="001D4453"/>
    <w:rsid w:val="001E211D"/>
    <w:rsid w:val="001E2E8F"/>
    <w:rsid w:val="001E51B4"/>
    <w:rsid w:val="001E71B8"/>
    <w:rsid w:val="001F4282"/>
    <w:rsid w:val="001F6CB5"/>
    <w:rsid w:val="00202324"/>
    <w:rsid w:val="00204E5C"/>
    <w:rsid w:val="002100BE"/>
    <w:rsid w:val="00212DC5"/>
    <w:rsid w:val="00212F64"/>
    <w:rsid w:val="00214302"/>
    <w:rsid w:val="00223AB6"/>
    <w:rsid w:val="00230319"/>
    <w:rsid w:val="00230CAC"/>
    <w:rsid w:val="0024282D"/>
    <w:rsid w:val="00247E14"/>
    <w:rsid w:val="00252E01"/>
    <w:rsid w:val="00260D4C"/>
    <w:rsid w:val="002700ED"/>
    <w:rsid w:val="002714F0"/>
    <w:rsid w:val="002756BF"/>
    <w:rsid w:val="00277516"/>
    <w:rsid w:val="00280725"/>
    <w:rsid w:val="00280C1A"/>
    <w:rsid w:val="00281012"/>
    <w:rsid w:val="00286A2F"/>
    <w:rsid w:val="00286A9D"/>
    <w:rsid w:val="002879EA"/>
    <w:rsid w:val="0029245F"/>
    <w:rsid w:val="002944A2"/>
    <w:rsid w:val="00296450"/>
    <w:rsid w:val="00296ACF"/>
    <w:rsid w:val="002A1AA2"/>
    <w:rsid w:val="002A2716"/>
    <w:rsid w:val="002A63C5"/>
    <w:rsid w:val="002A692B"/>
    <w:rsid w:val="002B4B9F"/>
    <w:rsid w:val="002B61B5"/>
    <w:rsid w:val="002C4592"/>
    <w:rsid w:val="002C5BFA"/>
    <w:rsid w:val="002C5C21"/>
    <w:rsid w:val="002C5F5C"/>
    <w:rsid w:val="002C6588"/>
    <w:rsid w:val="002D328C"/>
    <w:rsid w:val="002D7614"/>
    <w:rsid w:val="002E12A3"/>
    <w:rsid w:val="002E3BE0"/>
    <w:rsid w:val="002F1C9A"/>
    <w:rsid w:val="002F35C6"/>
    <w:rsid w:val="003008D7"/>
    <w:rsid w:val="00301840"/>
    <w:rsid w:val="00304A30"/>
    <w:rsid w:val="00307268"/>
    <w:rsid w:val="00317484"/>
    <w:rsid w:val="00320DD8"/>
    <w:rsid w:val="00330484"/>
    <w:rsid w:val="003324FF"/>
    <w:rsid w:val="00335F2B"/>
    <w:rsid w:val="003423E4"/>
    <w:rsid w:val="00345BB9"/>
    <w:rsid w:val="00352468"/>
    <w:rsid w:val="0036072E"/>
    <w:rsid w:val="003655EC"/>
    <w:rsid w:val="00373591"/>
    <w:rsid w:val="0037596C"/>
    <w:rsid w:val="00376C44"/>
    <w:rsid w:val="003903D8"/>
    <w:rsid w:val="00390B49"/>
    <w:rsid w:val="00390F87"/>
    <w:rsid w:val="003930F3"/>
    <w:rsid w:val="00394E47"/>
    <w:rsid w:val="003A0864"/>
    <w:rsid w:val="003A4436"/>
    <w:rsid w:val="003A5FED"/>
    <w:rsid w:val="003A7972"/>
    <w:rsid w:val="003B04B6"/>
    <w:rsid w:val="003B2B81"/>
    <w:rsid w:val="003C1592"/>
    <w:rsid w:val="003C2AD3"/>
    <w:rsid w:val="003C2BF4"/>
    <w:rsid w:val="003C7689"/>
    <w:rsid w:val="003D1B61"/>
    <w:rsid w:val="003D4207"/>
    <w:rsid w:val="003D5E95"/>
    <w:rsid w:val="003E0342"/>
    <w:rsid w:val="003E0C9F"/>
    <w:rsid w:val="003E5D0C"/>
    <w:rsid w:val="003F01EA"/>
    <w:rsid w:val="003F2383"/>
    <w:rsid w:val="003F7A2C"/>
    <w:rsid w:val="00404ACE"/>
    <w:rsid w:val="00404B91"/>
    <w:rsid w:val="00407C8D"/>
    <w:rsid w:val="00410AFE"/>
    <w:rsid w:val="00414F4D"/>
    <w:rsid w:val="00416FB3"/>
    <w:rsid w:val="00417650"/>
    <w:rsid w:val="004252F7"/>
    <w:rsid w:val="00431543"/>
    <w:rsid w:val="00434540"/>
    <w:rsid w:val="00435FC5"/>
    <w:rsid w:val="00445C40"/>
    <w:rsid w:val="004504F5"/>
    <w:rsid w:val="00451268"/>
    <w:rsid w:val="00453759"/>
    <w:rsid w:val="0045400E"/>
    <w:rsid w:val="00454F44"/>
    <w:rsid w:val="00457489"/>
    <w:rsid w:val="00460253"/>
    <w:rsid w:val="00463059"/>
    <w:rsid w:val="004661A6"/>
    <w:rsid w:val="00470D26"/>
    <w:rsid w:val="00470EFA"/>
    <w:rsid w:val="00471D3E"/>
    <w:rsid w:val="004728B1"/>
    <w:rsid w:val="00476E63"/>
    <w:rsid w:val="004805B4"/>
    <w:rsid w:val="00481160"/>
    <w:rsid w:val="004831D5"/>
    <w:rsid w:val="00487C43"/>
    <w:rsid w:val="00491180"/>
    <w:rsid w:val="00491479"/>
    <w:rsid w:val="00491F99"/>
    <w:rsid w:val="004A1082"/>
    <w:rsid w:val="004A1EAF"/>
    <w:rsid w:val="004A32BB"/>
    <w:rsid w:val="004A6B33"/>
    <w:rsid w:val="004C0B4E"/>
    <w:rsid w:val="004C2D85"/>
    <w:rsid w:val="004C3BC9"/>
    <w:rsid w:val="004C4D8D"/>
    <w:rsid w:val="004D3E23"/>
    <w:rsid w:val="004D4B11"/>
    <w:rsid w:val="004D51B2"/>
    <w:rsid w:val="004D7E14"/>
    <w:rsid w:val="004E1A78"/>
    <w:rsid w:val="004E1B97"/>
    <w:rsid w:val="00500DF2"/>
    <w:rsid w:val="0050169B"/>
    <w:rsid w:val="00504DB4"/>
    <w:rsid w:val="005058DB"/>
    <w:rsid w:val="00507B43"/>
    <w:rsid w:val="00512281"/>
    <w:rsid w:val="00513E59"/>
    <w:rsid w:val="005152AA"/>
    <w:rsid w:val="00523678"/>
    <w:rsid w:val="00525F8C"/>
    <w:rsid w:val="0053087A"/>
    <w:rsid w:val="00541345"/>
    <w:rsid w:val="00542E8D"/>
    <w:rsid w:val="00544E2A"/>
    <w:rsid w:val="005452FF"/>
    <w:rsid w:val="00545743"/>
    <w:rsid w:val="0054768E"/>
    <w:rsid w:val="0055008B"/>
    <w:rsid w:val="00553A05"/>
    <w:rsid w:val="00556F8C"/>
    <w:rsid w:val="00557F6E"/>
    <w:rsid w:val="0056408B"/>
    <w:rsid w:val="00572025"/>
    <w:rsid w:val="00575F13"/>
    <w:rsid w:val="00575FF3"/>
    <w:rsid w:val="00582C60"/>
    <w:rsid w:val="0059218B"/>
    <w:rsid w:val="005931D4"/>
    <w:rsid w:val="00596D66"/>
    <w:rsid w:val="005A0CA3"/>
    <w:rsid w:val="005A0E8D"/>
    <w:rsid w:val="005B0A2A"/>
    <w:rsid w:val="005B4257"/>
    <w:rsid w:val="005B43B6"/>
    <w:rsid w:val="005B5A58"/>
    <w:rsid w:val="005C15DD"/>
    <w:rsid w:val="005C18B0"/>
    <w:rsid w:val="005C33F9"/>
    <w:rsid w:val="005C5DFC"/>
    <w:rsid w:val="005D3524"/>
    <w:rsid w:val="005F20E3"/>
    <w:rsid w:val="00602A44"/>
    <w:rsid w:val="0060560E"/>
    <w:rsid w:val="00605BB1"/>
    <w:rsid w:val="00605D21"/>
    <w:rsid w:val="00607316"/>
    <w:rsid w:val="006163B0"/>
    <w:rsid w:val="006165BB"/>
    <w:rsid w:val="00620617"/>
    <w:rsid w:val="0062134D"/>
    <w:rsid w:val="0062447A"/>
    <w:rsid w:val="00624C90"/>
    <w:rsid w:val="00627565"/>
    <w:rsid w:val="0063103A"/>
    <w:rsid w:val="006321B2"/>
    <w:rsid w:val="00634C27"/>
    <w:rsid w:val="00636372"/>
    <w:rsid w:val="0064238B"/>
    <w:rsid w:val="006444E7"/>
    <w:rsid w:val="00646D8D"/>
    <w:rsid w:val="00653522"/>
    <w:rsid w:val="00653AB6"/>
    <w:rsid w:val="00653DD6"/>
    <w:rsid w:val="0066086E"/>
    <w:rsid w:val="00660D27"/>
    <w:rsid w:val="00666D9D"/>
    <w:rsid w:val="00667055"/>
    <w:rsid w:val="00671B44"/>
    <w:rsid w:val="00673F9D"/>
    <w:rsid w:val="0068017D"/>
    <w:rsid w:val="006804A3"/>
    <w:rsid w:val="00683E06"/>
    <w:rsid w:val="0069079E"/>
    <w:rsid w:val="00692EE4"/>
    <w:rsid w:val="00693796"/>
    <w:rsid w:val="006944D4"/>
    <w:rsid w:val="006A486C"/>
    <w:rsid w:val="006A68A7"/>
    <w:rsid w:val="006B0BD5"/>
    <w:rsid w:val="006B35DF"/>
    <w:rsid w:val="006B5E2B"/>
    <w:rsid w:val="006B6234"/>
    <w:rsid w:val="006C205B"/>
    <w:rsid w:val="006C708B"/>
    <w:rsid w:val="006D14D4"/>
    <w:rsid w:val="006D1683"/>
    <w:rsid w:val="006D798D"/>
    <w:rsid w:val="006E233F"/>
    <w:rsid w:val="006E2E20"/>
    <w:rsid w:val="006E708D"/>
    <w:rsid w:val="006E7A4F"/>
    <w:rsid w:val="006F03F0"/>
    <w:rsid w:val="006F2A81"/>
    <w:rsid w:val="006F2D78"/>
    <w:rsid w:val="006F40A5"/>
    <w:rsid w:val="006F4D90"/>
    <w:rsid w:val="00703844"/>
    <w:rsid w:val="00704EBA"/>
    <w:rsid w:val="00705192"/>
    <w:rsid w:val="00711BB7"/>
    <w:rsid w:val="00714AAD"/>
    <w:rsid w:val="00715396"/>
    <w:rsid w:val="00716F9F"/>
    <w:rsid w:val="00732FF3"/>
    <w:rsid w:val="00740CCA"/>
    <w:rsid w:val="007441B4"/>
    <w:rsid w:val="0074712A"/>
    <w:rsid w:val="00756961"/>
    <w:rsid w:val="0075793D"/>
    <w:rsid w:val="00776BB1"/>
    <w:rsid w:val="00781157"/>
    <w:rsid w:val="007837B0"/>
    <w:rsid w:val="007844E6"/>
    <w:rsid w:val="00785AE8"/>
    <w:rsid w:val="00797A9D"/>
    <w:rsid w:val="007A0140"/>
    <w:rsid w:val="007A1F8E"/>
    <w:rsid w:val="007A29C2"/>
    <w:rsid w:val="007A61DA"/>
    <w:rsid w:val="007B442A"/>
    <w:rsid w:val="007B675F"/>
    <w:rsid w:val="007C4BC0"/>
    <w:rsid w:val="007C7649"/>
    <w:rsid w:val="007D4638"/>
    <w:rsid w:val="007D47A6"/>
    <w:rsid w:val="007D7B50"/>
    <w:rsid w:val="007D7D3F"/>
    <w:rsid w:val="007E2099"/>
    <w:rsid w:val="007E4345"/>
    <w:rsid w:val="007E4FEA"/>
    <w:rsid w:val="008021E2"/>
    <w:rsid w:val="0080671E"/>
    <w:rsid w:val="00810206"/>
    <w:rsid w:val="00811D39"/>
    <w:rsid w:val="00812D10"/>
    <w:rsid w:val="00815C75"/>
    <w:rsid w:val="0082173C"/>
    <w:rsid w:val="008217B4"/>
    <w:rsid w:val="00822294"/>
    <w:rsid w:val="00822A18"/>
    <w:rsid w:val="00831EBC"/>
    <w:rsid w:val="008377AD"/>
    <w:rsid w:val="00844D93"/>
    <w:rsid w:val="00845BD1"/>
    <w:rsid w:val="00851456"/>
    <w:rsid w:val="0085156E"/>
    <w:rsid w:val="008558F5"/>
    <w:rsid w:val="00862151"/>
    <w:rsid w:val="00862C03"/>
    <w:rsid w:val="00863A57"/>
    <w:rsid w:val="00867287"/>
    <w:rsid w:val="00871985"/>
    <w:rsid w:val="00872249"/>
    <w:rsid w:val="00884B31"/>
    <w:rsid w:val="008859D9"/>
    <w:rsid w:val="00894913"/>
    <w:rsid w:val="008A1171"/>
    <w:rsid w:val="008A1537"/>
    <w:rsid w:val="008A3009"/>
    <w:rsid w:val="008B48F4"/>
    <w:rsid w:val="008B4F0F"/>
    <w:rsid w:val="008C299D"/>
    <w:rsid w:val="008C5F44"/>
    <w:rsid w:val="008C7222"/>
    <w:rsid w:val="008D07CF"/>
    <w:rsid w:val="008D1C49"/>
    <w:rsid w:val="008D267F"/>
    <w:rsid w:val="008D3EDB"/>
    <w:rsid w:val="008D53C0"/>
    <w:rsid w:val="008D7758"/>
    <w:rsid w:val="008E4401"/>
    <w:rsid w:val="008E51BC"/>
    <w:rsid w:val="008E7DDD"/>
    <w:rsid w:val="008F2DE6"/>
    <w:rsid w:val="008F3A62"/>
    <w:rsid w:val="00904F84"/>
    <w:rsid w:val="00914618"/>
    <w:rsid w:val="00915075"/>
    <w:rsid w:val="009160C5"/>
    <w:rsid w:val="009174A5"/>
    <w:rsid w:val="0092181A"/>
    <w:rsid w:val="009332FD"/>
    <w:rsid w:val="009355BF"/>
    <w:rsid w:val="0094546E"/>
    <w:rsid w:val="00945C83"/>
    <w:rsid w:val="00947A59"/>
    <w:rsid w:val="009549BB"/>
    <w:rsid w:val="00956857"/>
    <w:rsid w:val="009638D5"/>
    <w:rsid w:val="00963A69"/>
    <w:rsid w:val="00970680"/>
    <w:rsid w:val="0097257E"/>
    <w:rsid w:val="0098206B"/>
    <w:rsid w:val="0099096B"/>
    <w:rsid w:val="00994048"/>
    <w:rsid w:val="009947E0"/>
    <w:rsid w:val="00997406"/>
    <w:rsid w:val="009A2E95"/>
    <w:rsid w:val="009B79D3"/>
    <w:rsid w:val="009C04BE"/>
    <w:rsid w:val="009C2BB9"/>
    <w:rsid w:val="009C5403"/>
    <w:rsid w:val="009C58EE"/>
    <w:rsid w:val="009C6753"/>
    <w:rsid w:val="009C6FB4"/>
    <w:rsid w:val="009C7723"/>
    <w:rsid w:val="009D1225"/>
    <w:rsid w:val="009D7F22"/>
    <w:rsid w:val="009E01C5"/>
    <w:rsid w:val="009E6543"/>
    <w:rsid w:val="009F7755"/>
    <w:rsid w:val="009F7C32"/>
    <w:rsid w:val="009F7CFF"/>
    <w:rsid w:val="00A0750B"/>
    <w:rsid w:val="00A14F57"/>
    <w:rsid w:val="00A17249"/>
    <w:rsid w:val="00A20B4A"/>
    <w:rsid w:val="00A22A14"/>
    <w:rsid w:val="00A27C7F"/>
    <w:rsid w:val="00A320F1"/>
    <w:rsid w:val="00A35CE0"/>
    <w:rsid w:val="00A402B4"/>
    <w:rsid w:val="00A44B19"/>
    <w:rsid w:val="00A46F17"/>
    <w:rsid w:val="00A52C47"/>
    <w:rsid w:val="00A54781"/>
    <w:rsid w:val="00A616D7"/>
    <w:rsid w:val="00A6446E"/>
    <w:rsid w:val="00A676C4"/>
    <w:rsid w:val="00A739CE"/>
    <w:rsid w:val="00A76033"/>
    <w:rsid w:val="00A76462"/>
    <w:rsid w:val="00A8362D"/>
    <w:rsid w:val="00A837EE"/>
    <w:rsid w:val="00A854AD"/>
    <w:rsid w:val="00A87711"/>
    <w:rsid w:val="00A90278"/>
    <w:rsid w:val="00A90CEB"/>
    <w:rsid w:val="00A930A6"/>
    <w:rsid w:val="00A930BA"/>
    <w:rsid w:val="00AA3D33"/>
    <w:rsid w:val="00AA57D8"/>
    <w:rsid w:val="00AA6EA8"/>
    <w:rsid w:val="00AA725D"/>
    <w:rsid w:val="00AB5F96"/>
    <w:rsid w:val="00AB641C"/>
    <w:rsid w:val="00AB79BC"/>
    <w:rsid w:val="00AC0932"/>
    <w:rsid w:val="00AC20CF"/>
    <w:rsid w:val="00AC5998"/>
    <w:rsid w:val="00AC65F7"/>
    <w:rsid w:val="00AD0E5B"/>
    <w:rsid w:val="00AD3220"/>
    <w:rsid w:val="00AD3476"/>
    <w:rsid w:val="00AD6AF5"/>
    <w:rsid w:val="00AD717B"/>
    <w:rsid w:val="00AD7E1E"/>
    <w:rsid w:val="00AF1B4C"/>
    <w:rsid w:val="00B0588B"/>
    <w:rsid w:val="00B069EC"/>
    <w:rsid w:val="00B110ED"/>
    <w:rsid w:val="00B1234A"/>
    <w:rsid w:val="00B13181"/>
    <w:rsid w:val="00B13E23"/>
    <w:rsid w:val="00B20CD5"/>
    <w:rsid w:val="00B21BF6"/>
    <w:rsid w:val="00B22B76"/>
    <w:rsid w:val="00B32EA4"/>
    <w:rsid w:val="00B40D23"/>
    <w:rsid w:val="00B4499F"/>
    <w:rsid w:val="00B614B7"/>
    <w:rsid w:val="00B61FCE"/>
    <w:rsid w:val="00B672BC"/>
    <w:rsid w:val="00B73015"/>
    <w:rsid w:val="00B8257A"/>
    <w:rsid w:val="00B93180"/>
    <w:rsid w:val="00B97522"/>
    <w:rsid w:val="00BB500E"/>
    <w:rsid w:val="00BD2DFD"/>
    <w:rsid w:val="00BE0C98"/>
    <w:rsid w:val="00BE1743"/>
    <w:rsid w:val="00BE4297"/>
    <w:rsid w:val="00BF5051"/>
    <w:rsid w:val="00BF544F"/>
    <w:rsid w:val="00C01841"/>
    <w:rsid w:val="00C01AA4"/>
    <w:rsid w:val="00C02DC0"/>
    <w:rsid w:val="00C03A53"/>
    <w:rsid w:val="00C143BB"/>
    <w:rsid w:val="00C152C0"/>
    <w:rsid w:val="00C17B3F"/>
    <w:rsid w:val="00C24F07"/>
    <w:rsid w:val="00C27C46"/>
    <w:rsid w:val="00C27FAB"/>
    <w:rsid w:val="00C30A72"/>
    <w:rsid w:val="00C3167B"/>
    <w:rsid w:val="00C359C3"/>
    <w:rsid w:val="00C36C74"/>
    <w:rsid w:val="00C37406"/>
    <w:rsid w:val="00C43421"/>
    <w:rsid w:val="00C43935"/>
    <w:rsid w:val="00C4423D"/>
    <w:rsid w:val="00C4561B"/>
    <w:rsid w:val="00C53530"/>
    <w:rsid w:val="00C557A5"/>
    <w:rsid w:val="00C57D2F"/>
    <w:rsid w:val="00C627B6"/>
    <w:rsid w:val="00C63EC4"/>
    <w:rsid w:val="00C67FAE"/>
    <w:rsid w:val="00C70319"/>
    <w:rsid w:val="00C7203B"/>
    <w:rsid w:val="00C74944"/>
    <w:rsid w:val="00C77163"/>
    <w:rsid w:val="00C8003D"/>
    <w:rsid w:val="00C80DAC"/>
    <w:rsid w:val="00C83119"/>
    <w:rsid w:val="00C83DF4"/>
    <w:rsid w:val="00C8489C"/>
    <w:rsid w:val="00C94B5A"/>
    <w:rsid w:val="00CA389C"/>
    <w:rsid w:val="00CA6085"/>
    <w:rsid w:val="00CB0C98"/>
    <w:rsid w:val="00CB238F"/>
    <w:rsid w:val="00CB2779"/>
    <w:rsid w:val="00CB49D0"/>
    <w:rsid w:val="00CC08E8"/>
    <w:rsid w:val="00CC13A6"/>
    <w:rsid w:val="00CD0761"/>
    <w:rsid w:val="00CD2F42"/>
    <w:rsid w:val="00CD2F94"/>
    <w:rsid w:val="00CD311B"/>
    <w:rsid w:val="00CD3142"/>
    <w:rsid w:val="00CE6AA0"/>
    <w:rsid w:val="00CF3897"/>
    <w:rsid w:val="00CF44AF"/>
    <w:rsid w:val="00CF5FF9"/>
    <w:rsid w:val="00CF7386"/>
    <w:rsid w:val="00CF77CA"/>
    <w:rsid w:val="00D014E6"/>
    <w:rsid w:val="00D0558E"/>
    <w:rsid w:val="00D07263"/>
    <w:rsid w:val="00D20477"/>
    <w:rsid w:val="00D217F1"/>
    <w:rsid w:val="00D2544C"/>
    <w:rsid w:val="00D26B24"/>
    <w:rsid w:val="00D27398"/>
    <w:rsid w:val="00D27F59"/>
    <w:rsid w:val="00D303F8"/>
    <w:rsid w:val="00D3070E"/>
    <w:rsid w:val="00D31F4F"/>
    <w:rsid w:val="00D35E0C"/>
    <w:rsid w:val="00D372D7"/>
    <w:rsid w:val="00D37407"/>
    <w:rsid w:val="00D403F6"/>
    <w:rsid w:val="00D44F9E"/>
    <w:rsid w:val="00D45B95"/>
    <w:rsid w:val="00D46D73"/>
    <w:rsid w:val="00D5233C"/>
    <w:rsid w:val="00D5376D"/>
    <w:rsid w:val="00D5636E"/>
    <w:rsid w:val="00D57360"/>
    <w:rsid w:val="00D6443F"/>
    <w:rsid w:val="00D64584"/>
    <w:rsid w:val="00D751FC"/>
    <w:rsid w:val="00D80ED6"/>
    <w:rsid w:val="00D81A24"/>
    <w:rsid w:val="00D84104"/>
    <w:rsid w:val="00D85A59"/>
    <w:rsid w:val="00D925B0"/>
    <w:rsid w:val="00D92F21"/>
    <w:rsid w:val="00D93285"/>
    <w:rsid w:val="00DA1E70"/>
    <w:rsid w:val="00DA25C4"/>
    <w:rsid w:val="00DA4351"/>
    <w:rsid w:val="00DA6EA0"/>
    <w:rsid w:val="00DB1B45"/>
    <w:rsid w:val="00DB28A6"/>
    <w:rsid w:val="00DB4C28"/>
    <w:rsid w:val="00DB6F14"/>
    <w:rsid w:val="00DC4614"/>
    <w:rsid w:val="00DC51AB"/>
    <w:rsid w:val="00DD38F7"/>
    <w:rsid w:val="00DF2A0E"/>
    <w:rsid w:val="00DF4C98"/>
    <w:rsid w:val="00DF51AB"/>
    <w:rsid w:val="00DF62DC"/>
    <w:rsid w:val="00E01E13"/>
    <w:rsid w:val="00E100AA"/>
    <w:rsid w:val="00E1364D"/>
    <w:rsid w:val="00E21425"/>
    <w:rsid w:val="00E23DF9"/>
    <w:rsid w:val="00E24D17"/>
    <w:rsid w:val="00E2509C"/>
    <w:rsid w:val="00E26DEF"/>
    <w:rsid w:val="00E27348"/>
    <w:rsid w:val="00E30119"/>
    <w:rsid w:val="00E34ECB"/>
    <w:rsid w:val="00E36DD1"/>
    <w:rsid w:val="00E51E1A"/>
    <w:rsid w:val="00E55139"/>
    <w:rsid w:val="00E56F2A"/>
    <w:rsid w:val="00E622A4"/>
    <w:rsid w:val="00E63D7E"/>
    <w:rsid w:val="00E63F19"/>
    <w:rsid w:val="00E656FA"/>
    <w:rsid w:val="00E66A8D"/>
    <w:rsid w:val="00E6728E"/>
    <w:rsid w:val="00E702C0"/>
    <w:rsid w:val="00E7381F"/>
    <w:rsid w:val="00E74509"/>
    <w:rsid w:val="00E8131A"/>
    <w:rsid w:val="00E86E9C"/>
    <w:rsid w:val="00E9020F"/>
    <w:rsid w:val="00E938E2"/>
    <w:rsid w:val="00EA10F1"/>
    <w:rsid w:val="00EA1DE7"/>
    <w:rsid w:val="00EA580A"/>
    <w:rsid w:val="00EB4E49"/>
    <w:rsid w:val="00EB73B0"/>
    <w:rsid w:val="00EC3B27"/>
    <w:rsid w:val="00EE0A7B"/>
    <w:rsid w:val="00EE17DF"/>
    <w:rsid w:val="00EF04E0"/>
    <w:rsid w:val="00EF2714"/>
    <w:rsid w:val="00EF3D56"/>
    <w:rsid w:val="00EF3E01"/>
    <w:rsid w:val="00EF459E"/>
    <w:rsid w:val="00EF7C14"/>
    <w:rsid w:val="00F007E3"/>
    <w:rsid w:val="00F02704"/>
    <w:rsid w:val="00F13385"/>
    <w:rsid w:val="00F200F5"/>
    <w:rsid w:val="00F2411C"/>
    <w:rsid w:val="00F251E4"/>
    <w:rsid w:val="00F34B51"/>
    <w:rsid w:val="00F402F4"/>
    <w:rsid w:val="00F40E0B"/>
    <w:rsid w:val="00F417E9"/>
    <w:rsid w:val="00F45251"/>
    <w:rsid w:val="00F46BD8"/>
    <w:rsid w:val="00F5669B"/>
    <w:rsid w:val="00F56779"/>
    <w:rsid w:val="00F615DC"/>
    <w:rsid w:val="00F61D1A"/>
    <w:rsid w:val="00F65C5F"/>
    <w:rsid w:val="00F763E9"/>
    <w:rsid w:val="00F8014F"/>
    <w:rsid w:val="00F805D4"/>
    <w:rsid w:val="00F8500B"/>
    <w:rsid w:val="00F87159"/>
    <w:rsid w:val="00F90F58"/>
    <w:rsid w:val="00F92D59"/>
    <w:rsid w:val="00F97FB2"/>
    <w:rsid w:val="00FA0801"/>
    <w:rsid w:val="00FA175C"/>
    <w:rsid w:val="00FA4118"/>
    <w:rsid w:val="00FA5C1F"/>
    <w:rsid w:val="00FA6273"/>
    <w:rsid w:val="00FA7ED1"/>
    <w:rsid w:val="00FB05A5"/>
    <w:rsid w:val="00FB3E7C"/>
    <w:rsid w:val="00FB45F3"/>
    <w:rsid w:val="00FB5B42"/>
    <w:rsid w:val="00FC0495"/>
    <w:rsid w:val="00FC0571"/>
    <w:rsid w:val="00FC7263"/>
    <w:rsid w:val="00FC750E"/>
    <w:rsid w:val="00FD0E81"/>
    <w:rsid w:val="00FD2920"/>
    <w:rsid w:val="00FD3DCA"/>
    <w:rsid w:val="00FD4727"/>
    <w:rsid w:val="00FE0C6D"/>
    <w:rsid w:val="00FE2580"/>
    <w:rsid w:val="00FE7E7D"/>
    <w:rsid w:val="00FF26EA"/>
    <w:rsid w:val="00FF64C4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805B8"/>
  <w15:chartTrackingRefBased/>
  <w15:docId w15:val="{1790351C-DE4E-481A-BF30-879BE46B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76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D0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761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CD076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CD076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EC3B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B2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3B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B2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3260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informatīvajam ziņojumam “Par papildu finansējumu sabiedriskā transporta pakalpojumu nodrošināšanai 2018.gadā“</dc:title>
  <dc:subject/>
  <dc:creator>Dana Ziemele Adricka</dc:creator>
  <cp:keywords/>
  <dc:description/>
  <cp:lastModifiedBy>Dana Ziemele Adricka</cp:lastModifiedBy>
  <cp:revision>7</cp:revision>
  <dcterms:created xsi:type="dcterms:W3CDTF">2018-09-07T07:23:00Z</dcterms:created>
  <dcterms:modified xsi:type="dcterms:W3CDTF">2018-09-25T06:57:00Z</dcterms:modified>
</cp:coreProperties>
</file>