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183E1" w14:textId="30853245" w:rsidR="00FB0C58" w:rsidRPr="00FB482C" w:rsidRDefault="00FB0C58" w:rsidP="0097518E">
      <w:pPr>
        <w:pStyle w:val="naislab"/>
        <w:spacing w:before="0" w:after="0"/>
        <w:rPr>
          <w:sz w:val="28"/>
          <w:szCs w:val="28"/>
        </w:rPr>
      </w:pPr>
      <w:r w:rsidRPr="00FB482C">
        <w:rPr>
          <w:sz w:val="28"/>
          <w:szCs w:val="28"/>
        </w:rPr>
        <w:t>3</w:t>
      </w:r>
      <w:r w:rsidR="0097518E" w:rsidRPr="00FB482C">
        <w:rPr>
          <w:sz w:val="28"/>
          <w:szCs w:val="28"/>
        </w:rPr>
        <w:t>. </w:t>
      </w:r>
      <w:r w:rsidRPr="00FB482C">
        <w:rPr>
          <w:sz w:val="28"/>
          <w:szCs w:val="28"/>
        </w:rPr>
        <w:t>pielikums</w:t>
      </w:r>
    </w:p>
    <w:p w14:paraId="44DD414E" w14:textId="77777777" w:rsidR="00FB0C58" w:rsidRPr="00FB482C" w:rsidRDefault="00FB0C58" w:rsidP="0097518E">
      <w:pPr>
        <w:pStyle w:val="naislab"/>
        <w:spacing w:before="0" w:after="0"/>
        <w:rPr>
          <w:sz w:val="28"/>
          <w:szCs w:val="28"/>
        </w:rPr>
      </w:pPr>
      <w:r w:rsidRPr="00FB482C">
        <w:rPr>
          <w:sz w:val="28"/>
          <w:szCs w:val="28"/>
        </w:rPr>
        <w:t>Ministru kabineta</w:t>
      </w:r>
    </w:p>
    <w:p w14:paraId="771F1CC2" w14:textId="51EFFEF7" w:rsidR="00FB0C58" w:rsidRPr="00FB482C" w:rsidRDefault="00FB0C58" w:rsidP="0097518E">
      <w:pPr>
        <w:spacing w:after="0" w:line="240" w:lineRule="auto"/>
        <w:jc w:val="right"/>
        <w:rPr>
          <w:sz w:val="28"/>
          <w:szCs w:val="28"/>
        </w:rPr>
      </w:pPr>
      <w:r w:rsidRPr="00FB482C">
        <w:rPr>
          <w:sz w:val="28"/>
          <w:szCs w:val="28"/>
        </w:rPr>
        <w:t>2018</w:t>
      </w:r>
      <w:r w:rsidR="0097518E" w:rsidRPr="00FB482C">
        <w:rPr>
          <w:sz w:val="28"/>
          <w:szCs w:val="28"/>
        </w:rPr>
        <w:t>. </w:t>
      </w:r>
      <w:r w:rsidRPr="00FB482C">
        <w:rPr>
          <w:sz w:val="28"/>
          <w:szCs w:val="28"/>
        </w:rPr>
        <w:t xml:space="preserve">gada </w:t>
      </w:r>
      <w:r w:rsidR="00837DA4">
        <w:rPr>
          <w:sz w:val="28"/>
          <w:szCs w:val="28"/>
        </w:rPr>
        <w:t>2. oktobr</w:t>
      </w:r>
      <w:r w:rsidR="00837DA4">
        <w:rPr>
          <w:sz w:val="28"/>
          <w:szCs w:val="28"/>
        </w:rPr>
        <w:t>a</w:t>
      </w:r>
    </w:p>
    <w:p w14:paraId="7F9F2CFE" w14:textId="2DFB0FC6" w:rsidR="00FB0C58" w:rsidRPr="00FB482C" w:rsidRDefault="00FB0C58" w:rsidP="0097518E">
      <w:pPr>
        <w:spacing w:after="0" w:line="240" w:lineRule="auto"/>
        <w:jc w:val="right"/>
        <w:rPr>
          <w:sz w:val="28"/>
          <w:szCs w:val="28"/>
        </w:rPr>
      </w:pPr>
      <w:r w:rsidRPr="00FB482C">
        <w:rPr>
          <w:sz w:val="28"/>
          <w:szCs w:val="28"/>
        </w:rPr>
        <w:t>noteikumiem Nr</w:t>
      </w:r>
      <w:r w:rsidR="0097518E" w:rsidRPr="00FB482C">
        <w:rPr>
          <w:sz w:val="28"/>
          <w:szCs w:val="28"/>
        </w:rPr>
        <w:t>. </w:t>
      </w:r>
      <w:r w:rsidR="00837DA4">
        <w:rPr>
          <w:sz w:val="28"/>
          <w:szCs w:val="28"/>
        </w:rPr>
        <w:t>614</w:t>
      </w:r>
      <w:bookmarkStart w:id="0" w:name="_GoBack"/>
      <w:bookmarkEnd w:id="0"/>
    </w:p>
    <w:p w14:paraId="599A16BE" w14:textId="77777777" w:rsidR="00EB312C" w:rsidRPr="00FB482C" w:rsidRDefault="00EB312C" w:rsidP="00EB312C">
      <w:pPr>
        <w:pStyle w:val="ti-grseq-1"/>
        <w:shd w:val="clear" w:color="auto" w:fill="FFFFFF"/>
        <w:spacing w:before="0" w:beforeAutospacing="0" w:after="0" w:afterAutospacing="0"/>
        <w:ind w:firstLine="720"/>
        <w:jc w:val="both"/>
        <w:rPr>
          <w:rStyle w:val="bold"/>
          <w:bCs/>
          <w:szCs w:val="28"/>
        </w:rPr>
      </w:pPr>
    </w:p>
    <w:p w14:paraId="23C6C09E" w14:textId="360696FA" w:rsidR="003B4CA7" w:rsidRPr="00FB482C" w:rsidRDefault="00B5572D" w:rsidP="0097518E">
      <w:pPr>
        <w:pStyle w:val="ti-grseq-1"/>
        <w:shd w:val="clear" w:color="auto" w:fill="FFFFFF"/>
        <w:spacing w:before="0" w:beforeAutospacing="0" w:after="0" w:afterAutospacing="0"/>
        <w:jc w:val="center"/>
        <w:rPr>
          <w:b/>
          <w:sz w:val="28"/>
          <w:szCs w:val="28"/>
        </w:rPr>
      </w:pPr>
      <w:r w:rsidRPr="00FB482C">
        <w:rPr>
          <w:b/>
          <w:sz w:val="28"/>
          <w:szCs w:val="28"/>
        </w:rPr>
        <w:t>Prasības emisiju ziņojumu un prognožu sagatavošanai</w:t>
      </w:r>
    </w:p>
    <w:p w14:paraId="00D3293F" w14:textId="77777777" w:rsidR="00AC306A" w:rsidRPr="00FB482C" w:rsidRDefault="00AC306A" w:rsidP="0097518E">
      <w:pPr>
        <w:pStyle w:val="ti-grseq-1"/>
        <w:shd w:val="clear" w:color="auto" w:fill="FFFFFF"/>
        <w:spacing w:before="0" w:beforeAutospacing="0" w:after="0" w:afterAutospacing="0"/>
        <w:ind w:firstLine="720"/>
        <w:jc w:val="both"/>
        <w:rPr>
          <w:sz w:val="28"/>
          <w:szCs w:val="28"/>
        </w:rPr>
      </w:pPr>
    </w:p>
    <w:p w14:paraId="23C6C09F" w14:textId="0DDFF331" w:rsidR="003B4CA7" w:rsidRPr="00FB482C" w:rsidRDefault="00FB0C58" w:rsidP="0097518E">
      <w:pPr>
        <w:pStyle w:val="ti-grseq-1"/>
        <w:shd w:val="clear" w:color="auto" w:fill="FFFFFF"/>
        <w:spacing w:before="0" w:beforeAutospacing="0" w:after="0" w:afterAutospacing="0"/>
        <w:jc w:val="center"/>
        <w:rPr>
          <w:b/>
          <w:sz w:val="28"/>
          <w:szCs w:val="28"/>
        </w:rPr>
      </w:pPr>
      <w:r w:rsidRPr="00FB482C">
        <w:rPr>
          <w:b/>
          <w:sz w:val="28"/>
          <w:szCs w:val="28"/>
        </w:rPr>
        <w:t>I</w:t>
      </w:r>
      <w:r w:rsidR="0097518E" w:rsidRPr="00FB482C">
        <w:rPr>
          <w:b/>
          <w:sz w:val="28"/>
          <w:szCs w:val="28"/>
        </w:rPr>
        <w:t>. </w:t>
      </w:r>
      <w:r w:rsidR="00B5572D" w:rsidRPr="00FB482C">
        <w:rPr>
          <w:b/>
          <w:sz w:val="28"/>
          <w:szCs w:val="28"/>
        </w:rPr>
        <w:t>Ziņojums par valsts kopējām emisijām</w:t>
      </w:r>
    </w:p>
    <w:p w14:paraId="287CDF95" w14:textId="77777777" w:rsidR="00EB312C" w:rsidRPr="00FB482C" w:rsidRDefault="00EB312C" w:rsidP="00EB312C">
      <w:pPr>
        <w:pStyle w:val="ti-grseq-1"/>
        <w:shd w:val="clear" w:color="auto" w:fill="FFFFFF"/>
        <w:spacing w:before="0" w:beforeAutospacing="0" w:after="0" w:afterAutospacing="0"/>
        <w:ind w:firstLine="720"/>
        <w:jc w:val="both"/>
        <w:rPr>
          <w:rStyle w:val="bold"/>
          <w:bCs/>
          <w:szCs w:val="28"/>
        </w:rPr>
      </w:pPr>
    </w:p>
    <w:p w14:paraId="23C6C0A0" w14:textId="0916884F" w:rsidR="006C2D43" w:rsidRPr="00FB482C" w:rsidRDefault="00B5572D" w:rsidP="0097518E">
      <w:pPr>
        <w:pStyle w:val="ti-grseq-1"/>
        <w:shd w:val="clear" w:color="auto" w:fill="FFFFFF"/>
        <w:spacing w:before="0" w:beforeAutospacing="0" w:after="0" w:afterAutospacing="0"/>
        <w:ind w:firstLine="720"/>
        <w:jc w:val="both"/>
        <w:rPr>
          <w:sz w:val="28"/>
          <w:szCs w:val="28"/>
        </w:rPr>
      </w:pPr>
      <w:r w:rsidRPr="00FB482C">
        <w:rPr>
          <w:sz w:val="28"/>
          <w:szCs w:val="28"/>
        </w:rPr>
        <w:t>1</w:t>
      </w:r>
      <w:r w:rsidR="0097518E" w:rsidRPr="00FB482C">
        <w:rPr>
          <w:sz w:val="28"/>
          <w:szCs w:val="28"/>
        </w:rPr>
        <w:t>. </w:t>
      </w:r>
      <w:r w:rsidRPr="00FB482C">
        <w:rPr>
          <w:sz w:val="28"/>
          <w:szCs w:val="28"/>
        </w:rPr>
        <w:t>Sagatavojot emisiju ziņojumu</w:t>
      </w:r>
      <w:r w:rsidR="008B7282" w:rsidRPr="00FB482C">
        <w:rPr>
          <w:sz w:val="28"/>
          <w:szCs w:val="28"/>
        </w:rPr>
        <w:t>,</w:t>
      </w:r>
      <w:r w:rsidRPr="00FB482C">
        <w:rPr>
          <w:sz w:val="28"/>
          <w:szCs w:val="28"/>
        </w:rPr>
        <w:t xml:space="preserve"> ievēro šādas prasības:</w:t>
      </w:r>
    </w:p>
    <w:p w14:paraId="23C6C0A1" w14:textId="157B7118" w:rsidR="006C2D43" w:rsidRPr="00FB482C" w:rsidRDefault="00B5572D" w:rsidP="0097518E">
      <w:pPr>
        <w:pStyle w:val="ti-grseq-1"/>
        <w:shd w:val="clear" w:color="auto" w:fill="FFFFFF"/>
        <w:spacing w:before="0" w:beforeAutospacing="0" w:after="0" w:afterAutospacing="0"/>
        <w:ind w:firstLine="720"/>
        <w:jc w:val="both"/>
        <w:rPr>
          <w:sz w:val="28"/>
          <w:szCs w:val="28"/>
        </w:rPr>
      </w:pPr>
      <w:r w:rsidRPr="00FB482C">
        <w:rPr>
          <w:sz w:val="28"/>
          <w:szCs w:val="28"/>
        </w:rPr>
        <w:t>1.1</w:t>
      </w:r>
      <w:r w:rsidR="0097518E" w:rsidRPr="00FB482C">
        <w:rPr>
          <w:sz w:val="28"/>
          <w:szCs w:val="28"/>
        </w:rPr>
        <w:t>. </w:t>
      </w:r>
      <w:r w:rsidRPr="00FB482C">
        <w:rPr>
          <w:sz w:val="28"/>
          <w:szCs w:val="28"/>
        </w:rPr>
        <w:t>lai sekmētu tālāku ziņotās informācijas pārbaudīšanu, nodrošina caurskatāmu informāciju par aprēķinos izmantotajiem datiem, pieņēmumiem un izmantotajām aprēķinu metodēm;</w:t>
      </w:r>
    </w:p>
    <w:p w14:paraId="23C6C0A2" w14:textId="6005C7CB" w:rsidR="006C2D43" w:rsidRPr="00FB482C" w:rsidRDefault="00B5572D" w:rsidP="0097518E">
      <w:pPr>
        <w:pStyle w:val="ti-grseq-1"/>
        <w:shd w:val="clear" w:color="auto" w:fill="FFFFFF"/>
        <w:spacing w:before="0" w:beforeAutospacing="0" w:after="0" w:afterAutospacing="0"/>
        <w:ind w:firstLine="720"/>
        <w:jc w:val="both"/>
        <w:rPr>
          <w:spacing w:val="-2"/>
          <w:sz w:val="28"/>
          <w:szCs w:val="28"/>
        </w:rPr>
      </w:pPr>
      <w:r w:rsidRPr="00FB482C">
        <w:rPr>
          <w:spacing w:val="-2"/>
          <w:sz w:val="28"/>
          <w:szCs w:val="28"/>
        </w:rPr>
        <w:t>1.2</w:t>
      </w:r>
      <w:r w:rsidR="0097518E" w:rsidRPr="00FB482C">
        <w:rPr>
          <w:spacing w:val="-2"/>
          <w:sz w:val="28"/>
          <w:szCs w:val="28"/>
        </w:rPr>
        <w:t>. </w:t>
      </w:r>
      <w:r w:rsidRPr="00FB482C">
        <w:rPr>
          <w:spacing w:val="-2"/>
          <w:sz w:val="28"/>
          <w:szCs w:val="28"/>
        </w:rPr>
        <w:t>nodrošina precīzu gaisu piesārņojošo vielu emisiju sektorālo iedalījumu</w:t>
      </w:r>
      <w:r w:rsidR="0097518E" w:rsidRPr="00FB482C">
        <w:rPr>
          <w:spacing w:val="-2"/>
          <w:sz w:val="28"/>
          <w:szCs w:val="28"/>
        </w:rPr>
        <w:t>.</w:t>
      </w:r>
      <w:r w:rsidR="008B7282" w:rsidRPr="00FB482C">
        <w:rPr>
          <w:spacing w:val="-2"/>
          <w:sz w:val="28"/>
          <w:szCs w:val="28"/>
        </w:rPr>
        <w:t xml:space="preserve"> </w:t>
      </w:r>
      <w:r w:rsidRPr="00FB482C">
        <w:rPr>
          <w:spacing w:val="-2"/>
          <w:sz w:val="28"/>
          <w:szCs w:val="28"/>
        </w:rPr>
        <w:t>Iekļauj aprēķinus, kas ir ticami un nav pārvērtēti</w:t>
      </w:r>
      <w:proofErr w:type="gramStart"/>
      <w:r w:rsidRPr="00FB482C">
        <w:rPr>
          <w:spacing w:val="-2"/>
          <w:sz w:val="28"/>
          <w:szCs w:val="28"/>
        </w:rPr>
        <w:t xml:space="preserve"> vai par maz novērtēti, kā arī nodrošina, ka darbības datu un emisijas faktoru neprecizitātes ir samazinātas</w:t>
      </w:r>
      <w:r w:rsidR="008B7282" w:rsidRPr="00FB482C">
        <w:rPr>
          <w:spacing w:val="-2"/>
          <w:sz w:val="28"/>
          <w:szCs w:val="28"/>
        </w:rPr>
        <w:t>,</w:t>
      </w:r>
      <w:r w:rsidRPr="00FB482C">
        <w:rPr>
          <w:spacing w:val="-2"/>
          <w:sz w:val="28"/>
          <w:szCs w:val="28"/>
        </w:rPr>
        <w:t xml:space="preserve"> </w:t>
      </w:r>
      <w:r w:rsidR="00375024" w:rsidRPr="00FB482C">
        <w:rPr>
          <w:rStyle w:val="bold"/>
          <w:sz w:val="28"/>
        </w:rPr>
        <w:t xml:space="preserve">ciktāl </w:t>
      </w:r>
      <w:r w:rsidR="00375024" w:rsidRPr="00FB482C">
        <w:rPr>
          <w:spacing w:val="-2"/>
          <w:sz w:val="28"/>
          <w:szCs w:val="28"/>
        </w:rPr>
        <w:t>tas</w:t>
      </w:r>
      <w:r w:rsidRPr="00FB482C">
        <w:rPr>
          <w:spacing w:val="-2"/>
          <w:sz w:val="28"/>
          <w:szCs w:val="28"/>
        </w:rPr>
        <w:t xml:space="preserve"> iespējams</w:t>
      </w:r>
      <w:proofErr w:type="gramEnd"/>
      <w:r w:rsidRPr="00FB482C">
        <w:rPr>
          <w:spacing w:val="-2"/>
          <w:sz w:val="28"/>
          <w:szCs w:val="28"/>
        </w:rPr>
        <w:t>;</w:t>
      </w:r>
    </w:p>
    <w:p w14:paraId="23C6C0A3" w14:textId="3938747F" w:rsidR="006C2D43" w:rsidRPr="00FB482C" w:rsidRDefault="00B5572D" w:rsidP="0097518E">
      <w:pPr>
        <w:pStyle w:val="ti-grseq-1"/>
        <w:shd w:val="clear" w:color="auto" w:fill="FFFFFF"/>
        <w:spacing w:before="0" w:beforeAutospacing="0" w:after="0" w:afterAutospacing="0"/>
        <w:ind w:firstLine="720"/>
        <w:jc w:val="both"/>
        <w:rPr>
          <w:sz w:val="28"/>
          <w:szCs w:val="28"/>
        </w:rPr>
      </w:pPr>
      <w:r w:rsidRPr="00FB482C">
        <w:rPr>
          <w:sz w:val="28"/>
          <w:szCs w:val="28"/>
        </w:rPr>
        <w:t>1.</w:t>
      </w:r>
      <w:r w:rsidR="007455FC">
        <w:rPr>
          <w:sz w:val="28"/>
          <w:szCs w:val="28"/>
        </w:rPr>
        <w:t>3</w:t>
      </w:r>
      <w:r w:rsidR="0097518E" w:rsidRPr="00FB482C">
        <w:rPr>
          <w:sz w:val="28"/>
          <w:szCs w:val="28"/>
        </w:rPr>
        <w:t>. </w:t>
      </w:r>
      <w:r w:rsidRPr="00FB482C">
        <w:rPr>
          <w:sz w:val="28"/>
          <w:szCs w:val="28"/>
        </w:rPr>
        <w:t>emisiju aprēķiniem jānodrošina iekšējā laika rindu konsistence visos elementos un parametros visā vēsturisko gadu un nākotnes laikp</w:t>
      </w:r>
      <w:r w:rsidR="00A50AC4" w:rsidRPr="00FB482C">
        <w:rPr>
          <w:sz w:val="28"/>
          <w:szCs w:val="28"/>
        </w:rPr>
        <w:t>osm</w:t>
      </w:r>
      <w:r w:rsidRPr="00FB482C">
        <w:rPr>
          <w:sz w:val="28"/>
          <w:szCs w:val="28"/>
        </w:rPr>
        <w:t xml:space="preserve">ā, kā arī jāveicina, ka galvenie emisiju aprēķiniem izmantoto datu ievadparametri un pieņēmumi ir saskaņoti </w:t>
      </w:r>
      <w:r w:rsidR="007455FC" w:rsidRPr="00FB482C">
        <w:rPr>
          <w:sz w:val="28"/>
          <w:szCs w:val="28"/>
        </w:rPr>
        <w:t xml:space="preserve">starp </w:t>
      </w:r>
      <w:r w:rsidRPr="00FB482C">
        <w:rPr>
          <w:sz w:val="28"/>
          <w:szCs w:val="28"/>
        </w:rPr>
        <w:t>dažād</w:t>
      </w:r>
      <w:r w:rsidR="007455FC">
        <w:rPr>
          <w:sz w:val="28"/>
          <w:szCs w:val="28"/>
        </w:rPr>
        <w:t>iem</w:t>
      </w:r>
      <w:r w:rsidRPr="00FB482C">
        <w:rPr>
          <w:sz w:val="28"/>
          <w:szCs w:val="28"/>
        </w:rPr>
        <w:t xml:space="preserve"> sektor</w:t>
      </w:r>
      <w:r w:rsidR="007455FC">
        <w:rPr>
          <w:sz w:val="28"/>
          <w:szCs w:val="28"/>
        </w:rPr>
        <w:t>iem</w:t>
      </w:r>
      <w:r w:rsidRPr="00FB482C">
        <w:rPr>
          <w:sz w:val="28"/>
          <w:szCs w:val="28"/>
        </w:rPr>
        <w:t>;</w:t>
      </w:r>
    </w:p>
    <w:p w14:paraId="23C6C0A4" w14:textId="4C8C723E" w:rsidR="006C2D43" w:rsidRPr="00FB482C" w:rsidRDefault="00B5572D" w:rsidP="0097518E">
      <w:pPr>
        <w:pStyle w:val="ti-grseq-1"/>
        <w:shd w:val="clear" w:color="auto" w:fill="FFFFFF"/>
        <w:spacing w:before="0" w:beforeAutospacing="0" w:after="0" w:afterAutospacing="0"/>
        <w:ind w:firstLine="720"/>
        <w:jc w:val="both"/>
        <w:rPr>
          <w:sz w:val="28"/>
          <w:szCs w:val="28"/>
        </w:rPr>
      </w:pPr>
      <w:r w:rsidRPr="00FB482C">
        <w:rPr>
          <w:sz w:val="28"/>
          <w:szCs w:val="28"/>
        </w:rPr>
        <w:t>1.</w:t>
      </w:r>
      <w:r w:rsidR="007455FC">
        <w:rPr>
          <w:sz w:val="28"/>
          <w:szCs w:val="28"/>
        </w:rPr>
        <w:t>4</w:t>
      </w:r>
      <w:r w:rsidR="0097518E" w:rsidRPr="00FB482C">
        <w:rPr>
          <w:sz w:val="28"/>
          <w:szCs w:val="28"/>
        </w:rPr>
        <w:t>. </w:t>
      </w:r>
      <w:r w:rsidRPr="00FB482C">
        <w:rPr>
          <w:sz w:val="28"/>
          <w:szCs w:val="28"/>
        </w:rPr>
        <w:t>nodrošina, ka emisiju aprēķini ir salīdzināmi ar citiem ziņošanas formātiem</w:t>
      </w:r>
      <w:r w:rsidR="0097518E" w:rsidRPr="00FB482C">
        <w:rPr>
          <w:sz w:val="28"/>
          <w:szCs w:val="28"/>
        </w:rPr>
        <w:t>.</w:t>
      </w:r>
      <w:r w:rsidR="00051C9A" w:rsidRPr="00FB482C">
        <w:rPr>
          <w:sz w:val="28"/>
          <w:szCs w:val="28"/>
        </w:rPr>
        <w:t xml:space="preserve"> </w:t>
      </w:r>
      <w:r w:rsidRPr="00FB482C">
        <w:rPr>
          <w:sz w:val="28"/>
          <w:szCs w:val="28"/>
        </w:rPr>
        <w:t>Emisiju aprēķinos izmanto vienotus pieņēmumus un mērvienības;</w:t>
      </w:r>
    </w:p>
    <w:p w14:paraId="23C6C0A5" w14:textId="13BF5987" w:rsidR="00204C4B" w:rsidRPr="00FB482C" w:rsidRDefault="00B5572D" w:rsidP="0097518E">
      <w:pPr>
        <w:pStyle w:val="ti-grseq-1"/>
        <w:shd w:val="clear" w:color="auto" w:fill="FFFFFF"/>
        <w:spacing w:before="0" w:beforeAutospacing="0" w:after="0" w:afterAutospacing="0"/>
        <w:ind w:firstLine="720"/>
        <w:jc w:val="both"/>
        <w:rPr>
          <w:spacing w:val="-2"/>
          <w:sz w:val="28"/>
          <w:szCs w:val="28"/>
        </w:rPr>
      </w:pPr>
      <w:r w:rsidRPr="00FB482C">
        <w:rPr>
          <w:spacing w:val="-2"/>
          <w:sz w:val="28"/>
          <w:szCs w:val="28"/>
        </w:rPr>
        <w:t>1.</w:t>
      </w:r>
      <w:r w:rsidR="007455FC">
        <w:rPr>
          <w:spacing w:val="-2"/>
          <w:sz w:val="28"/>
          <w:szCs w:val="28"/>
        </w:rPr>
        <w:t>5</w:t>
      </w:r>
      <w:r w:rsidR="0097518E" w:rsidRPr="00FB482C">
        <w:rPr>
          <w:spacing w:val="-2"/>
          <w:sz w:val="28"/>
          <w:szCs w:val="28"/>
        </w:rPr>
        <w:t>. </w:t>
      </w:r>
      <w:r w:rsidRPr="00FB482C">
        <w:rPr>
          <w:spacing w:val="-2"/>
          <w:sz w:val="28"/>
          <w:szCs w:val="28"/>
        </w:rPr>
        <w:t xml:space="preserve">nodrošina, ka emisiju aprēķini tiek </w:t>
      </w:r>
      <w:r w:rsidR="00346FCF" w:rsidRPr="00FB482C">
        <w:rPr>
          <w:spacing w:val="-2"/>
          <w:sz w:val="28"/>
          <w:szCs w:val="28"/>
        </w:rPr>
        <w:t>veikti</w:t>
      </w:r>
      <w:r w:rsidRPr="00FB482C">
        <w:rPr>
          <w:spacing w:val="-2"/>
          <w:sz w:val="28"/>
          <w:szCs w:val="28"/>
        </w:rPr>
        <w:t xml:space="preserve"> par visiem emisiju avotiem un par visiem gadiem, kas minēti emisiju ziņošanas un aprēķinu vadlīnijās</w:t>
      </w:r>
      <w:r w:rsidR="0097518E" w:rsidRPr="00FB482C">
        <w:rPr>
          <w:spacing w:val="-2"/>
          <w:sz w:val="28"/>
          <w:szCs w:val="28"/>
        </w:rPr>
        <w:t xml:space="preserve">. </w:t>
      </w:r>
      <w:r w:rsidRPr="00FB482C">
        <w:rPr>
          <w:spacing w:val="-2"/>
          <w:sz w:val="28"/>
          <w:szCs w:val="28"/>
        </w:rPr>
        <w:t>Emisiju aprēķiniem jāaptver visa Latvijas teritorija un tās ekskluzīvā ekonomiskā zona.</w:t>
      </w:r>
    </w:p>
    <w:p w14:paraId="23C6C0A6" w14:textId="77777777" w:rsidR="00204C4B" w:rsidRPr="00FB482C" w:rsidRDefault="00204C4B" w:rsidP="0097518E">
      <w:pPr>
        <w:pStyle w:val="ti-grseq-1"/>
        <w:shd w:val="clear" w:color="auto" w:fill="FFFFFF"/>
        <w:spacing w:before="0" w:beforeAutospacing="0" w:after="0" w:afterAutospacing="0"/>
        <w:ind w:firstLine="720"/>
        <w:jc w:val="both"/>
        <w:rPr>
          <w:sz w:val="28"/>
          <w:szCs w:val="28"/>
        </w:rPr>
      </w:pPr>
    </w:p>
    <w:p w14:paraId="23C6C0A7" w14:textId="254A2C1C" w:rsidR="00F411D3" w:rsidRPr="00FB482C" w:rsidRDefault="00B5572D" w:rsidP="0097518E">
      <w:pPr>
        <w:pStyle w:val="ti-grseq-1"/>
        <w:shd w:val="clear" w:color="auto" w:fill="FFFFFF"/>
        <w:spacing w:before="0" w:beforeAutospacing="0" w:after="0" w:afterAutospacing="0"/>
        <w:ind w:firstLine="720"/>
        <w:jc w:val="both"/>
        <w:rPr>
          <w:spacing w:val="-2"/>
          <w:sz w:val="28"/>
          <w:szCs w:val="28"/>
        </w:rPr>
      </w:pPr>
      <w:r w:rsidRPr="00FB482C">
        <w:rPr>
          <w:spacing w:val="-2"/>
          <w:sz w:val="28"/>
          <w:szCs w:val="28"/>
        </w:rPr>
        <w:t>2</w:t>
      </w:r>
      <w:r w:rsidR="0097518E" w:rsidRPr="00FB482C">
        <w:rPr>
          <w:spacing w:val="-2"/>
          <w:sz w:val="28"/>
          <w:szCs w:val="28"/>
        </w:rPr>
        <w:t>. </w:t>
      </w:r>
      <w:r w:rsidR="003B4CA7" w:rsidRPr="00FB482C">
        <w:rPr>
          <w:spacing w:val="-2"/>
          <w:sz w:val="28"/>
          <w:szCs w:val="28"/>
        </w:rPr>
        <w:t>Emisijas no galvenajām avotu kategorijām aprēķina saskaņā ar emisiju</w:t>
      </w:r>
      <w:r w:rsidR="000E7EF4" w:rsidRPr="00FB482C">
        <w:rPr>
          <w:spacing w:val="-2"/>
          <w:sz w:val="28"/>
          <w:szCs w:val="28"/>
        </w:rPr>
        <w:t xml:space="preserve"> ziņošanas un</w:t>
      </w:r>
      <w:r w:rsidR="003B4CA7" w:rsidRPr="00FB482C">
        <w:rPr>
          <w:spacing w:val="-2"/>
          <w:sz w:val="28"/>
          <w:szCs w:val="28"/>
        </w:rPr>
        <w:t xml:space="preserve"> aprēķinu vadlīnijās definēt</w:t>
      </w:r>
      <w:r w:rsidR="00A50AC4" w:rsidRPr="00FB482C">
        <w:rPr>
          <w:spacing w:val="-2"/>
          <w:sz w:val="28"/>
          <w:szCs w:val="28"/>
        </w:rPr>
        <w:t>aj</w:t>
      </w:r>
      <w:r w:rsidR="003B4CA7" w:rsidRPr="00FB482C">
        <w:rPr>
          <w:spacing w:val="-2"/>
          <w:sz w:val="28"/>
          <w:szCs w:val="28"/>
        </w:rPr>
        <w:t>ām metodēm, cenšoties izmantot otrā līmeņa vai augstāka līmeņa (detalizētākas) metodes</w:t>
      </w:r>
      <w:r w:rsidR="0097518E" w:rsidRPr="00FB482C">
        <w:rPr>
          <w:spacing w:val="-2"/>
          <w:sz w:val="28"/>
          <w:szCs w:val="28"/>
        </w:rPr>
        <w:t xml:space="preserve">. </w:t>
      </w:r>
      <w:r w:rsidR="003B4CA7" w:rsidRPr="00FB482C">
        <w:rPr>
          <w:spacing w:val="-2"/>
          <w:sz w:val="28"/>
          <w:szCs w:val="28"/>
        </w:rPr>
        <w:t>Var izmantot arī citas zinātniski pamatotas un saderīgas metodes, ja ar minētajām metodēm iegūst precīzāk</w:t>
      </w:r>
      <w:r w:rsidR="002A60E7" w:rsidRPr="00FB482C">
        <w:rPr>
          <w:spacing w:val="-2"/>
          <w:sz w:val="28"/>
          <w:szCs w:val="28"/>
        </w:rPr>
        <w:t>us</w:t>
      </w:r>
      <w:r w:rsidR="003B4CA7" w:rsidRPr="00FB482C">
        <w:rPr>
          <w:spacing w:val="-2"/>
          <w:sz w:val="28"/>
          <w:szCs w:val="28"/>
        </w:rPr>
        <w:t xml:space="preserve"> ap</w:t>
      </w:r>
      <w:r w:rsidR="002A60E7" w:rsidRPr="00FB482C">
        <w:rPr>
          <w:spacing w:val="-2"/>
          <w:sz w:val="28"/>
          <w:szCs w:val="28"/>
        </w:rPr>
        <w:t xml:space="preserve">rēķinus </w:t>
      </w:r>
      <w:r w:rsidR="003B4CA7" w:rsidRPr="00FB482C">
        <w:rPr>
          <w:spacing w:val="-2"/>
          <w:sz w:val="28"/>
          <w:szCs w:val="28"/>
        </w:rPr>
        <w:t xml:space="preserve">nekā ar emisiju </w:t>
      </w:r>
      <w:r w:rsidR="000E7EF4" w:rsidRPr="00FB482C">
        <w:rPr>
          <w:spacing w:val="-2"/>
          <w:sz w:val="28"/>
          <w:szCs w:val="28"/>
        </w:rPr>
        <w:t xml:space="preserve">ziņošanas un </w:t>
      </w:r>
      <w:r w:rsidR="003B4CA7" w:rsidRPr="00FB482C">
        <w:rPr>
          <w:spacing w:val="-2"/>
          <w:sz w:val="28"/>
          <w:szCs w:val="28"/>
        </w:rPr>
        <w:t>aprēķinu vadlīnijās norādītajām standarta metodēm.</w:t>
      </w:r>
    </w:p>
    <w:p w14:paraId="1CACB3DD" w14:textId="77777777" w:rsidR="00EB312C" w:rsidRPr="00FB482C" w:rsidRDefault="00EB312C" w:rsidP="00EB312C">
      <w:pPr>
        <w:pStyle w:val="ti-grseq-1"/>
        <w:shd w:val="clear" w:color="auto" w:fill="FFFFFF"/>
        <w:spacing w:before="0" w:beforeAutospacing="0" w:after="0" w:afterAutospacing="0"/>
        <w:ind w:firstLine="720"/>
        <w:jc w:val="both"/>
        <w:rPr>
          <w:rStyle w:val="bold"/>
          <w:bCs/>
          <w:szCs w:val="28"/>
        </w:rPr>
      </w:pPr>
    </w:p>
    <w:p w14:paraId="23C6C0A9" w14:textId="4FB57C0E" w:rsidR="00F411D3" w:rsidRPr="00FB482C" w:rsidRDefault="00B5572D" w:rsidP="0097518E">
      <w:pPr>
        <w:pStyle w:val="ti-grseq-1"/>
        <w:shd w:val="clear" w:color="auto" w:fill="FFFFFF"/>
        <w:spacing w:before="0" w:beforeAutospacing="0" w:after="0" w:afterAutospacing="0"/>
        <w:ind w:firstLine="720"/>
        <w:jc w:val="both"/>
        <w:rPr>
          <w:sz w:val="28"/>
          <w:szCs w:val="28"/>
        </w:rPr>
      </w:pPr>
      <w:r w:rsidRPr="00FB482C">
        <w:rPr>
          <w:sz w:val="28"/>
          <w:szCs w:val="28"/>
        </w:rPr>
        <w:t>3</w:t>
      </w:r>
      <w:r w:rsidR="0097518E" w:rsidRPr="00FB482C">
        <w:rPr>
          <w:sz w:val="28"/>
          <w:szCs w:val="28"/>
        </w:rPr>
        <w:t>. </w:t>
      </w:r>
      <w:r w:rsidR="003B4CA7" w:rsidRPr="00FB482C">
        <w:rPr>
          <w:sz w:val="28"/>
          <w:szCs w:val="28"/>
        </w:rPr>
        <w:t xml:space="preserve">Veicot transporta sektora emisijas aprēķinus, ņem vērā Centrālās </w:t>
      </w:r>
      <w:r w:rsidR="00DD7B65" w:rsidRPr="00FB482C">
        <w:rPr>
          <w:sz w:val="28"/>
          <w:szCs w:val="28"/>
        </w:rPr>
        <w:t>s</w:t>
      </w:r>
      <w:r w:rsidR="003B4CA7" w:rsidRPr="00FB482C">
        <w:rPr>
          <w:sz w:val="28"/>
          <w:szCs w:val="28"/>
        </w:rPr>
        <w:t>tatistikas pārvaldes sagatavoto energobilanci, kas iesniegta Eiropas Savienības Statistikas birojam.</w:t>
      </w:r>
    </w:p>
    <w:p w14:paraId="435B327D" w14:textId="77777777" w:rsidR="00EB312C" w:rsidRPr="00FB482C" w:rsidRDefault="00EB312C" w:rsidP="00EB312C">
      <w:pPr>
        <w:pStyle w:val="ti-grseq-1"/>
        <w:shd w:val="clear" w:color="auto" w:fill="FFFFFF"/>
        <w:spacing w:before="0" w:beforeAutospacing="0" w:after="0" w:afterAutospacing="0"/>
        <w:ind w:firstLine="720"/>
        <w:jc w:val="both"/>
        <w:rPr>
          <w:rStyle w:val="bold"/>
          <w:bCs/>
          <w:szCs w:val="28"/>
        </w:rPr>
      </w:pPr>
    </w:p>
    <w:p w14:paraId="23C6C0AB" w14:textId="42E7DBFA" w:rsidR="00F411D3" w:rsidRPr="00FB482C" w:rsidRDefault="00B5572D" w:rsidP="0097518E">
      <w:pPr>
        <w:pStyle w:val="ti-grseq-1"/>
        <w:shd w:val="clear" w:color="auto" w:fill="FFFFFF"/>
        <w:spacing w:before="0" w:beforeAutospacing="0" w:after="0" w:afterAutospacing="0"/>
        <w:ind w:firstLine="720"/>
        <w:jc w:val="both"/>
        <w:rPr>
          <w:sz w:val="28"/>
          <w:szCs w:val="28"/>
        </w:rPr>
      </w:pPr>
      <w:r w:rsidRPr="00FB482C">
        <w:rPr>
          <w:sz w:val="28"/>
          <w:szCs w:val="28"/>
        </w:rPr>
        <w:t>4</w:t>
      </w:r>
      <w:r w:rsidR="0097518E" w:rsidRPr="00FB482C">
        <w:rPr>
          <w:sz w:val="28"/>
          <w:szCs w:val="28"/>
        </w:rPr>
        <w:t>. </w:t>
      </w:r>
      <w:r w:rsidR="003B4CA7" w:rsidRPr="00FB482C">
        <w:rPr>
          <w:sz w:val="28"/>
          <w:szCs w:val="28"/>
        </w:rPr>
        <w:t>Autotransporta emisijas aprēķina, pamatojoties uz informāciju par pārdotajām degvielām</w:t>
      </w:r>
      <w:r w:rsidR="0097518E" w:rsidRPr="00FB482C">
        <w:rPr>
          <w:sz w:val="28"/>
          <w:szCs w:val="28"/>
        </w:rPr>
        <w:t xml:space="preserve">. </w:t>
      </w:r>
      <w:r w:rsidR="003B4CA7" w:rsidRPr="00FB482C">
        <w:rPr>
          <w:sz w:val="28"/>
          <w:szCs w:val="28"/>
        </w:rPr>
        <w:t>Papildus var veikt aprēķinus, pamatojoties uz datiem par izmantotajām degvielām vai nobrauktajiem kilometriem valstī.</w:t>
      </w:r>
    </w:p>
    <w:p w14:paraId="23C6C0AC" w14:textId="77777777" w:rsidR="00F411D3" w:rsidRPr="00FB482C" w:rsidRDefault="00F411D3" w:rsidP="0097518E">
      <w:pPr>
        <w:pStyle w:val="ti-grseq-1"/>
        <w:shd w:val="clear" w:color="auto" w:fill="FFFFFF"/>
        <w:spacing w:before="0" w:beforeAutospacing="0" w:after="0" w:afterAutospacing="0"/>
        <w:ind w:firstLine="720"/>
        <w:jc w:val="both"/>
        <w:rPr>
          <w:sz w:val="28"/>
          <w:szCs w:val="28"/>
        </w:rPr>
      </w:pPr>
    </w:p>
    <w:p w14:paraId="23C6C0AD" w14:textId="00846106" w:rsidR="003B4CA7" w:rsidRPr="00FB482C" w:rsidRDefault="00B5572D" w:rsidP="0097518E">
      <w:pPr>
        <w:pStyle w:val="ti-grseq-1"/>
        <w:shd w:val="clear" w:color="auto" w:fill="FFFFFF"/>
        <w:spacing w:before="0" w:beforeAutospacing="0" w:after="0" w:afterAutospacing="0"/>
        <w:ind w:firstLine="720"/>
        <w:jc w:val="both"/>
        <w:rPr>
          <w:sz w:val="28"/>
          <w:szCs w:val="28"/>
        </w:rPr>
      </w:pPr>
      <w:r w:rsidRPr="00FB482C">
        <w:rPr>
          <w:sz w:val="28"/>
          <w:szCs w:val="28"/>
        </w:rPr>
        <w:t>5</w:t>
      </w:r>
      <w:r w:rsidR="0097518E" w:rsidRPr="00FB482C">
        <w:rPr>
          <w:sz w:val="28"/>
          <w:szCs w:val="28"/>
        </w:rPr>
        <w:t>. </w:t>
      </w:r>
      <w:r w:rsidRPr="00FB482C">
        <w:rPr>
          <w:sz w:val="28"/>
          <w:szCs w:val="28"/>
        </w:rPr>
        <w:t xml:space="preserve">Emisijas </w:t>
      </w:r>
      <w:r w:rsidR="00EB312C" w:rsidRPr="00FB482C">
        <w:rPr>
          <w:sz w:val="28"/>
          <w:szCs w:val="28"/>
        </w:rPr>
        <w:t>norāda</w:t>
      </w:r>
      <w:r w:rsidRPr="00FB482C">
        <w:rPr>
          <w:sz w:val="28"/>
          <w:szCs w:val="28"/>
        </w:rPr>
        <w:t xml:space="preserve"> atbilstoši emisijas avotu kategorijām un vienībās, kas noteiktas </w:t>
      </w:r>
      <w:r w:rsidR="008E6A94" w:rsidRPr="00FB482C">
        <w:rPr>
          <w:sz w:val="28"/>
          <w:szCs w:val="28"/>
        </w:rPr>
        <w:t>emisiju ziņošanas un aprēķinu vadlīnijā</w:t>
      </w:r>
      <w:r w:rsidR="00EB312C" w:rsidRPr="00FB482C">
        <w:rPr>
          <w:sz w:val="28"/>
          <w:szCs w:val="28"/>
        </w:rPr>
        <w:t>s</w:t>
      </w:r>
      <w:r w:rsidRPr="00FB482C">
        <w:rPr>
          <w:sz w:val="28"/>
          <w:szCs w:val="28"/>
        </w:rPr>
        <w:t>.</w:t>
      </w:r>
    </w:p>
    <w:p w14:paraId="5FCCEC97" w14:textId="77777777" w:rsidR="00AC306A" w:rsidRPr="00FB482C" w:rsidRDefault="00AC306A" w:rsidP="0097518E">
      <w:pPr>
        <w:pStyle w:val="ti-grseq-1"/>
        <w:shd w:val="clear" w:color="auto" w:fill="FFFFFF"/>
        <w:spacing w:before="0" w:beforeAutospacing="0" w:after="0" w:afterAutospacing="0"/>
        <w:ind w:firstLine="720"/>
        <w:jc w:val="both"/>
        <w:rPr>
          <w:rStyle w:val="bold"/>
          <w:bCs/>
          <w:szCs w:val="28"/>
        </w:rPr>
      </w:pPr>
    </w:p>
    <w:p w14:paraId="23C6C0AE" w14:textId="1AA517C9" w:rsidR="00D50AEA" w:rsidRPr="00FB482C" w:rsidRDefault="00B5572D" w:rsidP="0097518E">
      <w:pPr>
        <w:pStyle w:val="ti-grseq-1"/>
        <w:shd w:val="clear" w:color="auto" w:fill="FFFFFF"/>
        <w:spacing w:before="0" w:beforeAutospacing="0" w:after="0" w:afterAutospacing="0"/>
        <w:jc w:val="center"/>
        <w:rPr>
          <w:rStyle w:val="bold"/>
          <w:b/>
          <w:bCs/>
          <w:sz w:val="28"/>
          <w:szCs w:val="28"/>
        </w:rPr>
      </w:pPr>
      <w:r w:rsidRPr="00FB482C">
        <w:rPr>
          <w:rStyle w:val="bold"/>
          <w:b/>
          <w:bCs/>
          <w:sz w:val="28"/>
          <w:szCs w:val="28"/>
        </w:rPr>
        <w:lastRenderedPageBreak/>
        <w:t>II</w:t>
      </w:r>
      <w:r w:rsidR="0097518E" w:rsidRPr="00FB482C">
        <w:rPr>
          <w:rStyle w:val="bold"/>
          <w:b/>
          <w:bCs/>
          <w:sz w:val="28"/>
          <w:szCs w:val="28"/>
        </w:rPr>
        <w:t>. </w:t>
      </w:r>
      <w:r w:rsidRPr="00FB482C">
        <w:rPr>
          <w:rStyle w:val="bold"/>
          <w:b/>
          <w:bCs/>
          <w:sz w:val="28"/>
          <w:szCs w:val="28"/>
        </w:rPr>
        <w:t>Informatīvais pārskata ziņojums</w:t>
      </w:r>
    </w:p>
    <w:p w14:paraId="1425ADBF" w14:textId="77777777" w:rsidR="00FB0C58" w:rsidRPr="00FB482C" w:rsidRDefault="00FB0C58" w:rsidP="0097518E">
      <w:pPr>
        <w:pStyle w:val="ti-grseq-1"/>
        <w:shd w:val="clear" w:color="auto" w:fill="FFFFFF"/>
        <w:spacing w:before="0" w:beforeAutospacing="0" w:after="0" w:afterAutospacing="0"/>
        <w:ind w:firstLine="720"/>
        <w:jc w:val="both"/>
        <w:rPr>
          <w:rStyle w:val="bold"/>
          <w:sz w:val="28"/>
        </w:rPr>
      </w:pPr>
    </w:p>
    <w:p w14:paraId="23C6C0AF" w14:textId="3DC23DF5" w:rsidR="00D50AEA"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6</w:t>
      </w:r>
      <w:r w:rsidR="0097518E" w:rsidRPr="00FB482C">
        <w:rPr>
          <w:rStyle w:val="bold"/>
          <w:bCs/>
          <w:sz w:val="28"/>
        </w:rPr>
        <w:t>. </w:t>
      </w:r>
      <w:r w:rsidRPr="00FB482C">
        <w:rPr>
          <w:rStyle w:val="bold"/>
          <w:bCs/>
          <w:sz w:val="28"/>
        </w:rPr>
        <w:t>Informatīvo pārska</w:t>
      </w:r>
      <w:r w:rsidR="00740871" w:rsidRPr="00FB482C">
        <w:rPr>
          <w:rStyle w:val="bold"/>
          <w:bCs/>
          <w:sz w:val="28"/>
        </w:rPr>
        <w:t xml:space="preserve">ta ziņojumu sagatavo saskaņā ar </w:t>
      </w:r>
      <w:r w:rsidRPr="00FB482C">
        <w:rPr>
          <w:rStyle w:val="bold"/>
          <w:bCs/>
          <w:sz w:val="28"/>
        </w:rPr>
        <w:t>emisiju ziņošanas un aprēķinu vadlīnijām, izmantojot vadlīnijās paredzēto pārskata ziņojuma veidni</w:t>
      </w:r>
      <w:r w:rsidR="0097518E" w:rsidRPr="00FB482C">
        <w:rPr>
          <w:rStyle w:val="bold"/>
          <w:bCs/>
          <w:sz w:val="28"/>
        </w:rPr>
        <w:t>. </w:t>
      </w:r>
    </w:p>
    <w:p w14:paraId="23C6C0B0" w14:textId="77777777" w:rsidR="00F411D3" w:rsidRPr="00FB482C" w:rsidRDefault="00F411D3" w:rsidP="0097518E">
      <w:pPr>
        <w:pStyle w:val="ti-grseq-1"/>
        <w:shd w:val="clear" w:color="auto" w:fill="FFFFFF"/>
        <w:spacing w:before="0" w:beforeAutospacing="0" w:after="0" w:afterAutospacing="0"/>
        <w:ind w:firstLine="720"/>
        <w:jc w:val="both"/>
        <w:rPr>
          <w:rStyle w:val="bold"/>
          <w:bCs/>
          <w:sz w:val="28"/>
        </w:rPr>
      </w:pPr>
    </w:p>
    <w:p w14:paraId="23C6C0B1" w14:textId="3DBD94CA" w:rsidR="00740871"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w:t>
      </w:r>
      <w:r w:rsidR="0097518E" w:rsidRPr="00FB482C">
        <w:rPr>
          <w:rStyle w:val="bold"/>
          <w:bCs/>
          <w:sz w:val="28"/>
        </w:rPr>
        <w:t>. </w:t>
      </w:r>
      <w:r w:rsidR="00D50AEA" w:rsidRPr="00FB482C">
        <w:rPr>
          <w:rStyle w:val="bold"/>
          <w:bCs/>
          <w:sz w:val="28"/>
        </w:rPr>
        <w:t>Pārskata ziņojumā iekļauj vismaz šādu informāciju:</w:t>
      </w:r>
    </w:p>
    <w:p w14:paraId="23C6C0B2" w14:textId="7E249A67" w:rsidR="00F411D3"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7.1</w:t>
      </w:r>
      <w:r w:rsidR="0097518E" w:rsidRPr="00FB482C">
        <w:rPr>
          <w:rStyle w:val="bold"/>
          <w:bCs/>
          <w:sz w:val="28"/>
        </w:rPr>
        <w:t>. </w:t>
      </w:r>
      <w:r w:rsidR="00D50AEA" w:rsidRPr="00FB482C">
        <w:rPr>
          <w:rStyle w:val="bold"/>
          <w:bCs/>
          <w:sz w:val="28"/>
        </w:rPr>
        <w:t>ziņojuma kopsavilkum</w:t>
      </w:r>
      <w:r w:rsidR="00841C03" w:rsidRPr="00FB482C">
        <w:rPr>
          <w:rStyle w:val="bold"/>
          <w:bCs/>
          <w:sz w:val="28"/>
        </w:rPr>
        <w:t>s</w:t>
      </w:r>
      <w:r w:rsidR="00D50AEA" w:rsidRPr="00FB482C">
        <w:rPr>
          <w:rStyle w:val="bold"/>
          <w:bCs/>
          <w:sz w:val="28"/>
        </w:rPr>
        <w:t xml:space="preserve">; </w:t>
      </w:r>
    </w:p>
    <w:p w14:paraId="23C6C0B3" w14:textId="31670E6E" w:rsidR="00F411D3"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7.2</w:t>
      </w:r>
      <w:r w:rsidR="0097518E" w:rsidRPr="00FB482C">
        <w:rPr>
          <w:rStyle w:val="bold"/>
          <w:bCs/>
          <w:sz w:val="28"/>
        </w:rPr>
        <w:t>. </w:t>
      </w:r>
      <w:r w:rsidR="00147D7B" w:rsidRPr="00FB482C">
        <w:rPr>
          <w:rStyle w:val="bold"/>
          <w:bCs/>
          <w:sz w:val="28"/>
        </w:rPr>
        <w:t xml:space="preserve">apraksts par institucionālo kārtību, kādā sagatavojams </w:t>
      </w:r>
      <w:r w:rsidR="00BE0AE7" w:rsidRPr="00FB482C">
        <w:rPr>
          <w:rStyle w:val="bold"/>
          <w:bCs/>
          <w:sz w:val="28"/>
        </w:rPr>
        <w:t>ziņojum</w:t>
      </w:r>
      <w:r w:rsidR="00147D7B" w:rsidRPr="00FB482C">
        <w:rPr>
          <w:rStyle w:val="bold"/>
          <w:bCs/>
          <w:sz w:val="28"/>
        </w:rPr>
        <w:t>s</w:t>
      </w:r>
      <w:r w:rsidR="00BE0AE7" w:rsidRPr="00FB482C">
        <w:rPr>
          <w:rStyle w:val="bold"/>
          <w:bCs/>
          <w:sz w:val="28"/>
        </w:rPr>
        <w:t xml:space="preserve"> par valsts kopējām emisijām</w:t>
      </w:r>
      <w:r w:rsidR="00D50AEA" w:rsidRPr="00FB482C">
        <w:rPr>
          <w:rStyle w:val="bold"/>
          <w:bCs/>
          <w:sz w:val="28"/>
        </w:rPr>
        <w:t>;</w:t>
      </w:r>
    </w:p>
    <w:p w14:paraId="23C6C0B4" w14:textId="51AA44D5" w:rsidR="00F411D3"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7.3</w:t>
      </w:r>
      <w:r w:rsidR="0097518E" w:rsidRPr="00FB482C">
        <w:rPr>
          <w:rStyle w:val="bold"/>
          <w:bCs/>
          <w:sz w:val="28"/>
        </w:rPr>
        <w:t>. </w:t>
      </w:r>
      <w:r w:rsidR="00D50AEA" w:rsidRPr="00FB482C">
        <w:rPr>
          <w:rStyle w:val="bold"/>
          <w:bCs/>
          <w:sz w:val="28"/>
        </w:rPr>
        <w:t>aprakst</w:t>
      </w:r>
      <w:r w:rsidR="00147D7B" w:rsidRPr="00FB482C">
        <w:rPr>
          <w:rStyle w:val="bold"/>
          <w:bCs/>
          <w:sz w:val="28"/>
        </w:rPr>
        <w:t>s</w:t>
      </w:r>
      <w:r w:rsidR="00D50AEA" w:rsidRPr="00FB482C">
        <w:rPr>
          <w:rStyle w:val="bold"/>
          <w:bCs/>
          <w:sz w:val="28"/>
        </w:rPr>
        <w:t xml:space="preserve"> par galvenajām emisiju avotu kategorijām valsts līmenī;</w:t>
      </w:r>
    </w:p>
    <w:p w14:paraId="23C6C0B5" w14:textId="0EF436DA" w:rsidR="00F411D3"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7.4</w:t>
      </w:r>
      <w:r w:rsidR="0097518E" w:rsidRPr="00FB482C">
        <w:rPr>
          <w:rStyle w:val="bold"/>
          <w:bCs/>
          <w:sz w:val="28"/>
        </w:rPr>
        <w:t>. </w:t>
      </w:r>
      <w:r w:rsidR="00D50AEA" w:rsidRPr="00FB482C">
        <w:rPr>
          <w:rStyle w:val="bold"/>
          <w:bCs/>
          <w:sz w:val="28"/>
        </w:rPr>
        <w:t>konkrēto metožu, pieņēmumu, emisijas faktoru un darbības datu aprakst</w:t>
      </w:r>
      <w:r w:rsidR="00147D7B" w:rsidRPr="00FB482C">
        <w:rPr>
          <w:rStyle w:val="bold"/>
          <w:bCs/>
          <w:sz w:val="28"/>
        </w:rPr>
        <w:t>s</w:t>
      </w:r>
      <w:r w:rsidR="00D50AEA" w:rsidRPr="00FB482C">
        <w:rPr>
          <w:rStyle w:val="bold"/>
          <w:bCs/>
          <w:sz w:val="28"/>
        </w:rPr>
        <w:t>, atsauces un informācijas avot</w:t>
      </w:r>
      <w:r w:rsidR="00147D7B" w:rsidRPr="00FB482C">
        <w:rPr>
          <w:rStyle w:val="bold"/>
          <w:bCs/>
          <w:sz w:val="28"/>
        </w:rPr>
        <w:t>i</w:t>
      </w:r>
      <w:r w:rsidR="00D50AEA" w:rsidRPr="00FB482C">
        <w:rPr>
          <w:rStyle w:val="bold"/>
          <w:bCs/>
          <w:sz w:val="28"/>
        </w:rPr>
        <w:t>, kā arī to izvēles pamatojum</w:t>
      </w:r>
      <w:r w:rsidR="00147D7B" w:rsidRPr="00FB482C">
        <w:rPr>
          <w:rStyle w:val="bold"/>
          <w:bCs/>
          <w:sz w:val="28"/>
        </w:rPr>
        <w:t>s</w:t>
      </w:r>
      <w:r w:rsidR="00D50AEA" w:rsidRPr="00FB482C">
        <w:rPr>
          <w:rStyle w:val="bold"/>
          <w:bCs/>
          <w:sz w:val="28"/>
        </w:rPr>
        <w:t>;</w:t>
      </w:r>
    </w:p>
    <w:p w14:paraId="23C6C0B6" w14:textId="0857D980" w:rsidR="00F411D3"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7.5</w:t>
      </w:r>
      <w:r w:rsidR="0097518E" w:rsidRPr="00FB482C">
        <w:rPr>
          <w:rStyle w:val="bold"/>
          <w:bCs/>
          <w:sz w:val="28"/>
        </w:rPr>
        <w:t>. </w:t>
      </w:r>
      <w:r w:rsidR="00D50AEA" w:rsidRPr="00FB482C">
        <w:rPr>
          <w:rStyle w:val="bold"/>
          <w:bCs/>
          <w:sz w:val="28"/>
        </w:rPr>
        <w:t>informācij</w:t>
      </w:r>
      <w:r w:rsidR="00147D7B" w:rsidRPr="00FB482C">
        <w:rPr>
          <w:rStyle w:val="bold"/>
          <w:bCs/>
          <w:sz w:val="28"/>
        </w:rPr>
        <w:t>a</w:t>
      </w:r>
      <w:r w:rsidR="00D50AEA" w:rsidRPr="00FB482C">
        <w:rPr>
          <w:rStyle w:val="bold"/>
          <w:bCs/>
          <w:sz w:val="28"/>
        </w:rPr>
        <w:t xml:space="preserve"> par </w:t>
      </w:r>
      <w:r w:rsidR="00636966" w:rsidRPr="00FB482C">
        <w:rPr>
          <w:rStyle w:val="bold"/>
          <w:bCs/>
          <w:sz w:val="28"/>
        </w:rPr>
        <w:t>neprecizitātēm</w:t>
      </w:r>
      <w:r w:rsidR="00D50AEA" w:rsidRPr="00FB482C">
        <w:rPr>
          <w:rStyle w:val="bold"/>
          <w:bCs/>
          <w:sz w:val="28"/>
        </w:rPr>
        <w:t>, kvalitātes nodrošināšanu un verifikāciju;</w:t>
      </w:r>
    </w:p>
    <w:p w14:paraId="23C6C0B7" w14:textId="5323E0B8" w:rsidR="00F411D3"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7.6</w:t>
      </w:r>
      <w:r w:rsidR="0097518E" w:rsidRPr="00FB482C">
        <w:rPr>
          <w:rStyle w:val="bold"/>
          <w:bCs/>
          <w:sz w:val="28"/>
        </w:rPr>
        <w:t>. </w:t>
      </w:r>
      <w:r w:rsidR="00D50AEA" w:rsidRPr="00FB482C">
        <w:rPr>
          <w:rStyle w:val="bold"/>
          <w:bCs/>
          <w:sz w:val="28"/>
        </w:rPr>
        <w:t>pārrēķin</w:t>
      </w:r>
      <w:r w:rsidR="00147D7B" w:rsidRPr="00FB482C">
        <w:rPr>
          <w:rStyle w:val="bold"/>
          <w:bCs/>
          <w:sz w:val="28"/>
        </w:rPr>
        <w:t>i</w:t>
      </w:r>
      <w:r w:rsidR="00D50AEA" w:rsidRPr="00FB482C">
        <w:rPr>
          <w:rStyle w:val="bold"/>
          <w:bCs/>
          <w:sz w:val="28"/>
        </w:rPr>
        <w:t xml:space="preserve"> un plānot</w:t>
      </w:r>
      <w:r w:rsidR="00147D7B" w:rsidRPr="00FB482C">
        <w:rPr>
          <w:rStyle w:val="bold"/>
          <w:bCs/>
          <w:sz w:val="28"/>
        </w:rPr>
        <w:t>ie</w:t>
      </w:r>
      <w:r w:rsidR="00D50AEA" w:rsidRPr="00FB482C">
        <w:rPr>
          <w:rStyle w:val="bold"/>
          <w:bCs/>
          <w:sz w:val="28"/>
        </w:rPr>
        <w:t xml:space="preserve"> uzlabojum</w:t>
      </w:r>
      <w:r w:rsidR="00147D7B" w:rsidRPr="00FB482C">
        <w:rPr>
          <w:rStyle w:val="bold"/>
          <w:bCs/>
          <w:sz w:val="28"/>
        </w:rPr>
        <w:t>i</w:t>
      </w:r>
      <w:r w:rsidR="00D50AEA" w:rsidRPr="00FB482C">
        <w:rPr>
          <w:rStyle w:val="bold"/>
          <w:bCs/>
          <w:sz w:val="28"/>
        </w:rPr>
        <w:t>;</w:t>
      </w:r>
    </w:p>
    <w:p w14:paraId="23C6C0B8" w14:textId="55D6D401" w:rsidR="00F411D3" w:rsidRPr="00FB482C" w:rsidRDefault="00B5572D" w:rsidP="00147D7B">
      <w:pPr>
        <w:pStyle w:val="ti-grseq-1"/>
        <w:shd w:val="clear" w:color="auto" w:fill="FFFFFF"/>
        <w:spacing w:before="0" w:beforeAutospacing="0" w:after="0" w:afterAutospacing="0"/>
        <w:ind w:firstLine="720"/>
        <w:jc w:val="both"/>
        <w:rPr>
          <w:rStyle w:val="bold"/>
          <w:bCs/>
          <w:sz w:val="28"/>
        </w:rPr>
      </w:pPr>
      <w:r w:rsidRPr="00FB482C">
        <w:rPr>
          <w:rStyle w:val="bold"/>
          <w:bCs/>
          <w:sz w:val="28"/>
        </w:rPr>
        <w:t>7.7</w:t>
      </w:r>
      <w:r w:rsidR="0097518E" w:rsidRPr="00FB482C">
        <w:rPr>
          <w:rStyle w:val="bold"/>
          <w:bCs/>
          <w:sz w:val="28"/>
        </w:rPr>
        <w:t>. </w:t>
      </w:r>
      <w:r w:rsidR="00BA6C63" w:rsidRPr="00FB482C">
        <w:rPr>
          <w:rStyle w:val="bold"/>
          <w:bCs/>
          <w:sz w:val="28"/>
        </w:rPr>
        <w:t>š</w:t>
      </w:r>
      <w:r w:rsidR="00147D7B" w:rsidRPr="00FB482C">
        <w:rPr>
          <w:rStyle w:val="bold"/>
          <w:bCs/>
          <w:sz w:val="28"/>
        </w:rPr>
        <w:t>ā</w:t>
      </w:r>
      <w:r w:rsidR="00BA6C63" w:rsidRPr="00FB482C">
        <w:rPr>
          <w:rStyle w:val="bold"/>
          <w:bCs/>
          <w:sz w:val="28"/>
        </w:rPr>
        <w:t xml:space="preserve"> pielikuma III</w:t>
      </w:r>
      <w:r w:rsidR="00147D7B" w:rsidRPr="00FB482C">
        <w:rPr>
          <w:rStyle w:val="bold"/>
          <w:bCs/>
          <w:sz w:val="28"/>
        </w:rPr>
        <w:t> </w:t>
      </w:r>
      <w:r w:rsidR="00BA6C63" w:rsidRPr="00FB482C">
        <w:rPr>
          <w:rStyle w:val="bold"/>
          <w:bCs/>
          <w:sz w:val="28"/>
        </w:rPr>
        <w:t>nodaļā minēt</w:t>
      </w:r>
      <w:r w:rsidR="007455FC">
        <w:rPr>
          <w:rStyle w:val="bold"/>
          <w:bCs/>
          <w:sz w:val="28"/>
        </w:rPr>
        <w:t>ā</w:t>
      </w:r>
      <w:r w:rsidR="00BA6C63" w:rsidRPr="00FB482C">
        <w:rPr>
          <w:rStyle w:val="bold"/>
          <w:bCs/>
          <w:sz w:val="28"/>
        </w:rPr>
        <w:t xml:space="preserve"> </w:t>
      </w:r>
      <w:r w:rsidR="007F7256" w:rsidRPr="00FB482C">
        <w:rPr>
          <w:rStyle w:val="bold"/>
          <w:bCs/>
          <w:sz w:val="28"/>
        </w:rPr>
        <w:t>informācij</w:t>
      </w:r>
      <w:r w:rsidR="00147D7B" w:rsidRPr="00FB482C">
        <w:rPr>
          <w:rStyle w:val="bold"/>
          <w:bCs/>
          <w:sz w:val="28"/>
        </w:rPr>
        <w:t>a</w:t>
      </w:r>
      <w:r w:rsidR="007F7256" w:rsidRPr="00FB482C">
        <w:rPr>
          <w:rStyle w:val="bold"/>
          <w:bCs/>
          <w:sz w:val="28"/>
        </w:rPr>
        <w:t xml:space="preserve"> un aprakst</w:t>
      </w:r>
      <w:r w:rsidR="00147D7B" w:rsidRPr="00FB482C">
        <w:rPr>
          <w:rStyle w:val="bold"/>
          <w:bCs/>
          <w:sz w:val="28"/>
        </w:rPr>
        <w:t>s</w:t>
      </w:r>
      <w:r w:rsidR="007F7256" w:rsidRPr="00FB482C">
        <w:rPr>
          <w:rStyle w:val="bold"/>
          <w:bCs/>
          <w:sz w:val="28"/>
        </w:rPr>
        <w:t xml:space="preserve"> </w:t>
      </w:r>
      <w:r w:rsidR="008B6940" w:rsidRPr="00FB482C">
        <w:rPr>
          <w:rStyle w:val="bold"/>
          <w:bCs/>
          <w:sz w:val="28"/>
        </w:rPr>
        <w:t>par sagatavotajiem emisiju prognožu aprēķiniem un izdarītajiem pieņēmumiem;</w:t>
      </w:r>
    </w:p>
    <w:p w14:paraId="23C6C0B9" w14:textId="53C6A11C" w:rsidR="00F411D3" w:rsidRPr="00FB482C" w:rsidRDefault="00B5572D" w:rsidP="00147D7B">
      <w:pPr>
        <w:pStyle w:val="naislab"/>
        <w:spacing w:before="0" w:after="0"/>
        <w:ind w:firstLine="720"/>
        <w:jc w:val="both"/>
        <w:rPr>
          <w:rStyle w:val="bold"/>
          <w:bCs/>
          <w:sz w:val="28"/>
        </w:rPr>
      </w:pPr>
      <w:r w:rsidRPr="00FB482C">
        <w:rPr>
          <w:rStyle w:val="bold"/>
          <w:bCs/>
          <w:sz w:val="28"/>
        </w:rPr>
        <w:t>7.8</w:t>
      </w:r>
      <w:r w:rsidR="0097518E" w:rsidRPr="00FB482C">
        <w:rPr>
          <w:rStyle w:val="bold"/>
          <w:bCs/>
          <w:sz w:val="28"/>
        </w:rPr>
        <w:t>. </w:t>
      </w:r>
      <w:r w:rsidR="00147D7B" w:rsidRPr="00FB482C">
        <w:rPr>
          <w:rStyle w:val="bold"/>
          <w:bCs/>
          <w:sz w:val="28"/>
        </w:rPr>
        <w:t xml:space="preserve">informācija </w:t>
      </w:r>
      <w:r w:rsidR="007F7256" w:rsidRPr="00FB482C">
        <w:rPr>
          <w:rStyle w:val="bold"/>
          <w:bCs/>
          <w:sz w:val="28"/>
        </w:rPr>
        <w:t xml:space="preserve">par sagatavotajām emisiju kartēm un lielo stacionāro avotu radīto emisiju ziņojumu, kas izstrādāts atbilstoši </w:t>
      </w:r>
      <w:r w:rsidR="00147D7B" w:rsidRPr="00FB482C">
        <w:rPr>
          <w:sz w:val="28"/>
          <w:szCs w:val="28"/>
        </w:rPr>
        <w:t xml:space="preserve">Ministru kabineta 2018. gada </w:t>
      </w:r>
      <w:r w:rsidR="0003711A">
        <w:rPr>
          <w:sz w:val="28"/>
          <w:szCs w:val="28"/>
        </w:rPr>
        <w:t>2. oktobra</w:t>
      </w:r>
      <w:r w:rsidR="00147D7B" w:rsidRPr="00FB482C">
        <w:rPr>
          <w:sz w:val="28"/>
          <w:szCs w:val="28"/>
        </w:rPr>
        <w:t xml:space="preserve"> noteikum</w:t>
      </w:r>
      <w:r w:rsidR="007328C5">
        <w:rPr>
          <w:sz w:val="28"/>
          <w:szCs w:val="28"/>
        </w:rPr>
        <w:t>u</w:t>
      </w:r>
      <w:r w:rsidR="00147D7B" w:rsidRPr="00FB482C">
        <w:rPr>
          <w:sz w:val="28"/>
          <w:szCs w:val="28"/>
        </w:rPr>
        <w:t xml:space="preserve"> Nr. </w:t>
      </w:r>
      <w:r w:rsidR="0003711A">
        <w:rPr>
          <w:sz w:val="28"/>
          <w:szCs w:val="28"/>
        </w:rPr>
        <w:t>614</w:t>
      </w:r>
      <w:r w:rsidR="00147D7B" w:rsidRPr="00FB482C">
        <w:rPr>
          <w:sz w:val="28"/>
          <w:szCs w:val="28"/>
        </w:rPr>
        <w:t xml:space="preserve"> "</w:t>
      </w:r>
      <w:r w:rsidR="00802A98" w:rsidRPr="00802A98">
        <w:rPr>
          <w:sz w:val="28"/>
          <w:szCs w:val="28"/>
        </w:rPr>
        <w:t>Kopējo gaisu piesārņojošo vielu emisiju samazināšanas un uzskaites noteikumi</w:t>
      </w:r>
      <w:r w:rsidR="00147D7B" w:rsidRPr="00FB482C">
        <w:rPr>
          <w:sz w:val="28"/>
          <w:szCs w:val="28"/>
        </w:rPr>
        <w:t>"</w:t>
      </w:r>
      <w:r w:rsidR="00147D7B" w:rsidRPr="00FB482C">
        <w:rPr>
          <w:rStyle w:val="Hyperlink"/>
          <w:bCs/>
          <w:sz w:val="28"/>
        </w:rPr>
        <w:t xml:space="preserve"> (turpmāk – </w:t>
      </w:r>
      <w:r w:rsidR="007F7256" w:rsidRPr="00FB482C">
        <w:rPr>
          <w:rStyle w:val="bold"/>
          <w:bCs/>
          <w:sz w:val="28"/>
        </w:rPr>
        <w:t>noteikum</w:t>
      </w:r>
      <w:r w:rsidR="00147D7B" w:rsidRPr="00FB482C">
        <w:rPr>
          <w:rStyle w:val="bold"/>
          <w:bCs/>
          <w:sz w:val="28"/>
        </w:rPr>
        <w:t>i)</w:t>
      </w:r>
      <w:r w:rsidR="007F7256" w:rsidRPr="00FB482C">
        <w:rPr>
          <w:rStyle w:val="bold"/>
          <w:bCs/>
          <w:sz w:val="28"/>
        </w:rPr>
        <w:t xml:space="preserve"> 2</w:t>
      </w:r>
      <w:r w:rsidR="009B1C22" w:rsidRPr="00FB482C">
        <w:rPr>
          <w:rStyle w:val="bold"/>
          <w:bCs/>
          <w:sz w:val="28"/>
        </w:rPr>
        <w:t>9</w:t>
      </w:r>
      <w:r w:rsidR="007F7256" w:rsidRPr="00FB482C">
        <w:rPr>
          <w:rStyle w:val="bold"/>
          <w:bCs/>
          <w:sz w:val="28"/>
        </w:rPr>
        <w:t>.</w:t>
      </w:r>
      <w:r w:rsidR="00CF6B4D" w:rsidRPr="00FB482C">
        <w:rPr>
          <w:rStyle w:val="bold"/>
          <w:bCs/>
          <w:sz w:val="28"/>
        </w:rPr>
        <w:t>3</w:t>
      </w:r>
      <w:r w:rsidR="0097518E" w:rsidRPr="00FB482C">
        <w:rPr>
          <w:rStyle w:val="bold"/>
          <w:bCs/>
          <w:sz w:val="28"/>
        </w:rPr>
        <w:t>.</w:t>
      </w:r>
      <w:r w:rsidR="00802A98">
        <w:rPr>
          <w:rStyle w:val="bold"/>
          <w:bCs/>
          <w:sz w:val="28"/>
        </w:rPr>
        <w:t> </w:t>
      </w:r>
      <w:r w:rsidR="007F7256" w:rsidRPr="00FB482C">
        <w:rPr>
          <w:rStyle w:val="bold"/>
          <w:bCs/>
          <w:sz w:val="28"/>
        </w:rPr>
        <w:t>un 2</w:t>
      </w:r>
      <w:r w:rsidR="009B1C22" w:rsidRPr="00FB482C">
        <w:rPr>
          <w:rStyle w:val="bold"/>
          <w:bCs/>
          <w:sz w:val="28"/>
        </w:rPr>
        <w:t>9</w:t>
      </w:r>
      <w:r w:rsidR="007F7256" w:rsidRPr="00FB482C">
        <w:rPr>
          <w:rStyle w:val="bold"/>
          <w:bCs/>
          <w:sz w:val="28"/>
        </w:rPr>
        <w:t>.</w:t>
      </w:r>
      <w:r w:rsidR="00CF6B4D" w:rsidRPr="00FB482C">
        <w:rPr>
          <w:rStyle w:val="bold"/>
          <w:bCs/>
          <w:sz w:val="28"/>
        </w:rPr>
        <w:t>4</w:t>
      </w:r>
      <w:r w:rsidR="0097518E" w:rsidRPr="00FB482C">
        <w:rPr>
          <w:rStyle w:val="bold"/>
          <w:bCs/>
          <w:sz w:val="28"/>
        </w:rPr>
        <w:t>. </w:t>
      </w:r>
      <w:r w:rsidR="008B6940" w:rsidRPr="00FB482C">
        <w:rPr>
          <w:rStyle w:val="bold"/>
          <w:bCs/>
          <w:sz w:val="28"/>
        </w:rPr>
        <w:t>apakš</w:t>
      </w:r>
      <w:r w:rsidR="007F7256" w:rsidRPr="00FB482C">
        <w:rPr>
          <w:rStyle w:val="bold"/>
          <w:bCs/>
          <w:sz w:val="28"/>
        </w:rPr>
        <w:t>punktam;</w:t>
      </w:r>
    </w:p>
    <w:p w14:paraId="23C6C0BA" w14:textId="6E31EE0B" w:rsidR="00D50AEA"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7.9</w:t>
      </w:r>
      <w:r w:rsidR="0097518E" w:rsidRPr="00FB482C">
        <w:rPr>
          <w:rStyle w:val="bold"/>
          <w:bCs/>
          <w:sz w:val="28"/>
        </w:rPr>
        <w:t>. </w:t>
      </w:r>
      <w:r w:rsidRPr="00FB482C">
        <w:rPr>
          <w:rStyle w:val="bold"/>
          <w:bCs/>
          <w:sz w:val="28"/>
        </w:rPr>
        <w:t>ja nepieciešams, informācij</w:t>
      </w:r>
      <w:r w:rsidR="00147D7B" w:rsidRPr="00FB482C">
        <w:rPr>
          <w:rStyle w:val="bold"/>
          <w:bCs/>
          <w:sz w:val="28"/>
        </w:rPr>
        <w:t>a</w:t>
      </w:r>
      <w:r w:rsidRPr="00FB482C">
        <w:rPr>
          <w:rStyle w:val="bold"/>
          <w:bCs/>
          <w:sz w:val="28"/>
        </w:rPr>
        <w:t xml:space="preserve"> par noteikumu </w:t>
      </w:r>
      <w:r w:rsidR="004F4902" w:rsidRPr="00FB482C">
        <w:rPr>
          <w:rStyle w:val="bold"/>
          <w:bCs/>
          <w:sz w:val="28"/>
        </w:rPr>
        <w:t>17</w:t>
      </w:r>
      <w:r w:rsidRPr="00FB482C">
        <w:rPr>
          <w:rStyle w:val="bold"/>
          <w:bCs/>
          <w:sz w:val="28"/>
        </w:rPr>
        <w:t xml:space="preserve">., </w:t>
      </w:r>
      <w:r w:rsidR="004F4902" w:rsidRPr="00FB482C">
        <w:rPr>
          <w:rStyle w:val="bold"/>
          <w:bCs/>
          <w:sz w:val="28"/>
        </w:rPr>
        <w:t>18</w:t>
      </w:r>
      <w:r w:rsidRPr="00FB482C">
        <w:rPr>
          <w:rStyle w:val="bold"/>
          <w:bCs/>
          <w:sz w:val="28"/>
        </w:rPr>
        <w:t xml:space="preserve">., </w:t>
      </w:r>
      <w:r w:rsidR="004F4902" w:rsidRPr="00FB482C">
        <w:rPr>
          <w:rStyle w:val="bold"/>
          <w:bCs/>
          <w:sz w:val="28"/>
        </w:rPr>
        <w:t>19</w:t>
      </w:r>
      <w:r w:rsidR="0097518E" w:rsidRPr="00FB482C">
        <w:rPr>
          <w:rStyle w:val="bold"/>
          <w:bCs/>
          <w:sz w:val="28"/>
        </w:rPr>
        <w:t>. </w:t>
      </w:r>
      <w:r w:rsidRPr="00FB482C">
        <w:rPr>
          <w:rStyle w:val="bold"/>
          <w:bCs/>
          <w:sz w:val="28"/>
        </w:rPr>
        <w:t xml:space="preserve">vai </w:t>
      </w:r>
      <w:r w:rsidR="004F4902" w:rsidRPr="00FB482C">
        <w:rPr>
          <w:rStyle w:val="bold"/>
          <w:bCs/>
          <w:sz w:val="28"/>
        </w:rPr>
        <w:t>20</w:t>
      </w:r>
      <w:r w:rsidR="0097518E" w:rsidRPr="00FB482C">
        <w:rPr>
          <w:rStyle w:val="bold"/>
          <w:bCs/>
          <w:sz w:val="28"/>
        </w:rPr>
        <w:t>. </w:t>
      </w:r>
      <w:r w:rsidRPr="00FB482C">
        <w:rPr>
          <w:rStyle w:val="bold"/>
          <w:bCs/>
          <w:sz w:val="28"/>
        </w:rPr>
        <w:t>punktā minēto atkāpju izmantošanu;</w:t>
      </w:r>
    </w:p>
    <w:p w14:paraId="23C6C0BB" w14:textId="14EB4CD7" w:rsidR="00BE0AE7" w:rsidRPr="00FB482C" w:rsidRDefault="00B5572D" w:rsidP="0097518E">
      <w:pPr>
        <w:pStyle w:val="ti-grseq-1"/>
        <w:shd w:val="clear" w:color="auto" w:fill="FFFFFF"/>
        <w:spacing w:before="0" w:beforeAutospacing="0" w:after="0" w:afterAutospacing="0"/>
        <w:ind w:firstLine="720"/>
        <w:jc w:val="both"/>
        <w:rPr>
          <w:rStyle w:val="bold"/>
          <w:bCs/>
          <w:sz w:val="28"/>
        </w:rPr>
      </w:pPr>
      <w:r w:rsidRPr="00FB482C">
        <w:rPr>
          <w:rStyle w:val="bold"/>
          <w:bCs/>
          <w:sz w:val="28"/>
        </w:rPr>
        <w:t>7.10</w:t>
      </w:r>
      <w:r w:rsidR="0097518E" w:rsidRPr="00FB482C">
        <w:rPr>
          <w:rStyle w:val="bold"/>
          <w:bCs/>
          <w:sz w:val="28"/>
        </w:rPr>
        <w:t>. </w:t>
      </w:r>
      <w:r w:rsidR="00D50AEA" w:rsidRPr="00FB482C">
        <w:rPr>
          <w:rStyle w:val="bold"/>
          <w:bCs/>
          <w:sz w:val="28"/>
        </w:rPr>
        <w:t xml:space="preserve">ja atbilstoši noteikumu </w:t>
      </w:r>
      <w:r w:rsidR="00CF6B4D" w:rsidRPr="00FB482C">
        <w:rPr>
          <w:rStyle w:val="bold"/>
          <w:bCs/>
          <w:sz w:val="28"/>
        </w:rPr>
        <w:t>1</w:t>
      </w:r>
      <w:r w:rsidR="009B1C22" w:rsidRPr="00FB482C">
        <w:rPr>
          <w:rStyle w:val="bold"/>
          <w:bCs/>
          <w:sz w:val="28"/>
        </w:rPr>
        <w:t>7</w:t>
      </w:r>
      <w:r w:rsidR="0097518E" w:rsidRPr="00FB482C">
        <w:rPr>
          <w:rStyle w:val="bold"/>
          <w:bCs/>
          <w:sz w:val="28"/>
        </w:rPr>
        <w:t>. </w:t>
      </w:r>
      <w:r w:rsidR="00D50AEA" w:rsidRPr="00FB482C">
        <w:rPr>
          <w:rStyle w:val="bold"/>
          <w:bCs/>
          <w:sz w:val="28"/>
        </w:rPr>
        <w:t>punktam kādai no gaisu piesārņojošajām vielām netiek nodrošināta atbilstība 2025</w:t>
      </w:r>
      <w:r w:rsidR="0097518E" w:rsidRPr="00FB482C">
        <w:rPr>
          <w:rStyle w:val="bold"/>
          <w:bCs/>
          <w:sz w:val="28"/>
        </w:rPr>
        <w:t>. </w:t>
      </w:r>
      <w:r w:rsidR="00D50AEA" w:rsidRPr="00FB482C">
        <w:rPr>
          <w:rStyle w:val="bold"/>
          <w:bCs/>
          <w:sz w:val="28"/>
        </w:rPr>
        <w:t>gada starpmērķim,</w:t>
      </w:r>
      <w:r w:rsidR="00147D7B" w:rsidRPr="00FB482C">
        <w:rPr>
          <w:rStyle w:val="bold"/>
          <w:bCs/>
          <w:sz w:val="28"/>
        </w:rPr>
        <w:t> –</w:t>
      </w:r>
      <w:r w:rsidR="00EE2824" w:rsidRPr="00FB482C">
        <w:rPr>
          <w:rStyle w:val="bold"/>
          <w:bCs/>
          <w:sz w:val="28"/>
        </w:rPr>
        <w:t xml:space="preserve"> </w:t>
      </w:r>
      <w:r w:rsidR="00D50AEA" w:rsidRPr="00FB482C">
        <w:rPr>
          <w:rStyle w:val="bold"/>
          <w:bCs/>
          <w:sz w:val="28"/>
        </w:rPr>
        <w:t>informācij</w:t>
      </w:r>
      <w:r w:rsidR="00147D7B" w:rsidRPr="00FB482C">
        <w:rPr>
          <w:rStyle w:val="bold"/>
          <w:bCs/>
          <w:sz w:val="28"/>
        </w:rPr>
        <w:t>a</w:t>
      </w:r>
      <w:r w:rsidR="00D50AEA" w:rsidRPr="00FB482C">
        <w:rPr>
          <w:rStyle w:val="bold"/>
          <w:bCs/>
          <w:sz w:val="28"/>
        </w:rPr>
        <w:t xml:space="preserve"> par iemesliem, kāpēc nav iespējams nodrošināt atbilstību 2025</w:t>
      </w:r>
      <w:r w:rsidR="0097518E" w:rsidRPr="00FB482C">
        <w:rPr>
          <w:rStyle w:val="bold"/>
          <w:bCs/>
          <w:sz w:val="28"/>
        </w:rPr>
        <w:t>. </w:t>
      </w:r>
      <w:r w:rsidR="00D50AEA" w:rsidRPr="00FB482C">
        <w:rPr>
          <w:rStyle w:val="bold"/>
          <w:bCs/>
          <w:sz w:val="28"/>
        </w:rPr>
        <w:t xml:space="preserve">gadam noteiktajam starpmērķim, kā arī </w:t>
      </w:r>
      <w:r w:rsidR="00EE2824" w:rsidRPr="00FB482C">
        <w:rPr>
          <w:rStyle w:val="bold"/>
          <w:bCs/>
          <w:sz w:val="28"/>
        </w:rPr>
        <w:t xml:space="preserve">par </w:t>
      </w:r>
      <w:r w:rsidR="00D50AEA" w:rsidRPr="00FB482C">
        <w:rPr>
          <w:rStyle w:val="bold"/>
          <w:bCs/>
          <w:sz w:val="28"/>
        </w:rPr>
        <w:t>pasākumiem, ar kuriem tuvinās emisiju samazināšanas mērķiem</w:t>
      </w:r>
      <w:r w:rsidR="00740871" w:rsidRPr="00FB482C">
        <w:rPr>
          <w:rStyle w:val="bold"/>
          <w:bCs/>
          <w:sz w:val="28"/>
        </w:rPr>
        <w:t>.</w:t>
      </w:r>
    </w:p>
    <w:p w14:paraId="34268335" w14:textId="77777777" w:rsidR="00FB0C58" w:rsidRPr="00FB482C" w:rsidRDefault="00FB0C58" w:rsidP="0097518E">
      <w:pPr>
        <w:pStyle w:val="ti-grseq-1"/>
        <w:shd w:val="clear" w:color="auto" w:fill="FFFFFF"/>
        <w:spacing w:before="0" w:beforeAutospacing="0" w:after="0" w:afterAutospacing="0"/>
        <w:ind w:firstLine="720"/>
        <w:jc w:val="both"/>
        <w:rPr>
          <w:rStyle w:val="bold"/>
          <w:bCs/>
          <w:sz w:val="32"/>
          <w:szCs w:val="28"/>
        </w:rPr>
      </w:pPr>
    </w:p>
    <w:p w14:paraId="23C6C0BC" w14:textId="0EB124B9" w:rsidR="003B4CA7" w:rsidRPr="00FB482C" w:rsidRDefault="00FB0C58" w:rsidP="0097518E">
      <w:pPr>
        <w:pStyle w:val="ti-grseq-1"/>
        <w:shd w:val="clear" w:color="auto" w:fill="FFFFFF"/>
        <w:spacing w:before="0" w:beforeAutospacing="0" w:after="0" w:afterAutospacing="0"/>
        <w:jc w:val="center"/>
        <w:rPr>
          <w:rStyle w:val="bold"/>
          <w:b/>
          <w:bCs/>
          <w:sz w:val="28"/>
          <w:szCs w:val="28"/>
        </w:rPr>
      </w:pPr>
      <w:r w:rsidRPr="00FB482C">
        <w:rPr>
          <w:rStyle w:val="bold"/>
          <w:b/>
          <w:bCs/>
          <w:sz w:val="28"/>
          <w:szCs w:val="28"/>
        </w:rPr>
        <w:t>III</w:t>
      </w:r>
      <w:r w:rsidR="0097518E" w:rsidRPr="00FB482C">
        <w:rPr>
          <w:rStyle w:val="bold"/>
          <w:b/>
          <w:bCs/>
          <w:sz w:val="28"/>
          <w:szCs w:val="28"/>
        </w:rPr>
        <w:t>. </w:t>
      </w:r>
      <w:r w:rsidR="00B5572D" w:rsidRPr="00FB482C">
        <w:rPr>
          <w:rStyle w:val="bold"/>
          <w:b/>
          <w:bCs/>
          <w:sz w:val="28"/>
          <w:szCs w:val="28"/>
        </w:rPr>
        <w:t>Emisiju prognozes</w:t>
      </w:r>
    </w:p>
    <w:p w14:paraId="26908741" w14:textId="77777777" w:rsidR="00FB0C58" w:rsidRPr="00FB482C" w:rsidRDefault="00FB0C58" w:rsidP="0097518E">
      <w:pPr>
        <w:pStyle w:val="ti-grseq-1"/>
        <w:shd w:val="clear" w:color="auto" w:fill="FFFFFF"/>
        <w:spacing w:before="0" w:beforeAutospacing="0" w:after="0" w:afterAutospacing="0"/>
        <w:ind w:firstLine="720"/>
        <w:jc w:val="both"/>
        <w:rPr>
          <w:rStyle w:val="bold"/>
          <w:sz w:val="28"/>
        </w:rPr>
      </w:pPr>
    </w:p>
    <w:p w14:paraId="23C6C0BD" w14:textId="49CC685E" w:rsidR="003B4CA7" w:rsidRPr="00FB482C" w:rsidRDefault="00B5572D" w:rsidP="0097518E">
      <w:pPr>
        <w:pStyle w:val="ti-grseq-1"/>
        <w:shd w:val="clear" w:color="auto" w:fill="FFFFFF"/>
        <w:spacing w:before="0" w:beforeAutospacing="0" w:after="0" w:afterAutospacing="0"/>
        <w:ind w:firstLine="720"/>
        <w:jc w:val="both"/>
        <w:rPr>
          <w:rStyle w:val="bold"/>
          <w:sz w:val="28"/>
        </w:rPr>
      </w:pPr>
      <w:r w:rsidRPr="00FB482C">
        <w:rPr>
          <w:rStyle w:val="bold"/>
          <w:sz w:val="28"/>
        </w:rPr>
        <w:t>8</w:t>
      </w:r>
      <w:r w:rsidR="0097518E" w:rsidRPr="00FB482C">
        <w:rPr>
          <w:rStyle w:val="bold"/>
          <w:sz w:val="28"/>
        </w:rPr>
        <w:t>. </w:t>
      </w:r>
      <w:r w:rsidRPr="00FB482C">
        <w:rPr>
          <w:rStyle w:val="bold"/>
          <w:sz w:val="28"/>
        </w:rPr>
        <w:t>Emisiju prognozēm jābūt pārredzamām, konsekventām, salīdzināmām, pilnīgām un precīzām, un tām jāietver vismaz šād</w:t>
      </w:r>
      <w:r w:rsidR="00EE2824" w:rsidRPr="00FB482C">
        <w:rPr>
          <w:rStyle w:val="bold"/>
          <w:sz w:val="28"/>
        </w:rPr>
        <w:t>i</w:t>
      </w:r>
      <w:r w:rsidRPr="00FB482C">
        <w:rPr>
          <w:rStyle w:val="bold"/>
          <w:sz w:val="28"/>
        </w:rPr>
        <w:t xml:space="preserve"> element</w:t>
      </w:r>
      <w:r w:rsidR="00EE2824" w:rsidRPr="00FB482C">
        <w:rPr>
          <w:rStyle w:val="bold"/>
          <w:sz w:val="28"/>
        </w:rPr>
        <w:t>i</w:t>
      </w:r>
      <w:r w:rsidRPr="00FB482C">
        <w:rPr>
          <w:rStyle w:val="bold"/>
          <w:sz w:val="28"/>
        </w:rPr>
        <w:t>:</w:t>
      </w:r>
    </w:p>
    <w:p w14:paraId="23C6C0BE" w14:textId="7346A605" w:rsidR="003B4CA7" w:rsidRPr="00FB482C" w:rsidRDefault="00B5572D" w:rsidP="0097518E">
      <w:pPr>
        <w:pStyle w:val="ti-grseq-1"/>
        <w:shd w:val="clear" w:color="auto" w:fill="FFFFFF"/>
        <w:spacing w:before="0" w:beforeAutospacing="0" w:after="0" w:afterAutospacing="0"/>
        <w:ind w:firstLine="720"/>
        <w:jc w:val="both"/>
        <w:rPr>
          <w:rStyle w:val="bold"/>
          <w:sz w:val="28"/>
        </w:rPr>
      </w:pPr>
      <w:r w:rsidRPr="00FB482C">
        <w:rPr>
          <w:rStyle w:val="bold"/>
          <w:sz w:val="28"/>
        </w:rPr>
        <w:t>8.1</w:t>
      </w:r>
      <w:r w:rsidR="0097518E" w:rsidRPr="00FB482C">
        <w:rPr>
          <w:rStyle w:val="bold"/>
          <w:sz w:val="28"/>
        </w:rPr>
        <w:t>. </w:t>
      </w:r>
      <w:r w:rsidRPr="00FB482C">
        <w:rPr>
          <w:rStyle w:val="bold"/>
          <w:sz w:val="28"/>
        </w:rPr>
        <w:t>skaidras norādes par pieņemto un plānoto politiku un pasākumiem, kas ietverti prognozēs;</w:t>
      </w:r>
    </w:p>
    <w:p w14:paraId="23C6C0BF" w14:textId="7DA6F22A" w:rsidR="003B4CA7" w:rsidRPr="00FB482C" w:rsidRDefault="00B5572D" w:rsidP="0097518E">
      <w:pPr>
        <w:pStyle w:val="ti-grseq-1"/>
        <w:shd w:val="clear" w:color="auto" w:fill="FFFFFF"/>
        <w:spacing w:before="0" w:beforeAutospacing="0" w:after="0" w:afterAutospacing="0"/>
        <w:ind w:firstLine="720"/>
        <w:jc w:val="both"/>
        <w:rPr>
          <w:rStyle w:val="bold"/>
          <w:sz w:val="28"/>
        </w:rPr>
      </w:pPr>
      <w:r w:rsidRPr="00FB482C">
        <w:rPr>
          <w:rStyle w:val="bold"/>
          <w:sz w:val="28"/>
        </w:rPr>
        <w:t>8.2</w:t>
      </w:r>
      <w:r w:rsidR="0097518E" w:rsidRPr="00FB482C">
        <w:rPr>
          <w:rStyle w:val="bold"/>
          <w:sz w:val="28"/>
        </w:rPr>
        <w:t>. </w:t>
      </w:r>
      <w:r w:rsidRPr="00FB482C">
        <w:rPr>
          <w:rStyle w:val="bold"/>
          <w:sz w:val="28"/>
        </w:rPr>
        <w:t>attiecīgā gadījumā – saistībā ar prognozēm veiktas jutīguma analīzes rezultāti;</w:t>
      </w:r>
    </w:p>
    <w:p w14:paraId="23C6C0C0" w14:textId="44E402E8" w:rsidR="003B4CA7" w:rsidRPr="00FB482C" w:rsidRDefault="00B5572D" w:rsidP="0097518E">
      <w:pPr>
        <w:pStyle w:val="ti-grseq-1"/>
        <w:shd w:val="clear" w:color="auto" w:fill="FFFFFF"/>
        <w:spacing w:before="0" w:beforeAutospacing="0" w:after="0" w:afterAutospacing="0"/>
        <w:ind w:firstLine="720"/>
        <w:jc w:val="both"/>
        <w:rPr>
          <w:rStyle w:val="bold"/>
          <w:sz w:val="28"/>
        </w:rPr>
      </w:pPr>
      <w:r w:rsidRPr="00FB482C">
        <w:rPr>
          <w:rStyle w:val="bold"/>
          <w:sz w:val="28"/>
        </w:rPr>
        <w:t>8.3</w:t>
      </w:r>
      <w:r w:rsidR="0097518E" w:rsidRPr="00FB482C">
        <w:rPr>
          <w:rStyle w:val="bold"/>
          <w:sz w:val="28"/>
        </w:rPr>
        <w:t>. </w:t>
      </w:r>
      <w:r w:rsidRPr="00FB482C">
        <w:rPr>
          <w:rStyle w:val="bold"/>
          <w:sz w:val="28"/>
        </w:rPr>
        <w:t>metožu, modeļu, pamata pieņēmumu un galveno ievadparametru un izvadparametru apraksts.</w:t>
      </w:r>
    </w:p>
    <w:p w14:paraId="23C6C0C1" w14:textId="77777777" w:rsidR="00F411D3" w:rsidRPr="00FB482C" w:rsidRDefault="00F411D3" w:rsidP="0097518E">
      <w:pPr>
        <w:pStyle w:val="ti-grseq-1"/>
        <w:shd w:val="clear" w:color="auto" w:fill="FFFFFF"/>
        <w:spacing w:before="0" w:beforeAutospacing="0" w:after="0" w:afterAutospacing="0"/>
        <w:ind w:firstLine="720"/>
        <w:jc w:val="both"/>
        <w:rPr>
          <w:rStyle w:val="bold"/>
          <w:sz w:val="28"/>
        </w:rPr>
      </w:pPr>
    </w:p>
    <w:p w14:paraId="23C6C0C2" w14:textId="545ACE50" w:rsidR="003B4CA7" w:rsidRPr="00FB482C" w:rsidRDefault="00B5572D" w:rsidP="0097518E">
      <w:pPr>
        <w:pStyle w:val="ti-grseq-1"/>
        <w:shd w:val="clear" w:color="auto" w:fill="FFFFFF"/>
        <w:spacing w:before="0" w:beforeAutospacing="0" w:after="0" w:afterAutospacing="0"/>
        <w:ind w:firstLine="720"/>
        <w:jc w:val="both"/>
        <w:rPr>
          <w:rStyle w:val="bold"/>
          <w:spacing w:val="-2"/>
          <w:sz w:val="28"/>
        </w:rPr>
      </w:pPr>
      <w:r w:rsidRPr="00FB482C">
        <w:rPr>
          <w:rStyle w:val="bold"/>
          <w:spacing w:val="-2"/>
          <w:sz w:val="28"/>
        </w:rPr>
        <w:t>9</w:t>
      </w:r>
      <w:r w:rsidR="0097518E" w:rsidRPr="00FB482C">
        <w:rPr>
          <w:rStyle w:val="bold"/>
          <w:spacing w:val="-2"/>
          <w:sz w:val="28"/>
        </w:rPr>
        <w:t>. </w:t>
      </w:r>
      <w:r w:rsidRPr="00FB482C">
        <w:rPr>
          <w:rStyle w:val="bold"/>
          <w:spacing w:val="-2"/>
          <w:sz w:val="28"/>
        </w:rPr>
        <w:t>Emisiju prognozes aprēķina un apkopo pa attiecīgajām avotu nozarēm</w:t>
      </w:r>
      <w:r w:rsidR="0097518E" w:rsidRPr="00FB482C">
        <w:rPr>
          <w:rStyle w:val="bold"/>
          <w:spacing w:val="-2"/>
          <w:sz w:val="28"/>
        </w:rPr>
        <w:t>.</w:t>
      </w:r>
      <w:r w:rsidR="00B87898" w:rsidRPr="00FB482C">
        <w:rPr>
          <w:rStyle w:val="bold"/>
          <w:spacing w:val="-2"/>
          <w:sz w:val="28"/>
        </w:rPr>
        <w:t xml:space="preserve"> </w:t>
      </w:r>
      <w:r w:rsidRPr="00FB482C">
        <w:rPr>
          <w:rStyle w:val="bold"/>
          <w:spacing w:val="-2"/>
          <w:sz w:val="28"/>
        </w:rPr>
        <w:t xml:space="preserve">Par katru piesārņojošo vielu saskaņā ar emisiju </w:t>
      </w:r>
      <w:r w:rsidR="000E7EF4" w:rsidRPr="00FB482C">
        <w:rPr>
          <w:rStyle w:val="bold"/>
          <w:spacing w:val="-2"/>
          <w:sz w:val="28"/>
        </w:rPr>
        <w:t xml:space="preserve">ziņošanas un </w:t>
      </w:r>
      <w:r w:rsidRPr="00FB482C">
        <w:rPr>
          <w:rStyle w:val="bold"/>
          <w:spacing w:val="-2"/>
          <w:sz w:val="28"/>
        </w:rPr>
        <w:t>aprēķinu vadlīnijās sniegt</w:t>
      </w:r>
      <w:r w:rsidR="00EE2824" w:rsidRPr="00FB482C">
        <w:rPr>
          <w:rStyle w:val="bold"/>
          <w:spacing w:val="-2"/>
          <w:sz w:val="28"/>
        </w:rPr>
        <w:t>aj</w:t>
      </w:r>
      <w:r w:rsidRPr="00FB482C">
        <w:rPr>
          <w:rStyle w:val="bold"/>
          <w:spacing w:val="-2"/>
          <w:sz w:val="28"/>
        </w:rPr>
        <w:t xml:space="preserve">iem norādījumiem norāda prognozes </w:t>
      </w:r>
      <w:r w:rsidR="0097518E" w:rsidRPr="00FB482C">
        <w:rPr>
          <w:rStyle w:val="bold"/>
          <w:spacing w:val="-2"/>
          <w:sz w:val="28"/>
        </w:rPr>
        <w:t>"</w:t>
      </w:r>
      <w:r w:rsidRPr="00FB482C">
        <w:rPr>
          <w:rStyle w:val="bold"/>
          <w:spacing w:val="-2"/>
          <w:sz w:val="28"/>
        </w:rPr>
        <w:t>ar pasākumiem</w:t>
      </w:r>
      <w:r w:rsidR="0097518E" w:rsidRPr="00FB482C">
        <w:rPr>
          <w:rStyle w:val="bold"/>
          <w:spacing w:val="-2"/>
          <w:sz w:val="28"/>
        </w:rPr>
        <w:t>"</w:t>
      </w:r>
      <w:r w:rsidRPr="00FB482C">
        <w:rPr>
          <w:rStyle w:val="bold"/>
          <w:spacing w:val="-2"/>
          <w:sz w:val="28"/>
        </w:rPr>
        <w:t xml:space="preserve"> (pieņemtie </w:t>
      </w:r>
      <w:r w:rsidRPr="00FB482C">
        <w:rPr>
          <w:rStyle w:val="bold"/>
          <w:spacing w:val="-2"/>
          <w:sz w:val="28"/>
        </w:rPr>
        <w:lastRenderedPageBreak/>
        <w:t xml:space="preserve">pasākumi) un – attiecīgā gadījumā – prognozes </w:t>
      </w:r>
      <w:r w:rsidR="0097518E" w:rsidRPr="00FB482C">
        <w:rPr>
          <w:rStyle w:val="bold"/>
          <w:spacing w:val="-2"/>
          <w:sz w:val="28"/>
        </w:rPr>
        <w:t>"</w:t>
      </w:r>
      <w:r w:rsidRPr="00FB482C">
        <w:rPr>
          <w:rStyle w:val="bold"/>
          <w:spacing w:val="-2"/>
          <w:sz w:val="28"/>
        </w:rPr>
        <w:t>ar papildu pasākumiem</w:t>
      </w:r>
      <w:r w:rsidR="0097518E" w:rsidRPr="00FB482C">
        <w:rPr>
          <w:rStyle w:val="bold"/>
          <w:spacing w:val="-2"/>
          <w:sz w:val="28"/>
        </w:rPr>
        <w:t>"</w:t>
      </w:r>
      <w:r w:rsidRPr="00FB482C">
        <w:rPr>
          <w:rStyle w:val="bold"/>
          <w:spacing w:val="-2"/>
          <w:sz w:val="28"/>
        </w:rPr>
        <w:t xml:space="preserve"> (plānotie pasākumi).</w:t>
      </w:r>
    </w:p>
    <w:p w14:paraId="424445BF" w14:textId="77777777" w:rsidR="0097518E" w:rsidRPr="00FB482C" w:rsidRDefault="0097518E" w:rsidP="0097518E">
      <w:pPr>
        <w:pStyle w:val="ti-grseq-1"/>
        <w:shd w:val="clear" w:color="auto" w:fill="FFFFFF"/>
        <w:spacing w:before="0" w:beforeAutospacing="0" w:after="0" w:afterAutospacing="0"/>
        <w:ind w:firstLine="720"/>
        <w:jc w:val="both"/>
        <w:rPr>
          <w:rStyle w:val="bold"/>
          <w:sz w:val="28"/>
        </w:rPr>
      </w:pPr>
    </w:p>
    <w:p w14:paraId="23C6C0C4" w14:textId="4F2992B8" w:rsidR="003B4CA7" w:rsidRPr="00FB482C" w:rsidRDefault="00B5572D" w:rsidP="0097518E">
      <w:pPr>
        <w:pStyle w:val="ti-grseq-1"/>
        <w:shd w:val="clear" w:color="auto" w:fill="FFFFFF"/>
        <w:spacing w:before="0" w:beforeAutospacing="0" w:after="0" w:afterAutospacing="0"/>
        <w:ind w:firstLine="720"/>
        <w:jc w:val="both"/>
        <w:rPr>
          <w:rStyle w:val="bold"/>
          <w:sz w:val="28"/>
        </w:rPr>
      </w:pPr>
      <w:r w:rsidRPr="00FB482C">
        <w:rPr>
          <w:rStyle w:val="bold"/>
          <w:sz w:val="28"/>
        </w:rPr>
        <w:t>10</w:t>
      </w:r>
      <w:r w:rsidR="0097518E" w:rsidRPr="00FB482C">
        <w:rPr>
          <w:rStyle w:val="bold"/>
          <w:sz w:val="28"/>
        </w:rPr>
        <w:t>. </w:t>
      </w:r>
      <w:r w:rsidRPr="00FB482C">
        <w:rPr>
          <w:rStyle w:val="bold"/>
          <w:sz w:val="28"/>
        </w:rPr>
        <w:t>Emisiju prognozēs izmantotajiem pieņēmumiem jāsaskan ar tiem pieņēmumiem, kas izdarīti</w:t>
      </w:r>
      <w:r w:rsidR="008B7282" w:rsidRPr="00FB482C">
        <w:rPr>
          <w:rStyle w:val="bold"/>
          <w:sz w:val="28"/>
        </w:rPr>
        <w:t>,</w:t>
      </w:r>
      <w:r w:rsidRPr="00FB482C">
        <w:rPr>
          <w:rStyle w:val="bold"/>
          <w:sz w:val="28"/>
        </w:rPr>
        <w:t xml:space="preserve"> sagatavojot ikgadējo siltumnīcefekta gāzu emisiju pārskatu un siltumnīcefekta gāzu emisiju prognozes atbilstoši normatīvajiem aktiem par siltumnīcefekta gāzu inventarizācijas un prognožu sagatavošanas nacionālās sistēmas izveidošanu un uzturēšanu.</w:t>
      </w:r>
    </w:p>
    <w:p w14:paraId="23C6C0C5" w14:textId="77777777" w:rsidR="003B4CA7" w:rsidRPr="00FB482C" w:rsidRDefault="003B4CA7" w:rsidP="0097518E">
      <w:pPr>
        <w:pStyle w:val="ti-grseq-1"/>
        <w:shd w:val="clear" w:color="auto" w:fill="FFFFFF"/>
        <w:spacing w:before="0" w:beforeAutospacing="0" w:after="0" w:afterAutospacing="0"/>
        <w:ind w:firstLine="720"/>
        <w:jc w:val="both"/>
        <w:rPr>
          <w:rStyle w:val="bold"/>
          <w:sz w:val="28"/>
        </w:rPr>
      </w:pPr>
    </w:p>
    <w:p w14:paraId="23C6C0C6" w14:textId="0B711644" w:rsidR="003B4CA7" w:rsidRPr="00FB482C" w:rsidRDefault="00FB0C58" w:rsidP="0097518E">
      <w:pPr>
        <w:pStyle w:val="ti-grseq-1"/>
        <w:shd w:val="clear" w:color="auto" w:fill="FFFFFF"/>
        <w:spacing w:before="0" w:beforeAutospacing="0" w:after="0" w:afterAutospacing="0"/>
        <w:jc w:val="center"/>
        <w:rPr>
          <w:b/>
          <w:sz w:val="28"/>
          <w:szCs w:val="28"/>
        </w:rPr>
      </w:pPr>
      <w:r w:rsidRPr="00FB482C">
        <w:rPr>
          <w:b/>
          <w:sz w:val="28"/>
          <w:szCs w:val="28"/>
        </w:rPr>
        <w:t>IV</w:t>
      </w:r>
      <w:r w:rsidR="0097518E" w:rsidRPr="00FB482C">
        <w:rPr>
          <w:b/>
          <w:sz w:val="28"/>
          <w:szCs w:val="28"/>
        </w:rPr>
        <w:t>. </w:t>
      </w:r>
      <w:r w:rsidR="00B5572D" w:rsidRPr="00FB482C">
        <w:rPr>
          <w:b/>
          <w:sz w:val="28"/>
          <w:szCs w:val="28"/>
        </w:rPr>
        <w:t xml:space="preserve">Koriģētie emisiju ziņojumi, kas tiek sagatavoti </w:t>
      </w:r>
      <w:r w:rsidR="0097518E" w:rsidRPr="00FB482C">
        <w:rPr>
          <w:b/>
          <w:sz w:val="28"/>
          <w:szCs w:val="28"/>
        </w:rPr>
        <w:br/>
      </w:r>
      <w:r w:rsidR="00B5572D" w:rsidRPr="00FB482C">
        <w:rPr>
          <w:b/>
          <w:sz w:val="28"/>
          <w:szCs w:val="28"/>
        </w:rPr>
        <w:t xml:space="preserve">atbilstoši noteikumu </w:t>
      </w:r>
      <w:r w:rsidR="004F4902" w:rsidRPr="00FB482C">
        <w:rPr>
          <w:b/>
          <w:sz w:val="28"/>
          <w:szCs w:val="28"/>
        </w:rPr>
        <w:t>1</w:t>
      </w:r>
      <w:r w:rsidR="00C755F7" w:rsidRPr="00FB482C">
        <w:rPr>
          <w:b/>
          <w:sz w:val="28"/>
          <w:szCs w:val="28"/>
        </w:rPr>
        <w:t>8</w:t>
      </w:r>
      <w:r w:rsidR="0097518E" w:rsidRPr="00FB482C">
        <w:rPr>
          <w:b/>
          <w:sz w:val="28"/>
          <w:szCs w:val="28"/>
        </w:rPr>
        <w:t>. </w:t>
      </w:r>
      <w:r w:rsidR="00B5572D" w:rsidRPr="00FB482C">
        <w:rPr>
          <w:b/>
          <w:sz w:val="28"/>
          <w:szCs w:val="28"/>
        </w:rPr>
        <w:t>punktam</w:t>
      </w:r>
    </w:p>
    <w:p w14:paraId="70DDA1F7" w14:textId="77777777" w:rsidR="00FB0C58" w:rsidRPr="00FB482C" w:rsidRDefault="00FB0C58" w:rsidP="0097518E">
      <w:pPr>
        <w:pStyle w:val="ti-grseq-1"/>
        <w:shd w:val="clear" w:color="auto" w:fill="FFFFFF"/>
        <w:tabs>
          <w:tab w:val="left" w:pos="6521"/>
        </w:tabs>
        <w:spacing w:before="0" w:beforeAutospacing="0" w:after="0" w:afterAutospacing="0"/>
        <w:ind w:firstLine="720"/>
        <w:jc w:val="both"/>
        <w:rPr>
          <w:rStyle w:val="bold"/>
          <w:sz w:val="28"/>
        </w:rPr>
      </w:pPr>
    </w:p>
    <w:p w14:paraId="23C6C0C7" w14:textId="0C6FEFBF"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w:t>
      </w:r>
      <w:r w:rsidR="0097518E" w:rsidRPr="00FB482C">
        <w:rPr>
          <w:rStyle w:val="bold"/>
          <w:sz w:val="28"/>
        </w:rPr>
        <w:t>. </w:t>
      </w:r>
      <w:r w:rsidRPr="00FB482C">
        <w:rPr>
          <w:rStyle w:val="bold"/>
          <w:sz w:val="28"/>
        </w:rPr>
        <w:t xml:space="preserve">Eiropas Komisijai adresētajā priekšlikumā, kas sagatavots atbilstoši noteikumu </w:t>
      </w:r>
      <w:r w:rsidR="009B1C22" w:rsidRPr="00FB482C">
        <w:rPr>
          <w:rStyle w:val="bold"/>
          <w:sz w:val="28"/>
        </w:rPr>
        <w:t>18</w:t>
      </w:r>
      <w:r w:rsidR="0097518E" w:rsidRPr="00FB482C">
        <w:rPr>
          <w:rStyle w:val="bold"/>
          <w:sz w:val="28"/>
        </w:rPr>
        <w:t>. </w:t>
      </w:r>
      <w:r w:rsidRPr="00FB482C">
        <w:rPr>
          <w:rStyle w:val="bold"/>
          <w:sz w:val="28"/>
        </w:rPr>
        <w:t>punktam</w:t>
      </w:r>
      <w:r w:rsidR="009145DC" w:rsidRPr="00FB482C">
        <w:rPr>
          <w:rStyle w:val="bold"/>
          <w:sz w:val="28"/>
        </w:rPr>
        <w:t>,</w:t>
      </w:r>
      <w:r w:rsidRPr="00FB482C">
        <w:rPr>
          <w:rStyle w:val="bold"/>
          <w:sz w:val="28"/>
        </w:rPr>
        <w:t xml:space="preserve"> iekļauj vismaz šādus apstiprinošus dokumentus:</w:t>
      </w:r>
    </w:p>
    <w:p w14:paraId="23C6C0C8" w14:textId="132F9E2E"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11.1</w:t>
      </w:r>
      <w:r w:rsidR="0097518E" w:rsidRPr="00FB482C">
        <w:rPr>
          <w:rStyle w:val="bold"/>
          <w:sz w:val="28"/>
        </w:rPr>
        <w:t>. </w:t>
      </w:r>
      <w:r w:rsidRPr="00FB482C">
        <w:rPr>
          <w:rStyle w:val="bold"/>
          <w:sz w:val="28"/>
        </w:rPr>
        <w:t>pierādījums, ka attiecīgie emisiju samazināšanas mērķi ir pārsniegti;</w:t>
      </w:r>
    </w:p>
    <w:p w14:paraId="23C6C0C9" w14:textId="7518BA1B"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11.2</w:t>
      </w:r>
      <w:r w:rsidR="0097518E" w:rsidRPr="00FB482C">
        <w:rPr>
          <w:rStyle w:val="bold"/>
          <w:sz w:val="28"/>
        </w:rPr>
        <w:t>. </w:t>
      </w:r>
      <w:r w:rsidRPr="00FB482C">
        <w:rPr>
          <w:rStyle w:val="bold"/>
          <w:sz w:val="28"/>
        </w:rPr>
        <w:t>pierādījums par to, cik lielā mērā emisiju pārskata koriģēšana samazina pārsniegto daudzumu un sekmē atbilstību attiecīgajam emisiju samazināšanas mērķim;</w:t>
      </w:r>
    </w:p>
    <w:p w14:paraId="23C6C0CA" w14:textId="6D0B0A22"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11.3</w:t>
      </w:r>
      <w:r w:rsidR="0097518E" w:rsidRPr="00FB482C">
        <w:rPr>
          <w:rStyle w:val="bold"/>
          <w:sz w:val="28"/>
        </w:rPr>
        <w:t>. </w:t>
      </w:r>
      <w:r w:rsidRPr="00FB482C">
        <w:rPr>
          <w:rStyle w:val="bold"/>
          <w:sz w:val="28"/>
        </w:rPr>
        <w:t>novērtējums par to, vai un kad paredzēts sasniegt emisiju samazināšanas mērķus, pamatojoties uz nekoriģētām emisiju prognozēm;</w:t>
      </w:r>
    </w:p>
    <w:p w14:paraId="23C6C0CB" w14:textId="38715BE7"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w:t>
      </w:r>
      <w:r w:rsidR="0097518E" w:rsidRPr="00FB482C">
        <w:rPr>
          <w:rStyle w:val="bold"/>
          <w:sz w:val="28"/>
        </w:rPr>
        <w:t>. </w:t>
      </w:r>
      <w:r w:rsidRPr="00FB482C">
        <w:rPr>
          <w:rStyle w:val="bold"/>
          <w:sz w:val="28"/>
        </w:rPr>
        <w:t>pierādījums, ka emisiju datu koriģēšana atbilst vienam vai vairākiem šādiem tr</w:t>
      </w:r>
      <w:r w:rsidR="00B87898" w:rsidRPr="00FB482C">
        <w:rPr>
          <w:rStyle w:val="bold"/>
          <w:sz w:val="28"/>
        </w:rPr>
        <w:t>im</w:t>
      </w:r>
      <w:r w:rsidRPr="00FB482C">
        <w:rPr>
          <w:rStyle w:val="bold"/>
          <w:sz w:val="28"/>
        </w:rPr>
        <w:t xml:space="preserve"> nosacījumiem (</w:t>
      </w:r>
      <w:r w:rsidR="008B7282" w:rsidRPr="00FB482C">
        <w:rPr>
          <w:rStyle w:val="bold"/>
          <w:sz w:val="28"/>
        </w:rPr>
        <w:t>ja nepieciešams,</w:t>
      </w:r>
      <w:r w:rsidRPr="00FB482C">
        <w:rPr>
          <w:rStyle w:val="bold"/>
          <w:sz w:val="28"/>
        </w:rPr>
        <w:t xml:space="preserve"> var iekļaut atsauci uz attiecīgajām iepriekš veikt</w:t>
      </w:r>
      <w:r w:rsidR="00B87898" w:rsidRPr="00FB482C">
        <w:rPr>
          <w:rStyle w:val="bold"/>
          <w:sz w:val="28"/>
        </w:rPr>
        <w:t>aj</w:t>
      </w:r>
      <w:r w:rsidRPr="00FB482C">
        <w:rPr>
          <w:rStyle w:val="bold"/>
          <w:sz w:val="28"/>
        </w:rPr>
        <w:t>ām korekcijām):</w:t>
      </w:r>
    </w:p>
    <w:p w14:paraId="23C6C0CC" w14:textId="1C8009CB"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11.4.1</w:t>
      </w:r>
      <w:r w:rsidR="0097518E" w:rsidRPr="00FB482C">
        <w:rPr>
          <w:rStyle w:val="bold"/>
          <w:sz w:val="28"/>
        </w:rPr>
        <w:t>. </w:t>
      </w:r>
      <w:r w:rsidRPr="00FB482C">
        <w:rPr>
          <w:rStyle w:val="bold"/>
          <w:sz w:val="28"/>
        </w:rPr>
        <w:t>attiecībā uz jaunām emisiju avotu kategorijām:</w:t>
      </w:r>
    </w:p>
    <w:p w14:paraId="23C6C0CD" w14:textId="0ADB610B"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11.4.1.1</w:t>
      </w:r>
      <w:r w:rsidR="0097518E" w:rsidRPr="00FB482C">
        <w:rPr>
          <w:rStyle w:val="bold"/>
          <w:sz w:val="28"/>
        </w:rPr>
        <w:t>. </w:t>
      </w:r>
      <w:r w:rsidR="00B5572D" w:rsidRPr="00FB482C">
        <w:rPr>
          <w:rStyle w:val="bold"/>
          <w:sz w:val="28"/>
        </w:rPr>
        <w:t>pierādījums, ka jaunā emisiju avota kategorija ir atzīta zinātniskajā literatūrā un</w:t>
      </w:r>
      <w:r w:rsidR="00B87898" w:rsidRPr="00FB482C">
        <w:rPr>
          <w:rStyle w:val="bold"/>
          <w:sz w:val="28"/>
        </w:rPr>
        <w:t xml:space="preserve"> (</w:t>
      </w:r>
      <w:r w:rsidR="00B5572D" w:rsidRPr="00FB482C">
        <w:rPr>
          <w:rStyle w:val="bold"/>
          <w:sz w:val="28"/>
        </w:rPr>
        <w:t>vai</w:t>
      </w:r>
      <w:r w:rsidR="00B87898" w:rsidRPr="00FB482C">
        <w:rPr>
          <w:rStyle w:val="bold"/>
          <w:sz w:val="28"/>
        </w:rPr>
        <w:t>)</w:t>
      </w:r>
      <w:r w:rsidR="00B5572D" w:rsidRPr="00FB482C">
        <w:rPr>
          <w:rStyle w:val="bold"/>
          <w:sz w:val="28"/>
        </w:rPr>
        <w:t xml:space="preserve"> emisiju </w:t>
      </w:r>
      <w:r w:rsidR="000E7EF4" w:rsidRPr="00FB482C">
        <w:rPr>
          <w:rStyle w:val="bold"/>
          <w:sz w:val="28"/>
        </w:rPr>
        <w:t xml:space="preserve">ziņošanas un </w:t>
      </w:r>
      <w:r w:rsidR="00B5572D" w:rsidRPr="00FB482C">
        <w:rPr>
          <w:rStyle w:val="bold"/>
          <w:sz w:val="28"/>
        </w:rPr>
        <w:t>aprēķinu vadlīnijās;</w:t>
      </w:r>
    </w:p>
    <w:p w14:paraId="23C6C0CE" w14:textId="06F4E146"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11.4.1.2</w:t>
      </w:r>
      <w:r w:rsidR="00B87898" w:rsidRPr="00FB482C">
        <w:rPr>
          <w:rStyle w:val="bold"/>
          <w:sz w:val="28"/>
        </w:rPr>
        <w:t>. </w:t>
      </w:r>
      <w:r w:rsidR="00B5572D" w:rsidRPr="00FB482C">
        <w:rPr>
          <w:rStyle w:val="bold"/>
          <w:sz w:val="28"/>
        </w:rPr>
        <w:t xml:space="preserve">pierādījums, ka </w:t>
      </w:r>
      <w:r w:rsidR="00B87898" w:rsidRPr="00FB482C">
        <w:rPr>
          <w:rStyle w:val="bold"/>
          <w:sz w:val="28"/>
        </w:rPr>
        <w:t>attiecīgā</w:t>
      </w:r>
      <w:r w:rsidR="00B5572D" w:rsidRPr="00FB482C">
        <w:rPr>
          <w:rStyle w:val="bold"/>
          <w:sz w:val="28"/>
        </w:rPr>
        <w:t xml:space="preserve"> avota kategorija nav iekļauta attiecīgajā vēsturisko emisiju pārskatā tad, kad tika noteikti emisiju samazināšanas mērķi;</w:t>
      </w:r>
    </w:p>
    <w:p w14:paraId="23C6C0CF" w14:textId="10DC404A"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pacing w:val="-2"/>
          <w:sz w:val="28"/>
        </w:rPr>
      </w:pPr>
      <w:r w:rsidRPr="00FB482C">
        <w:rPr>
          <w:rStyle w:val="bold"/>
          <w:spacing w:val="-2"/>
          <w:sz w:val="28"/>
        </w:rPr>
        <w:t>11.4.1.3</w:t>
      </w:r>
      <w:r w:rsidR="00B87898" w:rsidRPr="00FB482C">
        <w:rPr>
          <w:rStyle w:val="bold"/>
          <w:spacing w:val="-2"/>
          <w:sz w:val="28"/>
        </w:rPr>
        <w:t>. </w:t>
      </w:r>
      <w:r w:rsidR="00B5572D" w:rsidRPr="00FB482C">
        <w:rPr>
          <w:rStyle w:val="bold"/>
          <w:spacing w:val="-2"/>
          <w:sz w:val="28"/>
        </w:rPr>
        <w:t>pierādījums, ka emisijas no jaunas avotu kategorijas neļauj izpildīt</w:t>
      </w:r>
      <w:r w:rsidR="00B5572D" w:rsidRPr="00FB482C">
        <w:rPr>
          <w:rStyle w:val="bold"/>
          <w:sz w:val="28"/>
        </w:rPr>
        <w:t xml:space="preserve"> emisiju samazināšanas mērķus</w:t>
      </w:r>
      <w:r w:rsidR="00B87898" w:rsidRPr="00FB482C">
        <w:rPr>
          <w:rStyle w:val="bold"/>
          <w:sz w:val="28"/>
        </w:rPr>
        <w:t xml:space="preserve"> (pierādījumu</w:t>
      </w:r>
      <w:r w:rsidR="00B5572D" w:rsidRPr="00FB482C">
        <w:rPr>
          <w:rStyle w:val="bold"/>
          <w:sz w:val="28"/>
        </w:rPr>
        <w:t xml:space="preserve"> papildina detalizēts metožu </w:t>
      </w:r>
      <w:r w:rsidR="00B5572D" w:rsidRPr="00FB482C">
        <w:rPr>
          <w:rStyle w:val="bold"/>
          <w:spacing w:val="-2"/>
          <w:sz w:val="28"/>
        </w:rPr>
        <w:t>apraksts, dati par emisijām un emisijas faktori, kas ļauj izdarīt minēto secinājumu</w:t>
      </w:r>
      <w:r w:rsidR="00B87898" w:rsidRPr="00FB482C">
        <w:rPr>
          <w:rStyle w:val="bold"/>
          <w:spacing w:val="-2"/>
          <w:sz w:val="28"/>
        </w:rPr>
        <w:t>);</w:t>
      </w:r>
    </w:p>
    <w:p w14:paraId="23C6C0D0" w14:textId="583EBEC3"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11.4.2</w:t>
      </w:r>
      <w:r w:rsidR="0097518E" w:rsidRPr="00FB482C">
        <w:rPr>
          <w:rStyle w:val="bold"/>
          <w:sz w:val="28"/>
        </w:rPr>
        <w:t>. </w:t>
      </w:r>
      <w:r w:rsidRPr="00FB482C">
        <w:rPr>
          <w:rStyle w:val="bold"/>
          <w:sz w:val="28"/>
        </w:rPr>
        <w:t>attiecībā uz ievērojami atšķirīgiem emisijas faktoriem, ko izmanto konkrētu avotu kategoriju emisiju noteikšanai:</w:t>
      </w:r>
    </w:p>
    <w:p w14:paraId="23C6C0D1" w14:textId="23D3346C"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11.4.2.1</w:t>
      </w:r>
      <w:r w:rsidR="00B87898" w:rsidRPr="00FB482C">
        <w:rPr>
          <w:rStyle w:val="bold"/>
          <w:sz w:val="28"/>
        </w:rPr>
        <w:t>. </w:t>
      </w:r>
      <w:r w:rsidR="00B5572D" w:rsidRPr="00FB482C">
        <w:rPr>
          <w:rStyle w:val="bold"/>
          <w:sz w:val="28"/>
        </w:rPr>
        <w:t xml:space="preserve">sākotnējo emisijas faktoru apraksts, kurā </w:t>
      </w:r>
      <w:r w:rsidR="00837584" w:rsidRPr="00FB482C">
        <w:rPr>
          <w:rStyle w:val="bold"/>
          <w:sz w:val="28"/>
        </w:rPr>
        <w:t xml:space="preserve">ietverta arī detalizēta informācija </w:t>
      </w:r>
      <w:r w:rsidR="00B5572D" w:rsidRPr="00FB482C">
        <w:rPr>
          <w:rStyle w:val="bold"/>
          <w:sz w:val="28"/>
        </w:rPr>
        <w:t>par emisijas faktoru noteikšanā izmantoto zinātnisko pamatojumu;</w:t>
      </w:r>
    </w:p>
    <w:p w14:paraId="23C6C0D2" w14:textId="0F7E5483"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11.4.2.2</w:t>
      </w:r>
      <w:r w:rsidR="00B87898" w:rsidRPr="00FB482C">
        <w:rPr>
          <w:rStyle w:val="bold"/>
          <w:sz w:val="28"/>
        </w:rPr>
        <w:t>. </w:t>
      </w:r>
      <w:r w:rsidR="00B5572D" w:rsidRPr="00FB482C">
        <w:rPr>
          <w:rStyle w:val="bold"/>
          <w:sz w:val="28"/>
        </w:rPr>
        <w:t>pierādījums, ka sākotnējie emisijas faktori ir izmantoti laikā, kad tika noteikti emisiju samazināšanas mērķi;</w:t>
      </w:r>
    </w:p>
    <w:p w14:paraId="23C6C0D3" w14:textId="05A0BB39"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11.4.2.3</w:t>
      </w:r>
      <w:r w:rsidR="00B87898" w:rsidRPr="00FB482C">
        <w:rPr>
          <w:rStyle w:val="bold"/>
          <w:sz w:val="28"/>
        </w:rPr>
        <w:t>. </w:t>
      </w:r>
      <w:r w:rsidR="00B5572D" w:rsidRPr="00FB482C">
        <w:rPr>
          <w:rStyle w:val="bold"/>
          <w:sz w:val="28"/>
        </w:rPr>
        <w:t>atjaunināto emisijas faktoru apraksts, kurā ietverta arī detalizēta informācija par emisijas faktor</w:t>
      </w:r>
      <w:r w:rsidR="00A97426" w:rsidRPr="00FB482C">
        <w:rPr>
          <w:rStyle w:val="bold"/>
          <w:sz w:val="28"/>
        </w:rPr>
        <w:t>u</w:t>
      </w:r>
      <w:r w:rsidR="00B5572D" w:rsidRPr="00FB482C">
        <w:rPr>
          <w:rStyle w:val="bold"/>
          <w:sz w:val="28"/>
        </w:rPr>
        <w:t xml:space="preserve"> noteikšanā izmantoto zinātnisko pamatojumu;</w:t>
      </w:r>
    </w:p>
    <w:p w14:paraId="23C6C0D4" w14:textId="487B3510"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11.4.2.4</w:t>
      </w:r>
      <w:r w:rsidR="00B87898" w:rsidRPr="00FB482C">
        <w:rPr>
          <w:rStyle w:val="bold"/>
          <w:sz w:val="28"/>
        </w:rPr>
        <w:t>. </w:t>
      </w:r>
      <w:r w:rsidR="00B5572D" w:rsidRPr="00FB482C">
        <w:rPr>
          <w:rStyle w:val="bold"/>
          <w:sz w:val="28"/>
        </w:rPr>
        <w:t>emisiju aplēšu salīdzinājums, kas veikts, izmantojot sākotnējos un atjauninātos emisijas faktorus, un kas apliecina, ka emisijas faktoru maiņa neļauj izpildīt emisiju samazināšanas mērķus;</w:t>
      </w:r>
    </w:p>
    <w:p w14:paraId="23C6C0D5" w14:textId="1D1B8FBC"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11.4.2.5</w:t>
      </w:r>
      <w:r w:rsidR="00B87898" w:rsidRPr="00FB482C">
        <w:rPr>
          <w:rStyle w:val="bold"/>
          <w:sz w:val="28"/>
        </w:rPr>
        <w:t>. </w:t>
      </w:r>
      <w:r w:rsidR="00B5572D" w:rsidRPr="00FB482C">
        <w:rPr>
          <w:rStyle w:val="bold"/>
          <w:sz w:val="28"/>
        </w:rPr>
        <w:t>pamatojums lēmumam par to, vai emisijas faktoru izmaiņas ir būtiskas</w:t>
      </w:r>
      <w:r w:rsidR="00837584" w:rsidRPr="00FB482C">
        <w:rPr>
          <w:rStyle w:val="bold"/>
          <w:sz w:val="28"/>
        </w:rPr>
        <w:t>;</w:t>
      </w:r>
    </w:p>
    <w:p w14:paraId="23C6C0D6" w14:textId="164B5562"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lastRenderedPageBreak/>
        <w:t>11.4.3</w:t>
      </w:r>
      <w:r w:rsidR="0097518E" w:rsidRPr="00FB482C">
        <w:rPr>
          <w:rStyle w:val="bold"/>
          <w:sz w:val="28"/>
        </w:rPr>
        <w:t>. </w:t>
      </w:r>
      <w:r w:rsidRPr="00FB482C">
        <w:rPr>
          <w:rStyle w:val="bold"/>
          <w:sz w:val="28"/>
        </w:rPr>
        <w:t>attiecībā uz ievērojami atšķirīgām metodēm, ko izmanto konkrētu avotu kategoriju emisiju noteikšanai:</w:t>
      </w:r>
    </w:p>
    <w:p w14:paraId="23C6C0D7" w14:textId="1F7C0CD5"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11.4.3.1</w:t>
      </w:r>
      <w:r w:rsidR="00B87898" w:rsidRPr="00FB482C">
        <w:rPr>
          <w:rStyle w:val="bold"/>
          <w:sz w:val="28"/>
        </w:rPr>
        <w:t>. </w:t>
      </w:r>
      <w:r w:rsidR="00B5572D" w:rsidRPr="00FB482C">
        <w:rPr>
          <w:rStyle w:val="bold"/>
          <w:sz w:val="28"/>
        </w:rPr>
        <w:t>sākotnēji izmantoto metožu apraksts, kurā ietverta arī detalizēta informācija par emisijas faktor</w:t>
      </w:r>
      <w:r w:rsidR="00837584" w:rsidRPr="00FB482C">
        <w:rPr>
          <w:rStyle w:val="bold"/>
          <w:sz w:val="28"/>
        </w:rPr>
        <w:t>u</w:t>
      </w:r>
      <w:r w:rsidR="00B5572D" w:rsidRPr="00FB482C">
        <w:rPr>
          <w:rStyle w:val="bold"/>
          <w:sz w:val="28"/>
        </w:rPr>
        <w:t xml:space="preserve"> noteikšanā izmantoto zinātnisko pamatojumu;</w:t>
      </w:r>
    </w:p>
    <w:p w14:paraId="23C6C0D8" w14:textId="3D88DCE2"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11.4.3.2</w:t>
      </w:r>
      <w:r w:rsidR="00B87898" w:rsidRPr="00FB482C">
        <w:rPr>
          <w:rStyle w:val="bold"/>
          <w:sz w:val="28"/>
        </w:rPr>
        <w:t>. </w:t>
      </w:r>
      <w:r w:rsidR="00B5572D" w:rsidRPr="00FB482C">
        <w:rPr>
          <w:rStyle w:val="bold"/>
          <w:sz w:val="28"/>
        </w:rPr>
        <w:t>pierādījums, ka sākotnējās metodes ir izmantotas emisiju samazinājumu noteikšanai laikā, kad tika paredzēti šie samazinājumi;</w:t>
      </w:r>
    </w:p>
    <w:p w14:paraId="23C6C0D9" w14:textId="69EC1DF2"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11.4.3.3</w:t>
      </w:r>
      <w:r w:rsidR="00B87898" w:rsidRPr="00FB482C">
        <w:rPr>
          <w:rStyle w:val="bold"/>
          <w:sz w:val="28"/>
        </w:rPr>
        <w:t>. </w:t>
      </w:r>
      <w:r w:rsidR="00B5572D" w:rsidRPr="00FB482C">
        <w:rPr>
          <w:rStyle w:val="bold"/>
          <w:sz w:val="28"/>
        </w:rPr>
        <w:t>izmantoto atjaunināto metožu apraksts, kurā ietverts arī detalizēts apraksts par metožu noteikšanā izmantoto zinātnisko pamatojumu</w:t>
      </w:r>
      <w:proofErr w:type="gramStart"/>
      <w:r w:rsidR="00B5572D" w:rsidRPr="00FB482C">
        <w:rPr>
          <w:rStyle w:val="bold"/>
          <w:sz w:val="28"/>
        </w:rPr>
        <w:t xml:space="preserve"> vai atsauci</w:t>
      </w:r>
      <w:proofErr w:type="gramEnd"/>
      <w:r w:rsidR="00B5572D" w:rsidRPr="00FB482C">
        <w:rPr>
          <w:rStyle w:val="bold"/>
          <w:sz w:val="28"/>
        </w:rPr>
        <w:t>;</w:t>
      </w:r>
    </w:p>
    <w:p w14:paraId="23C6C0DA" w14:textId="65C1C448"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11.4.3.4</w:t>
      </w:r>
      <w:r w:rsidR="00B87898" w:rsidRPr="00FB482C">
        <w:rPr>
          <w:rStyle w:val="bold"/>
          <w:sz w:val="28"/>
        </w:rPr>
        <w:t>. </w:t>
      </w:r>
      <w:r w:rsidR="00B5572D" w:rsidRPr="00FB482C">
        <w:rPr>
          <w:rStyle w:val="bold"/>
          <w:sz w:val="28"/>
        </w:rPr>
        <w:t>emisiju aplēšu salīdzinājums, kas veikts, izmantojot sākotnējās un atjauninātās metodes, un kas apliecina, ka metožu maiņa neļauj izpildīt emisiju samazināšanas mērķus;</w:t>
      </w:r>
    </w:p>
    <w:p w14:paraId="23C6C0DB" w14:textId="12F6D2C3" w:rsidR="003B4CA7" w:rsidRPr="00FB482C" w:rsidRDefault="00DB752C"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11.4.3.5</w:t>
      </w:r>
      <w:r w:rsidR="0097518E" w:rsidRPr="00FB482C">
        <w:rPr>
          <w:rStyle w:val="bold"/>
          <w:sz w:val="28"/>
        </w:rPr>
        <w:t>. </w:t>
      </w:r>
      <w:r w:rsidR="00B5572D" w:rsidRPr="00FB482C">
        <w:rPr>
          <w:rStyle w:val="bold"/>
          <w:sz w:val="28"/>
        </w:rPr>
        <w:t>pamatojums lēmumam par to, vai metožu izmaiņas ir būtiskas.</w:t>
      </w:r>
    </w:p>
    <w:p w14:paraId="23C6C0DC" w14:textId="77777777" w:rsidR="003B4CA7" w:rsidRPr="00FB482C" w:rsidRDefault="003B4CA7" w:rsidP="0097518E">
      <w:pPr>
        <w:pStyle w:val="ti-grseq-1"/>
        <w:shd w:val="clear" w:color="auto" w:fill="FFFFFF"/>
        <w:tabs>
          <w:tab w:val="left" w:pos="6521"/>
        </w:tabs>
        <w:spacing w:before="0" w:beforeAutospacing="0" w:after="0" w:afterAutospacing="0"/>
        <w:ind w:firstLine="720"/>
        <w:jc w:val="both"/>
        <w:rPr>
          <w:rStyle w:val="bold"/>
          <w:sz w:val="28"/>
        </w:rPr>
      </w:pPr>
    </w:p>
    <w:p w14:paraId="23C6C0DD" w14:textId="39D3E174"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12</w:t>
      </w:r>
      <w:r w:rsidR="0097518E" w:rsidRPr="00FB482C">
        <w:rPr>
          <w:rStyle w:val="bold"/>
          <w:sz w:val="28"/>
        </w:rPr>
        <w:t>. </w:t>
      </w:r>
      <w:r w:rsidRPr="00FB482C">
        <w:rPr>
          <w:rStyle w:val="bold"/>
          <w:sz w:val="28"/>
        </w:rPr>
        <w:t>Koriģētās emisijas pārrēķina, lai</w:t>
      </w:r>
      <w:r w:rsidR="007455FC">
        <w:rPr>
          <w:rStyle w:val="bold"/>
          <w:sz w:val="28"/>
        </w:rPr>
        <w:t xml:space="preserve">, </w:t>
      </w:r>
      <w:r w:rsidRPr="00FB482C">
        <w:rPr>
          <w:rStyle w:val="bold"/>
          <w:sz w:val="28"/>
        </w:rPr>
        <w:t xml:space="preserve">ciktāl </w:t>
      </w:r>
      <w:r w:rsidR="007455FC">
        <w:rPr>
          <w:rStyle w:val="bold"/>
          <w:sz w:val="28"/>
        </w:rPr>
        <w:t xml:space="preserve">tas </w:t>
      </w:r>
      <w:r w:rsidRPr="00FB482C">
        <w:rPr>
          <w:rStyle w:val="bold"/>
          <w:sz w:val="28"/>
        </w:rPr>
        <w:t>iespējams</w:t>
      </w:r>
      <w:r w:rsidR="007455FC">
        <w:rPr>
          <w:rStyle w:val="bold"/>
          <w:sz w:val="28"/>
        </w:rPr>
        <w:t>,</w:t>
      </w:r>
      <w:r w:rsidRPr="00FB482C">
        <w:rPr>
          <w:rStyle w:val="bold"/>
          <w:sz w:val="28"/>
        </w:rPr>
        <w:t xml:space="preserve"> nodrošinātu laika rindu konsekvenci par katru gadu, kad tiek piemērotas korekcijas.</w:t>
      </w:r>
    </w:p>
    <w:p w14:paraId="236E0AFB" w14:textId="77777777" w:rsidR="00AB22E0" w:rsidRPr="00FB482C" w:rsidRDefault="00AB22E0" w:rsidP="0097518E">
      <w:pPr>
        <w:pStyle w:val="ti-grseq-1"/>
        <w:shd w:val="clear" w:color="auto" w:fill="FFFFFF"/>
        <w:tabs>
          <w:tab w:val="left" w:pos="6521"/>
        </w:tabs>
        <w:spacing w:before="0" w:beforeAutospacing="0" w:after="0" w:afterAutospacing="0"/>
        <w:ind w:firstLine="720"/>
        <w:jc w:val="both"/>
        <w:rPr>
          <w:rStyle w:val="bold"/>
          <w:sz w:val="28"/>
        </w:rPr>
      </w:pPr>
    </w:p>
    <w:p w14:paraId="5275495C" w14:textId="295A0E80" w:rsidR="00AB22E0" w:rsidRPr="00FB482C" w:rsidRDefault="00AB22E0" w:rsidP="00AB22E0">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 xml:space="preserve">13. No 2025. gada, ja emisijas faktori vai metodika, kas tiek izmantota emisiju noteikšanai no konkrētu kategoriju avotiem, būtiski atšķiras no emisijas faktoriem vai metodikas, kas tika izmantota, īstenojot Eiropas Savienības tiesību aktos gaisa piesārņojuma ierobežošanai tā avotā* noteiktās normas vai standartus, emisiju korekcijas var veikt, ja ievēro šādus papildu nosacījumus: </w:t>
      </w:r>
    </w:p>
    <w:p w14:paraId="5DCCA9FE" w14:textId="70381EDB" w:rsidR="00AA4C90" w:rsidRPr="00FB482C" w:rsidRDefault="00AA4C90" w:rsidP="00AA4C90">
      <w:pPr>
        <w:pStyle w:val="ti-grseq-1"/>
        <w:shd w:val="clear" w:color="auto" w:fill="FFFFFF"/>
        <w:tabs>
          <w:tab w:val="left" w:pos="6521"/>
        </w:tabs>
        <w:spacing w:before="0" w:beforeAutospacing="0" w:after="0" w:afterAutospacing="0"/>
        <w:ind w:firstLine="720"/>
        <w:jc w:val="both"/>
        <w:rPr>
          <w:rStyle w:val="bold"/>
          <w:spacing w:val="-2"/>
          <w:sz w:val="28"/>
        </w:rPr>
      </w:pPr>
      <w:r w:rsidRPr="00FB482C">
        <w:rPr>
          <w:rStyle w:val="bold"/>
          <w:spacing w:val="-2"/>
          <w:sz w:val="28"/>
        </w:rPr>
        <w:t>13.1. izvērtē rīcību un kontroles, kas veiktas, lai ieviestu Eiropas Savienības tiesību aktus gaisa piesārņojuma ierobežošanai tā avotā, un pierāda, ka būtiski atšķirīgo emisijas faktoru rašanās iemesls nav minēto tiesību aktu īstenošana vai izpilde Latvijā;</w:t>
      </w:r>
    </w:p>
    <w:p w14:paraId="23C6C0E1" w14:textId="25F275F4" w:rsidR="003B4CA7" w:rsidRPr="00FB482C" w:rsidRDefault="00013364"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13.2. </w:t>
      </w:r>
      <w:r w:rsidR="00B5572D" w:rsidRPr="00FB482C">
        <w:rPr>
          <w:rStyle w:val="bold"/>
          <w:sz w:val="28"/>
        </w:rPr>
        <w:t>informē Eiropas Komisiju par būtisko atšķirību emisijas f</w:t>
      </w:r>
      <w:r w:rsidR="00595F5A" w:rsidRPr="00FB482C">
        <w:rPr>
          <w:rStyle w:val="bold"/>
          <w:sz w:val="28"/>
        </w:rPr>
        <w:t>aktoros.</w:t>
      </w:r>
    </w:p>
    <w:p w14:paraId="23C6C0E2" w14:textId="77777777" w:rsidR="003B4CA7" w:rsidRPr="00FB482C" w:rsidRDefault="003B4CA7" w:rsidP="0097518E">
      <w:pPr>
        <w:pStyle w:val="ti-grseq-1"/>
        <w:shd w:val="clear" w:color="auto" w:fill="FFFFFF"/>
        <w:tabs>
          <w:tab w:val="left" w:pos="6521"/>
        </w:tabs>
        <w:spacing w:before="0" w:beforeAutospacing="0" w:after="0" w:afterAutospacing="0"/>
        <w:ind w:firstLine="720"/>
        <w:jc w:val="both"/>
        <w:rPr>
          <w:rStyle w:val="bold"/>
          <w:sz w:val="28"/>
        </w:rPr>
      </w:pPr>
    </w:p>
    <w:p w14:paraId="23C6C0E4" w14:textId="2F045885" w:rsidR="003B4CA7" w:rsidRPr="00FB482C" w:rsidRDefault="00B5572D" w:rsidP="0097518E">
      <w:pPr>
        <w:pStyle w:val="ti-grseq-1"/>
        <w:shd w:val="clear" w:color="auto" w:fill="FFFFFF"/>
        <w:tabs>
          <w:tab w:val="left" w:pos="6521"/>
        </w:tabs>
        <w:spacing w:before="0" w:beforeAutospacing="0" w:after="0" w:afterAutospacing="0"/>
        <w:ind w:firstLine="720"/>
        <w:jc w:val="both"/>
        <w:rPr>
          <w:rStyle w:val="bold"/>
        </w:rPr>
      </w:pPr>
      <w:r w:rsidRPr="00FB482C">
        <w:rPr>
          <w:rStyle w:val="bold"/>
        </w:rPr>
        <w:t>Piezīme.</w:t>
      </w:r>
      <w:r w:rsidR="0097518E" w:rsidRPr="00FB482C">
        <w:rPr>
          <w:rStyle w:val="bold"/>
        </w:rPr>
        <w:t xml:space="preserve"> </w:t>
      </w:r>
      <w:r w:rsidRPr="00FB482C">
        <w:rPr>
          <w:rStyle w:val="bold"/>
        </w:rPr>
        <w:t xml:space="preserve">* </w:t>
      </w:r>
      <w:r w:rsidR="0064127B" w:rsidRPr="00FB482C">
        <w:rPr>
          <w:rStyle w:val="bold"/>
        </w:rPr>
        <w:t>Eiropas Savienības tiesību akti enerģētikas, transporta, lauksaimniecības un rūpnieciskās ražošanas jomā</w:t>
      </w:r>
      <w:r w:rsidRPr="00FB482C">
        <w:rPr>
          <w:rStyle w:val="bold"/>
        </w:rPr>
        <w:t>, kuru mērķis ir samazināt gaisu piesārņojošo vielu emisijas, veicot mazināšanas pasākumus to avotā</w:t>
      </w:r>
      <w:r w:rsidR="00595F5A" w:rsidRPr="00FB482C">
        <w:rPr>
          <w:rStyle w:val="bold"/>
        </w:rPr>
        <w:t>.</w:t>
      </w:r>
    </w:p>
    <w:p w14:paraId="67D90511" w14:textId="77777777" w:rsidR="00FB0C58" w:rsidRPr="00FB482C" w:rsidRDefault="00FB0C58" w:rsidP="0097518E">
      <w:pPr>
        <w:pStyle w:val="ti-grseq-1"/>
        <w:shd w:val="clear" w:color="auto" w:fill="FFFFFF"/>
        <w:tabs>
          <w:tab w:val="left" w:pos="6521"/>
        </w:tabs>
        <w:spacing w:before="0" w:beforeAutospacing="0" w:after="0" w:afterAutospacing="0"/>
        <w:ind w:firstLine="720"/>
        <w:jc w:val="both"/>
        <w:rPr>
          <w:rStyle w:val="bold"/>
          <w:sz w:val="28"/>
        </w:rPr>
      </w:pPr>
    </w:p>
    <w:p w14:paraId="0BA4566A" w14:textId="77777777" w:rsidR="00FB0C58" w:rsidRPr="00FB482C" w:rsidRDefault="00FB0C58" w:rsidP="0097518E">
      <w:pPr>
        <w:pStyle w:val="ti-grseq-1"/>
        <w:shd w:val="clear" w:color="auto" w:fill="FFFFFF"/>
        <w:tabs>
          <w:tab w:val="left" w:pos="6521"/>
        </w:tabs>
        <w:spacing w:before="0" w:beforeAutospacing="0" w:after="0" w:afterAutospacing="0"/>
        <w:ind w:firstLine="720"/>
        <w:jc w:val="both"/>
        <w:rPr>
          <w:rStyle w:val="bold"/>
          <w:sz w:val="28"/>
        </w:rPr>
      </w:pPr>
    </w:p>
    <w:p w14:paraId="3A93CFF0" w14:textId="77777777" w:rsidR="00FB0C58" w:rsidRPr="00FB482C" w:rsidRDefault="00FB0C58" w:rsidP="0097518E">
      <w:pPr>
        <w:pStyle w:val="ti-grseq-1"/>
        <w:shd w:val="clear" w:color="auto" w:fill="FFFFFF"/>
        <w:tabs>
          <w:tab w:val="left" w:pos="6521"/>
        </w:tabs>
        <w:spacing w:before="0" w:beforeAutospacing="0" w:after="0" w:afterAutospacing="0"/>
        <w:ind w:firstLine="720"/>
        <w:jc w:val="both"/>
        <w:rPr>
          <w:rStyle w:val="bold"/>
          <w:sz w:val="28"/>
        </w:rPr>
      </w:pPr>
    </w:p>
    <w:p w14:paraId="539D0334" w14:textId="77777777" w:rsidR="00FB0C58" w:rsidRPr="00FB482C" w:rsidRDefault="00FB0C58"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 xml:space="preserve">Vides aizsardzības un </w:t>
      </w:r>
    </w:p>
    <w:p w14:paraId="4990B3A3" w14:textId="77777777" w:rsidR="00FB0C58" w:rsidRPr="00FB482C" w:rsidRDefault="00FB0C58" w:rsidP="0097518E">
      <w:pPr>
        <w:pStyle w:val="ti-grseq-1"/>
        <w:shd w:val="clear" w:color="auto" w:fill="FFFFFF"/>
        <w:tabs>
          <w:tab w:val="left" w:pos="6521"/>
        </w:tabs>
        <w:spacing w:before="0" w:beforeAutospacing="0" w:after="0" w:afterAutospacing="0"/>
        <w:ind w:firstLine="720"/>
        <w:jc w:val="both"/>
        <w:rPr>
          <w:rStyle w:val="bold"/>
          <w:sz w:val="28"/>
        </w:rPr>
      </w:pPr>
      <w:r w:rsidRPr="00FB482C">
        <w:rPr>
          <w:rStyle w:val="bold"/>
          <w:sz w:val="28"/>
        </w:rPr>
        <w:t>reģionālās attīstības ministrs</w:t>
      </w:r>
      <w:r w:rsidRPr="00FB482C">
        <w:rPr>
          <w:rStyle w:val="bold"/>
          <w:sz w:val="28"/>
        </w:rPr>
        <w:tab/>
        <w:t>Kaspars Gerhards</w:t>
      </w:r>
    </w:p>
    <w:sectPr w:rsidR="00FB0C58" w:rsidRPr="00FB482C" w:rsidSect="00FB0C58">
      <w:headerReference w:type="default" r:id="rId8"/>
      <w:footerReference w:type="default" r:id="rId9"/>
      <w:footerReference w:type="first" r:id="rId10"/>
      <w:type w:val="continuous"/>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C0F1" w14:textId="77777777" w:rsidR="00827F42" w:rsidRDefault="00B5572D">
      <w:pPr>
        <w:spacing w:after="0" w:line="240" w:lineRule="auto"/>
      </w:pPr>
      <w:r>
        <w:separator/>
      </w:r>
    </w:p>
  </w:endnote>
  <w:endnote w:type="continuationSeparator" w:id="0">
    <w:p w14:paraId="23C6C0F3" w14:textId="77777777" w:rsidR="00827F42" w:rsidRDefault="00B5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DA85" w14:textId="77777777" w:rsidR="00FB0C58" w:rsidRPr="00FB0C58" w:rsidRDefault="00FB0C58" w:rsidP="00FB0C58">
    <w:pPr>
      <w:pStyle w:val="Footer"/>
      <w:rPr>
        <w:sz w:val="16"/>
        <w:szCs w:val="16"/>
        <w:lang w:val="en-US"/>
      </w:rPr>
    </w:pPr>
    <w:r>
      <w:rPr>
        <w:sz w:val="16"/>
        <w:szCs w:val="16"/>
        <w:lang w:val="en-US"/>
      </w:rPr>
      <w:t>N1722_8p3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C0EC" w14:textId="4CA4FA42" w:rsidR="00353E12" w:rsidRPr="00FB0C58" w:rsidRDefault="00FB0C58" w:rsidP="00FB0C58">
    <w:pPr>
      <w:pStyle w:val="Footer"/>
      <w:rPr>
        <w:sz w:val="16"/>
        <w:szCs w:val="16"/>
        <w:lang w:val="en-US"/>
      </w:rPr>
    </w:pPr>
    <w:r>
      <w:rPr>
        <w:sz w:val="16"/>
        <w:szCs w:val="16"/>
        <w:lang w:val="en-US"/>
      </w:rPr>
      <w:t>N1722_8p3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C0ED" w14:textId="77777777" w:rsidR="00827F42" w:rsidRDefault="00B5572D">
      <w:pPr>
        <w:spacing w:after="0" w:line="240" w:lineRule="auto"/>
      </w:pPr>
      <w:r>
        <w:separator/>
      </w:r>
    </w:p>
  </w:footnote>
  <w:footnote w:type="continuationSeparator" w:id="0">
    <w:p w14:paraId="23C6C0EF" w14:textId="77777777" w:rsidR="00827F42" w:rsidRDefault="00B5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C0E9" w14:textId="3CA294C3" w:rsidR="00353E12" w:rsidRDefault="00B5572D">
    <w:pPr>
      <w:pStyle w:val="Header"/>
      <w:jc w:val="center"/>
    </w:pPr>
    <w:r>
      <w:fldChar w:fldCharType="begin"/>
    </w:r>
    <w:r>
      <w:instrText xml:space="preserve"> PAGE   \* MERGEFORMAT </w:instrText>
    </w:r>
    <w:r>
      <w:fldChar w:fldCharType="separate"/>
    </w:r>
    <w:r w:rsidR="00AC0E4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6F0F0B"/>
    <w:multiLevelType w:val="hybridMultilevel"/>
    <w:tmpl w:val="A0D468B2"/>
    <w:lvl w:ilvl="0" w:tplc="922C1B9C">
      <w:start w:val="1"/>
      <w:numFmt w:val="decimal"/>
      <w:lvlText w:val="%1)"/>
      <w:lvlJc w:val="left"/>
      <w:pPr>
        <w:ind w:left="1211" w:hanging="360"/>
      </w:pPr>
      <w:rPr>
        <w:rFonts w:hint="default"/>
      </w:rPr>
    </w:lvl>
    <w:lvl w:ilvl="1" w:tplc="941CA2A2" w:tentative="1">
      <w:start w:val="1"/>
      <w:numFmt w:val="lowerLetter"/>
      <w:lvlText w:val="%2."/>
      <w:lvlJc w:val="left"/>
      <w:pPr>
        <w:ind w:left="1931" w:hanging="360"/>
      </w:pPr>
    </w:lvl>
    <w:lvl w:ilvl="2" w:tplc="C5F6E0CE" w:tentative="1">
      <w:start w:val="1"/>
      <w:numFmt w:val="lowerRoman"/>
      <w:lvlText w:val="%3."/>
      <w:lvlJc w:val="right"/>
      <w:pPr>
        <w:ind w:left="2651" w:hanging="180"/>
      </w:pPr>
    </w:lvl>
    <w:lvl w:ilvl="3" w:tplc="F85A1AF2" w:tentative="1">
      <w:start w:val="1"/>
      <w:numFmt w:val="decimal"/>
      <w:lvlText w:val="%4."/>
      <w:lvlJc w:val="left"/>
      <w:pPr>
        <w:ind w:left="3371" w:hanging="360"/>
      </w:pPr>
    </w:lvl>
    <w:lvl w:ilvl="4" w:tplc="2312BD74" w:tentative="1">
      <w:start w:val="1"/>
      <w:numFmt w:val="lowerLetter"/>
      <w:lvlText w:val="%5."/>
      <w:lvlJc w:val="left"/>
      <w:pPr>
        <w:ind w:left="4091" w:hanging="360"/>
      </w:pPr>
    </w:lvl>
    <w:lvl w:ilvl="5" w:tplc="A90CB486" w:tentative="1">
      <w:start w:val="1"/>
      <w:numFmt w:val="lowerRoman"/>
      <w:lvlText w:val="%6."/>
      <w:lvlJc w:val="right"/>
      <w:pPr>
        <w:ind w:left="4811" w:hanging="180"/>
      </w:pPr>
    </w:lvl>
    <w:lvl w:ilvl="6" w:tplc="EE68CEF0" w:tentative="1">
      <w:start w:val="1"/>
      <w:numFmt w:val="decimal"/>
      <w:lvlText w:val="%7."/>
      <w:lvlJc w:val="left"/>
      <w:pPr>
        <w:ind w:left="5531" w:hanging="360"/>
      </w:pPr>
    </w:lvl>
    <w:lvl w:ilvl="7" w:tplc="4AEEFE80" w:tentative="1">
      <w:start w:val="1"/>
      <w:numFmt w:val="lowerLetter"/>
      <w:lvlText w:val="%8."/>
      <w:lvlJc w:val="left"/>
      <w:pPr>
        <w:ind w:left="6251" w:hanging="360"/>
      </w:pPr>
    </w:lvl>
    <w:lvl w:ilvl="8" w:tplc="150A7DA8" w:tentative="1">
      <w:start w:val="1"/>
      <w:numFmt w:val="lowerRoman"/>
      <w:lvlText w:val="%9."/>
      <w:lvlJc w:val="right"/>
      <w:pPr>
        <w:ind w:left="6971" w:hanging="180"/>
      </w:pPr>
    </w:lvl>
  </w:abstractNum>
  <w:abstractNum w:abstractNumId="1" w15:restartNumberingAfterBreak="0">
    <w:nsid w:val="6CB93CF7"/>
    <w:multiLevelType w:val="hybridMultilevel"/>
    <w:tmpl w:val="0792F0B6"/>
    <w:lvl w:ilvl="0" w:tplc="DF762E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7"/>
    <w:rsid w:val="00002B58"/>
    <w:rsid w:val="00013364"/>
    <w:rsid w:val="00034745"/>
    <w:rsid w:val="0003711A"/>
    <w:rsid w:val="00051C9A"/>
    <w:rsid w:val="00074900"/>
    <w:rsid w:val="000A2C30"/>
    <w:rsid w:val="000B481A"/>
    <w:rsid w:val="000E7EF4"/>
    <w:rsid w:val="001349EC"/>
    <w:rsid w:val="00141622"/>
    <w:rsid w:val="00142535"/>
    <w:rsid w:val="00147D7B"/>
    <w:rsid w:val="001F480D"/>
    <w:rsid w:val="00204C4B"/>
    <w:rsid w:val="00206B82"/>
    <w:rsid w:val="0023537E"/>
    <w:rsid w:val="00270C43"/>
    <w:rsid w:val="00273137"/>
    <w:rsid w:val="00282507"/>
    <w:rsid w:val="00290A29"/>
    <w:rsid w:val="002A5698"/>
    <w:rsid w:val="002A60E7"/>
    <w:rsid w:val="002C1B4A"/>
    <w:rsid w:val="002E231C"/>
    <w:rsid w:val="0033467C"/>
    <w:rsid w:val="003418EC"/>
    <w:rsid w:val="00346FCF"/>
    <w:rsid w:val="00353E12"/>
    <w:rsid w:val="00375024"/>
    <w:rsid w:val="003A2533"/>
    <w:rsid w:val="003B4CA7"/>
    <w:rsid w:val="00415B0D"/>
    <w:rsid w:val="00474183"/>
    <w:rsid w:val="004D517D"/>
    <w:rsid w:val="004F4902"/>
    <w:rsid w:val="00504575"/>
    <w:rsid w:val="00515973"/>
    <w:rsid w:val="0054285D"/>
    <w:rsid w:val="00544A6D"/>
    <w:rsid w:val="00547A07"/>
    <w:rsid w:val="0055210C"/>
    <w:rsid w:val="00575CC7"/>
    <w:rsid w:val="00595F5A"/>
    <w:rsid w:val="005E6689"/>
    <w:rsid w:val="005F32BA"/>
    <w:rsid w:val="00636966"/>
    <w:rsid w:val="0064127B"/>
    <w:rsid w:val="006C2D43"/>
    <w:rsid w:val="00711AD7"/>
    <w:rsid w:val="007328C5"/>
    <w:rsid w:val="00740871"/>
    <w:rsid w:val="007455FC"/>
    <w:rsid w:val="007A05D4"/>
    <w:rsid w:val="007C21DD"/>
    <w:rsid w:val="007F7256"/>
    <w:rsid w:val="00802A98"/>
    <w:rsid w:val="008106DE"/>
    <w:rsid w:val="00827F42"/>
    <w:rsid w:val="00837584"/>
    <w:rsid w:val="00837DA4"/>
    <w:rsid w:val="00841C03"/>
    <w:rsid w:val="0084294E"/>
    <w:rsid w:val="008823CD"/>
    <w:rsid w:val="008A39FE"/>
    <w:rsid w:val="008B6940"/>
    <w:rsid w:val="008B7282"/>
    <w:rsid w:val="008E57D3"/>
    <w:rsid w:val="008E6A94"/>
    <w:rsid w:val="00906CE8"/>
    <w:rsid w:val="0091350A"/>
    <w:rsid w:val="009145DC"/>
    <w:rsid w:val="0097518E"/>
    <w:rsid w:val="00982741"/>
    <w:rsid w:val="009843DE"/>
    <w:rsid w:val="009919DA"/>
    <w:rsid w:val="009A3508"/>
    <w:rsid w:val="009B1C22"/>
    <w:rsid w:val="009B79BA"/>
    <w:rsid w:val="00A33B09"/>
    <w:rsid w:val="00A50AC4"/>
    <w:rsid w:val="00A652E1"/>
    <w:rsid w:val="00A97426"/>
    <w:rsid w:val="00AA4C90"/>
    <w:rsid w:val="00AB22E0"/>
    <w:rsid w:val="00AC0E4E"/>
    <w:rsid w:val="00AC306A"/>
    <w:rsid w:val="00B21F4B"/>
    <w:rsid w:val="00B30802"/>
    <w:rsid w:val="00B5572D"/>
    <w:rsid w:val="00B87898"/>
    <w:rsid w:val="00BA18C3"/>
    <w:rsid w:val="00BA6C63"/>
    <w:rsid w:val="00BE0AE7"/>
    <w:rsid w:val="00C10CCA"/>
    <w:rsid w:val="00C41133"/>
    <w:rsid w:val="00C55D3F"/>
    <w:rsid w:val="00C755F7"/>
    <w:rsid w:val="00CA06ED"/>
    <w:rsid w:val="00CE258A"/>
    <w:rsid w:val="00CF6B4D"/>
    <w:rsid w:val="00D06ED2"/>
    <w:rsid w:val="00D32527"/>
    <w:rsid w:val="00D33E8F"/>
    <w:rsid w:val="00D50AEA"/>
    <w:rsid w:val="00DB752C"/>
    <w:rsid w:val="00DD7B65"/>
    <w:rsid w:val="00E31C61"/>
    <w:rsid w:val="00E42D6A"/>
    <w:rsid w:val="00EB312C"/>
    <w:rsid w:val="00ED6941"/>
    <w:rsid w:val="00EE2824"/>
    <w:rsid w:val="00EE3AE6"/>
    <w:rsid w:val="00F04020"/>
    <w:rsid w:val="00F05C8C"/>
    <w:rsid w:val="00F411D3"/>
    <w:rsid w:val="00F4620A"/>
    <w:rsid w:val="00FB0C58"/>
    <w:rsid w:val="00FB4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C09A"/>
  <w15:chartTrackingRefBased/>
  <w15:docId w15:val="{1DD9502D-5288-4B96-988A-8E5B6F20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CA7"/>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C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CA7"/>
    <w:rPr>
      <w:rFonts w:ascii="Times New Roman" w:eastAsia="Times New Roman" w:hAnsi="Times New Roman" w:cs="Times New Roman"/>
      <w:sz w:val="24"/>
      <w:szCs w:val="24"/>
    </w:rPr>
  </w:style>
  <w:style w:type="paragraph" w:customStyle="1" w:styleId="ti-grseq-1">
    <w:name w:val="ti-grseq-1"/>
    <w:basedOn w:val="Normal"/>
    <w:uiPriority w:val="99"/>
    <w:rsid w:val="003B4CA7"/>
    <w:pPr>
      <w:spacing w:before="100" w:beforeAutospacing="1" w:after="100" w:afterAutospacing="1" w:line="240" w:lineRule="auto"/>
    </w:pPr>
    <w:rPr>
      <w:lang w:eastAsia="lv-LV"/>
    </w:rPr>
  </w:style>
  <w:style w:type="paragraph" w:customStyle="1" w:styleId="Normal1">
    <w:name w:val="Normal1"/>
    <w:basedOn w:val="Normal"/>
    <w:rsid w:val="003B4CA7"/>
    <w:pPr>
      <w:spacing w:before="100" w:beforeAutospacing="1" w:after="100" w:afterAutospacing="1" w:line="240" w:lineRule="auto"/>
    </w:pPr>
    <w:rPr>
      <w:lang w:eastAsia="lv-LV"/>
    </w:rPr>
  </w:style>
  <w:style w:type="character" w:customStyle="1" w:styleId="bold">
    <w:name w:val="bold"/>
    <w:basedOn w:val="DefaultParagraphFont"/>
    <w:rsid w:val="003B4CA7"/>
  </w:style>
  <w:style w:type="paragraph" w:customStyle="1" w:styleId="naislab">
    <w:name w:val="naislab"/>
    <w:basedOn w:val="Normal"/>
    <w:rsid w:val="003B4CA7"/>
    <w:pPr>
      <w:spacing w:before="75" w:after="75" w:line="240" w:lineRule="auto"/>
      <w:jc w:val="right"/>
    </w:pPr>
    <w:rPr>
      <w:lang w:eastAsia="lv-LV"/>
    </w:rPr>
  </w:style>
  <w:style w:type="paragraph" w:styleId="Footer">
    <w:name w:val="footer"/>
    <w:basedOn w:val="Normal"/>
    <w:link w:val="FooterChar"/>
    <w:uiPriority w:val="99"/>
    <w:unhideWhenUsed/>
    <w:rsid w:val="00906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6CE8"/>
    <w:rPr>
      <w:rFonts w:ascii="Times New Roman" w:eastAsia="Times New Roman" w:hAnsi="Times New Roman" w:cs="Times New Roman"/>
      <w:sz w:val="24"/>
      <w:szCs w:val="24"/>
    </w:rPr>
  </w:style>
  <w:style w:type="paragraph" w:styleId="ListParagraph">
    <w:name w:val="List Paragraph"/>
    <w:basedOn w:val="Normal"/>
    <w:uiPriority w:val="34"/>
    <w:qFormat/>
    <w:rsid w:val="00BE0AE7"/>
    <w:pPr>
      <w:ind w:left="720"/>
      <w:contextualSpacing/>
    </w:pPr>
  </w:style>
  <w:style w:type="paragraph" w:styleId="BalloonText">
    <w:name w:val="Balloon Text"/>
    <w:basedOn w:val="Normal"/>
    <w:link w:val="BalloonTextChar"/>
    <w:uiPriority w:val="99"/>
    <w:semiHidden/>
    <w:unhideWhenUsed/>
    <w:rsid w:val="00BE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E7"/>
    <w:rPr>
      <w:rFonts w:ascii="Segoe UI" w:eastAsia="Times New Roman" w:hAnsi="Segoe UI" w:cs="Segoe UI"/>
      <w:sz w:val="18"/>
      <w:szCs w:val="18"/>
    </w:rPr>
  </w:style>
  <w:style w:type="character" w:styleId="FootnoteReference">
    <w:name w:val="footnote reference"/>
    <w:basedOn w:val="DefaultParagraphFont"/>
    <w:uiPriority w:val="99"/>
    <w:semiHidden/>
    <w:unhideWhenUsed/>
    <w:rsid w:val="00D06ED2"/>
  </w:style>
  <w:style w:type="paragraph" w:styleId="NormalWeb">
    <w:name w:val="Normal (Web)"/>
    <w:basedOn w:val="Normal"/>
    <w:uiPriority w:val="99"/>
    <w:semiHidden/>
    <w:unhideWhenUsed/>
    <w:rsid w:val="00204C4B"/>
    <w:pPr>
      <w:spacing w:before="100" w:beforeAutospacing="1" w:after="100" w:afterAutospacing="1" w:line="240" w:lineRule="auto"/>
    </w:pPr>
    <w:rPr>
      <w:rFonts w:eastAsiaTheme="minorHAnsi"/>
      <w:color w:val="000000"/>
      <w:lang w:eastAsia="lv-LV"/>
    </w:rPr>
  </w:style>
  <w:style w:type="character" w:styleId="Hyperlink">
    <w:name w:val="Hyperlink"/>
    <w:basedOn w:val="DefaultParagraphFont"/>
    <w:uiPriority w:val="99"/>
    <w:semiHidden/>
    <w:rsid w:val="00147D7B"/>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6B8D-4608-484B-8D78-62F789E7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5754</Words>
  <Characters>3281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Noteikumi par valsts kopējo gaisu piesārņojošo vielu emisiju samazināšanu un uzskaiti</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kopējo gaisu piesārņojošo vielu emisiju samazināšanu un uzskaiti</dc:title>
  <dc:subject>4.pielikums</dc:subject>
  <dc:creator>Lana Maslova</dc:creator>
  <dc:description>lana.maslova@varam.gov.lv; 67026586</dc:description>
  <cp:lastModifiedBy>Leontine Babkina</cp:lastModifiedBy>
  <cp:revision>49</cp:revision>
  <cp:lastPrinted>2018-10-01T12:13:00Z</cp:lastPrinted>
  <dcterms:created xsi:type="dcterms:W3CDTF">2018-05-17T10:15:00Z</dcterms:created>
  <dcterms:modified xsi:type="dcterms:W3CDTF">2018-10-03T09:05:00Z</dcterms:modified>
</cp:coreProperties>
</file>