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72" w:rsidRPr="00121EA4" w:rsidRDefault="00B21272" w:rsidP="00B21272">
      <w:pPr>
        <w:tabs>
          <w:tab w:val="left" w:pos="6804"/>
        </w:tabs>
        <w:spacing w:after="0" w:line="240" w:lineRule="auto"/>
        <w:rPr>
          <w:rFonts w:ascii="Times New Roman" w:hAnsi="Times New Roman" w:cs="Times New Roman"/>
          <w:sz w:val="28"/>
          <w:szCs w:val="28"/>
        </w:rPr>
      </w:pPr>
      <w:r w:rsidRPr="00121EA4">
        <w:rPr>
          <w:rFonts w:ascii="Times New Roman" w:hAnsi="Times New Roman" w:cs="Times New Roman"/>
          <w:sz w:val="28"/>
          <w:szCs w:val="28"/>
        </w:rPr>
        <w:t xml:space="preserve">2018. gada     </w:t>
      </w:r>
      <w:r w:rsidRPr="00121EA4">
        <w:rPr>
          <w:rFonts w:ascii="Times New Roman" w:hAnsi="Times New Roman" w:cs="Times New Roman"/>
          <w:sz w:val="28"/>
          <w:szCs w:val="28"/>
        </w:rPr>
        <w:tab/>
        <w:t xml:space="preserve">Noteikumi Nr.    </w:t>
      </w:r>
    </w:p>
    <w:p w:rsidR="00B21272" w:rsidRPr="00121EA4" w:rsidRDefault="00B21272" w:rsidP="00B21272">
      <w:pPr>
        <w:tabs>
          <w:tab w:val="left" w:pos="6804"/>
        </w:tabs>
        <w:spacing w:after="0" w:line="240" w:lineRule="auto"/>
        <w:rPr>
          <w:rFonts w:ascii="Times New Roman" w:hAnsi="Times New Roman" w:cs="Times New Roman"/>
          <w:sz w:val="28"/>
          <w:szCs w:val="28"/>
        </w:rPr>
      </w:pPr>
      <w:r w:rsidRPr="00121EA4">
        <w:rPr>
          <w:rFonts w:ascii="Times New Roman" w:hAnsi="Times New Roman" w:cs="Times New Roman"/>
          <w:sz w:val="28"/>
          <w:szCs w:val="28"/>
        </w:rPr>
        <w:t>Rīgā</w:t>
      </w:r>
      <w:r w:rsidRPr="00121EA4">
        <w:rPr>
          <w:rFonts w:ascii="Times New Roman" w:hAnsi="Times New Roman" w:cs="Times New Roman"/>
          <w:sz w:val="28"/>
          <w:szCs w:val="28"/>
        </w:rPr>
        <w:tab/>
        <w:t>(prot. Nr.           .§)</w:t>
      </w:r>
    </w:p>
    <w:p w:rsidR="00B21272" w:rsidRPr="00121EA4" w:rsidRDefault="00B21272" w:rsidP="00B21272">
      <w:pPr>
        <w:spacing w:after="0" w:line="240" w:lineRule="auto"/>
        <w:ind w:right="-1"/>
        <w:jc w:val="center"/>
        <w:rPr>
          <w:rFonts w:ascii="Times New Roman" w:hAnsi="Times New Roman" w:cs="Times New Roman"/>
          <w:b/>
          <w:sz w:val="28"/>
          <w:szCs w:val="28"/>
        </w:rPr>
      </w:pPr>
    </w:p>
    <w:p w:rsidR="002D0B36" w:rsidRPr="002D0B36" w:rsidRDefault="00B21272" w:rsidP="002D0B36">
      <w:pPr>
        <w:spacing w:after="0"/>
        <w:jc w:val="center"/>
        <w:rPr>
          <w:rFonts w:ascii="Times New Roman" w:hAnsi="Times New Roman" w:cs="Times New Roman"/>
          <w:b/>
          <w:sz w:val="28"/>
          <w:szCs w:val="28"/>
        </w:rPr>
      </w:pPr>
      <w:r w:rsidRPr="002D0B36">
        <w:rPr>
          <w:rFonts w:ascii="Times New Roman" w:hAnsi="Times New Roman" w:cs="Times New Roman"/>
          <w:b/>
          <w:sz w:val="28"/>
          <w:szCs w:val="28"/>
        </w:rPr>
        <w:t xml:space="preserve">Grozījumi Ministru kabineta </w:t>
      </w:r>
      <w:r w:rsidR="002D0B36" w:rsidRPr="002D0B36">
        <w:rPr>
          <w:rFonts w:ascii="Times New Roman" w:hAnsi="Times New Roman" w:cs="Times New Roman"/>
          <w:b/>
          <w:sz w:val="28"/>
          <w:szCs w:val="28"/>
        </w:rPr>
        <w:t>2017.</w:t>
      </w:r>
      <w:r w:rsidR="002D0B36">
        <w:rPr>
          <w:rFonts w:ascii="Times New Roman" w:hAnsi="Times New Roman" w:cs="Times New Roman"/>
          <w:b/>
          <w:sz w:val="28"/>
          <w:szCs w:val="28"/>
        </w:rPr>
        <w:t>gada 16.augusta</w:t>
      </w:r>
      <w:r w:rsidR="002D0B36" w:rsidRPr="002D0B36">
        <w:rPr>
          <w:rFonts w:ascii="Times New Roman" w:hAnsi="Times New Roman" w:cs="Times New Roman"/>
          <w:b/>
          <w:sz w:val="28"/>
          <w:szCs w:val="28"/>
        </w:rPr>
        <w:t xml:space="preserve"> noteikumos</w:t>
      </w:r>
    </w:p>
    <w:p w:rsidR="002D0B36" w:rsidRPr="002D0B36" w:rsidRDefault="002D0B36" w:rsidP="002D0B36">
      <w:pPr>
        <w:spacing w:after="0"/>
        <w:jc w:val="center"/>
        <w:rPr>
          <w:rFonts w:ascii="Times New Roman" w:hAnsi="Times New Roman" w:cs="Times New Roman"/>
          <w:b/>
          <w:sz w:val="28"/>
          <w:szCs w:val="28"/>
        </w:rPr>
      </w:pPr>
      <w:r w:rsidRPr="002D0B36">
        <w:rPr>
          <w:rFonts w:ascii="Times New Roman" w:hAnsi="Times New Roman" w:cs="Times New Roman"/>
          <w:b/>
          <w:sz w:val="28"/>
          <w:szCs w:val="28"/>
        </w:rPr>
        <w:t>Nr.475 “Valsts tiesu medicīnas ekspertīzes centra maksas</w:t>
      </w:r>
    </w:p>
    <w:p w:rsidR="00B21272" w:rsidRPr="002D0B36" w:rsidRDefault="002D0B36" w:rsidP="002D0B36">
      <w:pPr>
        <w:spacing w:after="0" w:line="240" w:lineRule="auto"/>
        <w:jc w:val="center"/>
        <w:rPr>
          <w:rFonts w:ascii="Times New Roman" w:hAnsi="Times New Roman" w:cs="Times New Roman"/>
          <w:b/>
          <w:sz w:val="28"/>
          <w:szCs w:val="28"/>
        </w:rPr>
      </w:pPr>
      <w:r w:rsidRPr="002D0B36">
        <w:rPr>
          <w:rFonts w:ascii="Times New Roman" w:hAnsi="Times New Roman" w:cs="Times New Roman"/>
          <w:b/>
          <w:sz w:val="28"/>
          <w:szCs w:val="28"/>
        </w:rPr>
        <w:t>pakalpojumu cenrādis”</w:t>
      </w:r>
    </w:p>
    <w:p w:rsidR="00B21272" w:rsidRPr="00121EA4" w:rsidRDefault="00B21272" w:rsidP="00B21272">
      <w:pPr>
        <w:spacing w:after="0" w:line="240" w:lineRule="auto"/>
        <w:jc w:val="right"/>
        <w:rPr>
          <w:rFonts w:ascii="Times New Roman" w:hAnsi="Times New Roman" w:cs="Times New Roman"/>
          <w:sz w:val="28"/>
          <w:szCs w:val="28"/>
        </w:rPr>
      </w:pPr>
    </w:p>
    <w:p w:rsidR="002D0B36" w:rsidRPr="002D0B36" w:rsidRDefault="00B21272" w:rsidP="002D0B36">
      <w:pPr>
        <w:spacing w:before="100" w:beforeAutospacing="1" w:after="100" w:afterAutospacing="1"/>
        <w:jc w:val="right"/>
        <w:rPr>
          <w:rFonts w:ascii="Times New Roman" w:hAnsi="Times New Roman" w:cs="Times New Roman"/>
          <w:sz w:val="28"/>
          <w:szCs w:val="28"/>
        </w:rPr>
      </w:pPr>
      <w:r w:rsidRPr="002D0B36">
        <w:rPr>
          <w:rFonts w:ascii="Times New Roman" w:hAnsi="Times New Roman" w:cs="Times New Roman"/>
          <w:sz w:val="28"/>
          <w:szCs w:val="28"/>
          <w:lang w:eastAsia="lv-LV"/>
        </w:rPr>
        <w:t xml:space="preserve">Izdoti </w:t>
      </w:r>
      <w:r w:rsidR="002D0B36" w:rsidRPr="002D0B36">
        <w:rPr>
          <w:rFonts w:ascii="Times New Roman" w:hAnsi="Times New Roman" w:cs="Times New Roman"/>
          <w:sz w:val="28"/>
          <w:szCs w:val="28"/>
        </w:rPr>
        <w:t xml:space="preserve">saskaņā ar Likuma </w:t>
      </w:r>
      <w:r w:rsidR="002D0B36">
        <w:rPr>
          <w:rFonts w:ascii="Times New Roman" w:hAnsi="Times New Roman" w:cs="Times New Roman"/>
          <w:sz w:val="28"/>
          <w:szCs w:val="28"/>
        </w:rPr>
        <w:t>“P</w:t>
      </w:r>
      <w:r w:rsidR="002D0B36" w:rsidRPr="002D0B36">
        <w:rPr>
          <w:rFonts w:ascii="Times New Roman" w:hAnsi="Times New Roman" w:cs="Times New Roman"/>
          <w:sz w:val="28"/>
          <w:szCs w:val="28"/>
        </w:rPr>
        <w:t>ar budžetu un finanšu vadību</w:t>
      </w:r>
      <w:r w:rsidR="002D0B36">
        <w:rPr>
          <w:rFonts w:ascii="Times New Roman" w:hAnsi="Times New Roman" w:cs="Times New Roman"/>
          <w:sz w:val="28"/>
          <w:szCs w:val="28"/>
        </w:rPr>
        <w:t>”</w:t>
      </w:r>
      <w:r w:rsidR="002D0B36" w:rsidRPr="002D0B36">
        <w:rPr>
          <w:rFonts w:ascii="Times New Roman" w:hAnsi="Times New Roman" w:cs="Times New Roman"/>
          <w:sz w:val="28"/>
          <w:szCs w:val="28"/>
        </w:rPr>
        <w:br/>
        <w:t>5.panta devīto daļu</w:t>
      </w:r>
    </w:p>
    <w:p w:rsidR="00B21272" w:rsidRPr="00121EA4" w:rsidRDefault="00B21272" w:rsidP="00B21272">
      <w:pPr>
        <w:pStyle w:val="Title"/>
        <w:ind w:left="6804"/>
        <w:jc w:val="both"/>
        <w:outlineLvl w:val="0"/>
        <w:rPr>
          <w:szCs w:val="28"/>
          <w:lang w:eastAsia="lv-LV"/>
        </w:rPr>
      </w:pPr>
    </w:p>
    <w:p w:rsidR="00B21272" w:rsidRPr="002D0B36" w:rsidRDefault="00B21272" w:rsidP="0006317A">
      <w:pPr>
        <w:tabs>
          <w:tab w:val="left" w:pos="9214"/>
        </w:tabs>
        <w:spacing w:after="0" w:line="240" w:lineRule="auto"/>
        <w:ind w:firstLine="709"/>
        <w:jc w:val="both"/>
        <w:rPr>
          <w:rFonts w:ascii="Times New Roman" w:hAnsi="Times New Roman" w:cs="Times New Roman"/>
          <w:sz w:val="28"/>
          <w:szCs w:val="28"/>
        </w:rPr>
      </w:pPr>
      <w:r w:rsidRPr="002D0B36">
        <w:rPr>
          <w:rFonts w:ascii="Times New Roman" w:hAnsi="Times New Roman" w:cs="Times New Roman"/>
          <w:sz w:val="28"/>
          <w:szCs w:val="28"/>
        </w:rPr>
        <w:t xml:space="preserve">Izdarīt </w:t>
      </w:r>
      <w:r w:rsidR="002D0B36" w:rsidRPr="002D0B36">
        <w:rPr>
          <w:rFonts w:ascii="Times New Roman" w:hAnsi="Times New Roman" w:cs="Times New Roman"/>
          <w:sz w:val="28"/>
          <w:szCs w:val="28"/>
        </w:rPr>
        <w:t>Ministru kabineta 2017.</w:t>
      </w:r>
      <w:r w:rsidR="00D8142B">
        <w:rPr>
          <w:rFonts w:ascii="Times New Roman" w:hAnsi="Times New Roman" w:cs="Times New Roman"/>
          <w:sz w:val="28"/>
          <w:szCs w:val="28"/>
        </w:rPr>
        <w:t xml:space="preserve"> </w:t>
      </w:r>
      <w:r w:rsidR="002D0B36" w:rsidRPr="002D0B36">
        <w:rPr>
          <w:rFonts w:ascii="Times New Roman" w:hAnsi="Times New Roman" w:cs="Times New Roman"/>
          <w:sz w:val="28"/>
          <w:szCs w:val="28"/>
        </w:rPr>
        <w:t>gada 16.</w:t>
      </w:r>
      <w:r w:rsidR="00D8142B">
        <w:rPr>
          <w:rFonts w:ascii="Times New Roman" w:hAnsi="Times New Roman" w:cs="Times New Roman"/>
          <w:sz w:val="28"/>
          <w:szCs w:val="28"/>
        </w:rPr>
        <w:t xml:space="preserve"> </w:t>
      </w:r>
      <w:r w:rsidR="002D0B36" w:rsidRPr="002D0B36">
        <w:rPr>
          <w:rFonts w:ascii="Times New Roman" w:hAnsi="Times New Roman" w:cs="Times New Roman"/>
          <w:sz w:val="28"/>
          <w:szCs w:val="28"/>
        </w:rPr>
        <w:t>augusta noteikumos Nr.</w:t>
      </w:r>
      <w:r w:rsidR="00D8142B">
        <w:rPr>
          <w:rFonts w:ascii="Times New Roman" w:hAnsi="Times New Roman" w:cs="Times New Roman"/>
          <w:sz w:val="28"/>
          <w:szCs w:val="28"/>
        </w:rPr>
        <w:t xml:space="preserve"> </w:t>
      </w:r>
      <w:r w:rsidR="002D0B36" w:rsidRPr="002D0B36">
        <w:rPr>
          <w:rFonts w:ascii="Times New Roman" w:hAnsi="Times New Roman" w:cs="Times New Roman"/>
          <w:sz w:val="28"/>
          <w:szCs w:val="28"/>
        </w:rPr>
        <w:t>475 “Valsts tiesu medicīnas ekspertīzes centra maksas pakalpojumu cenrādis”</w:t>
      </w:r>
      <w:r w:rsidR="002D0B36">
        <w:rPr>
          <w:rFonts w:ascii="Times New Roman" w:hAnsi="Times New Roman" w:cs="Times New Roman"/>
          <w:sz w:val="28"/>
          <w:szCs w:val="28"/>
        </w:rPr>
        <w:t xml:space="preserve"> </w:t>
      </w:r>
      <w:r w:rsidRPr="002D0B36">
        <w:rPr>
          <w:rFonts w:ascii="Times New Roman" w:hAnsi="Times New Roman" w:cs="Times New Roman"/>
          <w:sz w:val="28"/>
          <w:szCs w:val="28"/>
        </w:rPr>
        <w:t xml:space="preserve">(Latvijas Vēstnesis, </w:t>
      </w:r>
      <w:r w:rsidR="00CA1B28">
        <w:rPr>
          <w:rFonts w:ascii="Times New Roman" w:hAnsi="Times New Roman" w:cs="Times New Roman"/>
          <w:sz w:val="28"/>
          <w:szCs w:val="28"/>
        </w:rPr>
        <w:t xml:space="preserve">2017, </w:t>
      </w:r>
      <w:r w:rsidR="002D0B36" w:rsidRPr="002D0B36">
        <w:rPr>
          <w:rFonts w:ascii="Times New Roman" w:hAnsi="Times New Roman" w:cs="Times New Roman"/>
          <w:sz w:val="28"/>
          <w:szCs w:val="28"/>
        </w:rPr>
        <w:t>164</w:t>
      </w:r>
      <w:r w:rsidR="00CA1B28">
        <w:rPr>
          <w:rFonts w:ascii="Times New Roman" w:hAnsi="Times New Roman" w:cs="Times New Roman"/>
          <w:sz w:val="28"/>
          <w:szCs w:val="28"/>
        </w:rPr>
        <w:t>.nr.</w:t>
      </w:r>
      <w:r w:rsidR="002D0B36" w:rsidRPr="002D0B36">
        <w:rPr>
          <w:rFonts w:ascii="Times New Roman" w:hAnsi="Times New Roman" w:cs="Times New Roman"/>
          <w:sz w:val="28"/>
          <w:szCs w:val="28"/>
        </w:rPr>
        <w:t xml:space="preserve"> </w:t>
      </w:r>
      <w:r w:rsidR="002D0B36">
        <w:rPr>
          <w:rFonts w:ascii="Times New Roman" w:hAnsi="Times New Roman" w:cs="Times New Roman"/>
          <w:sz w:val="28"/>
          <w:szCs w:val="28"/>
        </w:rPr>
        <w:t xml:space="preserve">) </w:t>
      </w:r>
      <w:r w:rsidRPr="002D0B36">
        <w:rPr>
          <w:rFonts w:ascii="Times New Roman" w:hAnsi="Times New Roman" w:cs="Times New Roman"/>
          <w:sz w:val="28"/>
          <w:szCs w:val="28"/>
        </w:rPr>
        <w:t>šādus grozījumus:</w:t>
      </w:r>
    </w:p>
    <w:p w:rsidR="00B21272" w:rsidRPr="00121EA4" w:rsidRDefault="00B21272" w:rsidP="00B21272">
      <w:pPr>
        <w:pStyle w:val="Title"/>
        <w:ind w:firstLine="709"/>
        <w:jc w:val="both"/>
        <w:outlineLvl w:val="0"/>
      </w:pPr>
    </w:p>
    <w:p w:rsidR="00B21272" w:rsidRPr="00121EA4" w:rsidRDefault="00B21272" w:rsidP="00B21272">
      <w:pPr>
        <w:pStyle w:val="Title"/>
        <w:ind w:firstLine="709"/>
        <w:jc w:val="both"/>
        <w:outlineLvl w:val="0"/>
      </w:pPr>
      <w:r w:rsidRPr="00121EA4">
        <w:t xml:space="preserve">1. Papildināt noteikumus ar </w:t>
      </w:r>
      <w:r w:rsidR="00D8142B">
        <w:t>3</w:t>
      </w:r>
      <w:r w:rsidR="00972BAE">
        <w:t>.¹</w:t>
      </w:r>
      <w:r w:rsidR="005B68A1">
        <w:t xml:space="preserve">., </w:t>
      </w:r>
      <w:r w:rsidR="00972BAE">
        <w:t>3.²</w:t>
      </w:r>
      <w:r w:rsidR="00C0362B">
        <w:t xml:space="preserve"> un</w:t>
      </w:r>
      <w:r w:rsidR="005B68A1">
        <w:t xml:space="preserve"> </w:t>
      </w:r>
      <w:r w:rsidR="00972BAE">
        <w:t>3</w:t>
      </w:r>
      <w:r w:rsidR="005B68A1">
        <w:t>.</w:t>
      </w:r>
      <w:r w:rsidR="00972BAE">
        <w:t>³</w:t>
      </w:r>
      <w:r w:rsidR="005B68A1">
        <w:t xml:space="preserve">, </w:t>
      </w:r>
      <w:r w:rsidR="002D0B36">
        <w:t xml:space="preserve">punktu </w:t>
      </w:r>
      <w:r w:rsidRPr="00121EA4">
        <w:t>šādā redakcijā:</w:t>
      </w:r>
    </w:p>
    <w:p w:rsidR="002D0B36" w:rsidRPr="002D0B36" w:rsidRDefault="0006317A" w:rsidP="00D04291">
      <w:pPr>
        <w:pStyle w:val="Title"/>
        <w:ind w:firstLine="709"/>
        <w:jc w:val="both"/>
        <w:outlineLvl w:val="0"/>
        <w:rPr>
          <w:szCs w:val="28"/>
          <w:lang w:eastAsia="lv-LV"/>
        </w:rPr>
      </w:pPr>
      <w:r>
        <w:t>“</w:t>
      </w:r>
      <w:r w:rsidR="00972BAE">
        <w:t>3.</w:t>
      </w:r>
      <w:r w:rsidR="00D04291" w:rsidRPr="00D04291">
        <w:rPr>
          <w:vertAlign w:val="superscript"/>
        </w:rPr>
        <w:t>1</w:t>
      </w:r>
      <w:r w:rsidR="00972BAE">
        <w:t xml:space="preserve"> </w:t>
      </w:r>
      <w:r w:rsidR="002D0B36" w:rsidRPr="002D0B36">
        <w:rPr>
          <w:szCs w:val="28"/>
          <w:lang w:eastAsia="lv-LV"/>
        </w:rPr>
        <w:t xml:space="preserve">Komisijas ekspertīzēs </w:t>
      </w:r>
      <w:r w:rsidR="00972BAE">
        <w:rPr>
          <w:szCs w:val="28"/>
          <w:lang w:eastAsia="lv-LV"/>
        </w:rPr>
        <w:t>administratīvajā procesā, administratīvo pārkāpumu lietvedībā</w:t>
      </w:r>
      <w:r w:rsidR="00D04291">
        <w:rPr>
          <w:szCs w:val="28"/>
          <w:lang w:eastAsia="lv-LV"/>
        </w:rPr>
        <w:t>, civilprocesā</w:t>
      </w:r>
      <w:r w:rsidR="00972BAE">
        <w:rPr>
          <w:szCs w:val="28"/>
          <w:lang w:eastAsia="lv-LV"/>
        </w:rPr>
        <w:t xml:space="preserve"> </w:t>
      </w:r>
      <w:r w:rsidR="002D0B36" w:rsidRPr="002D0B36">
        <w:rPr>
          <w:szCs w:val="28"/>
          <w:lang w:eastAsia="lv-LV"/>
        </w:rPr>
        <w:t>un kriminālprocesā pieaicināto ekspertu dalību komisijas ekspertīzes atzinuma sagatavošanā centram atlīdzina ekspertīzes pieprasītājs</w:t>
      </w:r>
      <w:r w:rsidR="00D04291">
        <w:rPr>
          <w:szCs w:val="28"/>
          <w:lang w:eastAsia="lv-LV"/>
        </w:rPr>
        <w:t xml:space="preserve"> (lietas dalībnieks</w:t>
      </w:r>
      <w:r w:rsidR="00D04291" w:rsidRPr="002D0B36">
        <w:rPr>
          <w:szCs w:val="28"/>
          <w:lang w:eastAsia="lv-LV"/>
        </w:rPr>
        <w:t>, pēc kura lūguma no</w:t>
      </w:r>
      <w:r w:rsidR="00D04291">
        <w:rPr>
          <w:szCs w:val="28"/>
          <w:lang w:eastAsia="lv-LV"/>
        </w:rPr>
        <w:t xml:space="preserve">teikta </w:t>
      </w:r>
      <w:r w:rsidR="00D04291" w:rsidRPr="002D0B36">
        <w:rPr>
          <w:szCs w:val="28"/>
          <w:lang w:eastAsia="lv-LV"/>
        </w:rPr>
        <w:t>ekspertīze</w:t>
      </w:r>
      <w:r w:rsidR="00D04291">
        <w:rPr>
          <w:szCs w:val="28"/>
          <w:lang w:eastAsia="lv-LV"/>
        </w:rPr>
        <w:t>)</w:t>
      </w:r>
      <w:r w:rsidR="00EB05CB">
        <w:rPr>
          <w:szCs w:val="28"/>
          <w:lang w:eastAsia="lv-LV"/>
        </w:rPr>
        <w:t xml:space="preserve"> vai Tiesu administrācija </w:t>
      </w:r>
      <w:r w:rsidR="002D0B36" w:rsidRPr="002D0B36">
        <w:rPr>
          <w:szCs w:val="28"/>
          <w:lang w:eastAsia="lv-LV"/>
        </w:rPr>
        <w:t>atbi</w:t>
      </w:r>
      <w:r w:rsidR="0097174D">
        <w:rPr>
          <w:szCs w:val="28"/>
          <w:lang w:eastAsia="lv-LV"/>
        </w:rPr>
        <w:t xml:space="preserve">lstoši </w:t>
      </w:r>
      <w:r w:rsidR="00972BAE">
        <w:rPr>
          <w:szCs w:val="28"/>
          <w:lang w:eastAsia="lv-LV"/>
        </w:rPr>
        <w:t xml:space="preserve">šiem noteikumiem un </w:t>
      </w:r>
      <w:r w:rsidR="003C79AF">
        <w:rPr>
          <w:szCs w:val="28"/>
          <w:lang w:eastAsia="lv-LV"/>
        </w:rPr>
        <w:t>faktiskajām eksperta stundām</w:t>
      </w:r>
      <w:r w:rsidR="00EB05CB">
        <w:rPr>
          <w:szCs w:val="28"/>
          <w:lang w:eastAsia="lv-LV"/>
        </w:rPr>
        <w:t>.</w:t>
      </w:r>
    </w:p>
    <w:p w:rsidR="002D0B36" w:rsidRPr="002D0B36" w:rsidRDefault="00972BAE" w:rsidP="00B21272">
      <w:pPr>
        <w:pStyle w:val="Title"/>
        <w:ind w:firstLine="709"/>
        <w:jc w:val="both"/>
        <w:outlineLvl w:val="0"/>
        <w:rPr>
          <w:szCs w:val="28"/>
          <w:lang w:eastAsia="lv-LV"/>
        </w:rPr>
      </w:pPr>
      <w:r>
        <w:t>3.</w:t>
      </w:r>
      <w:r w:rsidR="00D04291" w:rsidRPr="00D04291">
        <w:rPr>
          <w:vertAlign w:val="superscript"/>
        </w:rPr>
        <w:t>2</w:t>
      </w:r>
      <w:r w:rsidR="002D0B36" w:rsidRPr="002D0B36">
        <w:rPr>
          <w:szCs w:val="28"/>
          <w:lang w:eastAsia="lv-LV"/>
        </w:rPr>
        <w:t xml:space="preserve"> Ekspertīzes izdevumus civil</w:t>
      </w:r>
      <w:r w:rsidR="003C79AF">
        <w:rPr>
          <w:szCs w:val="28"/>
          <w:lang w:eastAsia="lv-LV"/>
        </w:rPr>
        <w:t>procesā</w:t>
      </w:r>
      <w:r w:rsidR="002D0B36" w:rsidRPr="002D0B36">
        <w:rPr>
          <w:szCs w:val="28"/>
          <w:lang w:eastAsia="lv-LV"/>
        </w:rPr>
        <w:t xml:space="preserve">, izņemot gadījumus, ja tiesa lēmusi citādi, </w:t>
      </w:r>
      <w:r w:rsidR="003C79AF">
        <w:rPr>
          <w:szCs w:val="28"/>
          <w:lang w:eastAsia="lv-LV"/>
        </w:rPr>
        <w:t>lietas dalībnieks</w:t>
      </w:r>
      <w:r w:rsidR="003C79AF" w:rsidRPr="002D0B36">
        <w:rPr>
          <w:szCs w:val="28"/>
          <w:lang w:eastAsia="lv-LV"/>
        </w:rPr>
        <w:t>, pēc kura lūguma no</w:t>
      </w:r>
      <w:r w:rsidR="003C79AF">
        <w:rPr>
          <w:szCs w:val="28"/>
          <w:lang w:eastAsia="lv-LV"/>
        </w:rPr>
        <w:t xml:space="preserve">teikta </w:t>
      </w:r>
      <w:r w:rsidR="003C79AF" w:rsidRPr="002D0B36">
        <w:rPr>
          <w:szCs w:val="28"/>
          <w:lang w:eastAsia="lv-LV"/>
        </w:rPr>
        <w:t>ekspertīze</w:t>
      </w:r>
      <w:r w:rsidR="003C79AF">
        <w:rPr>
          <w:szCs w:val="28"/>
          <w:lang w:eastAsia="lv-LV"/>
        </w:rPr>
        <w:t xml:space="preserve">, apmaksā </w:t>
      </w:r>
      <w:r w:rsidR="002D0B36" w:rsidRPr="002D0B36">
        <w:rPr>
          <w:szCs w:val="28"/>
          <w:lang w:eastAsia="lv-LV"/>
        </w:rPr>
        <w:t xml:space="preserve">pirms ekspertīzes veikšanas, </w:t>
      </w:r>
      <w:r w:rsidR="003C79AF">
        <w:rPr>
          <w:szCs w:val="28"/>
          <w:lang w:eastAsia="lv-LV"/>
        </w:rPr>
        <w:t>atbilstoši centra izrakstītam rēķinam</w:t>
      </w:r>
      <w:r w:rsidR="00AC0689">
        <w:rPr>
          <w:szCs w:val="28"/>
          <w:lang w:eastAsia="lv-LV"/>
        </w:rPr>
        <w:t>.</w:t>
      </w:r>
    </w:p>
    <w:p w:rsidR="002D0B36" w:rsidRDefault="00972BAE" w:rsidP="00B21272">
      <w:pPr>
        <w:pStyle w:val="Title"/>
        <w:ind w:firstLine="709"/>
        <w:jc w:val="both"/>
        <w:outlineLvl w:val="0"/>
        <w:rPr>
          <w:szCs w:val="28"/>
        </w:rPr>
      </w:pPr>
      <w:r>
        <w:t>3.</w:t>
      </w:r>
      <w:r w:rsidR="00D04291" w:rsidRPr="00D04291">
        <w:rPr>
          <w:vertAlign w:val="superscript"/>
        </w:rPr>
        <w:t>3</w:t>
      </w:r>
      <w:r w:rsidR="002D0B36" w:rsidRPr="002D0B36">
        <w:rPr>
          <w:szCs w:val="28"/>
        </w:rPr>
        <w:t xml:space="preserve"> </w:t>
      </w:r>
      <w:r w:rsidR="00836AB4">
        <w:rPr>
          <w:szCs w:val="28"/>
        </w:rPr>
        <w:t>Ekspertīzes  izdevum</w:t>
      </w:r>
      <w:r w:rsidR="00525E07">
        <w:rPr>
          <w:szCs w:val="28"/>
        </w:rPr>
        <w:t xml:space="preserve">i personām, kuras neatbilst Veselības aprūpes finansēšanas likuma 9.pantam </w:t>
      </w:r>
      <w:r w:rsidR="002D0B36" w:rsidRPr="002D0B36">
        <w:rPr>
          <w:szCs w:val="28"/>
        </w:rPr>
        <w:t xml:space="preserve">, tiek segti no ekspertējamās </w:t>
      </w:r>
      <w:r w:rsidR="00FE29A9" w:rsidRPr="00A53102">
        <w:rPr>
          <w:szCs w:val="28"/>
        </w:rPr>
        <w:t xml:space="preserve">vai citas </w:t>
      </w:r>
      <w:r w:rsidR="002D0B36" w:rsidRPr="00A53102">
        <w:rPr>
          <w:szCs w:val="28"/>
        </w:rPr>
        <w:t>personas</w:t>
      </w:r>
      <w:r w:rsidR="00FE29A9" w:rsidRPr="00A53102">
        <w:rPr>
          <w:szCs w:val="28"/>
        </w:rPr>
        <w:t>,</w:t>
      </w:r>
      <w:r w:rsidR="00304599" w:rsidRPr="00A53102">
        <w:rPr>
          <w:szCs w:val="28"/>
        </w:rPr>
        <w:t xml:space="preserve"> </w:t>
      </w:r>
      <w:r w:rsidR="002D0B36" w:rsidRPr="002D0B36">
        <w:rPr>
          <w:szCs w:val="28"/>
        </w:rPr>
        <w:t>vai attiecīgās apdrošināšanas sabiedrības līdzekļiem.</w:t>
      </w:r>
    </w:p>
    <w:p w:rsidR="002D0B36" w:rsidRPr="002D0B36" w:rsidRDefault="002D0B36" w:rsidP="00B21272">
      <w:pPr>
        <w:pStyle w:val="Title"/>
        <w:ind w:firstLine="709"/>
        <w:jc w:val="both"/>
        <w:outlineLvl w:val="0"/>
        <w:rPr>
          <w:szCs w:val="28"/>
        </w:rPr>
      </w:pPr>
    </w:p>
    <w:p w:rsidR="00445CDC" w:rsidRPr="0098516D" w:rsidRDefault="002D0B36" w:rsidP="0098516D">
      <w:pPr>
        <w:pStyle w:val="Title"/>
        <w:ind w:firstLine="709"/>
        <w:jc w:val="both"/>
        <w:outlineLvl w:val="0"/>
        <w:rPr>
          <w:szCs w:val="28"/>
        </w:rPr>
      </w:pPr>
      <w:r w:rsidRPr="002D0B36">
        <w:rPr>
          <w:szCs w:val="28"/>
        </w:rPr>
        <w:t>2. Iz</w:t>
      </w:r>
      <w:r w:rsidR="005B68A1">
        <w:rPr>
          <w:szCs w:val="28"/>
        </w:rPr>
        <w:t>teikt pielikumu šādā redakcijā:</w:t>
      </w:r>
    </w:p>
    <w:p w:rsidR="00445CDC" w:rsidRPr="00445CDC" w:rsidRDefault="00445CDC" w:rsidP="00445CDC">
      <w:pPr>
        <w:spacing w:after="0"/>
        <w:jc w:val="right"/>
        <w:rPr>
          <w:rFonts w:ascii="Times New Roman" w:hAnsi="Times New Roman" w:cs="Times New Roman"/>
          <w:sz w:val="28"/>
          <w:szCs w:val="28"/>
        </w:rPr>
      </w:pPr>
      <w:r w:rsidRPr="00445CDC">
        <w:rPr>
          <w:rFonts w:ascii="Times New Roman" w:hAnsi="Times New Roman" w:cs="Times New Roman"/>
          <w:sz w:val="28"/>
          <w:szCs w:val="28"/>
        </w:rPr>
        <w:t>“Pielikums</w:t>
      </w:r>
    </w:p>
    <w:p w:rsidR="00445CDC" w:rsidRPr="00445CDC" w:rsidRDefault="00445CDC" w:rsidP="00445CDC">
      <w:pPr>
        <w:spacing w:after="0"/>
        <w:jc w:val="right"/>
        <w:rPr>
          <w:rFonts w:ascii="Times New Roman" w:hAnsi="Times New Roman" w:cs="Times New Roman"/>
          <w:sz w:val="28"/>
          <w:szCs w:val="28"/>
        </w:rPr>
      </w:pPr>
      <w:r w:rsidRPr="00445CDC">
        <w:rPr>
          <w:rFonts w:ascii="Times New Roman" w:hAnsi="Times New Roman" w:cs="Times New Roman"/>
          <w:sz w:val="28"/>
          <w:szCs w:val="28"/>
        </w:rPr>
        <w:t>Ministru kabineta</w:t>
      </w:r>
    </w:p>
    <w:p w:rsidR="00445CDC" w:rsidRPr="00445CDC" w:rsidRDefault="00445CDC" w:rsidP="00445CDC">
      <w:pPr>
        <w:spacing w:after="0"/>
        <w:jc w:val="right"/>
        <w:rPr>
          <w:rFonts w:ascii="Times New Roman" w:hAnsi="Times New Roman" w:cs="Times New Roman"/>
          <w:sz w:val="28"/>
          <w:szCs w:val="28"/>
        </w:rPr>
      </w:pPr>
      <w:r w:rsidRPr="00445CDC">
        <w:rPr>
          <w:rFonts w:ascii="Times New Roman" w:hAnsi="Times New Roman" w:cs="Times New Roman"/>
          <w:sz w:val="28"/>
          <w:szCs w:val="28"/>
        </w:rPr>
        <w:t>2017. gada 16. augusta</w:t>
      </w:r>
    </w:p>
    <w:p w:rsidR="00445CDC" w:rsidRPr="00445CDC" w:rsidRDefault="00445CDC" w:rsidP="00445CDC">
      <w:pPr>
        <w:spacing w:after="0"/>
        <w:jc w:val="right"/>
        <w:rPr>
          <w:rFonts w:ascii="Times New Roman" w:hAnsi="Times New Roman" w:cs="Times New Roman"/>
          <w:sz w:val="28"/>
          <w:szCs w:val="28"/>
        </w:rPr>
      </w:pPr>
      <w:r w:rsidRPr="00445CDC">
        <w:rPr>
          <w:rFonts w:ascii="Times New Roman" w:hAnsi="Times New Roman" w:cs="Times New Roman"/>
          <w:sz w:val="28"/>
          <w:szCs w:val="28"/>
        </w:rPr>
        <w:t>noteikumiem Nr. 475</w:t>
      </w:r>
    </w:p>
    <w:p w:rsidR="00445CDC" w:rsidRPr="00445CDC" w:rsidRDefault="00445CDC" w:rsidP="00445CDC">
      <w:pPr>
        <w:pStyle w:val="BodyTextIndent"/>
        <w:ind w:left="0"/>
        <w:rPr>
          <w:sz w:val="28"/>
          <w:szCs w:val="28"/>
          <w:lang w:val="lv-LV"/>
        </w:rPr>
      </w:pPr>
    </w:p>
    <w:p w:rsidR="00445CDC" w:rsidRPr="00445CDC" w:rsidRDefault="00445CDC" w:rsidP="00445CDC">
      <w:pPr>
        <w:pStyle w:val="BodyTextIndent"/>
        <w:ind w:left="0"/>
        <w:jc w:val="center"/>
        <w:rPr>
          <w:b/>
          <w:sz w:val="28"/>
          <w:szCs w:val="28"/>
          <w:lang w:val="lv-LV"/>
        </w:rPr>
      </w:pPr>
      <w:r w:rsidRPr="00445CDC">
        <w:rPr>
          <w:b/>
          <w:sz w:val="28"/>
          <w:szCs w:val="28"/>
          <w:lang w:val="lv-LV"/>
        </w:rPr>
        <w:t>Valsts tiesu medicīnas ekspertīzes centra maksas pakalpojumu cenrādis</w:t>
      </w:r>
    </w:p>
    <w:p w:rsidR="00445CDC" w:rsidRPr="00445CDC" w:rsidRDefault="00445CDC" w:rsidP="00445CDC">
      <w:pPr>
        <w:pStyle w:val="naisf"/>
        <w:spacing w:before="0" w:after="0"/>
        <w:ind w:firstLine="0"/>
        <w:rPr>
          <w:sz w:val="28"/>
          <w:szCs w:val="28"/>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407"/>
        <w:gridCol w:w="1698"/>
        <w:gridCol w:w="1105"/>
        <w:gridCol w:w="1079"/>
        <w:gridCol w:w="79"/>
        <w:gridCol w:w="1026"/>
      </w:tblGrid>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Nr.</w:t>
            </w:r>
            <w:r w:rsidRPr="00445CDC">
              <w:rPr>
                <w:rFonts w:ascii="Times New Roman" w:hAnsi="Times New Roman" w:cs="Times New Roman"/>
                <w:sz w:val="28"/>
                <w:szCs w:val="28"/>
              </w:rPr>
              <w:br/>
              <w:t>p. k.</w:t>
            </w:r>
          </w:p>
        </w:tc>
        <w:tc>
          <w:tcPr>
            <w:tcW w:w="1843"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Pakalpojuma veids</w:t>
            </w:r>
          </w:p>
        </w:tc>
        <w:tc>
          <w:tcPr>
            <w:tcW w:w="919"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Mērvienība</w:t>
            </w:r>
          </w:p>
        </w:tc>
        <w:tc>
          <w:tcPr>
            <w:tcW w:w="598"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Cena bez PVN</w:t>
            </w:r>
          </w:p>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w:t>
            </w:r>
            <w:r w:rsidRPr="00445CDC">
              <w:rPr>
                <w:rFonts w:ascii="Times New Roman" w:hAnsi="Times New Roman" w:cs="Times New Roman"/>
                <w:i/>
                <w:sz w:val="28"/>
                <w:szCs w:val="28"/>
              </w:rPr>
              <w:t>euro</w:t>
            </w:r>
            <w:r w:rsidRPr="00445CDC">
              <w:rPr>
                <w:rFonts w:ascii="Times New Roman" w:hAnsi="Times New Roman" w:cs="Times New Roman"/>
                <w:sz w:val="28"/>
                <w:szCs w:val="28"/>
              </w:rPr>
              <w:t>)</w:t>
            </w:r>
          </w:p>
        </w:tc>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PVN</w:t>
            </w:r>
          </w:p>
          <w:p w:rsidR="00445CDC" w:rsidRPr="00445CDC" w:rsidRDefault="00445CDC">
            <w:pPr>
              <w:spacing w:line="276" w:lineRule="auto"/>
              <w:jc w:val="center"/>
              <w:rPr>
                <w:rFonts w:ascii="Times New Roman" w:hAnsi="Times New Roman" w:cs="Times New Roman"/>
                <w:sz w:val="28"/>
                <w:szCs w:val="28"/>
              </w:rPr>
            </w:pPr>
            <w:r w:rsidRPr="00445CDC">
              <w:rPr>
                <w:rFonts w:ascii="Times New Roman" w:hAnsi="Times New Roman" w:cs="Times New Roman"/>
                <w:sz w:val="28"/>
                <w:szCs w:val="28"/>
              </w:rPr>
              <w:t>21 %</w:t>
            </w:r>
          </w:p>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w:t>
            </w:r>
            <w:r w:rsidRPr="00445CDC">
              <w:rPr>
                <w:rFonts w:ascii="Times New Roman" w:hAnsi="Times New Roman" w:cs="Times New Roman"/>
                <w:i/>
                <w:sz w:val="28"/>
                <w:szCs w:val="28"/>
              </w:rPr>
              <w:t>euro</w:t>
            </w:r>
            <w:r w:rsidRPr="00445CDC">
              <w:rPr>
                <w:rFonts w:ascii="Times New Roman" w:hAnsi="Times New Roman" w:cs="Times New Roman"/>
                <w:sz w:val="28"/>
                <w:szCs w:val="28"/>
              </w:rPr>
              <w:t>)</w:t>
            </w:r>
          </w:p>
        </w:tc>
        <w:tc>
          <w:tcPr>
            <w:tcW w:w="555"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Cena ar</w:t>
            </w:r>
          </w:p>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PVN (</w:t>
            </w:r>
            <w:r w:rsidRPr="00445CDC">
              <w:rPr>
                <w:rFonts w:ascii="Times New Roman" w:hAnsi="Times New Roman" w:cs="Times New Roman"/>
                <w:i/>
                <w:sz w:val="28"/>
                <w:szCs w:val="28"/>
              </w:rPr>
              <w:t>euro</w:t>
            </w:r>
            <w:r w:rsidRPr="00445CDC">
              <w:rPr>
                <w:rFonts w:ascii="Times New Roman" w:hAnsi="Times New Roman" w:cs="Times New Roman"/>
                <w:sz w:val="28"/>
                <w:szCs w:val="28"/>
              </w:rPr>
              <w:t>)</w:t>
            </w:r>
          </w:p>
        </w:tc>
      </w:tr>
      <w:tr w:rsidR="00445CDC" w:rsidRPr="00445CDC" w:rsidTr="0098516D">
        <w:trPr>
          <w:trHeight w:hRule="exact" w:val="358"/>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w:t>
            </w:r>
          </w:p>
        </w:tc>
        <w:tc>
          <w:tcPr>
            <w:tcW w:w="4542" w:type="pct"/>
            <w:gridSpan w:val="6"/>
            <w:tcBorders>
              <w:top w:val="single" w:sz="4" w:space="0" w:color="auto"/>
              <w:left w:val="single" w:sz="4" w:space="0" w:color="auto"/>
              <w:bottom w:val="single" w:sz="4" w:space="0" w:color="auto"/>
              <w:right w:val="single" w:sz="4" w:space="0" w:color="auto"/>
            </w:tcBorders>
            <w:vAlign w:val="center"/>
          </w:tcPr>
          <w:p w:rsidR="00445CDC" w:rsidRPr="00445CDC" w:rsidRDefault="00445CDC">
            <w:pPr>
              <w:spacing w:line="276" w:lineRule="auto"/>
              <w:jc w:val="both"/>
              <w:rPr>
                <w:rFonts w:ascii="Times New Roman" w:eastAsia="Times New Roman" w:hAnsi="Times New Roman" w:cs="Times New Roman"/>
                <w:sz w:val="28"/>
                <w:szCs w:val="28"/>
              </w:rPr>
            </w:pPr>
            <w:r w:rsidRPr="00445CDC">
              <w:rPr>
                <w:rFonts w:ascii="Times New Roman" w:hAnsi="Times New Roman" w:cs="Times New Roman"/>
                <w:sz w:val="28"/>
                <w:szCs w:val="28"/>
              </w:rPr>
              <w:t>Ķīmiski toksikoloģiskā izpēte</w:t>
            </w:r>
            <w:r w:rsidRPr="00445CDC">
              <w:rPr>
                <w:rFonts w:ascii="Times New Roman" w:hAnsi="Times New Roman" w:cs="Times New Roman"/>
                <w:sz w:val="28"/>
                <w:szCs w:val="28"/>
                <w:vertAlign w:val="superscript"/>
              </w:rPr>
              <w:t>1, 2</w:t>
            </w:r>
            <w:r w:rsidRPr="00445CDC">
              <w:rPr>
                <w:rFonts w:ascii="Times New Roman" w:hAnsi="Times New Roman" w:cs="Times New Roman"/>
                <w:sz w:val="28"/>
                <w:szCs w:val="28"/>
              </w:rPr>
              <w:t>:</w:t>
            </w:r>
          </w:p>
          <w:p w:rsidR="00445CDC" w:rsidRPr="00445CDC" w:rsidRDefault="00445CDC">
            <w:pPr>
              <w:spacing w:line="276" w:lineRule="auto"/>
              <w:jc w:val="both"/>
              <w:rPr>
                <w:rFonts w:ascii="Times New Roman" w:eastAsia="Times New Roman" w:hAnsi="Times New Roman" w:cs="Times New Roman"/>
                <w:sz w:val="28"/>
                <w:szCs w:val="28"/>
              </w:rPr>
            </w:pP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lastRenderedPageBreak/>
              <w:t>1.1.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pilna ķīmiski toksikoloģiskā izpēte</w:t>
            </w:r>
            <w:r w:rsidRPr="00445CDC">
              <w:rPr>
                <w:rFonts w:ascii="Times New Roman" w:hAnsi="Times New Roman" w:cs="Times New Roman"/>
                <w:sz w:val="28"/>
                <w:szCs w:val="28"/>
                <w:vertAlign w:val="superscript"/>
              </w:rPr>
              <w:t>3</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135,22</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135,22</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1.2.</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opija alkaloīdu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44,04</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44,04</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1.3.</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amfetamīna un tā atvasinājumu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39,95</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39,95</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1.4.</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tetrahidrokanabinola un tā atvasinājumu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44,91</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44,91</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1.5.</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kokaīna un tā metabolītu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39,63</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39,63</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1.6.</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barbiturātu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40,96</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40,96</w:t>
            </w:r>
          </w:p>
        </w:tc>
      </w:tr>
      <w:tr w:rsidR="0007465A" w:rsidRPr="00445CDC" w:rsidTr="0098516D">
        <w:trPr>
          <w:trHeight w:val="1515"/>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1.7.</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98516D"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ķīmiski toksikoloģiskā izpēte 1,4-benzodiazepīna grupas preparātu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44,58</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44,58</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1.8.</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fenotiazīna grupas preparātu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41,04</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41,04</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1.9.</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triciklisko antidepresantu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40,03</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40,03</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1.10.</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difenhidramīna (dimedrola)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39,84</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39,84</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1.11.</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 xml:space="preserve">ķīmiski toksikoloģiskā izpēte nesteroīdo </w:t>
            </w:r>
            <w:r w:rsidRPr="00445CDC">
              <w:rPr>
                <w:rFonts w:ascii="Times New Roman" w:hAnsi="Times New Roman" w:cs="Times New Roman"/>
                <w:sz w:val="28"/>
                <w:szCs w:val="28"/>
              </w:rPr>
              <w:lastRenderedPageBreak/>
              <w:t>pretiekaisuma līdzekļu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lastRenderedPageBreak/>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39,92</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39,92</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1.12.</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triheksifenidila (ciklodola)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40,02</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40,02</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1.13.</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klonidīna (klofelīna)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39,94</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39,94</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1.14.</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beta adrenoblokatoru noteikšanai</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40,53</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40,53</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1.15.</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etilēnglikola noteikšanai</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41,10</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41,10</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1.16.</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amanitīnu identifikācija augu (sēņu) materiālā</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82,38</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82,38</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1.17.</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narkotisko un psihotropo vielu noteikšanai matos</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75,52</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75,52</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1.18.</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citu (šajā cenrādī neminēto) psihoaktīvo vielu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41,88</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41,88</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1.19.</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ar gāzes hromatogrāfijas metodi alkohola un tā surogātu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30,89</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30,89</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1.20.</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gaistošo savienojumu identifikācija biomateriālā un lietiskajos pierādījumos</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38,62</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38,62</w:t>
            </w:r>
          </w:p>
        </w:tc>
      </w:tr>
      <w:tr w:rsidR="0007465A"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lastRenderedPageBreak/>
              <w:t>1.21.</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7465A" w:rsidRPr="00445CDC" w:rsidRDefault="0007465A" w:rsidP="0007465A">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ķīmiski toksikoloģiskā izpēte karboksihemoglobīna noteikšanai</w:t>
            </w:r>
          </w:p>
        </w:tc>
        <w:tc>
          <w:tcPr>
            <w:tcW w:w="919"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analīze</w:t>
            </w:r>
          </w:p>
        </w:tc>
        <w:tc>
          <w:tcPr>
            <w:tcW w:w="598" w:type="pct"/>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13,35</w:t>
            </w:r>
          </w:p>
        </w:tc>
        <w:tc>
          <w:tcPr>
            <w:tcW w:w="584" w:type="pct"/>
            <w:tcBorders>
              <w:top w:val="single" w:sz="4" w:space="0" w:color="auto"/>
              <w:left w:val="single" w:sz="4" w:space="0" w:color="auto"/>
              <w:bottom w:val="single" w:sz="4" w:space="0" w:color="auto"/>
              <w:right w:val="single" w:sz="4" w:space="0" w:color="auto"/>
            </w:tcBorders>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sidRPr="00445CDC">
              <w:rPr>
                <w:rFonts w:ascii="Times New Roman" w:hAnsi="Times New Roman" w:cs="Times New Roman"/>
                <w:sz w:val="28"/>
                <w:szCs w:val="28"/>
              </w:rPr>
              <w:t>0,00</w:t>
            </w:r>
          </w:p>
        </w:tc>
        <w:tc>
          <w:tcPr>
            <w:tcW w:w="598" w:type="pct"/>
            <w:gridSpan w:val="2"/>
            <w:tcBorders>
              <w:top w:val="nil"/>
              <w:left w:val="single" w:sz="4" w:space="0" w:color="auto"/>
              <w:bottom w:val="single" w:sz="4" w:space="0" w:color="auto"/>
              <w:right w:val="single" w:sz="4" w:space="0" w:color="auto"/>
            </w:tcBorders>
            <w:shd w:val="clear" w:color="auto" w:fill="FFFFFF"/>
            <w:hideMark/>
          </w:tcPr>
          <w:p w:rsidR="0007465A" w:rsidRPr="00445CDC" w:rsidRDefault="0007465A" w:rsidP="0007465A">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13,35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w:t>
            </w:r>
          </w:p>
        </w:tc>
        <w:tc>
          <w:tcPr>
            <w:tcW w:w="4542" w:type="pct"/>
            <w:gridSpan w:val="6"/>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Bioloģiskas izcelsmes pēdu klātbūtnes noteikšana uz priekšmetiem:</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2.1.</w:t>
            </w:r>
          </w:p>
        </w:tc>
        <w:tc>
          <w:tcPr>
            <w:tcW w:w="1843"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asins un izdalījumu sugas piederības noteikšana (1 traips)</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traips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7465A" w:rsidRDefault="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36,2</w:t>
            </w:r>
            <w:r w:rsidR="0098516D">
              <w:rPr>
                <w:rFonts w:ascii="Times New Roman" w:eastAsia="Times New Roman" w:hAnsi="Times New Roman" w:cs="Times New Roman"/>
                <w:sz w:val="28"/>
                <w:szCs w:val="28"/>
              </w:rPr>
              <w:t>7</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7465A" w:rsidRDefault="0007465A">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98516D">
              <w:rPr>
                <w:rFonts w:ascii="Times New Roman" w:eastAsia="Times New Roman" w:hAnsi="Times New Roman" w:cs="Times New Roman"/>
                <w:sz w:val="28"/>
                <w:szCs w:val="28"/>
              </w:rPr>
              <w:t>2</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7465A" w:rsidRDefault="0007465A" w:rsidP="008F1DCD">
            <w:pPr>
              <w:spacing w:line="276" w:lineRule="auto"/>
              <w:jc w:val="center"/>
              <w:rPr>
                <w:rFonts w:ascii="Times New Roman" w:eastAsia="Times New Roman" w:hAnsi="Times New Roman" w:cs="Times New Roman"/>
                <w:sz w:val="28"/>
                <w:szCs w:val="28"/>
              </w:rPr>
            </w:pPr>
            <w:r w:rsidRPr="00A53EB0">
              <w:rPr>
                <w:rFonts w:ascii="Times New Roman" w:eastAsia="Times New Roman" w:hAnsi="Times New Roman" w:cs="Times New Roman"/>
                <w:sz w:val="28"/>
                <w:szCs w:val="28"/>
              </w:rPr>
              <w:t>43,8</w:t>
            </w:r>
            <w:r w:rsidR="008F1DCD" w:rsidRPr="00A53EB0">
              <w:rPr>
                <w:rFonts w:ascii="Times New Roman" w:eastAsia="Times New Roman" w:hAnsi="Times New Roman" w:cs="Times New Roman"/>
                <w:sz w:val="28"/>
                <w:szCs w:val="28"/>
              </w:rPr>
              <w:t>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2.2.</w:t>
            </w:r>
          </w:p>
        </w:tc>
        <w:tc>
          <w:tcPr>
            <w:tcW w:w="1843"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sviedru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445CDC" w:rsidRDefault="0007465A">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44,7</w:t>
            </w:r>
            <w:r w:rsidR="004B3837">
              <w:rPr>
                <w:rFonts w:ascii="Times New Roman" w:eastAsia="Times New Roman" w:hAnsi="Times New Roman" w:cs="Times New Roman"/>
                <w:sz w:val="28"/>
                <w:szCs w:val="28"/>
              </w:rPr>
              <w:t>0</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7465A" w:rsidRDefault="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9,39</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445CDC" w:rsidRDefault="0007465A">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4B3837">
              <w:rPr>
                <w:rFonts w:ascii="Times New Roman" w:eastAsia="Times New Roman" w:hAnsi="Times New Roman" w:cs="Times New Roman"/>
                <w:sz w:val="28"/>
                <w:szCs w:val="28"/>
              </w:rPr>
              <w:t>09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2.3.</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urīna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445CDC" w:rsidRDefault="0007465A" w:rsidP="004B383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44,6</w:t>
            </w:r>
            <w:r w:rsidR="004B3837">
              <w:rPr>
                <w:rFonts w:ascii="Times New Roman" w:eastAsia="Times New Roman" w:hAnsi="Times New Roman" w:cs="Times New Roman"/>
                <w:sz w:val="28"/>
                <w:szCs w:val="28"/>
              </w:rPr>
              <w:t>8</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9,38</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54,0</w:t>
            </w:r>
            <w:r w:rsidR="004B3837">
              <w:rPr>
                <w:rFonts w:ascii="Times New Roman" w:eastAsia="Times New Roman" w:hAnsi="Times New Roman" w:cs="Times New Roman"/>
                <w:sz w:val="28"/>
                <w:szCs w:val="28"/>
              </w:rPr>
              <w:t>6</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2.4.</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siekalu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445CDC" w:rsidRDefault="0007465A" w:rsidP="004B383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37,41</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7,86</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45,27</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vertAlign w:val="superscript"/>
              </w:rPr>
            </w:pPr>
            <w:r w:rsidRPr="00445CDC">
              <w:rPr>
                <w:rFonts w:ascii="Times New Roman" w:hAnsi="Times New Roman" w:cs="Times New Roman"/>
                <w:sz w:val="28"/>
                <w:szCs w:val="28"/>
              </w:rPr>
              <w:t>2.5.</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vaginālo šūnu klātbūtnes noteikšana ar morfoloģisko metodi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37,76</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7,93</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7465A" w:rsidRDefault="0007465A" w:rsidP="0007465A">
            <w:pPr>
              <w:spacing w:line="276" w:lineRule="auto"/>
              <w:jc w:val="center"/>
              <w:rPr>
                <w:rFonts w:ascii="Times New Roman" w:eastAsia="Times New Roman" w:hAnsi="Times New Roman" w:cs="Times New Roman"/>
                <w:sz w:val="28"/>
                <w:szCs w:val="28"/>
              </w:rPr>
            </w:pPr>
            <w:r w:rsidRPr="0007465A">
              <w:rPr>
                <w:rFonts w:ascii="Times New Roman" w:eastAsia="Times New Roman" w:hAnsi="Times New Roman" w:cs="Times New Roman"/>
                <w:sz w:val="28"/>
                <w:szCs w:val="28"/>
              </w:rPr>
              <w:t>45,69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2.6.</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fekāliju elementu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33,42</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7,02</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40,44</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2.7.</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 xml:space="preserve">viena mata izpēte </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objekts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22,60</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4,75</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27,35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2.8.</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asins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054834" w:rsidRDefault="0007465A"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59,20</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12,43</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71,63</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2.9.</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spermas klātbūtnes noteikšana (1 traips)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traips</w:t>
            </w:r>
          </w:p>
        </w:tc>
        <w:tc>
          <w:tcPr>
            <w:tcW w:w="598" w:type="pct"/>
            <w:tcBorders>
              <w:top w:val="nil"/>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110,26</w:t>
            </w:r>
          </w:p>
        </w:tc>
        <w:tc>
          <w:tcPr>
            <w:tcW w:w="627" w:type="pct"/>
            <w:gridSpan w:val="2"/>
            <w:tcBorders>
              <w:top w:val="nil"/>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23,15</w:t>
            </w:r>
          </w:p>
        </w:tc>
        <w:tc>
          <w:tcPr>
            <w:tcW w:w="555" w:type="pct"/>
            <w:tcBorders>
              <w:top w:val="nil"/>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133,41</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3.</w:t>
            </w:r>
          </w:p>
        </w:tc>
        <w:tc>
          <w:tcPr>
            <w:tcW w:w="4542" w:type="pct"/>
            <w:gridSpan w:val="6"/>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rsidP="00EB05CB">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Paternitātes un p</w:t>
            </w:r>
            <w:r w:rsidR="00EB05CB">
              <w:rPr>
                <w:rFonts w:ascii="Times New Roman" w:hAnsi="Times New Roman" w:cs="Times New Roman"/>
                <w:sz w:val="28"/>
                <w:szCs w:val="28"/>
              </w:rPr>
              <w:t>a</w:t>
            </w:r>
            <w:r w:rsidRPr="00445CDC">
              <w:rPr>
                <w:rFonts w:ascii="Times New Roman" w:hAnsi="Times New Roman" w:cs="Times New Roman"/>
                <w:sz w:val="28"/>
                <w:szCs w:val="28"/>
              </w:rPr>
              <w:t xml:space="preserve">rentitātes noteikšanas ekspertīze ar DNS izpētes metodi: </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3.1.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rsidP="00EB05CB">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paternitātes un p</w:t>
            </w:r>
            <w:r w:rsidR="00EB05CB">
              <w:rPr>
                <w:rFonts w:ascii="Times New Roman" w:hAnsi="Times New Roman" w:cs="Times New Roman"/>
                <w:sz w:val="28"/>
                <w:szCs w:val="28"/>
              </w:rPr>
              <w:t>a</w:t>
            </w:r>
            <w:r w:rsidRPr="00445CDC">
              <w:rPr>
                <w:rFonts w:ascii="Times New Roman" w:hAnsi="Times New Roman" w:cs="Times New Roman"/>
                <w:sz w:val="28"/>
                <w:szCs w:val="28"/>
              </w:rPr>
              <w:t>rentitātes noteikšanas ekspertīze ar DNS izpētes metodi (standarta variants – 3 cilvēki)</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3 kompleksas izpētes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351,12</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73,74</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424,86</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lastRenderedPageBreak/>
              <w:t>3.2.</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rsidP="00EB05CB">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paternitātes un p</w:t>
            </w:r>
            <w:r w:rsidR="00EB05CB">
              <w:rPr>
                <w:rFonts w:ascii="Times New Roman" w:hAnsi="Times New Roman" w:cs="Times New Roman"/>
                <w:sz w:val="28"/>
                <w:szCs w:val="28"/>
              </w:rPr>
              <w:t>a</w:t>
            </w:r>
            <w:r w:rsidRPr="00445CDC">
              <w:rPr>
                <w:rFonts w:ascii="Times New Roman" w:hAnsi="Times New Roman" w:cs="Times New Roman"/>
                <w:sz w:val="28"/>
                <w:szCs w:val="28"/>
              </w:rPr>
              <w:t>rentitātes noteikšanas ekspertīze ar DNS izpētes metodi (1 papildu cilvēks)</w:t>
            </w:r>
            <w:r w:rsidRPr="00445CDC">
              <w:rPr>
                <w:rFonts w:ascii="Times New Roman" w:hAnsi="Times New Roman" w:cs="Times New Roman"/>
                <w:sz w:val="28"/>
                <w:szCs w:val="28"/>
                <w:vertAlign w:val="superscript"/>
              </w:rPr>
              <w:t>4</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papildu kompleksā izpēte</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114,40</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24,02</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138,42</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3.3.</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rsidP="00EB05CB">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paternitātes un p</w:t>
            </w:r>
            <w:r w:rsidR="00EB05CB">
              <w:rPr>
                <w:rFonts w:ascii="Times New Roman" w:hAnsi="Times New Roman" w:cs="Times New Roman"/>
                <w:sz w:val="28"/>
                <w:szCs w:val="28"/>
              </w:rPr>
              <w:t>a</w:t>
            </w:r>
            <w:r w:rsidRPr="00445CDC">
              <w:rPr>
                <w:rFonts w:ascii="Times New Roman" w:hAnsi="Times New Roman" w:cs="Times New Roman"/>
                <w:sz w:val="28"/>
                <w:szCs w:val="28"/>
              </w:rPr>
              <w:t>rentitātes noteikšanas ekspertīze ar DNS izpētes metodi (nestandarta variants 2 cilvēki – bērns + tēvs)</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2 kompleksas izpētes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265,41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55,74</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321,15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4.</w:t>
            </w:r>
          </w:p>
        </w:tc>
        <w:tc>
          <w:tcPr>
            <w:tcW w:w="4542" w:type="pct"/>
            <w:gridSpan w:val="6"/>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DNS izpēte (DNS profila noteikšana) vienam paraugam – bioloģiskas izcelsmes traipam:</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4.1.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DNS izpēte (DNS profila noteikšana) vienam paraugam –bioloģiskas izcelsmes traipam (1 paraugs)</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182,18</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38,26</w:t>
            </w:r>
          </w:p>
        </w:tc>
        <w:tc>
          <w:tcPr>
            <w:tcW w:w="555"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220,44</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4.2.</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DNS izpēte (DNS profila noteikšana) vienam paraugam – bioloģiskas izcelsmes traipam (1 papildu paraugs)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papildu izpēte</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115,5</w:t>
            </w:r>
            <w:r w:rsidR="004B3837">
              <w:rPr>
                <w:rFonts w:ascii="Times New Roman" w:eastAsia="Times New Roman" w:hAnsi="Times New Roman" w:cs="Times New Roman"/>
                <w:sz w:val="28"/>
                <w:szCs w:val="28"/>
              </w:rPr>
              <w:t>8</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24,27</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139,8</w:t>
            </w:r>
            <w:r w:rsidR="004B3837">
              <w:rPr>
                <w:rFonts w:ascii="Times New Roman" w:eastAsia="Times New Roman" w:hAnsi="Times New Roman" w:cs="Times New Roman"/>
                <w:sz w:val="28"/>
                <w:szCs w:val="28"/>
              </w:rPr>
              <w:t>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5.</w:t>
            </w:r>
          </w:p>
        </w:tc>
        <w:tc>
          <w:tcPr>
            <w:tcW w:w="1843" w:type="pct"/>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Ūdens un citu šķidrumu kvalitātes analīzes ar "Spectroscan" aparātu</w:t>
            </w:r>
          </w:p>
        </w:tc>
        <w:tc>
          <w:tcPr>
            <w:tcW w:w="919"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single" w:sz="4" w:space="0" w:color="auto"/>
              <w:left w:val="nil"/>
              <w:bottom w:val="single" w:sz="4" w:space="0" w:color="auto"/>
              <w:right w:val="single" w:sz="4" w:space="0" w:color="auto"/>
            </w:tcBorders>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19,80</w:t>
            </w:r>
          </w:p>
        </w:tc>
        <w:tc>
          <w:tcPr>
            <w:tcW w:w="627" w:type="pct"/>
            <w:gridSpan w:val="2"/>
            <w:tcBorders>
              <w:top w:val="single" w:sz="4" w:space="0" w:color="auto"/>
              <w:left w:val="nil"/>
              <w:bottom w:val="single" w:sz="4" w:space="0" w:color="auto"/>
              <w:right w:val="single" w:sz="4" w:space="0" w:color="auto"/>
            </w:tcBorders>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4,16</w:t>
            </w:r>
          </w:p>
        </w:tc>
        <w:tc>
          <w:tcPr>
            <w:tcW w:w="555" w:type="pct"/>
            <w:tcBorders>
              <w:top w:val="single" w:sz="4" w:space="0" w:color="auto"/>
              <w:left w:val="nil"/>
              <w:bottom w:val="single" w:sz="4" w:space="0" w:color="auto"/>
              <w:right w:val="single" w:sz="4" w:space="0" w:color="auto"/>
            </w:tcBorders>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23,96</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6.</w:t>
            </w:r>
          </w:p>
        </w:tc>
        <w:tc>
          <w:tcPr>
            <w:tcW w:w="4542"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both"/>
              <w:rPr>
                <w:rFonts w:ascii="Times New Roman" w:eastAsia="Times New Roman" w:hAnsi="Times New Roman" w:cs="Times New Roman"/>
                <w:sz w:val="28"/>
                <w:szCs w:val="28"/>
              </w:rPr>
            </w:pPr>
            <w:r w:rsidRPr="00445CDC">
              <w:rPr>
                <w:rFonts w:ascii="Times New Roman" w:hAnsi="Times New Roman" w:cs="Times New Roman"/>
                <w:sz w:val="28"/>
                <w:szCs w:val="28"/>
              </w:rPr>
              <w:t>Miruša cilvēka tiesu medicīniskā izpēte pēc fiziskas vai juridiskas personas pieprasījuma nāves cēloņa noteikšanai, ietverot mirušā autopsiju, histoloģisko un toksikoloģisko (etanola noteikšana asinīs) izpēti, bez procesa virzītāja lēmuma par tiesu medicīniskās ekspertīzes noteikšanu</w:t>
            </w:r>
            <w:r w:rsidRPr="00445CDC">
              <w:rPr>
                <w:rFonts w:ascii="Times New Roman" w:hAnsi="Times New Roman" w:cs="Times New Roman"/>
                <w:sz w:val="28"/>
                <w:szCs w:val="28"/>
                <w:vertAlign w:val="superscript"/>
              </w:rPr>
              <w:t>5</w:t>
            </w:r>
            <w:r w:rsidRPr="00445CDC">
              <w:rPr>
                <w:rFonts w:ascii="Times New Roman" w:hAnsi="Times New Roman" w:cs="Times New Roman"/>
                <w:sz w:val="28"/>
                <w:szCs w:val="28"/>
              </w:rPr>
              <w:t>:</w:t>
            </w:r>
            <w:r w:rsidRPr="00445CDC">
              <w:rPr>
                <w:rFonts w:ascii="Times New Roman" w:hAnsi="Times New Roman" w:cs="Times New Roman"/>
                <w:sz w:val="28"/>
                <w:szCs w:val="28"/>
                <w:vertAlign w:val="superscript"/>
              </w:rPr>
              <w:t xml:space="preserve"> </w:t>
            </w:r>
            <w:r w:rsidRPr="00445CDC">
              <w:rPr>
                <w:rFonts w:ascii="Times New Roman" w:hAnsi="Times New Roman" w:cs="Times New Roman"/>
                <w:sz w:val="28"/>
                <w:szCs w:val="28"/>
              </w:rPr>
              <w:t xml:space="preserve"> </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6.1.</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autopsija</w:t>
            </w:r>
          </w:p>
        </w:tc>
        <w:tc>
          <w:tcPr>
            <w:tcW w:w="919"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274,95</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57,74</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332,69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6.2.</w:t>
            </w:r>
          </w:p>
        </w:tc>
        <w:tc>
          <w:tcPr>
            <w:tcW w:w="1843" w:type="pct"/>
            <w:tcBorders>
              <w:top w:val="nil"/>
              <w:left w:val="single" w:sz="4" w:space="0" w:color="auto"/>
              <w:bottom w:val="single" w:sz="4" w:space="0" w:color="auto"/>
              <w:right w:val="single" w:sz="4" w:space="0" w:color="auto"/>
            </w:tcBorders>
            <w:shd w:val="clear" w:color="auto" w:fill="FFFFFF"/>
            <w:vAlign w:val="bottom"/>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histoloģiskā izpēte</w:t>
            </w:r>
          </w:p>
        </w:tc>
        <w:tc>
          <w:tcPr>
            <w:tcW w:w="919"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198,76</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41,74</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240,50</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6.3.</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toksikoloģiskā (etanola noteikšana asinīs) izpēte</w:t>
            </w:r>
            <w:r w:rsidRPr="00445CDC">
              <w:rPr>
                <w:rFonts w:ascii="Times New Roman" w:hAnsi="Times New Roman" w:cs="Times New Roman"/>
                <w:sz w:val="28"/>
                <w:szCs w:val="28"/>
                <w:vertAlign w:val="superscript"/>
              </w:rPr>
              <w:t>1</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nil"/>
              <w:left w:val="nil"/>
              <w:bottom w:val="single" w:sz="4" w:space="0" w:color="auto"/>
              <w:right w:val="single" w:sz="4" w:space="0" w:color="auto"/>
            </w:tcBorders>
            <w:shd w:val="clear" w:color="auto" w:fill="FFFFFF"/>
            <w:hideMark/>
          </w:tcPr>
          <w:p w:rsidR="00445CDC" w:rsidRPr="00445CDC" w:rsidRDefault="00054834" w:rsidP="00054834">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30,89</w:t>
            </w:r>
          </w:p>
        </w:tc>
        <w:tc>
          <w:tcPr>
            <w:tcW w:w="627" w:type="pct"/>
            <w:gridSpan w:val="2"/>
            <w:tcBorders>
              <w:top w:val="nil"/>
              <w:left w:val="nil"/>
              <w:bottom w:val="single" w:sz="4" w:space="0" w:color="auto"/>
              <w:right w:val="single" w:sz="4" w:space="0" w:color="auto"/>
            </w:tcBorders>
            <w:shd w:val="clear" w:color="auto" w:fill="FFFFFF"/>
            <w:hideMark/>
          </w:tcPr>
          <w:p w:rsidR="00445CDC" w:rsidRPr="00445CDC" w:rsidRDefault="00054834" w:rsidP="00054834">
            <w:pPr>
              <w:spacing w:line="276" w:lineRule="auto"/>
              <w:jc w:val="center"/>
              <w:rPr>
                <w:rFonts w:ascii="Times New Roman" w:eastAsia="Times New Roman" w:hAnsi="Times New Roman" w:cs="Times New Roman"/>
                <w:b/>
                <w:sz w:val="28"/>
                <w:szCs w:val="28"/>
              </w:rPr>
            </w:pPr>
            <w:r>
              <w:rPr>
                <w:rFonts w:ascii="Times New Roman" w:hAnsi="Times New Roman" w:cs="Times New Roman"/>
                <w:sz w:val="28"/>
                <w:szCs w:val="28"/>
              </w:rPr>
              <w:t>0,00</w:t>
            </w:r>
          </w:p>
        </w:tc>
        <w:tc>
          <w:tcPr>
            <w:tcW w:w="555" w:type="pct"/>
            <w:tcBorders>
              <w:top w:val="nil"/>
              <w:left w:val="nil"/>
              <w:bottom w:val="single" w:sz="4" w:space="0" w:color="auto"/>
              <w:right w:val="single" w:sz="4" w:space="0" w:color="auto"/>
            </w:tcBorders>
            <w:shd w:val="clear" w:color="auto" w:fill="FFFFFF"/>
            <w:hideMark/>
          </w:tcPr>
          <w:p w:rsidR="00445CDC" w:rsidRPr="00445CDC" w:rsidRDefault="00054834" w:rsidP="00054834">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30,89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FE6742" w:rsidRDefault="00445CDC">
            <w:pPr>
              <w:spacing w:line="276" w:lineRule="auto"/>
              <w:rPr>
                <w:rFonts w:ascii="Times New Roman" w:eastAsia="Times New Roman" w:hAnsi="Times New Roman" w:cs="Times New Roman"/>
                <w:sz w:val="28"/>
                <w:szCs w:val="28"/>
              </w:rPr>
            </w:pPr>
            <w:r w:rsidRPr="00FE6742">
              <w:rPr>
                <w:rFonts w:ascii="Times New Roman" w:hAnsi="Times New Roman" w:cs="Times New Roman"/>
                <w:sz w:val="28"/>
                <w:szCs w:val="28"/>
              </w:rPr>
              <w:lastRenderedPageBreak/>
              <w:t>7.</w:t>
            </w:r>
          </w:p>
        </w:tc>
        <w:tc>
          <w:tcPr>
            <w:tcW w:w="4542" w:type="pct"/>
            <w:gridSpan w:val="6"/>
            <w:tcBorders>
              <w:top w:val="nil"/>
              <w:left w:val="single" w:sz="4" w:space="0" w:color="auto"/>
              <w:bottom w:val="single" w:sz="4" w:space="0" w:color="auto"/>
              <w:right w:val="single" w:sz="4" w:space="0" w:color="auto"/>
            </w:tcBorders>
            <w:shd w:val="clear" w:color="auto" w:fill="FFFFFF"/>
            <w:hideMark/>
          </w:tcPr>
          <w:p w:rsidR="00445CDC" w:rsidRPr="00FE6742" w:rsidRDefault="00445CDC" w:rsidP="00913C9A">
            <w:pPr>
              <w:spacing w:line="276" w:lineRule="auto"/>
              <w:jc w:val="both"/>
              <w:rPr>
                <w:rFonts w:ascii="Times New Roman" w:eastAsia="Times New Roman" w:hAnsi="Times New Roman" w:cs="Times New Roman"/>
                <w:sz w:val="28"/>
                <w:szCs w:val="28"/>
              </w:rPr>
            </w:pPr>
            <w:r w:rsidRPr="00FE6742">
              <w:rPr>
                <w:rFonts w:ascii="Times New Roman" w:hAnsi="Times New Roman" w:cs="Times New Roman"/>
                <w:sz w:val="28"/>
                <w:szCs w:val="28"/>
              </w:rPr>
              <w:t xml:space="preserve">Tiesu medicīniskā ekspertīze </w:t>
            </w:r>
            <w:r w:rsidR="00D3463E" w:rsidRPr="00FE6742">
              <w:rPr>
                <w:rFonts w:ascii="Times New Roman" w:hAnsi="Times New Roman" w:cs="Times New Roman"/>
                <w:sz w:val="28"/>
                <w:szCs w:val="28"/>
              </w:rPr>
              <w:t xml:space="preserve">noteikumu </w:t>
            </w:r>
            <w:r w:rsidR="00DB59E1" w:rsidRPr="00FE6742">
              <w:rPr>
                <w:rFonts w:ascii="Times New Roman" w:hAnsi="Times New Roman" w:cs="Times New Roman"/>
                <w:sz w:val="28"/>
                <w:szCs w:val="28"/>
              </w:rPr>
              <w:t>3.</w:t>
            </w:r>
            <w:r w:rsidR="00913C9A" w:rsidRPr="00FE6742">
              <w:rPr>
                <w:rFonts w:ascii="Times New Roman" w:hAnsi="Times New Roman" w:cs="Times New Roman"/>
                <w:sz w:val="28"/>
                <w:szCs w:val="28"/>
                <w:vertAlign w:val="superscript"/>
              </w:rPr>
              <w:t>3</w:t>
            </w:r>
            <w:r w:rsidR="00DB59E1" w:rsidRPr="00FE6742">
              <w:rPr>
                <w:rFonts w:ascii="Times New Roman" w:hAnsi="Times New Roman" w:cs="Times New Roman"/>
                <w:sz w:val="28"/>
                <w:szCs w:val="28"/>
              </w:rPr>
              <w:t xml:space="preserve"> norādītajai </w:t>
            </w:r>
            <w:r w:rsidRPr="00FE6742">
              <w:rPr>
                <w:rFonts w:ascii="Times New Roman" w:hAnsi="Times New Roman" w:cs="Times New Roman"/>
                <w:sz w:val="28"/>
                <w:szCs w:val="28"/>
              </w:rPr>
              <w:t>mirušaja</w:t>
            </w:r>
            <w:r w:rsidR="00DB59E1" w:rsidRPr="00FE6742">
              <w:rPr>
                <w:rFonts w:ascii="Times New Roman" w:hAnsi="Times New Roman" w:cs="Times New Roman"/>
                <w:sz w:val="28"/>
                <w:szCs w:val="28"/>
              </w:rPr>
              <w:t>i personai</w:t>
            </w:r>
            <w:r w:rsidRPr="00FE6742">
              <w:rPr>
                <w:rFonts w:ascii="Times New Roman" w:hAnsi="Times New Roman" w:cs="Times New Roman"/>
                <w:sz w:val="28"/>
                <w:szCs w:val="28"/>
              </w:rPr>
              <w:t>, ietverot mirušā autopsiju, histoloģisko, toksikoloģisko (etanola noteikšana asinīs), kriminālistisko un bioloģisko izpēti, pamatojoties uz procesa virzītāja lēmumu par tiesu medicīniskās ekspertīzes noteikšanu:</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7.1.</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autopsija</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391,73</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82,26</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473,99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7.2.</w:t>
            </w:r>
          </w:p>
        </w:tc>
        <w:tc>
          <w:tcPr>
            <w:tcW w:w="1843" w:type="pct"/>
            <w:tcBorders>
              <w:top w:val="nil"/>
              <w:left w:val="single" w:sz="4" w:space="0" w:color="auto"/>
              <w:bottom w:val="single" w:sz="4" w:space="0" w:color="auto"/>
              <w:right w:val="single" w:sz="4" w:space="0" w:color="auto"/>
            </w:tcBorders>
            <w:shd w:val="clear" w:color="auto" w:fill="FFFFFF"/>
            <w:vAlign w:val="bottom"/>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histoloģiskā izpēte</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198,76</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41,74</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240,50</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7.3</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toksikoloģiskā (etanola noteikšana asinīs) izpēte</w:t>
            </w:r>
            <w:r w:rsidRPr="00445CDC">
              <w:rPr>
                <w:rFonts w:ascii="Times New Roman" w:hAnsi="Times New Roman" w:cs="Times New Roman"/>
                <w:sz w:val="28"/>
                <w:szCs w:val="28"/>
                <w:vertAlign w:val="superscript"/>
              </w:rPr>
              <w:t>1</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izpēte</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30,89</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4B3837" w:rsidP="00054834">
            <w:pPr>
              <w:spacing w:line="276" w:lineRule="auto"/>
              <w:jc w:val="center"/>
              <w:rPr>
                <w:rFonts w:ascii="Times New Roman" w:eastAsia="Times New Roman" w:hAnsi="Times New Roman" w:cs="Times New Roman"/>
                <w:sz w:val="28"/>
                <w:szCs w:val="28"/>
              </w:rPr>
            </w:pPr>
            <w:r>
              <w:rPr>
                <w:rFonts w:ascii="Times New Roman" w:hAnsi="Times New Roman" w:cs="Times New Roman"/>
                <w:sz w:val="28"/>
                <w:szCs w:val="28"/>
              </w:rPr>
              <w:t>0,00</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hAnsi="Times New Roman" w:cs="Times New Roman"/>
                <w:sz w:val="28"/>
                <w:szCs w:val="28"/>
              </w:rPr>
              <w:t>30,89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7.4.</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kaulu un skrimšļu (objekta) bojājumu izmeklēšana</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objekts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90,7</w:t>
            </w:r>
            <w:r w:rsidR="004B3837">
              <w:rPr>
                <w:rFonts w:ascii="Times New Roman" w:eastAsia="Times New Roman" w:hAnsi="Times New Roman" w:cs="Times New Roman"/>
                <w:sz w:val="28"/>
                <w:szCs w:val="28"/>
              </w:rPr>
              <w:t>8</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19,0</w:t>
            </w:r>
            <w:r w:rsidR="004B3837">
              <w:rPr>
                <w:rFonts w:ascii="Times New Roman" w:eastAsia="Times New Roman" w:hAnsi="Times New Roman" w:cs="Times New Roman"/>
                <w:sz w:val="28"/>
                <w:szCs w:val="28"/>
              </w:rPr>
              <w:t>6</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109,8</w:t>
            </w:r>
            <w:r w:rsidR="004B3837">
              <w:rPr>
                <w:rFonts w:ascii="Times New Roman" w:eastAsia="Times New Roman" w:hAnsi="Times New Roman" w:cs="Times New Roman"/>
                <w:sz w:val="28"/>
                <w:szCs w:val="28"/>
              </w:rPr>
              <w:t>4</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7.5.</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 xml:space="preserve">ādas un mīksto audu (objekta) bojājumu izmeklēšana </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objekts</w:t>
            </w:r>
          </w:p>
        </w:tc>
        <w:tc>
          <w:tcPr>
            <w:tcW w:w="598"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49,60</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10,42</w:t>
            </w:r>
          </w:p>
        </w:tc>
        <w:tc>
          <w:tcPr>
            <w:tcW w:w="555"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60,02</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7.6.</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asins grupas piederības noteikšana šķidrās asinīs</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paraugs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9,1</w:t>
            </w:r>
            <w:r w:rsidR="00B5292A">
              <w:rPr>
                <w:rFonts w:ascii="Times New Roman" w:eastAsia="Times New Roman" w:hAnsi="Times New Roman" w:cs="Times New Roman"/>
                <w:sz w:val="28"/>
                <w:szCs w:val="28"/>
              </w:rPr>
              <w:t>2</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w:t>
            </w:r>
            <w:r w:rsidR="00B5292A">
              <w:rPr>
                <w:rFonts w:ascii="Times New Roman" w:eastAsia="Times New Roman" w:hAnsi="Times New Roman" w:cs="Times New Roman"/>
                <w:sz w:val="28"/>
                <w:szCs w:val="28"/>
              </w:rPr>
              <w:t>2</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11,0</w:t>
            </w:r>
            <w:r w:rsidR="00B5292A">
              <w:rPr>
                <w:rFonts w:ascii="Times New Roman" w:eastAsia="Times New Roman" w:hAnsi="Times New Roman" w:cs="Times New Roman"/>
                <w:sz w:val="28"/>
                <w:szCs w:val="28"/>
              </w:rPr>
              <w:t>4</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8.</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Izraksts no tiesu medicīniskās ekspertīzes atzinuma, iepriekš iesniedzot procesa virzītāja atļauju</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izraksts</w:t>
            </w:r>
          </w:p>
        </w:tc>
        <w:tc>
          <w:tcPr>
            <w:tcW w:w="598"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16,52</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3,47</w:t>
            </w:r>
          </w:p>
        </w:tc>
        <w:tc>
          <w:tcPr>
            <w:tcW w:w="555"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19,99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9.</w:t>
            </w:r>
          </w:p>
        </w:tc>
        <w:tc>
          <w:tcPr>
            <w:tcW w:w="1843"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Mācību lekcij</w:t>
            </w:r>
            <w:r w:rsidR="00A53102">
              <w:rPr>
                <w:rFonts w:ascii="Times New Roman" w:hAnsi="Times New Roman" w:cs="Times New Roman"/>
                <w:sz w:val="28"/>
                <w:szCs w:val="28"/>
              </w:rPr>
              <w:t xml:space="preserve">a (izņemot lekciju medicīniska </w:t>
            </w:r>
            <w:r w:rsidRPr="00445CDC">
              <w:rPr>
                <w:rFonts w:ascii="Times New Roman" w:hAnsi="Times New Roman" w:cs="Times New Roman"/>
                <w:sz w:val="28"/>
                <w:szCs w:val="28"/>
              </w:rPr>
              <w:t>un juridiska profila augstskolas studentiem), pēc juridiskas personas iesnieguma</w:t>
            </w:r>
            <w:r w:rsidR="00116F6B">
              <w:rPr>
                <w:rFonts w:ascii="Times New Roman" w:hAnsi="Times New Roman" w:cs="Times New Roman"/>
                <w:sz w:val="28"/>
                <w:szCs w:val="28"/>
                <w:vertAlign w:val="superscript"/>
              </w:rPr>
              <w:t>6</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lekcija</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75,85</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15,93</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91,78</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10.</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Pakalpojuma komplekts (mazgāšana, skūšana, ģērbšana, grimēšana, iezārkošana)</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mirušais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66,10</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13,88</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79,98</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Mirušā grimēšana</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mirušais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17,71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3,72</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21,43</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12.</w:t>
            </w:r>
          </w:p>
        </w:tc>
        <w:tc>
          <w:tcPr>
            <w:tcW w:w="1843"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Mirušā mazgāšana, higiēniskā apstrāde</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mirušais</w:t>
            </w:r>
          </w:p>
        </w:tc>
        <w:tc>
          <w:tcPr>
            <w:tcW w:w="598"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35,37</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7,43</w:t>
            </w:r>
          </w:p>
        </w:tc>
        <w:tc>
          <w:tcPr>
            <w:tcW w:w="555"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42,80</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13.</w:t>
            </w:r>
          </w:p>
        </w:tc>
        <w:tc>
          <w:tcPr>
            <w:tcW w:w="1843"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Mirušā ģērbšana</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mirušais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8,80</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1,85</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10,65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lastRenderedPageBreak/>
              <w:t>14.</w:t>
            </w:r>
          </w:p>
        </w:tc>
        <w:tc>
          <w:tcPr>
            <w:tcW w:w="1843"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Maska uz sejas un rokām</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mirušais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6,57</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1,38</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7,95</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15.</w:t>
            </w:r>
          </w:p>
        </w:tc>
        <w:tc>
          <w:tcPr>
            <w:tcW w:w="1843"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Mirušā uzglabāšana no ceturtās dienas pēc tiesu medicīniskās autopsijas pabeigšanas un medicīniskās apliecības par nāves cēloni izsniegšanas</w:t>
            </w:r>
            <w:r w:rsidR="00116F6B">
              <w:rPr>
                <w:rFonts w:ascii="Times New Roman" w:hAnsi="Times New Roman" w:cs="Times New Roman"/>
                <w:sz w:val="28"/>
                <w:szCs w:val="28"/>
                <w:vertAlign w:val="superscript"/>
              </w:rPr>
              <w:t>7</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diennakts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13,03</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2,74</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15,77</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16.</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Mirušā uzglabāšana, ja nav noteikta tiesu medicīniskā ekspertīze (autopsija)</w:t>
            </w:r>
            <w:r w:rsidR="00116F6B">
              <w:rPr>
                <w:rFonts w:ascii="Times New Roman" w:hAnsi="Times New Roman" w:cs="Times New Roman"/>
                <w:sz w:val="28"/>
                <w:szCs w:val="28"/>
                <w:vertAlign w:val="superscript"/>
              </w:rPr>
              <w:t>8</w:t>
            </w:r>
          </w:p>
        </w:tc>
        <w:tc>
          <w:tcPr>
            <w:tcW w:w="919" w:type="pct"/>
            <w:tcBorders>
              <w:top w:val="nil"/>
              <w:left w:val="single" w:sz="4" w:space="0" w:color="auto"/>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diennakts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13,03</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2,74</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15,77</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17.</w:t>
            </w:r>
          </w:p>
        </w:tc>
        <w:tc>
          <w:tcPr>
            <w:tcW w:w="4542" w:type="pct"/>
            <w:gridSpan w:val="6"/>
            <w:tcBorders>
              <w:top w:val="single" w:sz="4" w:space="0" w:color="auto"/>
              <w:left w:val="single" w:sz="4" w:space="0" w:color="auto"/>
              <w:bottom w:val="single" w:sz="4" w:space="0" w:color="auto"/>
              <w:right w:val="single" w:sz="4" w:space="0" w:color="auto"/>
            </w:tcBorders>
            <w:vAlign w:val="center"/>
            <w:hideMark/>
          </w:tcPr>
          <w:p w:rsidR="00445CDC" w:rsidRPr="00445CDC" w:rsidRDefault="00445CDC">
            <w:pPr>
              <w:spacing w:line="276" w:lineRule="auto"/>
              <w:jc w:val="both"/>
              <w:rPr>
                <w:rFonts w:ascii="Times New Roman" w:eastAsia="Times New Roman" w:hAnsi="Times New Roman" w:cs="Times New Roman"/>
                <w:sz w:val="28"/>
                <w:szCs w:val="28"/>
              </w:rPr>
            </w:pPr>
            <w:r w:rsidRPr="00445CDC">
              <w:rPr>
                <w:rFonts w:ascii="Times New Roman" w:hAnsi="Times New Roman" w:cs="Times New Roman"/>
                <w:sz w:val="28"/>
                <w:szCs w:val="28"/>
              </w:rPr>
              <w:t>Atzinuma sniegšana par dzīvu fizisku personu bez ekspertīzes noteicēja lēmuma par tiesu medicīni</w:t>
            </w:r>
            <w:r w:rsidR="00FE6742">
              <w:rPr>
                <w:rFonts w:ascii="Times New Roman" w:hAnsi="Times New Roman" w:cs="Times New Roman"/>
                <w:sz w:val="28"/>
                <w:szCs w:val="28"/>
              </w:rPr>
              <w:t>skās ekspertīzes noteikšanu:</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17.1.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apsekojot (izpētot) dzīvu personu bez medicīnisko dokumentu izpētes</w:t>
            </w:r>
          </w:p>
        </w:tc>
        <w:tc>
          <w:tcPr>
            <w:tcW w:w="919" w:type="pct"/>
            <w:tcBorders>
              <w:top w:val="single" w:sz="4" w:space="0" w:color="auto"/>
              <w:left w:val="nil"/>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82,00</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17,22</w:t>
            </w:r>
          </w:p>
        </w:tc>
        <w:tc>
          <w:tcPr>
            <w:tcW w:w="555" w:type="pct"/>
            <w:tcBorders>
              <w:top w:val="single" w:sz="4" w:space="0" w:color="auto"/>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99,22</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17.2.</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apsekojot (izpētot) dzīvu personu ar medicīnisko dokumentu izpēti</w:t>
            </w:r>
          </w:p>
        </w:tc>
        <w:tc>
          <w:tcPr>
            <w:tcW w:w="919" w:type="pct"/>
            <w:tcBorders>
              <w:top w:val="nil"/>
              <w:left w:val="nil"/>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156,19</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32,80</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188,99</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445CDC" w:rsidRDefault="00445CDC">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17.3.</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445CDC" w:rsidRPr="00445CDC" w:rsidRDefault="00445CDC">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atbilstoši iesniegtiem medicīniskajiem dokumentiem</w:t>
            </w:r>
            <w:r w:rsidR="00116F6B">
              <w:rPr>
                <w:rFonts w:ascii="Times New Roman" w:hAnsi="Times New Roman" w:cs="Times New Roman"/>
                <w:sz w:val="28"/>
                <w:szCs w:val="28"/>
                <w:vertAlign w:val="superscript"/>
              </w:rPr>
              <w:t>9</w:t>
            </w:r>
          </w:p>
        </w:tc>
        <w:tc>
          <w:tcPr>
            <w:tcW w:w="919" w:type="pct"/>
            <w:tcBorders>
              <w:top w:val="nil"/>
              <w:left w:val="nil"/>
              <w:bottom w:val="single" w:sz="4" w:space="0" w:color="auto"/>
              <w:right w:val="single" w:sz="4" w:space="0" w:color="auto"/>
            </w:tcBorders>
            <w:shd w:val="clear" w:color="auto" w:fill="FFFFFF"/>
            <w:hideMark/>
          </w:tcPr>
          <w:p w:rsidR="00445CDC" w:rsidRPr="00445CDC" w:rsidRDefault="00445CDC">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119,04</w:t>
            </w:r>
          </w:p>
        </w:tc>
        <w:tc>
          <w:tcPr>
            <w:tcW w:w="627" w:type="pct"/>
            <w:gridSpan w:val="2"/>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25,00</w:t>
            </w:r>
          </w:p>
        </w:tc>
        <w:tc>
          <w:tcPr>
            <w:tcW w:w="555" w:type="pct"/>
            <w:tcBorders>
              <w:top w:val="nil"/>
              <w:left w:val="nil"/>
              <w:bottom w:val="single" w:sz="4" w:space="0" w:color="auto"/>
              <w:right w:val="single" w:sz="4" w:space="0" w:color="auto"/>
            </w:tcBorders>
            <w:shd w:val="clear" w:color="auto" w:fill="FFFFFF"/>
            <w:hideMark/>
          </w:tcPr>
          <w:p w:rsidR="00445CDC" w:rsidRPr="00054834" w:rsidRDefault="00054834" w:rsidP="00054834">
            <w:pPr>
              <w:spacing w:line="276" w:lineRule="auto"/>
              <w:jc w:val="center"/>
              <w:rPr>
                <w:rFonts w:ascii="Times New Roman" w:eastAsia="Times New Roman" w:hAnsi="Times New Roman" w:cs="Times New Roman"/>
                <w:sz w:val="28"/>
                <w:szCs w:val="28"/>
              </w:rPr>
            </w:pPr>
            <w:r w:rsidRPr="00054834">
              <w:rPr>
                <w:rFonts w:ascii="Times New Roman" w:eastAsia="Times New Roman" w:hAnsi="Times New Roman" w:cs="Times New Roman"/>
                <w:sz w:val="28"/>
                <w:szCs w:val="28"/>
              </w:rPr>
              <w:t>144,04</w:t>
            </w:r>
          </w:p>
        </w:tc>
      </w:tr>
      <w:tr w:rsidR="00445CDC"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445CDC" w:rsidRPr="00FE6742" w:rsidRDefault="00445CDC">
            <w:pPr>
              <w:spacing w:line="276" w:lineRule="auto"/>
              <w:rPr>
                <w:rFonts w:ascii="Times New Roman" w:eastAsia="Times New Roman" w:hAnsi="Times New Roman" w:cs="Times New Roman"/>
                <w:sz w:val="28"/>
                <w:szCs w:val="28"/>
              </w:rPr>
            </w:pPr>
            <w:r w:rsidRPr="00FE6742">
              <w:rPr>
                <w:rFonts w:ascii="Times New Roman" w:hAnsi="Times New Roman" w:cs="Times New Roman"/>
                <w:sz w:val="28"/>
                <w:szCs w:val="28"/>
              </w:rPr>
              <w:t>18.</w:t>
            </w:r>
          </w:p>
        </w:tc>
        <w:tc>
          <w:tcPr>
            <w:tcW w:w="4542" w:type="pct"/>
            <w:gridSpan w:val="6"/>
            <w:tcBorders>
              <w:top w:val="single" w:sz="4" w:space="0" w:color="auto"/>
              <w:left w:val="single" w:sz="4" w:space="0" w:color="auto"/>
              <w:bottom w:val="single" w:sz="4" w:space="0" w:color="auto"/>
              <w:right w:val="single" w:sz="4" w:space="0" w:color="auto"/>
            </w:tcBorders>
            <w:hideMark/>
          </w:tcPr>
          <w:p w:rsidR="00445CDC" w:rsidRPr="00FE6742" w:rsidRDefault="00445CDC" w:rsidP="00913C9A">
            <w:pPr>
              <w:spacing w:line="276" w:lineRule="auto"/>
              <w:jc w:val="both"/>
              <w:rPr>
                <w:rFonts w:ascii="Times New Roman" w:eastAsia="Times New Roman" w:hAnsi="Times New Roman" w:cs="Times New Roman"/>
                <w:sz w:val="28"/>
                <w:szCs w:val="28"/>
              </w:rPr>
            </w:pPr>
            <w:r w:rsidRPr="00FE6742">
              <w:rPr>
                <w:rFonts w:ascii="Times New Roman" w:hAnsi="Times New Roman" w:cs="Times New Roman"/>
                <w:sz w:val="28"/>
                <w:szCs w:val="28"/>
              </w:rPr>
              <w:t xml:space="preserve">Tiesu medicīniskā ekspertīze dzīvai personai – </w:t>
            </w:r>
            <w:r w:rsidR="00DB59E1" w:rsidRPr="00FE6742">
              <w:rPr>
                <w:rFonts w:ascii="Times New Roman" w:hAnsi="Times New Roman" w:cs="Times New Roman"/>
                <w:sz w:val="28"/>
                <w:szCs w:val="28"/>
              </w:rPr>
              <w:t>noteikumu 3.</w:t>
            </w:r>
            <w:r w:rsidR="00913C9A" w:rsidRPr="00FE6742">
              <w:rPr>
                <w:rFonts w:ascii="Times New Roman" w:hAnsi="Times New Roman" w:cs="Times New Roman"/>
                <w:sz w:val="28"/>
                <w:szCs w:val="28"/>
                <w:vertAlign w:val="superscript"/>
              </w:rPr>
              <w:t>3</w:t>
            </w:r>
            <w:r w:rsidR="00DB59E1" w:rsidRPr="00FE6742">
              <w:rPr>
                <w:rFonts w:ascii="Times New Roman" w:hAnsi="Times New Roman" w:cs="Times New Roman"/>
                <w:sz w:val="28"/>
                <w:szCs w:val="28"/>
              </w:rPr>
              <w:t xml:space="preserve"> norādītajām personām</w:t>
            </w:r>
            <w:r w:rsidRPr="00FE6742">
              <w:rPr>
                <w:rFonts w:ascii="Times New Roman" w:hAnsi="Times New Roman" w:cs="Times New Roman"/>
                <w:sz w:val="28"/>
                <w:szCs w:val="28"/>
              </w:rPr>
              <w:t>, pamatojoties uz ekspertīzes noteicēja lēmumu:</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18.1.</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4834" w:rsidRPr="00445CDC" w:rsidRDefault="00054834" w:rsidP="00054834">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apsekojot (izpētot) dzīvu fizisku personu bez medicīnisko dokumentu izpētes</w:t>
            </w:r>
          </w:p>
        </w:tc>
        <w:tc>
          <w:tcPr>
            <w:tcW w:w="919" w:type="pct"/>
            <w:tcBorders>
              <w:top w:val="single" w:sz="4" w:space="0" w:color="auto"/>
              <w:left w:val="nil"/>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single" w:sz="4" w:space="0" w:color="auto"/>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82,00</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17,22</w:t>
            </w:r>
          </w:p>
        </w:tc>
        <w:tc>
          <w:tcPr>
            <w:tcW w:w="555" w:type="pct"/>
            <w:tcBorders>
              <w:top w:val="single" w:sz="4" w:space="0" w:color="auto"/>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99,22</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18.2.</w:t>
            </w:r>
          </w:p>
        </w:tc>
        <w:tc>
          <w:tcPr>
            <w:tcW w:w="1843" w:type="pct"/>
            <w:tcBorders>
              <w:top w:val="nil"/>
              <w:left w:val="single" w:sz="4" w:space="0" w:color="auto"/>
              <w:bottom w:val="single" w:sz="4" w:space="0" w:color="auto"/>
              <w:right w:val="single" w:sz="4" w:space="0" w:color="auto"/>
            </w:tcBorders>
            <w:shd w:val="clear" w:color="auto" w:fill="FFFFFF"/>
            <w:vAlign w:val="center"/>
            <w:hideMark/>
          </w:tcPr>
          <w:p w:rsidR="00054834" w:rsidRPr="00445CDC" w:rsidRDefault="00054834" w:rsidP="00054834">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apsekojot (izpētot) dzīvu personu ar medicīnisko dokumentu izpēti</w:t>
            </w:r>
          </w:p>
        </w:tc>
        <w:tc>
          <w:tcPr>
            <w:tcW w:w="919" w:type="pct"/>
            <w:tcBorders>
              <w:top w:val="nil"/>
              <w:left w:val="nil"/>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nil"/>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156,19</w:t>
            </w:r>
          </w:p>
        </w:tc>
        <w:tc>
          <w:tcPr>
            <w:tcW w:w="627" w:type="pct"/>
            <w:gridSpan w:val="2"/>
            <w:tcBorders>
              <w:top w:val="nil"/>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32,80</w:t>
            </w:r>
          </w:p>
        </w:tc>
        <w:tc>
          <w:tcPr>
            <w:tcW w:w="555" w:type="pct"/>
            <w:tcBorders>
              <w:top w:val="nil"/>
              <w:left w:val="nil"/>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188,99</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18.3.</w:t>
            </w:r>
          </w:p>
        </w:tc>
        <w:tc>
          <w:tcPr>
            <w:tcW w:w="1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4834" w:rsidRPr="00445CDC" w:rsidRDefault="00054834" w:rsidP="00054834">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atbilstoši iesniegtiem medicīniskajiem dokumentiem</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119,04</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25,00</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054834"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144,04</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lastRenderedPageBreak/>
              <w:t>19.</w:t>
            </w:r>
          </w:p>
        </w:tc>
        <w:tc>
          <w:tcPr>
            <w:tcW w:w="1843"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445CDC" w:rsidRDefault="00054834" w:rsidP="00054834">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Tiesu medicīniskās komisijas ekspertīze civillietā, pamatojoties uz ekspertīzes noteicēja lēmumu par tiesu medicīniskās ekspertīzes noteikšanu, neieskaitot pieaicināto ārstu speciālistu (līdz 5 jautājumiem (ieskaitot))</w:t>
            </w:r>
            <w:r w:rsidR="00116F6B">
              <w:rPr>
                <w:rFonts w:ascii="Times New Roman" w:hAnsi="Times New Roman" w:cs="Times New Roman"/>
                <w:sz w:val="28"/>
                <w:szCs w:val="28"/>
                <w:vertAlign w:val="superscript"/>
              </w:rPr>
              <w:t>10</w:t>
            </w:r>
          </w:p>
        </w:tc>
        <w:tc>
          <w:tcPr>
            <w:tcW w:w="919"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b/>
                <w:sz w:val="28"/>
                <w:szCs w:val="28"/>
              </w:rPr>
            </w:pPr>
            <w:r w:rsidRPr="00445CDC">
              <w:rPr>
                <w:rFonts w:ascii="Times New Roman" w:hAnsi="Times New Roman" w:cs="Times New Roman"/>
                <w:sz w:val="28"/>
                <w:szCs w:val="28"/>
              </w:rPr>
              <w:t>1 atzinums</w:t>
            </w:r>
          </w:p>
        </w:tc>
        <w:tc>
          <w:tcPr>
            <w:tcW w:w="598"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505,36</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106,13</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611,49</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20.</w:t>
            </w:r>
          </w:p>
        </w:tc>
        <w:tc>
          <w:tcPr>
            <w:tcW w:w="1843" w:type="pct"/>
            <w:tcBorders>
              <w:top w:val="single" w:sz="4" w:space="0" w:color="auto"/>
              <w:left w:val="single" w:sz="4" w:space="0" w:color="auto"/>
              <w:bottom w:val="single" w:sz="4" w:space="0" w:color="auto"/>
              <w:right w:val="single" w:sz="4" w:space="0" w:color="auto"/>
            </w:tcBorders>
            <w:shd w:val="clear" w:color="auto" w:fill="FFFFFF"/>
            <w:hideMark/>
          </w:tcPr>
          <w:p w:rsidR="00054834" w:rsidRPr="00445CDC" w:rsidRDefault="00054834" w:rsidP="00054834">
            <w:pPr>
              <w:spacing w:line="276" w:lineRule="auto"/>
              <w:rPr>
                <w:rFonts w:ascii="Times New Roman" w:eastAsia="Times New Roman" w:hAnsi="Times New Roman" w:cs="Times New Roman"/>
                <w:bCs/>
                <w:color w:val="000000"/>
                <w:sz w:val="28"/>
                <w:szCs w:val="28"/>
              </w:rPr>
            </w:pPr>
            <w:r w:rsidRPr="00445CDC">
              <w:rPr>
                <w:rFonts w:ascii="Times New Roman" w:hAnsi="Times New Roman" w:cs="Times New Roman"/>
                <w:sz w:val="28"/>
                <w:szCs w:val="28"/>
              </w:rPr>
              <w:t>Pieaicinātā eksperta dalība komisijas ekspertīzē atzinuma sniegšanā</w:t>
            </w:r>
            <w:r w:rsidR="00116F6B">
              <w:rPr>
                <w:rFonts w:ascii="Times New Roman" w:hAnsi="Times New Roman" w:cs="Times New Roman"/>
                <w:sz w:val="28"/>
                <w:szCs w:val="28"/>
                <w:vertAlign w:val="superscript"/>
              </w:rPr>
              <w:t>11</w:t>
            </w:r>
            <w:r w:rsidRPr="00445CDC">
              <w:rPr>
                <w:rFonts w:ascii="Times New Roman" w:hAnsi="Times New Roman" w:cs="Times New Roman"/>
                <w:sz w:val="28"/>
                <w:szCs w:val="28"/>
              </w:rPr>
              <w:t>/dalība tiesā civilprocesā (pieaicinātā ārsta speciālista 1 stundas likme)</w:t>
            </w:r>
          </w:p>
        </w:tc>
        <w:tc>
          <w:tcPr>
            <w:tcW w:w="919" w:type="pct"/>
            <w:tcBorders>
              <w:top w:val="single" w:sz="4" w:space="0" w:color="auto"/>
              <w:left w:val="nil"/>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eksperta stunda</w:t>
            </w:r>
          </w:p>
        </w:tc>
        <w:tc>
          <w:tcPr>
            <w:tcW w:w="598" w:type="pct"/>
            <w:tcBorders>
              <w:top w:val="single" w:sz="4" w:space="0" w:color="auto"/>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12,41</w:t>
            </w:r>
          </w:p>
        </w:tc>
        <w:tc>
          <w:tcPr>
            <w:tcW w:w="627" w:type="pct"/>
            <w:gridSpan w:val="2"/>
            <w:tcBorders>
              <w:top w:val="single" w:sz="4" w:space="0" w:color="auto"/>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2,61</w:t>
            </w:r>
          </w:p>
        </w:tc>
        <w:tc>
          <w:tcPr>
            <w:tcW w:w="555" w:type="pct"/>
            <w:tcBorders>
              <w:top w:val="single" w:sz="4" w:space="0" w:color="auto"/>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15,02</w:t>
            </w:r>
          </w:p>
        </w:tc>
      </w:tr>
      <w:tr w:rsidR="00054834" w:rsidRPr="00445CDC" w:rsidTr="0098516D">
        <w:trPr>
          <w:jc w:val="center"/>
        </w:trPr>
        <w:tc>
          <w:tcPr>
            <w:tcW w:w="458" w:type="pct"/>
            <w:tcBorders>
              <w:top w:val="single" w:sz="4" w:space="0" w:color="auto"/>
              <w:left w:val="single" w:sz="4" w:space="0" w:color="auto"/>
              <w:bottom w:val="single" w:sz="4" w:space="0" w:color="auto"/>
              <w:right w:val="single" w:sz="4" w:space="0" w:color="auto"/>
            </w:tcBorders>
            <w:hideMark/>
          </w:tcPr>
          <w:p w:rsidR="00054834" w:rsidRPr="00445CDC" w:rsidRDefault="00054834" w:rsidP="00054834">
            <w:pPr>
              <w:spacing w:line="276" w:lineRule="auto"/>
              <w:rPr>
                <w:rFonts w:ascii="Times New Roman" w:eastAsia="Times New Roman" w:hAnsi="Times New Roman" w:cs="Times New Roman"/>
                <w:sz w:val="28"/>
                <w:szCs w:val="28"/>
              </w:rPr>
            </w:pPr>
            <w:r w:rsidRPr="00445CDC">
              <w:rPr>
                <w:rFonts w:ascii="Times New Roman" w:hAnsi="Times New Roman" w:cs="Times New Roman"/>
                <w:sz w:val="28"/>
                <w:szCs w:val="28"/>
              </w:rPr>
              <w:t>21.</w:t>
            </w:r>
          </w:p>
        </w:tc>
        <w:tc>
          <w:tcPr>
            <w:tcW w:w="1843" w:type="pct"/>
            <w:tcBorders>
              <w:top w:val="nil"/>
              <w:left w:val="single" w:sz="4" w:space="0" w:color="auto"/>
              <w:bottom w:val="single" w:sz="4" w:space="0" w:color="auto"/>
              <w:right w:val="single" w:sz="4" w:space="0" w:color="auto"/>
            </w:tcBorders>
            <w:shd w:val="clear" w:color="auto" w:fill="FFFFFF"/>
            <w:hideMark/>
          </w:tcPr>
          <w:p w:rsidR="00054834" w:rsidRPr="00445CDC" w:rsidRDefault="00054834" w:rsidP="00054834">
            <w:pPr>
              <w:spacing w:line="276" w:lineRule="auto"/>
              <w:rPr>
                <w:rFonts w:ascii="Times New Roman" w:eastAsia="Times New Roman" w:hAnsi="Times New Roman" w:cs="Times New Roman"/>
                <w:color w:val="000000"/>
                <w:sz w:val="28"/>
                <w:szCs w:val="28"/>
              </w:rPr>
            </w:pPr>
            <w:r w:rsidRPr="00445CDC">
              <w:rPr>
                <w:rFonts w:ascii="Times New Roman" w:hAnsi="Times New Roman" w:cs="Times New Roman"/>
                <w:sz w:val="28"/>
                <w:szCs w:val="28"/>
              </w:rPr>
              <w:t>Pieaicinātā eksperta dalība komisijas ekspertīzē atzinuma sniegšanā</w:t>
            </w:r>
            <w:r w:rsidR="00116F6B">
              <w:rPr>
                <w:rFonts w:ascii="Times New Roman" w:hAnsi="Times New Roman" w:cs="Times New Roman"/>
                <w:sz w:val="28"/>
                <w:szCs w:val="28"/>
                <w:vertAlign w:val="superscript"/>
              </w:rPr>
              <w:t>11</w:t>
            </w:r>
            <w:r w:rsidRPr="00445CDC">
              <w:rPr>
                <w:rFonts w:ascii="Times New Roman" w:hAnsi="Times New Roman" w:cs="Times New Roman"/>
                <w:sz w:val="28"/>
                <w:szCs w:val="28"/>
              </w:rPr>
              <w:t>/dalība tiesā civilprocesā (pieaicinātā ārsta speciālista ar doktora grādu 1 stundas likme)</w:t>
            </w:r>
          </w:p>
        </w:tc>
        <w:tc>
          <w:tcPr>
            <w:tcW w:w="919" w:type="pct"/>
            <w:tcBorders>
              <w:top w:val="nil"/>
              <w:left w:val="nil"/>
              <w:bottom w:val="single" w:sz="4" w:space="0" w:color="auto"/>
              <w:right w:val="single" w:sz="4" w:space="0" w:color="auto"/>
            </w:tcBorders>
            <w:shd w:val="clear" w:color="auto" w:fill="FFFFFF"/>
            <w:hideMark/>
          </w:tcPr>
          <w:p w:rsidR="00054834" w:rsidRPr="00445CDC" w:rsidRDefault="00054834" w:rsidP="00054834">
            <w:pPr>
              <w:spacing w:line="276" w:lineRule="auto"/>
              <w:jc w:val="center"/>
              <w:rPr>
                <w:rFonts w:ascii="Times New Roman" w:eastAsia="Times New Roman" w:hAnsi="Times New Roman" w:cs="Times New Roman"/>
                <w:sz w:val="28"/>
                <w:szCs w:val="28"/>
              </w:rPr>
            </w:pPr>
            <w:r w:rsidRPr="00445CDC">
              <w:rPr>
                <w:rFonts w:ascii="Times New Roman" w:hAnsi="Times New Roman" w:cs="Times New Roman"/>
                <w:sz w:val="28"/>
                <w:szCs w:val="28"/>
              </w:rPr>
              <w:t>1 eksperta stunda</w:t>
            </w:r>
          </w:p>
        </w:tc>
        <w:tc>
          <w:tcPr>
            <w:tcW w:w="598" w:type="pct"/>
            <w:tcBorders>
              <w:top w:val="nil"/>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18,61</w:t>
            </w:r>
          </w:p>
        </w:tc>
        <w:tc>
          <w:tcPr>
            <w:tcW w:w="627" w:type="pct"/>
            <w:gridSpan w:val="2"/>
            <w:tcBorders>
              <w:top w:val="nil"/>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3,91</w:t>
            </w:r>
          </w:p>
        </w:tc>
        <w:tc>
          <w:tcPr>
            <w:tcW w:w="555" w:type="pct"/>
            <w:tcBorders>
              <w:top w:val="nil"/>
              <w:left w:val="nil"/>
              <w:bottom w:val="single" w:sz="4" w:space="0" w:color="auto"/>
              <w:right w:val="single" w:sz="4" w:space="0" w:color="auto"/>
            </w:tcBorders>
            <w:shd w:val="clear" w:color="auto" w:fill="FFFFFF"/>
            <w:hideMark/>
          </w:tcPr>
          <w:p w:rsidR="00054834" w:rsidRPr="003B1AC8" w:rsidRDefault="003B1AC8" w:rsidP="003B1AC8">
            <w:pPr>
              <w:spacing w:line="276" w:lineRule="auto"/>
              <w:jc w:val="center"/>
              <w:rPr>
                <w:rFonts w:ascii="Times New Roman" w:eastAsia="Times New Roman" w:hAnsi="Times New Roman" w:cs="Times New Roman"/>
                <w:sz w:val="28"/>
                <w:szCs w:val="28"/>
              </w:rPr>
            </w:pPr>
            <w:r w:rsidRPr="003B1AC8">
              <w:rPr>
                <w:rFonts w:ascii="Times New Roman" w:eastAsia="Times New Roman" w:hAnsi="Times New Roman" w:cs="Times New Roman"/>
                <w:sz w:val="28"/>
                <w:szCs w:val="28"/>
              </w:rPr>
              <w:t>22,52</w:t>
            </w:r>
          </w:p>
        </w:tc>
      </w:tr>
    </w:tbl>
    <w:p w:rsidR="00445CDC" w:rsidRPr="00445CDC" w:rsidRDefault="00445CDC" w:rsidP="00445CDC">
      <w:pPr>
        <w:pStyle w:val="naislab"/>
        <w:spacing w:before="0" w:after="0"/>
        <w:jc w:val="both"/>
        <w:rPr>
          <w:i/>
          <w:sz w:val="28"/>
          <w:szCs w:val="28"/>
        </w:rPr>
      </w:pPr>
    </w:p>
    <w:p w:rsidR="00445CDC" w:rsidRPr="00445CDC" w:rsidRDefault="00445CDC" w:rsidP="00445CDC">
      <w:pPr>
        <w:spacing w:after="200" w:line="276" w:lineRule="auto"/>
        <w:rPr>
          <w:rFonts w:ascii="Times New Roman" w:hAnsi="Times New Roman" w:cs="Times New Roman"/>
          <w:i/>
          <w:sz w:val="28"/>
          <w:szCs w:val="28"/>
        </w:rPr>
      </w:pPr>
      <w:r w:rsidRPr="00445CDC">
        <w:rPr>
          <w:rFonts w:ascii="Times New Roman" w:hAnsi="Times New Roman" w:cs="Times New Roman"/>
        </w:rPr>
        <w:t>Piezīmes.</w:t>
      </w:r>
    </w:p>
    <w:p w:rsidR="00445CDC" w:rsidRDefault="00445CDC" w:rsidP="00445CDC">
      <w:pPr>
        <w:pStyle w:val="naislab"/>
        <w:spacing w:before="0" w:after="0"/>
        <w:ind w:firstLine="709"/>
        <w:jc w:val="both"/>
      </w:pPr>
      <w:r>
        <w:rPr>
          <w:vertAlign w:val="superscript"/>
        </w:rPr>
        <w:t>1 </w:t>
      </w:r>
      <w:r>
        <w:t>Pievienotās vērtības nodokli nepiemēro saskaņā ar Pievienotās vērtības nodokļa likuma 3. panta astoto daļu.</w:t>
      </w:r>
    </w:p>
    <w:p w:rsidR="00445CDC" w:rsidRDefault="00445CDC" w:rsidP="00445CDC">
      <w:pPr>
        <w:pStyle w:val="naislab"/>
        <w:spacing w:before="0" w:after="0"/>
        <w:ind w:firstLine="709"/>
        <w:jc w:val="both"/>
      </w:pPr>
      <w:r>
        <w:rPr>
          <w:vertAlign w:val="superscript"/>
        </w:rPr>
        <w:t>2</w:t>
      </w:r>
      <w:r>
        <w:t> Ja pakalpojumu ir nepieciešams sniegt ārpus darba laika, piemēro koeficientu 1,71.</w:t>
      </w:r>
    </w:p>
    <w:p w:rsidR="00445CDC" w:rsidRDefault="00445CDC" w:rsidP="00445CDC">
      <w:pPr>
        <w:pStyle w:val="naislab"/>
        <w:spacing w:before="0" w:after="0"/>
        <w:ind w:firstLine="709"/>
        <w:jc w:val="both"/>
      </w:pPr>
      <w:r>
        <w:rPr>
          <w:vertAlign w:val="superscript"/>
        </w:rPr>
        <w:t>3 </w:t>
      </w:r>
      <w:r>
        <w:t>Ja vienam ķīmiski toksikoloģiskās izpētes objektam jāveic vairāk par trim izpētēm, piemēro vienu pakalpojuma veidu – "Pilna ķīmiski toksikoloģiskā izpēte".</w:t>
      </w:r>
    </w:p>
    <w:p w:rsidR="00445CDC" w:rsidRDefault="00445CDC" w:rsidP="00445CDC">
      <w:pPr>
        <w:pStyle w:val="naislab"/>
        <w:spacing w:before="0" w:after="0"/>
        <w:ind w:firstLine="709"/>
        <w:jc w:val="both"/>
      </w:pPr>
      <w:r>
        <w:rPr>
          <w:vertAlign w:val="superscript"/>
        </w:rPr>
        <w:t xml:space="preserve">4 </w:t>
      </w:r>
      <w:r>
        <w:t>Viens papildu</w:t>
      </w:r>
      <w:r w:rsidR="003B3AEE">
        <w:t>s</w:t>
      </w:r>
      <w:r>
        <w:t xml:space="preserve"> cilvēks standarta paternitātes un p</w:t>
      </w:r>
      <w:r w:rsidR="00EB05CB">
        <w:t>a</w:t>
      </w:r>
      <w:r w:rsidR="004C4B1E">
        <w:t>t</w:t>
      </w:r>
      <w:r>
        <w:t>e</w:t>
      </w:r>
      <w:r w:rsidR="004C4B1E">
        <w:t>r</w:t>
      </w:r>
      <w:r>
        <w:t>nitātes noteikšanas ekspertīzē.</w:t>
      </w:r>
    </w:p>
    <w:p w:rsidR="00445CDC" w:rsidRDefault="00445CDC" w:rsidP="00445CDC">
      <w:pPr>
        <w:pStyle w:val="naislab"/>
        <w:spacing w:before="0" w:after="0"/>
        <w:ind w:firstLine="709"/>
        <w:jc w:val="both"/>
      </w:pPr>
      <w:r>
        <w:rPr>
          <w:vertAlign w:val="superscript"/>
        </w:rPr>
        <w:t xml:space="preserve">5 </w:t>
      </w:r>
      <w:r>
        <w:t xml:space="preserve">Pakalpojumus var sniegt atsevišķi, kā arī visus kopā. Pakalpojumu nesniedz tādos gadījumos, ja kriminālprocesa ietvaros mirušajam noteikta tiesu medicīniskā ekspertīze. </w:t>
      </w:r>
    </w:p>
    <w:p w:rsidR="00445CDC" w:rsidRDefault="00445CDC" w:rsidP="00445CDC">
      <w:pPr>
        <w:pStyle w:val="naislab"/>
        <w:spacing w:before="0" w:after="0"/>
        <w:ind w:firstLine="709"/>
        <w:jc w:val="both"/>
      </w:pPr>
      <w:r>
        <w:rPr>
          <w:vertAlign w:val="superscript"/>
        </w:rPr>
        <w:t xml:space="preserve">6 </w:t>
      </w:r>
      <w:r>
        <w:t>Pakalpojumu nodrošina līdz 15 personām vienā apmeklējuma reizē.</w:t>
      </w:r>
    </w:p>
    <w:p w:rsidR="00445CDC" w:rsidRDefault="00445CDC" w:rsidP="00445CDC">
      <w:pPr>
        <w:pStyle w:val="naislab"/>
        <w:spacing w:before="0" w:after="0"/>
        <w:ind w:firstLine="709"/>
        <w:jc w:val="both"/>
      </w:pPr>
      <w:r>
        <w:rPr>
          <w:vertAlign w:val="superscript"/>
        </w:rPr>
        <w:t xml:space="preserve">7 </w:t>
      </w:r>
      <w:r>
        <w:t>Maksa par mirušā uzglabāšanu centrā ilgāk par trim dienām (sākot no ceturtās dienas (ja mirušais reģistrēts Valsts tiesu medicīnas ekspertīzes centrā pirms plkst. 21.00, mirušā uzglabāšanas kopējā laikā šī diena tiek ieskaitīta pilnā apmērā)) tiek noteikta no brīža, kad vienlaikus īstenojas šādi nosacījumi:</w:t>
      </w:r>
    </w:p>
    <w:p w:rsidR="00445CDC" w:rsidRDefault="00445CDC" w:rsidP="00445CDC">
      <w:pPr>
        <w:pStyle w:val="naislab"/>
        <w:spacing w:before="0" w:after="0"/>
        <w:ind w:firstLine="709"/>
        <w:jc w:val="both"/>
      </w:pPr>
      <w:r>
        <w:t>a) mirušajam centrā ir pabeigta tiesu medicīniskā autopsija,</w:t>
      </w:r>
    </w:p>
    <w:p w:rsidR="00445CDC" w:rsidRDefault="00445CDC" w:rsidP="00445CDC">
      <w:pPr>
        <w:pStyle w:val="naislab"/>
        <w:spacing w:before="0" w:after="0"/>
        <w:ind w:firstLine="709"/>
        <w:jc w:val="both"/>
      </w:pPr>
      <w:r>
        <w:t>b) mirušā piederīgajiem vai tā pilnvarotajai personai izsniegta medicīniskā apliecība par nāves cēloni vai miršanas apliecība,</w:t>
      </w:r>
    </w:p>
    <w:p w:rsidR="00445CDC" w:rsidRDefault="00445CDC" w:rsidP="00445CDC">
      <w:pPr>
        <w:pStyle w:val="naislab"/>
        <w:spacing w:before="0" w:after="0"/>
        <w:ind w:firstLine="709"/>
        <w:jc w:val="both"/>
      </w:pPr>
      <w:r>
        <w:lastRenderedPageBreak/>
        <w:t>c) procesa virzītājam nav iebildumu pret mirušā izsniegšanu apbedīšanai, bet gadījumos, ja mirušo plānots kremēt, saņemta izmeklēšanu uzraugošā prokurora atļauja.</w:t>
      </w:r>
    </w:p>
    <w:p w:rsidR="00445CDC" w:rsidRDefault="00445CDC" w:rsidP="00445CDC">
      <w:pPr>
        <w:pStyle w:val="naislab"/>
        <w:spacing w:before="0" w:after="0"/>
        <w:ind w:firstLine="709"/>
        <w:jc w:val="both"/>
      </w:pPr>
      <w:r>
        <w:rPr>
          <w:vertAlign w:val="superscript"/>
        </w:rPr>
        <w:t xml:space="preserve">8 </w:t>
      </w:r>
      <w:r>
        <w:t>Mirušais tiek pieņemts uzglabāšanai, ja attiecīgā centra struktūrvienība to spēj nodrošināt.</w:t>
      </w:r>
    </w:p>
    <w:p w:rsidR="00445CDC" w:rsidRDefault="00445CDC" w:rsidP="00445CDC">
      <w:pPr>
        <w:pStyle w:val="naislab"/>
        <w:spacing w:before="0" w:after="0"/>
        <w:ind w:firstLine="709"/>
        <w:jc w:val="both"/>
      </w:pPr>
      <w:r>
        <w:rPr>
          <w:vertAlign w:val="superscript"/>
        </w:rPr>
        <w:t xml:space="preserve">9 </w:t>
      </w:r>
      <w:r>
        <w:t>Pakalpojumu neveic gadījumos, ja apsekojamajai fiziskajai personai kriminālprocesa vai administratīvā pārkāpuma procesa ietvaros noteikta tiesu medicīniskā ekspertīze.</w:t>
      </w:r>
      <w:r w:rsidR="00C0362B">
        <w:t xml:space="preserve"> Pakalpojums ietver miesas bojājumu esamības noteikšanu, rašanās laiku un mehānismu, kā arī smaguma pakāpes novērtēšanu un saistības ar diagnosticētās saslimšanas noteikšanu.</w:t>
      </w:r>
    </w:p>
    <w:p w:rsidR="00445CDC" w:rsidRDefault="00445CDC" w:rsidP="00445CDC">
      <w:pPr>
        <w:pStyle w:val="naislab"/>
        <w:spacing w:before="0" w:after="0"/>
        <w:ind w:firstLine="709"/>
        <w:jc w:val="both"/>
      </w:pPr>
      <w:r>
        <w:rPr>
          <w:vertAlign w:val="superscript"/>
        </w:rPr>
        <w:t>10</w:t>
      </w:r>
      <w:r>
        <w:t xml:space="preserve"> Par katriem nākamajiem pieciem izskatītajiem jautājumiem piemēro koeficientu 0,2.</w:t>
      </w:r>
    </w:p>
    <w:p w:rsidR="00445CDC" w:rsidRDefault="00445CDC" w:rsidP="00445CDC">
      <w:pPr>
        <w:pStyle w:val="naislab"/>
        <w:spacing w:before="0" w:after="0"/>
        <w:ind w:firstLine="709"/>
        <w:jc w:val="both"/>
      </w:pPr>
      <w:r>
        <w:rPr>
          <w:vertAlign w:val="superscript"/>
        </w:rPr>
        <w:t>11</w:t>
      </w:r>
      <w:r>
        <w:t>Samaksu par pieaicinātā eksperta dalību komisijas ekspertīzē atzinuma sniegšanā kriminālprocesa un administratīvā procesa ietvaros Valsts tiesu medicīnas ekspertīzes centram</w:t>
      </w:r>
      <w:r>
        <w:rPr>
          <w:rFonts w:eastAsiaTheme="minorHAnsi"/>
          <w:lang w:eastAsia="en-US"/>
        </w:rPr>
        <w:t xml:space="preserve"> atlīdzina saskaņā ar Ministru kabineta 2005.gada 4.oktobra noteikumiem Nr.754 "Noteikumi par kriminālprocesuālo izdevumu atlīdzināšanas kārtību un apmēru" un Ministru kabineta 2004.gada 31.augusta noteikumiem Nr.748 "Noteikumi par atlīdzības izmaksu lieciniekam, tulkam un ekspertam administratīvajā procesā tiesā".</w:t>
      </w:r>
      <w:r w:rsidR="00AA1BD2" w:rsidRPr="00AA1BD2">
        <w:rPr>
          <w:rFonts w:eastAsiaTheme="minorHAnsi"/>
          <w:sz w:val="28"/>
          <w:szCs w:val="28"/>
          <w:lang w:eastAsia="en-US"/>
        </w:rPr>
        <w:t>”.</w:t>
      </w:r>
    </w:p>
    <w:p w:rsidR="005B68A1" w:rsidRDefault="005B68A1" w:rsidP="00AA1BD2">
      <w:pPr>
        <w:pStyle w:val="Title"/>
        <w:jc w:val="both"/>
        <w:outlineLvl w:val="0"/>
        <w:rPr>
          <w:szCs w:val="28"/>
        </w:rPr>
      </w:pPr>
    </w:p>
    <w:p w:rsidR="005B68A1" w:rsidRDefault="005B68A1" w:rsidP="00B21272">
      <w:pPr>
        <w:pStyle w:val="Title"/>
        <w:ind w:firstLine="709"/>
        <w:jc w:val="both"/>
        <w:outlineLvl w:val="0"/>
        <w:rPr>
          <w:szCs w:val="28"/>
        </w:rPr>
      </w:pPr>
    </w:p>
    <w:p w:rsidR="005B68A1" w:rsidRPr="002D0B36" w:rsidRDefault="005B68A1" w:rsidP="00B21272">
      <w:pPr>
        <w:pStyle w:val="Title"/>
        <w:ind w:firstLine="709"/>
        <w:jc w:val="both"/>
        <w:outlineLvl w:val="0"/>
        <w:rPr>
          <w:szCs w:val="28"/>
        </w:rPr>
      </w:pPr>
      <w:r>
        <w:rPr>
          <w:szCs w:val="28"/>
        </w:rPr>
        <w:t>3. Noteikumi stājas spēkā 2018.gada ____._______.</w:t>
      </w:r>
    </w:p>
    <w:p w:rsidR="002D0B36" w:rsidRPr="002D0B36" w:rsidRDefault="002D0B36" w:rsidP="00B21272">
      <w:pPr>
        <w:pStyle w:val="Title"/>
        <w:ind w:firstLine="709"/>
        <w:jc w:val="both"/>
        <w:outlineLvl w:val="0"/>
        <w:rPr>
          <w:szCs w:val="28"/>
          <w:lang w:eastAsia="lv-LV"/>
        </w:rPr>
      </w:pPr>
    </w:p>
    <w:p w:rsidR="002D0B36" w:rsidRDefault="002D0B36" w:rsidP="00B21272">
      <w:pPr>
        <w:pStyle w:val="Title"/>
        <w:ind w:firstLine="709"/>
        <w:jc w:val="both"/>
        <w:outlineLvl w:val="0"/>
        <w:rPr>
          <w:sz w:val="24"/>
          <w:szCs w:val="24"/>
          <w:lang w:eastAsia="lv-LV"/>
        </w:rPr>
      </w:pPr>
    </w:p>
    <w:p w:rsidR="00B21272" w:rsidRPr="00121EA4" w:rsidRDefault="00B21272" w:rsidP="00B21272">
      <w:pPr>
        <w:pStyle w:val="Title"/>
        <w:ind w:firstLine="709"/>
        <w:jc w:val="both"/>
        <w:outlineLvl w:val="0"/>
      </w:pPr>
    </w:p>
    <w:p w:rsidR="00B21272" w:rsidRPr="00121EA4" w:rsidRDefault="00B21272" w:rsidP="00B21272">
      <w:pPr>
        <w:pStyle w:val="Title"/>
        <w:ind w:firstLine="709"/>
        <w:jc w:val="both"/>
        <w:outlineLvl w:val="0"/>
        <w:rPr>
          <w:szCs w:val="28"/>
        </w:rPr>
      </w:pPr>
    </w:p>
    <w:p w:rsidR="00B21272" w:rsidRPr="00121EA4" w:rsidRDefault="000C0A70" w:rsidP="00B21272">
      <w:pPr>
        <w:pStyle w:val="naisf"/>
        <w:tabs>
          <w:tab w:val="right" w:pos="9071"/>
        </w:tabs>
        <w:spacing w:before="0" w:after="0"/>
        <w:ind w:firstLine="0"/>
        <w:rPr>
          <w:sz w:val="28"/>
          <w:szCs w:val="28"/>
        </w:rPr>
      </w:pPr>
      <w:r>
        <w:rPr>
          <w:sz w:val="28"/>
          <w:szCs w:val="28"/>
        </w:rPr>
        <w:t>V</w:t>
      </w:r>
      <w:r w:rsidR="00AA1BD2">
        <w:rPr>
          <w:sz w:val="28"/>
          <w:szCs w:val="28"/>
        </w:rPr>
        <w:t>eselības ministr</w:t>
      </w:r>
      <w:r>
        <w:rPr>
          <w:sz w:val="28"/>
          <w:szCs w:val="28"/>
        </w:rPr>
        <w:t>e</w:t>
      </w:r>
      <w:r>
        <w:rPr>
          <w:sz w:val="28"/>
          <w:szCs w:val="28"/>
        </w:rPr>
        <w:tab/>
        <w:t xml:space="preserve">Anda </w:t>
      </w:r>
      <w:proofErr w:type="spellStart"/>
      <w:r>
        <w:rPr>
          <w:sz w:val="28"/>
          <w:szCs w:val="28"/>
        </w:rPr>
        <w:t>Čakša</w:t>
      </w:r>
      <w:proofErr w:type="spellEnd"/>
    </w:p>
    <w:p w:rsidR="00B21272" w:rsidRPr="00121EA4" w:rsidRDefault="00B21272" w:rsidP="00B21272">
      <w:pPr>
        <w:pStyle w:val="naisf"/>
        <w:tabs>
          <w:tab w:val="right" w:pos="9000"/>
          <w:tab w:val="right" w:pos="9071"/>
        </w:tabs>
        <w:spacing w:before="0" w:after="0"/>
        <w:ind w:firstLine="0"/>
        <w:rPr>
          <w:sz w:val="28"/>
          <w:szCs w:val="28"/>
        </w:rPr>
      </w:pPr>
    </w:p>
    <w:p w:rsidR="00B21272" w:rsidRPr="00121EA4" w:rsidRDefault="00B21272" w:rsidP="00B21272">
      <w:pPr>
        <w:pStyle w:val="naisf"/>
        <w:tabs>
          <w:tab w:val="right" w:pos="9000"/>
          <w:tab w:val="right" w:pos="9071"/>
        </w:tabs>
        <w:spacing w:before="0" w:after="0"/>
        <w:ind w:firstLine="0"/>
        <w:rPr>
          <w:sz w:val="28"/>
          <w:szCs w:val="28"/>
        </w:rPr>
      </w:pPr>
    </w:p>
    <w:p w:rsidR="009E1404" w:rsidRPr="00121EA4" w:rsidRDefault="009E1404" w:rsidP="00B21272">
      <w:pPr>
        <w:spacing w:after="0" w:line="240" w:lineRule="auto"/>
        <w:rPr>
          <w:rFonts w:ascii="Times New Roman" w:hAnsi="Times New Roman" w:cs="Times New Roman"/>
          <w:sz w:val="24"/>
          <w:szCs w:val="24"/>
        </w:rPr>
      </w:pPr>
    </w:p>
    <w:sectPr w:rsidR="009E1404" w:rsidRPr="00121EA4" w:rsidSect="009E140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A15" w:rsidRDefault="001F6A15" w:rsidP="00B21272">
      <w:pPr>
        <w:spacing w:after="0" w:line="240" w:lineRule="auto"/>
      </w:pPr>
      <w:r>
        <w:separator/>
      </w:r>
    </w:p>
  </w:endnote>
  <w:endnote w:type="continuationSeparator" w:id="0">
    <w:p w:rsidR="001F6A15" w:rsidRDefault="001F6A15" w:rsidP="00B2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D5" w:rsidRDefault="0077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2A" w:rsidRPr="0098516D" w:rsidRDefault="007776D5">
    <w:pPr>
      <w:pStyle w:val="Footer"/>
      <w:rPr>
        <w:rFonts w:ascii="Times New Roman" w:hAnsi="Times New Roman" w:cs="Times New Roman"/>
        <w:sz w:val="20"/>
        <w:szCs w:val="20"/>
      </w:rPr>
    </w:pPr>
    <w:r>
      <w:rPr>
        <w:rFonts w:ascii="Times New Roman" w:hAnsi="Times New Roman" w:cs="Times New Roman"/>
        <w:sz w:val="20"/>
        <w:szCs w:val="20"/>
      </w:rPr>
      <w:t>VMNot_0210</w:t>
    </w:r>
    <w:bookmarkStart w:id="0" w:name="_GoBack"/>
    <w:bookmarkEnd w:id="0"/>
    <w:r w:rsidR="00B5292A" w:rsidRPr="0098516D">
      <w:rPr>
        <w:rFonts w:ascii="Times New Roman" w:hAnsi="Times New Roman" w:cs="Times New Roman"/>
        <w:sz w:val="20"/>
        <w:szCs w:val="20"/>
      </w:rPr>
      <w:t>18_VTMECmaks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D5" w:rsidRDefault="0077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A15" w:rsidRDefault="001F6A15" w:rsidP="00B21272">
      <w:pPr>
        <w:spacing w:after="0" w:line="240" w:lineRule="auto"/>
      </w:pPr>
      <w:r>
        <w:separator/>
      </w:r>
    </w:p>
  </w:footnote>
  <w:footnote w:type="continuationSeparator" w:id="0">
    <w:p w:rsidR="001F6A15" w:rsidRDefault="001F6A15" w:rsidP="00B2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D5" w:rsidRDefault="0077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D5" w:rsidRDefault="00777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D5" w:rsidRDefault="0077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84427"/>
    <w:multiLevelType w:val="hybridMultilevel"/>
    <w:tmpl w:val="BBC86A2E"/>
    <w:lvl w:ilvl="0" w:tplc="9A90246A">
      <w:start w:val="1"/>
      <w:numFmt w:val="decimal"/>
      <w:lvlText w:val="%1."/>
      <w:lvlJc w:val="left"/>
      <w:pPr>
        <w:ind w:left="360" w:hanging="360"/>
      </w:pPr>
      <w:rPr>
        <w:b w:val="0"/>
      </w:rPr>
    </w:lvl>
    <w:lvl w:ilvl="1" w:tplc="04260019">
      <w:start w:val="1"/>
      <w:numFmt w:val="lowerLetter"/>
      <w:lvlText w:val="%2."/>
      <w:lvlJc w:val="left"/>
      <w:pPr>
        <w:ind w:left="1298" w:hanging="360"/>
      </w:pPr>
    </w:lvl>
    <w:lvl w:ilvl="2" w:tplc="0426001B">
      <w:start w:val="1"/>
      <w:numFmt w:val="lowerRoman"/>
      <w:lvlText w:val="%3."/>
      <w:lvlJc w:val="right"/>
      <w:pPr>
        <w:ind w:left="2018" w:hanging="180"/>
      </w:pPr>
    </w:lvl>
    <w:lvl w:ilvl="3" w:tplc="0426000F">
      <w:start w:val="1"/>
      <w:numFmt w:val="decimal"/>
      <w:lvlText w:val="%4."/>
      <w:lvlJc w:val="left"/>
      <w:pPr>
        <w:ind w:left="2738" w:hanging="360"/>
      </w:pPr>
    </w:lvl>
    <w:lvl w:ilvl="4" w:tplc="04260019">
      <w:start w:val="1"/>
      <w:numFmt w:val="lowerLetter"/>
      <w:lvlText w:val="%5."/>
      <w:lvlJc w:val="left"/>
      <w:pPr>
        <w:ind w:left="3458" w:hanging="360"/>
      </w:pPr>
    </w:lvl>
    <w:lvl w:ilvl="5" w:tplc="0426001B">
      <w:start w:val="1"/>
      <w:numFmt w:val="lowerRoman"/>
      <w:lvlText w:val="%6."/>
      <w:lvlJc w:val="right"/>
      <w:pPr>
        <w:ind w:left="4178" w:hanging="180"/>
      </w:pPr>
    </w:lvl>
    <w:lvl w:ilvl="6" w:tplc="0426000F">
      <w:start w:val="1"/>
      <w:numFmt w:val="decimal"/>
      <w:lvlText w:val="%7."/>
      <w:lvlJc w:val="left"/>
      <w:pPr>
        <w:ind w:left="4898" w:hanging="360"/>
      </w:pPr>
    </w:lvl>
    <w:lvl w:ilvl="7" w:tplc="04260019">
      <w:start w:val="1"/>
      <w:numFmt w:val="lowerLetter"/>
      <w:lvlText w:val="%8."/>
      <w:lvlJc w:val="left"/>
      <w:pPr>
        <w:ind w:left="5618" w:hanging="360"/>
      </w:pPr>
    </w:lvl>
    <w:lvl w:ilvl="8" w:tplc="0426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B0"/>
    <w:rsid w:val="00003C7A"/>
    <w:rsid w:val="00011A2B"/>
    <w:rsid w:val="00034D01"/>
    <w:rsid w:val="00043F42"/>
    <w:rsid w:val="000448C2"/>
    <w:rsid w:val="00054834"/>
    <w:rsid w:val="0006317A"/>
    <w:rsid w:val="0006443A"/>
    <w:rsid w:val="0007465A"/>
    <w:rsid w:val="000A78E4"/>
    <w:rsid w:val="000C0A70"/>
    <w:rsid w:val="000E5AC0"/>
    <w:rsid w:val="00116F6B"/>
    <w:rsid w:val="00117A23"/>
    <w:rsid w:val="00121EA4"/>
    <w:rsid w:val="00137166"/>
    <w:rsid w:val="001503B6"/>
    <w:rsid w:val="00153561"/>
    <w:rsid w:val="0015431E"/>
    <w:rsid w:val="001573B2"/>
    <w:rsid w:val="00157962"/>
    <w:rsid w:val="00164C47"/>
    <w:rsid w:val="001706E0"/>
    <w:rsid w:val="00173102"/>
    <w:rsid w:val="00194AC6"/>
    <w:rsid w:val="001B079F"/>
    <w:rsid w:val="001D2A60"/>
    <w:rsid w:val="001D6146"/>
    <w:rsid w:val="001E2021"/>
    <w:rsid w:val="001F6A15"/>
    <w:rsid w:val="00243F33"/>
    <w:rsid w:val="002864F1"/>
    <w:rsid w:val="0029405A"/>
    <w:rsid w:val="002D0B36"/>
    <w:rsid w:val="002D5A7D"/>
    <w:rsid w:val="00304599"/>
    <w:rsid w:val="003252A1"/>
    <w:rsid w:val="00330BD4"/>
    <w:rsid w:val="003416BD"/>
    <w:rsid w:val="00344492"/>
    <w:rsid w:val="0035180E"/>
    <w:rsid w:val="0037073D"/>
    <w:rsid w:val="003727ED"/>
    <w:rsid w:val="00385DE9"/>
    <w:rsid w:val="003B1AC8"/>
    <w:rsid w:val="003B3AEE"/>
    <w:rsid w:val="003C79AF"/>
    <w:rsid w:val="003E2FA7"/>
    <w:rsid w:val="003E5235"/>
    <w:rsid w:val="004041DE"/>
    <w:rsid w:val="00427D46"/>
    <w:rsid w:val="00445CDC"/>
    <w:rsid w:val="00466489"/>
    <w:rsid w:val="004845B8"/>
    <w:rsid w:val="004B3837"/>
    <w:rsid w:val="004C4B1E"/>
    <w:rsid w:val="004D14BF"/>
    <w:rsid w:val="004E4B5E"/>
    <w:rsid w:val="00511944"/>
    <w:rsid w:val="005145CB"/>
    <w:rsid w:val="00523C1C"/>
    <w:rsid w:val="00525E07"/>
    <w:rsid w:val="00530BB9"/>
    <w:rsid w:val="005861AE"/>
    <w:rsid w:val="005A422A"/>
    <w:rsid w:val="005A7DAE"/>
    <w:rsid w:val="005B68A1"/>
    <w:rsid w:val="00634098"/>
    <w:rsid w:val="006A4CEA"/>
    <w:rsid w:val="006A6344"/>
    <w:rsid w:val="006B0785"/>
    <w:rsid w:val="006F5881"/>
    <w:rsid w:val="007146CB"/>
    <w:rsid w:val="007275A8"/>
    <w:rsid w:val="00730636"/>
    <w:rsid w:val="00755D50"/>
    <w:rsid w:val="007776D5"/>
    <w:rsid w:val="00791EA6"/>
    <w:rsid w:val="007D0B42"/>
    <w:rsid w:val="00831F77"/>
    <w:rsid w:val="00836AB4"/>
    <w:rsid w:val="00852A6A"/>
    <w:rsid w:val="00874E5A"/>
    <w:rsid w:val="00890571"/>
    <w:rsid w:val="008B0F03"/>
    <w:rsid w:val="008F1DCD"/>
    <w:rsid w:val="008F5375"/>
    <w:rsid w:val="0090756D"/>
    <w:rsid w:val="00911CB3"/>
    <w:rsid w:val="00913C9A"/>
    <w:rsid w:val="00926968"/>
    <w:rsid w:val="009403AC"/>
    <w:rsid w:val="00951D7F"/>
    <w:rsid w:val="009522A5"/>
    <w:rsid w:val="0097174D"/>
    <w:rsid w:val="00972BAE"/>
    <w:rsid w:val="0098516D"/>
    <w:rsid w:val="00990AD7"/>
    <w:rsid w:val="009A25D1"/>
    <w:rsid w:val="009E1404"/>
    <w:rsid w:val="00A05129"/>
    <w:rsid w:val="00A4522B"/>
    <w:rsid w:val="00A53102"/>
    <w:rsid w:val="00A53EB0"/>
    <w:rsid w:val="00A72470"/>
    <w:rsid w:val="00AA1BD2"/>
    <w:rsid w:val="00AC0689"/>
    <w:rsid w:val="00AF3B0A"/>
    <w:rsid w:val="00AF52B5"/>
    <w:rsid w:val="00B13E1C"/>
    <w:rsid w:val="00B21272"/>
    <w:rsid w:val="00B4281B"/>
    <w:rsid w:val="00B5292A"/>
    <w:rsid w:val="00B90BC1"/>
    <w:rsid w:val="00B91745"/>
    <w:rsid w:val="00B95C9F"/>
    <w:rsid w:val="00BA618E"/>
    <w:rsid w:val="00BC59FE"/>
    <w:rsid w:val="00BE60EF"/>
    <w:rsid w:val="00BE797A"/>
    <w:rsid w:val="00C00F21"/>
    <w:rsid w:val="00C0362B"/>
    <w:rsid w:val="00C3471F"/>
    <w:rsid w:val="00C61099"/>
    <w:rsid w:val="00C77B87"/>
    <w:rsid w:val="00C97116"/>
    <w:rsid w:val="00CA1B28"/>
    <w:rsid w:val="00CD5B67"/>
    <w:rsid w:val="00CF4878"/>
    <w:rsid w:val="00D0314C"/>
    <w:rsid w:val="00D04291"/>
    <w:rsid w:val="00D34003"/>
    <w:rsid w:val="00D3463E"/>
    <w:rsid w:val="00D60646"/>
    <w:rsid w:val="00D7398B"/>
    <w:rsid w:val="00D80B6E"/>
    <w:rsid w:val="00D8142B"/>
    <w:rsid w:val="00D90FFD"/>
    <w:rsid w:val="00DB59E1"/>
    <w:rsid w:val="00DB6003"/>
    <w:rsid w:val="00DC1996"/>
    <w:rsid w:val="00DD04AD"/>
    <w:rsid w:val="00DF63B0"/>
    <w:rsid w:val="00DF78B1"/>
    <w:rsid w:val="00E02404"/>
    <w:rsid w:val="00E20370"/>
    <w:rsid w:val="00E40C11"/>
    <w:rsid w:val="00EB05CB"/>
    <w:rsid w:val="00ED2BC0"/>
    <w:rsid w:val="00EE2A57"/>
    <w:rsid w:val="00EF0D22"/>
    <w:rsid w:val="00EF774C"/>
    <w:rsid w:val="00F03CD7"/>
    <w:rsid w:val="00F06F05"/>
    <w:rsid w:val="00F102F4"/>
    <w:rsid w:val="00F275C3"/>
    <w:rsid w:val="00F32366"/>
    <w:rsid w:val="00F92F09"/>
    <w:rsid w:val="00F9361E"/>
    <w:rsid w:val="00FD147F"/>
    <w:rsid w:val="00FE29A9"/>
    <w:rsid w:val="00FE6155"/>
    <w:rsid w:val="00FE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6940"/>
  <w15:docId w15:val="{D8ECCB98-2258-454E-8CB0-DFAE84A1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B212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21272"/>
    <w:rPr>
      <w:rFonts w:ascii="Times New Roman" w:eastAsia="Times New Roman" w:hAnsi="Times New Roman" w:cs="Times New Roman"/>
      <w:sz w:val="28"/>
      <w:szCs w:val="20"/>
    </w:rPr>
  </w:style>
  <w:style w:type="paragraph" w:customStyle="1" w:styleId="naisf">
    <w:name w:val="naisf"/>
    <w:basedOn w:val="Normal"/>
    <w:rsid w:val="00B2127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FD"/>
    <w:rPr>
      <w:rFonts w:ascii="Tahoma" w:hAnsi="Tahoma" w:cs="Tahoma"/>
      <w:sz w:val="16"/>
      <w:szCs w:val="16"/>
    </w:rPr>
  </w:style>
  <w:style w:type="table" w:customStyle="1" w:styleId="TableGrid1">
    <w:name w:val="Table Grid1"/>
    <w:basedOn w:val="TableNormal"/>
    <w:next w:val="TableGrid"/>
    <w:uiPriority w:val="59"/>
    <w:rsid w:val="00341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E5235"/>
    <w:rPr>
      <w:sz w:val="16"/>
      <w:szCs w:val="16"/>
    </w:rPr>
  </w:style>
  <w:style w:type="paragraph" w:styleId="CommentText">
    <w:name w:val="annotation text"/>
    <w:basedOn w:val="Normal"/>
    <w:link w:val="CommentTextChar"/>
    <w:unhideWhenUsed/>
    <w:rsid w:val="003E5235"/>
    <w:pPr>
      <w:spacing w:line="240" w:lineRule="auto"/>
    </w:pPr>
    <w:rPr>
      <w:sz w:val="20"/>
      <w:szCs w:val="20"/>
    </w:rPr>
  </w:style>
  <w:style w:type="character" w:customStyle="1" w:styleId="CommentTextChar">
    <w:name w:val="Comment Text Char"/>
    <w:basedOn w:val="DefaultParagraphFont"/>
    <w:link w:val="CommentText"/>
    <w:rsid w:val="003E5235"/>
    <w:rPr>
      <w:sz w:val="20"/>
      <w:szCs w:val="20"/>
    </w:rPr>
  </w:style>
  <w:style w:type="paragraph" w:styleId="CommentSubject">
    <w:name w:val="annotation subject"/>
    <w:basedOn w:val="CommentText"/>
    <w:next w:val="CommentText"/>
    <w:link w:val="CommentSubjectChar"/>
    <w:uiPriority w:val="99"/>
    <w:semiHidden/>
    <w:unhideWhenUsed/>
    <w:rsid w:val="003E5235"/>
    <w:rPr>
      <w:b/>
      <w:bCs/>
    </w:rPr>
  </w:style>
  <w:style w:type="character" w:customStyle="1" w:styleId="CommentSubjectChar">
    <w:name w:val="Comment Subject Char"/>
    <w:basedOn w:val="CommentTextChar"/>
    <w:link w:val="CommentSubject"/>
    <w:uiPriority w:val="99"/>
    <w:semiHidden/>
    <w:rsid w:val="003E5235"/>
    <w:rPr>
      <w:b/>
      <w:bCs/>
      <w:sz w:val="20"/>
      <w:szCs w:val="20"/>
    </w:rPr>
  </w:style>
  <w:style w:type="paragraph" w:styleId="BodyTextIndent">
    <w:name w:val="Body Text Indent"/>
    <w:basedOn w:val="Normal"/>
    <w:link w:val="BodyTextIndentChar"/>
    <w:semiHidden/>
    <w:unhideWhenUsed/>
    <w:rsid w:val="00445CDC"/>
    <w:pPr>
      <w:spacing w:after="120" w:line="240" w:lineRule="auto"/>
      <w:ind w:left="283"/>
    </w:pPr>
    <w:rPr>
      <w:rFonts w:ascii="Times New Roman" w:eastAsia="Times New Roman" w:hAnsi="Times New Roman" w:cs="Times New Roman"/>
      <w:sz w:val="24"/>
      <w:szCs w:val="24"/>
      <w:lang w:val="en-GB" w:eastAsia="lv-LV"/>
    </w:rPr>
  </w:style>
  <w:style w:type="character" w:customStyle="1" w:styleId="BodyTextIndentChar">
    <w:name w:val="Body Text Indent Char"/>
    <w:basedOn w:val="DefaultParagraphFont"/>
    <w:link w:val="BodyTextIndent"/>
    <w:semiHidden/>
    <w:rsid w:val="00445CDC"/>
    <w:rPr>
      <w:rFonts w:ascii="Times New Roman" w:eastAsia="Times New Roman" w:hAnsi="Times New Roman" w:cs="Times New Roman"/>
      <w:sz w:val="24"/>
      <w:szCs w:val="24"/>
      <w:lang w:val="en-GB" w:eastAsia="lv-LV"/>
    </w:rPr>
  </w:style>
  <w:style w:type="paragraph" w:customStyle="1" w:styleId="naislab">
    <w:name w:val="naislab"/>
    <w:basedOn w:val="Normal"/>
    <w:rsid w:val="00445CDC"/>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545">
      <w:bodyDiv w:val="1"/>
      <w:marLeft w:val="0"/>
      <w:marRight w:val="0"/>
      <w:marTop w:val="0"/>
      <w:marBottom w:val="0"/>
      <w:divBdr>
        <w:top w:val="none" w:sz="0" w:space="0" w:color="auto"/>
        <w:left w:val="none" w:sz="0" w:space="0" w:color="auto"/>
        <w:bottom w:val="none" w:sz="0" w:space="0" w:color="auto"/>
        <w:right w:val="none" w:sz="0" w:space="0" w:color="auto"/>
      </w:divBdr>
    </w:div>
    <w:div w:id="241570243">
      <w:bodyDiv w:val="1"/>
      <w:marLeft w:val="0"/>
      <w:marRight w:val="0"/>
      <w:marTop w:val="0"/>
      <w:marBottom w:val="0"/>
      <w:divBdr>
        <w:top w:val="none" w:sz="0" w:space="0" w:color="auto"/>
        <w:left w:val="none" w:sz="0" w:space="0" w:color="auto"/>
        <w:bottom w:val="none" w:sz="0" w:space="0" w:color="auto"/>
        <w:right w:val="none" w:sz="0" w:space="0" w:color="auto"/>
      </w:divBdr>
    </w:div>
    <w:div w:id="738752724">
      <w:bodyDiv w:val="1"/>
      <w:marLeft w:val="0"/>
      <w:marRight w:val="0"/>
      <w:marTop w:val="0"/>
      <w:marBottom w:val="0"/>
      <w:divBdr>
        <w:top w:val="none" w:sz="0" w:space="0" w:color="auto"/>
        <w:left w:val="none" w:sz="0" w:space="0" w:color="auto"/>
        <w:bottom w:val="none" w:sz="0" w:space="0" w:color="auto"/>
        <w:right w:val="none" w:sz="0" w:space="0" w:color="auto"/>
      </w:divBdr>
    </w:div>
    <w:div w:id="9181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628B-6000-4B7E-A027-F5446368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7431</Words>
  <Characters>4237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2009. gada 20. janvāra noteikumos Nr. 60 "Noteikumi par obligātajām prasībām ārstniecības iestādēm un to struktūrvienībām"</vt:lpstr>
    </vt:vector>
  </TitlesOfParts>
  <Company>Aizsardzības ministrija</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20. janvāra noteikumos Nr. 60 "Noteikumi par obligātajām prasībām ārstniecības iestādēm un to struktūrvienībām"</dc:title>
  <dc:creator>Iveta Volkovska-Cielava</dc:creator>
  <dc:description>Iveta.Volkovska-Cielava@mod.gov.lv, 67335025</dc:description>
  <cp:lastModifiedBy>Lāsma Zandberga</cp:lastModifiedBy>
  <cp:revision>2</cp:revision>
  <cp:lastPrinted>2018-09-19T08:09:00Z</cp:lastPrinted>
  <dcterms:created xsi:type="dcterms:W3CDTF">2018-10-02T13:25:00Z</dcterms:created>
  <dcterms:modified xsi:type="dcterms:W3CDTF">2018-10-02T13:25:00Z</dcterms:modified>
</cp:coreProperties>
</file>