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16" w:rsidRPr="00890707" w:rsidRDefault="00702016" w:rsidP="00702016">
      <w:pPr>
        <w:spacing w:before="80"/>
        <w:jc w:val="center"/>
        <w:rPr>
          <w:b/>
        </w:rPr>
      </w:pPr>
      <w:r w:rsidRPr="00890707">
        <w:rPr>
          <w:b/>
        </w:rPr>
        <w:t>Informatīvais ziņojums</w:t>
      </w:r>
    </w:p>
    <w:p w:rsidR="00702016" w:rsidRPr="00890707" w:rsidRDefault="00702016" w:rsidP="00702016">
      <w:pPr>
        <w:spacing w:before="80"/>
        <w:jc w:val="center"/>
        <w:rPr>
          <w:b/>
        </w:rPr>
      </w:pPr>
      <w:r w:rsidRPr="00890707">
        <w:rPr>
          <w:b/>
        </w:rPr>
        <w:t>“Par Eiropas Savienības Ārlietu padomes Kopējās tirdzniecības politikas jautājumos sanāksmi 2018. gada 9. novembrī”</w:t>
      </w:r>
    </w:p>
    <w:p w:rsidR="00702016" w:rsidRPr="00890707" w:rsidRDefault="00702016" w:rsidP="00702016">
      <w:pPr>
        <w:spacing w:before="80"/>
        <w:jc w:val="center"/>
        <w:rPr>
          <w:rFonts w:asciiTheme="minorHAnsi" w:hAnsiTheme="minorHAnsi" w:cstheme="minorHAnsi"/>
          <w:b/>
          <w:sz w:val="20"/>
          <w:szCs w:val="20"/>
        </w:rPr>
      </w:pPr>
    </w:p>
    <w:p w:rsidR="00702016" w:rsidRPr="00890707" w:rsidRDefault="00702016" w:rsidP="00702016">
      <w:pPr>
        <w:widowControl w:val="0"/>
        <w:spacing w:before="80"/>
        <w:jc w:val="both"/>
      </w:pPr>
      <w:r w:rsidRPr="00890707">
        <w:t>2018. gada 9. novembrī notiks Eiropas Savienības (turpmāk – ES) Ārlietu padomes Kopējās tirdzniecības politikas jautājumos sanāksme. Tās darba kārtībā iekļauti jautājumi par Pasaules Tirdzniecības organizācijas (turpmāk – PTO) modernizāciju, aktuālajām ES tirdzniecības līgumu sarunām, ES likumdošanas aktu projektiem attiecībā uz ārvalstu tiešo investīciju skrīningu un horizontālajiem aizsargpasākumiem</w:t>
      </w:r>
      <w:r w:rsidRPr="00890707">
        <w:rPr>
          <w:rStyle w:val="FootnoteReference"/>
        </w:rPr>
        <w:footnoteReference w:id="1"/>
      </w:r>
      <w:r w:rsidRPr="00890707">
        <w:t>. Eiropas Komisija (turpmāk – EK) informēs par tās ikgadējo ziņojumu par ES noslēgto tirdzniecības nolīgumu ieviešanu. Sanāksmes darba pusdienās plānots pārrunāt ES un ASV tirdzniecības attiecības.</w:t>
      </w:r>
    </w:p>
    <w:p w:rsidR="00702016" w:rsidRPr="00890707" w:rsidRDefault="00702016" w:rsidP="00702016">
      <w:pPr>
        <w:widowControl w:val="0"/>
        <w:spacing w:before="80"/>
        <w:jc w:val="both"/>
      </w:pPr>
    </w:p>
    <w:p w:rsidR="00702016" w:rsidRPr="00890707" w:rsidRDefault="00702016" w:rsidP="00702016">
      <w:pPr>
        <w:widowControl w:val="0"/>
        <w:spacing w:before="80"/>
        <w:jc w:val="both"/>
        <w:rPr>
          <w:b/>
        </w:rPr>
      </w:pPr>
      <w:r w:rsidRPr="00890707">
        <w:rPr>
          <w:b/>
        </w:rPr>
        <w:t>PASAULES TIRDZNIECĪBAS ORGANIZĀCIJAS MODERNIZĀCIJA</w:t>
      </w:r>
    </w:p>
    <w:p w:rsidR="00702016" w:rsidRPr="00890707" w:rsidRDefault="00702016" w:rsidP="00702016">
      <w:pPr>
        <w:tabs>
          <w:tab w:val="left" w:pos="3"/>
        </w:tabs>
        <w:spacing w:before="80"/>
        <w:jc w:val="both"/>
      </w:pPr>
      <w:r w:rsidRPr="00890707">
        <w:t>Ministru sanāksmē tiks diskutēts par PTO modernizāciju. Organizācija ir nonākusi kritiskā situācijā. Tās darbu apgrūtina neelastīgas procedūras lēmumu pieņemšanā, pārāk atšķirīgas dalībvalstu intereses, ir apdraudēta PTO spēja risināt tirdzniecības strīdus. Situāciju vēl sarežģītāku padara atsevišķu valstu vienpusēji ieviesti tirdzniecību ierobežojoši pasākumi, kuru saderība ar PTO noteikumiem ir apšaubāma.</w:t>
      </w:r>
    </w:p>
    <w:p w:rsidR="00702016" w:rsidRPr="00890707" w:rsidRDefault="00702016" w:rsidP="00702016">
      <w:pPr>
        <w:tabs>
          <w:tab w:val="left" w:pos="3"/>
        </w:tabs>
        <w:spacing w:before="80"/>
        <w:jc w:val="both"/>
      </w:pPr>
      <w:r w:rsidRPr="00890707">
        <w:t>EK, atsaucoties uz Eiropadomes aicinājumu sagatavot priekšlikumus visaptverošai pieejai PTO darbības uzlabošanai</w:t>
      </w:r>
      <w:r w:rsidRPr="00890707">
        <w:rPr>
          <w:vertAlign w:val="superscript"/>
        </w:rPr>
        <w:footnoteReference w:id="2"/>
      </w:r>
      <w:r w:rsidRPr="00890707">
        <w:t>, ir publicējusi koncepcijas dokumentu par PTO modernizāciju,</w:t>
      </w:r>
      <w:r w:rsidRPr="00890707">
        <w:rPr>
          <w:vertAlign w:val="superscript"/>
        </w:rPr>
        <w:footnoteReference w:id="3"/>
      </w:r>
      <w:r w:rsidRPr="00890707">
        <w:t xml:space="preserve"> kurā izklāsta iespējamo pasākumu virzienus 1) noteikumu izstrādes pilnveidošanā, t.sk. attīstības jautājumos, 2) regulārā darba uzlabošanā un pārskatāmības veicināšanā, kā arī 3) strupceļa pārvarēšanai PTO strīdu izšķiršanas sistēmā. Konkrētus  priekšlikumus EK jau sagatavojusi PTO strīdu izšķiršanas sistēmas uzlabošanai un paziņošanas un pārskatāmības prasību labākai ieviešanai. Kopumā EK priekšlikumi ir vērsti uz PTO spēju adaptēties ekonomiskajām, politiskajām un tehnoloģiskajām pārmaiņām globālajā ekonomikā, kas ietver PTO esošo noteikumu pilnveidi, padarot elastīgāku sarunu procesu, tostarp arī vairākpusējās pieejas pilnvērtīgāku izmantošanu. Neformālajā Tirdzniecības ministru sanāksmē 4.–5.oktobrī Insbrukā ES dalībvalstis atbalstīja EK uzsākto darbu pie PTO modernizācijas, turklāt par prioritāti nosakot strīdu izšķiršanas sistēmas sakārtošanu.</w:t>
      </w:r>
    </w:p>
    <w:p w:rsidR="00702016" w:rsidRPr="00890707" w:rsidRDefault="00702016" w:rsidP="00702016">
      <w:pPr>
        <w:tabs>
          <w:tab w:val="left" w:pos="3"/>
        </w:tabs>
        <w:spacing w:before="80"/>
        <w:jc w:val="both"/>
      </w:pPr>
      <w:r w:rsidRPr="00890707">
        <w:t>PTO dalībvalstīm ir radusies izpratne par PTO modernizācijas aktualitāti un nepieciešamību pēc būtiskām reformām, īpaši attiecībā uz vajadzību steidzami risināt problēmas strīdu izskatīšanas sistēmā ar mērķi nodrošināt Apelācijas institūcijas rīcībspēju. Tomēr viedokļi, piemēram, attīstības valstu grupas nostāja, dalās par iecerētās PTO modernizācijas mērogu un secību, kādā risināmi jautājumi.</w:t>
      </w:r>
    </w:p>
    <w:p w:rsidR="00702016" w:rsidRPr="00890707" w:rsidRDefault="00702016" w:rsidP="00702016">
      <w:pPr>
        <w:tabs>
          <w:tab w:val="left" w:pos="3"/>
        </w:tabs>
        <w:spacing w:before="80"/>
        <w:jc w:val="both"/>
      </w:pPr>
      <w:r w:rsidRPr="00890707">
        <w:t>Ņemot vērā ES dalībvalstu aicinājumu darbā pie PTO modernizācijas ES uzņemties redzamāku lomu, EK aktīvi sadarbojas ar citiem PTO partneriem. ES, ASV un Japānas trīspusējās sadarbības ietvaros vienlīdzīgas konkurences nodrošināšanai ir sagatavots priekšlikums par pārskatāmības uzlabošanu, turpinās darbs pie priekšlikuma par valsts uzņēmumiem un subsīdijām rūpniecības nozarē. Izveidota ES–Ķīnas darba grupa PTO modernizācijas jautājumiem, kuras pirmā tikšanās notika 10. oktobrī. Tāpat EK pārstāvēja ES intereses 24.–25. oktobrī Otavā Kanādas organizētā vairāku PTO dalībvalstu</w:t>
      </w:r>
      <w:r w:rsidRPr="00890707">
        <w:rPr>
          <w:rStyle w:val="FootnoteReference"/>
        </w:rPr>
        <w:footnoteReference w:id="4"/>
      </w:r>
      <w:r w:rsidRPr="00890707">
        <w:t xml:space="preserve"> ministru sanāksmē par PTO modernizācijas jautājumiem. Sanāksmes </w:t>
      </w:r>
      <w:r w:rsidRPr="00890707">
        <w:lastRenderedPageBreak/>
        <w:t>noslēguma paziņojumā</w:t>
      </w:r>
      <w:r w:rsidRPr="00890707">
        <w:rPr>
          <w:rStyle w:val="FootnoteReference"/>
        </w:rPr>
        <w:footnoteReference w:id="5"/>
      </w:r>
      <w:r w:rsidRPr="00890707">
        <w:t xml:space="preserve"> ministri aicina cīnīties pret protekcionismu un steidzami virzīties uz priekšu trīs jomās: (1) veicināt pārredzamību un celt PTO dalībvalstu ziņošanas pienākumu izpildi, (2) pārvarēt krīzi PTO strīdu izšķiršanas sistēmā un (3) veidot 21. gadsimtam atbilstošu tirdzniecības noteikumu izstrādi PTO. Jāuzsver, ka šie sanāksmes ietvaros iezīmētie darba virzieni un prioritātes atbilst EK jau iepriekš definētajai pieejai. Tas ļauj secināt, ka vismaz konceptuālā līmenī ES pieeja PTO modernizācijas jautājumos varētu gūt plašāku PTO dalībvalstu atbalstu. Nākamā līdzīgi domājošo valstu sanāksme tiek plānota 2019. gada janvārī, kad ministri novērtēs sasniegto progresu. </w:t>
      </w:r>
    </w:p>
    <w:p w:rsidR="00702016" w:rsidRPr="00890707" w:rsidRDefault="00702016" w:rsidP="00702016">
      <w:pPr>
        <w:tabs>
          <w:tab w:val="left" w:pos="3"/>
        </w:tabs>
        <w:spacing w:before="80"/>
        <w:jc w:val="both"/>
      </w:pPr>
      <w:r w:rsidRPr="00890707">
        <w:t>Latvija vienmēr ir iestājusies par uz noteikumiem balstītas daudzpusējās tirdzniecības sistēmas stiprināšanu, kas ir atbilstoši arī galvenajām ES kopējās tirdzniecības politikas pamatnostādnēm. Latvija atbalsta EK ierosinājumus PTO modernizēšanai un piedāvātos darba virzienus. Latvija uzskata, ka šobrīd viens no galvenajiem uzdevumiem ir iesaistīt citas PTO dalībvalstis un panākt plašāku atbalstu ES priekšlikumiem “Vienošanās par noteikumos un kārtībā, kas nosaka strīdu noregulēšanu” grozījumiem, lai novērstu krīzi Apelācijas institūcijas darbībā. Jāturpina diskusijas arī par citiem modernizācijas jautājumiem – pārskatāmības uzlabošanu un regulārā darba pilnveidošanu. Latvija atbalsta pieeju, ka PTO modernizācijas jautājumi diskutējami arī dažādos citos starptautiskos forumos.</w:t>
      </w:r>
    </w:p>
    <w:p w:rsidR="00702016" w:rsidRPr="00890707" w:rsidRDefault="00702016" w:rsidP="00702016">
      <w:pPr>
        <w:tabs>
          <w:tab w:val="left" w:pos="3"/>
        </w:tabs>
        <w:spacing w:before="80"/>
        <w:jc w:val="both"/>
      </w:pPr>
      <w:r w:rsidRPr="00890707">
        <w:t>Latvijas prioritātes ES kopējās tirdzniecības politikas, t.sk. PTO, jautājumos formulētas 2018. gada 26. jūnija nacionālajā pozīcijā “Par 2018.gada 28.-29.jūnija Eiropadomē un 29.jūnija Eiropadomes 27 Eiropas Savienības dalībvalstu (50.panta) formāta sanāksmē izskatāmajiem jautājumiem”; 2017. gada 12. decembra nacionālajā pozīcijā “Par Pasaules Tirdzniecības organizācijas 11. Ministru konferenci un turpmākajām daudzpusējām tirdzniecības sarunām”; 2017. gada 3. maija nacionālajā pozīcijā “Par gatavošanos Pasaules Tirdzniecības organizācijas 11. Ministru konferencei”; kā arī 2015. gada 17. novembra nacionālajā pozīcijā “Par Eiropas Komisijas paziņojumu Eiropas Parlamentam, Padomei, Ekonomiskajai un Sociālajai komitejai un Reģionu komitejai “Tirdzniecība visiem. Ceļā uz atbildīgāku tirdzniecības un ieguldījumu politiku””.</w:t>
      </w:r>
    </w:p>
    <w:p w:rsidR="00702016" w:rsidRPr="00890707" w:rsidRDefault="00702016" w:rsidP="00702016">
      <w:pPr>
        <w:tabs>
          <w:tab w:val="left" w:pos="3"/>
        </w:tabs>
        <w:spacing w:before="80"/>
        <w:jc w:val="both"/>
      </w:pPr>
    </w:p>
    <w:p w:rsidR="00702016" w:rsidRPr="00890707" w:rsidRDefault="00702016" w:rsidP="00702016">
      <w:pPr>
        <w:widowControl w:val="0"/>
        <w:spacing w:after="80"/>
        <w:jc w:val="both"/>
        <w:rPr>
          <w:b/>
        </w:rPr>
      </w:pPr>
      <w:r w:rsidRPr="00890707">
        <w:rPr>
          <w:b/>
        </w:rPr>
        <w:t xml:space="preserve">AKTUĀLĀKĀS ES DIVPUSĒJĀS TIRDZNIECĪBAS SARUNAS </w:t>
      </w:r>
    </w:p>
    <w:p w:rsidR="00702016" w:rsidRPr="00890707" w:rsidRDefault="00702016" w:rsidP="00702016">
      <w:pPr>
        <w:spacing w:after="80"/>
        <w:jc w:val="both"/>
        <w:rPr>
          <w:b/>
        </w:rPr>
      </w:pPr>
      <w:r w:rsidRPr="00890707">
        <w:rPr>
          <w:b/>
        </w:rPr>
        <w:t>Aktuālākās notiekošās tirdzniecības sarunas</w:t>
      </w:r>
    </w:p>
    <w:p w:rsidR="00702016" w:rsidRPr="00890707" w:rsidRDefault="00702016" w:rsidP="00702016">
      <w:pPr>
        <w:spacing w:after="80"/>
        <w:jc w:val="both"/>
        <w:rPr>
          <w:rFonts w:eastAsia="Calibri"/>
        </w:rPr>
      </w:pPr>
      <w:r w:rsidRPr="00890707">
        <w:t xml:space="preserve">2018. gada 22. maija ES Ārlietu padomē Kopējās tirdzniecības politikas jautājumos tika apstiprināts mandāts EK sarunām par </w:t>
      </w:r>
      <w:r w:rsidRPr="00890707">
        <w:rPr>
          <w:u w:val="single"/>
        </w:rPr>
        <w:t>ES-Austrālijas un ES-Jaunzēlandes brīvās tirdzniecības nolīgumu</w:t>
      </w:r>
      <w:r w:rsidRPr="00890707">
        <w:t xml:space="preserve">. Pirmā tirdzniecības sarunu kārta ar Austrāliju notika 2018.gada 2.- 6. jūlijā Briselē, kad puses apmainījās sākotnējiem viedokļiem un pārrunāja līgumā iekļaujamās nodaļas. Nākamā sarunu kārta ir paredzēta 2018. gada novembrī Austrālijā. Savukārt ar Jaunzēlandi otrajā tirdzniecības sarunu kārtā, kas notika 2018. gada 8.-12. oktobrī Velingtonā, puses apmainījās ar sākotnējiem priekšlikumiem gandrīz visās nolīguma jomās, panākot labu progresu daudzos jautājumos. Trešā sarunu kārta paredzēta 2019. gada februārī Briselē. Gan Austrāliju, gan Jaunzēlandi var pieskaitīt ES līdzīgi domājošo valstu pulkam, līdz ar to tiek sagaidīts konstruktīvs sarunu process un ambiciozs gala rezultāts. </w:t>
      </w:r>
      <w:r w:rsidRPr="00890707">
        <w:rPr>
          <w:rFonts w:eastAsia="Calibri"/>
        </w:rPr>
        <w:t xml:space="preserve">Ārlietu ministrijas sagatavotās nacionālās </w:t>
      </w:r>
      <w:r w:rsidRPr="00890707">
        <w:rPr>
          <w:iCs/>
        </w:rPr>
        <w:t>pozīcijas</w:t>
      </w:r>
      <w:r w:rsidRPr="00890707">
        <w:rPr>
          <w:rFonts w:eastAsia="Calibri"/>
        </w:rPr>
        <w:t xml:space="preserve"> par sarunu uzsākšanu par brīvās tirdzniecības nolīgumu ar Austrāliju un Jaunzēlandi tika apstiprinātas 2018. gada 20. februārī. </w:t>
      </w:r>
    </w:p>
    <w:p w:rsidR="00702016" w:rsidRPr="00890707" w:rsidRDefault="00702016" w:rsidP="00702016">
      <w:pPr>
        <w:spacing w:before="80" w:after="80"/>
        <w:jc w:val="both"/>
        <w:rPr>
          <w:bCs/>
        </w:rPr>
      </w:pPr>
      <w:r w:rsidRPr="00890707">
        <w:rPr>
          <w:lang w:eastAsia="lv-LV"/>
        </w:rPr>
        <w:t xml:space="preserve">2017. gada 13. novembra </w:t>
      </w:r>
      <w:r w:rsidRPr="00890707">
        <w:rPr>
          <w:bCs/>
        </w:rPr>
        <w:t xml:space="preserve">ES Ārlietu padomē tika apstiprināts mandāts EK vest sarunas par esošā </w:t>
      </w:r>
      <w:r w:rsidRPr="00890707">
        <w:rPr>
          <w:bCs/>
          <w:u w:val="single"/>
        </w:rPr>
        <w:t>ES-Čīles Asociācijas nolīguma</w:t>
      </w:r>
      <w:r w:rsidRPr="00890707">
        <w:rPr>
          <w:bCs/>
        </w:rPr>
        <w:t xml:space="preserve"> (t.sk. tirdzniecības sadaļas) modernizāciju. Līdz šim notikušas trīs sarunu kārtas un pēdējā no tām norisinājās no  š.g. 28. maija līdz 1. jūnijam Briselē. Lielākajā daļā jomu tika sasniegts būtisks progress, puses vienojās par turpmāko darbu un divpusējiem kontaktiem tehniskā līmenī.  Nākamās sarunu kārtas datums vēl nav noteikts. Ārlietu ministrijas sagatavotā nacionālā pozīcija “Kopīgs ieteikums Padomes lēmumam, ar ko Eiropas Komisiju un Savienības Augsto pārstāvi ārlietās un drošības politikas jautājumos pilnvaro sākt un risināt </w:t>
      </w:r>
      <w:r w:rsidRPr="00890707">
        <w:rPr>
          <w:bCs/>
        </w:rPr>
        <w:lastRenderedPageBreak/>
        <w:t>sarunas par modernizētu asociācijas nolīgumu ar Čīles Republiku”</w:t>
      </w:r>
      <w:r w:rsidRPr="00890707">
        <w:rPr>
          <w:bCs/>
          <w:iCs/>
        </w:rPr>
        <w:t xml:space="preserve"> </w:t>
      </w:r>
      <w:r w:rsidRPr="00890707">
        <w:rPr>
          <w:bCs/>
        </w:rPr>
        <w:t>tika apstiprināta 2017. gada 19. oktobrī.</w:t>
      </w:r>
    </w:p>
    <w:p w:rsidR="00702016" w:rsidRPr="00890707" w:rsidRDefault="00702016" w:rsidP="00702016">
      <w:pPr>
        <w:spacing w:before="80" w:after="80"/>
        <w:jc w:val="both"/>
        <w:rPr>
          <w:highlight w:val="red"/>
          <w:lang w:eastAsia="lv-LV"/>
        </w:rPr>
      </w:pPr>
      <w:r w:rsidRPr="00890707">
        <w:rPr>
          <w:lang w:eastAsia="lv-LV"/>
        </w:rPr>
        <w:t xml:space="preserve">2016. gada 18. jūlijā tika uzsāktas sarunas par </w:t>
      </w:r>
      <w:r w:rsidRPr="00890707">
        <w:rPr>
          <w:u w:val="single"/>
        </w:rPr>
        <w:t>ES-Indonēzijas brīvās tirdzniecības nolīgumu</w:t>
      </w:r>
      <w:r w:rsidRPr="00890707">
        <w:t xml:space="preserve"> ar nolūku</w:t>
      </w:r>
      <w:r w:rsidRPr="00890707">
        <w:rPr>
          <w:lang w:eastAsia="lv-LV"/>
        </w:rPr>
        <w:t xml:space="preserve"> padziļināt ES un Indonēzijas tirdzniecības un ieguldījumu attiecības.</w:t>
      </w:r>
      <w:r w:rsidRPr="00890707">
        <w:t xml:space="preserve"> </w:t>
      </w:r>
      <w:r w:rsidRPr="00890707">
        <w:rPr>
          <w:lang w:eastAsia="lv-LV"/>
        </w:rPr>
        <w:t xml:space="preserve">Līdz šim ir notikušas sešas sarunu kārtas, kas vērtējamas kā veiksmīgas. Puses līdz šim ir panākušas vienošanos par tādiem līguma elementiem kā preču tirdzniecība, izcelsmes noteikumi, muitas un tirdzniecības veicināšana, strīdu izšķiršanas regulēšana, intelektuālā īpašuma tiesības, konkurence, tirdzniecība un ilgtspējīga attīstība, valsts iepirkumi, tirdzniecības aizsardzības mehānismi, mazie un vidējie uzņēmumi. Ir notikusi arī sākotnējā apmaiņa ar tarifu piedāvājumiem. </w:t>
      </w:r>
      <w:r w:rsidRPr="00890707">
        <w:rPr>
          <w:bCs/>
        </w:rPr>
        <w:t>Nākamā sarunu kārta paredzēta 2019.  gada 11.-15.martā.</w:t>
      </w:r>
    </w:p>
    <w:p w:rsidR="00702016" w:rsidRPr="00890707" w:rsidRDefault="00702016" w:rsidP="00702016">
      <w:pPr>
        <w:spacing w:after="80"/>
        <w:jc w:val="both"/>
        <w:rPr>
          <w:lang w:eastAsia="lv-LV"/>
        </w:rPr>
      </w:pPr>
      <w:r w:rsidRPr="00890707">
        <w:rPr>
          <w:lang w:eastAsia="lv-LV"/>
        </w:rPr>
        <w:t xml:space="preserve">Sarunas par </w:t>
      </w:r>
      <w:r w:rsidRPr="00890707">
        <w:rPr>
          <w:u w:val="single"/>
          <w:lang w:eastAsia="lv-LV"/>
        </w:rPr>
        <w:t xml:space="preserve">ES un </w:t>
      </w:r>
      <w:r w:rsidRPr="00890707">
        <w:rPr>
          <w:i/>
          <w:u w:val="single"/>
          <w:lang w:eastAsia="lv-LV"/>
        </w:rPr>
        <w:t>Mercosur</w:t>
      </w:r>
      <w:r w:rsidRPr="00890707">
        <w:rPr>
          <w:u w:val="single"/>
          <w:lang w:eastAsia="lv-LV"/>
        </w:rPr>
        <w:t xml:space="preserve"> valstu</w:t>
      </w:r>
      <w:r w:rsidRPr="00890707">
        <w:rPr>
          <w:rStyle w:val="FootnoteReference"/>
          <w:u w:val="single"/>
          <w:lang w:eastAsia="lv-LV"/>
        </w:rPr>
        <w:footnoteReference w:id="6"/>
      </w:r>
      <w:r w:rsidRPr="00890707">
        <w:rPr>
          <w:u w:val="single"/>
          <w:lang w:eastAsia="lv-LV"/>
        </w:rPr>
        <w:t xml:space="preserve"> Asociācijas nolīgumu</w:t>
      </w:r>
      <w:r w:rsidRPr="00890707">
        <w:rPr>
          <w:lang w:eastAsia="lv-LV"/>
        </w:rPr>
        <w:t>, kurā tiktu ietverts politiskā dialoga, sadarbības un tirdzniecības pīlārs, tika uzsāktas 2000. gada jūnijā. Pēdējā sarunu kārta notika 2018. gada 10.-14. septembrī Montevideo, Urugvajā, kurā  joprojām netika panākta vienošanās.  Gan ES, gan</w:t>
      </w:r>
      <w:r w:rsidRPr="00890707">
        <w:rPr>
          <w:i/>
          <w:lang w:eastAsia="lv-LV"/>
        </w:rPr>
        <w:t xml:space="preserve"> Mercosur</w:t>
      </w:r>
      <w:r w:rsidRPr="00890707">
        <w:rPr>
          <w:lang w:eastAsia="lv-LV"/>
        </w:rPr>
        <w:t xml:space="preserve"> pusē ir skaidri redzama politiskā griba panākt vienošanos, tomēr sarunās ir  atvērti vēl vairāki būtiski jautājumi, piemēram, par tirgus piekļuvi, autobūves sektoru, intelektuālā īpašuma aizsardzību, jūrniecības pakalpojumiem u.c. Tādejādi ir nepieciešams turpināt darbu tehniskā līmenī, lai šo politisko gribu ietērptu abām pusēm pieņemamos risinājumos. Pašlaik nav noteikts konkrēts laiks, kad varētu notikt nākamā sarunu kārta. Tas galvenokārt bija saistīts ar vispārējām vēlēšanām Brazīlijā, kuras norisinājās līdz 28. oktobrim. Ārlietu ministrijas sagatavotā nacionālā pozīcija par ES un </w:t>
      </w:r>
      <w:r w:rsidRPr="00890707">
        <w:rPr>
          <w:i/>
          <w:lang w:eastAsia="lv-LV"/>
        </w:rPr>
        <w:t>Mercosur</w:t>
      </w:r>
      <w:r w:rsidRPr="00890707">
        <w:rPr>
          <w:lang w:eastAsia="lv-LV"/>
        </w:rPr>
        <w:t xml:space="preserve"> valstu sarunām par Asociācijas nolīguma noslēgšanu tika apstiprināta 2017. gada 20. decembrī.</w:t>
      </w:r>
    </w:p>
    <w:p w:rsidR="00702016" w:rsidRPr="00890707" w:rsidRDefault="00702016" w:rsidP="00702016">
      <w:pPr>
        <w:spacing w:after="80"/>
        <w:jc w:val="both"/>
        <w:rPr>
          <w:b/>
          <w:lang w:eastAsia="lv-LV"/>
        </w:rPr>
      </w:pPr>
      <w:r w:rsidRPr="00890707">
        <w:rPr>
          <w:b/>
          <w:lang w:eastAsia="lv-LV"/>
        </w:rPr>
        <w:t>Noslēgtās tirdzniecības sarunas</w:t>
      </w:r>
    </w:p>
    <w:p w:rsidR="00702016" w:rsidRPr="00890707" w:rsidRDefault="00702016" w:rsidP="00702016">
      <w:pPr>
        <w:widowControl w:val="0"/>
        <w:spacing w:after="80"/>
        <w:jc w:val="both"/>
        <w:rPr>
          <w:lang w:eastAsia="lv-LV"/>
        </w:rPr>
      </w:pPr>
      <w:r w:rsidRPr="00890707">
        <w:rPr>
          <w:lang w:eastAsia="lv-LV"/>
        </w:rPr>
        <w:t xml:space="preserve">ES un Meksikas tirdzniecības attiecības nosaka Ekonomiskās partnerības, politiskās koordinācijas un sadarbības nolīgums (turpmāk Globālais nolīgums). 2016. gada 25. maijā </w:t>
      </w:r>
      <w:r w:rsidRPr="00890707">
        <w:rPr>
          <w:u w:val="single"/>
          <w:lang w:eastAsia="lv-LV"/>
        </w:rPr>
        <w:t>ES un Meksika uzsāka sarunas par Globālā nolīguma modernizāciju</w:t>
      </w:r>
      <w:r w:rsidRPr="00890707">
        <w:rPr>
          <w:lang w:eastAsia="lv-LV"/>
        </w:rPr>
        <w:t xml:space="preserve">. 2018. gada 21. aprīlī ES un Meksika panāca politisko vienošanos par sarunu noslēgšanu pēc būtības. Pamatojoties uz pašreizējo vienošanos, abu pušu sarunu vedēji turpina darbu, lai risinātu  atlikušos tehniskos jautājumus un sagatavotu nolīguma galīgo tekstu. Pēc tam </w:t>
      </w:r>
      <w:r w:rsidR="00F607A0" w:rsidRPr="00890707">
        <w:rPr>
          <w:lang w:eastAsia="lv-LV"/>
        </w:rPr>
        <w:t xml:space="preserve">Komisija </w:t>
      </w:r>
      <w:r w:rsidRPr="00890707">
        <w:rPr>
          <w:lang w:eastAsia="lv-LV"/>
        </w:rPr>
        <w:t xml:space="preserve">pārbaudīs nolīguma tekstu no juridiskā viedokļa, iztulkos to visās ES oficiālajās valodās un iesniegs nolīgumu apstiprināšanai Eiropas Parlamentam un Padomei vēl šīs </w:t>
      </w:r>
      <w:r w:rsidR="00F607A0" w:rsidRPr="00890707">
        <w:rPr>
          <w:lang w:eastAsia="lv-LV"/>
        </w:rPr>
        <w:t xml:space="preserve">Komisijas </w:t>
      </w:r>
      <w:r w:rsidRPr="00890707">
        <w:rPr>
          <w:lang w:eastAsia="lv-LV"/>
        </w:rPr>
        <w:t xml:space="preserve">pilnvaru laikā. Ārlietu ministrijas sagatavotā nacionālā pozīcija par </w:t>
      </w:r>
      <w:r w:rsidRPr="00890707">
        <w:rPr>
          <w:iCs/>
          <w:lang w:eastAsia="lv-LV"/>
        </w:rPr>
        <w:t xml:space="preserve">ES – Meksikas Ekonomiskās partnerības, politiskās koordinācijas un sadarbības nolīgumu tirdzniecības un ieguldījumu partnerību </w:t>
      </w:r>
      <w:r w:rsidRPr="00890707">
        <w:rPr>
          <w:lang w:eastAsia="lv-LV"/>
        </w:rPr>
        <w:t>tika apstiprināta 2016. gada 26. februārī.</w:t>
      </w:r>
    </w:p>
    <w:p w:rsidR="00702016" w:rsidRPr="00890707" w:rsidRDefault="00702016" w:rsidP="00702016">
      <w:pPr>
        <w:spacing w:before="80" w:after="80"/>
        <w:jc w:val="both"/>
        <w:rPr>
          <w:lang w:eastAsia="lv-LV"/>
        </w:rPr>
      </w:pPr>
      <w:r w:rsidRPr="00890707">
        <w:t xml:space="preserve">2010. gadā </w:t>
      </w:r>
      <w:r w:rsidRPr="00890707">
        <w:rPr>
          <w:bCs/>
          <w:iCs/>
        </w:rPr>
        <w:t xml:space="preserve">tika uzsāktas </w:t>
      </w:r>
      <w:r w:rsidRPr="00890707">
        <w:rPr>
          <w:bCs/>
          <w:iCs/>
          <w:u w:val="single"/>
        </w:rPr>
        <w:t xml:space="preserve">ES </w:t>
      </w:r>
      <w:r w:rsidRPr="00890707">
        <w:rPr>
          <w:u w:val="single"/>
        </w:rPr>
        <w:t>divpusējas sarunas par brīvās tirdzniecības nolīgumu ar Singapūru</w:t>
      </w:r>
      <w:r w:rsidRPr="00890707">
        <w:t xml:space="preserve">, kas tika noslēgtas </w:t>
      </w:r>
      <w:r w:rsidRPr="00890707">
        <w:rPr>
          <w:lang w:eastAsia="lv-LV"/>
        </w:rPr>
        <w:t>2014. gada 17. oktobrī. Saskaņā ar ES Tiesas 2017. gada 16. maija lēmumu brīvās tirdzniecības nolīgumu ar Singapūru ES nevarēja noslēgt kā ES kompetences nolīgumu, kā rezultātā EK līgumu sadalīja ES ekskluzīvās kompetences līgumā un dalītās kompetences līgumā (ieguldījumu strīdu izšķiršanas jautājumi). ES un Singapūras tirdzniecības nolīgums ir pirmais divpusējās tirdzniecības nolīgums, kas noslēgts starp ES un kādu no Dienvidaustrumāzijas valstu asociācijas (ASEAN)</w:t>
      </w:r>
      <w:r w:rsidRPr="00890707">
        <w:rPr>
          <w:i/>
        </w:rPr>
        <w:t xml:space="preserve"> </w:t>
      </w:r>
      <w:r w:rsidRPr="00890707">
        <w:rPr>
          <w:lang w:eastAsia="lv-LV"/>
        </w:rPr>
        <w:t>valstīm. ES-Singapūras brīvās tirdzniecības nolīgums un ES-Singapūras Investīciju aizsardzības nolīgums tika parakstīti 2018.gada 19. oktobrī ES-ASEM (</w:t>
      </w:r>
      <w:proofErr w:type="spellStart"/>
      <w:r w:rsidRPr="00890707">
        <w:rPr>
          <w:i/>
          <w:lang w:eastAsia="lv-LV"/>
        </w:rPr>
        <w:t>Asia</w:t>
      </w:r>
      <w:proofErr w:type="spellEnd"/>
      <w:r w:rsidRPr="00890707">
        <w:rPr>
          <w:i/>
          <w:lang w:eastAsia="lv-LV"/>
        </w:rPr>
        <w:t>–</w:t>
      </w:r>
      <w:proofErr w:type="spellStart"/>
      <w:r w:rsidRPr="00890707">
        <w:rPr>
          <w:i/>
          <w:lang w:eastAsia="lv-LV"/>
        </w:rPr>
        <w:t>Europe</w:t>
      </w:r>
      <w:proofErr w:type="spellEnd"/>
      <w:r w:rsidRPr="00890707">
        <w:rPr>
          <w:i/>
          <w:lang w:eastAsia="lv-LV"/>
        </w:rPr>
        <w:t xml:space="preserve"> </w:t>
      </w:r>
      <w:proofErr w:type="spellStart"/>
      <w:r w:rsidRPr="00890707">
        <w:rPr>
          <w:i/>
          <w:lang w:eastAsia="lv-LV"/>
        </w:rPr>
        <w:t>Meeting</w:t>
      </w:r>
      <w:proofErr w:type="spellEnd"/>
      <w:r w:rsidRPr="00890707">
        <w:rPr>
          <w:lang w:eastAsia="lv-LV"/>
        </w:rPr>
        <w:t>) samita laikā. Ārlietu ministrijas sagatavotā nacionālā pozīcija par Investīciju aizsardzības nolīguma noslēgšanu un parakstīšanu tika apstiprināta 2018. gada 15.jūnijā un par ES-Singapūras brīvās tirdzniecības nolīguma parakstīšanu un noslēgšanu tika apstiprināta 2018. gada 4. oktobrī.</w:t>
      </w:r>
    </w:p>
    <w:p w:rsidR="00702016" w:rsidRPr="00890707" w:rsidRDefault="00702016" w:rsidP="00702016">
      <w:pPr>
        <w:spacing w:before="80" w:after="80"/>
        <w:jc w:val="both"/>
        <w:rPr>
          <w:lang w:eastAsia="lv-LV"/>
        </w:rPr>
      </w:pPr>
      <w:r w:rsidRPr="00890707">
        <w:rPr>
          <w:lang w:eastAsia="lv-LV"/>
        </w:rPr>
        <w:t xml:space="preserve">Sarunas par </w:t>
      </w:r>
      <w:r w:rsidRPr="00890707">
        <w:rPr>
          <w:u w:val="single"/>
          <w:lang w:eastAsia="lv-LV"/>
        </w:rPr>
        <w:t>ES-Vjetnamas brīvās tirdzniecības nolīgumu</w:t>
      </w:r>
      <w:r w:rsidRPr="00890707">
        <w:rPr>
          <w:lang w:eastAsia="lv-LV"/>
        </w:rPr>
        <w:t xml:space="preserve"> tika uzsāktas 2012. gada jūnijā un noslēgtas 2015. gada 2. decembrī. Ņemot vērā ES Tiesas 2017. gada maija spriedumu par ES–Singapūras nolīguma raksturu, tirdzniecības līgums tika sadalīts atbilstoši “jaunajai ES tirdzniecības līgumu arhitektūrai”, atdalot brīvās tirdzniecības līgumu (kas ietver tirdzniecības un tiešo ārvalstu investīciju liberalizāciju) no investīciju aizsardzības līguma (kas ietvertu investīciju </w:t>
      </w:r>
      <w:r w:rsidRPr="00890707">
        <w:rPr>
          <w:lang w:eastAsia="lv-LV"/>
        </w:rPr>
        <w:lastRenderedPageBreak/>
        <w:t>aizsardzību un investīciju tiesu). Šobrīd ir noslēgusies līguma teksta juridiskā caurskatīšana un uzsākta līguma tulkošana visās ES oficiālajās valodās. 2018. gada 17. oktobrī EK publicēja priekšlikumus Padomes lēmumiem par abu nolīgumu parakstīšanu un noslēgšanu. Sagaidāms, ka ES-Vjetnamas brīvās tirdzniecības nolīgums stāsies spēkā 2019. gadā, savukārt Investīciju aizsardzības līgums stāsies spēkā pēc tā ratifikācijas dalībvalstīs.</w:t>
      </w:r>
    </w:p>
    <w:p w:rsidR="00702016" w:rsidRPr="00890707" w:rsidRDefault="00702016" w:rsidP="00702016">
      <w:pPr>
        <w:spacing w:before="80" w:after="80"/>
        <w:jc w:val="both"/>
        <w:rPr>
          <w:lang w:eastAsia="lv-LV"/>
        </w:rPr>
      </w:pPr>
      <w:r w:rsidRPr="00890707">
        <w:rPr>
          <w:lang w:eastAsia="lv-LV"/>
        </w:rPr>
        <w:t xml:space="preserve">2018. gada 17. jūlijā ES-Japānas samita laikā tika parakstīts </w:t>
      </w:r>
      <w:r w:rsidRPr="00890707">
        <w:rPr>
          <w:u w:val="single"/>
          <w:lang w:eastAsia="lv-LV"/>
        </w:rPr>
        <w:t>ES-Japānas Ekonomisko partnerattiecību nolīgums</w:t>
      </w:r>
      <w:r w:rsidRPr="00890707">
        <w:rPr>
          <w:lang w:eastAsia="lv-LV"/>
        </w:rPr>
        <w:t>, kas ir viens no lielākajiem un visaptverošākajiem ekonomikas nolīgumiem, kādu ES vai Japāna līdz šim ir noslēgusi. Nolīgums stāsies spēkā pēc Eiropas Parlamenta apstiprinājuma un ratifikācijas Japānas Parlamentā 2019. gadā.</w:t>
      </w:r>
      <w:r w:rsidRPr="00890707">
        <w:t xml:space="preserve"> </w:t>
      </w:r>
      <w:r w:rsidRPr="00890707">
        <w:rPr>
          <w:lang w:eastAsia="lv-LV"/>
        </w:rPr>
        <w:t>Līdztekus tiek turpinātas atsevišķas sarunas par ieguldījumu aizsardzības standartiem un ieguldījumu strīdu izšķiršanu. Abas puses ir apņēmušās noslēgt šīs sarunas pēc iespējas ātrāk, ņemot vērā kopējo apņemšanos izveidot stabilu un drošu ieguldījumu vidi gan Eiropā, gan Japānā.</w:t>
      </w:r>
    </w:p>
    <w:p w:rsidR="00702016" w:rsidRPr="00890707" w:rsidRDefault="00702016" w:rsidP="00702016">
      <w:pPr>
        <w:widowControl w:val="0"/>
        <w:spacing w:before="80" w:after="80"/>
        <w:jc w:val="both"/>
      </w:pPr>
      <w:r w:rsidRPr="00890707">
        <w:t xml:space="preserve">Latvija uzskata, ka ES ekonomiskajai izaugsmei ir svarīga reģionālo un divpusējo tirdzniecības attiecību veicināšana ar esošiem un jauniem partneriem, modernizējot vai slēdzot jaunus brīvās tirdzniecības nolīgumus. Latvija atbalsta EK centienus šobrīd notiekošajās  tirdzniecības sarunās ar Austrāliju, Jaunzēlandi, Čīli, Indonēziju un </w:t>
      </w:r>
      <w:r w:rsidRPr="00890707">
        <w:rPr>
          <w:i/>
        </w:rPr>
        <w:t>Mercosur</w:t>
      </w:r>
      <w:r w:rsidRPr="00890707">
        <w:t xml:space="preserve"> valstīm, kā arī atzinīgi vērtē nesen panāktās vienošanās, t.sk., ar Japānu, Singapūru, Vjetnamu un Meksiku. Sarunās par divpusējiem tirdzniecības nolīgumiem kopumā ir jāvienojas par tirgus pieejas uzlabošanu precēm, pakalpojumiem, un valsts iepirkumiem, kā arī jāsamazina netarifu barjeras un jāatceļ ierobežojumi ārvalstu investoriem. Vienlaikus tirdzniecības sarunu rezultātam ir jāatbilst ES un Latvijas ekonomiskajām interesēm, t.sk., nepieciešamībai pēc zināma ES tirgus aizsardzības līmeņa sensitīvajiem produktiem, piemēram, lauksaimniecības jomā.</w:t>
      </w:r>
    </w:p>
    <w:p w:rsidR="00702016" w:rsidRPr="00890707" w:rsidRDefault="00702016" w:rsidP="00702016">
      <w:pPr>
        <w:widowControl w:val="0"/>
        <w:spacing w:before="80" w:after="80"/>
        <w:jc w:val="both"/>
      </w:pPr>
    </w:p>
    <w:p w:rsidR="00702016" w:rsidRPr="00890707" w:rsidRDefault="00702016" w:rsidP="00702016">
      <w:pPr>
        <w:widowControl w:val="0"/>
        <w:spacing w:before="80"/>
        <w:jc w:val="both"/>
        <w:rPr>
          <w:b/>
        </w:rPr>
      </w:pPr>
      <w:r w:rsidRPr="00890707">
        <w:rPr>
          <w:b/>
        </w:rPr>
        <w:t xml:space="preserve">AKTUĀLIE LIKUMDOŠANAS AKTU PROJEKTI </w:t>
      </w:r>
    </w:p>
    <w:p w:rsidR="00702016" w:rsidRPr="00890707" w:rsidRDefault="00702016" w:rsidP="00702016">
      <w:pPr>
        <w:pStyle w:val="NoSpacing"/>
        <w:spacing w:before="80"/>
        <w:jc w:val="both"/>
        <w:rPr>
          <w:rFonts w:ascii="Times New Roman" w:hAnsi="Times New Roman"/>
          <w:b/>
          <w:sz w:val="24"/>
          <w:szCs w:val="24"/>
          <w:lang w:val="lv-LV"/>
        </w:rPr>
      </w:pPr>
      <w:r w:rsidRPr="00890707">
        <w:rPr>
          <w:rFonts w:ascii="Times New Roman" w:hAnsi="Times New Roman"/>
          <w:b/>
          <w:sz w:val="24"/>
          <w:szCs w:val="24"/>
          <w:lang w:val="lv-LV" w:eastAsia="lv-LV"/>
        </w:rPr>
        <w:t>Regulas projekts par ārvalstu investīciju izvērtēšanu</w:t>
      </w:r>
      <w:r w:rsidRPr="00890707">
        <w:rPr>
          <w:rFonts w:ascii="Times New Roman" w:hAnsi="Times New Roman"/>
          <w:b/>
          <w:sz w:val="24"/>
          <w:szCs w:val="24"/>
          <w:lang w:val="lv-LV"/>
        </w:rPr>
        <w:t xml:space="preserve"> </w:t>
      </w:r>
    </w:p>
    <w:p w:rsidR="00702016" w:rsidRPr="00890707" w:rsidRDefault="00702016" w:rsidP="00890707">
      <w:pPr>
        <w:pStyle w:val="NoSpacing"/>
        <w:spacing w:before="80"/>
        <w:jc w:val="both"/>
        <w:rPr>
          <w:rFonts w:ascii="Times New Roman" w:hAnsi="Times New Roman"/>
          <w:sz w:val="24"/>
          <w:szCs w:val="24"/>
          <w:lang w:val="lv-LV" w:eastAsia="lv-LV"/>
        </w:rPr>
      </w:pPr>
      <w:r w:rsidRPr="00890707">
        <w:rPr>
          <w:rFonts w:ascii="Times New Roman" w:hAnsi="Times New Roman"/>
          <w:sz w:val="24"/>
          <w:szCs w:val="24"/>
          <w:lang w:val="lv-LV"/>
        </w:rPr>
        <w:t xml:space="preserve">Ministru padomes sanāksmes laikā Prezidentūra sniegs informāciju par aktuālo situāciju darbā pie Regulas projekta par ārvalstu </w:t>
      </w:r>
      <w:r w:rsidR="00657E67" w:rsidRPr="00890707">
        <w:rPr>
          <w:rFonts w:ascii="Times New Roman" w:hAnsi="Times New Roman"/>
          <w:sz w:val="24"/>
          <w:szCs w:val="24"/>
          <w:lang w:val="lv-LV"/>
        </w:rPr>
        <w:t xml:space="preserve">tiešo </w:t>
      </w:r>
      <w:r w:rsidRPr="00890707">
        <w:rPr>
          <w:rFonts w:ascii="Times New Roman" w:hAnsi="Times New Roman"/>
          <w:sz w:val="24"/>
          <w:szCs w:val="24"/>
          <w:lang w:val="lv-LV"/>
        </w:rPr>
        <w:t>investīciju izvērtēšan</w:t>
      </w:r>
      <w:r w:rsidR="00657E67" w:rsidRPr="00890707">
        <w:rPr>
          <w:rFonts w:ascii="Times New Roman" w:hAnsi="Times New Roman"/>
          <w:sz w:val="24"/>
          <w:szCs w:val="24"/>
          <w:lang w:val="lv-LV"/>
        </w:rPr>
        <w:t>u.</w:t>
      </w:r>
      <w:r w:rsidRPr="00890707">
        <w:rPr>
          <w:rFonts w:ascii="Times New Roman" w:hAnsi="Times New Roman"/>
          <w:sz w:val="24"/>
          <w:szCs w:val="24"/>
          <w:lang w:val="lv-LV"/>
        </w:rPr>
        <w:t xml:space="preserve"> 2017. gada septembrī publicētā Regulas projekta mērķis ir </w:t>
      </w:r>
      <w:r w:rsidR="00657E67" w:rsidRPr="00890707">
        <w:rPr>
          <w:rFonts w:ascii="Times New Roman" w:hAnsi="Times New Roman"/>
          <w:iCs/>
          <w:sz w:val="24"/>
          <w:szCs w:val="24"/>
          <w:lang w:val="lv-LV"/>
        </w:rPr>
        <w:t>noteikt zināmas prasības nacionālā līmeņa izvērtēšanas mehānismiem un savstarpējo sadarbību starp Dalībvalstīm un ar Komisiju attiecībā uz tiešajām ārvalstu investīcijām, kas varētu ietekmēt drošību vai sabiedrisko kārtību</w:t>
      </w:r>
      <w:r w:rsidRPr="00890707">
        <w:rPr>
          <w:rFonts w:ascii="Times New Roman" w:hAnsi="Times New Roman"/>
          <w:sz w:val="24"/>
          <w:szCs w:val="24"/>
          <w:lang w:val="lv-LV"/>
        </w:rPr>
        <w:t xml:space="preserve">. Projekta piedāvātie sistēmas galvenie elementi nosaka, ka dalībvalstīm jāinformē </w:t>
      </w:r>
      <w:r w:rsidR="00657E67" w:rsidRPr="00890707">
        <w:rPr>
          <w:rFonts w:ascii="Times New Roman" w:hAnsi="Times New Roman"/>
          <w:iCs/>
          <w:sz w:val="24"/>
          <w:szCs w:val="24"/>
          <w:lang w:val="lv-LV"/>
        </w:rPr>
        <w:t xml:space="preserve">Komisija un citas dalībvalstis par uzsāktajiem investīciju </w:t>
      </w:r>
      <w:proofErr w:type="spellStart"/>
      <w:r w:rsidR="00657E67" w:rsidRPr="00890707">
        <w:rPr>
          <w:rFonts w:ascii="Times New Roman" w:hAnsi="Times New Roman"/>
          <w:iCs/>
          <w:sz w:val="24"/>
          <w:szCs w:val="24"/>
          <w:lang w:val="lv-LV"/>
        </w:rPr>
        <w:t>skrīningiem</w:t>
      </w:r>
      <w:proofErr w:type="spellEnd"/>
      <w:r w:rsidR="00657E67" w:rsidRPr="00890707">
        <w:rPr>
          <w:rFonts w:ascii="Times New Roman" w:hAnsi="Times New Roman"/>
          <w:iCs/>
          <w:sz w:val="24"/>
          <w:szCs w:val="24"/>
          <w:lang w:val="lv-LV"/>
        </w:rPr>
        <w:t xml:space="preserve"> nacionālā līmenī, ja investīcijas skar drošību un sabiedrisko kārtību, kā arī reizi gadā jāsniedz visaptveroša informācija par ārvalstu investīcijām, kas veiktas dalībvalstīs. Komisija un citas dalībvalstis</w:t>
      </w:r>
      <w:r w:rsidR="00F607A0" w:rsidRPr="00890707">
        <w:rPr>
          <w:rFonts w:ascii="Times New Roman" w:hAnsi="Times New Roman"/>
          <w:iCs/>
          <w:sz w:val="24"/>
          <w:szCs w:val="24"/>
          <w:lang w:val="lv-LV"/>
        </w:rPr>
        <w:t xml:space="preserve"> </w:t>
      </w:r>
      <w:r w:rsidR="00657E67" w:rsidRPr="00890707">
        <w:rPr>
          <w:rFonts w:ascii="Times New Roman" w:hAnsi="Times New Roman"/>
          <w:iCs/>
          <w:sz w:val="24"/>
          <w:szCs w:val="24"/>
          <w:lang w:val="lv-LV"/>
        </w:rPr>
        <w:t>varēs (pēc izvēles) sniegt savu viedokli vai komentārus par investīcijām, kurām tiek veikts nacionālais skrīnings. To viedokļi būs konsultatīvi. Komisijai tiek piešķirtas tiesības sniegt viedokli par investīcijām, kas potenciāli var ietekmēt ES līmeņa projektu vai programmu realizāciju.</w:t>
      </w:r>
      <w:r w:rsidR="00657E67" w:rsidRPr="00890707">
        <w:rPr>
          <w:rFonts w:ascii="Times New Roman" w:hAnsi="Times New Roman"/>
          <w:sz w:val="24"/>
          <w:szCs w:val="24"/>
          <w:lang w:val="lv-LV"/>
        </w:rPr>
        <w:t xml:space="preserve"> T</w:t>
      </w:r>
      <w:r w:rsidRPr="00890707">
        <w:rPr>
          <w:rFonts w:ascii="Times New Roman" w:hAnsi="Times New Roman"/>
          <w:sz w:val="24"/>
          <w:szCs w:val="24"/>
          <w:lang w:val="lv-LV"/>
        </w:rPr>
        <w:t xml:space="preserve">iks izveidota īpaša darba grupa Komisijas vadībā, kurā no katras ES dalībvalsts piedalīsies nozīmēta kontaktpersona. Darba grupa skatīs visus ar šo Regulu saistītos jautājumus, bet neskatīs konkrētus gadījumus. Galīgais lēmums par investīciju uzņemšanu vai nē arī pēc Regulas pieņemšanas paliks dalībvalstu kompetencē. Latvijā par Regulas projektu un investīciju izvērtējuma jautājumiem atbildīga ir Ekonomikas ministrija. 2017. gada 3. </w:t>
      </w:r>
      <w:r w:rsidRPr="00890707">
        <w:rPr>
          <w:rFonts w:ascii="Times New Roman" w:hAnsi="Times New Roman"/>
          <w:sz w:val="24"/>
          <w:szCs w:val="24"/>
          <w:lang w:val="lv-LV"/>
        </w:rPr>
        <w:lastRenderedPageBreak/>
        <w:t>oktobrī tika pieņemti Ministru Kabineta noteikumi, kas nosaka kārtību, kādā Ekonomikas ministrija veic investīciju izvērtējumu nacionālā līmenī. 2017. gada 17. oktobrī ir apstiprināta Latvijas sākotnējā pozīcija par Regulas projektu, ar kuru Latvija kopumā neiebilst Komisijas iniciatīvai.</w:t>
      </w:r>
      <w:r w:rsidR="00F607A0" w:rsidRPr="00890707">
        <w:rPr>
          <w:rFonts w:ascii="Times New Roman" w:hAnsi="Times New Roman"/>
          <w:sz w:val="24"/>
          <w:szCs w:val="24"/>
          <w:lang w:val="lv-LV"/>
        </w:rPr>
        <w:t xml:space="preserve"> </w:t>
      </w:r>
      <w:r w:rsidRPr="00890707">
        <w:rPr>
          <w:rFonts w:ascii="Times New Roman" w:hAnsi="Times New Roman"/>
          <w:sz w:val="24"/>
          <w:szCs w:val="24"/>
          <w:lang w:val="lv-LV" w:eastAsia="lv-LV"/>
        </w:rPr>
        <w:t xml:space="preserve">Darbs pie </w:t>
      </w:r>
      <w:r w:rsidR="00F607A0" w:rsidRPr="00890707">
        <w:rPr>
          <w:rFonts w:ascii="Times New Roman" w:hAnsi="Times New Roman"/>
          <w:bCs/>
          <w:sz w:val="24"/>
          <w:szCs w:val="24"/>
          <w:lang w:val="lv-LV" w:eastAsia="lv-LV"/>
        </w:rPr>
        <w:t>R</w:t>
      </w:r>
      <w:r w:rsidRPr="00890707">
        <w:rPr>
          <w:rFonts w:ascii="Times New Roman" w:hAnsi="Times New Roman"/>
          <w:bCs/>
          <w:sz w:val="24"/>
          <w:szCs w:val="24"/>
          <w:lang w:val="lv-LV" w:eastAsia="lv-LV"/>
        </w:rPr>
        <w:t>egulas</w:t>
      </w:r>
      <w:r w:rsidRPr="00890707">
        <w:rPr>
          <w:rFonts w:ascii="Times New Roman" w:hAnsi="Times New Roman"/>
          <w:b/>
          <w:bCs/>
          <w:sz w:val="24"/>
          <w:szCs w:val="24"/>
          <w:lang w:val="lv-LV" w:eastAsia="lv-LV"/>
        </w:rPr>
        <w:t xml:space="preserve"> </w:t>
      </w:r>
      <w:r w:rsidRPr="00890707">
        <w:rPr>
          <w:rFonts w:ascii="Times New Roman" w:hAnsi="Times New Roman"/>
          <w:sz w:val="24"/>
          <w:szCs w:val="24"/>
          <w:lang w:val="lv-LV" w:eastAsia="lv-LV"/>
        </w:rPr>
        <w:t>projekta gandrīz gadu norisinājies Padomes Tirdz</w:t>
      </w:r>
      <w:bookmarkStart w:id="0" w:name="_GoBack"/>
      <w:bookmarkEnd w:id="0"/>
      <w:r w:rsidRPr="00890707">
        <w:rPr>
          <w:rFonts w:ascii="Times New Roman" w:hAnsi="Times New Roman"/>
          <w:sz w:val="24"/>
          <w:szCs w:val="24"/>
          <w:lang w:val="lv-LV" w:eastAsia="lv-LV"/>
        </w:rPr>
        <w:t>niecības jautājumu darba grupā</w:t>
      </w:r>
      <w:r w:rsidRPr="00890707">
        <w:rPr>
          <w:rFonts w:ascii="Times New Roman" w:hAnsi="Times New Roman"/>
          <w:sz w:val="24"/>
          <w:szCs w:val="24"/>
          <w:lang w:val="lv-LV"/>
        </w:rPr>
        <w:t xml:space="preserve"> un </w:t>
      </w:r>
      <w:r w:rsidRPr="00890707">
        <w:rPr>
          <w:rFonts w:ascii="Times New Roman" w:hAnsi="Times New Roman"/>
          <w:sz w:val="24"/>
          <w:szCs w:val="24"/>
          <w:lang w:val="lv-LV" w:eastAsia="lv-LV"/>
        </w:rPr>
        <w:t xml:space="preserve">tehniskas diskusijas ekspertu līmenī turpinās. Paralēli notiek arī trialogi ar Eiropas Parlamentu. Pašreiz aktuālā regulas projekta kompromisa redakcija kopumā atbilst Latvijas interesēm. Vienlaikus problēmas dalībvalstīm, t.sk., Latvijai sagādā tā saucamais 3. scenārijs, saskaņā ar kuru pēc vienas trešdaļas dalībvalstu  lūguma, ja nevar panākt vienprātību, konkrēto skrīninga gadījumu jānodod mediācijai Komisijai.  Dalībvalstu ieskatā, tas apdraud to tiesības uz lēmuma pieņemšanu. Diskusijās ar Eiropas Parlamentu ir panākta piekrišana Padomes piedāvātajai regulas struktūrai. Tomēr jautājumos par atsevišķiem skrīninga procedūras aspektiem, kā arī par sociālo partneru un trešo pušu iesaistīšanu skrīninga procesā ar Eiropas Parlamentu vēl nav panākta vienošanās. Ievērojot, ka tiek runāts par nacionālo drošību un kārtību, dalībvalstis apšauba nepieciešamību skrīninga procesā iesaistīt sociālos partnerus un trešās puses. </w:t>
      </w:r>
      <w:r w:rsidR="002832A0" w:rsidRPr="00890707">
        <w:rPr>
          <w:rFonts w:ascii="Times New Roman" w:hAnsi="Times New Roman"/>
          <w:iCs/>
          <w:sz w:val="24"/>
          <w:szCs w:val="24"/>
          <w:lang w:val="lv-LV" w:eastAsia="lv-LV"/>
        </w:rPr>
        <w:t>Tāpat diskusijas turpinās arī par E</w:t>
      </w:r>
      <w:r w:rsidR="00F607A0" w:rsidRPr="00890707">
        <w:rPr>
          <w:rFonts w:ascii="Times New Roman" w:hAnsi="Times New Roman"/>
          <w:iCs/>
          <w:sz w:val="24"/>
          <w:szCs w:val="24"/>
          <w:lang w:val="lv-LV" w:eastAsia="lv-LV"/>
        </w:rPr>
        <w:t xml:space="preserve">iropas </w:t>
      </w:r>
      <w:r w:rsidR="002832A0" w:rsidRPr="00890707">
        <w:rPr>
          <w:rFonts w:ascii="Times New Roman" w:hAnsi="Times New Roman"/>
          <w:iCs/>
          <w:sz w:val="24"/>
          <w:szCs w:val="24"/>
          <w:lang w:val="lv-LV" w:eastAsia="lv-LV"/>
        </w:rPr>
        <w:t>P</w:t>
      </w:r>
      <w:r w:rsidR="00F607A0" w:rsidRPr="00890707">
        <w:rPr>
          <w:rFonts w:ascii="Times New Roman" w:hAnsi="Times New Roman"/>
          <w:iCs/>
          <w:sz w:val="24"/>
          <w:szCs w:val="24"/>
          <w:lang w:val="lv-LV" w:eastAsia="lv-LV"/>
        </w:rPr>
        <w:t>arlamenta</w:t>
      </w:r>
      <w:r w:rsidR="002832A0" w:rsidRPr="00890707">
        <w:rPr>
          <w:rFonts w:ascii="Times New Roman" w:hAnsi="Times New Roman"/>
          <w:iCs/>
          <w:sz w:val="24"/>
          <w:szCs w:val="24"/>
          <w:lang w:val="lv-LV" w:eastAsia="lv-LV"/>
        </w:rPr>
        <w:t xml:space="preserve"> piedāvāta</w:t>
      </w:r>
      <w:r w:rsidR="00F607A0" w:rsidRPr="00890707">
        <w:rPr>
          <w:rFonts w:ascii="Times New Roman" w:hAnsi="Times New Roman"/>
          <w:iCs/>
          <w:sz w:val="24"/>
          <w:szCs w:val="24"/>
          <w:lang w:val="lv-LV" w:eastAsia="lv-LV"/>
        </w:rPr>
        <w:t>jiem termiņiem regulas projektā</w:t>
      </w:r>
      <w:r w:rsidR="002832A0" w:rsidRPr="00890707">
        <w:rPr>
          <w:rFonts w:ascii="Times New Roman" w:hAnsi="Times New Roman"/>
          <w:iCs/>
          <w:sz w:val="24"/>
          <w:szCs w:val="24"/>
          <w:lang w:val="lv-LV" w:eastAsia="lv-LV"/>
        </w:rPr>
        <w:t xml:space="preserve"> noteikto procedūru veikšanai. </w:t>
      </w:r>
      <w:r w:rsidRPr="00890707">
        <w:rPr>
          <w:rFonts w:ascii="Times New Roman" w:hAnsi="Times New Roman"/>
          <w:sz w:val="24"/>
          <w:szCs w:val="24"/>
          <w:lang w:val="lv-LV" w:eastAsia="lv-LV"/>
        </w:rPr>
        <w:t>Ņemot vērā Prezidentūras darba plānu</w:t>
      </w:r>
      <w:r w:rsidR="002832A0" w:rsidRPr="00890707">
        <w:rPr>
          <w:rFonts w:ascii="Times New Roman" w:hAnsi="Times New Roman"/>
          <w:sz w:val="24"/>
          <w:szCs w:val="24"/>
          <w:lang w:val="lv-LV" w:eastAsia="lv-LV"/>
        </w:rPr>
        <w:t xml:space="preserve"> </w:t>
      </w:r>
      <w:r w:rsidR="002832A0" w:rsidRPr="00890707">
        <w:rPr>
          <w:rFonts w:ascii="Times New Roman" w:hAnsi="Times New Roman"/>
          <w:iCs/>
          <w:sz w:val="24"/>
          <w:szCs w:val="24"/>
          <w:lang w:val="lv-LV" w:eastAsia="lv-LV"/>
        </w:rPr>
        <w:t>un sarunās jau panākto progresu</w:t>
      </w:r>
      <w:r w:rsidRPr="00890707">
        <w:rPr>
          <w:rFonts w:ascii="Times New Roman" w:hAnsi="Times New Roman"/>
          <w:sz w:val="24"/>
          <w:szCs w:val="24"/>
          <w:lang w:val="lv-LV" w:eastAsia="lv-LV"/>
        </w:rPr>
        <w:t>, ir pamats uzskatīt, ka regulas projekta izskatīšana trialogos var tikt pabeigta līdz Austrijas Prezidentūras beigām.</w:t>
      </w:r>
    </w:p>
    <w:p w:rsidR="00702016" w:rsidRPr="00890707" w:rsidRDefault="00702016" w:rsidP="00702016">
      <w:pPr>
        <w:spacing w:before="80"/>
        <w:jc w:val="both"/>
        <w:rPr>
          <w:lang w:eastAsia="lv-LV"/>
        </w:rPr>
      </w:pPr>
      <w:r w:rsidRPr="00890707">
        <w:rPr>
          <w:lang w:eastAsia="lv-LV"/>
        </w:rPr>
        <w:t>Latvija kopumā atbalsta darbu pie regulas projekta un centienus panākt vienošanos ar Eiropas Parlamentu. Vienlaikus Latvijai ir bažas par 3. scenārija piemērotību investīciju skrīninga gadījumu izskatīšanai, kā arī Eiropas Parlamenta vēlmēm skrīninga procesos vairāk iesaistīt sociālos partnerus un trešās puses.</w:t>
      </w:r>
      <w:r w:rsidR="00830B81" w:rsidRPr="00890707">
        <w:rPr>
          <w:lang w:eastAsia="lv-LV"/>
        </w:rPr>
        <w:t xml:space="preserve"> Diskusijas par šiem jautājumiem ir jāturpina. </w:t>
      </w:r>
      <w:r w:rsidR="002832A0" w:rsidRPr="00890707">
        <w:rPr>
          <w:iCs/>
          <w:lang w:eastAsia="lv-LV"/>
        </w:rPr>
        <w:t xml:space="preserve"> Tāpat Latvijai ir svarīgi nevajadzīgi nepagarināt investīciju izvērtēšanas un komentāru sniegšanas termiņus, lai garantētu tiesisko noteiktību investoriem.</w:t>
      </w:r>
    </w:p>
    <w:p w:rsidR="00702016" w:rsidRPr="00890707" w:rsidRDefault="00702016" w:rsidP="00702016">
      <w:pPr>
        <w:pStyle w:val="NoSpacing"/>
        <w:spacing w:before="80"/>
        <w:jc w:val="both"/>
        <w:rPr>
          <w:rFonts w:ascii="Times New Roman" w:hAnsi="Times New Roman"/>
          <w:b/>
          <w:sz w:val="24"/>
          <w:szCs w:val="24"/>
          <w:lang w:val="lv-LV"/>
        </w:rPr>
      </w:pPr>
      <w:r w:rsidRPr="00890707">
        <w:rPr>
          <w:rFonts w:ascii="Times New Roman" w:hAnsi="Times New Roman"/>
          <w:b/>
          <w:sz w:val="24"/>
          <w:szCs w:val="24"/>
          <w:lang w:val="lv-LV"/>
        </w:rPr>
        <w:t>Horizontālas divpusējas aizsardzības pasākumu regulas projekts</w:t>
      </w:r>
    </w:p>
    <w:p w:rsidR="00F607A0" w:rsidRPr="00890707" w:rsidRDefault="00702016" w:rsidP="00890707">
      <w:pPr>
        <w:spacing w:before="80"/>
        <w:jc w:val="both"/>
      </w:pPr>
      <w:r w:rsidRPr="00890707">
        <w:t xml:space="preserve">Ministru padomes sanāksmē Prezidentūra informēs dalībvalstis par aktuālo saistībā ar Horizontālas divpusējas aizsardzības pasākumu regulas izveidi. Komisija ir izstrādājusi priekšlikumu Regulai, ar kuru plānots attiecināt vienotu aizsargpasākumu sistēmu uz visiem turpmākajiem brīvās tirdzniecības nolīgumiem. </w:t>
      </w:r>
    </w:p>
    <w:p w:rsidR="00702016" w:rsidRPr="00890707" w:rsidRDefault="00702016" w:rsidP="00890707">
      <w:pPr>
        <w:spacing w:before="80"/>
        <w:jc w:val="both"/>
      </w:pPr>
      <w:r w:rsidRPr="00890707">
        <w:t xml:space="preserve">Divpusējas aizsardzības pasākumu klauzulas, kas šobrīd tiek ietvertas lielākajā daļā ES tirdzniecības nolīgumu, paredz iespēju apturēt turpmāku tarifa liberalizāciju vai atkārtoti ieviest vislielākās labvēlības muitas nodokļa likmi, ja nolīgumā noteiktās tirdzniecības liberalizācijas rezultātā imports pieaug tādā palielinātā daudzumā un ar tādiem nosacījumiem, kas rada nopietnu kaitējumu vai tā draudus līdzīgu vai konkurējošu ražojumu ražotājiem ES. Līdzšinējā prakse bijusi tāda, ka Komisija konkrētu aizsargpasākumu īstenošanai ierosināja atsevišķu īstenošanas regulu saistībā ar katru tirdzniecības nolīgumu. Savukārt ar šo projektu piedāvātā jaunā pieeja paredz turpmāko tirdzniecības nolīgumu iekļaušanu šajā regulā, izmantojot deleģētos aktus. Regulas pielikumā tiktu noteikta tās piemērojamība konkrētajam brīvās tirdzniecības nolīguma partnerim, kā arī attiecīgā tirdzniecības nolīguma īpatnības. 11. oktobrī Eiropas Parlamenta atbildīgajā komitejā (INTA – Starptautiskās tirdzniecības komiteja) tika atbalstīta trialoga sarunu uzsākšana. Savukārt 24. oktobrī Pastāvīgo pārstāvju komitejas (COREPER II) sanāksmē tika apstiprināts mandāts sarunu uzsākšanai ar Eiropas Parlamentu. </w:t>
      </w:r>
    </w:p>
    <w:p w:rsidR="00F607A0" w:rsidRPr="00890707" w:rsidRDefault="00702016">
      <w:pPr>
        <w:widowControl w:val="0"/>
        <w:spacing w:before="80"/>
        <w:jc w:val="both"/>
        <w:rPr>
          <w:bCs/>
        </w:rPr>
      </w:pPr>
      <w:r w:rsidRPr="00890707">
        <w:t>Ārlietu ministrijas sagatavotā nacionālā pozīcija par Horizontālas divpusējas aizsardzības pasākumu regulas ieviešanu tika apstiprināta 2018. gada 23. oktobrī.</w:t>
      </w:r>
      <w:r w:rsidR="00F607A0" w:rsidRPr="00890707">
        <w:t xml:space="preserve"> </w:t>
      </w:r>
      <w:r w:rsidRPr="00890707">
        <w:t>Latvija kopumā atbalsta Komisijas piedāvāto pieeju,</w:t>
      </w:r>
      <w:r w:rsidRPr="00890707">
        <w:rPr>
          <w:bCs/>
        </w:rPr>
        <w:t xml:space="preserve"> saskaņā ar kuru šāds vienas horizontālas </w:t>
      </w:r>
      <w:r w:rsidRPr="00890707">
        <w:rPr>
          <w:bCs/>
        </w:rPr>
        <w:lastRenderedPageBreak/>
        <w:t>regulas risinājums ļaus īstenot vienotu pieeju aizsargpasākumu īstenošanā attiecībā uz visiem ES tirdzniecības nolīgumiem, nodrošinās lielāku tiesisko skaidrību un efektīvāku aizsargpasākumu īstenošanu, kad tam radīsies pamats. Šāda pieeja arī atvieglos un sistematizēs ES normatīvo aktu sistēmu šajā jomā. Projektam atbalstu kopumā ir paudušas arī visas pārējās ES dalībvalstis.</w:t>
      </w:r>
    </w:p>
    <w:p w:rsidR="00702016" w:rsidRPr="00890707" w:rsidRDefault="00702016" w:rsidP="00890707">
      <w:pPr>
        <w:widowControl w:val="0"/>
        <w:jc w:val="both"/>
      </w:pPr>
    </w:p>
    <w:p w:rsidR="00702016" w:rsidRPr="00890707" w:rsidRDefault="00702016" w:rsidP="00890707">
      <w:pPr>
        <w:spacing w:before="120"/>
        <w:jc w:val="both"/>
        <w:rPr>
          <w:b/>
        </w:rPr>
      </w:pPr>
      <w:r w:rsidRPr="00890707">
        <w:rPr>
          <w:b/>
        </w:rPr>
        <w:t>KOMISIJAS ZIŅOJUMS PAR BRĪVĀS TIRDZNIECĪBAS NOLĪGUMU ĪSTENOŠANU</w:t>
      </w:r>
    </w:p>
    <w:p w:rsidR="00830B81" w:rsidRPr="00890707" w:rsidRDefault="00702016" w:rsidP="00702016">
      <w:pPr>
        <w:spacing w:before="120" w:after="120"/>
        <w:jc w:val="both"/>
      </w:pPr>
      <w:r w:rsidRPr="00890707">
        <w:t>Komisija drīzumā nāks klajā ar tās otro ziņojumu par brīvās tirdzniecības nolīgumu īstenošanu</w:t>
      </w:r>
      <w:r w:rsidR="00830B81" w:rsidRPr="00890707">
        <w:t xml:space="preserve"> un ar to iepazīstinās dalībvalstis ministru sanāksmes laikā</w:t>
      </w:r>
      <w:r w:rsidRPr="00890707">
        <w:t>.</w:t>
      </w:r>
      <w:r w:rsidR="006E0961" w:rsidRPr="00890707">
        <w:t xml:space="preserve"> </w:t>
      </w:r>
    </w:p>
    <w:p w:rsidR="00702016" w:rsidRPr="00890707" w:rsidRDefault="00702016" w:rsidP="00702016">
      <w:pPr>
        <w:spacing w:before="120" w:after="120"/>
        <w:jc w:val="both"/>
      </w:pPr>
      <w:r w:rsidRPr="00890707">
        <w:t xml:space="preserve">2015. gada paziņojumā “Tirdzniecība visiem. Ceļā uz atbildīgāku tirdzniecības un ieguldījumu politiku” Komisija apņēmās ik gadu ziņot par svarīgāko brīvās tirdzniecības nolīgumu īstenošanu un veikt padziļinātu </w:t>
      </w:r>
      <w:proofErr w:type="spellStart"/>
      <w:r w:rsidRPr="00890707">
        <w:rPr>
          <w:i/>
        </w:rPr>
        <w:t>ex</w:t>
      </w:r>
      <w:proofErr w:type="spellEnd"/>
      <w:r w:rsidRPr="00890707">
        <w:rPr>
          <w:i/>
        </w:rPr>
        <w:t xml:space="preserve"> post</w:t>
      </w:r>
      <w:r w:rsidRPr="00890707">
        <w:t xml:space="preserve"> analīzi par ES tirdzniecības nolīgumu efektivitāti nozarēs un dalībvalstīs, kā arī atlasītajos gadījumos izvērtēt nolīgumu ietekmi uz partnervalstu ekonomiku. </w:t>
      </w:r>
    </w:p>
    <w:p w:rsidR="00702016" w:rsidRPr="00890707" w:rsidRDefault="00702016" w:rsidP="00702016">
      <w:pPr>
        <w:spacing w:before="120" w:after="120"/>
        <w:jc w:val="both"/>
      </w:pPr>
      <w:r w:rsidRPr="00890707">
        <w:t>Komisijas ziņojums koncentrēsies uz brīvās tirdzniecības nolīgumu īstenošanas rezultātiem 2017. gadā, un paredzams, ka ziņojums ne tikai akcentēs brīvās tirdzniecības nolīgumu devumu ekonomiskās izaugsmes kontekstā, bet pievērsīsies arī neizmantotajām iespējām, piemēram, preferenču izmantojuma rādītājiem, kas norāda apmēru, kādā uzņēmumi izmanto preferenciālos muitas tarifus.</w:t>
      </w:r>
    </w:p>
    <w:p w:rsidR="00702016" w:rsidRPr="00890707" w:rsidRDefault="00702016" w:rsidP="00702016">
      <w:pPr>
        <w:spacing w:before="120" w:after="120"/>
        <w:jc w:val="both"/>
      </w:pPr>
      <w:r w:rsidRPr="00890707">
        <w:t>Komisijas ziņojumi ir nozīmīgi plānojot turpmākās brīvās tirdzniecības nolīgumu slēgšanas un īstenošanas aktivitātes. Latvija uzskata, ka prioritāte un pūles, kas veltītas brīvās tirdzniecības nolīgumu piemērošanas veicināšanai, ir vienlīdz svarīgas jaunu nolīgumu slēgšanai. Šajā jautājumā būtiska loma un atbildība ir gan Komisijai, gan dalībvalstīm. Latvija ikdienā strādā ar pieejamajiem instrumentiem, lai skaidrotu uzņēmējiem un sabiedrībai tirdzniecības nolīgumu piedāvāto iespēju izmantošanu, un to turpinās. Tomēr vienlaikus Latvija ir ieinteresēta ciešākā sadarbībā ar Komisiju, tai skaitā informēšanas un izglītošanas materiālu un aktivitāšu nodrošināšanā uzņēmējiem, kā arī konsultācijās ar citām valstīm par to labajām praksēm.</w:t>
      </w:r>
    </w:p>
    <w:p w:rsidR="00702016" w:rsidRPr="00890707" w:rsidRDefault="00702016" w:rsidP="00702016">
      <w:pPr>
        <w:widowControl w:val="0"/>
        <w:jc w:val="both"/>
        <w:rPr>
          <w:bCs/>
        </w:rPr>
      </w:pPr>
    </w:p>
    <w:p w:rsidR="00702016" w:rsidRPr="00890707" w:rsidRDefault="00702016" w:rsidP="00702016">
      <w:pPr>
        <w:tabs>
          <w:tab w:val="left" w:pos="3"/>
        </w:tabs>
        <w:spacing w:before="80" w:after="240"/>
        <w:jc w:val="both"/>
        <w:rPr>
          <w:b/>
        </w:rPr>
      </w:pPr>
      <w:r w:rsidRPr="00890707">
        <w:rPr>
          <w:b/>
        </w:rPr>
        <w:t xml:space="preserve">ES UN ASV TIRDZNIECĪBAS ATTIECĪBAS </w:t>
      </w:r>
    </w:p>
    <w:p w:rsidR="00702016" w:rsidRPr="00890707" w:rsidRDefault="00702016" w:rsidP="00702016">
      <w:pPr>
        <w:jc w:val="both"/>
        <w:rPr>
          <w:iCs/>
        </w:rPr>
      </w:pPr>
      <w:r w:rsidRPr="00890707">
        <w:rPr>
          <w:iCs/>
        </w:rPr>
        <w:t xml:space="preserve">ASV tirdzniecības politika Prezidenta </w:t>
      </w:r>
      <w:proofErr w:type="spellStart"/>
      <w:r w:rsidRPr="00890707">
        <w:rPr>
          <w:iCs/>
        </w:rPr>
        <w:t>D.Trampa</w:t>
      </w:r>
      <w:proofErr w:type="spellEnd"/>
      <w:r w:rsidRPr="00890707">
        <w:rPr>
          <w:iCs/>
        </w:rPr>
        <w:t xml:space="preserve"> vadībā joprojām saglabājas izteikti protekcionistiska un dienaskārtībā ir vēlme par katru cenu uzlabot ASV tirdzniecības bilanci pret pārējo pasauli. ASV uzmanības fokusā pamatā ir Ķīna, tomēr retorika par tirdzniecības deficītu regulāri tiek vērsta arī uz ES. ES</w:t>
      </w:r>
      <w:r w:rsidRPr="00890707">
        <w:rPr>
          <w:iCs/>
        </w:rPr>
        <w:noBreakHyphen/>
        <w:t xml:space="preserve">ASV tirdzniecības attiecības būtiski pasliktinājās pēc tam, kad </w:t>
      </w:r>
      <w:proofErr w:type="spellStart"/>
      <w:r w:rsidRPr="00890707">
        <w:rPr>
          <w:iCs/>
        </w:rPr>
        <w:t>D.Tramps</w:t>
      </w:r>
      <w:proofErr w:type="spellEnd"/>
      <w:r w:rsidRPr="00890707">
        <w:rPr>
          <w:iCs/>
        </w:rPr>
        <w:t xml:space="preserve">, pamatā skatoties uz Ķīnas tērauda pārprodukciju, ar š.g. 1.jūniju paaugstināja importa tarifus alumīnijam un tēraudam no gandrīz visām pasaules valstīm, t.sk. arī ES. Šāds lēmums izraisīja atbilstošu ES pretreakciju vairākos virzienos: 1) ar š.g. 22. jūniju ES sāka piemērot līdzsvarošanas pasākumus ASV izcelsmes precēm, 2) kopā ar citām </w:t>
      </w:r>
      <w:r w:rsidRPr="00890707">
        <w:t>PTO dalībvalstīm uzsāka strīdu izšķiršanas procedūru PTO ietvaros par piemērotajiem tirdzniecības ierobežojumiem, 3) ar š.g. 18.jūliju noteica aizsargpasākumus tarifu kvotu veidā tērauda importam ES.</w:t>
      </w:r>
    </w:p>
    <w:p w:rsidR="00702016" w:rsidRPr="00890707" w:rsidRDefault="00702016" w:rsidP="00702016">
      <w:pPr>
        <w:tabs>
          <w:tab w:val="left" w:pos="3"/>
        </w:tabs>
        <w:spacing w:before="80"/>
        <w:jc w:val="both"/>
      </w:pPr>
      <w:r w:rsidRPr="00890707">
        <w:t>Papildus tērauda un alumīnija tarifiem abu pušu tirdzniecības attiecībās negatīvu kontekstu ienesa š.g. 23. maijā ASV uzsāktā izmeklēšanu par automobiļu importa ietekmi uz ASV nacionālo drošību, kas, līdzīgi kā alumīnija un tērauda gadījumā, var novest pie tā, ka ASV arī šajā ES eksportspējīgajā un svarīgajā nozarē varētu paaugstināt tarifus.</w:t>
      </w:r>
    </w:p>
    <w:p w:rsidR="00702016" w:rsidRPr="00890707" w:rsidRDefault="00702016" w:rsidP="00702016">
      <w:pPr>
        <w:spacing w:before="120" w:after="120"/>
        <w:jc w:val="both"/>
      </w:pPr>
      <w:r w:rsidRPr="00890707">
        <w:t xml:space="preserve">ES-ASV tirdzniecības attiecības nedaudz uzlabojās līdz ar Komisijas prezidenta </w:t>
      </w:r>
      <w:proofErr w:type="spellStart"/>
      <w:r w:rsidRPr="00890707">
        <w:t>Ž.K.Junkera</w:t>
      </w:r>
      <w:proofErr w:type="spellEnd"/>
      <w:r w:rsidRPr="00890707">
        <w:t xml:space="preserve"> un </w:t>
      </w:r>
      <w:proofErr w:type="spellStart"/>
      <w:r w:rsidRPr="00890707">
        <w:t>D.Trampa</w:t>
      </w:r>
      <w:proofErr w:type="spellEnd"/>
      <w:r w:rsidRPr="00890707">
        <w:t xml:space="preserve"> tikšanos 2018. gada 25. jūlijā. Tikšanās laikā tika pārrunāti tirdzniecības jautājumi un panākta vienošanās (1) kopīgi strādāt pie tarifu un netarifu jautājumiem, (2) stiprināt stratēģisko </w:t>
      </w:r>
      <w:r w:rsidRPr="00890707">
        <w:lastRenderedPageBreak/>
        <w:t xml:space="preserve">sadarbību enerģētikas jomā, (3) izvērst dialogu par </w:t>
      </w:r>
      <w:proofErr w:type="spellStart"/>
      <w:r w:rsidRPr="00890707">
        <w:t>regulatoro</w:t>
      </w:r>
      <w:proofErr w:type="spellEnd"/>
      <w:r w:rsidRPr="00890707">
        <w:t xml:space="preserve"> sadarbību, kā arī (4) risināt plašākā mēroga problēmjautājumus, kā negodīga tirdzniecības prakse un PTO modernizācijas elementi. Tāpat puses apņēmās risināt ASV tērauda un alumīnija tarifu jautājumus. ASV puse arī apņēmās nepaaugstināt automobiļu tarifus, kamēr turpinās sarunas. Lai īstenotu Junkera-</w:t>
      </w:r>
      <w:proofErr w:type="spellStart"/>
      <w:r w:rsidRPr="00890707">
        <w:t>Trampa</w:t>
      </w:r>
      <w:proofErr w:type="spellEnd"/>
      <w:r w:rsidRPr="00890707">
        <w:t xml:space="preserve"> panākto vienošanos, ir izveidota Izpilddarba grupa (</w:t>
      </w:r>
      <w:proofErr w:type="spellStart"/>
      <w:r w:rsidRPr="00890707">
        <w:rPr>
          <w:i/>
        </w:rPr>
        <w:t>Executive</w:t>
      </w:r>
      <w:proofErr w:type="spellEnd"/>
      <w:r w:rsidRPr="00890707">
        <w:rPr>
          <w:i/>
        </w:rPr>
        <w:t xml:space="preserve"> </w:t>
      </w:r>
      <w:proofErr w:type="spellStart"/>
      <w:r w:rsidRPr="00890707">
        <w:rPr>
          <w:i/>
        </w:rPr>
        <w:t>Working</w:t>
      </w:r>
      <w:proofErr w:type="spellEnd"/>
      <w:r w:rsidRPr="00890707">
        <w:rPr>
          <w:i/>
        </w:rPr>
        <w:t xml:space="preserve"> </w:t>
      </w:r>
      <w:proofErr w:type="spellStart"/>
      <w:r w:rsidRPr="00890707">
        <w:rPr>
          <w:i/>
        </w:rPr>
        <w:t>Group</w:t>
      </w:r>
      <w:proofErr w:type="spellEnd"/>
      <w:r w:rsidRPr="00890707">
        <w:t>) Komisijas Tirdzniecības komisāres un ASV Tirdzniecības pārstāvja vadībā.</w:t>
      </w:r>
      <w:r w:rsidRPr="00890707">
        <w:rPr>
          <w:rStyle w:val="FootnoteReference"/>
        </w:rPr>
        <w:footnoteReference w:id="7"/>
      </w:r>
    </w:p>
    <w:p w:rsidR="00702016" w:rsidRPr="00890707" w:rsidRDefault="00702016" w:rsidP="00702016">
      <w:pPr>
        <w:spacing w:before="120" w:after="120"/>
        <w:jc w:val="both"/>
      </w:pPr>
      <w:r w:rsidRPr="00890707">
        <w:t xml:space="preserve">Darba grupa tikās 10. septembrī, kur puses apsprieda iespējamos īstermiņā un vidējā termiņā panākamos rezultātus, piemēram, </w:t>
      </w:r>
      <w:proofErr w:type="spellStart"/>
      <w:r w:rsidRPr="00890707">
        <w:t>regulatorajā</w:t>
      </w:r>
      <w:proofErr w:type="spellEnd"/>
      <w:r w:rsidRPr="00890707">
        <w:t xml:space="preserve"> jomā kā farmācijas, autobūves u.c. nozarēs. Izpilddarba grupas ietvaros tehniskā līmeņa tikšanās notika 22.-26. oktobrī. Pašlaik plānots, ka Izpilddarba grupa politiskā līmenī tiksies novembra beigās, lai novērtētu sasniegto progresu. Svarīgi uzsvērt, ka šobrīd norisinās tikai sarunas par potenciālo tirdzniecības sarunu tvērumu. Šajā stadijā Komisijai nav nepieciešams Padomes apstiprināts mandāts, bet tāds būs nepieciešams brīdī, kad tiks lemts par pašu tirdzniecības sarunu uzsākšanu.</w:t>
      </w:r>
    </w:p>
    <w:p w:rsidR="00702016" w:rsidRPr="00890707" w:rsidRDefault="00702016" w:rsidP="00702016">
      <w:pPr>
        <w:spacing w:before="120" w:after="120"/>
        <w:jc w:val="both"/>
      </w:pPr>
      <w:r w:rsidRPr="00890707">
        <w:t>Vienlaikus ASV administrācija 16. oktobrī ASV kongresam paziņoja par nodomu uzsākt tirdzniecības sarunas ar ES (vienlaikus tika paziņots par atsevišķām sarunām arī ar Japānu un Lielbritāniju). Tas nozīmē, ka ASV iekšējo procedurālu apsvērumu dēļ tirdzniecības sarunas starp ES un ASV faktiski varētu tik uzsāktas ne ātrāk kā 2019. gada 14. janvārī. Tajā pašā laikā puses vēl līdz galam nav vienojušās par iespējamo sarunu tvērumu un vēl aizvien pastāv būtiska viedokļu atšķirība, piemēram, par to vai sarunās vajadzētu iekļaut lauksamniecības un automobiļu nozares. Vienlaikus ASV Tirdzniecības sekretārs V.Ross 16. oktobra vizītes Briselē laikā norādīja, ka ES “</w:t>
      </w:r>
      <w:r w:rsidRPr="00890707">
        <w:rPr>
          <w:i/>
        </w:rPr>
        <w:t>nedara pietiekoši, lai izvairītos no tarifiem automašīnām</w:t>
      </w:r>
      <w:r w:rsidRPr="00890707">
        <w:t>”.</w:t>
      </w:r>
    </w:p>
    <w:p w:rsidR="00702016" w:rsidRPr="00890707" w:rsidRDefault="00702016" w:rsidP="00702016">
      <w:pPr>
        <w:spacing w:before="120" w:after="120"/>
        <w:jc w:val="both"/>
      </w:pPr>
      <w:r w:rsidRPr="00890707">
        <w:t xml:space="preserve">Nesaistīti ar ES un ASV prezidentu tikšanās rezultātu jūlijā, dalībvalstis 19. oktobrī Komisijai deva mandātu sarunām ar ASV par esošās augstas kvalitātes liellopu gaļas importa kvotas pārdali par labu ASV, nepalielinot kvotas kopējo apjomu (45 </w:t>
      </w:r>
      <w:proofErr w:type="spellStart"/>
      <w:r w:rsidRPr="00890707">
        <w:t>tūkst.t</w:t>
      </w:r>
      <w:proofErr w:type="spellEnd"/>
      <w:r w:rsidRPr="00890707">
        <w:t>.). Šī iniciatīva no ES puses arī kalpo kā papildus elements pozitīvās darba kārtības uzturēšanai.</w:t>
      </w:r>
    </w:p>
    <w:p w:rsidR="00702016" w:rsidRPr="00890707" w:rsidRDefault="00702016" w:rsidP="00702016">
      <w:pPr>
        <w:spacing w:before="120" w:after="120"/>
        <w:jc w:val="both"/>
      </w:pPr>
      <w:r w:rsidRPr="00890707">
        <w:t>Latvija uzskata, ka ES un ASV ir aktīvi jāturpina uzsāktais darbs un pragmatiski jāstrādā pie tirdzniecības attiecību uzlabošanas, jo ilgtermiņā abām pusēm ir svarīgi saglabāt ciešas Transatlantiskās attiecības. Latvija aicina EK pielikt papildus pūles, lai uzturētu pozitīvu darba kārtību un izvairītos no tirdzniecības domstarpību tālākas saasināšanās. Latvijas ieskatā svarīgi ir saglabāt ES vienotību attiecībās ar ASV. Latvija sagaida, ka dalībvalstis tiks pietiekami iesaistītas sarunu sagatavošanas procesā, tādejādi veicinot līdzsvarotu, PTO noteikumiem atbilstošu un visām iesaistītajām pusēm pieņemamu rezultātu panākšanu.</w:t>
      </w:r>
    </w:p>
    <w:p w:rsidR="00702016" w:rsidRPr="00890707" w:rsidRDefault="00702016" w:rsidP="00702016">
      <w:pPr>
        <w:pStyle w:val="NoSpacing"/>
        <w:jc w:val="both"/>
        <w:rPr>
          <w:rFonts w:ascii="Times New Roman" w:hAnsi="Times New Roman"/>
          <w:sz w:val="24"/>
          <w:szCs w:val="24"/>
          <w:lang w:val="lv-LV"/>
        </w:rPr>
      </w:pPr>
    </w:p>
    <w:p w:rsidR="00702016" w:rsidRPr="00890707" w:rsidRDefault="00702016" w:rsidP="00702016">
      <w:pPr>
        <w:spacing w:before="80"/>
        <w:jc w:val="both"/>
        <w:rPr>
          <w:b/>
        </w:rPr>
      </w:pPr>
      <w:r w:rsidRPr="00890707">
        <w:rPr>
          <w:b/>
        </w:rPr>
        <w:t>Latvijas delegācija ES Ārlietu padomes Kopējās tirdzniecības politikas jautājumos sanāksmē 2018. gada 9. novembrī:</w:t>
      </w:r>
    </w:p>
    <w:p w:rsidR="00702016" w:rsidRPr="00890707" w:rsidRDefault="00702016" w:rsidP="00702016">
      <w:pPr>
        <w:spacing w:before="80"/>
        <w:jc w:val="both"/>
        <w:rPr>
          <w:b/>
        </w:rPr>
      </w:pPr>
    </w:p>
    <w:tbl>
      <w:tblPr>
        <w:tblW w:w="11390" w:type="dxa"/>
        <w:tblInd w:w="-180" w:type="dxa"/>
        <w:tblLook w:val="04A0" w:firstRow="1" w:lastRow="0" w:firstColumn="1" w:lastColumn="0" w:noHBand="0" w:noVBand="1"/>
      </w:tblPr>
      <w:tblGrid>
        <w:gridCol w:w="187"/>
        <w:gridCol w:w="9284"/>
        <w:gridCol w:w="494"/>
        <w:gridCol w:w="936"/>
        <w:gridCol w:w="489"/>
      </w:tblGrid>
      <w:tr w:rsidR="00890707" w:rsidRPr="00890707" w:rsidTr="00270BD0">
        <w:trPr>
          <w:gridAfter w:val="1"/>
          <w:wAfter w:w="489" w:type="dxa"/>
          <w:trHeight w:val="3924"/>
        </w:trPr>
        <w:tc>
          <w:tcPr>
            <w:tcW w:w="9471" w:type="dxa"/>
            <w:gridSpan w:val="2"/>
            <w:shd w:val="clear" w:color="auto" w:fill="auto"/>
          </w:tcPr>
          <w:tbl>
            <w:tblPr>
              <w:tblW w:w="9255" w:type="dxa"/>
              <w:tblLook w:val="04A0" w:firstRow="1" w:lastRow="0" w:firstColumn="1" w:lastColumn="0" w:noHBand="0" w:noVBand="1"/>
            </w:tblPr>
            <w:tblGrid>
              <w:gridCol w:w="2163"/>
              <w:gridCol w:w="119"/>
              <w:gridCol w:w="2360"/>
              <w:gridCol w:w="33"/>
              <w:gridCol w:w="4580"/>
            </w:tblGrid>
            <w:tr w:rsidR="00890707" w:rsidRPr="00890707" w:rsidTr="00270BD0">
              <w:trPr>
                <w:trHeight w:val="321"/>
              </w:trPr>
              <w:tc>
                <w:tcPr>
                  <w:tcW w:w="2163" w:type="dxa"/>
                  <w:hideMark/>
                </w:tcPr>
                <w:p w:rsidR="00702016" w:rsidRPr="00890707" w:rsidRDefault="00702016" w:rsidP="00270BD0">
                  <w:pPr>
                    <w:spacing w:before="80" w:after="80"/>
                    <w:jc w:val="both"/>
                    <w:rPr>
                      <w:b/>
                    </w:rPr>
                  </w:pPr>
                  <w:r w:rsidRPr="00890707">
                    <w:lastRenderedPageBreak/>
                    <w:t>Delegācijas vadītāja:</w:t>
                  </w:r>
                </w:p>
              </w:tc>
              <w:tc>
                <w:tcPr>
                  <w:tcW w:w="2479" w:type="dxa"/>
                  <w:gridSpan w:val="2"/>
                  <w:hideMark/>
                </w:tcPr>
                <w:p w:rsidR="00702016" w:rsidRPr="00890707" w:rsidRDefault="00702016" w:rsidP="00270BD0">
                  <w:pPr>
                    <w:spacing w:before="80" w:after="80"/>
                    <w:ind w:left="120"/>
                    <w:jc w:val="both"/>
                  </w:pPr>
                  <w:r w:rsidRPr="00890707">
                    <w:t xml:space="preserve">S. Pavļuta-Deslandes </w:t>
                  </w:r>
                </w:p>
              </w:tc>
              <w:tc>
                <w:tcPr>
                  <w:tcW w:w="4613" w:type="dxa"/>
                  <w:gridSpan w:val="2"/>
                  <w:hideMark/>
                </w:tcPr>
                <w:p w:rsidR="00702016" w:rsidRPr="00890707" w:rsidRDefault="00702016" w:rsidP="00270BD0">
                  <w:pPr>
                    <w:spacing w:before="80" w:after="80"/>
                    <w:ind w:left="150"/>
                    <w:jc w:val="both"/>
                  </w:pPr>
                  <w:r w:rsidRPr="00890707">
                    <w:t>Latvijas Republikas pastāvīgā pārstāve Eiropas Savienībā, Ārkārtējā un pilnvarotā vēstniece</w:t>
                  </w:r>
                </w:p>
              </w:tc>
            </w:tr>
            <w:tr w:rsidR="00890707" w:rsidRPr="00890707" w:rsidTr="00270BD0">
              <w:tc>
                <w:tcPr>
                  <w:tcW w:w="2163" w:type="dxa"/>
                </w:tcPr>
                <w:p w:rsidR="00702016" w:rsidRPr="00890707" w:rsidRDefault="00702016" w:rsidP="00270BD0">
                  <w:pPr>
                    <w:spacing w:before="80" w:after="80"/>
                    <w:jc w:val="both"/>
                    <w:rPr>
                      <w:bCs/>
                    </w:rPr>
                  </w:pPr>
                  <w:r w:rsidRPr="00890707">
                    <w:t>Delegācijas sastāvā:</w:t>
                  </w:r>
                </w:p>
              </w:tc>
              <w:tc>
                <w:tcPr>
                  <w:tcW w:w="2479" w:type="dxa"/>
                  <w:gridSpan w:val="2"/>
                </w:tcPr>
                <w:p w:rsidR="00702016" w:rsidRPr="00890707" w:rsidRDefault="00702016" w:rsidP="00270BD0">
                  <w:pPr>
                    <w:spacing w:before="80" w:after="80"/>
                    <w:ind w:left="120"/>
                    <w:jc w:val="both"/>
                    <w:rPr>
                      <w:bCs/>
                    </w:rPr>
                  </w:pPr>
                  <w:r w:rsidRPr="00890707">
                    <w:t>J. </w:t>
                  </w:r>
                  <w:proofErr w:type="spellStart"/>
                  <w:r w:rsidRPr="00890707">
                    <w:t>Štālmeistars</w:t>
                  </w:r>
                  <w:proofErr w:type="spellEnd"/>
                </w:p>
              </w:tc>
              <w:tc>
                <w:tcPr>
                  <w:tcW w:w="4613" w:type="dxa"/>
                  <w:gridSpan w:val="2"/>
                </w:tcPr>
                <w:p w:rsidR="00702016" w:rsidRPr="00890707" w:rsidRDefault="00702016" w:rsidP="00270BD0">
                  <w:pPr>
                    <w:spacing w:before="80" w:after="80"/>
                    <w:ind w:left="150"/>
                    <w:jc w:val="both"/>
                    <w:rPr>
                      <w:bCs/>
                    </w:rPr>
                  </w:pPr>
                  <w:r w:rsidRPr="00890707">
                    <w:t xml:space="preserve">Ārlietu ministrijas Ekonomisko attiecību, tirdzniecības un attīstības sadarbības direkcijas vadītājs; </w:t>
                  </w:r>
                </w:p>
              </w:tc>
            </w:tr>
            <w:tr w:rsidR="00890707" w:rsidRPr="00890707" w:rsidTr="00270BD0">
              <w:tc>
                <w:tcPr>
                  <w:tcW w:w="2163" w:type="dxa"/>
                </w:tcPr>
                <w:p w:rsidR="00702016" w:rsidRPr="00890707" w:rsidRDefault="00702016" w:rsidP="00270BD0">
                  <w:pPr>
                    <w:spacing w:before="80" w:after="80"/>
                    <w:jc w:val="both"/>
                  </w:pPr>
                </w:p>
              </w:tc>
              <w:tc>
                <w:tcPr>
                  <w:tcW w:w="2479" w:type="dxa"/>
                  <w:gridSpan w:val="2"/>
                </w:tcPr>
                <w:p w:rsidR="00702016" w:rsidRPr="00890707" w:rsidRDefault="00702016" w:rsidP="00270BD0">
                  <w:pPr>
                    <w:spacing w:before="80" w:after="80"/>
                    <w:ind w:left="120"/>
                    <w:jc w:val="both"/>
                  </w:pPr>
                  <w:r w:rsidRPr="00890707">
                    <w:t>M. Kreitus</w:t>
                  </w:r>
                </w:p>
              </w:tc>
              <w:tc>
                <w:tcPr>
                  <w:tcW w:w="4613" w:type="dxa"/>
                  <w:gridSpan w:val="2"/>
                </w:tcPr>
                <w:p w:rsidR="00702016" w:rsidRPr="00890707" w:rsidRDefault="00702016" w:rsidP="00270BD0">
                  <w:pPr>
                    <w:spacing w:before="80" w:after="80"/>
                    <w:ind w:left="150"/>
                    <w:jc w:val="both"/>
                  </w:pPr>
                  <w:r w:rsidRPr="00890707">
                    <w:t>Vēstnieks – pastāvīgais pārstāvis Pasaules Tirdzniecības organizācijā;</w:t>
                  </w:r>
                </w:p>
              </w:tc>
            </w:tr>
            <w:tr w:rsidR="00890707" w:rsidRPr="00890707" w:rsidTr="00270BD0">
              <w:tc>
                <w:tcPr>
                  <w:tcW w:w="2163" w:type="dxa"/>
                </w:tcPr>
                <w:p w:rsidR="00702016" w:rsidRPr="00890707" w:rsidRDefault="00702016" w:rsidP="00270BD0">
                  <w:pPr>
                    <w:spacing w:before="80" w:after="80"/>
                    <w:jc w:val="both"/>
                  </w:pPr>
                </w:p>
              </w:tc>
              <w:tc>
                <w:tcPr>
                  <w:tcW w:w="2479" w:type="dxa"/>
                  <w:gridSpan w:val="2"/>
                </w:tcPr>
                <w:p w:rsidR="00702016" w:rsidRPr="00890707" w:rsidRDefault="00702016" w:rsidP="00270BD0">
                  <w:pPr>
                    <w:ind w:left="120"/>
                    <w:jc w:val="both"/>
                  </w:pPr>
                  <w:r w:rsidRPr="00890707">
                    <w:t>G. Zadraks</w:t>
                  </w:r>
                </w:p>
              </w:tc>
              <w:tc>
                <w:tcPr>
                  <w:tcW w:w="4613" w:type="dxa"/>
                  <w:gridSpan w:val="2"/>
                </w:tcPr>
                <w:p w:rsidR="00702016" w:rsidRPr="00890707" w:rsidRDefault="00702016" w:rsidP="00270BD0">
                  <w:pPr>
                    <w:spacing w:before="80" w:after="80"/>
                    <w:ind w:left="150"/>
                    <w:jc w:val="both"/>
                  </w:pPr>
                  <w:r w:rsidRPr="00890707">
                    <w:rPr>
                      <w:bCs/>
                    </w:rPr>
                    <w:t>Ārlietu ministrijas Ārējās tirdzniecības un ārējo ekonomisko sakaru veicināšanas departamenta direktora vietnieks, Ārējās tirdzniecības un investīciju nodaļas vadītājs</w:t>
                  </w:r>
                  <w:r w:rsidRPr="00890707">
                    <w:t>;</w:t>
                  </w:r>
                </w:p>
              </w:tc>
            </w:tr>
            <w:tr w:rsidR="00890707" w:rsidRPr="00890707" w:rsidTr="00270BD0">
              <w:tc>
                <w:tcPr>
                  <w:tcW w:w="2282" w:type="dxa"/>
                  <w:gridSpan w:val="2"/>
                </w:tcPr>
                <w:p w:rsidR="00702016" w:rsidRPr="00890707" w:rsidRDefault="00702016" w:rsidP="00270BD0">
                  <w:pPr>
                    <w:spacing w:before="80" w:after="80"/>
                    <w:ind w:left="120"/>
                    <w:jc w:val="both"/>
                  </w:pPr>
                </w:p>
              </w:tc>
              <w:tc>
                <w:tcPr>
                  <w:tcW w:w="2393" w:type="dxa"/>
                  <w:gridSpan w:val="2"/>
                </w:tcPr>
                <w:p w:rsidR="00702016" w:rsidRPr="00890707" w:rsidRDefault="00702016" w:rsidP="00270BD0">
                  <w:pPr>
                    <w:spacing w:before="80" w:after="80"/>
                    <w:jc w:val="both"/>
                  </w:pPr>
                  <w:r w:rsidRPr="00890707">
                    <w:t>K. Stabiņš</w:t>
                  </w:r>
                </w:p>
              </w:tc>
              <w:tc>
                <w:tcPr>
                  <w:tcW w:w="4580" w:type="dxa"/>
                </w:tcPr>
                <w:p w:rsidR="00702016" w:rsidRPr="00890707" w:rsidRDefault="00702016" w:rsidP="00270BD0">
                  <w:pPr>
                    <w:spacing w:before="80" w:after="80"/>
                    <w:ind w:left="150"/>
                    <w:jc w:val="both"/>
                  </w:pPr>
                  <w:r w:rsidRPr="00890707">
                    <w:t>Latvijas Republikas Pastāvīgās pārstāvniecības ES trešais sekretārs.</w:t>
                  </w:r>
                </w:p>
              </w:tc>
            </w:tr>
          </w:tbl>
          <w:p w:rsidR="00702016" w:rsidRPr="00890707" w:rsidRDefault="00702016" w:rsidP="00270BD0">
            <w:pPr>
              <w:spacing w:before="80"/>
              <w:jc w:val="both"/>
              <w:rPr>
                <w:b/>
              </w:rPr>
            </w:pPr>
          </w:p>
        </w:tc>
        <w:tc>
          <w:tcPr>
            <w:tcW w:w="1430" w:type="dxa"/>
            <w:gridSpan w:val="2"/>
            <w:shd w:val="clear" w:color="auto" w:fill="auto"/>
          </w:tcPr>
          <w:p w:rsidR="00702016" w:rsidRPr="00890707" w:rsidRDefault="00702016" w:rsidP="00270BD0">
            <w:pPr>
              <w:spacing w:before="80"/>
              <w:jc w:val="both"/>
              <w:rPr>
                <w:b/>
              </w:rPr>
            </w:pPr>
          </w:p>
        </w:tc>
      </w:tr>
      <w:tr w:rsidR="00890707" w:rsidRPr="00890707" w:rsidTr="00270BD0">
        <w:trPr>
          <w:gridBefore w:val="1"/>
          <w:wBefore w:w="187" w:type="dxa"/>
          <w:trHeight w:val="677"/>
        </w:trPr>
        <w:tc>
          <w:tcPr>
            <w:tcW w:w="9778" w:type="dxa"/>
            <w:gridSpan w:val="2"/>
          </w:tcPr>
          <w:p w:rsidR="00702016" w:rsidRPr="00890707" w:rsidRDefault="00702016" w:rsidP="00270BD0">
            <w:pPr>
              <w:spacing w:before="80"/>
              <w:jc w:val="both"/>
              <w:rPr>
                <w:b/>
              </w:rPr>
            </w:pPr>
          </w:p>
        </w:tc>
        <w:tc>
          <w:tcPr>
            <w:tcW w:w="1425" w:type="dxa"/>
            <w:gridSpan w:val="2"/>
          </w:tcPr>
          <w:p w:rsidR="00702016" w:rsidRPr="00890707" w:rsidRDefault="00702016" w:rsidP="00270BD0">
            <w:pPr>
              <w:spacing w:before="80"/>
              <w:jc w:val="both"/>
              <w:rPr>
                <w:b/>
              </w:rPr>
            </w:pPr>
          </w:p>
        </w:tc>
      </w:tr>
    </w:tbl>
    <w:p w:rsidR="00702016" w:rsidRPr="00890707" w:rsidRDefault="00702016" w:rsidP="00702016">
      <w:pPr>
        <w:tabs>
          <w:tab w:val="right" w:pos="9071"/>
        </w:tabs>
        <w:spacing w:before="80"/>
      </w:pPr>
      <w:r w:rsidRPr="00890707">
        <w:t>Iesniedzējs: ārlietu ministrs</w:t>
      </w:r>
      <w:r w:rsidRPr="00890707">
        <w:tab/>
        <w:t>E. Rinkēvičs</w:t>
      </w:r>
    </w:p>
    <w:p w:rsidR="00702016" w:rsidRPr="00890707" w:rsidRDefault="00702016" w:rsidP="00702016">
      <w:pPr>
        <w:tabs>
          <w:tab w:val="right" w:pos="9071"/>
        </w:tabs>
        <w:spacing w:before="80"/>
      </w:pPr>
    </w:p>
    <w:p w:rsidR="00702016" w:rsidRPr="00890707" w:rsidRDefault="00702016" w:rsidP="00702016">
      <w:pPr>
        <w:tabs>
          <w:tab w:val="right" w:pos="9071"/>
        </w:tabs>
        <w:spacing w:before="80"/>
      </w:pPr>
      <w:r w:rsidRPr="00890707">
        <w:t xml:space="preserve">Vīza: valsts sekretārs </w:t>
      </w:r>
      <w:r w:rsidRPr="00890707">
        <w:tab/>
        <w:t>A.Pelšs</w:t>
      </w:r>
    </w:p>
    <w:p w:rsidR="00702016" w:rsidRPr="00890707" w:rsidRDefault="00702016" w:rsidP="00702016">
      <w:pPr>
        <w:tabs>
          <w:tab w:val="left" w:pos="180"/>
        </w:tabs>
        <w:rPr>
          <w:bCs/>
          <w:sz w:val="20"/>
          <w:szCs w:val="20"/>
        </w:rPr>
      </w:pPr>
    </w:p>
    <w:p w:rsidR="00702016" w:rsidRPr="00890707" w:rsidRDefault="00702016" w:rsidP="00702016">
      <w:pPr>
        <w:tabs>
          <w:tab w:val="left" w:pos="180"/>
        </w:tabs>
        <w:rPr>
          <w:bCs/>
          <w:sz w:val="20"/>
          <w:szCs w:val="20"/>
        </w:rPr>
      </w:pPr>
    </w:p>
    <w:p w:rsidR="00702016" w:rsidRPr="00890707" w:rsidRDefault="00702016" w:rsidP="00702016">
      <w:pPr>
        <w:tabs>
          <w:tab w:val="left" w:pos="180"/>
        </w:tabs>
        <w:rPr>
          <w:bCs/>
          <w:sz w:val="20"/>
          <w:szCs w:val="20"/>
        </w:rPr>
      </w:pPr>
      <w:r w:rsidRPr="00890707">
        <w:rPr>
          <w:bCs/>
          <w:sz w:val="20"/>
          <w:szCs w:val="20"/>
        </w:rPr>
        <w:t>Gints Zadraks, 67016240</w:t>
      </w:r>
    </w:p>
    <w:p w:rsidR="0052675C" w:rsidRPr="00890707" w:rsidRDefault="00702016" w:rsidP="00890707">
      <w:pPr>
        <w:tabs>
          <w:tab w:val="left" w:pos="180"/>
        </w:tabs>
      </w:pPr>
      <w:hyperlink r:id="rId6" w:history="1">
        <w:r w:rsidRPr="00890707">
          <w:rPr>
            <w:rStyle w:val="Hyperlink"/>
            <w:bCs/>
            <w:color w:val="auto"/>
            <w:sz w:val="20"/>
            <w:szCs w:val="20"/>
          </w:rPr>
          <w:t>gints.zadraks@mfa.gov.lv</w:t>
        </w:r>
      </w:hyperlink>
    </w:p>
    <w:sectPr w:rsidR="0052675C" w:rsidRPr="00890707" w:rsidSect="00890707">
      <w:headerReference w:type="even" r:id="rId7"/>
      <w:footerReference w:type="even" r:id="rId8"/>
      <w:footerReference w:type="default" r:id="rId9"/>
      <w:headerReference w:type="first" r:id="rId10"/>
      <w:footerReference w:type="first" r:id="rId11"/>
      <w:pgSz w:w="11907" w:h="16839" w:code="9"/>
      <w:pgMar w:top="1134" w:right="1134" w:bottom="1080" w:left="1418" w:header="425"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EE" w:rsidRDefault="00052BEE" w:rsidP="00702016">
      <w:r>
        <w:separator/>
      </w:r>
    </w:p>
  </w:endnote>
  <w:endnote w:type="continuationSeparator" w:id="0">
    <w:p w:rsidR="00052BEE" w:rsidRDefault="00052BEE" w:rsidP="0070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2E" w:rsidRDefault="00052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2712E" w:rsidRDefault="00890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48" w:rsidRPr="00374227" w:rsidRDefault="00052BEE" w:rsidP="00570954">
    <w:pPr>
      <w:spacing w:line="276" w:lineRule="auto"/>
      <w:rPr>
        <w:b/>
        <w:bCs/>
        <w:kern w:val="2"/>
        <w:sz w:val="20"/>
        <w:szCs w:val="20"/>
      </w:rPr>
    </w:pPr>
    <w:r w:rsidRPr="003F787D">
      <w:rPr>
        <w:sz w:val="20"/>
        <w:szCs w:val="20"/>
      </w:rPr>
      <w:t>AMzino_</w:t>
    </w:r>
    <w:r>
      <w:rPr>
        <w:sz w:val="20"/>
        <w:szCs w:val="20"/>
      </w:rPr>
      <w:t>301020</w:t>
    </w:r>
    <w:r w:rsidRPr="003F787D">
      <w:rPr>
        <w:sz w:val="20"/>
        <w:szCs w:val="20"/>
      </w:rPr>
      <w:t>1</w:t>
    </w:r>
    <w:r>
      <w:rPr>
        <w:sz w:val="20"/>
        <w:szCs w:val="20"/>
      </w:rPr>
      <w:t>8</w:t>
    </w:r>
    <w:r w:rsidRPr="003F787D">
      <w:rPr>
        <w:sz w:val="20"/>
        <w:szCs w:val="20"/>
      </w:rPr>
      <w:t>; Informatīvais ziņojums “Par Eiropas Savienības Ārlietu padomes Kopējās tirdzniecības politikas jautājumos sanāksmi 20</w:t>
    </w:r>
    <w:r>
      <w:rPr>
        <w:sz w:val="20"/>
        <w:szCs w:val="20"/>
      </w:rPr>
      <w:t>18</w:t>
    </w:r>
    <w:r w:rsidRPr="003F787D">
      <w:rPr>
        <w:sz w:val="20"/>
        <w:szCs w:val="20"/>
      </w:rPr>
      <w:t xml:space="preserve">. gada </w:t>
    </w:r>
    <w:r>
      <w:rPr>
        <w:sz w:val="20"/>
        <w:szCs w:val="20"/>
      </w:rPr>
      <w:t>9. novembrī</w:t>
    </w:r>
    <w:r w:rsidRPr="003F787D">
      <w:rPr>
        <w:sz w:val="20"/>
        <w:szCs w:val="20"/>
      </w:rPr>
      <w:t>”</w:t>
    </w:r>
  </w:p>
  <w:p w:rsidR="00250988" w:rsidRDefault="00890707" w:rsidP="00B20343">
    <w:pPr>
      <w:pStyle w:val="Footer"/>
      <w:jc w:val="center"/>
      <w:rPr>
        <w:bCs/>
        <w:sz w:val="24"/>
      </w:rPr>
    </w:pPr>
  </w:p>
  <w:p w:rsidR="00B20343" w:rsidRDefault="00052BEE" w:rsidP="00B20343">
    <w:pPr>
      <w:pStyle w:val="Footer"/>
      <w:jc w:val="right"/>
    </w:pPr>
    <w:r w:rsidRPr="00B20343">
      <w:rPr>
        <w:sz w:val="24"/>
      </w:rPr>
      <w:fldChar w:fldCharType="begin"/>
    </w:r>
    <w:r w:rsidRPr="00B20343">
      <w:rPr>
        <w:sz w:val="24"/>
      </w:rPr>
      <w:instrText xml:space="preserve"> PAGE   \* MERGEFORMAT </w:instrText>
    </w:r>
    <w:r w:rsidRPr="00B20343">
      <w:rPr>
        <w:sz w:val="24"/>
      </w:rPr>
      <w:fldChar w:fldCharType="separate"/>
    </w:r>
    <w:r w:rsidR="00890707">
      <w:rPr>
        <w:noProof/>
        <w:sz w:val="24"/>
      </w:rPr>
      <w:t>7</w:t>
    </w:r>
    <w:r w:rsidRPr="00B20343">
      <w:rPr>
        <w:sz w:val="24"/>
      </w:rPr>
      <w:fldChar w:fldCharType="end"/>
    </w:r>
    <w:r w:rsidRPr="00B20343">
      <w:rPr>
        <w:sz w:val="24"/>
      </w:rPr>
      <w:t>-</w:t>
    </w:r>
    <w:r w:rsidRPr="00B20343">
      <w:rPr>
        <w:sz w:val="24"/>
      </w:rPr>
      <w:fldChar w:fldCharType="begin"/>
    </w:r>
    <w:r w:rsidRPr="00B20343">
      <w:rPr>
        <w:sz w:val="24"/>
      </w:rPr>
      <w:instrText xml:space="preserve"> NUMPAGES  \* Arabic  \* MERGEFORMAT </w:instrText>
    </w:r>
    <w:r w:rsidRPr="00B20343">
      <w:rPr>
        <w:sz w:val="24"/>
      </w:rPr>
      <w:fldChar w:fldCharType="separate"/>
    </w:r>
    <w:r w:rsidR="00890707">
      <w:rPr>
        <w:noProof/>
        <w:sz w:val="24"/>
      </w:rPr>
      <w:t>7</w:t>
    </w:r>
    <w:r w:rsidRPr="00B2034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6" w:rsidRDefault="00890707" w:rsidP="00647518">
    <w:pPr>
      <w:pStyle w:val="Footer"/>
      <w:jc w:val="both"/>
    </w:pPr>
  </w:p>
  <w:p w:rsidR="00647518" w:rsidRDefault="00052BEE" w:rsidP="00647518">
    <w:pPr>
      <w:pStyle w:val="Footer"/>
      <w:jc w:val="both"/>
      <w:rPr>
        <w:iCs/>
        <w:sz w:val="28"/>
        <w:szCs w:val="28"/>
      </w:rPr>
    </w:pPr>
    <w:r w:rsidRPr="00647518">
      <w:t>AMzino_</w:t>
    </w:r>
    <w:r>
      <w:t>130114</w:t>
    </w:r>
    <w:r w:rsidRPr="00647518">
      <w:t xml:space="preserve">; </w:t>
    </w:r>
    <w:r w:rsidRPr="00AD544F">
      <w:rPr>
        <w:iCs/>
      </w:rPr>
      <w:t>Par Latvijas nacionālo pozīciju apstiprināšanu Eiropas Savienības Ārlietu padomes 201</w:t>
    </w:r>
    <w:r>
      <w:rPr>
        <w:iCs/>
      </w:rPr>
      <w:t>4</w:t>
    </w:r>
    <w:r w:rsidRPr="00AD544F">
      <w:rPr>
        <w:iCs/>
      </w:rPr>
      <w:t xml:space="preserve">.gada </w:t>
    </w:r>
    <w:r>
      <w:rPr>
        <w:iCs/>
      </w:rPr>
      <w:t>20.janvāra</w:t>
    </w:r>
    <w:r w:rsidRPr="00AD544F">
      <w:rPr>
        <w:iCs/>
      </w:rPr>
      <w:t xml:space="preserve"> sanāksmei</w:t>
    </w:r>
  </w:p>
  <w:p w:rsidR="00AD544F" w:rsidRPr="00647518" w:rsidRDefault="00890707" w:rsidP="00647518">
    <w:pPr>
      <w:pStyle w:val="Footer"/>
      <w:jc w:val="both"/>
    </w:pPr>
  </w:p>
  <w:p w:rsidR="00647518" w:rsidRPr="00647518" w:rsidRDefault="00052BEE">
    <w:pPr>
      <w:pStyle w:val="Footer"/>
      <w:jc w:val="center"/>
    </w:pPr>
    <w:r w:rsidRPr="00647518">
      <w:fldChar w:fldCharType="begin"/>
    </w:r>
    <w:r w:rsidRPr="00647518">
      <w:instrText xml:space="preserve"> PAGE   \* MERGEFORMAT </w:instrText>
    </w:r>
    <w:r w:rsidRPr="00647518">
      <w:fldChar w:fldCharType="separate"/>
    </w:r>
    <w:r>
      <w:rPr>
        <w:noProof/>
      </w:rPr>
      <w:t>1</w:t>
    </w:r>
    <w:r w:rsidRPr="00647518">
      <w:rPr>
        <w:noProof/>
      </w:rPr>
      <w:fldChar w:fldCharType="end"/>
    </w:r>
  </w:p>
  <w:p w:rsidR="0002712E" w:rsidRPr="00647518" w:rsidRDefault="0089070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EE" w:rsidRDefault="00052BEE" w:rsidP="00702016">
      <w:r>
        <w:separator/>
      </w:r>
    </w:p>
  </w:footnote>
  <w:footnote w:type="continuationSeparator" w:id="0">
    <w:p w:rsidR="00052BEE" w:rsidRDefault="00052BEE" w:rsidP="00702016">
      <w:r>
        <w:continuationSeparator/>
      </w:r>
    </w:p>
  </w:footnote>
  <w:footnote w:id="1">
    <w:p w:rsidR="00702016" w:rsidRDefault="00702016" w:rsidP="00702016">
      <w:pPr>
        <w:pStyle w:val="FootnoteText"/>
        <w:jc w:val="both"/>
      </w:pPr>
      <w:r>
        <w:rPr>
          <w:rStyle w:val="FootnoteReference"/>
        </w:rPr>
        <w:footnoteRef/>
      </w:r>
      <w:r>
        <w:t xml:space="preserve"> Priekšlikums Eiropas Parlamenta un Padomes Regulai ar ko īsteno aizsardzības pasākumu klauzulas un citus mehānismus, kuri ļauj pagaidu kārtā atcelt preferences konkrētos nolīgumos, kas noslēgti starp Eiropas Savienību un konkrētām </w:t>
      </w:r>
      <w:proofErr w:type="spellStart"/>
      <w:r>
        <w:t>trešām</w:t>
      </w:r>
      <w:proofErr w:type="spellEnd"/>
      <w:r>
        <w:t xml:space="preserve"> valstīm</w:t>
      </w:r>
    </w:p>
  </w:footnote>
  <w:footnote w:id="2">
    <w:p w:rsidR="00702016" w:rsidRDefault="00702016" w:rsidP="00702016">
      <w:pPr>
        <w:pStyle w:val="FootnoteText"/>
      </w:pPr>
      <w:r>
        <w:rPr>
          <w:rStyle w:val="FootnoteReference"/>
        </w:rPr>
        <w:footnoteRef/>
      </w:r>
      <w:r>
        <w:t xml:space="preserve"> Eiropadomes 2018. gada 28. jūnija secinājumu 16. rindkopa </w:t>
      </w:r>
      <w:hyperlink r:id="rId1" w:history="1">
        <w:r>
          <w:rPr>
            <w:rStyle w:val="Hyperlink"/>
          </w:rPr>
          <w:t>EUCO 9/18</w:t>
        </w:r>
      </w:hyperlink>
    </w:p>
  </w:footnote>
  <w:footnote w:id="3">
    <w:p w:rsidR="00702016" w:rsidRDefault="00702016" w:rsidP="00702016">
      <w:pPr>
        <w:pStyle w:val="FootnoteText"/>
      </w:pPr>
      <w:r>
        <w:rPr>
          <w:rStyle w:val="FootnoteReference"/>
        </w:rPr>
        <w:footnoteRef/>
      </w:r>
      <w:r>
        <w:t xml:space="preserve"> </w:t>
      </w:r>
      <w:hyperlink r:id="rId2" w:history="1">
        <w:r>
          <w:rPr>
            <w:rStyle w:val="Hyperlink"/>
          </w:rPr>
          <w:t>http://trade.ec.europa.eu/doclib/html/157331.htm</w:t>
        </w:r>
      </w:hyperlink>
      <w:r>
        <w:t xml:space="preserve"> </w:t>
      </w:r>
    </w:p>
  </w:footnote>
  <w:footnote w:id="4">
    <w:p w:rsidR="00702016" w:rsidRDefault="00702016" w:rsidP="00702016">
      <w:pPr>
        <w:pStyle w:val="FootnoteText"/>
      </w:pPr>
      <w:r>
        <w:rPr>
          <w:rStyle w:val="FootnoteReference"/>
        </w:rPr>
        <w:footnoteRef/>
      </w:r>
      <w:r>
        <w:t xml:space="preserve"> Sanāksmē piedalījās </w:t>
      </w:r>
      <w:r w:rsidRPr="0067213B">
        <w:t>Austrālija, Brazīlija, Kanāda, Čīle, ES, Japāna, Kenija, Dienvidkoreja, Meksika, Jaunzēlande, Norvēģija, Singapūra un Šveice</w:t>
      </w:r>
      <w:r>
        <w:t>.</w:t>
      </w:r>
    </w:p>
  </w:footnote>
  <w:footnote w:id="5">
    <w:p w:rsidR="00702016" w:rsidRDefault="00702016" w:rsidP="00702016">
      <w:pPr>
        <w:pStyle w:val="FootnoteText"/>
      </w:pPr>
      <w:r>
        <w:rPr>
          <w:rStyle w:val="FootnoteReference"/>
        </w:rPr>
        <w:footnoteRef/>
      </w:r>
      <w:r>
        <w:t xml:space="preserve"> </w:t>
      </w:r>
      <w:hyperlink r:id="rId3" w:history="1">
        <w:proofErr w:type="spellStart"/>
        <w:r w:rsidRPr="002A191D">
          <w:rPr>
            <w:rStyle w:val="Hyperlink"/>
          </w:rPr>
          <w:t>Joint</w:t>
        </w:r>
        <w:proofErr w:type="spellEnd"/>
        <w:r w:rsidRPr="002A191D">
          <w:rPr>
            <w:rStyle w:val="Hyperlink"/>
          </w:rPr>
          <w:t xml:space="preserve"> </w:t>
        </w:r>
        <w:proofErr w:type="spellStart"/>
        <w:r w:rsidRPr="002A191D">
          <w:rPr>
            <w:rStyle w:val="Hyperlink"/>
          </w:rPr>
          <w:t>Communiqué</w:t>
        </w:r>
        <w:proofErr w:type="spellEnd"/>
        <w:r w:rsidRPr="002A191D">
          <w:rPr>
            <w:rStyle w:val="Hyperlink"/>
          </w:rPr>
          <w:t xml:space="preserve"> </w:t>
        </w:r>
        <w:proofErr w:type="spellStart"/>
        <w:r w:rsidRPr="002A191D">
          <w:rPr>
            <w:rStyle w:val="Hyperlink"/>
          </w:rPr>
          <w:t>of</w:t>
        </w:r>
        <w:proofErr w:type="spellEnd"/>
        <w:r w:rsidRPr="002A191D">
          <w:rPr>
            <w:rStyle w:val="Hyperlink"/>
          </w:rPr>
          <w:t xml:space="preserve"> </w:t>
        </w:r>
        <w:proofErr w:type="spellStart"/>
        <w:r w:rsidRPr="002A191D">
          <w:rPr>
            <w:rStyle w:val="Hyperlink"/>
          </w:rPr>
          <w:t>the</w:t>
        </w:r>
        <w:proofErr w:type="spellEnd"/>
        <w:r w:rsidRPr="002A191D">
          <w:rPr>
            <w:rStyle w:val="Hyperlink"/>
          </w:rPr>
          <w:t xml:space="preserve"> </w:t>
        </w:r>
        <w:proofErr w:type="spellStart"/>
        <w:r w:rsidRPr="002A191D">
          <w:rPr>
            <w:rStyle w:val="Hyperlink"/>
          </w:rPr>
          <w:t>Ottawa</w:t>
        </w:r>
        <w:proofErr w:type="spellEnd"/>
        <w:r w:rsidRPr="002A191D">
          <w:rPr>
            <w:rStyle w:val="Hyperlink"/>
          </w:rPr>
          <w:t xml:space="preserve"> </w:t>
        </w:r>
        <w:proofErr w:type="spellStart"/>
        <w:r w:rsidRPr="002A191D">
          <w:rPr>
            <w:rStyle w:val="Hyperlink"/>
          </w:rPr>
          <w:t>Ministerial</w:t>
        </w:r>
        <w:proofErr w:type="spellEnd"/>
        <w:r w:rsidRPr="002A191D">
          <w:rPr>
            <w:rStyle w:val="Hyperlink"/>
          </w:rPr>
          <w:t xml:space="preserve"> </w:t>
        </w:r>
        <w:proofErr w:type="spellStart"/>
        <w:r w:rsidRPr="002A191D">
          <w:rPr>
            <w:rStyle w:val="Hyperlink"/>
          </w:rPr>
          <w:t>on</w:t>
        </w:r>
        <w:proofErr w:type="spellEnd"/>
        <w:r w:rsidRPr="002A191D">
          <w:rPr>
            <w:rStyle w:val="Hyperlink"/>
          </w:rPr>
          <w:t xml:space="preserve"> WTO </w:t>
        </w:r>
        <w:proofErr w:type="spellStart"/>
        <w:r w:rsidRPr="002A191D">
          <w:rPr>
            <w:rStyle w:val="Hyperlink"/>
          </w:rPr>
          <w:t>Reform</w:t>
        </w:r>
        <w:proofErr w:type="spellEnd"/>
      </w:hyperlink>
    </w:p>
  </w:footnote>
  <w:footnote w:id="6">
    <w:p w:rsidR="00702016" w:rsidRDefault="00702016" w:rsidP="00702016">
      <w:pPr>
        <w:pStyle w:val="FootnoteText"/>
      </w:pPr>
      <w:r>
        <w:rPr>
          <w:rStyle w:val="FootnoteReference"/>
        </w:rPr>
        <w:footnoteRef/>
      </w:r>
      <w:r>
        <w:t xml:space="preserve"> </w:t>
      </w:r>
      <w:r w:rsidRPr="006179E9">
        <w:t>Argentīna, Brazīlija, Paragvaja un Urugvaja; Venecuēla sarunās piedalās tikai kā novērotājs</w:t>
      </w:r>
    </w:p>
  </w:footnote>
  <w:footnote w:id="7">
    <w:p w:rsidR="00702016" w:rsidRDefault="00702016" w:rsidP="00702016">
      <w:pPr>
        <w:pStyle w:val="FootnoteText"/>
      </w:pPr>
      <w:r>
        <w:rPr>
          <w:rStyle w:val="FootnoteReference"/>
        </w:rPr>
        <w:footnoteRef/>
      </w:r>
      <w:r>
        <w:t xml:space="preserve"> </w:t>
      </w:r>
      <w:hyperlink r:id="rId4" w:history="1">
        <w:r w:rsidRPr="00A65411">
          <w:rPr>
            <w:rStyle w:val="Hyperlink"/>
          </w:rPr>
          <w:t>Kopīgs ASV un Eiropas Savienības paziņojums pēc Komisijas priekšsēdētāja Junkera vizītes Baltajā namā</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2E" w:rsidRDefault="00052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2712E" w:rsidRDefault="008907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2E" w:rsidRDefault="00890707">
    <w:pPr>
      <w:pStyle w:val="Header"/>
      <w:jc w:val="center"/>
      <w:rPr>
        <w:b/>
        <w:bCs/>
        <w: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16"/>
    <w:rsid w:val="00052BEE"/>
    <w:rsid w:val="00264127"/>
    <w:rsid w:val="002832A0"/>
    <w:rsid w:val="00442F1A"/>
    <w:rsid w:val="00484F9A"/>
    <w:rsid w:val="0052675C"/>
    <w:rsid w:val="00557DDF"/>
    <w:rsid w:val="005E5BB8"/>
    <w:rsid w:val="0065624A"/>
    <w:rsid w:val="00657E67"/>
    <w:rsid w:val="006E0961"/>
    <w:rsid w:val="00702016"/>
    <w:rsid w:val="00830B81"/>
    <w:rsid w:val="00890707"/>
    <w:rsid w:val="00967C76"/>
    <w:rsid w:val="00F6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7F4C8-7890-4BD5-8EEB-6AD58784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16"/>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2016"/>
    <w:rPr>
      <w:color w:val="0000FF"/>
      <w:u w:val="single"/>
    </w:rPr>
  </w:style>
  <w:style w:type="paragraph" w:styleId="Header">
    <w:name w:val="header"/>
    <w:basedOn w:val="Normal"/>
    <w:link w:val="HeaderChar"/>
    <w:uiPriority w:val="99"/>
    <w:rsid w:val="00702016"/>
    <w:pPr>
      <w:tabs>
        <w:tab w:val="center" w:pos="4320"/>
        <w:tab w:val="right" w:pos="8640"/>
      </w:tabs>
    </w:pPr>
    <w:rPr>
      <w:sz w:val="20"/>
      <w:szCs w:val="20"/>
    </w:rPr>
  </w:style>
  <w:style w:type="character" w:customStyle="1" w:styleId="HeaderChar">
    <w:name w:val="Header Char"/>
    <w:basedOn w:val="DefaultParagraphFont"/>
    <w:link w:val="Header"/>
    <w:uiPriority w:val="99"/>
    <w:rsid w:val="00702016"/>
    <w:rPr>
      <w:rFonts w:ascii="Times New Roman" w:eastAsia="Times New Roman" w:hAnsi="Times New Roman" w:cs="Times New Roman"/>
      <w:sz w:val="20"/>
      <w:szCs w:val="20"/>
      <w:lang w:val="lv-LV"/>
    </w:rPr>
  </w:style>
  <w:style w:type="character" w:styleId="PageNumber">
    <w:name w:val="page number"/>
    <w:basedOn w:val="DefaultParagraphFont"/>
    <w:rsid w:val="00702016"/>
  </w:style>
  <w:style w:type="paragraph" w:styleId="Footer">
    <w:name w:val="footer"/>
    <w:basedOn w:val="Normal"/>
    <w:link w:val="FooterChar"/>
    <w:uiPriority w:val="99"/>
    <w:rsid w:val="00702016"/>
    <w:pPr>
      <w:tabs>
        <w:tab w:val="center" w:pos="4320"/>
        <w:tab w:val="right" w:pos="8640"/>
      </w:tabs>
    </w:pPr>
    <w:rPr>
      <w:sz w:val="20"/>
      <w:szCs w:val="20"/>
    </w:rPr>
  </w:style>
  <w:style w:type="character" w:customStyle="1" w:styleId="FooterChar">
    <w:name w:val="Footer Char"/>
    <w:basedOn w:val="DefaultParagraphFont"/>
    <w:link w:val="Footer"/>
    <w:uiPriority w:val="99"/>
    <w:rsid w:val="00702016"/>
    <w:rPr>
      <w:rFonts w:ascii="Times New Roman" w:eastAsia="Times New Roman" w:hAnsi="Times New Roman" w:cs="Times New Roman"/>
      <w:sz w:val="20"/>
      <w:szCs w:val="20"/>
      <w:lang w:val="lv-LV"/>
    </w:rPr>
  </w:style>
  <w:style w:type="paragraph" w:styleId="NoSpacing">
    <w:name w:val="No Spacing"/>
    <w:uiPriority w:val="1"/>
    <w:qFormat/>
    <w:rsid w:val="00702016"/>
    <w:pPr>
      <w:spacing w:after="0" w:line="240" w:lineRule="auto"/>
    </w:pPr>
    <w:rPr>
      <w:rFonts w:ascii="Calibri" w:eastAsia="Calibri" w:hAnsi="Calibri" w:cs="Times New Roman"/>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link w:val="FootnotesymbolCarZchn"/>
    <w:uiPriority w:val="99"/>
    <w:qFormat/>
    <w:rsid w:val="00702016"/>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qFormat/>
    <w:rsid w:val="00702016"/>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702016"/>
    <w:rPr>
      <w:rFonts w:ascii="Times New Roman" w:eastAsia="Times New Roman" w:hAnsi="Times New Roman" w:cs="Times New Roman"/>
      <w:sz w:val="20"/>
      <w:szCs w:val="20"/>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02016"/>
    <w:pPr>
      <w:spacing w:after="160" w:line="240" w:lineRule="exact"/>
      <w:jc w:val="both"/>
    </w:pPr>
    <w:rPr>
      <w:rFonts w:asciiTheme="minorHAnsi" w:eastAsiaTheme="minorHAnsi" w:hAnsiTheme="minorHAnsi" w:cstheme="minorBidi"/>
      <w:sz w:val="22"/>
      <w:szCs w:val="22"/>
      <w:vertAlign w:val="superscript"/>
      <w:lang w:val="en-US"/>
    </w:rPr>
  </w:style>
  <w:style w:type="paragraph" w:styleId="BalloonText">
    <w:name w:val="Balloon Text"/>
    <w:basedOn w:val="Normal"/>
    <w:link w:val="BalloonTextChar"/>
    <w:uiPriority w:val="99"/>
    <w:semiHidden/>
    <w:unhideWhenUsed/>
    <w:rsid w:val="00442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1A"/>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ts.zadraks@mfa.gov.l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global-affairs/news/2018/10/joint-communique-of-the-ottawa-ministerial-on-wto-reform.html" TargetMode="External"/><Relationship Id="rId2" Type="http://schemas.openxmlformats.org/officeDocument/2006/relationships/hyperlink" Target="http://trade.ec.europa.eu/doclib/html/157331.htm" TargetMode="External"/><Relationship Id="rId1" Type="http://schemas.openxmlformats.org/officeDocument/2006/relationships/hyperlink" Target="http://www.consilium.europa.eu/media/35949/28-euco-final-conclusions-lv.pdf" TargetMode="External"/><Relationship Id="rId4" Type="http://schemas.openxmlformats.org/officeDocument/2006/relationships/hyperlink" Target="http://europa.eu/rapid/press-release_STATEMENT-18-4687_l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17014</Words>
  <Characters>9699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3</cp:revision>
  <dcterms:created xsi:type="dcterms:W3CDTF">2018-10-31T12:27:00Z</dcterms:created>
  <dcterms:modified xsi:type="dcterms:W3CDTF">2018-10-31T12:32:00Z</dcterms:modified>
</cp:coreProperties>
</file>