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B559D5" w:rsidRPr="003338DA" w:rsidP="00B559D5" w14:paraId="0DE03F95" w14:textId="0397A1BB">
      <w:pPr>
        <w:spacing w:after="120"/>
        <w:jc w:val="center"/>
        <w:rPr>
          <w:b/>
          <w:bCs/>
          <w:sz w:val="28"/>
          <w:szCs w:val="28"/>
          <w:lang w:eastAsia="en-US"/>
        </w:rPr>
      </w:pPr>
      <w:r w:rsidRPr="003338DA">
        <w:rPr>
          <w:b/>
          <w:bCs/>
          <w:sz w:val="28"/>
          <w:szCs w:val="28"/>
        </w:rPr>
        <w:t xml:space="preserve">Ministru kabineta rīkojuma projekta </w:t>
      </w:r>
      <w:r w:rsidRPr="003338DA" w:rsidR="003338DA">
        <w:rPr>
          <w:b/>
          <w:bCs/>
          <w:sz w:val="28"/>
          <w:szCs w:val="28"/>
        </w:rPr>
        <w:t>„Par informācijas sabiedrības attīstības pamatnostādņu ieviešanu publiskās pārvaldes informācijas sistēmu jomā (</w:t>
      </w:r>
      <w:r w:rsidRPr="003338DA" w:rsidR="003338DA">
        <w:rPr>
          <w:b/>
          <w:bCs/>
          <w:sz w:val="28"/>
          <w:szCs w:val="28"/>
        </w:rPr>
        <w:t>mērķarhitektūras</w:t>
      </w:r>
      <w:r w:rsidRPr="003338DA" w:rsidR="003338DA">
        <w:rPr>
          <w:b/>
          <w:bCs/>
          <w:sz w:val="28"/>
          <w:szCs w:val="28"/>
        </w:rPr>
        <w:t xml:space="preserve"> 41.0.versija)”</w:t>
      </w:r>
      <w:r w:rsidR="001114E0">
        <w:rPr>
          <w:b/>
          <w:bCs/>
          <w:sz w:val="28"/>
          <w:szCs w:val="28"/>
        </w:rPr>
        <w:t xml:space="preserve"> </w:t>
      </w:r>
      <w:r w:rsidRPr="003338DA">
        <w:rPr>
          <w:b/>
          <w:bCs/>
          <w:sz w:val="28"/>
          <w:szCs w:val="28"/>
        </w:rPr>
        <w:t>sākotnējās</w:t>
      </w:r>
      <w:r w:rsidRPr="003338DA">
        <w:rPr>
          <w:b/>
          <w:bCs/>
          <w:sz w:val="28"/>
          <w:szCs w:val="28"/>
          <w:lang w:eastAsia="en-US"/>
        </w:rPr>
        <w:t xml:space="preserve"> ietekmes novērtējuma ziņojums (anotācija) </w:t>
      </w:r>
    </w:p>
    <w:tbl>
      <w:tblPr>
        <w:tblW w:w="54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530"/>
        <w:gridCol w:w="6146"/>
      </w:tblGrid>
      <w:tr w14:paraId="2033DA32" w14:textId="77777777" w:rsidTr="00B559D5">
        <w:tblPrEx>
          <w:tblW w:w="54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rsidR="00B559D5" w:rsidRPr="00836FE4" w:rsidP="00262DE5" w14:paraId="6EF3F611" w14:textId="77777777">
            <w:pPr>
              <w:jc w:val="center"/>
              <w:rPr>
                <w:b/>
                <w:bCs/>
                <w:iCs/>
                <w:color w:val="000000" w:themeColor="text1"/>
                <w:lang w:eastAsia="lv-LV"/>
              </w:rPr>
            </w:pPr>
            <w:r w:rsidRPr="00836FE4">
              <w:rPr>
                <w:b/>
                <w:bCs/>
                <w:iCs/>
                <w:color w:val="000000" w:themeColor="text1"/>
                <w:lang w:eastAsia="lv-LV"/>
              </w:rPr>
              <w:t>Tiesību akta projekta anotācijas kopsavilkums</w:t>
            </w:r>
          </w:p>
        </w:tc>
      </w:tr>
      <w:tr w14:paraId="4E3A55C6" w14:textId="77777777" w:rsidTr="00B559D5">
        <w:tblPrEx>
          <w:tblW w:w="5428" w:type="pct"/>
          <w:tblCellSpacing w:w="15" w:type="dxa"/>
          <w:tblCellMar>
            <w:top w:w="30" w:type="dxa"/>
            <w:left w:w="30" w:type="dxa"/>
            <w:bottom w:w="30" w:type="dxa"/>
            <w:right w:w="30" w:type="dxa"/>
          </w:tblCellMar>
          <w:tblLook w:val="04A0"/>
        </w:tblPrEx>
        <w:trPr>
          <w:tblCellSpacing w:w="15" w:type="dxa"/>
        </w:trPr>
        <w:tc>
          <w:tcPr>
            <w:tcW w:w="1807" w:type="pct"/>
            <w:tcBorders>
              <w:top w:val="outset" w:sz="6" w:space="0" w:color="auto"/>
              <w:left w:val="outset" w:sz="6" w:space="0" w:color="auto"/>
              <w:bottom w:val="outset" w:sz="6" w:space="0" w:color="auto"/>
              <w:right w:val="outset" w:sz="6" w:space="0" w:color="auto"/>
            </w:tcBorders>
            <w:hideMark/>
          </w:tcPr>
          <w:p w:rsidR="00B559D5" w:rsidRPr="00836FE4" w:rsidP="00262DE5" w14:paraId="004678EC" w14:textId="77777777">
            <w:pPr>
              <w:rPr>
                <w:iCs/>
                <w:color w:val="000000" w:themeColor="text1"/>
                <w:lang w:eastAsia="lv-LV"/>
              </w:rPr>
            </w:pPr>
            <w:r w:rsidRPr="00836FE4">
              <w:rPr>
                <w:iCs/>
                <w:color w:val="000000" w:themeColor="text1"/>
                <w:lang w:eastAsia="lv-LV"/>
              </w:rPr>
              <w:t>Mērķis, risinājums un projekta spēkā stāšanās laiks (500 zīmes bez atstarpēm)</w:t>
            </w:r>
          </w:p>
        </w:tc>
        <w:tc>
          <w:tcPr>
            <w:tcW w:w="3148" w:type="pct"/>
            <w:tcBorders>
              <w:top w:val="outset" w:sz="6" w:space="0" w:color="auto"/>
              <w:left w:val="outset" w:sz="6" w:space="0" w:color="auto"/>
              <w:bottom w:val="outset" w:sz="6" w:space="0" w:color="auto"/>
              <w:right w:val="outset" w:sz="6" w:space="0" w:color="auto"/>
            </w:tcBorders>
            <w:hideMark/>
          </w:tcPr>
          <w:p w:rsidR="00B559D5" w:rsidRPr="00836FE4" w:rsidP="00262DE5" w14:paraId="2A99B786" w14:textId="4985C5D5">
            <w:pPr>
              <w:pStyle w:val="VPTitle"/>
              <w:spacing w:before="0" w:after="120" w:line="240" w:lineRule="auto"/>
              <w:jc w:val="both"/>
              <w:rPr>
                <w:sz w:val="24"/>
                <w:szCs w:val="24"/>
              </w:rPr>
            </w:pPr>
            <w:r w:rsidRPr="00836FE4">
              <w:rPr>
                <w:rFonts w:ascii="Times New Roman" w:hAnsi="Times New Roman" w:cs="Times New Roman"/>
                <w:b w:val="0"/>
                <w:bCs w:val="0"/>
                <w:spacing w:val="0"/>
                <w:kern w:val="0"/>
                <w:sz w:val="24"/>
                <w:szCs w:val="24"/>
                <w:lang w:eastAsia="en-US"/>
              </w:rPr>
              <w:t xml:space="preserve">Ar rīkojuma projektu tiek apstiprināts un iekļauts IKT </w:t>
            </w:r>
            <w:r w:rsidRPr="00836FE4">
              <w:rPr>
                <w:rFonts w:ascii="Times New Roman" w:hAnsi="Times New Roman" w:cs="Times New Roman"/>
                <w:b w:val="0"/>
                <w:bCs w:val="0"/>
                <w:spacing w:val="0"/>
                <w:kern w:val="0"/>
                <w:sz w:val="24"/>
                <w:szCs w:val="24"/>
                <w:lang w:eastAsia="en-US"/>
              </w:rPr>
              <w:t>mērķarhitektūrā</w:t>
            </w:r>
            <w:r w:rsidRPr="00836FE4">
              <w:rPr>
                <w:rFonts w:ascii="Times New Roman" w:hAnsi="Times New Roman" w:cs="Times New Roman"/>
                <w:b w:val="0"/>
                <w:bCs w:val="0"/>
                <w:spacing w:val="0"/>
                <w:kern w:val="0"/>
                <w:sz w:val="24"/>
                <w:szCs w:val="24"/>
                <w:lang w:eastAsia="en-US"/>
              </w:rPr>
              <w:t xml:space="preserve"> Centrālās statistikas pārvaldes projekt</w:t>
            </w:r>
            <w:r w:rsidR="003A0953">
              <w:rPr>
                <w:rFonts w:ascii="Times New Roman" w:hAnsi="Times New Roman" w:cs="Times New Roman"/>
                <w:b w:val="0"/>
                <w:bCs w:val="0"/>
                <w:spacing w:val="0"/>
                <w:kern w:val="0"/>
                <w:sz w:val="24"/>
                <w:szCs w:val="24"/>
                <w:lang w:eastAsia="en-US"/>
              </w:rPr>
              <w:t>a aprakst</w:t>
            </w:r>
            <w:r w:rsidRPr="00836FE4">
              <w:rPr>
                <w:rFonts w:ascii="Times New Roman" w:hAnsi="Times New Roman" w:cs="Times New Roman"/>
                <w:b w:val="0"/>
                <w:bCs w:val="0"/>
                <w:spacing w:val="0"/>
                <w:kern w:val="0"/>
                <w:sz w:val="24"/>
                <w:szCs w:val="24"/>
                <w:lang w:eastAsia="en-US"/>
              </w:rPr>
              <w:t xml:space="preserve">s “Ārējās tirdzniecības statistikas datu apstrādes sistēma”, kura mērķis ir izveidot preču ārējās tirdzniecības statistikas datu apstrādes sistēmu, </w:t>
            </w:r>
            <w:r w:rsidRPr="00836FE4">
              <w:rPr>
                <w:rFonts w:ascii="Times New Roman" w:hAnsi="Times New Roman" w:cs="Times New Roman"/>
                <w:b w:val="0"/>
                <w:bCs w:val="0"/>
                <w:spacing w:val="0"/>
                <w:kern w:val="0"/>
                <w:sz w:val="24"/>
                <w:szCs w:val="24"/>
                <w:lang w:eastAsia="en-US"/>
              </w:rPr>
              <w:t>jaunveidojot</w:t>
            </w:r>
            <w:r w:rsidRPr="00836FE4">
              <w:rPr>
                <w:rFonts w:ascii="Times New Roman" w:hAnsi="Times New Roman" w:cs="Times New Roman"/>
                <w:b w:val="0"/>
                <w:bCs w:val="0"/>
                <w:spacing w:val="0"/>
                <w:kern w:val="0"/>
                <w:sz w:val="24"/>
                <w:szCs w:val="24"/>
                <w:lang w:eastAsia="en-US"/>
              </w:rPr>
              <w:t xml:space="preserve"> un uzlabojot darbības procesus un pakalpojumus, lai efektīvi apstrādātu esošos un tuvākajos gados paredzētus jaunus administratīvos datus, kas nākotnē ļaus samazināt respondentu noslodzi.</w:t>
            </w:r>
          </w:p>
          <w:p w:rsidR="00B559D5" w:rsidRPr="00836FE4" w:rsidP="00262DE5" w14:paraId="66225596" w14:textId="77777777">
            <w:pPr>
              <w:rPr>
                <w:iCs/>
                <w:color w:val="000000" w:themeColor="text1"/>
                <w:lang w:eastAsia="lv-LV"/>
              </w:rPr>
            </w:pPr>
            <w:r w:rsidRPr="00836FE4">
              <w:rPr>
                <w:lang w:eastAsia="en-US"/>
              </w:rPr>
              <w:t>Rīkojuma projekts stāsies spēkā pēc tā pieņemšanas M</w:t>
            </w:r>
            <w:r w:rsidRPr="00836FE4" w:rsidR="00836FE4">
              <w:rPr>
                <w:lang w:eastAsia="en-US"/>
              </w:rPr>
              <w:t>inistru kabinetā</w:t>
            </w:r>
            <w:r w:rsidRPr="00836FE4">
              <w:rPr>
                <w:lang w:eastAsia="en-US"/>
              </w:rPr>
              <w:t>.</w:t>
            </w:r>
          </w:p>
        </w:tc>
      </w:tr>
    </w:tbl>
    <w:p w:rsidR="00B559D5" w:rsidRPr="00836FE4" w:rsidP="00B559D5" w14:paraId="2EF9778E" w14:textId="77777777">
      <w:pPr>
        <w:jc w:val="center"/>
        <w:rPr>
          <w:b/>
          <w:bCs/>
          <w:lang w:eastAsia="en-US"/>
        </w:rPr>
      </w:pPr>
    </w:p>
    <w:tbl>
      <w:tblPr>
        <w:tblW w:w="0" w:type="auto"/>
        <w:tblInd w:w="-55" w:type="dxa"/>
        <w:tblLayout w:type="fixed"/>
        <w:tblCellMar>
          <w:left w:w="57" w:type="dxa"/>
          <w:right w:w="57" w:type="dxa"/>
        </w:tblCellMar>
        <w:tblLook w:val="0000"/>
      </w:tblPr>
      <w:tblGrid>
        <w:gridCol w:w="762"/>
        <w:gridCol w:w="1986"/>
        <w:gridCol w:w="7107"/>
      </w:tblGrid>
      <w:tr w14:paraId="5C1D560F" w14:textId="77777777" w:rsidTr="00262DE5">
        <w:tblPrEx>
          <w:tblW w:w="0" w:type="auto"/>
          <w:tblInd w:w="-55" w:type="dxa"/>
          <w:tblLayout w:type="fixed"/>
          <w:tblCellMar>
            <w:left w:w="57" w:type="dxa"/>
            <w:right w:w="57" w:type="dxa"/>
          </w:tblCellMar>
          <w:tblLook w:val="0000"/>
        </w:tblPrEx>
        <w:trPr>
          <w:trHeight w:val="557"/>
        </w:trPr>
        <w:tc>
          <w:tcPr>
            <w:tcW w:w="9855"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B559D5" w:rsidRPr="00836FE4" w:rsidP="00262DE5" w14:paraId="336C4845" w14:textId="77777777">
            <w:pPr>
              <w:jc w:val="center"/>
            </w:pPr>
            <w:r w:rsidRPr="00836FE4">
              <w:rPr>
                <w:b/>
                <w:bCs/>
                <w:lang w:eastAsia="en-US"/>
              </w:rPr>
              <w:t> I. Tiesību akta izstrādes nepieciešamība</w:t>
            </w:r>
          </w:p>
        </w:tc>
      </w:tr>
      <w:tr w14:paraId="390DFED0" w14:textId="77777777" w:rsidTr="00262DE5">
        <w:tblPrEx>
          <w:tblW w:w="0" w:type="auto"/>
          <w:tblInd w:w="-55" w:type="dxa"/>
          <w:tblLayout w:type="fixed"/>
          <w:tblCellMar>
            <w:left w:w="57" w:type="dxa"/>
            <w:right w:w="57" w:type="dxa"/>
          </w:tblCellMar>
          <w:tblLook w:val="0000"/>
        </w:tblPrEx>
        <w:trPr>
          <w:trHeight w:val="271"/>
        </w:trPr>
        <w:tc>
          <w:tcPr>
            <w:tcW w:w="762" w:type="dxa"/>
            <w:tcBorders>
              <w:top w:val="thickThinLargeGap" w:sz="6" w:space="0" w:color="C0C0C0"/>
              <w:left w:val="thickThinLargeGap" w:sz="6" w:space="0" w:color="C0C0C0"/>
              <w:bottom w:val="thickThinLargeGap" w:sz="6" w:space="0" w:color="C0C0C0"/>
            </w:tcBorders>
          </w:tcPr>
          <w:p w:rsidR="00B559D5" w:rsidRPr="00836FE4" w:rsidP="00262DE5" w14:paraId="6C7B52DD" w14:textId="77777777">
            <w:r w:rsidRPr="00836FE4">
              <w:rPr>
                <w:lang w:eastAsia="en-US"/>
              </w:rPr>
              <w:t> 1.</w:t>
            </w:r>
          </w:p>
        </w:tc>
        <w:tc>
          <w:tcPr>
            <w:tcW w:w="1986" w:type="dxa"/>
            <w:tcBorders>
              <w:top w:val="thickThinLargeGap" w:sz="6" w:space="0" w:color="C0C0C0"/>
              <w:left w:val="thickThinLargeGap" w:sz="6" w:space="0" w:color="C0C0C0"/>
              <w:bottom w:val="thickThinLargeGap" w:sz="6" w:space="0" w:color="C0C0C0"/>
            </w:tcBorders>
          </w:tcPr>
          <w:p w:rsidR="00B559D5" w:rsidRPr="00836FE4" w:rsidP="00262DE5" w14:paraId="5226EB2F" w14:textId="77777777">
            <w:r w:rsidRPr="00836FE4">
              <w:rPr>
                <w:lang w:eastAsia="en-US"/>
              </w:rPr>
              <w:t>Pamatojums</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rsidR="00B559D5" w:rsidRPr="00836FE4" w:rsidP="00B559D5" w14:paraId="3A195080" w14:textId="77777777">
            <w:pPr>
              <w:numPr>
                <w:ilvl w:val="0"/>
                <w:numId w:val="1"/>
              </w:numPr>
              <w:ind w:right="210"/>
              <w:jc w:val="both"/>
            </w:pPr>
            <w:r w:rsidRPr="00836FE4">
              <w:t>Deklarācijas par Māra Kučinska vadītā Ministru kabineta iecerēto darbību 35</w:t>
            </w:r>
            <w:r w:rsidRPr="00836FE4" w:rsidR="00836FE4">
              <w:t>.</w:t>
            </w:r>
            <w:r w:rsidRPr="00836FE4">
              <w:t xml:space="preserve"> uzdevums “Nodrošināsim IKT publisko investīciju un e-pakalpojumu orientāciju uz jaunu produktu un pakalpojumu veidošanu un komercializāciju. Ieviesīsim e-pārvaldi publisko iestāžu darbā un pakalpojumu sniegšanā”, Rīcības plāna pasākums “Nodrošināsim Eiropas digitālā vienotā tirgus stratēģijas ieviešanu, attīstot digitālo pakalpojumu vidi un tās izmantošanu, Latvijas ekonomikas konkurētspējas celšanai, izveidosim uzlabotu valsts IKT pārvaldības sistēmu un elektroniskās pārvaldes koplietošanas platformas, nodrošināsim IKT procesu koordināciju, kā arī stiprināsim VARAM kapacitāti un funkcijas”, 5. darbības rezultāts “Nodrošināta IKT procesu koordinācija un pārvaldība, paaugstināta VARAM kapacitāte, nodrošinot 38 ERAF līdzfinansēto projektu iekļaušanos publiskās pārvaldes vienotajā arhitektūrā”.</w:t>
            </w:r>
          </w:p>
          <w:p w:rsidR="00B559D5" w:rsidRPr="00836FE4" w:rsidP="00B559D5" w14:paraId="783223F3" w14:textId="77777777">
            <w:pPr>
              <w:numPr>
                <w:ilvl w:val="0"/>
                <w:numId w:val="1"/>
              </w:numPr>
              <w:ind w:right="210"/>
              <w:jc w:val="both"/>
            </w:pPr>
            <w:r w:rsidRPr="00836FE4">
              <w:t xml:space="preserve">Ministru kabineta 2015. gada 17. novembra noteikumu Nr. 653 “Darbības programmas “Izaugsme un nodarbinātība” 2.2.1. specifiskā atbalsta mērķa “Nodrošināt publisko datu </w:t>
            </w:r>
            <w:r w:rsidRPr="00836FE4">
              <w:t>atkalizmantošanas</w:t>
            </w:r>
            <w:r w:rsidRPr="00836FE4">
              <w:t xml:space="preserve"> pieaugumu un efektīvu publiskās pārvaldes un privātā sektora mijiedarbību” 2.2.1.1. pasākuma “Centralizētu publiskās pārvaldes IKT platformu izveide, publiskās pārvaldes procesu optimizēšana un attīstība” īstenošanas noteikumi” (turpmāk – īstenošanas noteikumi) 4. punkts un 13.2.apakšpunkts.</w:t>
            </w:r>
          </w:p>
          <w:p w:rsidR="001D603F" w:rsidRPr="00836FE4" w:rsidP="001D603F" w14:paraId="369A1F3C" w14:textId="77777777">
            <w:pPr>
              <w:numPr>
                <w:ilvl w:val="0"/>
                <w:numId w:val="1"/>
              </w:numPr>
              <w:ind w:right="210"/>
              <w:jc w:val="both"/>
            </w:pPr>
            <w:r w:rsidRPr="00836FE4">
              <w:t xml:space="preserve">Ministru kabineta 2017.gada 10.augusta rīkojuma Nr.422 “Par darbības programmas "Izaugsme un nodarbinātība" 2.2.1. specifiskā atbalsta mērķa "Nodrošināt publisko datu </w:t>
            </w:r>
            <w:r w:rsidRPr="00836FE4">
              <w:t>atkalizmantošanas</w:t>
            </w:r>
            <w:r w:rsidRPr="00836FE4">
              <w:t xml:space="preserve"> pieaugumu un efektīvu publiskās pārvaldes un privātā sektora mijiedarbību" 2.2.1.1. pasākuma "Centralizētu publiskās pārvaldes IKT platformu izveide, publiskās pārvaldes procesu optimizēšana un attīstība" un 2.2.1.2. pasākuma "Kultūras </w:t>
            </w:r>
            <w:r w:rsidRPr="00836FE4">
              <w:t>mantojuma digitalizācija" projektu iesniegumu atlases 2. kārtas projektu sarakstu Eiropas Savienības fondu 2014.–2020. gada plānošanas periodam” 1. punkts</w:t>
            </w:r>
            <w:r w:rsidRPr="00836FE4" w:rsidR="00AD3A6F">
              <w:t>.</w:t>
            </w:r>
          </w:p>
          <w:p w:rsidR="00B559D5" w:rsidRPr="00836FE4" w:rsidP="00B559D5" w14:paraId="51AD014F" w14:textId="77777777">
            <w:pPr>
              <w:numPr>
                <w:ilvl w:val="0"/>
                <w:numId w:val="1"/>
              </w:numPr>
              <w:ind w:left="357" w:right="210" w:hanging="357"/>
              <w:jc w:val="both"/>
            </w:pPr>
            <w:r w:rsidRPr="00836FE4">
              <w:t>Ministru kabineta 2016.gada 10. februāra rīkojuma Nr.136 “Par informācijas sabiedrības attīstības pamatnostādņu ieviešanu publiskās pārvaldes informācijas sistēmu jomā” 4.</w:t>
            </w:r>
            <w:r w:rsidRPr="00836FE4">
              <w:rPr>
                <w:vertAlign w:val="superscript"/>
              </w:rPr>
              <w:t>1</w:t>
            </w:r>
            <w:r w:rsidRPr="00836FE4">
              <w:t xml:space="preserve"> punkts</w:t>
            </w:r>
            <w:r w:rsidRPr="00836FE4">
              <w:rPr>
                <w:i/>
              </w:rPr>
              <w:t>.</w:t>
            </w:r>
            <w:r w:rsidRPr="00836FE4">
              <w:t xml:space="preserve"> </w:t>
            </w:r>
          </w:p>
          <w:p w:rsidR="001D603F" w:rsidRPr="00836FE4" w:rsidP="00537167" w14:paraId="75181C99" w14:textId="21EBD4B0">
            <w:pPr>
              <w:ind w:right="210"/>
              <w:jc w:val="both"/>
            </w:pPr>
          </w:p>
        </w:tc>
      </w:tr>
      <w:tr w14:paraId="62537BCC" w14:textId="77777777" w:rsidTr="00262DE5">
        <w:tblPrEx>
          <w:tblW w:w="0" w:type="auto"/>
          <w:tblInd w:w="-55" w:type="dxa"/>
          <w:tblLayout w:type="fixed"/>
          <w:tblCellMar>
            <w:left w:w="57" w:type="dxa"/>
            <w:right w:w="57" w:type="dxa"/>
          </w:tblCellMar>
          <w:tblLook w:val="0000"/>
        </w:tblPrEx>
        <w:trPr>
          <w:trHeight w:val="1545"/>
        </w:trPr>
        <w:tc>
          <w:tcPr>
            <w:tcW w:w="762" w:type="dxa"/>
            <w:tcBorders>
              <w:top w:val="thickThinLargeGap" w:sz="6" w:space="0" w:color="C0C0C0"/>
              <w:left w:val="thickThinLargeGap" w:sz="6" w:space="0" w:color="C0C0C0"/>
              <w:bottom w:val="thickThinLargeGap" w:sz="6" w:space="0" w:color="C0C0C0"/>
            </w:tcBorders>
          </w:tcPr>
          <w:p w:rsidR="00B559D5" w:rsidRPr="00836FE4" w:rsidP="00262DE5" w14:paraId="68F53452" w14:textId="77777777">
            <w:r w:rsidRPr="00836FE4">
              <w:rPr>
                <w:lang w:eastAsia="en-US"/>
              </w:rPr>
              <w:t> 2.</w:t>
            </w:r>
          </w:p>
        </w:tc>
        <w:tc>
          <w:tcPr>
            <w:tcW w:w="1986" w:type="dxa"/>
            <w:tcBorders>
              <w:top w:val="thickThinLargeGap" w:sz="6" w:space="0" w:color="C0C0C0"/>
              <w:left w:val="thickThinLargeGap" w:sz="6" w:space="0" w:color="C0C0C0"/>
              <w:bottom w:val="thickThinLargeGap" w:sz="6" w:space="0" w:color="C0C0C0"/>
            </w:tcBorders>
          </w:tcPr>
          <w:p w:rsidR="00B559D5" w:rsidRPr="00836FE4" w:rsidP="00262DE5" w14:paraId="21E527ED" w14:textId="77777777">
            <w:r w:rsidRPr="00836FE4">
              <w:rPr>
                <w:lang w:eastAsia="en-US"/>
              </w:rPr>
              <w:t>Pašreizējā situācija un problēmas, kuru risināšanai tiesību akta projekts izstrādāts, tiesiskā regulējuma mērķis un būtība</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rsidR="00B559D5" w:rsidRPr="00836FE4" w:rsidP="00262DE5" w14:paraId="6F39656B" w14:textId="1819E474">
            <w:pPr>
              <w:pStyle w:val="VPTitle"/>
              <w:spacing w:before="0" w:after="120" w:line="240" w:lineRule="auto"/>
              <w:jc w:val="both"/>
              <w:rPr>
                <w:rFonts w:ascii="Times New Roman" w:hAnsi="Times New Roman" w:cs="Times New Roman"/>
                <w:b w:val="0"/>
                <w:bCs w:val="0"/>
                <w:spacing w:val="0"/>
                <w:kern w:val="0"/>
                <w:sz w:val="24"/>
                <w:szCs w:val="24"/>
                <w:lang w:eastAsia="en-US"/>
              </w:rPr>
            </w:pPr>
            <w:r w:rsidRPr="00836FE4">
              <w:rPr>
                <w:rFonts w:ascii="Times New Roman" w:hAnsi="Times New Roman" w:cs="Times New Roman"/>
                <w:b w:val="0"/>
                <w:bCs w:val="0"/>
                <w:spacing w:val="0"/>
                <w:kern w:val="0"/>
                <w:sz w:val="24"/>
                <w:szCs w:val="24"/>
                <w:lang w:eastAsia="en-US"/>
              </w:rPr>
              <w:t xml:space="preserve">Ar Ministru kabineta rīkojuma projektu tiek apstiprināts un </w:t>
            </w:r>
            <w:r w:rsidRPr="00836FE4">
              <w:rPr>
                <w:rFonts w:ascii="Times New Roman" w:hAnsi="Times New Roman" w:cs="Times New Roman"/>
                <w:b w:val="0"/>
                <w:bCs w:val="0"/>
                <w:spacing w:val="0"/>
                <w:kern w:val="0"/>
                <w:sz w:val="24"/>
                <w:szCs w:val="24"/>
                <w:lang w:eastAsia="en-US"/>
              </w:rPr>
              <w:t>iekļauts informācijas un komunikācijas tehnoloģiju</w:t>
            </w:r>
            <w:r w:rsidRPr="00836FE4">
              <w:rPr>
                <w:rFonts w:ascii="Times New Roman" w:hAnsi="Times New Roman" w:cs="Times New Roman"/>
                <w:b w:val="0"/>
                <w:bCs w:val="0"/>
                <w:spacing w:val="0"/>
                <w:kern w:val="0"/>
                <w:sz w:val="24"/>
                <w:szCs w:val="24"/>
                <w:lang w:eastAsia="en-US"/>
              </w:rPr>
              <w:t xml:space="preserve"> (turpmāk – IKT) </w:t>
            </w:r>
            <w:r w:rsidRPr="00836FE4">
              <w:rPr>
                <w:rFonts w:ascii="Times New Roman" w:hAnsi="Times New Roman" w:cs="Times New Roman"/>
                <w:b w:val="0"/>
                <w:bCs w:val="0"/>
                <w:spacing w:val="0"/>
                <w:kern w:val="0"/>
                <w:sz w:val="24"/>
                <w:szCs w:val="24"/>
                <w:lang w:eastAsia="en-US"/>
              </w:rPr>
              <w:t>mērķarhitektūras</w:t>
            </w:r>
            <w:r w:rsidRPr="00836FE4">
              <w:rPr>
                <w:rFonts w:ascii="Times New Roman" w:hAnsi="Times New Roman" w:cs="Times New Roman"/>
                <w:b w:val="0"/>
                <w:bCs w:val="0"/>
                <w:spacing w:val="0"/>
                <w:kern w:val="0"/>
                <w:sz w:val="24"/>
                <w:szCs w:val="24"/>
                <w:lang w:eastAsia="en-US"/>
              </w:rPr>
              <w:t xml:space="preserve"> 41.0 versijā projekta apraksts “Ārējās tirdzniecības statistikas datu apstrādes sistēma” (turpmāk – projekts), kas tika izvērtēts atbilstoši Vides aizsardzības un reģionālās attīstības ministrijas (turpmāk – VARAM) izstrādātajai un apstiprinātajai metodikai par projektu iekļaušanu IKT </w:t>
            </w:r>
            <w:r w:rsidRPr="00836FE4">
              <w:rPr>
                <w:rFonts w:ascii="Times New Roman" w:hAnsi="Times New Roman" w:cs="Times New Roman"/>
                <w:b w:val="0"/>
                <w:bCs w:val="0"/>
                <w:spacing w:val="0"/>
                <w:kern w:val="0"/>
                <w:sz w:val="24"/>
                <w:szCs w:val="24"/>
                <w:lang w:eastAsia="en-US"/>
              </w:rPr>
              <w:t>mērķarhitektūrā</w:t>
            </w:r>
            <w:r w:rsidRPr="00836FE4">
              <w:rPr>
                <w:rFonts w:ascii="Times New Roman" w:hAnsi="Times New Roman" w:cs="Times New Roman"/>
                <w:b w:val="0"/>
                <w:bCs w:val="0"/>
                <w:spacing w:val="0"/>
                <w:kern w:val="0"/>
                <w:sz w:val="24"/>
                <w:szCs w:val="24"/>
                <w:lang w:eastAsia="en-US"/>
              </w:rPr>
              <w:t xml:space="preserve">. VARAM ir atbalstījis projekta iekļaušanu IKT </w:t>
            </w:r>
            <w:r w:rsidRPr="00836FE4">
              <w:rPr>
                <w:rFonts w:ascii="Times New Roman" w:hAnsi="Times New Roman" w:cs="Times New Roman"/>
                <w:b w:val="0"/>
                <w:bCs w:val="0"/>
                <w:spacing w:val="0"/>
                <w:kern w:val="0"/>
                <w:sz w:val="24"/>
                <w:szCs w:val="24"/>
                <w:lang w:eastAsia="en-US"/>
              </w:rPr>
              <w:t>mērķarhitektūras</w:t>
            </w:r>
            <w:r w:rsidRPr="00836FE4">
              <w:rPr>
                <w:rFonts w:ascii="Times New Roman" w:hAnsi="Times New Roman" w:cs="Times New Roman"/>
                <w:b w:val="0"/>
                <w:bCs w:val="0"/>
                <w:spacing w:val="0"/>
                <w:kern w:val="0"/>
                <w:sz w:val="24"/>
                <w:szCs w:val="24"/>
                <w:lang w:eastAsia="en-US"/>
              </w:rPr>
              <w:t xml:space="preserve"> kārtējā versijā. Projekts veicina darbības programmas “Izaugsme un nodarbinātība” specifiskā atbalsta mērķa “Nodrošināt publisko datu </w:t>
            </w:r>
            <w:r w:rsidRPr="00836FE4">
              <w:rPr>
                <w:rFonts w:ascii="Times New Roman" w:hAnsi="Times New Roman" w:cs="Times New Roman"/>
                <w:b w:val="0"/>
                <w:bCs w:val="0"/>
                <w:spacing w:val="0"/>
                <w:kern w:val="0"/>
                <w:sz w:val="24"/>
                <w:szCs w:val="24"/>
                <w:lang w:eastAsia="en-US"/>
              </w:rPr>
              <w:t>atkalizmantošanas</w:t>
            </w:r>
            <w:r w:rsidRPr="00836FE4">
              <w:rPr>
                <w:rFonts w:ascii="Times New Roman" w:hAnsi="Times New Roman" w:cs="Times New Roman"/>
                <w:b w:val="0"/>
                <w:bCs w:val="0"/>
                <w:spacing w:val="0"/>
                <w:kern w:val="0"/>
                <w:sz w:val="24"/>
                <w:szCs w:val="24"/>
                <w:lang w:eastAsia="en-US"/>
              </w:rPr>
              <w:t xml:space="preserve"> pieaugumu un efektīvu publiskās pārvaldes un privātā sektora mijiedarbību” (turpmāk –2.2.1.</w:t>
            </w:r>
            <w:r w:rsidR="003A0953">
              <w:rPr>
                <w:rFonts w:ascii="Times New Roman" w:hAnsi="Times New Roman" w:cs="Times New Roman"/>
                <w:b w:val="0"/>
                <w:bCs w:val="0"/>
                <w:spacing w:val="0"/>
                <w:kern w:val="0"/>
                <w:sz w:val="24"/>
                <w:szCs w:val="24"/>
                <w:lang w:eastAsia="en-US"/>
              </w:rPr>
              <w:t xml:space="preserve"> </w:t>
            </w:r>
            <w:r w:rsidRPr="00836FE4" w:rsidR="003A0953">
              <w:rPr>
                <w:rFonts w:ascii="Times New Roman" w:hAnsi="Times New Roman" w:cs="Times New Roman"/>
                <w:b w:val="0"/>
                <w:bCs w:val="0"/>
                <w:spacing w:val="0"/>
                <w:kern w:val="0"/>
                <w:sz w:val="24"/>
                <w:szCs w:val="24"/>
                <w:lang w:eastAsia="en-US"/>
              </w:rPr>
              <w:t>SAM</w:t>
            </w:r>
            <w:r w:rsidRPr="00836FE4">
              <w:rPr>
                <w:rFonts w:ascii="Times New Roman" w:hAnsi="Times New Roman" w:cs="Times New Roman"/>
                <w:b w:val="0"/>
                <w:bCs w:val="0"/>
                <w:spacing w:val="0"/>
                <w:kern w:val="0"/>
                <w:sz w:val="24"/>
                <w:szCs w:val="24"/>
                <w:lang w:eastAsia="en-US"/>
              </w:rPr>
              <w:t>) 2.2.1.1. pasākumam “Centralizētu publiskās pārvaldes IKT platformu izveide, publiskās pārvaldes procesu optimizēšana un attīstība” (turpmāk – 2.2.1.1. pasākums) izvirzīto rādītāju sasniegšanu pilnveidojot vai no jauna izstrādājot 3 darbības procesus preču ārējās tirdzniecības statistikas jomā.</w:t>
            </w:r>
          </w:p>
          <w:p w:rsidR="00B559D5" w:rsidRPr="00836FE4" w:rsidP="00262DE5" w14:paraId="07F4AE2A" w14:textId="345DFC20">
            <w:pPr>
              <w:spacing w:after="120"/>
              <w:jc w:val="both"/>
            </w:pPr>
            <w:r w:rsidRPr="00836FE4">
              <w:rPr>
                <w:b/>
              </w:rPr>
              <w:t xml:space="preserve">Projekta virsmērķis </w:t>
            </w:r>
            <w:r w:rsidRPr="00836FE4">
              <w:t>ir veicināt darbības programmas “Izaugsme un nodarbinātība” 2.2.1.</w:t>
            </w:r>
            <w:r w:rsidR="003A0953">
              <w:t xml:space="preserve"> </w:t>
            </w:r>
            <w:r w:rsidRPr="00836FE4" w:rsidR="003A0953">
              <w:rPr>
                <w:lang w:eastAsia="en-US"/>
              </w:rPr>
              <w:t>SAM</w:t>
            </w:r>
            <w:r w:rsidRPr="00836FE4">
              <w:t xml:space="preserve"> 2.2.1.1. pasākuma definēto rezultātu rādītāju sasniegšanu.</w:t>
            </w:r>
          </w:p>
          <w:p w:rsidR="00B559D5" w:rsidRPr="00836FE4" w:rsidP="00262DE5" w14:paraId="50CA3123" w14:textId="77777777">
            <w:pPr>
              <w:pStyle w:val="VPBody"/>
              <w:jc w:val="both"/>
              <w:rPr>
                <w:sz w:val="24"/>
                <w:szCs w:val="24"/>
              </w:rPr>
            </w:pPr>
            <w:r w:rsidRPr="00836FE4">
              <w:rPr>
                <w:b/>
                <w:sz w:val="24"/>
                <w:szCs w:val="24"/>
              </w:rPr>
              <w:t>Projekta mērķis</w:t>
            </w:r>
            <w:r w:rsidRPr="00836FE4">
              <w:rPr>
                <w:sz w:val="24"/>
                <w:szCs w:val="24"/>
              </w:rPr>
              <w:t xml:space="preserve"> ir izveidot preču ārējās tirdzniecības statistikas (ĀTS) datu apstrādes sistēmu VIESIS (Vienotā Importa Eksporta Statistiskās Informācijas Sistēma), kas:</w:t>
            </w:r>
          </w:p>
          <w:p w:rsidR="00B559D5" w:rsidRPr="00836FE4" w:rsidP="00B559D5" w14:paraId="77CBE82C" w14:textId="77777777">
            <w:pPr>
              <w:pStyle w:val="VPBody"/>
              <w:numPr>
                <w:ilvl w:val="0"/>
                <w:numId w:val="2"/>
              </w:numPr>
              <w:tabs>
                <w:tab w:val="left" w:pos="0"/>
              </w:tabs>
              <w:suppressAutoHyphens w:val="0"/>
              <w:spacing w:before="80" w:after="80" w:line="240" w:lineRule="auto"/>
              <w:jc w:val="both"/>
              <w:rPr>
                <w:sz w:val="24"/>
                <w:szCs w:val="24"/>
              </w:rPr>
            </w:pPr>
            <w:r w:rsidRPr="00836FE4">
              <w:rPr>
                <w:sz w:val="24"/>
                <w:szCs w:val="24"/>
              </w:rPr>
              <w:t>būs balstīta uz savstarpēji saistītu moduļu sistēmu, optimizējot esošos darbības procesus;</w:t>
            </w:r>
          </w:p>
          <w:p w:rsidR="00B559D5" w:rsidRPr="00836FE4" w:rsidP="00B559D5" w14:paraId="6496E5BB" w14:textId="77777777">
            <w:pPr>
              <w:pStyle w:val="VPBody"/>
              <w:numPr>
                <w:ilvl w:val="0"/>
                <w:numId w:val="2"/>
              </w:numPr>
              <w:tabs>
                <w:tab w:val="left" w:pos="0"/>
              </w:tabs>
              <w:suppressAutoHyphens w:val="0"/>
              <w:spacing w:before="80" w:after="80" w:line="240" w:lineRule="auto"/>
              <w:jc w:val="both"/>
              <w:rPr>
                <w:sz w:val="24"/>
                <w:szCs w:val="24"/>
              </w:rPr>
            </w:pPr>
            <w:r w:rsidRPr="00836FE4">
              <w:rPr>
                <w:sz w:val="24"/>
                <w:szCs w:val="24"/>
              </w:rPr>
              <w:t>izveidos jaunus, efektīvus, un modernus sistēmas funkcionalitātes risinājumus no citām dalībvalstīm saņemto mikrodatu par preču eksportu apstrādei un analīzei;</w:t>
            </w:r>
          </w:p>
          <w:p w:rsidR="00B559D5" w:rsidRPr="00836FE4" w:rsidP="00B559D5" w14:paraId="0BF8199E" w14:textId="77777777">
            <w:pPr>
              <w:pStyle w:val="VPBody"/>
              <w:numPr>
                <w:ilvl w:val="0"/>
                <w:numId w:val="2"/>
              </w:numPr>
              <w:tabs>
                <w:tab w:val="left" w:pos="0"/>
              </w:tabs>
              <w:suppressAutoHyphens w:val="0"/>
              <w:spacing w:before="80" w:after="80" w:line="240" w:lineRule="auto"/>
              <w:jc w:val="both"/>
              <w:rPr>
                <w:sz w:val="24"/>
                <w:szCs w:val="24"/>
              </w:rPr>
            </w:pPr>
            <w:r w:rsidRPr="00836FE4">
              <w:rPr>
                <w:sz w:val="24"/>
                <w:szCs w:val="24"/>
              </w:rPr>
              <w:t>paaugstinās kopējo Centrālās statistikas pārvaldes (</w:t>
            </w:r>
            <w:r w:rsidRPr="00836FE4" w:rsidR="00836FE4">
              <w:rPr>
                <w:sz w:val="24"/>
                <w:szCs w:val="24"/>
              </w:rPr>
              <w:t>turpmāk-</w:t>
            </w:r>
            <w:r w:rsidRPr="00836FE4">
              <w:rPr>
                <w:sz w:val="24"/>
                <w:szCs w:val="24"/>
              </w:rPr>
              <w:t>Pārvalde) darbības efektivitāti, uzlabojot datu vākšanas, apstrādes, analīzes un izplatīšanas iespējas;</w:t>
            </w:r>
          </w:p>
          <w:p w:rsidR="00B559D5" w:rsidRPr="00836FE4" w:rsidP="00B559D5" w14:paraId="47FB7E57" w14:textId="7F36AF36">
            <w:pPr>
              <w:pStyle w:val="VPBody"/>
              <w:numPr>
                <w:ilvl w:val="0"/>
                <w:numId w:val="2"/>
              </w:numPr>
              <w:tabs>
                <w:tab w:val="left" w:pos="0"/>
              </w:tabs>
              <w:suppressAutoHyphens w:val="0"/>
              <w:spacing w:before="80" w:after="80" w:line="240" w:lineRule="auto"/>
              <w:jc w:val="both"/>
              <w:rPr>
                <w:sz w:val="24"/>
                <w:szCs w:val="24"/>
              </w:rPr>
            </w:pPr>
            <w:r w:rsidRPr="00836FE4">
              <w:rPr>
                <w:sz w:val="24"/>
                <w:szCs w:val="24"/>
              </w:rPr>
              <w:t xml:space="preserve">ļaus izmantot papildu datu avotus (no citām dalībvalstīm saņemto informāciju par preču eksportu uz Latviju), samazinot </w:t>
            </w:r>
            <w:r w:rsidRPr="00836FE4">
              <w:rPr>
                <w:sz w:val="24"/>
                <w:szCs w:val="24"/>
              </w:rPr>
              <w:t>Intrastat</w:t>
            </w:r>
            <w:r w:rsidRPr="00836FE4">
              <w:rPr>
                <w:sz w:val="24"/>
                <w:szCs w:val="24"/>
              </w:rPr>
              <w:t xml:space="preserve"> (Preču ārējās tirdzniecības statistika starp dalībvalstīm) respondentu noslodzi un vienlaikus saglabājot ārējās tirdzniecības statistikas datu kvalitāti.</w:t>
            </w:r>
          </w:p>
          <w:p w:rsidR="00B559D5" w:rsidRPr="00836FE4" w:rsidP="00262DE5" w14:paraId="162AB570" w14:textId="77777777">
            <w:pPr>
              <w:spacing w:before="120" w:after="120"/>
              <w:jc w:val="both"/>
              <w:rPr>
                <w:sz w:val="22"/>
              </w:rPr>
            </w:pPr>
          </w:p>
          <w:p w:rsidR="00B559D5" w:rsidRPr="00836FE4" w:rsidP="00262DE5" w14:paraId="7F7F3764" w14:textId="77777777">
            <w:pPr>
              <w:spacing w:before="120" w:after="120"/>
              <w:jc w:val="both"/>
            </w:pPr>
            <w:r w:rsidRPr="00836FE4">
              <w:rPr>
                <w:b/>
                <w:bCs/>
              </w:rPr>
              <w:t>Esošajā situācijā identificētās problēmas</w:t>
            </w:r>
            <w:r w:rsidRPr="00836FE4">
              <w:rPr>
                <w:rFonts w:eastAsia="MS Mincho"/>
                <w:b/>
                <w:bCs/>
              </w:rPr>
              <w:t>:</w:t>
            </w:r>
            <w:r w:rsidRPr="00836FE4">
              <w:t xml:space="preserve"> </w:t>
            </w:r>
          </w:p>
          <w:p w:rsidR="00B559D5" w:rsidRPr="00836FE4" w:rsidP="00262DE5" w14:paraId="4E7CEFE3" w14:textId="77777777">
            <w:pPr>
              <w:pStyle w:val="VPBody"/>
              <w:jc w:val="both"/>
              <w:rPr>
                <w:b/>
                <w:sz w:val="24"/>
                <w:szCs w:val="24"/>
              </w:rPr>
            </w:pPr>
            <w:r w:rsidRPr="00836FE4">
              <w:rPr>
                <w:b/>
                <w:sz w:val="24"/>
                <w:szCs w:val="24"/>
              </w:rPr>
              <w:t>Problēma 1. Preču ārējās tirdzniecības statistikas sagatavošanas procesa sadrumstalotība</w:t>
            </w:r>
          </w:p>
          <w:p w:rsidR="00B559D5" w:rsidRPr="00836FE4" w:rsidP="00262DE5" w14:paraId="2A0BBB59" w14:textId="77777777">
            <w:pPr>
              <w:pStyle w:val="VPBody"/>
              <w:jc w:val="both"/>
              <w:rPr>
                <w:sz w:val="24"/>
                <w:szCs w:val="24"/>
              </w:rPr>
            </w:pPr>
            <w:r w:rsidRPr="00836FE4">
              <w:rPr>
                <w:sz w:val="24"/>
                <w:szCs w:val="24"/>
              </w:rPr>
              <w:t xml:space="preserve">Preču ārējās tirdzniecības statistikas  apstrāde un apkopošana Pārvaldē notiek, izmantojot dažādas informācijas sistēmas un programmatūras. Atsevišķas preču ārējas tirdzniecības statistikas datu kopas tiek apstrādātas un uzturētas atsevišķās datu bāzēs un datu failos. </w:t>
            </w:r>
          </w:p>
          <w:p w:rsidR="00B559D5" w:rsidRPr="00836FE4" w:rsidP="00262DE5" w14:paraId="1F1EFDAE" w14:textId="77777777">
            <w:pPr>
              <w:pStyle w:val="VPBody"/>
              <w:jc w:val="both"/>
              <w:rPr>
                <w:sz w:val="24"/>
                <w:szCs w:val="24"/>
              </w:rPr>
            </w:pPr>
            <w:r w:rsidRPr="00836FE4">
              <w:rPr>
                <w:sz w:val="24"/>
                <w:szCs w:val="24"/>
              </w:rPr>
              <w:t>ĀTS dati ir īstermiņa statistika (ikmēneša) un to apstrāde ir process, kas ir jāveic īsos termiņos. Tas prasa operatīvu lielu datu masīvu apstrādi un analīzi. Datu sagatavošanas termiņa saīsināšana, kas paredzēta ES jaunajos regulējumos, un papildus datu apstrāde, kas nodrošinātu Eiropas statistikas prakses kodeksam un ĀTS regulējošiem normatīviem atbilstošu kvalitātes līmeni, nav iespējama esošajā sistēmā.</w:t>
            </w:r>
          </w:p>
          <w:p w:rsidR="00B559D5" w:rsidRPr="00836FE4" w:rsidP="00262DE5" w14:paraId="02F6C678" w14:textId="77777777">
            <w:pPr>
              <w:pStyle w:val="VPBody"/>
              <w:jc w:val="both"/>
              <w:rPr>
                <w:sz w:val="24"/>
                <w:szCs w:val="24"/>
              </w:rPr>
            </w:pPr>
            <w:r w:rsidRPr="00836FE4">
              <w:rPr>
                <w:sz w:val="24"/>
                <w:szCs w:val="24"/>
              </w:rPr>
              <w:t>Projekta ietvaros ir paredzēts izstrādāt uz savstarpēji saistītiem moduļiem balstītu preču ārējās tirdzniecības statistikas datu apstrādes sistēmu, kurā vienuviet tiktu apvienota visa datu apstrādei, analīzei un izplatīšanai nepieciešamā informācija.</w:t>
            </w:r>
          </w:p>
          <w:p w:rsidR="00B559D5" w:rsidRPr="00836FE4" w:rsidP="00262DE5" w14:paraId="50289D4B" w14:textId="77777777">
            <w:pPr>
              <w:pStyle w:val="VPBody"/>
              <w:jc w:val="both"/>
              <w:rPr>
                <w:b/>
                <w:sz w:val="24"/>
                <w:szCs w:val="24"/>
              </w:rPr>
            </w:pPr>
            <w:r w:rsidRPr="00836FE4">
              <w:rPr>
                <w:b/>
                <w:sz w:val="24"/>
                <w:szCs w:val="24"/>
              </w:rPr>
              <w:t>Problēma 2. No citu dalībvalstu statistikas iestādēm saņemto mikrodatu apstrādes sistēmas izveidošana un Pārvaldē savākto mikrodatu sagatavošana nosūtīšanai dalībvalstīm par Savienības iekšējo preču eksportu</w:t>
            </w:r>
          </w:p>
          <w:p w:rsidR="00B559D5" w:rsidRPr="00836FE4" w:rsidP="00262DE5" w14:paraId="41272CD3" w14:textId="77777777">
            <w:pPr>
              <w:pStyle w:val="VPBody"/>
              <w:jc w:val="both"/>
              <w:rPr>
                <w:sz w:val="24"/>
                <w:szCs w:val="24"/>
              </w:rPr>
            </w:pPr>
            <w:r w:rsidRPr="00836FE4">
              <w:rPr>
                <w:sz w:val="24"/>
                <w:szCs w:val="24"/>
              </w:rPr>
              <w:t xml:space="preserve">Eiropas Komisijas priekšlikums Eiropas Parlamenta un Padomes Regulai par Eiropas uzņēmējdarbības statistiku </w:t>
            </w:r>
            <w:r w:rsidRPr="00836FE4">
              <w:rPr>
                <w:i/>
                <w:sz w:val="24"/>
                <w:szCs w:val="24"/>
                <w:lang w:eastAsia="lv-LV"/>
              </w:rPr>
              <w:t>(</w:t>
            </w:r>
            <w:r w:rsidRPr="00836FE4">
              <w:rPr>
                <w:i/>
                <w:sz w:val="24"/>
                <w:szCs w:val="24"/>
                <w:lang w:eastAsia="lv-LV"/>
              </w:rPr>
              <w:t>Brussels</w:t>
            </w:r>
            <w:r w:rsidRPr="00836FE4">
              <w:rPr>
                <w:i/>
                <w:sz w:val="24"/>
                <w:szCs w:val="24"/>
                <w:lang w:eastAsia="lv-LV"/>
              </w:rPr>
              <w:t>, 6.3.2017.</w:t>
            </w:r>
            <w:r w:rsidRPr="00836FE4">
              <w:rPr>
                <w:sz w:val="24"/>
                <w:szCs w:val="24"/>
                <w:lang w:eastAsia="lv-LV"/>
              </w:rPr>
              <w:t xml:space="preserve"> </w:t>
            </w:r>
            <w:r w:rsidRPr="00836FE4">
              <w:rPr>
                <w:i/>
                <w:sz w:val="24"/>
                <w:szCs w:val="24"/>
                <w:lang w:eastAsia="lv-LV"/>
              </w:rPr>
              <w:t xml:space="preserve">COM(2017) 114 </w:t>
            </w:r>
            <w:r w:rsidRPr="00836FE4">
              <w:rPr>
                <w:i/>
                <w:sz w:val="24"/>
                <w:szCs w:val="24"/>
                <w:lang w:eastAsia="lv-LV"/>
              </w:rPr>
              <w:t>final</w:t>
            </w:r>
            <w:r w:rsidRPr="00836FE4">
              <w:rPr>
                <w:i/>
                <w:sz w:val="24"/>
                <w:szCs w:val="24"/>
                <w:lang w:eastAsia="lv-LV"/>
              </w:rPr>
              <w:t>, 2017/0048 (COD)),</w:t>
            </w:r>
            <w:r w:rsidRPr="00836FE4">
              <w:rPr>
                <w:sz w:val="24"/>
                <w:szCs w:val="24"/>
                <w:lang w:eastAsia="lv-LV"/>
              </w:rPr>
              <w:t xml:space="preserve"> </w:t>
            </w:r>
            <w:r w:rsidRPr="00836FE4">
              <w:rPr>
                <w:sz w:val="24"/>
                <w:szCs w:val="24"/>
              </w:rPr>
              <w:t xml:space="preserve">paredz ieviest obligātu mikrodatu apmaiņu starp dalībvalstu statistikas iestādēm par Savienības iekšējo preču eksportu. Dalībvalstis saņemtos datus varēs izmantot pilnīgai vai daļējai savas valsts importa datu nodrošināšanai, tajā pašā laikā samazinot noslodzi tiem uzņēmumiem, kuriem dalībvalstīs ir jāiesniedz aizpildītas statistikas veidlapas par Savienības iekšējās preču tirdzniecības importu. Jāatzīmē, ka dalībvalstis saņemtos mikrodatus varēs izmantot arī kvalitātes uzlabošanas nolūkiem, salīdzinot tos ar VID PVN deklarācijās esošo informāciju, kā arī ar dalībvalstī savāktajiem importa datiem, ja tie tiks vākti pilnā vai nepilnā apjomā. Ņemot vērā lielo datu apjomu, kas tiks saņemts no citām ES dalībvalstīm, nepieciešams masveida datu apstrādes risinājums. Pārvaldes esošā datu apstrādes sistēma nav pielāgota atšķirīgas struktūras papildus datu vākšanai, revidēto datu nomaiņai atšķirīgos termiņos, datu papildus apstrādei un salīdzināšanai, kā arī to paredzamajai iespējamai izmantošanai veicot datu </w:t>
            </w:r>
            <w:r w:rsidRPr="00836FE4">
              <w:rPr>
                <w:sz w:val="24"/>
                <w:szCs w:val="24"/>
              </w:rPr>
              <w:t>imputāciju</w:t>
            </w:r>
            <w:r w:rsidRPr="00836FE4">
              <w:rPr>
                <w:sz w:val="24"/>
                <w:szCs w:val="24"/>
              </w:rPr>
              <w:t xml:space="preserve">, tādejādi atbrīvojot daļu respondentu no pienākuma iesniegt ikmēneša veidlapas par preču ievedumu. Lai atbrīvotu šo daļu no respondentiem, Pārvaldei ir jāiegulda liels papildus cilvēkresursu darba apjoms, kas pēc Pārvaldes pašreizējām aplēsēm, kas balstītas uz starpvalstu </w:t>
            </w:r>
            <w:r w:rsidRPr="00836FE4">
              <w:rPr>
                <w:sz w:val="24"/>
                <w:szCs w:val="24"/>
              </w:rPr>
              <w:t>EESnet</w:t>
            </w:r>
            <w:r w:rsidRPr="00836FE4">
              <w:rPr>
                <w:sz w:val="24"/>
                <w:szCs w:val="24"/>
              </w:rPr>
              <w:t xml:space="preserve"> projekta „SIMSTAT - izmēģinājuma testēšanas ieviešana mikrodatu apmaiņai” laikā gūtajām atziņām,  būtiski pārsniegs Pārvaldes ietaupītos resursus no datu vākšanas samazinājuma </w:t>
            </w:r>
            <w:r w:rsidRPr="00836FE4">
              <w:rPr>
                <w:sz w:val="24"/>
                <w:szCs w:val="24"/>
              </w:rPr>
              <w:t>Intrastat</w:t>
            </w:r>
            <w:r w:rsidRPr="00836FE4">
              <w:rPr>
                <w:sz w:val="24"/>
                <w:szCs w:val="24"/>
              </w:rPr>
              <w:t xml:space="preserve"> ieveduma pārskatiem.</w:t>
            </w:r>
          </w:p>
          <w:p w:rsidR="00B559D5" w:rsidRPr="00665A27" w:rsidP="006519E4" w14:paraId="16EF7EAF" w14:textId="77777777">
            <w:pPr>
              <w:pStyle w:val="VPBody"/>
              <w:jc w:val="both"/>
              <w:rPr>
                <w:sz w:val="24"/>
                <w:szCs w:val="24"/>
              </w:rPr>
            </w:pPr>
            <w:r w:rsidRPr="001114E0">
              <w:rPr>
                <w:sz w:val="24"/>
                <w:szCs w:val="24"/>
              </w:rPr>
              <w:t xml:space="preserve">Mikrodatu apmaiņa starp dalībvalstīm palielinās darba apjomu visām Eiropas Savienības statistikas iestādēm, jo dalībvalstīm vajadzēs veikt virkni papildus datu apstrādes un sagatavošanas procedūru, lai </w:t>
            </w:r>
            <w:r w:rsidRPr="001114E0">
              <w:rPr>
                <w:sz w:val="24"/>
                <w:szCs w:val="24"/>
              </w:rPr>
              <w:t xml:space="preserve">noteiktajos, saīsinātajos termiņos nodrošinātu citas dalībvalstis ar pārbaudītiem un kvalitatīviem mikrodatiem, kā arī, lai pārliecinātos par no citām dalībvalstīm saņemto datu kvalitāti un sagatavotu datus par </w:t>
            </w:r>
            <w:r w:rsidRPr="00665A27">
              <w:rPr>
                <w:sz w:val="24"/>
                <w:szCs w:val="24"/>
              </w:rPr>
              <w:t xml:space="preserve">importu, pilnībā vai daļēji izmantojot citu dalībvalstu mikrodatus. </w:t>
            </w:r>
          </w:p>
          <w:p w:rsidR="00B559D5" w:rsidRPr="00836FE4" w:rsidP="00262DE5" w14:paraId="7CDBC5DB" w14:textId="77777777">
            <w:pPr>
              <w:pStyle w:val="VPBody"/>
              <w:jc w:val="both"/>
              <w:rPr>
                <w:b/>
                <w:sz w:val="24"/>
                <w:szCs w:val="24"/>
              </w:rPr>
            </w:pPr>
            <w:r w:rsidRPr="00836FE4">
              <w:rPr>
                <w:b/>
                <w:sz w:val="24"/>
                <w:szCs w:val="24"/>
              </w:rPr>
              <w:t xml:space="preserve">Problēma 3. Nepietiekams informācijas apjoms un funkcionalitāte Integrētās statistikas datu apstrādes un vadības sistēmas (ISDAVS) </w:t>
            </w:r>
            <w:r w:rsidRPr="00836FE4">
              <w:rPr>
                <w:b/>
                <w:sz w:val="24"/>
                <w:szCs w:val="24"/>
              </w:rPr>
              <w:t>Intrastat</w:t>
            </w:r>
            <w:r w:rsidRPr="00836FE4">
              <w:rPr>
                <w:b/>
                <w:sz w:val="24"/>
                <w:szCs w:val="24"/>
              </w:rPr>
              <w:t xml:space="preserve"> reģistrā</w:t>
            </w:r>
          </w:p>
          <w:p w:rsidR="00B559D5" w:rsidRPr="00836FE4" w:rsidP="00262DE5" w14:paraId="16424AF0" w14:textId="77777777">
            <w:pPr>
              <w:pStyle w:val="VPBody"/>
              <w:jc w:val="both"/>
              <w:rPr>
                <w:sz w:val="24"/>
                <w:szCs w:val="24"/>
              </w:rPr>
            </w:pPr>
            <w:r w:rsidRPr="00836FE4">
              <w:rPr>
                <w:sz w:val="24"/>
                <w:szCs w:val="24"/>
              </w:rPr>
              <w:t xml:space="preserve">Pārvaldē </w:t>
            </w:r>
            <w:r w:rsidRPr="00836FE4">
              <w:rPr>
                <w:sz w:val="24"/>
                <w:szCs w:val="24"/>
              </w:rPr>
              <w:t>Intrastat</w:t>
            </w:r>
            <w:r w:rsidRPr="00836FE4">
              <w:rPr>
                <w:sz w:val="24"/>
                <w:szCs w:val="24"/>
              </w:rPr>
              <w:t xml:space="preserve"> reģistru izmanto datu uzglabāšanai par visiem ES preču tirdzniecībā iesaistītiem uzņēmumiem un respondentu (</w:t>
            </w:r>
            <w:r w:rsidRPr="00836FE4">
              <w:rPr>
                <w:sz w:val="24"/>
                <w:szCs w:val="24"/>
              </w:rPr>
              <w:t>Intrastat</w:t>
            </w:r>
            <w:r w:rsidRPr="00836FE4">
              <w:rPr>
                <w:sz w:val="24"/>
                <w:szCs w:val="24"/>
              </w:rPr>
              <w:t xml:space="preserve"> pārskatu datu sniedzēju) noteikšanai.</w:t>
            </w:r>
          </w:p>
          <w:p w:rsidR="00B559D5" w:rsidRPr="00836FE4" w:rsidP="00262DE5" w14:paraId="08418DB7" w14:textId="77777777">
            <w:pPr>
              <w:pStyle w:val="VPBody"/>
              <w:jc w:val="both"/>
              <w:rPr>
                <w:sz w:val="24"/>
                <w:szCs w:val="24"/>
              </w:rPr>
            </w:pPr>
            <w:r w:rsidRPr="00836FE4">
              <w:rPr>
                <w:sz w:val="24"/>
                <w:szCs w:val="24"/>
                <w:lang w:eastAsia="lv-LV"/>
              </w:rPr>
              <w:t xml:space="preserve">Priekšlikumā Eiropas Parlamenta un Padomes Regulai par Eiropas uzņēmējdarbības statistiku tiek norādīts, ka ir jāpielāgo </w:t>
            </w:r>
            <w:r w:rsidRPr="00836FE4">
              <w:rPr>
                <w:sz w:val="24"/>
                <w:szCs w:val="24"/>
              </w:rPr>
              <w:t xml:space="preserve">uzņēmumu un tirdzniecības statistika jaunām un pienācīgi pamatotām lietotāju vajadzībām, kas izriet no ekonomikas vides izmaiņām un pieaugošās globalizācijas un uzņēmējdarbības sarežģītības, jāveicina efektīvāka uzņēmējdarbības un tirdzniecības statistikas sagatavošana. </w:t>
            </w:r>
          </w:p>
          <w:p w:rsidR="00B559D5" w:rsidRPr="00836FE4" w:rsidP="00262DE5" w14:paraId="55E6659E" w14:textId="77777777">
            <w:pPr>
              <w:pStyle w:val="VPBody"/>
              <w:jc w:val="both"/>
              <w:rPr>
                <w:sz w:val="24"/>
                <w:szCs w:val="24"/>
              </w:rPr>
            </w:pPr>
            <w:r w:rsidRPr="00836FE4">
              <w:rPr>
                <w:sz w:val="24"/>
                <w:szCs w:val="24"/>
              </w:rPr>
              <w:t xml:space="preserve">Lai nodrošinātu Regulas priekšlikumā ietvertās prasības, </w:t>
            </w:r>
            <w:r w:rsidRPr="00836FE4">
              <w:rPr>
                <w:sz w:val="24"/>
                <w:szCs w:val="24"/>
                <w:lang w:eastAsia="lv-LV"/>
              </w:rPr>
              <w:t xml:space="preserve">ir nepieciešams kardināli pārveidot </w:t>
            </w:r>
            <w:r w:rsidRPr="00836FE4">
              <w:rPr>
                <w:sz w:val="24"/>
                <w:szCs w:val="24"/>
                <w:lang w:eastAsia="lv-LV"/>
              </w:rPr>
              <w:t>Intrastat</w:t>
            </w:r>
            <w:r w:rsidRPr="00836FE4">
              <w:rPr>
                <w:sz w:val="24"/>
                <w:szCs w:val="24"/>
                <w:lang w:eastAsia="lv-LV"/>
              </w:rPr>
              <w:t xml:space="preserve"> reģistru, kā </w:t>
            </w:r>
            <w:r w:rsidRPr="00836FE4">
              <w:rPr>
                <w:sz w:val="24"/>
                <w:szCs w:val="24"/>
              </w:rPr>
              <w:t xml:space="preserve">arī papildināt to ar jaunu informācijas apjomu un izveidotu jaunas funkcionalitātes. </w:t>
            </w:r>
          </w:p>
          <w:p w:rsidR="00B559D5" w:rsidRPr="00836FE4" w:rsidP="00262DE5" w14:paraId="02D54AD3" w14:textId="77777777">
            <w:pPr>
              <w:pStyle w:val="VPBody"/>
              <w:jc w:val="both"/>
              <w:rPr>
                <w:sz w:val="24"/>
                <w:szCs w:val="24"/>
              </w:rPr>
            </w:pPr>
            <w:r w:rsidRPr="00836FE4">
              <w:rPr>
                <w:sz w:val="24"/>
                <w:szCs w:val="24"/>
              </w:rPr>
              <w:t>Informācijas pieejamība vienuviet ļaus Pārvaldes ekspertiem veikt paplašinātu datu kvalitātes analīzi, izmantojot vairākus datu avotus.</w:t>
            </w:r>
          </w:p>
          <w:p w:rsidR="00B559D5" w:rsidRPr="00836FE4" w:rsidP="00262DE5" w14:paraId="4BA42DC2" w14:textId="77777777">
            <w:pPr>
              <w:pStyle w:val="VPBody"/>
              <w:jc w:val="both"/>
              <w:rPr>
                <w:b/>
                <w:sz w:val="24"/>
                <w:szCs w:val="24"/>
              </w:rPr>
            </w:pPr>
            <w:r w:rsidRPr="00836FE4">
              <w:rPr>
                <w:b/>
                <w:sz w:val="24"/>
                <w:szCs w:val="24"/>
              </w:rPr>
              <w:t>Problēma 4. Publicējamo datu kopu sagatavošana jaunos datu formātos, sagatavošanas un validēšanas procesa automatizācija</w:t>
            </w:r>
          </w:p>
          <w:p w:rsidR="00B559D5" w:rsidRPr="00836FE4" w:rsidP="00262DE5" w14:paraId="747C52A7" w14:textId="77777777">
            <w:pPr>
              <w:pStyle w:val="VPBody"/>
              <w:jc w:val="both"/>
              <w:rPr>
                <w:sz w:val="24"/>
                <w:szCs w:val="24"/>
              </w:rPr>
            </w:pPr>
            <w:r w:rsidRPr="00836FE4">
              <w:rPr>
                <w:sz w:val="24"/>
                <w:szCs w:val="24"/>
              </w:rPr>
              <w:t xml:space="preserve">Pieaug starptautisko organizāciju un citu datu lietotāju prasības, kas saistītas ar dažāda apjoma publicējamu datu kopu apmaiņu un izplatīšanu, tostarp mašīnlasāmos formātos. </w:t>
            </w:r>
          </w:p>
          <w:p w:rsidR="00B559D5" w:rsidRPr="00836FE4" w:rsidP="00262DE5" w14:paraId="607BC614" w14:textId="77777777">
            <w:pPr>
              <w:pStyle w:val="VPBody"/>
              <w:jc w:val="both"/>
              <w:rPr>
                <w:b/>
                <w:sz w:val="24"/>
                <w:szCs w:val="24"/>
              </w:rPr>
            </w:pPr>
            <w:r w:rsidRPr="00836FE4">
              <w:rPr>
                <w:sz w:val="24"/>
                <w:szCs w:val="24"/>
              </w:rPr>
              <w:t xml:space="preserve">Pašlaik ISDAVS sistēmā nav iespējams nodrošināt kopsavilkumu veidošanu ārējās tirdzniecības statistikas datiem, kas saistīts ar datu atrašanos un apstrādi dažādās vietnēs. Ņemot vērā ikmēneša datu apstrādes lielos apjomus un ar tiem saistīto publicējamo rādītāju un datu kopu skaitu, šādas kopsavilkumu veidošanas vietnes neesamība pagarina datu sagatavošanas laiku. Datu sagatavošanas procesu apgrūtina atšķirīgu aptvērumu (kopienas, nacionālie dati) un sistēmu (speciālā, vispārējā) datu kopu sagatavošana publicēšanai. Process tiek veikts, izmantojot dažādu programmnodrošinājumu. Publicējamo datu aptvērums, periodiskums, struktūra un kvalitātes prasības ir atšķirīgas katrai datu kopai. Virzoties uz standartizētu pieeju dažādu domēnu statistikā visā ES, ik gadu tiek papildināti kvalitātes rādītāji, tādēļ regulāri nepieciešams veidot jaunas kontroles papildus jau esošajām. </w:t>
            </w:r>
          </w:p>
          <w:p w:rsidR="00B559D5" w:rsidRPr="00836FE4" w:rsidP="00262DE5" w14:paraId="076ADF63" w14:textId="77777777">
            <w:pPr>
              <w:pStyle w:val="VPBody"/>
              <w:jc w:val="both"/>
              <w:rPr>
                <w:sz w:val="24"/>
                <w:szCs w:val="24"/>
              </w:rPr>
            </w:pPr>
            <w:r w:rsidRPr="00836FE4">
              <w:rPr>
                <w:sz w:val="24"/>
                <w:szCs w:val="24"/>
              </w:rPr>
              <w:t>Eiropas Savienības statistikas birojs (</w:t>
            </w:r>
            <w:r w:rsidRPr="00836FE4">
              <w:rPr>
                <w:i/>
                <w:sz w:val="24"/>
                <w:szCs w:val="24"/>
              </w:rPr>
              <w:t>Eurostat)</w:t>
            </w:r>
            <w:r w:rsidRPr="00836FE4">
              <w:rPr>
                <w:sz w:val="24"/>
                <w:szCs w:val="24"/>
              </w:rPr>
              <w:t xml:space="preserve"> ir uzsācis sarunas ar dalībvalstīm par obligātu preču ārējās tirdzniecības statistikas datu nosūtīšanu atbilstoši ISO 17369:2013 standartam par Statistisko datu un metadatu apmaiņu (SDMX). SDMX tehniskā standarta ieviešana </w:t>
            </w:r>
            <w:r w:rsidRPr="00836FE4">
              <w:rPr>
                <w:sz w:val="24"/>
                <w:szCs w:val="24"/>
              </w:rPr>
              <w:t xml:space="preserve">nodrošina savstarpēju savietojamību starp sistēmām, kas saistītas ar statistikas datu un ar tiem saistīto metadatu apmaiņu, ziņošanu un izplatīšanu. Saskaņā ar šo standartu tiek izstrādāti jauni datu formāti un datu struktūras definīcijas arī ārējās tirdzniecības statistikas datiem. Ar SDMX savietojama datu formāta lietošana preču ārējās tirdzniecības statistikas </w:t>
            </w:r>
            <w:r w:rsidRPr="00836FE4">
              <w:rPr>
                <w:sz w:val="24"/>
                <w:szCs w:val="24"/>
              </w:rPr>
              <w:t>agregētajām</w:t>
            </w:r>
            <w:r w:rsidRPr="00836FE4">
              <w:rPr>
                <w:sz w:val="24"/>
                <w:szCs w:val="24"/>
              </w:rPr>
              <w:t xml:space="preserve"> datu kopām attiecībā uz speciālās sistēmas kopienas datu aptvērumu tiek plānota jau no 2019. gada. Tiek plānots, ka datu sagatavošana šajā formātā visām ārējās tirdzniecības statistikas publicējamām datu kopām, kas jānosūta uz Eurostat, būs obligāta no 2020.gada.</w:t>
            </w:r>
          </w:p>
          <w:p w:rsidR="00B559D5" w:rsidRPr="00836FE4" w:rsidP="00262DE5" w14:paraId="2A087E95" w14:textId="77777777">
            <w:pPr>
              <w:pStyle w:val="VPBody"/>
              <w:jc w:val="both"/>
              <w:rPr>
                <w:sz w:val="24"/>
                <w:szCs w:val="24"/>
              </w:rPr>
            </w:pPr>
            <w:r w:rsidRPr="00836FE4">
              <w:rPr>
                <w:sz w:val="24"/>
                <w:szCs w:val="24"/>
              </w:rPr>
              <w:t xml:space="preserve">SDMX standartu izmantošanu atbalsta vai stingri iesaka tādas starptautiskas organizācijas, kā Starptautisko norēķinu banka, Eiropas Centrālā banka, </w:t>
            </w:r>
            <w:r w:rsidRPr="001114E0">
              <w:rPr>
                <w:i/>
                <w:sz w:val="24"/>
                <w:szCs w:val="24"/>
              </w:rPr>
              <w:t>Eurostat</w:t>
            </w:r>
            <w:r w:rsidRPr="00836FE4">
              <w:rPr>
                <w:sz w:val="24"/>
                <w:szCs w:val="24"/>
              </w:rPr>
              <w:t xml:space="preserve">, Starptautiskais Valūtas fonds, Ekonomiskās sadarbības un attīstības organizācija, Apvienoto Nāciju Organizācija un Pasaules Banka. </w:t>
            </w:r>
          </w:p>
          <w:p w:rsidR="00B559D5" w:rsidRPr="00836FE4" w:rsidP="00262DE5" w14:paraId="22ECD4A6" w14:textId="77777777">
            <w:pPr>
              <w:pStyle w:val="VPBody"/>
              <w:jc w:val="both"/>
              <w:rPr>
                <w:sz w:val="24"/>
                <w:szCs w:val="24"/>
              </w:rPr>
            </w:pPr>
            <w:r w:rsidRPr="00836FE4">
              <w:rPr>
                <w:sz w:val="24"/>
                <w:szCs w:val="24"/>
              </w:rPr>
              <w:t xml:space="preserve">Pašlaik publicējamo datu kopu sagatavošanas process nav automatizēts. Visu ārējās tirdzniecības statistikas datu un klasifikatoru pieejamība vienā sistēmā ļaus veidot automatizētu procesu, kas saīsinās Pārvaldes ekspertu darba laiku, kas patērēts regulāru atkārtotu darbību veikšanai sagatavojot un pārbaudot ikmēneša, ceturkšņa vai gada publicējamo datu kopu, jo īpaši paredzot šo datu atbilstību darbības programmas „Izaugsme un nodarbinātība” 2.2.1. specifiskā atbalsta mērķa „Nodrošināt publisko datu </w:t>
            </w:r>
            <w:r w:rsidRPr="00836FE4">
              <w:rPr>
                <w:sz w:val="24"/>
                <w:szCs w:val="24"/>
              </w:rPr>
              <w:t>atkalizmantošanas</w:t>
            </w:r>
            <w:r w:rsidRPr="00836FE4">
              <w:rPr>
                <w:sz w:val="24"/>
                <w:szCs w:val="24"/>
              </w:rPr>
              <w:t xml:space="preserve"> pieaugumu un efektīvu publiskās pārvaldes un privātā sektora mijiedarbību” uzsāktā projekta “Oficiālās statistikas portāls” paredzētajam, tostarp lietotājiem ērtu un mašīnlasāmu datu kopu sagatavošanu.</w:t>
            </w:r>
          </w:p>
          <w:p w:rsidR="00B559D5" w:rsidRPr="00836FE4" w:rsidP="00262DE5" w14:paraId="72A6B8D2" w14:textId="77777777">
            <w:pPr>
              <w:pStyle w:val="VPBody"/>
              <w:jc w:val="both"/>
              <w:rPr>
                <w:b/>
                <w:sz w:val="24"/>
                <w:szCs w:val="24"/>
              </w:rPr>
            </w:pPr>
            <w:r w:rsidRPr="00836FE4">
              <w:rPr>
                <w:b/>
                <w:sz w:val="24"/>
                <w:szCs w:val="24"/>
              </w:rPr>
              <w:t>Problēma 5. Oficiālās elektroniskās adreses lietošana saziņā ar respondentiem</w:t>
            </w:r>
          </w:p>
          <w:p w:rsidR="00B559D5" w:rsidRPr="00836FE4" w:rsidP="00262DE5" w14:paraId="010D4C4D" w14:textId="6FECB17C">
            <w:pPr>
              <w:pStyle w:val="VPBody"/>
              <w:jc w:val="both"/>
              <w:rPr>
                <w:sz w:val="24"/>
                <w:szCs w:val="24"/>
              </w:rPr>
            </w:pPr>
            <w:r>
              <w:rPr>
                <w:sz w:val="24"/>
                <w:szCs w:val="24"/>
              </w:rPr>
              <w:t>Lai gan</w:t>
            </w:r>
            <w:r w:rsidRPr="00836FE4">
              <w:rPr>
                <w:sz w:val="24"/>
                <w:szCs w:val="24"/>
              </w:rPr>
              <w:t xml:space="preserve"> </w:t>
            </w:r>
            <w:r w:rsidRPr="00836FE4" w:rsidR="00442911">
              <w:rPr>
                <w:sz w:val="24"/>
                <w:szCs w:val="24"/>
              </w:rPr>
              <w:t xml:space="preserve">Pārvalde jau ir DIV klients un izmanto šo sistēmu saziņā ar valsts iestādēm, tomēr statistikas ražošanas procesu nodrošināšanai saziņa ar respondentiem (statistisko datu sniedzējiem) tiek veikta izmantojot specializētu vēstuļu sūtīšanas moduli. Saziņa ar respondentiem ir elektronizēta, tomēr tā neatbilst prasībām, kas paredzētas </w:t>
            </w:r>
            <w:r w:rsidRPr="00836FE4" w:rsidR="00442911">
              <w:rPr>
                <w:i/>
                <w:sz w:val="24"/>
                <w:szCs w:val="24"/>
              </w:rPr>
              <w:t>Oficiālās elektroniskās adreses likumā</w:t>
            </w:r>
            <w:r w:rsidRPr="00836FE4" w:rsidR="00442911">
              <w:rPr>
                <w:sz w:val="24"/>
                <w:szCs w:val="24"/>
              </w:rPr>
              <w:t xml:space="preserve"> attiecībā uz privātpersonu oficiālo e-adresi un ar to saistītajiem pakalpojumiem no 2020.gada. Turpinoties DIV sistēmas modernizācijai, Pārvalde ir uzsākusi izvērtēt iestādes pamatdarbības procesus un oficiālās e-adreses lietošanas noteikumu ietekmi uz tiem. </w:t>
            </w:r>
          </w:p>
          <w:p w:rsidR="00B559D5" w:rsidRPr="00836FE4" w:rsidP="00262DE5" w14:paraId="7634CAC2" w14:textId="6661E073">
            <w:pPr>
              <w:pStyle w:val="VPBody"/>
              <w:jc w:val="both"/>
            </w:pPr>
            <w:r w:rsidRPr="00836FE4">
              <w:rPr>
                <w:sz w:val="24"/>
                <w:szCs w:val="24"/>
              </w:rPr>
              <w:t xml:space="preserve">Ir nepieciešamas jaunas funkcionalitātes </w:t>
            </w:r>
            <w:r w:rsidR="00F64998">
              <w:rPr>
                <w:sz w:val="24"/>
                <w:szCs w:val="24"/>
              </w:rPr>
              <w:t>Pārvaldes</w:t>
            </w:r>
            <w:r w:rsidRPr="00836FE4" w:rsidR="00F64998">
              <w:rPr>
                <w:sz w:val="24"/>
                <w:szCs w:val="24"/>
              </w:rPr>
              <w:t xml:space="preserve"> </w:t>
            </w:r>
            <w:r w:rsidRPr="00836FE4">
              <w:rPr>
                <w:sz w:val="24"/>
                <w:szCs w:val="24"/>
              </w:rPr>
              <w:t>esošajā sistēmā, ka arī jāveic izmaiņas vēstuļu nosūtīšanas modulī, lai varētu veikt vēstuļu nosūtīšanu atbilstoši prasībām,</w:t>
            </w:r>
            <w:bookmarkStart w:id="0" w:name="_GoBack"/>
            <w:bookmarkEnd w:id="0"/>
            <w:r w:rsidRPr="00836FE4">
              <w:rPr>
                <w:sz w:val="24"/>
                <w:szCs w:val="24"/>
              </w:rPr>
              <w:t xml:space="preserve"> kas paredzētas </w:t>
            </w:r>
            <w:r w:rsidRPr="00836FE4">
              <w:rPr>
                <w:i/>
                <w:sz w:val="24"/>
                <w:szCs w:val="24"/>
              </w:rPr>
              <w:t>Oficiālās elektroniskās adreses likumā</w:t>
            </w:r>
            <w:r w:rsidRPr="00836FE4">
              <w:rPr>
                <w:sz w:val="24"/>
                <w:szCs w:val="24"/>
              </w:rPr>
              <w:t xml:space="preserve">. </w:t>
            </w:r>
          </w:p>
        </w:tc>
      </w:tr>
      <w:tr w14:paraId="05472508" w14:textId="77777777" w:rsidTr="00262DE5">
        <w:tblPrEx>
          <w:tblW w:w="0" w:type="auto"/>
          <w:tblInd w:w="-55" w:type="dxa"/>
          <w:tblLayout w:type="fixed"/>
          <w:tblCellMar>
            <w:left w:w="57" w:type="dxa"/>
            <w:right w:w="57" w:type="dxa"/>
          </w:tblCellMar>
          <w:tblLook w:val="0000"/>
        </w:tblPrEx>
        <w:trPr>
          <w:trHeight w:val="476"/>
        </w:trPr>
        <w:tc>
          <w:tcPr>
            <w:tcW w:w="762" w:type="dxa"/>
            <w:tcBorders>
              <w:top w:val="thickThinLargeGap" w:sz="6" w:space="0" w:color="C0C0C0"/>
              <w:left w:val="thickThinLargeGap" w:sz="6" w:space="0" w:color="C0C0C0"/>
              <w:bottom w:val="thickThinLargeGap" w:sz="6" w:space="0" w:color="C0C0C0"/>
            </w:tcBorders>
          </w:tcPr>
          <w:p w:rsidR="00B559D5" w:rsidRPr="00836FE4" w:rsidP="00262DE5" w14:paraId="37C12823" w14:textId="77777777">
            <w:r w:rsidRPr="00836FE4">
              <w:rPr>
                <w:lang w:eastAsia="en-US"/>
              </w:rPr>
              <w:t> 3.</w:t>
            </w:r>
          </w:p>
        </w:tc>
        <w:tc>
          <w:tcPr>
            <w:tcW w:w="1986" w:type="dxa"/>
            <w:tcBorders>
              <w:top w:val="thickThinLargeGap" w:sz="6" w:space="0" w:color="C0C0C0"/>
              <w:left w:val="thickThinLargeGap" w:sz="6" w:space="0" w:color="C0C0C0"/>
              <w:bottom w:val="thickThinLargeGap" w:sz="6" w:space="0" w:color="C0C0C0"/>
            </w:tcBorders>
          </w:tcPr>
          <w:p w:rsidR="00B559D5" w:rsidRPr="00836FE4" w:rsidP="00262DE5" w14:paraId="082D9731" w14:textId="77777777">
            <w:r w:rsidRPr="00836FE4">
              <w:rPr>
                <w:lang w:eastAsia="en-US"/>
              </w:rPr>
              <w:t xml:space="preserve">Projekta izstrādē iesaistītās </w:t>
            </w:r>
            <w:r w:rsidRPr="00836FE4">
              <w:rPr>
                <w:lang w:eastAsia="en-US"/>
              </w:rPr>
              <w:t>institūcijas un publiskas personas kapitālsabiedrības</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rsidR="00B559D5" w:rsidRPr="00836FE4" w:rsidP="00262DE5" w14:paraId="580DE96C" w14:textId="77777777">
            <w:pPr>
              <w:jc w:val="both"/>
              <w:rPr>
                <w:lang w:eastAsia="lv-LV"/>
              </w:rPr>
            </w:pPr>
            <w:r w:rsidRPr="00836FE4">
              <w:rPr>
                <w:lang w:eastAsia="lv-LV"/>
              </w:rPr>
              <w:t>Pārvalde</w:t>
            </w:r>
          </w:p>
          <w:p w:rsidR="00B559D5" w:rsidRPr="00836FE4" w:rsidP="00262DE5" w14:paraId="28C0BE09" w14:textId="77777777">
            <w:pPr>
              <w:pStyle w:val="VPBody"/>
              <w:spacing w:after="120" w:line="276" w:lineRule="auto"/>
              <w:rPr>
                <w:sz w:val="24"/>
                <w:szCs w:val="24"/>
              </w:rPr>
            </w:pPr>
          </w:p>
        </w:tc>
      </w:tr>
      <w:tr w14:paraId="7892BBAA" w14:textId="77777777" w:rsidTr="00262DE5">
        <w:tblPrEx>
          <w:tblW w:w="0" w:type="auto"/>
          <w:tblInd w:w="-55" w:type="dxa"/>
          <w:tblLayout w:type="fixed"/>
          <w:tblCellMar>
            <w:left w:w="57" w:type="dxa"/>
            <w:right w:w="57" w:type="dxa"/>
          </w:tblCellMar>
          <w:tblLook w:val="0000"/>
        </w:tblPrEx>
        <w:tc>
          <w:tcPr>
            <w:tcW w:w="762" w:type="dxa"/>
            <w:tcBorders>
              <w:top w:val="thickThinLargeGap" w:sz="6" w:space="0" w:color="C0C0C0"/>
              <w:left w:val="thickThinLargeGap" w:sz="6" w:space="0" w:color="C0C0C0"/>
              <w:bottom w:val="thickThinLargeGap" w:sz="6" w:space="0" w:color="C0C0C0"/>
            </w:tcBorders>
          </w:tcPr>
          <w:p w:rsidR="00B559D5" w:rsidRPr="00836FE4" w:rsidP="00262DE5" w14:paraId="15645B82" w14:textId="77777777">
            <w:r w:rsidRPr="00836FE4">
              <w:rPr>
                <w:lang w:eastAsia="en-US"/>
              </w:rPr>
              <w:t> 4.</w:t>
            </w:r>
          </w:p>
        </w:tc>
        <w:tc>
          <w:tcPr>
            <w:tcW w:w="1986" w:type="dxa"/>
            <w:tcBorders>
              <w:top w:val="thickThinLargeGap" w:sz="6" w:space="0" w:color="C0C0C0"/>
              <w:left w:val="thickThinLargeGap" w:sz="6" w:space="0" w:color="C0C0C0"/>
              <w:bottom w:val="thickThinLargeGap" w:sz="6" w:space="0" w:color="C0C0C0"/>
            </w:tcBorders>
          </w:tcPr>
          <w:p w:rsidR="00B559D5" w:rsidRPr="00836FE4" w:rsidP="00262DE5" w14:paraId="46173529" w14:textId="77777777">
            <w:r w:rsidRPr="00836FE4">
              <w:rPr>
                <w:lang w:eastAsia="en-US"/>
              </w:rPr>
              <w:t> Cita informācija</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rsidR="00B559D5" w:rsidRPr="00836FE4" w:rsidP="00262DE5" w14:paraId="035F42CF" w14:textId="77777777">
            <w:pPr>
              <w:jc w:val="both"/>
            </w:pPr>
            <w:r w:rsidRPr="00836FE4">
              <w:rPr>
                <w:lang w:eastAsia="en-US"/>
              </w:rPr>
              <w:t>Nav.</w:t>
            </w:r>
          </w:p>
        </w:tc>
      </w:tr>
    </w:tbl>
    <w:p w:rsidR="00B559D5" w:rsidRPr="00836FE4" w:rsidP="00B559D5" w14:paraId="30365900" w14:textId="77777777">
      <w:pPr>
        <w:jc w:val="both"/>
      </w:pPr>
      <w:r w:rsidRPr="00836FE4">
        <w:t> </w:t>
      </w:r>
    </w:p>
    <w:tbl>
      <w:tblPr>
        <w:tblW w:w="9855" w:type="dxa"/>
        <w:tblInd w:w="2" w:type="dxa"/>
        <w:tblLayout w:type="fixed"/>
        <w:tblCellMar>
          <w:left w:w="0" w:type="dxa"/>
          <w:right w:w="0" w:type="dxa"/>
        </w:tblCellMar>
        <w:tblLook w:val="0000"/>
      </w:tblPr>
      <w:tblGrid>
        <w:gridCol w:w="763"/>
        <w:gridCol w:w="2694"/>
        <w:gridCol w:w="6398"/>
      </w:tblGrid>
      <w:tr w14:paraId="3904390E" w14:textId="77777777" w:rsidTr="00262DE5">
        <w:tblPrEx>
          <w:tblW w:w="9855" w:type="dxa"/>
          <w:tblInd w:w="2" w:type="dxa"/>
          <w:tblLayout w:type="fixed"/>
          <w:tblCellMar>
            <w:left w:w="0" w:type="dxa"/>
            <w:right w:w="0" w:type="dxa"/>
          </w:tblCellMar>
          <w:tblLook w:val="0000"/>
        </w:tblPrEx>
        <w:trPr>
          <w:trHeight w:val="585"/>
        </w:trPr>
        <w:tc>
          <w:tcPr>
            <w:tcW w:w="9855"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B559D5" w:rsidRPr="00836FE4" w:rsidP="00262DE5" w14:paraId="300132BD" w14:textId="77777777">
            <w:pPr>
              <w:jc w:val="center"/>
            </w:pPr>
            <w:r w:rsidRPr="00836FE4">
              <w:rPr>
                <w:b/>
                <w:bCs/>
              </w:rPr>
              <w:t> II. Tiesību akta projekta ietekme uz sabiedrību, tautsaimniecības attīstību un administratīvo slogu</w:t>
            </w:r>
          </w:p>
        </w:tc>
      </w:tr>
      <w:tr w14:paraId="412C7E0B" w14:textId="77777777" w:rsidTr="00262DE5">
        <w:tblPrEx>
          <w:tblW w:w="9855" w:type="dxa"/>
          <w:tblInd w:w="2" w:type="dxa"/>
          <w:tblLayout w:type="fixed"/>
          <w:tblCellMar>
            <w:left w:w="57" w:type="dxa"/>
            <w:right w:w="57" w:type="dxa"/>
          </w:tblCellMar>
          <w:tblLook w:val="0000"/>
        </w:tblPrEx>
        <w:trPr>
          <w:trHeight w:val="905"/>
        </w:trPr>
        <w:tc>
          <w:tcPr>
            <w:tcW w:w="763" w:type="dxa"/>
            <w:tcBorders>
              <w:top w:val="thickThinLargeGap" w:sz="6" w:space="0" w:color="C0C0C0"/>
              <w:left w:val="thickThinLargeGap" w:sz="6" w:space="0" w:color="C0C0C0"/>
              <w:bottom w:val="thickThinLargeGap" w:sz="6" w:space="0" w:color="C0C0C0"/>
            </w:tcBorders>
          </w:tcPr>
          <w:p w:rsidR="00B559D5" w:rsidRPr="00836FE4" w:rsidP="00262DE5" w14:paraId="720D90FF" w14:textId="77777777">
            <w:r w:rsidRPr="00836FE4">
              <w:rPr>
                <w:lang w:eastAsia="en-US"/>
              </w:rPr>
              <w:t>1.</w:t>
            </w:r>
          </w:p>
        </w:tc>
        <w:tc>
          <w:tcPr>
            <w:tcW w:w="2694" w:type="dxa"/>
            <w:tcBorders>
              <w:top w:val="thickThinLargeGap" w:sz="6" w:space="0" w:color="C0C0C0"/>
              <w:left w:val="thickThinLargeGap" w:sz="6" w:space="0" w:color="C0C0C0"/>
              <w:bottom w:val="thickThinLargeGap" w:sz="6" w:space="0" w:color="C0C0C0"/>
            </w:tcBorders>
          </w:tcPr>
          <w:p w:rsidR="00B559D5" w:rsidRPr="00836FE4" w:rsidP="00262DE5" w14:paraId="0D806859" w14:textId="77777777">
            <w:r w:rsidRPr="00836FE4">
              <w:rPr>
                <w:lang w:eastAsia="en-US"/>
              </w:rPr>
              <w:t>Sabiedrības mērķgrupas, kuras tiesiskais regulējums ietekmē vai varētu ietekmēt</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rsidR="00B559D5" w:rsidRPr="00836FE4" w:rsidP="00262DE5" w14:paraId="122FCC6B" w14:textId="77777777">
            <w:pPr>
              <w:pStyle w:val="naiskr"/>
              <w:ind w:left="71"/>
              <w:jc w:val="both"/>
              <w:rPr>
                <w:lang w:eastAsia="en-US"/>
              </w:rPr>
            </w:pPr>
            <w:r w:rsidRPr="00836FE4">
              <w:rPr>
                <w:lang w:eastAsia="en-US"/>
              </w:rPr>
              <w:t>Ārējās tirdzniecības statistikas datu lietotāji - sabiedrība kopumā (valsts un starptautiskā līmenī), valsts pārvalde, pētniecības un uzņēmējdarbības sektors, nevalstiskās organizācijas, starptautiskās organizācijas.</w:t>
            </w:r>
          </w:p>
          <w:p w:rsidR="00B559D5" w:rsidRPr="00836FE4" w:rsidP="00262DE5" w14:paraId="4EC1CD2F" w14:textId="77777777">
            <w:pPr>
              <w:pStyle w:val="naiskr"/>
              <w:ind w:left="71"/>
              <w:jc w:val="both"/>
              <w:rPr>
                <w:lang w:eastAsia="en-US"/>
              </w:rPr>
            </w:pPr>
            <w:r w:rsidRPr="00836FE4">
              <w:rPr>
                <w:lang w:eastAsia="en-US"/>
              </w:rPr>
              <w:t>Respondenti (datu sniedzēji), iestādes, kuru rīcībā ir administratīvie dati preču ārējās tirdzniecības statistikas sagatavošanai.</w:t>
            </w:r>
          </w:p>
          <w:p w:rsidR="00B559D5" w:rsidRPr="00836FE4" w:rsidP="00262DE5" w14:paraId="7BE95345" w14:textId="77777777">
            <w:pPr>
              <w:pStyle w:val="naiskr"/>
              <w:ind w:left="71"/>
              <w:jc w:val="both"/>
            </w:pPr>
            <w:r w:rsidRPr="00836FE4">
              <w:rPr>
                <w:lang w:eastAsia="en-US"/>
              </w:rPr>
              <w:t>Eurostat, 27 ES valstu statistikas iestādes, kas iesaistītas preču arējās tirdzniecības statistikas sagatavošanā.</w:t>
            </w:r>
          </w:p>
        </w:tc>
      </w:tr>
      <w:tr w14:paraId="5EFABE2A" w14:textId="77777777" w:rsidTr="00262DE5">
        <w:tblPrEx>
          <w:tblW w:w="9855" w:type="dxa"/>
          <w:tblInd w:w="2" w:type="dxa"/>
          <w:tblLayout w:type="fixed"/>
          <w:tblCellMar>
            <w:left w:w="57" w:type="dxa"/>
            <w:right w:w="57" w:type="dxa"/>
          </w:tblCellMar>
          <w:tblLook w:val="0000"/>
        </w:tblPrEx>
        <w:trPr>
          <w:trHeight w:val="628"/>
        </w:trPr>
        <w:tc>
          <w:tcPr>
            <w:tcW w:w="763" w:type="dxa"/>
            <w:tcBorders>
              <w:top w:val="thickThinLargeGap" w:sz="6" w:space="0" w:color="C0C0C0"/>
              <w:left w:val="thickThinLargeGap" w:sz="6" w:space="0" w:color="C0C0C0"/>
              <w:bottom w:val="thickThinLargeGap" w:sz="6" w:space="0" w:color="C0C0C0"/>
            </w:tcBorders>
          </w:tcPr>
          <w:p w:rsidR="00B559D5" w:rsidRPr="00836FE4" w:rsidP="00262DE5" w14:paraId="62EC4F20" w14:textId="77777777">
            <w:r w:rsidRPr="00836FE4">
              <w:rPr>
                <w:lang w:eastAsia="en-US"/>
              </w:rPr>
              <w:t>2.</w:t>
            </w:r>
          </w:p>
        </w:tc>
        <w:tc>
          <w:tcPr>
            <w:tcW w:w="2694" w:type="dxa"/>
            <w:tcBorders>
              <w:top w:val="thickThinLargeGap" w:sz="6" w:space="0" w:color="C0C0C0"/>
              <w:left w:val="thickThinLargeGap" w:sz="6" w:space="0" w:color="C0C0C0"/>
              <w:bottom w:val="thickThinLargeGap" w:sz="6" w:space="0" w:color="C0C0C0"/>
            </w:tcBorders>
          </w:tcPr>
          <w:p w:rsidR="00B559D5" w:rsidRPr="00836FE4" w:rsidP="00262DE5" w14:paraId="1EA46461" w14:textId="77777777">
            <w:r w:rsidRPr="00836FE4">
              <w:rPr>
                <w:lang w:eastAsia="en-US"/>
              </w:rPr>
              <w:t>Tiesiskā regulējuma ietekme uz tautsaimniecību un administratīvo slogu</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rsidR="00B559D5" w:rsidRPr="00836FE4" w:rsidP="00262DE5" w14:paraId="23ABAA57" w14:textId="53EC861A">
            <w:pPr>
              <w:pStyle w:val="naiskr"/>
              <w:spacing w:before="0" w:after="0"/>
              <w:ind w:left="71"/>
              <w:jc w:val="both"/>
            </w:pPr>
            <w:r w:rsidRPr="00836FE4">
              <w:t xml:space="preserve">Projektā paredzētās aktivitātes ir saistītas ar </w:t>
            </w:r>
            <w:r w:rsidRPr="00836FE4" w:rsidR="00836FE4">
              <w:t>Pārvaldes</w:t>
            </w:r>
            <w:r w:rsidRPr="00836FE4">
              <w:t xml:space="preserve"> procesu un sniegto pakalpojumu efektivitātes paaugstināšanu preču ārējās tirdzniecības statistikas jomā, </w:t>
            </w:r>
            <w:r w:rsidRPr="00836FE4" w:rsidR="00A56529">
              <w:t>tād</w:t>
            </w:r>
            <w:r w:rsidR="00A56529">
              <w:t>ē</w:t>
            </w:r>
            <w:r w:rsidRPr="00836FE4" w:rsidR="00A56529">
              <w:t xml:space="preserve">jādi </w:t>
            </w:r>
            <w:r w:rsidRPr="00836FE4">
              <w:t xml:space="preserve">uzlabojot </w:t>
            </w:r>
            <w:r w:rsidRPr="00836FE4" w:rsidR="00836FE4">
              <w:t>Pārvaldes</w:t>
            </w:r>
            <w:r w:rsidRPr="00836FE4">
              <w:t xml:space="preserve"> sniegto pakalpojumu kvalitāti un pieejamību. </w:t>
            </w:r>
          </w:p>
          <w:p w:rsidR="00B559D5" w:rsidRPr="00836FE4" w:rsidP="00262DE5" w14:paraId="0BB2A1ED" w14:textId="33E1639F">
            <w:pPr>
              <w:pStyle w:val="naiskr"/>
              <w:spacing w:before="0" w:after="0"/>
              <w:ind w:left="71"/>
              <w:jc w:val="both"/>
            </w:pPr>
            <w:r w:rsidRPr="00836FE4">
              <w:t xml:space="preserve">Papildu administratīvo datu ieguve un to uzlabota apstrāde radīs priekšnoteikumus administratīvā sloga samazināšanai </w:t>
            </w:r>
            <w:r w:rsidRPr="00836FE4">
              <w:t>Intrastat</w:t>
            </w:r>
            <w:r w:rsidRPr="00836FE4">
              <w:t xml:space="preserve"> respondentiem.</w:t>
            </w:r>
          </w:p>
        </w:tc>
      </w:tr>
      <w:tr w14:paraId="7DF48EF0" w14:textId="77777777" w:rsidTr="00262DE5">
        <w:tblPrEx>
          <w:tblW w:w="9855" w:type="dxa"/>
          <w:tblInd w:w="2" w:type="dxa"/>
          <w:tblLayout w:type="fixed"/>
          <w:tblCellMar>
            <w:left w:w="57" w:type="dxa"/>
            <w:right w:w="57" w:type="dxa"/>
          </w:tblCellMar>
          <w:tblLook w:val="0000"/>
        </w:tblPrEx>
        <w:tc>
          <w:tcPr>
            <w:tcW w:w="763" w:type="dxa"/>
            <w:tcBorders>
              <w:top w:val="thickThinLargeGap" w:sz="6" w:space="0" w:color="C0C0C0"/>
              <w:left w:val="thickThinLargeGap" w:sz="6" w:space="0" w:color="C0C0C0"/>
              <w:bottom w:val="thickThinLargeGap" w:sz="6" w:space="0" w:color="C0C0C0"/>
            </w:tcBorders>
          </w:tcPr>
          <w:p w:rsidR="00B559D5" w:rsidRPr="00836FE4" w:rsidP="00262DE5" w14:paraId="545E2C85" w14:textId="77777777">
            <w:r w:rsidRPr="00836FE4">
              <w:rPr>
                <w:lang w:eastAsia="en-US"/>
              </w:rPr>
              <w:t>3.</w:t>
            </w:r>
          </w:p>
        </w:tc>
        <w:tc>
          <w:tcPr>
            <w:tcW w:w="2694" w:type="dxa"/>
            <w:tcBorders>
              <w:top w:val="thickThinLargeGap" w:sz="6" w:space="0" w:color="C0C0C0"/>
              <w:left w:val="thickThinLargeGap" w:sz="6" w:space="0" w:color="C0C0C0"/>
              <w:bottom w:val="thickThinLargeGap" w:sz="6" w:space="0" w:color="C0C0C0"/>
            </w:tcBorders>
          </w:tcPr>
          <w:p w:rsidR="00B559D5" w:rsidRPr="00836FE4" w:rsidP="00262DE5" w14:paraId="3BDECD4C" w14:textId="77777777">
            <w:r w:rsidRPr="00836FE4">
              <w:rPr>
                <w:lang w:eastAsia="en-US"/>
              </w:rPr>
              <w:t>Administratīvo izmaksu monetārais novērtējums</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rsidR="00B559D5" w:rsidRPr="00836FE4" w:rsidP="00262DE5" w14:paraId="6D76B46C" w14:textId="77777777">
            <w:pPr>
              <w:jc w:val="both"/>
            </w:pPr>
            <w:r w:rsidRPr="00836FE4">
              <w:t>Nav attiecināms</w:t>
            </w:r>
          </w:p>
        </w:tc>
      </w:tr>
      <w:tr w14:paraId="6632FD16" w14:textId="77777777" w:rsidTr="00262DE5">
        <w:tblPrEx>
          <w:tblW w:w="9855" w:type="dxa"/>
          <w:tblInd w:w="2" w:type="dxa"/>
          <w:tblLayout w:type="fixed"/>
          <w:tblCellMar>
            <w:left w:w="57" w:type="dxa"/>
            <w:right w:w="57" w:type="dxa"/>
          </w:tblCellMar>
          <w:tblLook w:val="0000"/>
        </w:tblPrEx>
        <w:tc>
          <w:tcPr>
            <w:tcW w:w="763" w:type="dxa"/>
            <w:tcBorders>
              <w:top w:val="thickThinLargeGap" w:sz="6" w:space="0" w:color="C0C0C0"/>
              <w:left w:val="thickThinLargeGap" w:sz="6" w:space="0" w:color="C0C0C0"/>
              <w:bottom w:val="thickThinLargeGap" w:sz="6" w:space="0" w:color="C0C0C0"/>
            </w:tcBorders>
          </w:tcPr>
          <w:p w:rsidR="00B559D5" w:rsidRPr="00836FE4" w:rsidP="00262DE5" w14:paraId="2A1C8932" w14:textId="77777777">
            <w:r w:rsidRPr="00836FE4">
              <w:rPr>
                <w:lang w:eastAsia="en-US"/>
              </w:rPr>
              <w:t>4.</w:t>
            </w:r>
          </w:p>
        </w:tc>
        <w:tc>
          <w:tcPr>
            <w:tcW w:w="2694" w:type="dxa"/>
            <w:tcBorders>
              <w:top w:val="thickThinLargeGap" w:sz="6" w:space="0" w:color="C0C0C0"/>
              <w:left w:val="thickThinLargeGap" w:sz="6" w:space="0" w:color="C0C0C0"/>
              <w:bottom w:val="thickThinLargeGap" w:sz="6" w:space="0" w:color="C0C0C0"/>
            </w:tcBorders>
          </w:tcPr>
          <w:p w:rsidR="00B559D5" w:rsidRPr="00836FE4" w:rsidP="00262DE5" w14:paraId="23C80E52" w14:textId="77777777">
            <w:r w:rsidRPr="00836FE4">
              <w:rPr>
                <w:lang w:eastAsia="en-US"/>
              </w:rPr>
              <w:t>Cita informācija</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rsidR="00B559D5" w:rsidRPr="00836FE4" w:rsidP="00262DE5" w14:paraId="4CDA1A62" w14:textId="77777777">
            <w:pPr>
              <w:jc w:val="both"/>
            </w:pPr>
            <w:r w:rsidRPr="00836FE4">
              <w:rPr>
                <w:lang w:eastAsia="en-US"/>
              </w:rPr>
              <w:t xml:space="preserve">Nav </w:t>
            </w:r>
          </w:p>
        </w:tc>
      </w:tr>
    </w:tbl>
    <w:p w:rsidR="00B559D5" w:rsidRPr="00836FE4" w:rsidP="00B559D5" w14:paraId="4D242CE1" w14:textId="77777777">
      <w:pPr>
        <w:jc w:val="both"/>
      </w:pPr>
    </w:p>
    <w:tbl>
      <w:tblPr>
        <w:tblpPr w:leftFromText="180" w:rightFromText="180" w:vertAnchor="text" w:tblpY="1"/>
        <w:tblOverlap w:val="never"/>
        <w:tblW w:w="991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98"/>
        <w:gridCol w:w="30"/>
        <w:gridCol w:w="960"/>
        <w:gridCol w:w="2205"/>
        <w:gridCol w:w="867"/>
        <w:gridCol w:w="1054"/>
        <w:gridCol w:w="867"/>
        <w:gridCol w:w="1054"/>
        <w:gridCol w:w="1280"/>
      </w:tblGrid>
      <w:tr w14:paraId="7C4E5144" w14:textId="77777777" w:rsidTr="00537167">
        <w:tblPrEx>
          <w:tblW w:w="991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9855" w:type="dxa"/>
            <w:gridSpan w:val="9"/>
            <w:tcBorders>
              <w:top w:val="outset" w:sz="6" w:space="0" w:color="auto"/>
              <w:left w:val="outset" w:sz="6" w:space="0" w:color="auto"/>
              <w:bottom w:val="outset" w:sz="6" w:space="0" w:color="auto"/>
              <w:right w:val="outset" w:sz="6" w:space="0" w:color="auto"/>
            </w:tcBorders>
            <w:vAlign w:val="center"/>
            <w:hideMark/>
          </w:tcPr>
          <w:p w:rsidR="00145D81" w:rsidRPr="00836FE4" w14:paraId="7FDA7F30" w14:textId="77777777">
            <w:pPr>
              <w:rPr>
                <w:b/>
                <w:bCs/>
                <w:iCs/>
                <w:color w:val="414142"/>
                <w:lang w:eastAsia="lv-LV"/>
              </w:rPr>
            </w:pPr>
            <w:r w:rsidRPr="00836FE4">
              <w:rPr>
                <w:b/>
                <w:bCs/>
                <w:iCs/>
                <w:color w:val="414142"/>
                <w:lang w:eastAsia="lv-LV"/>
              </w:rPr>
              <w:t>III. Tiesību akta projekta ietekme uz valsts budžetu un pašvaldību budžetiem</w:t>
            </w:r>
          </w:p>
        </w:tc>
      </w:tr>
      <w:tr w14:paraId="316E9348" w14:textId="77777777" w:rsidTr="00537167">
        <w:tblPrEx>
          <w:tblW w:w="9915" w:type="dxa"/>
          <w:tblCellSpacing w:w="15" w:type="dxa"/>
          <w:tblCellMar>
            <w:top w:w="30" w:type="dxa"/>
            <w:left w:w="30" w:type="dxa"/>
            <w:bottom w:w="30" w:type="dxa"/>
            <w:right w:w="30" w:type="dxa"/>
          </w:tblCellMar>
          <w:tblLook w:val="04A0"/>
        </w:tblPrEx>
        <w:trPr>
          <w:tblCellSpacing w:w="15" w:type="dxa"/>
        </w:trPr>
        <w:tc>
          <w:tcPr>
            <w:tcW w:w="1583"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45D81" w:rsidRPr="00836FE4" w14:paraId="63908F38" w14:textId="77777777">
            <w:pPr>
              <w:rPr>
                <w:iCs/>
                <w:color w:val="414142"/>
                <w:lang w:eastAsia="lv-LV"/>
              </w:rPr>
            </w:pPr>
            <w:r w:rsidRPr="00836FE4">
              <w:rPr>
                <w:iCs/>
                <w:color w:val="414142"/>
                <w:lang w:eastAsia="lv-LV"/>
              </w:rPr>
              <w:t>Rādītāji</w:t>
            </w:r>
          </w:p>
        </w:tc>
        <w:tc>
          <w:tcPr>
            <w:tcW w:w="234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45D81" w:rsidRPr="00836FE4" w14:paraId="3BD33860" w14:textId="77777777">
            <w:pPr>
              <w:rPr>
                <w:iCs/>
                <w:color w:val="414142"/>
                <w:lang w:eastAsia="lv-LV"/>
              </w:rPr>
            </w:pPr>
            <w:r w:rsidRPr="00836FE4">
              <w:rPr>
                <w:iCs/>
                <w:color w:val="414142"/>
                <w:lang w:eastAsia="lv-LV"/>
              </w:rPr>
              <w:t>2018</w:t>
            </w:r>
          </w:p>
        </w:tc>
        <w:tc>
          <w:tcPr>
            <w:tcW w:w="5868" w:type="dxa"/>
            <w:gridSpan w:val="5"/>
            <w:tcBorders>
              <w:top w:val="outset" w:sz="6" w:space="0" w:color="auto"/>
              <w:left w:val="outset" w:sz="6" w:space="0" w:color="auto"/>
              <w:bottom w:val="outset" w:sz="6" w:space="0" w:color="auto"/>
              <w:right w:val="outset" w:sz="6" w:space="0" w:color="auto"/>
            </w:tcBorders>
            <w:vAlign w:val="center"/>
            <w:hideMark/>
          </w:tcPr>
          <w:p w:rsidR="00145D81" w:rsidRPr="00836FE4" w14:paraId="31269D55" w14:textId="77777777">
            <w:pPr>
              <w:rPr>
                <w:iCs/>
                <w:color w:val="414142"/>
                <w:lang w:eastAsia="lv-LV"/>
              </w:rPr>
            </w:pPr>
            <w:r w:rsidRPr="00836FE4">
              <w:rPr>
                <w:iCs/>
                <w:color w:val="414142"/>
                <w:lang w:eastAsia="lv-LV"/>
              </w:rPr>
              <w:t>Turpmākie trīs gadi (</w:t>
            </w:r>
            <w:r w:rsidRPr="00836FE4">
              <w:rPr>
                <w:i/>
                <w:iCs/>
                <w:color w:val="414142"/>
                <w:lang w:eastAsia="lv-LV"/>
              </w:rPr>
              <w:t>euro</w:t>
            </w:r>
            <w:r w:rsidRPr="00836FE4">
              <w:rPr>
                <w:iCs/>
                <w:color w:val="414142"/>
                <w:lang w:eastAsia="lv-LV"/>
              </w:rPr>
              <w:t>)</w:t>
            </w:r>
          </w:p>
        </w:tc>
      </w:tr>
      <w:tr w14:paraId="2FD5D7C7" w14:textId="77777777" w:rsidTr="00537167">
        <w:tblPrEx>
          <w:tblW w:w="9915" w:type="dxa"/>
          <w:tblCellSpacing w:w="15" w:type="dxa"/>
          <w:tblCellMar>
            <w:top w:w="30" w:type="dxa"/>
            <w:left w:w="30" w:type="dxa"/>
            <w:bottom w:w="30" w:type="dxa"/>
            <w:right w:w="30" w:type="dxa"/>
          </w:tblCellMar>
          <w:tblLook w:val="04A0"/>
        </w:tblPrEx>
        <w:trPr>
          <w:tblCellSpacing w:w="15" w:type="dxa"/>
        </w:trPr>
        <w:tc>
          <w:tcPr>
            <w:tcW w:w="1583" w:type="dxa"/>
            <w:gridSpan w:val="2"/>
            <w:vMerge/>
            <w:tcBorders>
              <w:top w:val="outset" w:sz="6" w:space="0" w:color="auto"/>
              <w:left w:val="outset" w:sz="6" w:space="0" w:color="auto"/>
              <w:bottom w:val="outset" w:sz="6" w:space="0" w:color="auto"/>
              <w:right w:val="outset" w:sz="6" w:space="0" w:color="auto"/>
            </w:tcBorders>
            <w:vAlign w:val="center"/>
            <w:hideMark/>
          </w:tcPr>
          <w:p w:rsidR="00145D81" w:rsidRPr="00836FE4" w14:paraId="7A14FCFB" w14:textId="77777777">
            <w:pPr>
              <w:rPr>
                <w:iCs/>
                <w:color w:val="414142"/>
                <w:lang w:eastAsia="lv-LV"/>
              </w:rPr>
            </w:pPr>
          </w:p>
        </w:tc>
        <w:tc>
          <w:tcPr>
            <w:tcW w:w="2344" w:type="dxa"/>
            <w:gridSpan w:val="2"/>
            <w:vMerge/>
            <w:tcBorders>
              <w:top w:val="outset" w:sz="6" w:space="0" w:color="auto"/>
              <w:left w:val="outset" w:sz="6" w:space="0" w:color="auto"/>
              <w:bottom w:val="outset" w:sz="6" w:space="0" w:color="auto"/>
              <w:right w:val="outset" w:sz="6" w:space="0" w:color="auto"/>
            </w:tcBorders>
            <w:vAlign w:val="center"/>
            <w:hideMark/>
          </w:tcPr>
          <w:p w:rsidR="00145D81" w:rsidRPr="00836FE4" w14:paraId="123A227F" w14:textId="77777777">
            <w:pPr>
              <w:rPr>
                <w:iCs/>
                <w:color w:val="414142"/>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45D81" w:rsidRPr="00836FE4" w14:paraId="5B4A189C" w14:textId="77777777">
            <w:pPr>
              <w:rPr>
                <w:iCs/>
                <w:color w:val="414142"/>
                <w:lang w:eastAsia="lv-LV"/>
              </w:rPr>
            </w:pPr>
            <w:r w:rsidRPr="00836FE4">
              <w:rPr>
                <w:iCs/>
                <w:color w:val="414142"/>
                <w:lang w:eastAsia="lv-LV"/>
              </w:rPr>
              <w:t>2019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45D81" w:rsidRPr="00836FE4" w14:paraId="449EF489" w14:textId="77777777">
            <w:pPr>
              <w:rPr>
                <w:iCs/>
                <w:color w:val="414142"/>
                <w:lang w:eastAsia="lv-LV"/>
              </w:rPr>
            </w:pPr>
            <w:r w:rsidRPr="00836FE4">
              <w:rPr>
                <w:iCs/>
                <w:color w:val="414142"/>
                <w:lang w:eastAsia="lv-LV"/>
              </w:rPr>
              <w:t>2020</w:t>
            </w:r>
          </w:p>
        </w:tc>
        <w:tc>
          <w:tcPr>
            <w:tcW w:w="2026" w:type="dxa"/>
            <w:tcBorders>
              <w:top w:val="outset" w:sz="6" w:space="0" w:color="auto"/>
              <w:left w:val="outset" w:sz="6" w:space="0" w:color="auto"/>
              <w:bottom w:val="outset" w:sz="6" w:space="0" w:color="auto"/>
              <w:right w:val="outset" w:sz="6" w:space="0" w:color="auto"/>
            </w:tcBorders>
            <w:vAlign w:val="center"/>
            <w:hideMark/>
          </w:tcPr>
          <w:p w:rsidR="00145D81" w:rsidRPr="00836FE4" w14:paraId="2117F9C6" w14:textId="77777777">
            <w:pPr>
              <w:rPr>
                <w:iCs/>
                <w:color w:val="414142"/>
                <w:lang w:eastAsia="lv-LV"/>
              </w:rPr>
            </w:pPr>
            <w:r w:rsidRPr="00836FE4">
              <w:rPr>
                <w:iCs/>
                <w:color w:val="414142"/>
                <w:lang w:eastAsia="lv-LV"/>
              </w:rPr>
              <w:t>2021</w:t>
            </w:r>
          </w:p>
        </w:tc>
      </w:tr>
      <w:tr w14:paraId="63C29CB8" w14:textId="77777777" w:rsidTr="00537167">
        <w:tblPrEx>
          <w:tblW w:w="9915" w:type="dxa"/>
          <w:tblCellSpacing w:w="15" w:type="dxa"/>
          <w:tblCellMar>
            <w:top w:w="30" w:type="dxa"/>
            <w:left w:w="30" w:type="dxa"/>
            <w:bottom w:w="30" w:type="dxa"/>
            <w:right w:w="30" w:type="dxa"/>
          </w:tblCellMar>
          <w:tblLook w:val="04A0"/>
        </w:tblPrEx>
        <w:trPr>
          <w:tblCellSpacing w:w="15" w:type="dxa"/>
        </w:trPr>
        <w:tc>
          <w:tcPr>
            <w:tcW w:w="1583" w:type="dxa"/>
            <w:gridSpan w:val="2"/>
            <w:vMerge/>
            <w:tcBorders>
              <w:top w:val="outset" w:sz="6" w:space="0" w:color="auto"/>
              <w:left w:val="outset" w:sz="6" w:space="0" w:color="auto"/>
              <w:bottom w:val="outset" w:sz="6" w:space="0" w:color="auto"/>
              <w:right w:val="outset" w:sz="6" w:space="0" w:color="auto"/>
            </w:tcBorders>
            <w:vAlign w:val="center"/>
            <w:hideMark/>
          </w:tcPr>
          <w:p w:rsidR="00145D81" w:rsidRPr="00836FE4" w14:paraId="39C3C5A2" w14:textId="77777777">
            <w:pPr>
              <w:rPr>
                <w:iCs/>
                <w:color w:val="414142"/>
                <w:lang w:eastAsia="lv-LV"/>
              </w:rPr>
            </w:pPr>
          </w:p>
        </w:tc>
        <w:tc>
          <w:tcPr>
            <w:tcW w:w="930" w:type="dxa"/>
            <w:tcBorders>
              <w:top w:val="outset" w:sz="6" w:space="0" w:color="auto"/>
              <w:left w:val="outset" w:sz="6" w:space="0" w:color="auto"/>
              <w:bottom w:val="outset" w:sz="6" w:space="0" w:color="auto"/>
              <w:right w:val="outset" w:sz="6" w:space="0" w:color="auto"/>
            </w:tcBorders>
            <w:vAlign w:val="center"/>
            <w:hideMark/>
          </w:tcPr>
          <w:p w:rsidR="00145D81" w:rsidRPr="00836FE4" w14:paraId="2681B79D" w14:textId="77777777">
            <w:pPr>
              <w:rPr>
                <w:iCs/>
                <w:color w:val="414142"/>
                <w:lang w:eastAsia="lv-LV"/>
              </w:rPr>
            </w:pPr>
            <w:r w:rsidRPr="00836FE4">
              <w:rPr>
                <w:iCs/>
                <w:color w:val="414142"/>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596DBAC1" w14:textId="77777777">
            <w:pPr>
              <w:rPr>
                <w:iCs/>
                <w:color w:val="414142"/>
                <w:lang w:eastAsia="lv-LV"/>
              </w:rPr>
            </w:pPr>
            <w:r w:rsidRPr="00836FE4">
              <w:rPr>
                <w:iCs/>
                <w:color w:val="414142"/>
                <w:lang w:eastAsia="lv-LV"/>
              </w:rPr>
              <w:t>izmaiņas kārtējā gadā, salīdzinot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61A26B35" w14:textId="77777777">
            <w:pPr>
              <w:rPr>
                <w:iCs/>
                <w:color w:val="414142"/>
                <w:lang w:eastAsia="lv-LV"/>
              </w:rPr>
            </w:pPr>
            <w:r w:rsidRPr="00836FE4">
              <w:rPr>
                <w:iCs/>
                <w:color w:val="414142"/>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2EF7BC14" w14:textId="77777777">
            <w:pPr>
              <w:rPr>
                <w:iCs/>
                <w:color w:val="414142"/>
                <w:lang w:eastAsia="lv-LV"/>
              </w:rPr>
            </w:pPr>
            <w:r w:rsidRPr="00836FE4">
              <w:rPr>
                <w:iCs/>
                <w:color w:val="414142"/>
                <w:lang w:eastAsia="lv-LV"/>
              </w:rPr>
              <w:t>izmaiņas, salīdzinot ar vidēja termiņa budžeta ietvaru 2019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70F70D5A" w14:textId="77777777">
            <w:pPr>
              <w:rPr>
                <w:iCs/>
                <w:color w:val="414142"/>
                <w:lang w:eastAsia="lv-LV"/>
              </w:rPr>
            </w:pPr>
            <w:r w:rsidRPr="00836FE4">
              <w:rPr>
                <w:iCs/>
                <w:color w:val="414142"/>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50C8177A" w14:textId="77777777">
            <w:pPr>
              <w:rPr>
                <w:iCs/>
                <w:color w:val="414142"/>
                <w:lang w:eastAsia="lv-LV"/>
              </w:rPr>
            </w:pPr>
            <w:r w:rsidRPr="00836FE4">
              <w:rPr>
                <w:iCs/>
                <w:color w:val="414142"/>
                <w:lang w:eastAsia="lv-LV"/>
              </w:rPr>
              <w:t>izmaiņas, salīdzinot ar vidēja termiņa budžeta ietvaru 2020 gadam</w:t>
            </w:r>
          </w:p>
        </w:tc>
        <w:tc>
          <w:tcPr>
            <w:tcW w:w="2026" w:type="dxa"/>
            <w:tcBorders>
              <w:top w:val="outset" w:sz="6" w:space="0" w:color="auto"/>
              <w:left w:val="outset" w:sz="6" w:space="0" w:color="auto"/>
              <w:bottom w:val="outset" w:sz="6" w:space="0" w:color="auto"/>
              <w:right w:val="outset" w:sz="6" w:space="0" w:color="auto"/>
            </w:tcBorders>
            <w:vAlign w:val="center"/>
            <w:hideMark/>
          </w:tcPr>
          <w:p w:rsidR="00145D81" w:rsidRPr="00836FE4" w14:paraId="27397ECF" w14:textId="77777777">
            <w:pPr>
              <w:rPr>
                <w:iCs/>
                <w:color w:val="414142"/>
                <w:lang w:eastAsia="lv-LV"/>
              </w:rPr>
            </w:pPr>
            <w:r w:rsidRPr="00836FE4">
              <w:rPr>
                <w:iCs/>
                <w:color w:val="414142"/>
                <w:lang w:eastAsia="lv-LV"/>
              </w:rPr>
              <w:t>izmaiņas, salīdzinot ar vidēja termiņa budžeta ietvaru 2020 gadam</w:t>
            </w:r>
          </w:p>
        </w:tc>
      </w:tr>
      <w:tr w14:paraId="5F540591" w14:textId="77777777" w:rsidTr="00537167">
        <w:tblPrEx>
          <w:tblW w:w="9915" w:type="dxa"/>
          <w:tblCellSpacing w:w="15" w:type="dxa"/>
          <w:tblCellMar>
            <w:top w:w="30" w:type="dxa"/>
            <w:left w:w="30" w:type="dxa"/>
            <w:bottom w:w="30" w:type="dxa"/>
            <w:right w:w="30" w:type="dxa"/>
          </w:tblCellMar>
          <w:tblLook w:val="04A0"/>
        </w:tblPrEx>
        <w:trPr>
          <w:tblCellSpacing w:w="15" w:type="dxa"/>
        </w:trPr>
        <w:tc>
          <w:tcPr>
            <w:tcW w:w="1583" w:type="dxa"/>
            <w:gridSpan w:val="2"/>
            <w:tcBorders>
              <w:top w:val="outset" w:sz="6" w:space="0" w:color="auto"/>
              <w:left w:val="outset" w:sz="6" w:space="0" w:color="auto"/>
              <w:bottom w:val="outset" w:sz="6" w:space="0" w:color="auto"/>
              <w:right w:val="outset" w:sz="6" w:space="0" w:color="auto"/>
            </w:tcBorders>
            <w:vAlign w:val="center"/>
            <w:hideMark/>
          </w:tcPr>
          <w:p w:rsidR="00145D81" w:rsidRPr="00836FE4" w:rsidP="004636BE" w14:paraId="3C0330A9" w14:textId="77777777">
            <w:pPr>
              <w:jc w:val="center"/>
              <w:rPr>
                <w:iCs/>
                <w:color w:val="414142"/>
                <w:lang w:eastAsia="lv-LV"/>
              </w:rPr>
            </w:pPr>
            <w:r w:rsidRPr="00836FE4">
              <w:rPr>
                <w:iCs/>
                <w:color w:val="414142"/>
                <w:lang w:eastAsia="lv-LV"/>
              </w:rPr>
              <w:t>1</w:t>
            </w:r>
          </w:p>
        </w:tc>
        <w:tc>
          <w:tcPr>
            <w:tcW w:w="930" w:type="dxa"/>
            <w:tcBorders>
              <w:top w:val="outset" w:sz="6" w:space="0" w:color="auto"/>
              <w:left w:val="outset" w:sz="6" w:space="0" w:color="auto"/>
              <w:bottom w:val="outset" w:sz="6" w:space="0" w:color="auto"/>
              <w:right w:val="outset" w:sz="6" w:space="0" w:color="auto"/>
            </w:tcBorders>
            <w:vAlign w:val="center"/>
            <w:hideMark/>
          </w:tcPr>
          <w:p w:rsidR="00145D81" w:rsidRPr="00836FE4" w:rsidP="004636BE" w14:paraId="616E99DC" w14:textId="77777777">
            <w:pPr>
              <w:jc w:val="center"/>
              <w:rPr>
                <w:iCs/>
                <w:color w:val="414142"/>
                <w:lang w:eastAsia="lv-LV"/>
              </w:rPr>
            </w:pPr>
            <w:r w:rsidRPr="00836FE4">
              <w:rPr>
                <w:iCs/>
                <w:color w:val="414142"/>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rsidP="004636BE" w14:paraId="6B117E49" w14:textId="77777777">
            <w:pPr>
              <w:jc w:val="center"/>
              <w:rPr>
                <w:iCs/>
                <w:color w:val="414142"/>
                <w:lang w:eastAsia="lv-LV"/>
              </w:rPr>
            </w:pPr>
            <w:r w:rsidRPr="00836FE4">
              <w:rPr>
                <w:iCs/>
                <w:color w:val="414142"/>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rsidP="004636BE" w14:paraId="1926AFE8" w14:textId="77777777">
            <w:pPr>
              <w:jc w:val="center"/>
              <w:rPr>
                <w:iCs/>
                <w:color w:val="414142"/>
                <w:lang w:eastAsia="lv-LV"/>
              </w:rPr>
            </w:pPr>
            <w:r w:rsidRPr="00836FE4">
              <w:rPr>
                <w:iCs/>
                <w:color w:val="414142"/>
                <w:lang w:eastAsia="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rsidP="004636BE" w14:paraId="7C3714A5" w14:textId="77777777">
            <w:pPr>
              <w:jc w:val="center"/>
              <w:rPr>
                <w:iCs/>
                <w:color w:val="414142"/>
                <w:lang w:eastAsia="lv-LV"/>
              </w:rPr>
            </w:pPr>
            <w:r w:rsidRPr="00836FE4">
              <w:rPr>
                <w:iCs/>
                <w:color w:val="414142"/>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rsidP="004636BE" w14:paraId="681FF513" w14:textId="77777777">
            <w:pPr>
              <w:jc w:val="center"/>
              <w:rPr>
                <w:iCs/>
                <w:color w:val="414142"/>
                <w:lang w:eastAsia="lv-LV"/>
              </w:rPr>
            </w:pPr>
            <w:r w:rsidRPr="00836FE4">
              <w:rPr>
                <w:iCs/>
                <w:color w:val="414142"/>
                <w:lang w:eastAsia="lv-LV"/>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rsidP="004636BE" w14:paraId="2D09D2EA" w14:textId="77777777">
            <w:pPr>
              <w:jc w:val="center"/>
              <w:rPr>
                <w:iCs/>
                <w:color w:val="414142"/>
                <w:lang w:eastAsia="lv-LV"/>
              </w:rPr>
            </w:pPr>
            <w:r w:rsidRPr="00836FE4">
              <w:rPr>
                <w:iCs/>
                <w:color w:val="414142"/>
                <w:lang w:eastAsia="lv-LV"/>
              </w:rPr>
              <w:t>7</w:t>
            </w:r>
          </w:p>
        </w:tc>
        <w:tc>
          <w:tcPr>
            <w:tcW w:w="2026" w:type="dxa"/>
            <w:tcBorders>
              <w:top w:val="outset" w:sz="6" w:space="0" w:color="auto"/>
              <w:left w:val="outset" w:sz="6" w:space="0" w:color="auto"/>
              <w:bottom w:val="outset" w:sz="6" w:space="0" w:color="auto"/>
              <w:right w:val="outset" w:sz="6" w:space="0" w:color="auto"/>
            </w:tcBorders>
            <w:vAlign w:val="center"/>
            <w:hideMark/>
          </w:tcPr>
          <w:p w:rsidR="00145D81" w:rsidRPr="00836FE4" w:rsidP="004636BE" w14:paraId="6CED1BE5" w14:textId="77777777">
            <w:pPr>
              <w:jc w:val="center"/>
              <w:rPr>
                <w:iCs/>
                <w:color w:val="414142"/>
                <w:lang w:eastAsia="lv-LV"/>
              </w:rPr>
            </w:pPr>
            <w:r w:rsidRPr="00836FE4">
              <w:rPr>
                <w:iCs/>
                <w:color w:val="414142"/>
                <w:lang w:eastAsia="lv-LV"/>
              </w:rPr>
              <w:t>8</w:t>
            </w:r>
          </w:p>
        </w:tc>
      </w:tr>
      <w:tr w14:paraId="4D821198" w14:textId="77777777" w:rsidTr="00537167">
        <w:tblPrEx>
          <w:tblW w:w="9915" w:type="dxa"/>
          <w:tblCellSpacing w:w="15" w:type="dxa"/>
          <w:tblCellMar>
            <w:top w:w="30" w:type="dxa"/>
            <w:left w:w="30" w:type="dxa"/>
            <w:bottom w:w="30" w:type="dxa"/>
            <w:right w:w="30" w:type="dxa"/>
          </w:tblCellMar>
          <w:tblLook w:val="04A0"/>
        </w:tblPrEx>
        <w:trPr>
          <w:tblCellSpacing w:w="15" w:type="dxa"/>
        </w:trPr>
        <w:tc>
          <w:tcPr>
            <w:tcW w:w="1583" w:type="dxa"/>
            <w:gridSpan w:val="2"/>
            <w:tcBorders>
              <w:top w:val="outset" w:sz="6" w:space="0" w:color="auto"/>
              <w:left w:val="outset" w:sz="6" w:space="0" w:color="auto"/>
              <w:bottom w:val="outset" w:sz="6" w:space="0" w:color="auto"/>
              <w:right w:val="outset" w:sz="6" w:space="0" w:color="auto"/>
            </w:tcBorders>
            <w:hideMark/>
          </w:tcPr>
          <w:p w:rsidR="00145D81" w:rsidRPr="00836FE4" w14:paraId="356682BD" w14:textId="77777777">
            <w:pPr>
              <w:rPr>
                <w:iCs/>
                <w:color w:val="414142"/>
                <w:lang w:eastAsia="lv-LV"/>
              </w:rPr>
            </w:pPr>
            <w:r w:rsidRPr="00836FE4">
              <w:rPr>
                <w:iCs/>
                <w:color w:val="414142"/>
                <w:lang w:eastAsia="lv-LV"/>
              </w:rPr>
              <w:t>1. Budžeta ieņēmumi</w:t>
            </w:r>
          </w:p>
        </w:tc>
        <w:tc>
          <w:tcPr>
            <w:tcW w:w="930" w:type="dxa"/>
            <w:tcBorders>
              <w:top w:val="outset" w:sz="6" w:space="0" w:color="auto"/>
              <w:left w:val="outset" w:sz="6" w:space="0" w:color="auto"/>
              <w:bottom w:val="outset" w:sz="6" w:space="0" w:color="auto"/>
              <w:right w:val="outset" w:sz="6" w:space="0" w:color="auto"/>
            </w:tcBorders>
            <w:vAlign w:val="center"/>
            <w:hideMark/>
          </w:tcPr>
          <w:p w:rsidR="00145D81" w:rsidRPr="00836FE4" w14:paraId="38B25830" w14:textId="77777777">
            <w:pPr>
              <w:jc w:val="right"/>
              <w:rPr>
                <w:iCs/>
                <w:color w:val="414142"/>
                <w:lang w:eastAsia="lv-LV"/>
              </w:rPr>
            </w:pPr>
            <w:r w:rsidRPr="00836FE4">
              <w:rPr>
                <w:iCs/>
                <w:color w:val="414142"/>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2CEE06E0"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tcPr>
          <w:p w:rsidR="00145D81" w:rsidRPr="00836FE4" w14:paraId="428A8642"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tcPr>
          <w:p w:rsidR="00145D81" w:rsidRPr="00836FE4" w14:paraId="574D655F" w14:textId="0BDD0C29">
            <w:pPr>
              <w:jc w:val="right"/>
              <w:rPr>
                <w:iCs/>
                <w:color w:val="414142"/>
                <w:lang w:eastAsia="lv-LV"/>
              </w:rPr>
            </w:pPr>
            <w:r>
              <w:rPr>
                <w:iCs/>
                <w:color w:val="414142"/>
                <w:lang w:eastAsia="lv-LV"/>
              </w:rPr>
              <w:t>97 750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4F36CDB8"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047EEE61" w14:textId="3A2841C8">
            <w:pPr>
              <w:jc w:val="right"/>
              <w:rPr>
                <w:iCs/>
                <w:color w:val="414142"/>
                <w:lang w:eastAsia="lv-LV"/>
              </w:rPr>
            </w:pPr>
            <w:r>
              <w:rPr>
                <w:iCs/>
                <w:color w:val="414142"/>
                <w:lang w:eastAsia="lv-LV"/>
              </w:rPr>
              <w:t>263 500</w:t>
            </w:r>
          </w:p>
        </w:tc>
        <w:tc>
          <w:tcPr>
            <w:tcW w:w="2026" w:type="dxa"/>
            <w:tcBorders>
              <w:top w:val="outset" w:sz="6" w:space="0" w:color="auto"/>
              <w:left w:val="outset" w:sz="6" w:space="0" w:color="auto"/>
              <w:bottom w:val="outset" w:sz="6" w:space="0" w:color="auto"/>
              <w:right w:val="outset" w:sz="6" w:space="0" w:color="auto"/>
            </w:tcBorders>
            <w:vAlign w:val="center"/>
            <w:hideMark/>
          </w:tcPr>
          <w:p w:rsidR="00145D81" w:rsidRPr="00836FE4" w14:paraId="148BAD3F" w14:textId="35707B09">
            <w:pPr>
              <w:jc w:val="right"/>
              <w:rPr>
                <w:iCs/>
                <w:color w:val="414142"/>
                <w:lang w:eastAsia="lv-LV"/>
              </w:rPr>
            </w:pPr>
            <w:r>
              <w:rPr>
                <w:iCs/>
                <w:color w:val="414142"/>
                <w:lang w:eastAsia="lv-LV"/>
              </w:rPr>
              <w:t>0</w:t>
            </w:r>
          </w:p>
        </w:tc>
      </w:tr>
      <w:tr w14:paraId="2496EB73" w14:textId="77777777" w:rsidTr="00537167">
        <w:tblPrEx>
          <w:tblW w:w="9915" w:type="dxa"/>
          <w:tblCellSpacing w:w="15" w:type="dxa"/>
          <w:tblCellMar>
            <w:top w:w="30" w:type="dxa"/>
            <w:left w:w="30" w:type="dxa"/>
            <w:bottom w:w="30" w:type="dxa"/>
            <w:right w:w="30" w:type="dxa"/>
          </w:tblCellMar>
          <w:tblLook w:val="04A0"/>
        </w:tblPrEx>
        <w:trPr>
          <w:tblCellSpacing w:w="15" w:type="dxa"/>
        </w:trPr>
        <w:tc>
          <w:tcPr>
            <w:tcW w:w="1583" w:type="dxa"/>
            <w:gridSpan w:val="2"/>
            <w:tcBorders>
              <w:top w:val="outset" w:sz="6" w:space="0" w:color="auto"/>
              <w:left w:val="outset" w:sz="6" w:space="0" w:color="auto"/>
              <w:bottom w:val="outset" w:sz="6" w:space="0" w:color="auto"/>
              <w:right w:val="outset" w:sz="6" w:space="0" w:color="auto"/>
            </w:tcBorders>
            <w:hideMark/>
          </w:tcPr>
          <w:p w:rsidR="00145D81" w:rsidRPr="00836FE4" w14:paraId="11E9C78B" w14:textId="77777777">
            <w:pPr>
              <w:rPr>
                <w:iCs/>
                <w:color w:val="414142"/>
                <w:lang w:eastAsia="lv-LV"/>
              </w:rPr>
            </w:pPr>
            <w:r w:rsidRPr="00836FE4">
              <w:rPr>
                <w:iCs/>
                <w:color w:val="414142"/>
                <w:lang w:eastAsia="lv-LV"/>
              </w:rPr>
              <w:t xml:space="preserve">1.1. valsts pamatbudžets, tai skaitā </w:t>
            </w:r>
            <w:r w:rsidRPr="00836FE4">
              <w:rPr>
                <w:iCs/>
                <w:color w:val="414142"/>
                <w:lang w:eastAsia="lv-LV"/>
              </w:rPr>
              <w:t>ieņēmumi no maksas pakalpojumiem un citi pašu ieņēmumi</w:t>
            </w:r>
          </w:p>
        </w:tc>
        <w:tc>
          <w:tcPr>
            <w:tcW w:w="930" w:type="dxa"/>
            <w:tcBorders>
              <w:top w:val="outset" w:sz="6" w:space="0" w:color="auto"/>
              <w:left w:val="outset" w:sz="6" w:space="0" w:color="auto"/>
              <w:bottom w:val="outset" w:sz="6" w:space="0" w:color="auto"/>
              <w:right w:val="outset" w:sz="6" w:space="0" w:color="auto"/>
            </w:tcBorders>
            <w:vAlign w:val="center"/>
            <w:hideMark/>
          </w:tcPr>
          <w:p w:rsidR="00145D81" w:rsidRPr="00836FE4" w14:paraId="5098D25F"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11CB6D2B"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4427B841"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42D460D7" w14:textId="372CD8E5">
            <w:pPr>
              <w:jc w:val="right"/>
              <w:rPr>
                <w:iCs/>
                <w:color w:val="414142"/>
                <w:lang w:eastAsia="lv-LV"/>
              </w:rPr>
            </w:pPr>
            <w:r>
              <w:rPr>
                <w:iCs/>
                <w:color w:val="414142"/>
                <w:lang w:eastAsia="lv-LV"/>
              </w:rPr>
              <w:t>97 750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68940007"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10D20A47" w14:textId="4E898DC0">
            <w:pPr>
              <w:jc w:val="right"/>
              <w:rPr>
                <w:iCs/>
                <w:color w:val="414142"/>
                <w:lang w:eastAsia="lv-LV"/>
              </w:rPr>
            </w:pPr>
            <w:r>
              <w:rPr>
                <w:iCs/>
                <w:color w:val="414142"/>
                <w:lang w:eastAsia="lv-LV"/>
              </w:rPr>
              <w:t>263 500</w:t>
            </w:r>
          </w:p>
        </w:tc>
        <w:tc>
          <w:tcPr>
            <w:tcW w:w="2026" w:type="dxa"/>
            <w:tcBorders>
              <w:top w:val="outset" w:sz="6" w:space="0" w:color="auto"/>
              <w:left w:val="outset" w:sz="6" w:space="0" w:color="auto"/>
              <w:bottom w:val="outset" w:sz="6" w:space="0" w:color="auto"/>
              <w:right w:val="outset" w:sz="6" w:space="0" w:color="auto"/>
            </w:tcBorders>
            <w:vAlign w:val="center"/>
            <w:hideMark/>
          </w:tcPr>
          <w:p w:rsidR="00145D81" w:rsidRPr="00836FE4" w14:paraId="64E0F153" w14:textId="0E0FE04F">
            <w:pPr>
              <w:jc w:val="right"/>
              <w:rPr>
                <w:iCs/>
                <w:color w:val="414142"/>
                <w:lang w:eastAsia="lv-LV"/>
              </w:rPr>
            </w:pPr>
            <w:r>
              <w:rPr>
                <w:iCs/>
                <w:color w:val="414142"/>
                <w:lang w:eastAsia="lv-LV"/>
              </w:rPr>
              <w:t>0</w:t>
            </w:r>
          </w:p>
        </w:tc>
      </w:tr>
      <w:tr w14:paraId="65877CB0" w14:textId="77777777" w:rsidTr="00537167">
        <w:tblPrEx>
          <w:tblW w:w="9915" w:type="dxa"/>
          <w:tblCellSpacing w:w="15" w:type="dxa"/>
          <w:tblCellMar>
            <w:top w:w="30" w:type="dxa"/>
            <w:left w:w="30" w:type="dxa"/>
            <w:bottom w:w="30" w:type="dxa"/>
            <w:right w:w="30" w:type="dxa"/>
          </w:tblCellMar>
          <w:tblLook w:val="04A0"/>
        </w:tblPrEx>
        <w:trPr>
          <w:tblCellSpacing w:w="15" w:type="dxa"/>
        </w:trPr>
        <w:tc>
          <w:tcPr>
            <w:tcW w:w="1583" w:type="dxa"/>
            <w:gridSpan w:val="2"/>
            <w:tcBorders>
              <w:top w:val="outset" w:sz="6" w:space="0" w:color="auto"/>
              <w:left w:val="outset" w:sz="6" w:space="0" w:color="auto"/>
              <w:bottom w:val="outset" w:sz="6" w:space="0" w:color="auto"/>
              <w:right w:val="outset" w:sz="6" w:space="0" w:color="auto"/>
            </w:tcBorders>
            <w:hideMark/>
          </w:tcPr>
          <w:p w:rsidR="00145D81" w:rsidRPr="00836FE4" w14:paraId="4CD35CA4" w14:textId="77777777">
            <w:pPr>
              <w:rPr>
                <w:iCs/>
                <w:color w:val="414142"/>
                <w:lang w:eastAsia="lv-LV"/>
              </w:rPr>
            </w:pPr>
            <w:r w:rsidRPr="00836FE4">
              <w:rPr>
                <w:iCs/>
                <w:color w:val="414142"/>
                <w:lang w:eastAsia="lv-LV"/>
              </w:rPr>
              <w:t>1.2. valsts speciālais budžets</w:t>
            </w:r>
          </w:p>
        </w:tc>
        <w:tc>
          <w:tcPr>
            <w:tcW w:w="930" w:type="dxa"/>
            <w:tcBorders>
              <w:top w:val="outset" w:sz="6" w:space="0" w:color="auto"/>
              <w:left w:val="outset" w:sz="6" w:space="0" w:color="auto"/>
              <w:bottom w:val="outset" w:sz="6" w:space="0" w:color="auto"/>
              <w:right w:val="outset" w:sz="6" w:space="0" w:color="auto"/>
            </w:tcBorders>
            <w:vAlign w:val="center"/>
            <w:hideMark/>
          </w:tcPr>
          <w:p w:rsidR="00145D81" w:rsidRPr="00836FE4" w14:paraId="6395CC74" w14:textId="77777777">
            <w:pPr>
              <w:jc w:val="right"/>
              <w:rPr>
                <w:iCs/>
                <w:color w:val="414142"/>
                <w:lang w:eastAsia="lv-LV"/>
              </w:rPr>
            </w:pPr>
            <w:r w:rsidRPr="00836FE4">
              <w:rPr>
                <w:iCs/>
                <w:color w:val="414142"/>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04D165EC"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703FB1CC"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5694DF9C"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2853514B"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1F627A1F" w14:textId="77777777">
            <w:pPr>
              <w:jc w:val="right"/>
              <w:rPr>
                <w:iCs/>
                <w:color w:val="414142"/>
                <w:lang w:eastAsia="lv-LV"/>
              </w:rPr>
            </w:pPr>
            <w:r w:rsidRPr="00836FE4">
              <w:rPr>
                <w:iCs/>
                <w:color w:val="414142"/>
                <w:lang w:eastAsia="lv-LV"/>
              </w:rPr>
              <w:t>0</w:t>
            </w:r>
          </w:p>
        </w:tc>
        <w:tc>
          <w:tcPr>
            <w:tcW w:w="2026" w:type="dxa"/>
            <w:tcBorders>
              <w:top w:val="outset" w:sz="6" w:space="0" w:color="auto"/>
              <w:left w:val="outset" w:sz="6" w:space="0" w:color="auto"/>
              <w:bottom w:val="outset" w:sz="6" w:space="0" w:color="auto"/>
              <w:right w:val="outset" w:sz="6" w:space="0" w:color="auto"/>
            </w:tcBorders>
            <w:vAlign w:val="center"/>
            <w:hideMark/>
          </w:tcPr>
          <w:p w:rsidR="00145D81" w:rsidRPr="00836FE4" w14:paraId="1FF3C2DE" w14:textId="77777777">
            <w:pPr>
              <w:jc w:val="right"/>
              <w:rPr>
                <w:iCs/>
                <w:color w:val="414142"/>
                <w:lang w:eastAsia="lv-LV"/>
              </w:rPr>
            </w:pPr>
            <w:r w:rsidRPr="00836FE4">
              <w:rPr>
                <w:iCs/>
                <w:color w:val="414142"/>
                <w:lang w:eastAsia="lv-LV"/>
              </w:rPr>
              <w:t>0</w:t>
            </w:r>
          </w:p>
        </w:tc>
      </w:tr>
      <w:tr w14:paraId="0FBFFD8B" w14:textId="77777777" w:rsidTr="00537167">
        <w:tblPrEx>
          <w:tblW w:w="9915" w:type="dxa"/>
          <w:tblCellSpacing w:w="15" w:type="dxa"/>
          <w:tblCellMar>
            <w:top w:w="30" w:type="dxa"/>
            <w:left w:w="30" w:type="dxa"/>
            <w:bottom w:w="30" w:type="dxa"/>
            <w:right w:w="30" w:type="dxa"/>
          </w:tblCellMar>
          <w:tblLook w:val="04A0"/>
        </w:tblPrEx>
        <w:trPr>
          <w:tblCellSpacing w:w="15" w:type="dxa"/>
        </w:trPr>
        <w:tc>
          <w:tcPr>
            <w:tcW w:w="1583" w:type="dxa"/>
            <w:gridSpan w:val="2"/>
            <w:tcBorders>
              <w:top w:val="outset" w:sz="6" w:space="0" w:color="auto"/>
              <w:left w:val="outset" w:sz="6" w:space="0" w:color="auto"/>
              <w:bottom w:val="outset" w:sz="6" w:space="0" w:color="auto"/>
              <w:right w:val="outset" w:sz="6" w:space="0" w:color="auto"/>
            </w:tcBorders>
            <w:hideMark/>
          </w:tcPr>
          <w:p w:rsidR="00145D81" w:rsidRPr="00836FE4" w14:paraId="19C75511" w14:textId="77777777">
            <w:pPr>
              <w:rPr>
                <w:iCs/>
                <w:color w:val="414142"/>
                <w:lang w:eastAsia="lv-LV"/>
              </w:rPr>
            </w:pPr>
            <w:r w:rsidRPr="00836FE4">
              <w:rPr>
                <w:iCs/>
                <w:color w:val="414142"/>
                <w:lang w:eastAsia="lv-LV"/>
              </w:rPr>
              <w:t>1.3. pašvaldību budžets</w:t>
            </w:r>
          </w:p>
        </w:tc>
        <w:tc>
          <w:tcPr>
            <w:tcW w:w="930" w:type="dxa"/>
            <w:tcBorders>
              <w:top w:val="outset" w:sz="6" w:space="0" w:color="auto"/>
              <w:left w:val="outset" w:sz="6" w:space="0" w:color="auto"/>
              <w:bottom w:val="outset" w:sz="6" w:space="0" w:color="auto"/>
              <w:right w:val="outset" w:sz="6" w:space="0" w:color="auto"/>
            </w:tcBorders>
            <w:vAlign w:val="center"/>
            <w:hideMark/>
          </w:tcPr>
          <w:p w:rsidR="00145D81" w:rsidRPr="00836FE4" w14:paraId="0F171A96"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0463A2D2"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7D69F9D9"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65A2F670"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37D5033A"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01E98810" w14:textId="77777777">
            <w:pPr>
              <w:jc w:val="right"/>
              <w:rPr>
                <w:iCs/>
                <w:color w:val="414142"/>
                <w:lang w:eastAsia="lv-LV"/>
              </w:rPr>
            </w:pPr>
            <w:r w:rsidRPr="00836FE4">
              <w:rPr>
                <w:iCs/>
                <w:color w:val="414142"/>
                <w:lang w:eastAsia="lv-LV"/>
              </w:rPr>
              <w:t>0</w:t>
            </w:r>
          </w:p>
        </w:tc>
        <w:tc>
          <w:tcPr>
            <w:tcW w:w="2026" w:type="dxa"/>
            <w:tcBorders>
              <w:top w:val="outset" w:sz="6" w:space="0" w:color="auto"/>
              <w:left w:val="outset" w:sz="6" w:space="0" w:color="auto"/>
              <w:bottom w:val="outset" w:sz="6" w:space="0" w:color="auto"/>
              <w:right w:val="outset" w:sz="6" w:space="0" w:color="auto"/>
            </w:tcBorders>
            <w:vAlign w:val="center"/>
            <w:hideMark/>
          </w:tcPr>
          <w:p w:rsidR="00145D81" w:rsidRPr="00836FE4" w14:paraId="771585EE" w14:textId="77777777">
            <w:pPr>
              <w:jc w:val="right"/>
              <w:rPr>
                <w:iCs/>
                <w:color w:val="414142"/>
                <w:lang w:eastAsia="lv-LV"/>
              </w:rPr>
            </w:pPr>
            <w:r w:rsidRPr="00836FE4">
              <w:rPr>
                <w:iCs/>
                <w:color w:val="414142"/>
                <w:lang w:eastAsia="lv-LV"/>
              </w:rPr>
              <w:t>0</w:t>
            </w:r>
          </w:p>
        </w:tc>
      </w:tr>
      <w:tr w14:paraId="1652984E" w14:textId="77777777" w:rsidTr="00537167">
        <w:tblPrEx>
          <w:tblW w:w="9915" w:type="dxa"/>
          <w:tblCellSpacing w:w="15" w:type="dxa"/>
          <w:tblCellMar>
            <w:top w:w="30" w:type="dxa"/>
            <w:left w:w="30" w:type="dxa"/>
            <w:bottom w:w="30" w:type="dxa"/>
            <w:right w:w="30" w:type="dxa"/>
          </w:tblCellMar>
          <w:tblLook w:val="04A0"/>
        </w:tblPrEx>
        <w:trPr>
          <w:tblCellSpacing w:w="15" w:type="dxa"/>
        </w:trPr>
        <w:tc>
          <w:tcPr>
            <w:tcW w:w="1583" w:type="dxa"/>
            <w:gridSpan w:val="2"/>
            <w:tcBorders>
              <w:top w:val="outset" w:sz="6" w:space="0" w:color="auto"/>
              <w:left w:val="outset" w:sz="6" w:space="0" w:color="auto"/>
              <w:bottom w:val="outset" w:sz="6" w:space="0" w:color="auto"/>
              <w:right w:val="outset" w:sz="6" w:space="0" w:color="auto"/>
            </w:tcBorders>
            <w:hideMark/>
          </w:tcPr>
          <w:p w:rsidR="00145D81" w:rsidRPr="00836FE4" w14:paraId="536E6E46" w14:textId="77777777">
            <w:pPr>
              <w:rPr>
                <w:iCs/>
                <w:color w:val="414142"/>
                <w:lang w:eastAsia="lv-LV"/>
              </w:rPr>
            </w:pPr>
            <w:r w:rsidRPr="00836FE4">
              <w:rPr>
                <w:iCs/>
                <w:color w:val="414142"/>
                <w:lang w:eastAsia="lv-LV"/>
              </w:rPr>
              <w:t>2. Budžeta izdevumi</w:t>
            </w:r>
          </w:p>
        </w:tc>
        <w:tc>
          <w:tcPr>
            <w:tcW w:w="930" w:type="dxa"/>
            <w:tcBorders>
              <w:top w:val="outset" w:sz="6" w:space="0" w:color="auto"/>
              <w:left w:val="outset" w:sz="6" w:space="0" w:color="auto"/>
              <w:bottom w:val="outset" w:sz="6" w:space="0" w:color="auto"/>
              <w:right w:val="outset" w:sz="6" w:space="0" w:color="auto"/>
            </w:tcBorders>
            <w:vAlign w:val="center"/>
            <w:hideMark/>
          </w:tcPr>
          <w:p w:rsidR="00145D81" w:rsidRPr="00836FE4" w14:paraId="4E8956C9"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05D33151"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1217B12B" w14:textId="77777777">
            <w:pPr>
              <w:jc w:val="right"/>
              <w:rPr>
                <w:iCs/>
                <w:color w:val="414142"/>
                <w:lang w:eastAsia="lv-LV"/>
              </w:rPr>
            </w:pPr>
            <w:r w:rsidRPr="00836FE4">
              <w:rPr>
                <w:iCs/>
                <w:color w:val="414142"/>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31F46FB3" w14:textId="77777777">
            <w:pPr>
              <w:jc w:val="right"/>
              <w:rPr>
                <w:iCs/>
                <w:color w:val="414142"/>
                <w:lang w:eastAsia="lv-LV"/>
              </w:rPr>
            </w:pPr>
            <w:r w:rsidRPr="00836FE4">
              <w:rPr>
                <w:iCs/>
                <w:color w:val="414142"/>
                <w:lang w:eastAsia="lv-LV"/>
              </w:rPr>
              <w:t>115</w:t>
            </w:r>
            <w:r w:rsidR="00E40441">
              <w:rPr>
                <w:iCs/>
                <w:color w:val="414142"/>
                <w:lang w:eastAsia="lv-LV"/>
              </w:rPr>
              <w:t> </w:t>
            </w:r>
            <w:r w:rsidRPr="00836FE4">
              <w:rPr>
                <w:iCs/>
                <w:color w:val="414142"/>
                <w:lang w:eastAsia="lv-LV"/>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096DFEE5"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tcPr>
          <w:p w:rsidR="00145D81" w:rsidRPr="00836FE4" w14:paraId="5BD85B00" w14:textId="77777777">
            <w:pPr>
              <w:jc w:val="right"/>
              <w:rPr>
                <w:iCs/>
                <w:color w:val="414142"/>
                <w:lang w:eastAsia="lv-LV"/>
              </w:rPr>
            </w:pPr>
            <w:r w:rsidRPr="00836FE4">
              <w:rPr>
                <w:iCs/>
                <w:color w:val="414142"/>
                <w:lang w:eastAsia="lv-LV"/>
              </w:rPr>
              <w:t>310 000</w:t>
            </w:r>
          </w:p>
        </w:tc>
        <w:tc>
          <w:tcPr>
            <w:tcW w:w="2026" w:type="dxa"/>
            <w:tcBorders>
              <w:top w:val="outset" w:sz="6" w:space="0" w:color="auto"/>
              <w:left w:val="outset" w:sz="6" w:space="0" w:color="auto"/>
              <w:bottom w:val="outset" w:sz="6" w:space="0" w:color="auto"/>
              <w:right w:val="outset" w:sz="6" w:space="0" w:color="auto"/>
            </w:tcBorders>
            <w:vAlign w:val="center"/>
            <w:hideMark/>
          </w:tcPr>
          <w:p w:rsidR="00145D81" w:rsidRPr="00836FE4" w14:paraId="1627F79A" w14:textId="77777777">
            <w:pPr>
              <w:jc w:val="right"/>
              <w:rPr>
                <w:iCs/>
                <w:color w:val="414142"/>
                <w:lang w:eastAsia="lv-LV"/>
              </w:rPr>
            </w:pPr>
            <w:r w:rsidRPr="00836FE4">
              <w:rPr>
                <w:iCs/>
                <w:color w:val="414142"/>
                <w:lang w:eastAsia="lv-LV"/>
              </w:rPr>
              <w:t>15 000</w:t>
            </w:r>
          </w:p>
        </w:tc>
      </w:tr>
      <w:tr w14:paraId="33AC614B" w14:textId="77777777" w:rsidTr="00537167">
        <w:tblPrEx>
          <w:tblW w:w="9915" w:type="dxa"/>
          <w:tblCellSpacing w:w="15" w:type="dxa"/>
          <w:tblCellMar>
            <w:top w:w="30" w:type="dxa"/>
            <w:left w:w="30" w:type="dxa"/>
            <w:bottom w:w="30" w:type="dxa"/>
            <w:right w:w="30" w:type="dxa"/>
          </w:tblCellMar>
          <w:tblLook w:val="04A0"/>
        </w:tblPrEx>
        <w:trPr>
          <w:tblCellSpacing w:w="15" w:type="dxa"/>
        </w:trPr>
        <w:tc>
          <w:tcPr>
            <w:tcW w:w="1583" w:type="dxa"/>
            <w:gridSpan w:val="2"/>
            <w:tcBorders>
              <w:top w:val="outset" w:sz="6" w:space="0" w:color="auto"/>
              <w:left w:val="outset" w:sz="6" w:space="0" w:color="auto"/>
              <w:bottom w:val="outset" w:sz="6" w:space="0" w:color="auto"/>
              <w:right w:val="outset" w:sz="6" w:space="0" w:color="auto"/>
            </w:tcBorders>
            <w:hideMark/>
          </w:tcPr>
          <w:p w:rsidR="00145D81" w:rsidRPr="00836FE4" w14:paraId="79A99524" w14:textId="77777777">
            <w:pPr>
              <w:rPr>
                <w:iCs/>
                <w:color w:val="414142"/>
                <w:lang w:eastAsia="lv-LV"/>
              </w:rPr>
            </w:pPr>
            <w:r w:rsidRPr="00836FE4">
              <w:rPr>
                <w:iCs/>
                <w:color w:val="414142"/>
                <w:lang w:eastAsia="lv-LV"/>
              </w:rPr>
              <w:t>2.1. valsts pamatbudžets</w:t>
            </w:r>
          </w:p>
        </w:tc>
        <w:tc>
          <w:tcPr>
            <w:tcW w:w="930" w:type="dxa"/>
            <w:tcBorders>
              <w:top w:val="outset" w:sz="6" w:space="0" w:color="auto"/>
              <w:left w:val="outset" w:sz="6" w:space="0" w:color="auto"/>
              <w:bottom w:val="outset" w:sz="6" w:space="0" w:color="auto"/>
              <w:right w:val="outset" w:sz="6" w:space="0" w:color="auto"/>
            </w:tcBorders>
            <w:vAlign w:val="center"/>
            <w:hideMark/>
          </w:tcPr>
          <w:p w:rsidR="00145D81" w:rsidRPr="00836FE4" w14:paraId="79CB77BE"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0DBDA2FF"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3F22C490"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33DB9D6F" w14:textId="77777777">
            <w:pPr>
              <w:jc w:val="right"/>
              <w:rPr>
                <w:iCs/>
                <w:color w:val="414142"/>
                <w:lang w:eastAsia="lv-LV"/>
              </w:rPr>
            </w:pPr>
            <w:r w:rsidRPr="00836FE4">
              <w:rPr>
                <w:iCs/>
                <w:color w:val="414142"/>
                <w:lang w:eastAsia="lv-LV"/>
              </w:rPr>
              <w:t>115 000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0B336BFE"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4EC29962" w14:textId="77777777">
            <w:pPr>
              <w:jc w:val="right"/>
              <w:rPr>
                <w:iCs/>
                <w:color w:val="414142"/>
                <w:lang w:eastAsia="lv-LV"/>
              </w:rPr>
            </w:pPr>
            <w:r w:rsidRPr="00836FE4">
              <w:rPr>
                <w:iCs/>
                <w:color w:val="414142"/>
                <w:lang w:eastAsia="lv-LV"/>
              </w:rPr>
              <w:t>310 000</w:t>
            </w:r>
          </w:p>
        </w:tc>
        <w:tc>
          <w:tcPr>
            <w:tcW w:w="2026" w:type="dxa"/>
            <w:tcBorders>
              <w:top w:val="outset" w:sz="6" w:space="0" w:color="auto"/>
              <w:left w:val="outset" w:sz="6" w:space="0" w:color="auto"/>
              <w:bottom w:val="outset" w:sz="6" w:space="0" w:color="auto"/>
              <w:right w:val="outset" w:sz="6" w:space="0" w:color="auto"/>
            </w:tcBorders>
            <w:vAlign w:val="center"/>
            <w:hideMark/>
          </w:tcPr>
          <w:p w:rsidR="00145D81" w:rsidRPr="00836FE4" w14:paraId="1A832197" w14:textId="77777777">
            <w:pPr>
              <w:jc w:val="right"/>
              <w:rPr>
                <w:iCs/>
                <w:color w:val="414142"/>
                <w:lang w:eastAsia="lv-LV"/>
              </w:rPr>
            </w:pPr>
            <w:r w:rsidRPr="00836FE4">
              <w:rPr>
                <w:iCs/>
                <w:color w:val="414142"/>
                <w:lang w:eastAsia="lv-LV"/>
              </w:rPr>
              <w:t>15 000</w:t>
            </w:r>
          </w:p>
        </w:tc>
      </w:tr>
      <w:tr w14:paraId="744A74F3" w14:textId="77777777" w:rsidTr="00537167">
        <w:tblPrEx>
          <w:tblW w:w="9915" w:type="dxa"/>
          <w:tblCellSpacing w:w="15" w:type="dxa"/>
          <w:tblCellMar>
            <w:top w:w="30" w:type="dxa"/>
            <w:left w:w="30" w:type="dxa"/>
            <w:bottom w:w="30" w:type="dxa"/>
            <w:right w:w="30" w:type="dxa"/>
          </w:tblCellMar>
          <w:tblLook w:val="04A0"/>
        </w:tblPrEx>
        <w:trPr>
          <w:tblCellSpacing w:w="15" w:type="dxa"/>
        </w:trPr>
        <w:tc>
          <w:tcPr>
            <w:tcW w:w="1583" w:type="dxa"/>
            <w:gridSpan w:val="2"/>
            <w:tcBorders>
              <w:top w:val="outset" w:sz="6" w:space="0" w:color="auto"/>
              <w:left w:val="outset" w:sz="6" w:space="0" w:color="auto"/>
              <w:bottom w:val="outset" w:sz="6" w:space="0" w:color="auto"/>
              <w:right w:val="outset" w:sz="6" w:space="0" w:color="auto"/>
            </w:tcBorders>
            <w:hideMark/>
          </w:tcPr>
          <w:p w:rsidR="00145D81" w:rsidRPr="00836FE4" w14:paraId="771D4000" w14:textId="77777777">
            <w:pPr>
              <w:rPr>
                <w:iCs/>
                <w:color w:val="414142"/>
                <w:lang w:eastAsia="lv-LV"/>
              </w:rPr>
            </w:pPr>
            <w:r w:rsidRPr="00836FE4">
              <w:rPr>
                <w:iCs/>
                <w:color w:val="414142"/>
                <w:lang w:eastAsia="lv-LV"/>
              </w:rPr>
              <w:t>2.2. valsts speciālais budžets</w:t>
            </w:r>
          </w:p>
        </w:tc>
        <w:tc>
          <w:tcPr>
            <w:tcW w:w="930" w:type="dxa"/>
            <w:tcBorders>
              <w:top w:val="outset" w:sz="6" w:space="0" w:color="auto"/>
              <w:left w:val="outset" w:sz="6" w:space="0" w:color="auto"/>
              <w:bottom w:val="outset" w:sz="6" w:space="0" w:color="auto"/>
              <w:right w:val="outset" w:sz="6" w:space="0" w:color="auto"/>
            </w:tcBorders>
            <w:vAlign w:val="center"/>
            <w:hideMark/>
          </w:tcPr>
          <w:p w:rsidR="00145D81" w:rsidRPr="00836FE4" w14:paraId="382D4453" w14:textId="77777777">
            <w:pPr>
              <w:jc w:val="right"/>
              <w:rPr>
                <w:iCs/>
                <w:color w:val="414142"/>
                <w:lang w:eastAsia="lv-LV"/>
              </w:rPr>
            </w:pPr>
            <w:r w:rsidRPr="00836FE4">
              <w:rPr>
                <w:iCs/>
                <w:color w:val="414142"/>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3BA2F59A"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75B4D96D"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36062B8D"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25C18AEE"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0CFB839D" w14:textId="77777777">
            <w:pPr>
              <w:jc w:val="right"/>
              <w:rPr>
                <w:iCs/>
                <w:color w:val="414142"/>
                <w:lang w:eastAsia="lv-LV"/>
              </w:rPr>
            </w:pPr>
            <w:r w:rsidRPr="00836FE4">
              <w:rPr>
                <w:iCs/>
                <w:color w:val="414142"/>
                <w:lang w:eastAsia="lv-LV"/>
              </w:rPr>
              <w:t>0</w:t>
            </w:r>
          </w:p>
        </w:tc>
        <w:tc>
          <w:tcPr>
            <w:tcW w:w="2026" w:type="dxa"/>
            <w:tcBorders>
              <w:top w:val="outset" w:sz="6" w:space="0" w:color="auto"/>
              <w:left w:val="outset" w:sz="6" w:space="0" w:color="auto"/>
              <w:bottom w:val="outset" w:sz="6" w:space="0" w:color="auto"/>
              <w:right w:val="outset" w:sz="6" w:space="0" w:color="auto"/>
            </w:tcBorders>
            <w:vAlign w:val="center"/>
            <w:hideMark/>
          </w:tcPr>
          <w:p w:rsidR="00145D81" w:rsidRPr="00836FE4" w14:paraId="27F4C586" w14:textId="77777777">
            <w:pPr>
              <w:jc w:val="right"/>
              <w:rPr>
                <w:iCs/>
                <w:color w:val="414142"/>
                <w:lang w:eastAsia="lv-LV"/>
              </w:rPr>
            </w:pPr>
            <w:r w:rsidRPr="00836FE4">
              <w:rPr>
                <w:iCs/>
                <w:color w:val="414142"/>
                <w:lang w:eastAsia="lv-LV"/>
              </w:rPr>
              <w:t>0</w:t>
            </w:r>
          </w:p>
        </w:tc>
      </w:tr>
      <w:tr w14:paraId="7F453EE9" w14:textId="77777777" w:rsidTr="00537167">
        <w:tblPrEx>
          <w:tblW w:w="9915" w:type="dxa"/>
          <w:tblCellSpacing w:w="15" w:type="dxa"/>
          <w:tblCellMar>
            <w:top w:w="30" w:type="dxa"/>
            <w:left w:w="30" w:type="dxa"/>
            <w:bottom w:w="30" w:type="dxa"/>
            <w:right w:w="30" w:type="dxa"/>
          </w:tblCellMar>
          <w:tblLook w:val="04A0"/>
        </w:tblPrEx>
        <w:trPr>
          <w:tblCellSpacing w:w="15" w:type="dxa"/>
        </w:trPr>
        <w:tc>
          <w:tcPr>
            <w:tcW w:w="1583" w:type="dxa"/>
            <w:gridSpan w:val="2"/>
            <w:tcBorders>
              <w:top w:val="outset" w:sz="6" w:space="0" w:color="auto"/>
              <w:left w:val="outset" w:sz="6" w:space="0" w:color="auto"/>
              <w:bottom w:val="outset" w:sz="6" w:space="0" w:color="auto"/>
              <w:right w:val="outset" w:sz="6" w:space="0" w:color="auto"/>
            </w:tcBorders>
            <w:hideMark/>
          </w:tcPr>
          <w:p w:rsidR="00145D81" w:rsidRPr="00836FE4" w14:paraId="67759539" w14:textId="77777777">
            <w:pPr>
              <w:rPr>
                <w:iCs/>
                <w:color w:val="414142"/>
                <w:lang w:eastAsia="lv-LV"/>
              </w:rPr>
            </w:pPr>
            <w:r w:rsidRPr="00836FE4">
              <w:rPr>
                <w:iCs/>
                <w:color w:val="414142"/>
                <w:lang w:eastAsia="lv-LV"/>
              </w:rPr>
              <w:t>2.3. pašvaldību budžets</w:t>
            </w:r>
          </w:p>
        </w:tc>
        <w:tc>
          <w:tcPr>
            <w:tcW w:w="930" w:type="dxa"/>
            <w:tcBorders>
              <w:top w:val="outset" w:sz="6" w:space="0" w:color="auto"/>
              <w:left w:val="outset" w:sz="6" w:space="0" w:color="auto"/>
              <w:bottom w:val="outset" w:sz="6" w:space="0" w:color="auto"/>
              <w:right w:val="outset" w:sz="6" w:space="0" w:color="auto"/>
            </w:tcBorders>
            <w:vAlign w:val="center"/>
            <w:hideMark/>
          </w:tcPr>
          <w:p w:rsidR="00145D81" w:rsidRPr="00836FE4" w14:paraId="24EA8ACB"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54DB547A"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7D44B824"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50592587"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07018DFA"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61B072CE" w14:textId="77777777">
            <w:pPr>
              <w:jc w:val="right"/>
              <w:rPr>
                <w:iCs/>
                <w:color w:val="414142"/>
                <w:lang w:eastAsia="lv-LV"/>
              </w:rPr>
            </w:pPr>
            <w:r w:rsidRPr="00836FE4">
              <w:rPr>
                <w:iCs/>
                <w:color w:val="414142"/>
                <w:lang w:eastAsia="lv-LV"/>
              </w:rPr>
              <w:t>0</w:t>
            </w:r>
          </w:p>
        </w:tc>
        <w:tc>
          <w:tcPr>
            <w:tcW w:w="2026" w:type="dxa"/>
            <w:tcBorders>
              <w:top w:val="outset" w:sz="6" w:space="0" w:color="auto"/>
              <w:left w:val="outset" w:sz="6" w:space="0" w:color="auto"/>
              <w:bottom w:val="outset" w:sz="6" w:space="0" w:color="auto"/>
              <w:right w:val="outset" w:sz="6" w:space="0" w:color="auto"/>
            </w:tcBorders>
            <w:vAlign w:val="center"/>
            <w:hideMark/>
          </w:tcPr>
          <w:p w:rsidR="00145D81" w:rsidRPr="00836FE4" w14:paraId="49313183" w14:textId="77777777">
            <w:pPr>
              <w:jc w:val="right"/>
              <w:rPr>
                <w:iCs/>
                <w:color w:val="414142"/>
                <w:lang w:eastAsia="lv-LV"/>
              </w:rPr>
            </w:pPr>
            <w:r w:rsidRPr="00836FE4">
              <w:rPr>
                <w:iCs/>
                <w:color w:val="414142"/>
                <w:lang w:eastAsia="lv-LV"/>
              </w:rPr>
              <w:t>0</w:t>
            </w:r>
          </w:p>
        </w:tc>
      </w:tr>
      <w:tr w14:paraId="64333EEE" w14:textId="77777777" w:rsidTr="00537167">
        <w:tblPrEx>
          <w:tblW w:w="9915" w:type="dxa"/>
          <w:tblCellSpacing w:w="15" w:type="dxa"/>
          <w:tblCellMar>
            <w:top w:w="30" w:type="dxa"/>
            <w:left w:w="30" w:type="dxa"/>
            <w:bottom w:w="30" w:type="dxa"/>
            <w:right w:w="30" w:type="dxa"/>
          </w:tblCellMar>
          <w:tblLook w:val="04A0"/>
        </w:tblPrEx>
        <w:trPr>
          <w:tblCellSpacing w:w="15" w:type="dxa"/>
        </w:trPr>
        <w:tc>
          <w:tcPr>
            <w:tcW w:w="1583" w:type="dxa"/>
            <w:gridSpan w:val="2"/>
            <w:tcBorders>
              <w:top w:val="outset" w:sz="6" w:space="0" w:color="auto"/>
              <w:left w:val="outset" w:sz="6" w:space="0" w:color="auto"/>
              <w:bottom w:val="outset" w:sz="6" w:space="0" w:color="auto"/>
              <w:right w:val="outset" w:sz="6" w:space="0" w:color="auto"/>
            </w:tcBorders>
            <w:hideMark/>
          </w:tcPr>
          <w:p w:rsidR="00145D81" w:rsidRPr="00836FE4" w14:paraId="1E8B660F" w14:textId="77777777">
            <w:pPr>
              <w:rPr>
                <w:iCs/>
                <w:color w:val="414142"/>
                <w:lang w:eastAsia="lv-LV"/>
              </w:rPr>
            </w:pPr>
            <w:r w:rsidRPr="00836FE4">
              <w:rPr>
                <w:iCs/>
                <w:color w:val="414142"/>
                <w:lang w:eastAsia="lv-LV"/>
              </w:rPr>
              <w:t>3. Finansiālā ietekme</w:t>
            </w:r>
          </w:p>
        </w:tc>
        <w:tc>
          <w:tcPr>
            <w:tcW w:w="930" w:type="dxa"/>
            <w:tcBorders>
              <w:top w:val="outset" w:sz="6" w:space="0" w:color="auto"/>
              <w:left w:val="outset" w:sz="6" w:space="0" w:color="auto"/>
              <w:bottom w:val="outset" w:sz="6" w:space="0" w:color="auto"/>
              <w:right w:val="outset" w:sz="6" w:space="0" w:color="auto"/>
            </w:tcBorders>
            <w:vAlign w:val="center"/>
            <w:hideMark/>
          </w:tcPr>
          <w:p w:rsidR="00145D81" w:rsidRPr="00836FE4" w14:paraId="64D71933" w14:textId="77777777">
            <w:pPr>
              <w:jc w:val="right"/>
              <w:rPr>
                <w:iCs/>
                <w:color w:val="414142"/>
                <w:lang w:eastAsia="lv-LV"/>
              </w:rPr>
            </w:pPr>
            <w:r w:rsidRPr="00836FE4">
              <w:rPr>
                <w:iCs/>
                <w:color w:val="414142"/>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2AEEABDF" w14:textId="77777777">
            <w:pPr>
              <w:jc w:val="right"/>
              <w:rPr>
                <w:iCs/>
                <w:color w:val="414142"/>
                <w:lang w:eastAsia="lv-LV"/>
              </w:rPr>
            </w:pPr>
            <w:r w:rsidRPr="00836FE4">
              <w:rPr>
                <w:iCs/>
                <w:color w:val="414142"/>
                <w:lang w:eastAsia="lv-LV"/>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21444488"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5305E9ED" w14:textId="121CFD36">
            <w:pPr>
              <w:jc w:val="right"/>
              <w:rPr>
                <w:iCs/>
                <w:color w:val="414142"/>
                <w:lang w:eastAsia="lv-LV"/>
              </w:rPr>
            </w:pPr>
            <w:r>
              <w:rPr>
                <w:iCs/>
                <w:color w:val="414142"/>
                <w:lang w:eastAsia="lv-LV"/>
              </w:rPr>
              <w:t>-17 250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24EBFEBE"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0C988A1B" w14:textId="7D2AB12B">
            <w:pPr>
              <w:jc w:val="right"/>
              <w:rPr>
                <w:iCs/>
                <w:color w:val="414142"/>
                <w:lang w:eastAsia="lv-LV"/>
              </w:rPr>
            </w:pPr>
            <w:r>
              <w:rPr>
                <w:iCs/>
                <w:color w:val="414142"/>
                <w:lang w:eastAsia="lv-LV"/>
              </w:rPr>
              <w:t>-46 500</w:t>
            </w:r>
          </w:p>
        </w:tc>
        <w:tc>
          <w:tcPr>
            <w:tcW w:w="2026" w:type="dxa"/>
            <w:tcBorders>
              <w:top w:val="outset" w:sz="6" w:space="0" w:color="auto"/>
              <w:left w:val="outset" w:sz="6" w:space="0" w:color="auto"/>
              <w:bottom w:val="outset" w:sz="6" w:space="0" w:color="auto"/>
              <w:right w:val="outset" w:sz="6" w:space="0" w:color="auto"/>
            </w:tcBorders>
            <w:vAlign w:val="center"/>
            <w:hideMark/>
          </w:tcPr>
          <w:p w:rsidR="00145D81" w:rsidRPr="00836FE4" w14:paraId="52F6E16F" w14:textId="69DBB36F">
            <w:pPr>
              <w:jc w:val="right"/>
              <w:rPr>
                <w:iCs/>
                <w:color w:val="414142"/>
                <w:lang w:eastAsia="lv-LV"/>
              </w:rPr>
            </w:pPr>
            <w:r>
              <w:rPr>
                <w:iCs/>
                <w:color w:val="414142"/>
                <w:lang w:eastAsia="lv-LV"/>
              </w:rPr>
              <w:t>-15 000</w:t>
            </w:r>
          </w:p>
        </w:tc>
      </w:tr>
      <w:tr w14:paraId="44E2F1B2" w14:textId="77777777" w:rsidTr="00537167">
        <w:tblPrEx>
          <w:tblW w:w="9915" w:type="dxa"/>
          <w:tblCellSpacing w:w="15" w:type="dxa"/>
          <w:tblCellMar>
            <w:top w:w="30" w:type="dxa"/>
            <w:left w:w="30" w:type="dxa"/>
            <w:bottom w:w="30" w:type="dxa"/>
            <w:right w:w="30" w:type="dxa"/>
          </w:tblCellMar>
          <w:tblLook w:val="04A0"/>
        </w:tblPrEx>
        <w:trPr>
          <w:tblCellSpacing w:w="15" w:type="dxa"/>
        </w:trPr>
        <w:tc>
          <w:tcPr>
            <w:tcW w:w="1583" w:type="dxa"/>
            <w:gridSpan w:val="2"/>
            <w:tcBorders>
              <w:top w:val="outset" w:sz="6" w:space="0" w:color="auto"/>
              <w:left w:val="outset" w:sz="6" w:space="0" w:color="auto"/>
              <w:bottom w:val="outset" w:sz="6" w:space="0" w:color="auto"/>
              <w:right w:val="outset" w:sz="6" w:space="0" w:color="auto"/>
            </w:tcBorders>
            <w:hideMark/>
          </w:tcPr>
          <w:p w:rsidR="00145D81" w:rsidRPr="00836FE4" w14:paraId="1D0227F9" w14:textId="77777777">
            <w:pPr>
              <w:rPr>
                <w:iCs/>
                <w:color w:val="414142"/>
                <w:lang w:eastAsia="lv-LV"/>
              </w:rPr>
            </w:pPr>
            <w:r w:rsidRPr="00836FE4">
              <w:rPr>
                <w:iCs/>
                <w:color w:val="414142"/>
                <w:lang w:eastAsia="lv-LV"/>
              </w:rPr>
              <w:t>3.1. valsts pamatbudžets</w:t>
            </w:r>
          </w:p>
        </w:tc>
        <w:tc>
          <w:tcPr>
            <w:tcW w:w="930" w:type="dxa"/>
            <w:tcBorders>
              <w:top w:val="outset" w:sz="6" w:space="0" w:color="auto"/>
              <w:left w:val="outset" w:sz="6" w:space="0" w:color="auto"/>
              <w:bottom w:val="outset" w:sz="6" w:space="0" w:color="auto"/>
              <w:right w:val="outset" w:sz="6" w:space="0" w:color="auto"/>
            </w:tcBorders>
            <w:vAlign w:val="center"/>
            <w:hideMark/>
          </w:tcPr>
          <w:p w:rsidR="00145D81" w:rsidRPr="00836FE4" w14:paraId="76C44A6E"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63684908"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32C6A77A"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0A13B88F" w14:textId="2C7F8A0F">
            <w:pPr>
              <w:jc w:val="right"/>
              <w:rPr>
                <w:iCs/>
                <w:color w:val="414142"/>
                <w:lang w:eastAsia="lv-LV"/>
              </w:rPr>
            </w:pPr>
            <w:r>
              <w:rPr>
                <w:iCs/>
                <w:color w:val="414142"/>
                <w:lang w:eastAsia="lv-LV"/>
              </w:rPr>
              <w:t>-17 250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319BF322"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46CB2722" w14:textId="33E02808">
            <w:pPr>
              <w:jc w:val="right"/>
              <w:rPr>
                <w:iCs/>
                <w:color w:val="414142"/>
                <w:lang w:eastAsia="lv-LV"/>
              </w:rPr>
            </w:pPr>
            <w:r>
              <w:rPr>
                <w:iCs/>
                <w:color w:val="414142"/>
                <w:lang w:eastAsia="lv-LV"/>
              </w:rPr>
              <w:t>-46 500</w:t>
            </w:r>
          </w:p>
        </w:tc>
        <w:tc>
          <w:tcPr>
            <w:tcW w:w="2026" w:type="dxa"/>
            <w:tcBorders>
              <w:top w:val="outset" w:sz="6" w:space="0" w:color="auto"/>
              <w:left w:val="outset" w:sz="6" w:space="0" w:color="auto"/>
              <w:bottom w:val="outset" w:sz="6" w:space="0" w:color="auto"/>
              <w:right w:val="outset" w:sz="6" w:space="0" w:color="auto"/>
            </w:tcBorders>
            <w:vAlign w:val="center"/>
            <w:hideMark/>
          </w:tcPr>
          <w:p w:rsidR="00145D81" w:rsidRPr="00836FE4" w14:paraId="7AA91DA3" w14:textId="396C98CB">
            <w:pPr>
              <w:jc w:val="right"/>
              <w:rPr>
                <w:iCs/>
                <w:color w:val="414142"/>
                <w:lang w:eastAsia="lv-LV"/>
              </w:rPr>
            </w:pPr>
            <w:r>
              <w:rPr>
                <w:iCs/>
                <w:color w:val="414142"/>
                <w:lang w:eastAsia="lv-LV"/>
              </w:rPr>
              <w:t>-15 000</w:t>
            </w:r>
          </w:p>
        </w:tc>
      </w:tr>
      <w:tr w14:paraId="7A01DCF8" w14:textId="77777777" w:rsidTr="00537167">
        <w:tblPrEx>
          <w:tblW w:w="9915" w:type="dxa"/>
          <w:tblCellSpacing w:w="15" w:type="dxa"/>
          <w:tblCellMar>
            <w:top w:w="30" w:type="dxa"/>
            <w:left w:w="30" w:type="dxa"/>
            <w:bottom w:w="30" w:type="dxa"/>
            <w:right w:w="30" w:type="dxa"/>
          </w:tblCellMar>
          <w:tblLook w:val="04A0"/>
        </w:tblPrEx>
        <w:trPr>
          <w:tblCellSpacing w:w="15" w:type="dxa"/>
        </w:trPr>
        <w:tc>
          <w:tcPr>
            <w:tcW w:w="1583" w:type="dxa"/>
            <w:gridSpan w:val="2"/>
            <w:tcBorders>
              <w:top w:val="outset" w:sz="6" w:space="0" w:color="auto"/>
              <w:left w:val="outset" w:sz="6" w:space="0" w:color="auto"/>
              <w:bottom w:val="outset" w:sz="6" w:space="0" w:color="auto"/>
              <w:right w:val="outset" w:sz="6" w:space="0" w:color="auto"/>
            </w:tcBorders>
            <w:hideMark/>
          </w:tcPr>
          <w:p w:rsidR="00145D81" w:rsidRPr="00836FE4" w14:paraId="515F20B1" w14:textId="77777777">
            <w:pPr>
              <w:rPr>
                <w:iCs/>
                <w:color w:val="414142"/>
                <w:lang w:eastAsia="lv-LV"/>
              </w:rPr>
            </w:pPr>
            <w:r w:rsidRPr="00836FE4">
              <w:rPr>
                <w:iCs/>
                <w:color w:val="414142"/>
                <w:lang w:eastAsia="lv-LV"/>
              </w:rPr>
              <w:t>3.2. speciālais budžets</w:t>
            </w:r>
          </w:p>
        </w:tc>
        <w:tc>
          <w:tcPr>
            <w:tcW w:w="930" w:type="dxa"/>
            <w:tcBorders>
              <w:top w:val="outset" w:sz="6" w:space="0" w:color="auto"/>
              <w:left w:val="outset" w:sz="6" w:space="0" w:color="auto"/>
              <w:bottom w:val="outset" w:sz="6" w:space="0" w:color="auto"/>
              <w:right w:val="outset" w:sz="6" w:space="0" w:color="auto"/>
            </w:tcBorders>
            <w:vAlign w:val="center"/>
            <w:hideMark/>
          </w:tcPr>
          <w:p w:rsidR="00145D81" w:rsidRPr="00836FE4" w14:paraId="4975F6C6" w14:textId="77777777">
            <w:pPr>
              <w:jc w:val="right"/>
              <w:rPr>
                <w:iCs/>
                <w:color w:val="414142"/>
                <w:lang w:eastAsia="lv-LV"/>
              </w:rPr>
            </w:pPr>
            <w:r w:rsidRPr="00836FE4">
              <w:rPr>
                <w:iCs/>
                <w:color w:val="414142"/>
                <w:lang w:eastAsia="lv-LV"/>
              </w:rPr>
              <w:t> 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4D88E6EA"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180F88CF"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270032F6"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4DAFBEF7"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6A3DDB07" w14:textId="77777777">
            <w:pPr>
              <w:jc w:val="right"/>
              <w:rPr>
                <w:iCs/>
                <w:color w:val="414142"/>
                <w:lang w:eastAsia="lv-LV"/>
              </w:rPr>
            </w:pPr>
            <w:r w:rsidRPr="00836FE4">
              <w:rPr>
                <w:iCs/>
                <w:color w:val="414142"/>
                <w:lang w:eastAsia="lv-LV"/>
              </w:rPr>
              <w:t>0</w:t>
            </w:r>
          </w:p>
        </w:tc>
        <w:tc>
          <w:tcPr>
            <w:tcW w:w="2026" w:type="dxa"/>
            <w:tcBorders>
              <w:top w:val="outset" w:sz="6" w:space="0" w:color="auto"/>
              <w:left w:val="outset" w:sz="6" w:space="0" w:color="auto"/>
              <w:bottom w:val="outset" w:sz="6" w:space="0" w:color="auto"/>
              <w:right w:val="outset" w:sz="6" w:space="0" w:color="auto"/>
            </w:tcBorders>
            <w:vAlign w:val="center"/>
            <w:hideMark/>
          </w:tcPr>
          <w:p w:rsidR="00145D81" w:rsidRPr="00836FE4" w14:paraId="62087874" w14:textId="77777777">
            <w:pPr>
              <w:jc w:val="right"/>
              <w:rPr>
                <w:iCs/>
                <w:color w:val="414142"/>
                <w:lang w:eastAsia="lv-LV"/>
              </w:rPr>
            </w:pPr>
            <w:r w:rsidRPr="00836FE4">
              <w:rPr>
                <w:iCs/>
                <w:color w:val="414142"/>
                <w:lang w:eastAsia="lv-LV"/>
              </w:rPr>
              <w:t>0</w:t>
            </w:r>
          </w:p>
        </w:tc>
      </w:tr>
      <w:tr w14:paraId="25595AE5" w14:textId="77777777" w:rsidTr="00537167">
        <w:tblPrEx>
          <w:tblW w:w="9915" w:type="dxa"/>
          <w:tblCellSpacing w:w="15" w:type="dxa"/>
          <w:tblCellMar>
            <w:top w:w="30" w:type="dxa"/>
            <w:left w:w="30" w:type="dxa"/>
            <w:bottom w:w="30" w:type="dxa"/>
            <w:right w:w="30" w:type="dxa"/>
          </w:tblCellMar>
          <w:tblLook w:val="04A0"/>
        </w:tblPrEx>
        <w:trPr>
          <w:tblCellSpacing w:w="15" w:type="dxa"/>
        </w:trPr>
        <w:tc>
          <w:tcPr>
            <w:tcW w:w="1583" w:type="dxa"/>
            <w:gridSpan w:val="2"/>
            <w:tcBorders>
              <w:top w:val="outset" w:sz="6" w:space="0" w:color="auto"/>
              <w:left w:val="outset" w:sz="6" w:space="0" w:color="auto"/>
              <w:bottom w:val="outset" w:sz="6" w:space="0" w:color="auto"/>
              <w:right w:val="outset" w:sz="6" w:space="0" w:color="auto"/>
            </w:tcBorders>
            <w:hideMark/>
          </w:tcPr>
          <w:p w:rsidR="00145D81" w:rsidRPr="00836FE4" w14:paraId="34870656" w14:textId="77777777">
            <w:pPr>
              <w:rPr>
                <w:iCs/>
                <w:color w:val="414142"/>
                <w:lang w:eastAsia="lv-LV"/>
              </w:rPr>
            </w:pPr>
            <w:r w:rsidRPr="00836FE4">
              <w:rPr>
                <w:iCs/>
                <w:color w:val="414142"/>
                <w:lang w:eastAsia="lv-LV"/>
              </w:rPr>
              <w:t>3.3. pašvaldību budžets</w:t>
            </w:r>
          </w:p>
        </w:tc>
        <w:tc>
          <w:tcPr>
            <w:tcW w:w="930" w:type="dxa"/>
            <w:tcBorders>
              <w:top w:val="outset" w:sz="6" w:space="0" w:color="auto"/>
              <w:left w:val="outset" w:sz="6" w:space="0" w:color="auto"/>
              <w:bottom w:val="outset" w:sz="6" w:space="0" w:color="auto"/>
              <w:right w:val="outset" w:sz="6" w:space="0" w:color="auto"/>
            </w:tcBorders>
            <w:vAlign w:val="center"/>
            <w:hideMark/>
          </w:tcPr>
          <w:p w:rsidR="00145D81" w:rsidRPr="00836FE4" w14:paraId="3B0AEEFA"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2D7ECF94"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74EE23AC"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6EDB858D"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769F6D07"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5D269AA8" w14:textId="77777777">
            <w:pPr>
              <w:jc w:val="right"/>
              <w:rPr>
                <w:iCs/>
                <w:color w:val="414142"/>
                <w:lang w:eastAsia="lv-LV"/>
              </w:rPr>
            </w:pPr>
            <w:r w:rsidRPr="00836FE4">
              <w:rPr>
                <w:iCs/>
                <w:color w:val="414142"/>
                <w:lang w:eastAsia="lv-LV"/>
              </w:rPr>
              <w:t>0</w:t>
            </w:r>
          </w:p>
        </w:tc>
        <w:tc>
          <w:tcPr>
            <w:tcW w:w="2026" w:type="dxa"/>
            <w:tcBorders>
              <w:top w:val="outset" w:sz="6" w:space="0" w:color="auto"/>
              <w:left w:val="outset" w:sz="6" w:space="0" w:color="auto"/>
              <w:bottom w:val="outset" w:sz="6" w:space="0" w:color="auto"/>
              <w:right w:val="outset" w:sz="6" w:space="0" w:color="auto"/>
            </w:tcBorders>
            <w:vAlign w:val="center"/>
            <w:hideMark/>
          </w:tcPr>
          <w:p w:rsidR="00145D81" w:rsidRPr="00836FE4" w14:paraId="2D07F546" w14:textId="77777777">
            <w:pPr>
              <w:jc w:val="right"/>
              <w:rPr>
                <w:iCs/>
                <w:color w:val="414142"/>
                <w:lang w:eastAsia="lv-LV"/>
              </w:rPr>
            </w:pPr>
            <w:r w:rsidRPr="00836FE4">
              <w:rPr>
                <w:iCs/>
                <w:color w:val="414142"/>
                <w:lang w:eastAsia="lv-LV"/>
              </w:rPr>
              <w:t>0</w:t>
            </w:r>
          </w:p>
        </w:tc>
      </w:tr>
      <w:tr w14:paraId="39EB5B28" w14:textId="77777777" w:rsidTr="00537167">
        <w:tblPrEx>
          <w:tblW w:w="9915" w:type="dxa"/>
          <w:tblCellSpacing w:w="15" w:type="dxa"/>
          <w:tblCellMar>
            <w:top w:w="30" w:type="dxa"/>
            <w:left w:w="30" w:type="dxa"/>
            <w:bottom w:w="30" w:type="dxa"/>
            <w:right w:w="30" w:type="dxa"/>
          </w:tblCellMar>
          <w:tblLook w:val="04A0"/>
        </w:tblPrEx>
        <w:trPr>
          <w:tblCellSpacing w:w="15" w:type="dxa"/>
        </w:trPr>
        <w:tc>
          <w:tcPr>
            <w:tcW w:w="1583" w:type="dxa"/>
            <w:gridSpan w:val="2"/>
            <w:tcBorders>
              <w:top w:val="outset" w:sz="6" w:space="0" w:color="auto"/>
              <w:left w:val="outset" w:sz="6" w:space="0" w:color="auto"/>
              <w:bottom w:val="outset" w:sz="6" w:space="0" w:color="auto"/>
              <w:right w:val="outset" w:sz="6" w:space="0" w:color="auto"/>
            </w:tcBorders>
            <w:hideMark/>
          </w:tcPr>
          <w:p w:rsidR="00145D81" w:rsidRPr="00836FE4" w14:paraId="7000BC36" w14:textId="77777777">
            <w:pPr>
              <w:rPr>
                <w:iCs/>
                <w:color w:val="414142"/>
                <w:lang w:eastAsia="lv-LV"/>
              </w:rPr>
            </w:pPr>
            <w:r w:rsidRPr="00836FE4">
              <w:rPr>
                <w:iCs/>
                <w:color w:val="414142"/>
                <w:lang w:eastAsia="lv-LV"/>
              </w:rPr>
              <w:t>4. Finanšu līdzekļi papildu izdevumu finansēšanai (kompensējošu izdevumu samazinājumu norāda ar "+" zīmi)</w:t>
            </w:r>
          </w:p>
        </w:tc>
        <w:tc>
          <w:tcPr>
            <w:tcW w:w="930" w:type="dxa"/>
            <w:tcBorders>
              <w:top w:val="outset" w:sz="6" w:space="0" w:color="auto"/>
              <w:left w:val="outset" w:sz="6" w:space="0" w:color="auto"/>
              <w:bottom w:val="outset" w:sz="6" w:space="0" w:color="auto"/>
              <w:right w:val="outset" w:sz="6" w:space="0" w:color="auto"/>
            </w:tcBorders>
            <w:vAlign w:val="center"/>
            <w:hideMark/>
          </w:tcPr>
          <w:p w:rsidR="00145D81" w:rsidRPr="00836FE4" w14:paraId="67414639" w14:textId="77777777">
            <w:pPr>
              <w:jc w:val="right"/>
              <w:rPr>
                <w:iCs/>
                <w:color w:val="414142"/>
                <w:lang w:eastAsia="lv-LV"/>
              </w:rPr>
            </w:pPr>
            <w:r w:rsidRPr="00836FE4">
              <w:rPr>
                <w:iCs/>
                <w:color w:val="414142"/>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4E2FD40B"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1BE693F2" w14:textId="77777777">
            <w:pPr>
              <w:jc w:val="right"/>
              <w:rPr>
                <w:iCs/>
                <w:color w:val="414142"/>
                <w:lang w:eastAsia="lv-LV"/>
              </w:rPr>
            </w:pPr>
            <w:r w:rsidRPr="00836FE4">
              <w:rPr>
                <w:iCs/>
                <w:color w:val="414142"/>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77C67E9B" w14:textId="77777777">
            <w:pPr>
              <w:jc w:val="right"/>
              <w:rPr>
                <w:iCs/>
                <w:color w:val="414142"/>
                <w:lang w:eastAsia="lv-LV"/>
              </w:rPr>
            </w:pPr>
            <w:r w:rsidRPr="00836FE4">
              <w:rPr>
                <w:iCs/>
                <w:color w:val="414142"/>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14F3FC65" w14:textId="77777777">
            <w:pPr>
              <w:jc w:val="right"/>
              <w:rPr>
                <w:iCs/>
                <w:color w:val="414142"/>
                <w:lang w:eastAsia="lv-LV"/>
              </w:rPr>
            </w:pPr>
            <w:r w:rsidRPr="00836FE4">
              <w:rPr>
                <w:iCs/>
                <w:color w:val="414142"/>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6F265A5F" w14:textId="77777777">
            <w:pPr>
              <w:jc w:val="right"/>
              <w:rPr>
                <w:iCs/>
                <w:color w:val="414142"/>
                <w:lang w:eastAsia="lv-LV"/>
              </w:rPr>
            </w:pPr>
            <w:r w:rsidRPr="00836FE4">
              <w:rPr>
                <w:iCs/>
                <w:color w:val="414142"/>
                <w:lang w:eastAsia="lv-LV"/>
              </w:rPr>
              <w:t>0</w:t>
            </w:r>
          </w:p>
        </w:tc>
        <w:tc>
          <w:tcPr>
            <w:tcW w:w="2026" w:type="dxa"/>
            <w:tcBorders>
              <w:top w:val="outset" w:sz="6" w:space="0" w:color="auto"/>
              <w:left w:val="outset" w:sz="6" w:space="0" w:color="auto"/>
              <w:bottom w:val="outset" w:sz="6" w:space="0" w:color="auto"/>
              <w:right w:val="outset" w:sz="6" w:space="0" w:color="auto"/>
            </w:tcBorders>
            <w:vAlign w:val="center"/>
            <w:hideMark/>
          </w:tcPr>
          <w:p w:rsidR="00145D81" w:rsidRPr="00836FE4" w14:paraId="2D65EABF" w14:textId="77777777">
            <w:pPr>
              <w:jc w:val="right"/>
              <w:rPr>
                <w:iCs/>
                <w:color w:val="414142"/>
                <w:lang w:eastAsia="lv-LV"/>
              </w:rPr>
            </w:pPr>
            <w:r w:rsidRPr="00836FE4">
              <w:rPr>
                <w:iCs/>
                <w:color w:val="414142"/>
                <w:lang w:eastAsia="lv-LV"/>
              </w:rPr>
              <w:t>0</w:t>
            </w:r>
          </w:p>
        </w:tc>
      </w:tr>
      <w:tr w14:paraId="17F4141F" w14:textId="77777777" w:rsidTr="00537167">
        <w:tblPrEx>
          <w:tblW w:w="9915" w:type="dxa"/>
          <w:tblCellSpacing w:w="15" w:type="dxa"/>
          <w:tblCellMar>
            <w:top w:w="30" w:type="dxa"/>
            <w:left w:w="30" w:type="dxa"/>
            <w:bottom w:w="30" w:type="dxa"/>
            <w:right w:w="30" w:type="dxa"/>
          </w:tblCellMar>
          <w:tblLook w:val="04A0"/>
        </w:tblPrEx>
        <w:trPr>
          <w:tblCellSpacing w:w="15" w:type="dxa"/>
        </w:trPr>
        <w:tc>
          <w:tcPr>
            <w:tcW w:w="1583" w:type="dxa"/>
            <w:gridSpan w:val="2"/>
            <w:tcBorders>
              <w:top w:val="outset" w:sz="6" w:space="0" w:color="auto"/>
              <w:left w:val="outset" w:sz="6" w:space="0" w:color="auto"/>
              <w:bottom w:val="outset" w:sz="6" w:space="0" w:color="auto"/>
              <w:right w:val="outset" w:sz="6" w:space="0" w:color="auto"/>
            </w:tcBorders>
            <w:hideMark/>
          </w:tcPr>
          <w:p w:rsidR="00145D81" w:rsidRPr="00836FE4" w14:paraId="1514E919" w14:textId="77777777">
            <w:pPr>
              <w:rPr>
                <w:iCs/>
                <w:color w:val="414142"/>
                <w:lang w:eastAsia="lv-LV"/>
              </w:rPr>
            </w:pPr>
            <w:r w:rsidRPr="00836FE4">
              <w:rPr>
                <w:iCs/>
                <w:color w:val="414142"/>
                <w:lang w:eastAsia="lv-LV"/>
              </w:rPr>
              <w:t>5. Precizēta finansiālā ietekme</w:t>
            </w:r>
          </w:p>
        </w:tc>
        <w:tc>
          <w:tcPr>
            <w:tcW w:w="930" w:type="dxa"/>
            <w:vMerge w:val="restart"/>
            <w:tcBorders>
              <w:top w:val="outset" w:sz="6" w:space="0" w:color="auto"/>
              <w:left w:val="outset" w:sz="6" w:space="0" w:color="auto"/>
              <w:bottom w:val="outset" w:sz="6" w:space="0" w:color="auto"/>
              <w:right w:val="outset" w:sz="6" w:space="0" w:color="auto"/>
            </w:tcBorders>
            <w:vAlign w:val="center"/>
            <w:hideMark/>
          </w:tcPr>
          <w:p w:rsidR="00145D81" w:rsidRPr="00836FE4" w14:paraId="2E131414" w14:textId="77777777">
            <w:pPr>
              <w:jc w:val="center"/>
              <w:rPr>
                <w:iCs/>
                <w:color w:val="414142"/>
                <w:lang w:eastAsia="lv-LV"/>
              </w:rPr>
            </w:pPr>
            <w:r w:rsidRPr="00836FE4">
              <w:rPr>
                <w:iCs/>
                <w:color w:val="414142"/>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2CF6026F" w14:textId="77777777">
            <w:pPr>
              <w:jc w:val="right"/>
              <w:rPr>
                <w:iCs/>
                <w:color w:val="414142"/>
                <w:lang w:eastAsia="lv-LV"/>
              </w:rPr>
            </w:pPr>
            <w:r w:rsidRPr="00836FE4">
              <w:rPr>
                <w:iCs/>
                <w:color w:val="414142"/>
                <w:lang w:eastAsia="lv-LV"/>
              </w:rPr>
              <w:t>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5D81" w:rsidRPr="00836FE4" w14:paraId="04F9E91A" w14:textId="77777777">
            <w:pPr>
              <w:jc w:val="center"/>
              <w:rPr>
                <w:iCs/>
                <w:color w:val="414142"/>
                <w:lang w:eastAsia="lv-LV"/>
              </w:rPr>
            </w:pPr>
            <w:r w:rsidRPr="00836FE4">
              <w:rPr>
                <w:iCs/>
                <w:color w:val="414142"/>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0270445E" w14:textId="162E6E14">
            <w:pPr>
              <w:jc w:val="right"/>
              <w:rPr>
                <w:iCs/>
                <w:color w:val="414142"/>
                <w:lang w:eastAsia="lv-LV"/>
              </w:rPr>
            </w:pPr>
            <w:r w:rsidRPr="00E40441">
              <w:rPr>
                <w:iCs/>
                <w:color w:val="414142"/>
                <w:lang w:eastAsia="lv-LV"/>
              </w:rPr>
              <w:t>-17</w:t>
            </w:r>
            <w:r>
              <w:rPr>
                <w:iCs/>
                <w:color w:val="414142"/>
                <w:lang w:eastAsia="lv-LV"/>
              </w:rPr>
              <w:t> </w:t>
            </w:r>
            <w:r w:rsidRPr="00E40441">
              <w:rPr>
                <w:iCs/>
                <w:color w:val="414142"/>
                <w:lang w:eastAsia="lv-LV"/>
              </w:rPr>
              <w:t>250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5D81" w:rsidRPr="00836FE4" w14:paraId="1277F9B8" w14:textId="77777777">
            <w:pPr>
              <w:jc w:val="center"/>
              <w:rPr>
                <w:iCs/>
                <w:color w:val="414142"/>
                <w:lang w:eastAsia="lv-LV"/>
              </w:rPr>
            </w:pPr>
            <w:r w:rsidRPr="00836FE4">
              <w:rPr>
                <w:iCs/>
                <w:color w:val="414142"/>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1FB3C3A4" w14:textId="0E41AFF0">
            <w:pPr>
              <w:jc w:val="right"/>
              <w:rPr>
                <w:iCs/>
                <w:color w:val="414142"/>
                <w:lang w:eastAsia="lv-LV"/>
              </w:rPr>
            </w:pPr>
            <w:r>
              <w:rPr>
                <w:iCs/>
                <w:color w:val="414142"/>
                <w:lang w:eastAsia="lv-LV"/>
              </w:rPr>
              <w:t>-46 500</w:t>
            </w:r>
          </w:p>
        </w:tc>
        <w:tc>
          <w:tcPr>
            <w:tcW w:w="2026" w:type="dxa"/>
            <w:tcBorders>
              <w:top w:val="outset" w:sz="6" w:space="0" w:color="auto"/>
              <w:left w:val="outset" w:sz="6" w:space="0" w:color="auto"/>
              <w:bottom w:val="outset" w:sz="6" w:space="0" w:color="auto"/>
              <w:right w:val="outset" w:sz="6" w:space="0" w:color="auto"/>
            </w:tcBorders>
            <w:vAlign w:val="center"/>
            <w:hideMark/>
          </w:tcPr>
          <w:p w:rsidR="00145D81" w:rsidRPr="00836FE4" w14:paraId="4E651C1B" w14:textId="09074649">
            <w:pPr>
              <w:jc w:val="right"/>
              <w:rPr>
                <w:iCs/>
                <w:color w:val="414142"/>
                <w:lang w:eastAsia="lv-LV"/>
              </w:rPr>
            </w:pPr>
            <w:r>
              <w:rPr>
                <w:iCs/>
                <w:color w:val="414142"/>
                <w:lang w:eastAsia="lv-LV"/>
              </w:rPr>
              <w:t>-15 000</w:t>
            </w:r>
          </w:p>
        </w:tc>
      </w:tr>
      <w:tr w14:paraId="27232154" w14:textId="77777777" w:rsidTr="00537167">
        <w:tblPrEx>
          <w:tblW w:w="9915" w:type="dxa"/>
          <w:tblCellSpacing w:w="15" w:type="dxa"/>
          <w:tblCellMar>
            <w:top w:w="30" w:type="dxa"/>
            <w:left w:w="30" w:type="dxa"/>
            <w:bottom w:w="30" w:type="dxa"/>
            <w:right w:w="30" w:type="dxa"/>
          </w:tblCellMar>
          <w:tblLook w:val="04A0"/>
        </w:tblPrEx>
        <w:trPr>
          <w:tblCellSpacing w:w="15" w:type="dxa"/>
        </w:trPr>
        <w:tc>
          <w:tcPr>
            <w:tcW w:w="1583" w:type="dxa"/>
            <w:gridSpan w:val="2"/>
            <w:tcBorders>
              <w:top w:val="outset" w:sz="6" w:space="0" w:color="auto"/>
              <w:left w:val="outset" w:sz="6" w:space="0" w:color="auto"/>
              <w:bottom w:val="outset" w:sz="6" w:space="0" w:color="auto"/>
              <w:right w:val="outset" w:sz="6" w:space="0" w:color="auto"/>
            </w:tcBorders>
            <w:hideMark/>
          </w:tcPr>
          <w:p w:rsidR="00145D81" w:rsidRPr="00836FE4" w14:paraId="09B4BAB6" w14:textId="77777777">
            <w:pPr>
              <w:rPr>
                <w:iCs/>
                <w:color w:val="414142"/>
                <w:lang w:eastAsia="lv-LV"/>
              </w:rPr>
            </w:pPr>
            <w:r w:rsidRPr="00836FE4">
              <w:rPr>
                <w:iCs/>
                <w:color w:val="414142"/>
                <w:lang w:eastAsia="lv-LV"/>
              </w:rPr>
              <w:t>5.1. valsts pamatbudžets</w:t>
            </w:r>
          </w:p>
        </w:tc>
        <w:tc>
          <w:tcPr>
            <w:tcW w:w="930" w:type="dxa"/>
            <w:vMerge/>
            <w:tcBorders>
              <w:top w:val="outset" w:sz="6" w:space="0" w:color="auto"/>
              <w:left w:val="outset" w:sz="6" w:space="0" w:color="auto"/>
              <w:bottom w:val="outset" w:sz="6" w:space="0" w:color="auto"/>
              <w:right w:val="outset" w:sz="6" w:space="0" w:color="auto"/>
            </w:tcBorders>
            <w:vAlign w:val="center"/>
            <w:hideMark/>
          </w:tcPr>
          <w:p w:rsidR="00145D81" w:rsidRPr="00836FE4" w14:paraId="756B9C99" w14:textId="77777777">
            <w:pPr>
              <w:jc w:val="right"/>
              <w:rPr>
                <w:iCs/>
                <w:color w:val="414142"/>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3C639A89" w14:textId="77777777">
            <w:pPr>
              <w:jc w:val="right"/>
              <w:rPr>
                <w:iCs/>
                <w:color w:val="414142"/>
                <w:lang w:eastAsia="lv-LV"/>
              </w:rPr>
            </w:pPr>
            <w:r w:rsidRPr="00836FE4">
              <w:rPr>
                <w:iCs/>
                <w:color w:val="414142"/>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D81" w:rsidRPr="00836FE4" w14:paraId="542C4479" w14:textId="77777777">
            <w:pPr>
              <w:jc w:val="right"/>
              <w:rPr>
                <w:iCs/>
                <w:color w:val="414142"/>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414BB378" w14:textId="7720058E">
            <w:pPr>
              <w:jc w:val="right"/>
              <w:rPr>
                <w:iCs/>
                <w:color w:val="414142"/>
                <w:lang w:eastAsia="lv-LV"/>
              </w:rPr>
            </w:pPr>
            <w:r w:rsidRPr="00E40441">
              <w:rPr>
                <w:iCs/>
                <w:color w:val="414142"/>
                <w:lang w:eastAsia="lv-LV"/>
              </w:rPr>
              <w:t>-17</w:t>
            </w:r>
            <w:r>
              <w:rPr>
                <w:iCs/>
                <w:color w:val="414142"/>
                <w:lang w:eastAsia="lv-LV"/>
              </w:rPr>
              <w:t> </w:t>
            </w:r>
            <w:r w:rsidRPr="00E40441">
              <w:rPr>
                <w:iCs/>
                <w:color w:val="414142"/>
                <w:lang w:eastAsia="lv-LV"/>
              </w:rPr>
              <w:t>250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D81" w:rsidRPr="00836FE4" w14:paraId="1030D073" w14:textId="77777777">
            <w:pPr>
              <w:jc w:val="right"/>
              <w:rPr>
                <w:iCs/>
                <w:color w:val="414142"/>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3BB974B0" w14:textId="22820AC7">
            <w:pPr>
              <w:jc w:val="right"/>
              <w:rPr>
                <w:iCs/>
                <w:color w:val="414142"/>
                <w:lang w:eastAsia="lv-LV"/>
              </w:rPr>
            </w:pPr>
            <w:r>
              <w:rPr>
                <w:iCs/>
                <w:color w:val="414142"/>
                <w:lang w:eastAsia="lv-LV"/>
              </w:rPr>
              <w:t>-46 500</w:t>
            </w:r>
          </w:p>
        </w:tc>
        <w:tc>
          <w:tcPr>
            <w:tcW w:w="2026" w:type="dxa"/>
            <w:tcBorders>
              <w:top w:val="outset" w:sz="6" w:space="0" w:color="auto"/>
              <w:left w:val="outset" w:sz="6" w:space="0" w:color="auto"/>
              <w:bottom w:val="outset" w:sz="6" w:space="0" w:color="auto"/>
              <w:right w:val="outset" w:sz="6" w:space="0" w:color="auto"/>
            </w:tcBorders>
            <w:vAlign w:val="center"/>
            <w:hideMark/>
          </w:tcPr>
          <w:p w:rsidR="00145D81" w:rsidRPr="00836FE4" w14:paraId="54BE6485" w14:textId="71E4473C">
            <w:pPr>
              <w:jc w:val="right"/>
              <w:rPr>
                <w:iCs/>
                <w:color w:val="414142"/>
                <w:lang w:eastAsia="lv-LV"/>
              </w:rPr>
            </w:pPr>
            <w:r>
              <w:rPr>
                <w:iCs/>
                <w:color w:val="414142"/>
                <w:lang w:eastAsia="lv-LV"/>
              </w:rPr>
              <w:t>-15 000</w:t>
            </w:r>
          </w:p>
        </w:tc>
      </w:tr>
      <w:tr w14:paraId="4A935AD9" w14:textId="77777777" w:rsidTr="00537167">
        <w:tblPrEx>
          <w:tblW w:w="9915" w:type="dxa"/>
          <w:tblCellSpacing w:w="15" w:type="dxa"/>
          <w:tblCellMar>
            <w:top w:w="30" w:type="dxa"/>
            <w:left w:w="30" w:type="dxa"/>
            <w:bottom w:w="30" w:type="dxa"/>
            <w:right w:w="30" w:type="dxa"/>
          </w:tblCellMar>
          <w:tblLook w:val="04A0"/>
        </w:tblPrEx>
        <w:trPr>
          <w:tblCellSpacing w:w="15" w:type="dxa"/>
        </w:trPr>
        <w:tc>
          <w:tcPr>
            <w:tcW w:w="1583" w:type="dxa"/>
            <w:gridSpan w:val="2"/>
            <w:tcBorders>
              <w:top w:val="outset" w:sz="6" w:space="0" w:color="auto"/>
              <w:left w:val="outset" w:sz="6" w:space="0" w:color="auto"/>
              <w:bottom w:val="outset" w:sz="6" w:space="0" w:color="auto"/>
              <w:right w:val="outset" w:sz="6" w:space="0" w:color="auto"/>
            </w:tcBorders>
            <w:hideMark/>
          </w:tcPr>
          <w:p w:rsidR="00145D81" w:rsidRPr="00836FE4" w14:paraId="09C25349" w14:textId="77777777">
            <w:pPr>
              <w:rPr>
                <w:iCs/>
                <w:color w:val="414142"/>
                <w:lang w:eastAsia="lv-LV"/>
              </w:rPr>
            </w:pPr>
            <w:r w:rsidRPr="00836FE4">
              <w:rPr>
                <w:iCs/>
                <w:color w:val="414142"/>
                <w:lang w:eastAsia="lv-LV"/>
              </w:rPr>
              <w:t>5.2. speciālais budžets</w:t>
            </w:r>
          </w:p>
        </w:tc>
        <w:tc>
          <w:tcPr>
            <w:tcW w:w="930" w:type="dxa"/>
            <w:vMerge/>
            <w:tcBorders>
              <w:top w:val="outset" w:sz="6" w:space="0" w:color="auto"/>
              <w:left w:val="outset" w:sz="6" w:space="0" w:color="auto"/>
              <w:bottom w:val="outset" w:sz="6" w:space="0" w:color="auto"/>
              <w:right w:val="outset" w:sz="6" w:space="0" w:color="auto"/>
            </w:tcBorders>
            <w:vAlign w:val="center"/>
            <w:hideMark/>
          </w:tcPr>
          <w:p w:rsidR="00145D81" w:rsidRPr="00836FE4" w14:paraId="7F01BABB" w14:textId="77777777">
            <w:pPr>
              <w:jc w:val="right"/>
              <w:rPr>
                <w:iCs/>
                <w:color w:val="414142"/>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0065A660" w14:textId="77777777">
            <w:pPr>
              <w:jc w:val="right"/>
              <w:rPr>
                <w:iCs/>
                <w:color w:val="414142"/>
                <w:lang w:eastAsia="lv-LV"/>
              </w:rPr>
            </w:pPr>
            <w:r w:rsidRPr="00836FE4">
              <w:rPr>
                <w:iCs/>
                <w:color w:val="414142"/>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D81" w:rsidRPr="00836FE4" w14:paraId="56AC6FE3" w14:textId="77777777">
            <w:pPr>
              <w:jc w:val="right"/>
              <w:rPr>
                <w:iCs/>
                <w:color w:val="414142"/>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304D4E74" w14:textId="77777777">
            <w:pPr>
              <w:jc w:val="right"/>
              <w:rPr>
                <w:iCs/>
                <w:color w:val="414142"/>
                <w:lang w:eastAsia="lv-LV"/>
              </w:rPr>
            </w:pPr>
            <w:r w:rsidRPr="00836FE4">
              <w:rPr>
                <w:iCs/>
                <w:color w:val="414142"/>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D81" w:rsidRPr="00836FE4" w14:paraId="20C78B17" w14:textId="77777777">
            <w:pPr>
              <w:jc w:val="right"/>
              <w:rPr>
                <w:iCs/>
                <w:color w:val="414142"/>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222FA7C1" w14:textId="77777777">
            <w:pPr>
              <w:jc w:val="right"/>
              <w:rPr>
                <w:iCs/>
                <w:color w:val="414142"/>
                <w:lang w:eastAsia="lv-LV"/>
              </w:rPr>
            </w:pPr>
            <w:r w:rsidRPr="00836FE4">
              <w:rPr>
                <w:iCs/>
                <w:color w:val="414142"/>
                <w:lang w:eastAsia="lv-LV"/>
              </w:rPr>
              <w:t>0</w:t>
            </w:r>
          </w:p>
        </w:tc>
        <w:tc>
          <w:tcPr>
            <w:tcW w:w="2026" w:type="dxa"/>
            <w:tcBorders>
              <w:top w:val="outset" w:sz="6" w:space="0" w:color="auto"/>
              <w:left w:val="outset" w:sz="6" w:space="0" w:color="auto"/>
              <w:bottom w:val="outset" w:sz="6" w:space="0" w:color="auto"/>
              <w:right w:val="outset" w:sz="6" w:space="0" w:color="auto"/>
            </w:tcBorders>
            <w:vAlign w:val="center"/>
            <w:hideMark/>
          </w:tcPr>
          <w:p w:rsidR="00145D81" w:rsidRPr="00836FE4" w14:paraId="19436C02" w14:textId="77777777">
            <w:pPr>
              <w:jc w:val="right"/>
              <w:rPr>
                <w:iCs/>
                <w:color w:val="414142"/>
                <w:lang w:eastAsia="lv-LV"/>
              </w:rPr>
            </w:pPr>
            <w:r w:rsidRPr="00836FE4">
              <w:rPr>
                <w:iCs/>
                <w:color w:val="414142"/>
                <w:lang w:eastAsia="lv-LV"/>
              </w:rPr>
              <w:t>0</w:t>
            </w:r>
          </w:p>
        </w:tc>
      </w:tr>
      <w:tr w14:paraId="1F2A2862" w14:textId="77777777" w:rsidTr="00537167">
        <w:tblPrEx>
          <w:tblW w:w="9915" w:type="dxa"/>
          <w:tblCellSpacing w:w="15" w:type="dxa"/>
          <w:tblCellMar>
            <w:top w:w="30" w:type="dxa"/>
            <w:left w:w="30" w:type="dxa"/>
            <w:bottom w:w="30" w:type="dxa"/>
            <w:right w:w="30" w:type="dxa"/>
          </w:tblCellMar>
          <w:tblLook w:val="04A0"/>
        </w:tblPrEx>
        <w:trPr>
          <w:tblCellSpacing w:w="15" w:type="dxa"/>
        </w:trPr>
        <w:tc>
          <w:tcPr>
            <w:tcW w:w="1583" w:type="dxa"/>
            <w:gridSpan w:val="2"/>
            <w:tcBorders>
              <w:top w:val="outset" w:sz="6" w:space="0" w:color="auto"/>
              <w:left w:val="outset" w:sz="6" w:space="0" w:color="auto"/>
              <w:bottom w:val="outset" w:sz="6" w:space="0" w:color="auto"/>
              <w:right w:val="outset" w:sz="6" w:space="0" w:color="auto"/>
            </w:tcBorders>
            <w:hideMark/>
          </w:tcPr>
          <w:p w:rsidR="00145D81" w:rsidRPr="00836FE4" w14:paraId="121113AC" w14:textId="77777777">
            <w:pPr>
              <w:rPr>
                <w:iCs/>
                <w:color w:val="414142"/>
                <w:lang w:eastAsia="lv-LV"/>
              </w:rPr>
            </w:pPr>
            <w:r w:rsidRPr="00836FE4">
              <w:rPr>
                <w:iCs/>
                <w:color w:val="414142"/>
                <w:lang w:eastAsia="lv-LV"/>
              </w:rPr>
              <w:t>5.3. pašvaldību budžets</w:t>
            </w:r>
          </w:p>
        </w:tc>
        <w:tc>
          <w:tcPr>
            <w:tcW w:w="930" w:type="dxa"/>
            <w:vMerge/>
            <w:tcBorders>
              <w:top w:val="outset" w:sz="6" w:space="0" w:color="auto"/>
              <w:left w:val="outset" w:sz="6" w:space="0" w:color="auto"/>
              <w:bottom w:val="outset" w:sz="6" w:space="0" w:color="auto"/>
              <w:right w:val="outset" w:sz="6" w:space="0" w:color="auto"/>
            </w:tcBorders>
            <w:vAlign w:val="center"/>
            <w:hideMark/>
          </w:tcPr>
          <w:p w:rsidR="00145D81" w:rsidRPr="00836FE4" w14:paraId="342C62FC" w14:textId="77777777">
            <w:pPr>
              <w:jc w:val="right"/>
              <w:rPr>
                <w:iCs/>
                <w:color w:val="414142"/>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25DE2B8D" w14:textId="77777777">
            <w:pPr>
              <w:jc w:val="right"/>
              <w:rPr>
                <w:iCs/>
                <w:color w:val="414142"/>
                <w:lang w:eastAsia="lv-LV"/>
              </w:rPr>
            </w:pPr>
            <w:r w:rsidRPr="00836FE4">
              <w:rPr>
                <w:iCs/>
                <w:color w:val="414142"/>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D81" w:rsidRPr="00836FE4" w14:paraId="57397712" w14:textId="77777777">
            <w:pPr>
              <w:jc w:val="right"/>
              <w:rPr>
                <w:iCs/>
                <w:color w:val="414142"/>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5299C5E1" w14:textId="77777777">
            <w:pPr>
              <w:jc w:val="right"/>
              <w:rPr>
                <w:iCs/>
                <w:color w:val="414142"/>
                <w:lang w:eastAsia="lv-LV"/>
              </w:rPr>
            </w:pPr>
            <w:r w:rsidRPr="00836FE4">
              <w:rPr>
                <w:iCs/>
                <w:color w:val="414142"/>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5D81" w:rsidRPr="00836FE4" w14:paraId="7049287E" w14:textId="77777777">
            <w:pPr>
              <w:jc w:val="right"/>
              <w:rPr>
                <w:iCs/>
                <w:color w:val="414142"/>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5D81" w:rsidRPr="00836FE4" w14:paraId="41A36F39" w14:textId="77777777">
            <w:pPr>
              <w:jc w:val="right"/>
              <w:rPr>
                <w:iCs/>
                <w:color w:val="414142"/>
                <w:lang w:eastAsia="lv-LV"/>
              </w:rPr>
            </w:pPr>
            <w:r w:rsidRPr="00836FE4">
              <w:rPr>
                <w:iCs/>
                <w:color w:val="414142"/>
                <w:lang w:eastAsia="lv-LV"/>
              </w:rPr>
              <w:t>0</w:t>
            </w:r>
          </w:p>
        </w:tc>
        <w:tc>
          <w:tcPr>
            <w:tcW w:w="2026" w:type="dxa"/>
            <w:tcBorders>
              <w:top w:val="outset" w:sz="6" w:space="0" w:color="auto"/>
              <w:left w:val="outset" w:sz="6" w:space="0" w:color="auto"/>
              <w:bottom w:val="outset" w:sz="6" w:space="0" w:color="auto"/>
              <w:right w:val="outset" w:sz="6" w:space="0" w:color="auto"/>
            </w:tcBorders>
            <w:vAlign w:val="center"/>
            <w:hideMark/>
          </w:tcPr>
          <w:p w:rsidR="00145D81" w:rsidRPr="00836FE4" w14:paraId="35EEA484" w14:textId="77777777">
            <w:pPr>
              <w:jc w:val="right"/>
              <w:rPr>
                <w:iCs/>
                <w:color w:val="414142"/>
                <w:lang w:eastAsia="lv-LV"/>
              </w:rPr>
            </w:pPr>
            <w:r w:rsidRPr="00836FE4">
              <w:rPr>
                <w:iCs/>
                <w:color w:val="414142"/>
                <w:lang w:eastAsia="lv-LV"/>
              </w:rPr>
              <w:t>0</w:t>
            </w:r>
          </w:p>
        </w:tc>
      </w:tr>
      <w:tr w14:paraId="11D84F75" w14:textId="77777777" w:rsidTr="00537167">
        <w:tblPrEx>
          <w:tblW w:w="9915" w:type="dxa"/>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45D81" w:rsidRPr="00836FE4" w14:paraId="2F5BF592" w14:textId="77777777">
            <w:pPr>
              <w:rPr>
                <w:iCs/>
                <w:color w:val="414142"/>
                <w:lang w:eastAsia="lv-LV"/>
              </w:rPr>
            </w:pPr>
            <w:r w:rsidRPr="00836FE4">
              <w:rPr>
                <w:iCs/>
                <w:color w:val="414142"/>
                <w:lang w:eastAsia="lv-LV"/>
              </w:rPr>
              <w:t>6. Detalizēts ieņēmumu un izdevumu aprēķins (ja nepieciešams, detalizētu ieņēmumu un izdevumu aprēķinu var pievienot anotācijas pielikumā)</w:t>
            </w:r>
          </w:p>
        </w:tc>
        <w:tc>
          <w:tcPr>
            <w:tcW w:w="8272" w:type="dxa"/>
            <w:gridSpan w:val="8"/>
            <w:vMerge w:val="restart"/>
            <w:tcBorders>
              <w:top w:val="outset" w:sz="6" w:space="0" w:color="auto"/>
              <w:left w:val="outset" w:sz="6" w:space="0" w:color="auto"/>
              <w:bottom w:val="outset" w:sz="6" w:space="0" w:color="auto"/>
              <w:right w:val="outset" w:sz="6" w:space="0" w:color="auto"/>
            </w:tcBorders>
            <w:vAlign w:val="center"/>
            <w:hideMark/>
          </w:tcPr>
          <w:p w:rsidR="00145D81" w:rsidRPr="00836FE4" w14:paraId="75E89DD4" w14:textId="77273449">
            <w:pPr>
              <w:shd w:val="clear" w:color="auto" w:fill="FFFFFF"/>
              <w:spacing w:line="293" w:lineRule="atLeast"/>
              <w:jc w:val="both"/>
            </w:pPr>
            <w:r w:rsidRPr="00836FE4">
              <w:rPr>
                <w:iCs/>
                <w:color w:val="414142"/>
                <w:lang w:eastAsia="lv-LV"/>
              </w:rPr>
              <w:t>P</w:t>
            </w:r>
            <w:r w:rsidRPr="00836FE4" w:rsidR="00442911">
              <w:t>ārvaldes “Ārējās tirdzniecības statistikas datu apstrādes sistēma” projekts tiks finansēts no Eiropas reģionālās attīstības fonda (turpmāk – ERAF) līdzekļiem, un tā kopējais finansējuma apjoms ir 425</w:t>
            </w:r>
            <w:r w:rsidR="00E40441">
              <w:t> 000 </w:t>
            </w:r>
            <w:r w:rsidRPr="00836FE4" w:rsidR="00442911">
              <w:rPr>
                <w:i/>
              </w:rPr>
              <w:t>euro</w:t>
            </w:r>
            <w:r w:rsidRPr="00836FE4" w:rsidR="00442911">
              <w:t>, no tā ERAF finansējums sastāda 361 250</w:t>
            </w:r>
            <w:r w:rsidR="00E40441">
              <w:t> </w:t>
            </w:r>
            <w:r w:rsidRPr="00836FE4" w:rsidR="00442911">
              <w:rPr>
                <w:i/>
              </w:rPr>
              <w:t>euro</w:t>
            </w:r>
            <w:r w:rsidRPr="00836FE4" w:rsidR="00442911">
              <w:t xml:space="preserve"> un valsts budžeta finansējums 63 750</w:t>
            </w:r>
            <w:r w:rsidR="00E40441">
              <w:t> </w:t>
            </w:r>
            <w:r w:rsidRPr="00836FE4" w:rsidR="00442911">
              <w:rPr>
                <w:i/>
              </w:rPr>
              <w:t>euro</w:t>
            </w:r>
            <w:r w:rsidRPr="00836FE4" w:rsidR="00442911">
              <w:t>.</w:t>
            </w:r>
          </w:p>
          <w:p w:rsidR="005615DB" w14:paraId="7380EB47" w14:textId="3FDDB54E">
            <w:pPr>
              <w:jc w:val="both"/>
              <w:rPr>
                <w:lang w:eastAsia="en-US"/>
              </w:rPr>
            </w:pPr>
            <w:r w:rsidRPr="00836FE4">
              <w:rPr>
                <w:lang w:eastAsia="en-US"/>
              </w:rPr>
              <w:t xml:space="preserve">Lai nodrošinātu ilgtspējīgu </w:t>
            </w:r>
            <w:r w:rsidRPr="00836FE4">
              <w:t>“Ārējās tirdzniecības statistikas datu apstrādes sistēma</w:t>
            </w:r>
            <w:r w:rsidRPr="00836FE4">
              <w:rPr>
                <w:lang w:eastAsia="en-US"/>
              </w:rPr>
              <w:t>” projekta rezultātā izstrādāto IKT risinājumu darbību, pēc projekta termiņa beigām katru gadu, sākot ar 2021. gadu</w:t>
            </w:r>
            <w:r w:rsidR="0014217D">
              <w:rPr>
                <w:lang w:eastAsia="en-US"/>
              </w:rPr>
              <w:t>,</w:t>
            </w:r>
            <w:r w:rsidRPr="00836FE4">
              <w:rPr>
                <w:lang w:eastAsia="en-US"/>
              </w:rPr>
              <w:t xml:space="preserve"> ir plānojamas ikgadējās IKT risinājumu uzturēšanas izmaksas</w:t>
            </w:r>
            <w:r>
              <w:rPr>
                <w:lang w:eastAsia="en-US"/>
              </w:rPr>
              <w:t xml:space="preserve"> 15 000 </w:t>
            </w:r>
            <w:r>
              <w:rPr>
                <w:i/>
                <w:lang w:eastAsia="en-US"/>
              </w:rPr>
              <w:t>euro</w:t>
            </w:r>
            <w:r>
              <w:rPr>
                <w:lang w:eastAsia="en-US"/>
              </w:rPr>
              <w:t xml:space="preserve"> gadā, kas ir aptuveni 5% no provizoriskajām specializētās programmatūras izstrādes izmaksām </w:t>
            </w:r>
            <w:r w:rsidR="00E83FC3">
              <w:rPr>
                <w:lang w:eastAsia="en-US"/>
              </w:rPr>
              <w:t>-</w:t>
            </w:r>
            <w:r>
              <w:rPr>
                <w:lang w:eastAsia="en-US"/>
              </w:rPr>
              <w:t xml:space="preserve">300 000 </w:t>
            </w:r>
            <w:r>
              <w:rPr>
                <w:i/>
                <w:lang w:eastAsia="en-US"/>
              </w:rPr>
              <w:t>euro</w:t>
            </w:r>
            <w:r>
              <w:rPr>
                <w:lang w:eastAsia="en-US"/>
              </w:rPr>
              <w:t xml:space="preserve">, </w:t>
            </w:r>
            <w:r w:rsidR="00E83FC3">
              <w:rPr>
                <w:lang w:eastAsia="en-US"/>
              </w:rPr>
              <w:t xml:space="preserve">un  </w:t>
            </w:r>
            <w:r>
              <w:rPr>
                <w:lang w:eastAsia="en-US"/>
              </w:rPr>
              <w:t>ietver:</w:t>
            </w:r>
          </w:p>
          <w:p w:rsidR="00023D5A" w14:paraId="36F90EC2" w14:textId="2C0349E2">
            <w:pPr>
              <w:ind w:left="360"/>
              <w:jc w:val="both"/>
              <w:rPr>
                <w:lang w:eastAsia="en-US"/>
              </w:rPr>
            </w:pPr>
            <w:r>
              <w:rPr>
                <w:lang w:eastAsia="en-US"/>
              </w:rPr>
              <w:t>-</w:t>
            </w:r>
            <w:r>
              <w:rPr>
                <w:lang w:eastAsia="en-US"/>
              </w:rPr>
              <w:tab/>
              <w:t>informācijas sistēmu izmaiņu un pilnveidojumu veikšanu</w:t>
            </w:r>
            <w:r w:rsidR="00F82D6C">
              <w:rPr>
                <w:lang w:eastAsia="en-US"/>
              </w:rPr>
              <w:t xml:space="preserve">, lai nodrošinātu sistēmas atbilstību </w:t>
            </w:r>
            <w:r w:rsidR="00D71163">
              <w:rPr>
                <w:lang w:eastAsia="en-US"/>
              </w:rPr>
              <w:t>statistikas sagatavošanas metodoloģijas un normatīvā regulējuma izmaiņām</w:t>
            </w:r>
            <w:r>
              <w:rPr>
                <w:lang w:eastAsia="en-US"/>
              </w:rPr>
              <w:t xml:space="preserve">; </w:t>
            </w:r>
          </w:p>
          <w:p w:rsidR="00023D5A" w14:paraId="0BB7F1D6" w14:textId="3C0C15D8">
            <w:pPr>
              <w:ind w:left="360"/>
              <w:jc w:val="both"/>
              <w:rPr>
                <w:lang w:eastAsia="en-US"/>
              </w:rPr>
            </w:pPr>
            <w:r>
              <w:rPr>
                <w:lang w:eastAsia="en-US"/>
              </w:rPr>
              <w:t>-</w:t>
            </w:r>
            <w:r>
              <w:rPr>
                <w:lang w:eastAsia="en-US"/>
              </w:rPr>
              <w:tab/>
              <w:t>informācijas sistēmu uzturēšanas pakalpojumus (problēmu pieteikšana, apstrāde, risināšana);</w:t>
            </w:r>
          </w:p>
          <w:p w:rsidR="00023D5A" w14:paraId="2AC54B8D" w14:textId="36AED5A3">
            <w:pPr>
              <w:ind w:left="360"/>
              <w:jc w:val="both"/>
              <w:rPr>
                <w:lang w:eastAsia="en-US"/>
              </w:rPr>
            </w:pPr>
            <w:r>
              <w:rPr>
                <w:lang w:eastAsia="en-US"/>
              </w:rPr>
              <w:t>-</w:t>
            </w:r>
            <w:r>
              <w:rPr>
                <w:lang w:eastAsia="en-US"/>
              </w:rPr>
              <w:tab/>
              <w:t>ar informācijas sistēmu uzturēšanu saistītas konsultācijas;</w:t>
            </w:r>
          </w:p>
          <w:p w:rsidR="00023D5A" w14:paraId="6DF02B86" w14:textId="163423FE">
            <w:pPr>
              <w:ind w:left="360"/>
              <w:jc w:val="both"/>
            </w:pPr>
            <w:r>
              <w:t>- informācijas sistēmu lietotāju apmācības pēc nepieciešamības.</w:t>
            </w:r>
          </w:p>
          <w:p w:rsidR="00023D5A" w14:paraId="69557979" w14:textId="149E2421">
            <w:pPr>
              <w:ind w:left="360"/>
              <w:jc w:val="both"/>
            </w:pPr>
            <w:r>
              <w:t xml:space="preserve">Provizoriski </w:t>
            </w:r>
            <w:r w:rsidR="001C29B0">
              <w:t xml:space="preserve">nepieciešamas 40 </w:t>
            </w:r>
            <w:r w:rsidR="008D6471">
              <w:t>cilvēkdienas</w:t>
            </w:r>
            <w:r w:rsidR="008D6471">
              <w:t xml:space="preserve"> </w:t>
            </w:r>
            <w:r w:rsidR="001C29B0">
              <w:t>gadā, kas</w:t>
            </w:r>
            <w:r w:rsidR="00E83FC3">
              <w:t>,</w:t>
            </w:r>
            <w:r w:rsidR="001C29B0">
              <w:t xml:space="preserve"> pieņemot vienas cilvēkdienas likmi 375 </w:t>
            </w:r>
            <w:r w:rsidRPr="00171260" w:rsidR="001C29B0">
              <w:rPr>
                <w:i/>
              </w:rPr>
              <w:t>eiro</w:t>
            </w:r>
            <w:r w:rsidR="00E83FC3">
              <w:rPr>
                <w:i/>
              </w:rPr>
              <w:t xml:space="preserve">, </w:t>
            </w:r>
            <w:r w:rsidR="001C29B0">
              <w:t>ir 15 000 euro gadā.</w:t>
            </w:r>
          </w:p>
          <w:p w:rsidR="00A8574D" w:rsidRPr="00836FE4" w14:paraId="77FBCC44" w14:textId="10295A6C">
            <w:pPr>
              <w:jc w:val="both"/>
              <w:rPr>
                <w:lang w:eastAsia="en-US"/>
              </w:rPr>
            </w:pPr>
          </w:p>
        </w:tc>
      </w:tr>
      <w:tr w14:paraId="4D1D0CEA" w14:textId="77777777" w:rsidTr="00537167">
        <w:tblPrEx>
          <w:tblW w:w="9915" w:type="dxa"/>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45D81" w:rsidRPr="00836FE4" w14:paraId="326CEDA2" w14:textId="77777777">
            <w:pPr>
              <w:rPr>
                <w:iCs/>
                <w:color w:val="414142"/>
                <w:lang w:eastAsia="lv-LV"/>
              </w:rPr>
            </w:pPr>
            <w:r w:rsidRPr="00836FE4">
              <w:rPr>
                <w:iCs/>
                <w:color w:val="414142"/>
                <w:lang w:eastAsia="lv-LV"/>
              </w:rPr>
              <w:t>6.1. detalizēts ieņēmumu aprēķins</w:t>
            </w:r>
          </w:p>
        </w:tc>
        <w:tc>
          <w:tcPr>
            <w:tcW w:w="8272" w:type="dxa"/>
            <w:gridSpan w:val="8"/>
            <w:vMerge/>
            <w:tcBorders>
              <w:top w:val="outset" w:sz="6" w:space="0" w:color="auto"/>
              <w:left w:val="outset" w:sz="6" w:space="0" w:color="auto"/>
              <w:bottom w:val="outset" w:sz="6" w:space="0" w:color="auto"/>
              <w:right w:val="outset" w:sz="6" w:space="0" w:color="auto"/>
            </w:tcBorders>
            <w:vAlign w:val="center"/>
            <w:hideMark/>
          </w:tcPr>
          <w:p w:rsidR="00145D81" w:rsidRPr="00836FE4" w14:paraId="17E52730" w14:textId="77777777">
            <w:pPr>
              <w:rPr>
                <w:iCs/>
                <w:color w:val="414142"/>
                <w:lang w:eastAsia="lv-LV"/>
              </w:rPr>
            </w:pPr>
          </w:p>
        </w:tc>
      </w:tr>
      <w:tr w14:paraId="1E1ED323" w14:textId="77777777" w:rsidTr="00537167">
        <w:tblPrEx>
          <w:tblW w:w="9915" w:type="dxa"/>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45D81" w:rsidRPr="00836FE4" w14:paraId="6E855ADA" w14:textId="77777777">
            <w:pPr>
              <w:rPr>
                <w:iCs/>
                <w:color w:val="414142"/>
                <w:lang w:eastAsia="lv-LV"/>
              </w:rPr>
            </w:pPr>
            <w:r w:rsidRPr="00836FE4">
              <w:rPr>
                <w:iCs/>
                <w:color w:val="414142"/>
                <w:lang w:eastAsia="lv-LV"/>
              </w:rPr>
              <w:t>6.2. detalizēts izdevumu aprēķins</w:t>
            </w:r>
          </w:p>
        </w:tc>
        <w:tc>
          <w:tcPr>
            <w:tcW w:w="8272" w:type="dxa"/>
            <w:gridSpan w:val="8"/>
            <w:vMerge/>
            <w:tcBorders>
              <w:top w:val="outset" w:sz="6" w:space="0" w:color="auto"/>
              <w:left w:val="outset" w:sz="6" w:space="0" w:color="auto"/>
              <w:bottom w:val="outset" w:sz="6" w:space="0" w:color="auto"/>
              <w:right w:val="outset" w:sz="6" w:space="0" w:color="auto"/>
            </w:tcBorders>
            <w:vAlign w:val="center"/>
            <w:hideMark/>
          </w:tcPr>
          <w:p w:rsidR="00145D81" w:rsidRPr="00836FE4" w14:paraId="0CFB41FA" w14:textId="77777777">
            <w:pPr>
              <w:rPr>
                <w:iCs/>
                <w:color w:val="414142"/>
                <w:lang w:eastAsia="lv-LV"/>
              </w:rPr>
            </w:pPr>
          </w:p>
        </w:tc>
      </w:tr>
      <w:tr w14:paraId="5538001F" w14:textId="77777777" w:rsidTr="00537167">
        <w:tblPrEx>
          <w:tblW w:w="9915" w:type="dxa"/>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45D81" w:rsidRPr="00836FE4" w14:paraId="1F96ABDA" w14:textId="77777777">
            <w:pPr>
              <w:rPr>
                <w:iCs/>
                <w:color w:val="414142"/>
                <w:lang w:eastAsia="lv-LV"/>
              </w:rPr>
            </w:pPr>
            <w:r w:rsidRPr="00836FE4">
              <w:rPr>
                <w:iCs/>
                <w:color w:val="414142"/>
                <w:lang w:eastAsia="lv-LV"/>
              </w:rPr>
              <w:t>7. Amata vietu skaita izmaiņas</w:t>
            </w:r>
          </w:p>
        </w:tc>
        <w:tc>
          <w:tcPr>
            <w:tcW w:w="8272" w:type="dxa"/>
            <w:gridSpan w:val="8"/>
            <w:tcBorders>
              <w:top w:val="outset" w:sz="6" w:space="0" w:color="auto"/>
              <w:left w:val="outset" w:sz="6" w:space="0" w:color="auto"/>
              <w:bottom w:val="outset" w:sz="6" w:space="0" w:color="auto"/>
              <w:right w:val="outset" w:sz="6" w:space="0" w:color="auto"/>
            </w:tcBorders>
          </w:tcPr>
          <w:p w:rsidR="00145D81" w:rsidRPr="00836FE4" w:rsidP="00E67A56" w14:paraId="724B7E45" w14:textId="4CBB1106">
            <w:pPr>
              <w:jc w:val="both"/>
              <w:rPr>
                <w:iCs/>
                <w:color w:val="A6A6A6" w:themeColor="background1" w:themeShade="A6"/>
                <w:lang w:eastAsia="lv-LV"/>
              </w:rPr>
            </w:pPr>
            <w:r>
              <w:t xml:space="preserve">Amata vietu skaita izmaiņas nav paredzētas. Projekta ietvaros ir paredzēta resursu optimizācija un </w:t>
            </w:r>
            <w:r w:rsidR="00E83FC3">
              <w:t xml:space="preserve">pārstrukturēšana </w:t>
            </w:r>
            <w:r>
              <w:t xml:space="preserve">papildu darbu veikšanai esošo </w:t>
            </w:r>
            <w:r w:rsidR="00E83FC3">
              <w:t>cilvēk</w:t>
            </w:r>
            <w:r>
              <w:t>resursu ietvaros.</w:t>
            </w:r>
          </w:p>
        </w:tc>
      </w:tr>
      <w:tr w14:paraId="6B91BE04" w14:textId="77777777" w:rsidTr="00537167">
        <w:tblPrEx>
          <w:tblW w:w="9915" w:type="dxa"/>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45D81" w:rsidRPr="00836FE4" w14:paraId="60698432" w14:textId="77777777">
            <w:pPr>
              <w:rPr>
                <w:iCs/>
                <w:color w:val="414142"/>
                <w:lang w:eastAsia="lv-LV"/>
              </w:rPr>
            </w:pPr>
            <w:r w:rsidRPr="00836FE4">
              <w:rPr>
                <w:iCs/>
                <w:color w:val="414142"/>
                <w:lang w:eastAsia="lv-LV"/>
              </w:rPr>
              <w:t>8. Cita informācija</w:t>
            </w:r>
          </w:p>
        </w:tc>
        <w:tc>
          <w:tcPr>
            <w:tcW w:w="8272" w:type="dxa"/>
            <w:gridSpan w:val="8"/>
            <w:tcBorders>
              <w:top w:val="outset" w:sz="6" w:space="0" w:color="auto"/>
              <w:left w:val="outset" w:sz="6" w:space="0" w:color="auto"/>
              <w:bottom w:val="outset" w:sz="6" w:space="0" w:color="auto"/>
              <w:right w:val="outset" w:sz="6" w:space="0" w:color="auto"/>
            </w:tcBorders>
            <w:hideMark/>
          </w:tcPr>
          <w:p w:rsidR="00145D81" w:rsidRPr="00836FE4" w:rsidP="00E67A56" w14:paraId="4B015153" w14:textId="77777777">
            <w:pPr>
              <w:jc w:val="both"/>
            </w:pPr>
            <w:r w:rsidRPr="00836FE4">
              <w:t>Projekta īstenošanai nepieciešamie valsts budžeta līdzekļi normatīvajos aktos noteiktajā kārtībā tiks pieprasīti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p w:rsidR="00145D81" w:rsidRPr="00836FE4" w:rsidP="00E67A56" w14:paraId="0C99AADB" w14:textId="77777777">
            <w:pPr>
              <w:tabs>
                <w:tab w:val="left" w:pos="993"/>
              </w:tabs>
              <w:contextualSpacing/>
              <w:jc w:val="both"/>
            </w:pPr>
          </w:p>
          <w:p w:rsidR="00145D81" w:rsidRPr="00836FE4" w:rsidP="00E67A56" w14:paraId="7E3C54E5" w14:textId="3F88E082">
            <w:pPr>
              <w:jc w:val="both"/>
              <w:rPr>
                <w:iCs/>
                <w:color w:val="A6A6A6" w:themeColor="background1" w:themeShade="A6"/>
                <w:lang w:eastAsia="lv-LV"/>
              </w:rPr>
            </w:pPr>
            <w:r>
              <w:rPr>
                <w:lang w:eastAsia="en-US"/>
              </w:rPr>
              <w:t>Sākot ar 2021</w:t>
            </w:r>
            <w:r w:rsidRPr="00EA09FA">
              <w:rPr>
                <w:lang w:eastAsia="en-US"/>
              </w:rPr>
              <w:t>.gadu</w:t>
            </w:r>
            <w:r w:rsidR="00E83FC3">
              <w:rPr>
                <w:lang w:eastAsia="en-US"/>
              </w:rPr>
              <w:t>,</w:t>
            </w:r>
            <w:r w:rsidRPr="00836FE4">
              <w:t xml:space="preserve"> </w:t>
            </w:r>
            <w:r>
              <w:t>p</w:t>
            </w:r>
            <w:r w:rsidRPr="00836FE4" w:rsidR="00442911">
              <w:t>rojekta rezultātu uzturēšanai papildu nepieciešamais finansējums</w:t>
            </w:r>
            <w:r>
              <w:t xml:space="preserve"> 15 000 euro apmērā</w:t>
            </w:r>
            <w:r w:rsidRPr="00836FE4" w:rsidR="00442911">
              <w:t xml:space="preserve"> tiks pieprasīts normatīvajos aktos noteiktajā kārtībā.</w:t>
            </w:r>
          </w:p>
        </w:tc>
      </w:tr>
    </w:tbl>
    <w:p w:rsidR="00145D81" w:rsidRPr="00836FE4" w:rsidP="00B559D5" w14:paraId="51337DCA" w14:textId="735414EC">
      <w:pPr>
        <w:jc w:val="both"/>
      </w:pPr>
      <w:r>
        <w:br w:type="textWrapping" w:clear="all"/>
      </w:r>
    </w:p>
    <w:tbl>
      <w:tblPr>
        <w:tblW w:w="5452" w:type="pct"/>
        <w:tblCellSpacing w:w="15"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719"/>
      </w:tblGrid>
      <w:tr w14:paraId="6643D912" w14:textId="77777777" w:rsidTr="00262DE5">
        <w:tblPrEx>
          <w:tblW w:w="5452" w:type="pct"/>
          <w:tblCellSpacing w:w="15"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B559D5" w:rsidRPr="00836FE4" w:rsidP="00262DE5" w14:paraId="3F6D7C3C" w14:textId="77777777">
            <w:pPr>
              <w:pStyle w:val="tvhtml"/>
              <w:spacing w:before="0" w:after="0"/>
              <w:jc w:val="center"/>
              <w:rPr>
                <w:b/>
                <w:bCs/>
              </w:rPr>
            </w:pPr>
            <w:r w:rsidRPr="00836FE4">
              <w:rPr>
                <w:b/>
                <w:bCs/>
              </w:rPr>
              <w:t>IV. Tiesību akta projekta ietekme uz spēkā esošo tiesību normu sistēmu</w:t>
            </w:r>
          </w:p>
        </w:tc>
      </w:tr>
      <w:tr w14:paraId="09064C46" w14:textId="77777777" w:rsidTr="00262DE5">
        <w:tblPrEx>
          <w:tblW w:w="5452" w:type="pct"/>
          <w:tblCellSpacing w:w="15" w:type="dxa"/>
          <w:tblInd w:w="-15" w:type="dxa"/>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B559D5" w:rsidRPr="00836FE4" w:rsidP="00262DE5" w14:paraId="53EB681F" w14:textId="77777777">
            <w:pPr>
              <w:pStyle w:val="tvhtml"/>
              <w:spacing w:before="0" w:after="0"/>
              <w:jc w:val="center"/>
            </w:pPr>
            <w:r w:rsidRPr="00836FE4">
              <w:t>Projekts šo jomu neskar</w:t>
            </w:r>
          </w:p>
        </w:tc>
      </w:tr>
    </w:tbl>
    <w:p w:rsidR="00B559D5" w:rsidRPr="00836FE4" w:rsidP="00B559D5" w14:paraId="51A8D931" w14:textId="77777777">
      <w:pPr>
        <w:rPr>
          <w:iCs/>
          <w:lang w:eastAsia="en-US"/>
        </w:rPr>
      </w:pPr>
    </w:p>
    <w:tbl>
      <w:tblPr>
        <w:tblW w:w="5452" w:type="pct"/>
        <w:tblCellSpacing w:w="15"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719"/>
      </w:tblGrid>
      <w:tr w14:paraId="20D88D1A" w14:textId="77777777" w:rsidTr="00262DE5">
        <w:tblPrEx>
          <w:tblW w:w="5452" w:type="pct"/>
          <w:tblCellSpacing w:w="15"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B559D5" w:rsidRPr="00836FE4" w:rsidP="00262DE5" w14:paraId="55A11CBE" w14:textId="77777777">
            <w:pPr>
              <w:pStyle w:val="tvhtml"/>
              <w:spacing w:before="0" w:after="0"/>
              <w:jc w:val="center"/>
              <w:rPr>
                <w:b/>
                <w:bCs/>
              </w:rPr>
            </w:pPr>
            <w:r w:rsidRPr="00836FE4">
              <w:rPr>
                <w:b/>
                <w:bCs/>
              </w:rPr>
              <w:t>V. Tiesību akta projekta atbilstība Latvijas Republikas starptautiskajām saistībām</w:t>
            </w:r>
          </w:p>
        </w:tc>
      </w:tr>
      <w:tr w14:paraId="459EE89F" w14:textId="77777777" w:rsidTr="00262DE5">
        <w:tblPrEx>
          <w:tblW w:w="5452" w:type="pct"/>
          <w:tblCellSpacing w:w="15" w:type="dxa"/>
          <w:tblInd w:w="-15" w:type="dxa"/>
          <w:tblCellMar>
            <w:top w:w="30" w:type="dxa"/>
            <w:left w:w="30" w:type="dxa"/>
            <w:bottom w:w="30" w:type="dxa"/>
            <w:right w:w="30" w:type="dxa"/>
          </w:tblCellMar>
          <w:tblLook w:val="04A0"/>
        </w:tblPrEx>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B559D5" w:rsidRPr="00836FE4" w:rsidP="00262DE5" w14:paraId="2EA9DD63" w14:textId="77777777">
            <w:pPr>
              <w:pStyle w:val="tvhtml"/>
              <w:spacing w:before="0" w:after="0"/>
              <w:jc w:val="center"/>
              <w:rPr>
                <w:bCs/>
              </w:rPr>
            </w:pPr>
            <w:r w:rsidRPr="00836FE4">
              <w:rPr>
                <w:bCs/>
              </w:rPr>
              <w:t>Projekts šo jomu neskar</w:t>
            </w:r>
          </w:p>
        </w:tc>
      </w:tr>
    </w:tbl>
    <w:p w:rsidR="00B559D5" w:rsidRPr="00836FE4" w:rsidP="00B559D5" w14:paraId="7C4EE470" w14:textId="77777777">
      <w:pPr>
        <w:rPr>
          <w:sz w:val="20"/>
          <w:szCs w:val="20"/>
        </w:rPr>
      </w:pPr>
    </w:p>
    <w:tbl>
      <w:tblPr>
        <w:tblW w:w="54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1"/>
        <w:gridCol w:w="3000"/>
        <w:gridCol w:w="6105"/>
      </w:tblGrid>
      <w:tr w14:paraId="560F5BE6" w14:textId="77777777" w:rsidTr="00836FE4">
        <w:tblPrEx>
          <w:tblW w:w="54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836FE4" w:rsidRPr="00836FE4" w:rsidP="007830FC" w14:paraId="799EA43B" w14:textId="77777777">
            <w:pPr>
              <w:rPr>
                <w:b/>
                <w:bCs/>
                <w:iCs/>
                <w:color w:val="414142"/>
                <w:lang w:eastAsia="lv-LV"/>
              </w:rPr>
            </w:pPr>
            <w:r w:rsidRPr="00836FE4">
              <w:rPr>
                <w:b/>
                <w:bCs/>
                <w:iCs/>
                <w:color w:val="414142"/>
                <w:lang w:eastAsia="lv-LV"/>
              </w:rPr>
              <w:t>VI. Sabiedrības līdzdalība un komunikācijas aktivitātes</w:t>
            </w:r>
          </w:p>
        </w:tc>
      </w:tr>
      <w:tr w14:paraId="3875687D" w14:textId="77777777" w:rsidTr="00836FE4">
        <w:tblPrEx>
          <w:tblW w:w="5428" w:type="pct"/>
          <w:tblCellSpacing w:w="15" w:type="dxa"/>
          <w:tblCellMar>
            <w:top w:w="30" w:type="dxa"/>
            <w:left w:w="30" w:type="dxa"/>
            <w:bottom w:w="30" w:type="dxa"/>
            <w:right w:w="30" w:type="dxa"/>
          </w:tblCellMar>
          <w:tblLook w:val="04A0"/>
        </w:tblPrEx>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rsidR="00836FE4" w:rsidRPr="00836FE4" w:rsidP="007830FC" w14:paraId="2645791F" w14:textId="77777777">
            <w:pPr>
              <w:rPr>
                <w:iCs/>
                <w:color w:val="414142"/>
                <w:lang w:eastAsia="lv-LV"/>
              </w:rPr>
            </w:pPr>
            <w:r w:rsidRPr="00836FE4">
              <w:rPr>
                <w:iCs/>
                <w:color w:val="414142"/>
                <w:lang w:eastAsia="lv-LV"/>
              </w:rPr>
              <w:t>1.</w:t>
            </w:r>
          </w:p>
        </w:tc>
        <w:tc>
          <w:tcPr>
            <w:tcW w:w="1545" w:type="pct"/>
            <w:tcBorders>
              <w:top w:val="outset" w:sz="6" w:space="0" w:color="auto"/>
              <w:left w:val="outset" w:sz="6" w:space="0" w:color="auto"/>
              <w:bottom w:val="outset" w:sz="6" w:space="0" w:color="auto"/>
              <w:right w:val="outset" w:sz="6" w:space="0" w:color="auto"/>
            </w:tcBorders>
            <w:hideMark/>
          </w:tcPr>
          <w:p w:rsidR="00836FE4" w:rsidRPr="00836FE4" w:rsidP="007830FC" w14:paraId="524469AF" w14:textId="77777777">
            <w:pPr>
              <w:rPr>
                <w:iCs/>
                <w:color w:val="414142"/>
                <w:lang w:eastAsia="lv-LV"/>
              </w:rPr>
            </w:pPr>
            <w:r w:rsidRPr="00836FE4">
              <w:rPr>
                <w:iCs/>
                <w:color w:val="414142"/>
                <w:lang w:eastAsia="lv-LV"/>
              </w:rPr>
              <w:t>Plānotās sabiedrības līdzdalības un komunikācijas aktivitātes saistībā ar projektu</w:t>
            </w:r>
          </w:p>
        </w:tc>
        <w:tc>
          <w:tcPr>
            <w:tcW w:w="3121" w:type="pct"/>
            <w:tcBorders>
              <w:top w:val="outset" w:sz="6" w:space="0" w:color="auto"/>
              <w:left w:val="outset" w:sz="6" w:space="0" w:color="auto"/>
              <w:bottom w:val="outset" w:sz="6" w:space="0" w:color="auto"/>
              <w:right w:val="outset" w:sz="6" w:space="0" w:color="auto"/>
            </w:tcBorders>
            <w:hideMark/>
          </w:tcPr>
          <w:p w:rsidR="00836FE4" w:rsidRPr="0037721B" w:rsidP="00E67A56" w14:paraId="25974D18" w14:textId="77777777">
            <w:pPr>
              <w:jc w:val="both"/>
              <w:rPr>
                <w:iCs/>
                <w:lang w:eastAsia="lv-LV"/>
              </w:rPr>
            </w:pPr>
            <w:r w:rsidRPr="0037721B">
              <w:rPr>
                <w:iCs/>
                <w:lang w:eastAsia="lv-LV"/>
              </w:rPr>
              <w:t>Sabiedrības līdzdalības</w:t>
            </w:r>
            <w:r w:rsidRPr="0037721B" w:rsidR="00E77BD1">
              <w:rPr>
                <w:iCs/>
                <w:lang w:eastAsia="lv-LV"/>
              </w:rPr>
              <w:t xml:space="preserve"> pasākumu organizēt nav nepieciešams, jo </w:t>
            </w:r>
            <w:r w:rsidR="0037721B">
              <w:rPr>
                <w:iCs/>
                <w:lang w:eastAsia="lv-LV"/>
              </w:rPr>
              <w:t>projekts neietekmē sabiedrību tiešā veidā. Tas nozīmē, ka sabiedrībai nemainīsies tiesību un pienākumu apjoms</w:t>
            </w:r>
            <w:r w:rsidR="002C7BC5">
              <w:rPr>
                <w:iCs/>
                <w:lang w:eastAsia="lv-LV"/>
              </w:rPr>
              <w:t xml:space="preserve">, </w:t>
            </w:r>
            <w:r w:rsidR="003067C1">
              <w:rPr>
                <w:iCs/>
                <w:lang w:eastAsia="lv-LV"/>
              </w:rPr>
              <w:t>jo tas</w:t>
            </w:r>
            <w:r w:rsidR="002C7BC5">
              <w:rPr>
                <w:iCs/>
                <w:lang w:eastAsia="lv-LV"/>
              </w:rPr>
              <w:t xml:space="preserve"> ir noteikts  </w:t>
            </w:r>
            <w:r w:rsidR="003067C1">
              <w:rPr>
                <w:iCs/>
                <w:lang w:eastAsia="lv-LV"/>
              </w:rPr>
              <w:t xml:space="preserve">ar </w:t>
            </w:r>
            <w:r w:rsidR="002C7BC5">
              <w:rPr>
                <w:iCs/>
                <w:lang w:eastAsia="lv-LV"/>
              </w:rPr>
              <w:t xml:space="preserve">Ministru kabineta </w:t>
            </w:r>
            <w:r w:rsidR="00FD0D66">
              <w:rPr>
                <w:iCs/>
                <w:lang w:eastAsia="lv-LV"/>
              </w:rPr>
              <w:t>2016.gada 20.decembra noteikum</w:t>
            </w:r>
            <w:r w:rsidR="003067C1">
              <w:rPr>
                <w:iCs/>
                <w:lang w:eastAsia="lv-LV"/>
              </w:rPr>
              <w:t>iem</w:t>
            </w:r>
            <w:r w:rsidR="00FD0D66">
              <w:rPr>
                <w:iCs/>
                <w:lang w:eastAsia="lv-LV"/>
              </w:rPr>
              <w:t xml:space="preserve"> nr.812 “</w:t>
            </w:r>
            <w:r w:rsidR="00FD0D66">
              <w:t xml:space="preserve">Oficiālās statistikas veidlapu paraugu </w:t>
            </w:r>
            <w:r w:rsidR="00FD0D66">
              <w:t>apstiprināšanas un veidlapu aizpildīšanas un iesniegšanas noteikumi”</w:t>
            </w:r>
            <w:r w:rsidR="003067C1">
              <w:t xml:space="preserve">, un </w:t>
            </w:r>
            <w:r w:rsidR="00102821">
              <w:t>nav atkarīgs no šī projekta rezultātiem.</w:t>
            </w:r>
            <w:r w:rsidR="003067C1">
              <w:t xml:space="preserve"> </w:t>
            </w:r>
          </w:p>
        </w:tc>
      </w:tr>
      <w:tr w14:paraId="08152952" w14:textId="77777777" w:rsidTr="00836FE4">
        <w:tblPrEx>
          <w:tblW w:w="5428" w:type="pct"/>
          <w:tblCellSpacing w:w="15" w:type="dxa"/>
          <w:tblCellMar>
            <w:top w:w="30" w:type="dxa"/>
            <w:left w:w="30" w:type="dxa"/>
            <w:bottom w:w="30" w:type="dxa"/>
            <w:right w:w="30" w:type="dxa"/>
          </w:tblCellMar>
          <w:tblLook w:val="04A0"/>
        </w:tblPrEx>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rsidR="00836FE4" w:rsidRPr="00836FE4" w:rsidP="007830FC" w14:paraId="0B3643ED" w14:textId="77777777">
            <w:pPr>
              <w:rPr>
                <w:iCs/>
                <w:color w:val="414142"/>
                <w:lang w:eastAsia="lv-LV"/>
              </w:rPr>
            </w:pPr>
            <w:r w:rsidRPr="00836FE4">
              <w:rPr>
                <w:iCs/>
                <w:color w:val="414142"/>
                <w:lang w:eastAsia="lv-LV"/>
              </w:rPr>
              <w:t>2.</w:t>
            </w:r>
          </w:p>
        </w:tc>
        <w:tc>
          <w:tcPr>
            <w:tcW w:w="1545" w:type="pct"/>
            <w:tcBorders>
              <w:top w:val="outset" w:sz="6" w:space="0" w:color="auto"/>
              <w:left w:val="outset" w:sz="6" w:space="0" w:color="auto"/>
              <w:bottom w:val="outset" w:sz="6" w:space="0" w:color="auto"/>
              <w:right w:val="outset" w:sz="6" w:space="0" w:color="auto"/>
            </w:tcBorders>
            <w:hideMark/>
          </w:tcPr>
          <w:p w:rsidR="00836FE4" w:rsidRPr="00836FE4" w:rsidP="007830FC" w14:paraId="3BD89DA2" w14:textId="77777777">
            <w:pPr>
              <w:rPr>
                <w:iCs/>
                <w:color w:val="414142"/>
                <w:lang w:eastAsia="lv-LV"/>
              </w:rPr>
            </w:pPr>
            <w:r w:rsidRPr="00836FE4">
              <w:rPr>
                <w:iCs/>
                <w:color w:val="414142"/>
                <w:lang w:eastAsia="lv-LV"/>
              </w:rPr>
              <w:t>Sabiedrības līdzdalība projekta izstrādē</w:t>
            </w:r>
          </w:p>
        </w:tc>
        <w:tc>
          <w:tcPr>
            <w:tcW w:w="3121" w:type="pct"/>
            <w:tcBorders>
              <w:top w:val="outset" w:sz="6" w:space="0" w:color="auto"/>
              <w:left w:val="outset" w:sz="6" w:space="0" w:color="auto"/>
              <w:bottom w:val="outset" w:sz="6" w:space="0" w:color="auto"/>
              <w:right w:val="outset" w:sz="6" w:space="0" w:color="auto"/>
            </w:tcBorders>
            <w:hideMark/>
          </w:tcPr>
          <w:p w:rsidR="00836FE4" w:rsidRPr="00836FE4" w:rsidP="007830FC" w14:paraId="00243515" w14:textId="77777777">
            <w:pPr>
              <w:rPr>
                <w:iCs/>
                <w:lang w:eastAsia="lv-LV"/>
              </w:rPr>
            </w:pPr>
            <w:r w:rsidRPr="00836FE4">
              <w:rPr>
                <w:iCs/>
                <w:lang w:eastAsia="lv-LV"/>
              </w:rPr>
              <w:t>Nav</w:t>
            </w:r>
          </w:p>
        </w:tc>
      </w:tr>
      <w:tr w14:paraId="78813D5C" w14:textId="77777777" w:rsidTr="00836FE4">
        <w:tblPrEx>
          <w:tblW w:w="5428" w:type="pct"/>
          <w:tblCellSpacing w:w="15" w:type="dxa"/>
          <w:tblCellMar>
            <w:top w:w="30" w:type="dxa"/>
            <w:left w:w="30" w:type="dxa"/>
            <w:bottom w:w="30" w:type="dxa"/>
            <w:right w:w="30" w:type="dxa"/>
          </w:tblCellMar>
          <w:tblLook w:val="04A0"/>
        </w:tblPrEx>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rsidR="00836FE4" w:rsidRPr="00836FE4" w:rsidP="007830FC" w14:paraId="2EDED53B" w14:textId="77777777">
            <w:pPr>
              <w:rPr>
                <w:iCs/>
                <w:color w:val="414142"/>
                <w:lang w:eastAsia="lv-LV"/>
              </w:rPr>
            </w:pPr>
            <w:r w:rsidRPr="00836FE4">
              <w:rPr>
                <w:iCs/>
                <w:color w:val="414142"/>
                <w:lang w:eastAsia="lv-LV"/>
              </w:rPr>
              <w:t>3.</w:t>
            </w:r>
          </w:p>
        </w:tc>
        <w:tc>
          <w:tcPr>
            <w:tcW w:w="1545" w:type="pct"/>
            <w:tcBorders>
              <w:top w:val="outset" w:sz="6" w:space="0" w:color="auto"/>
              <w:left w:val="outset" w:sz="6" w:space="0" w:color="auto"/>
              <w:bottom w:val="outset" w:sz="6" w:space="0" w:color="auto"/>
              <w:right w:val="outset" w:sz="6" w:space="0" w:color="auto"/>
            </w:tcBorders>
            <w:hideMark/>
          </w:tcPr>
          <w:p w:rsidR="00836FE4" w:rsidRPr="00836FE4" w:rsidP="007830FC" w14:paraId="35A70141" w14:textId="77777777">
            <w:pPr>
              <w:rPr>
                <w:iCs/>
                <w:color w:val="414142"/>
                <w:lang w:eastAsia="lv-LV"/>
              </w:rPr>
            </w:pPr>
            <w:r w:rsidRPr="00836FE4">
              <w:rPr>
                <w:iCs/>
                <w:color w:val="414142"/>
                <w:lang w:eastAsia="lv-LV"/>
              </w:rPr>
              <w:t>Sabiedrības līdzdalības rezultāti</w:t>
            </w:r>
          </w:p>
        </w:tc>
        <w:tc>
          <w:tcPr>
            <w:tcW w:w="3121" w:type="pct"/>
            <w:tcBorders>
              <w:top w:val="outset" w:sz="6" w:space="0" w:color="auto"/>
              <w:left w:val="outset" w:sz="6" w:space="0" w:color="auto"/>
              <w:bottom w:val="outset" w:sz="6" w:space="0" w:color="auto"/>
              <w:right w:val="outset" w:sz="6" w:space="0" w:color="auto"/>
            </w:tcBorders>
            <w:hideMark/>
          </w:tcPr>
          <w:p w:rsidR="00836FE4" w:rsidRPr="00836FE4" w:rsidP="007830FC" w14:paraId="62E7FA7B" w14:textId="77777777">
            <w:pPr>
              <w:rPr>
                <w:iCs/>
                <w:lang w:eastAsia="lv-LV"/>
              </w:rPr>
            </w:pPr>
            <w:r w:rsidRPr="00836FE4">
              <w:rPr>
                <w:iCs/>
                <w:lang w:eastAsia="lv-LV"/>
              </w:rPr>
              <w:t>Nav</w:t>
            </w:r>
          </w:p>
        </w:tc>
      </w:tr>
      <w:tr w14:paraId="0F947CB9" w14:textId="77777777" w:rsidTr="00836FE4">
        <w:tblPrEx>
          <w:tblW w:w="5428" w:type="pct"/>
          <w:tblCellSpacing w:w="15" w:type="dxa"/>
          <w:tblCellMar>
            <w:top w:w="30" w:type="dxa"/>
            <w:left w:w="30" w:type="dxa"/>
            <w:bottom w:w="30" w:type="dxa"/>
            <w:right w:w="30" w:type="dxa"/>
          </w:tblCellMar>
          <w:tblLook w:val="04A0"/>
        </w:tblPrEx>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rsidR="00836FE4" w:rsidRPr="00836FE4" w:rsidP="007830FC" w14:paraId="111BFC38" w14:textId="77777777">
            <w:pPr>
              <w:rPr>
                <w:iCs/>
                <w:color w:val="414142"/>
                <w:lang w:eastAsia="lv-LV"/>
              </w:rPr>
            </w:pPr>
            <w:r w:rsidRPr="00836FE4">
              <w:rPr>
                <w:iCs/>
                <w:color w:val="414142"/>
                <w:lang w:eastAsia="lv-LV"/>
              </w:rPr>
              <w:t>4.</w:t>
            </w:r>
          </w:p>
        </w:tc>
        <w:tc>
          <w:tcPr>
            <w:tcW w:w="1545" w:type="pct"/>
            <w:tcBorders>
              <w:top w:val="outset" w:sz="6" w:space="0" w:color="auto"/>
              <w:left w:val="outset" w:sz="6" w:space="0" w:color="auto"/>
              <w:bottom w:val="outset" w:sz="6" w:space="0" w:color="auto"/>
              <w:right w:val="outset" w:sz="6" w:space="0" w:color="auto"/>
            </w:tcBorders>
            <w:hideMark/>
          </w:tcPr>
          <w:p w:rsidR="00836FE4" w:rsidRPr="00836FE4" w:rsidP="007830FC" w14:paraId="79A7A551" w14:textId="77777777">
            <w:pPr>
              <w:rPr>
                <w:iCs/>
                <w:color w:val="414142"/>
                <w:lang w:eastAsia="lv-LV"/>
              </w:rPr>
            </w:pPr>
            <w:r w:rsidRPr="00836FE4">
              <w:rPr>
                <w:iCs/>
                <w:color w:val="414142"/>
                <w:lang w:eastAsia="lv-LV"/>
              </w:rPr>
              <w:t>Cita informācija</w:t>
            </w:r>
          </w:p>
        </w:tc>
        <w:tc>
          <w:tcPr>
            <w:tcW w:w="3121" w:type="pct"/>
            <w:tcBorders>
              <w:top w:val="outset" w:sz="6" w:space="0" w:color="auto"/>
              <w:left w:val="outset" w:sz="6" w:space="0" w:color="auto"/>
              <w:bottom w:val="outset" w:sz="6" w:space="0" w:color="auto"/>
              <w:right w:val="outset" w:sz="6" w:space="0" w:color="auto"/>
            </w:tcBorders>
            <w:hideMark/>
          </w:tcPr>
          <w:p w:rsidR="00836FE4" w:rsidRPr="00836FE4" w:rsidP="007830FC" w14:paraId="2F7DFE60" w14:textId="77777777">
            <w:pPr>
              <w:rPr>
                <w:iCs/>
                <w:color w:val="A6A6A6" w:themeColor="background1" w:themeShade="A6"/>
                <w:lang w:eastAsia="lv-LV"/>
              </w:rPr>
            </w:pPr>
            <w:r w:rsidRPr="00836FE4">
              <w:rPr>
                <w:iCs/>
                <w:lang w:eastAsia="lv-LV"/>
              </w:rPr>
              <w:t>Nav</w:t>
            </w:r>
          </w:p>
        </w:tc>
      </w:tr>
    </w:tbl>
    <w:p w:rsidR="00836FE4" w:rsidRPr="00836FE4" w:rsidP="00B559D5" w14:paraId="4E81827F" w14:textId="77777777">
      <w:pPr>
        <w:rPr>
          <w:iCs/>
          <w:lang w:eastAsia="en-US"/>
        </w:rPr>
      </w:pPr>
    </w:p>
    <w:tbl>
      <w:tblPr>
        <w:tblW w:w="9642" w:type="dxa"/>
        <w:tblInd w:w="-33" w:type="dxa"/>
        <w:tblBorders>
          <w:top w:val="thickThinSmallGap" w:sz="12" w:space="0" w:color="D9D9D9" w:themeColor="background1" w:themeShade="D9"/>
          <w:left w:val="thickThinSmallGap" w:sz="12" w:space="0" w:color="D9D9D9" w:themeColor="background1" w:themeShade="D9"/>
          <w:bottom w:val="thickThinSmallGap" w:sz="12" w:space="0" w:color="D9D9D9" w:themeColor="background1" w:themeShade="D9"/>
          <w:right w:val="thickThinSmallGap" w:sz="12" w:space="0" w:color="D9D9D9" w:themeColor="background1" w:themeShade="D9"/>
          <w:insideH w:val="thickThinSmallGap" w:sz="12" w:space="0" w:color="D9D9D9" w:themeColor="background1" w:themeShade="D9"/>
          <w:insideV w:val="thickThinSmallGap" w:sz="12" w:space="0" w:color="D9D9D9" w:themeColor="background1" w:themeShade="D9"/>
        </w:tblBorders>
        <w:tblLayout w:type="fixed"/>
        <w:tblCellMar>
          <w:top w:w="57" w:type="dxa"/>
          <w:left w:w="57" w:type="dxa"/>
          <w:bottom w:w="57" w:type="dxa"/>
          <w:right w:w="57" w:type="dxa"/>
        </w:tblCellMar>
        <w:tblLook w:val="0000"/>
      </w:tblPr>
      <w:tblGrid>
        <w:gridCol w:w="658"/>
        <w:gridCol w:w="4376"/>
        <w:gridCol w:w="4608"/>
      </w:tblGrid>
      <w:tr w14:paraId="732EB0F3" w14:textId="77777777" w:rsidTr="00862572">
        <w:tblPrEx>
          <w:tblW w:w="9642" w:type="dxa"/>
          <w:tblInd w:w="-33" w:type="dxa"/>
          <w:tblBorders>
            <w:top w:val="thickThinSmallGap" w:sz="12" w:space="0" w:color="D9D9D9" w:themeColor="background1" w:themeShade="D9"/>
            <w:left w:val="thickThinSmallGap" w:sz="12" w:space="0" w:color="D9D9D9" w:themeColor="background1" w:themeShade="D9"/>
            <w:bottom w:val="thickThinSmallGap" w:sz="12" w:space="0" w:color="D9D9D9" w:themeColor="background1" w:themeShade="D9"/>
            <w:right w:val="thickThinSmallGap" w:sz="12" w:space="0" w:color="D9D9D9" w:themeColor="background1" w:themeShade="D9"/>
            <w:insideH w:val="thickThinSmallGap" w:sz="12" w:space="0" w:color="D9D9D9" w:themeColor="background1" w:themeShade="D9"/>
            <w:insideV w:val="thickThinSmallGap" w:sz="12" w:space="0" w:color="D9D9D9" w:themeColor="background1" w:themeShade="D9"/>
          </w:tblBorders>
          <w:tblLayout w:type="fixed"/>
          <w:tblCellMar>
            <w:top w:w="57" w:type="dxa"/>
            <w:left w:w="57" w:type="dxa"/>
            <w:bottom w:w="57" w:type="dxa"/>
            <w:right w:w="57" w:type="dxa"/>
          </w:tblCellMar>
          <w:tblLook w:val="0000"/>
        </w:tblPrEx>
        <w:tc>
          <w:tcPr>
            <w:tcW w:w="9642" w:type="dxa"/>
            <w:gridSpan w:val="3"/>
          </w:tcPr>
          <w:p w:rsidR="00B559D5" w:rsidRPr="00836FE4" w:rsidP="00262DE5" w14:paraId="5978324E" w14:textId="77777777">
            <w:pPr>
              <w:pStyle w:val="naisnod"/>
              <w:spacing w:before="0" w:after="0"/>
              <w:ind w:left="57" w:right="57"/>
            </w:pPr>
            <w:r w:rsidRPr="00836FE4">
              <w:t>VII. Tiesību akta projekta izpildes nodrošināšana un tās ietekme uz institūcijām</w:t>
            </w:r>
          </w:p>
        </w:tc>
      </w:tr>
      <w:tr w14:paraId="099EE1E5" w14:textId="77777777" w:rsidTr="00862572">
        <w:tblPrEx>
          <w:tblW w:w="9642" w:type="dxa"/>
          <w:tblInd w:w="-33" w:type="dxa"/>
          <w:tblLayout w:type="fixed"/>
          <w:tblCellMar>
            <w:top w:w="28" w:type="dxa"/>
            <w:left w:w="28" w:type="dxa"/>
            <w:bottom w:w="28" w:type="dxa"/>
            <w:right w:w="28" w:type="dxa"/>
          </w:tblCellMar>
          <w:tblLook w:val="0000"/>
        </w:tblPrEx>
        <w:trPr>
          <w:trHeight w:val="427"/>
        </w:trPr>
        <w:tc>
          <w:tcPr>
            <w:tcW w:w="658" w:type="dxa"/>
          </w:tcPr>
          <w:p w:rsidR="00B559D5" w:rsidRPr="00836FE4" w:rsidP="00262DE5" w14:paraId="61475994" w14:textId="77777777">
            <w:pPr>
              <w:pStyle w:val="naisnod"/>
              <w:spacing w:before="0" w:after="0"/>
              <w:ind w:left="57" w:right="57"/>
              <w:jc w:val="left"/>
            </w:pPr>
            <w:r w:rsidRPr="00836FE4">
              <w:rPr>
                <w:b w:val="0"/>
                <w:bCs w:val="0"/>
              </w:rPr>
              <w:t>1.</w:t>
            </w:r>
          </w:p>
        </w:tc>
        <w:tc>
          <w:tcPr>
            <w:tcW w:w="4376" w:type="dxa"/>
          </w:tcPr>
          <w:p w:rsidR="00B559D5" w:rsidRPr="00836FE4" w:rsidP="00262DE5" w14:paraId="094473FC" w14:textId="77777777">
            <w:pPr>
              <w:pStyle w:val="naisf"/>
              <w:spacing w:before="0" w:after="0"/>
              <w:ind w:left="57" w:right="57" w:firstLine="0"/>
              <w:jc w:val="left"/>
            </w:pPr>
            <w:r w:rsidRPr="00836FE4">
              <w:t xml:space="preserve">Projekta izpildē iesaistītās institūcijas </w:t>
            </w:r>
          </w:p>
        </w:tc>
        <w:tc>
          <w:tcPr>
            <w:tcW w:w="4608" w:type="dxa"/>
          </w:tcPr>
          <w:p w:rsidR="00B559D5" w:rsidRPr="00836FE4" w:rsidP="00262DE5" w14:paraId="22224FA2" w14:textId="77777777">
            <w:pPr>
              <w:jc w:val="both"/>
              <w:rPr>
                <w:lang w:eastAsia="lv-LV"/>
              </w:rPr>
            </w:pPr>
            <w:r w:rsidRPr="00836FE4">
              <w:rPr>
                <w:lang w:eastAsia="lv-LV"/>
              </w:rPr>
              <w:t>Pārvalde</w:t>
            </w:r>
          </w:p>
          <w:p w:rsidR="00B559D5" w:rsidRPr="00836FE4" w:rsidP="00262DE5" w14:paraId="1955BF76" w14:textId="77777777">
            <w:pPr>
              <w:pStyle w:val="VPBody"/>
              <w:spacing w:after="120" w:line="276" w:lineRule="auto"/>
              <w:jc w:val="both"/>
              <w:rPr>
                <w:sz w:val="24"/>
                <w:szCs w:val="24"/>
              </w:rPr>
            </w:pPr>
          </w:p>
        </w:tc>
      </w:tr>
      <w:tr w14:paraId="7145C8AF" w14:textId="77777777" w:rsidTr="00862572">
        <w:tblPrEx>
          <w:tblW w:w="9642" w:type="dxa"/>
          <w:tblInd w:w="-33" w:type="dxa"/>
          <w:tblLayout w:type="fixed"/>
          <w:tblCellMar>
            <w:top w:w="28" w:type="dxa"/>
            <w:left w:w="28" w:type="dxa"/>
            <w:bottom w:w="28" w:type="dxa"/>
            <w:right w:w="28" w:type="dxa"/>
          </w:tblCellMar>
          <w:tblLook w:val="0000"/>
        </w:tblPrEx>
        <w:trPr>
          <w:trHeight w:val="463"/>
        </w:trPr>
        <w:tc>
          <w:tcPr>
            <w:tcW w:w="658" w:type="dxa"/>
          </w:tcPr>
          <w:p w:rsidR="00B559D5" w:rsidRPr="00836FE4" w:rsidP="00262DE5" w14:paraId="2F4CC15E" w14:textId="77777777">
            <w:pPr>
              <w:pStyle w:val="naisnod"/>
              <w:spacing w:before="0" w:after="0"/>
              <w:ind w:left="57" w:right="57"/>
              <w:jc w:val="left"/>
            </w:pPr>
            <w:r w:rsidRPr="00836FE4">
              <w:rPr>
                <w:b w:val="0"/>
                <w:bCs w:val="0"/>
              </w:rPr>
              <w:t>2.</w:t>
            </w:r>
          </w:p>
        </w:tc>
        <w:tc>
          <w:tcPr>
            <w:tcW w:w="4376" w:type="dxa"/>
          </w:tcPr>
          <w:p w:rsidR="00B559D5" w:rsidRPr="00836FE4" w:rsidP="00262DE5" w14:paraId="2EA30F50" w14:textId="77777777">
            <w:pPr>
              <w:pStyle w:val="naisf"/>
              <w:spacing w:before="0" w:after="0"/>
              <w:ind w:left="57" w:right="57" w:firstLine="0"/>
              <w:jc w:val="left"/>
            </w:pPr>
            <w:r w:rsidRPr="00836FE4">
              <w:t>Projekta izpildes ietekme uz pārvaldes funkcijām un institucionālo struktūru</w:t>
            </w:r>
          </w:p>
        </w:tc>
        <w:tc>
          <w:tcPr>
            <w:tcW w:w="4608" w:type="dxa"/>
          </w:tcPr>
          <w:p w:rsidR="00B559D5" w:rsidRPr="00836FE4" w:rsidP="00E67A56" w14:paraId="408F3393" w14:textId="77777777">
            <w:pPr>
              <w:jc w:val="both"/>
              <w:rPr>
                <w:color w:val="000000" w:themeColor="text1"/>
                <w:lang w:eastAsia="lv-LV"/>
              </w:rPr>
            </w:pPr>
            <w:r>
              <w:rPr>
                <w:color w:val="000000" w:themeColor="text1"/>
                <w:lang w:eastAsia="lv-LV"/>
              </w:rPr>
              <w:t>Rīkojuma</w:t>
            </w:r>
            <w:r w:rsidRPr="00836FE4">
              <w:rPr>
                <w:color w:val="000000" w:themeColor="text1"/>
                <w:lang w:eastAsia="lv-LV"/>
              </w:rPr>
              <w:t xml:space="preserve"> projekts neradīs Pārvaldei jaunas funkcijas. </w:t>
            </w:r>
          </w:p>
          <w:p w:rsidR="00B559D5" w:rsidRPr="00836FE4" w:rsidP="00E67A56" w14:paraId="50BA5B21" w14:textId="77777777">
            <w:pPr>
              <w:jc w:val="both"/>
              <w:rPr>
                <w:color w:val="000000" w:themeColor="text1"/>
                <w:lang w:eastAsia="lv-LV"/>
              </w:rPr>
            </w:pPr>
          </w:p>
          <w:p w:rsidR="00B559D5" w:rsidRPr="00836FE4" w:rsidP="00E67A56" w14:paraId="1846DAD4" w14:textId="77777777">
            <w:pPr>
              <w:pStyle w:val="naisnod"/>
              <w:spacing w:before="0" w:after="0"/>
              <w:ind w:right="57"/>
              <w:jc w:val="both"/>
            </w:pPr>
            <w:r w:rsidRPr="00836FE4">
              <w:rPr>
                <w:b w:val="0"/>
                <w:color w:val="000000" w:themeColor="text1"/>
                <w:lang w:eastAsia="lv-LV"/>
              </w:rPr>
              <w:t xml:space="preserve">Saistībā ar </w:t>
            </w:r>
            <w:r w:rsidR="006D2AE7">
              <w:rPr>
                <w:b w:val="0"/>
                <w:color w:val="000000" w:themeColor="text1"/>
                <w:lang w:eastAsia="lv-LV"/>
              </w:rPr>
              <w:t>rīkojuma</w:t>
            </w:r>
            <w:r w:rsidRPr="00836FE4">
              <w:rPr>
                <w:b w:val="0"/>
                <w:color w:val="000000" w:themeColor="text1"/>
                <w:lang w:eastAsia="lv-LV"/>
              </w:rPr>
              <w:t xml:space="preserve"> projekta izpildi nav nepieciešams veidot jaunas, likvidēt vai reorganizēt esošas institūcijas.</w:t>
            </w:r>
          </w:p>
        </w:tc>
      </w:tr>
      <w:tr w14:paraId="5E06A529" w14:textId="77777777" w:rsidTr="00862572">
        <w:tblPrEx>
          <w:tblW w:w="9642" w:type="dxa"/>
          <w:tblInd w:w="-33" w:type="dxa"/>
          <w:tblLayout w:type="fixed"/>
          <w:tblCellMar>
            <w:top w:w="28" w:type="dxa"/>
            <w:left w:w="28" w:type="dxa"/>
            <w:bottom w:w="28" w:type="dxa"/>
            <w:right w:w="28" w:type="dxa"/>
          </w:tblCellMar>
          <w:tblLook w:val="0000"/>
        </w:tblPrEx>
        <w:trPr>
          <w:trHeight w:val="476"/>
        </w:trPr>
        <w:tc>
          <w:tcPr>
            <w:tcW w:w="658" w:type="dxa"/>
          </w:tcPr>
          <w:p w:rsidR="00B559D5" w:rsidRPr="00836FE4" w:rsidP="00262DE5" w14:paraId="1D30E154" w14:textId="77777777">
            <w:pPr>
              <w:pStyle w:val="naiskr"/>
              <w:spacing w:before="0" w:after="0"/>
              <w:ind w:left="57" w:right="57"/>
            </w:pPr>
            <w:r w:rsidRPr="00836FE4">
              <w:t>3.</w:t>
            </w:r>
          </w:p>
        </w:tc>
        <w:tc>
          <w:tcPr>
            <w:tcW w:w="4376" w:type="dxa"/>
          </w:tcPr>
          <w:p w:rsidR="00B559D5" w:rsidRPr="00836FE4" w:rsidP="00262DE5" w14:paraId="774121D0" w14:textId="77777777">
            <w:pPr>
              <w:pStyle w:val="naiskr"/>
              <w:spacing w:before="0" w:after="0"/>
              <w:ind w:left="57" w:right="57"/>
            </w:pPr>
            <w:r w:rsidRPr="00836FE4">
              <w:t>Cita informācija</w:t>
            </w:r>
          </w:p>
        </w:tc>
        <w:tc>
          <w:tcPr>
            <w:tcW w:w="4608" w:type="dxa"/>
          </w:tcPr>
          <w:p w:rsidR="00B559D5" w:rsidRPr="00836FE4" w:rsidP="00262DE5" w14:paraId="18BB21A6" w14:textId="77777777">
            <w:pPr>
              <w:pStyle w:val="naiskr"/>
              <w:spacing w:before="0" w:after="0"/>
              <w:ind w:left="57" w:right="57"/>
            </w:pPr>
            <w:r w:rsidRPr="00836FE4">
              <w:t>Nav.</w:t>
            </w:r>
          </w:p>
        </w:tc>
      </w:tr>
    </w:tbl>
    <w:p w:rsidR="00B559D5" w:rsidRPr="00836FE4" w:rsidP="00B559D5" w14:paraId="3FFAF727" w14:textId="77777777">
      <w:pPr>
        <w:ind w:left="-426"/>
        <w:jc w:val="both"/>
        <w:rPr>
          <w:highlight w:val="yellow"/>
        </w:rPr>
      </w:pPr>
    </w:p>
    <w:p w:rsidR="006E119D" w:rsidRPr="00836FE4" w:rsidP="006E119D" w14:paraId="19E8642B" w14:textId="77777777">
      <w:pPr>
        <w:numPr>
          <w:ilvl w:val="0"/>
          <w:numId w:val="3"/>
        </w:numPr>
        <w:suppressAutoHyphens w:val="0"/>
        <w:rPr>
          <w:bCs/>
          <w:sz w:val="28"/>
          <w:szCs w:val="28"/>
        </w:rPr>
      </w:pPr>
      <w:r w:rsidRPr="00836FE4">
        <w:rPr>
          <w:bCs/>
          <w:sz w:val="28"/>
          <w:szCs w:val="28"/>
        </w:rPr>
        <w:t>Ministru prezidenta biedrs,</w:t>
      </w:r>
    </w:p>
    <w:p w:rsidR="006E119D" w:rsidRPr="00836FE4" w:rsidP="006E119D" w14:paraId="035786AA" w14:textId="77777777">
      <w:pPr>
        <w:numPr>
          <w:ilvl w:val="0"/>
          <w:numId w:val="3"/>
        </w:numPr>
        <w:suppressAutoHyphens w:val="0"/>
        <w:rPr>
          <w:bCs/>
          <w:sz w:val="28"/>
          <w:szCs w:val="28"/>
        </w:rPr>
      </w:pPr>
      <w:r w:rsidRPr="00836FE4">
        <w:rPr>
          <w:bCs/>
          <w:sz w:val="28"/>
          <w:szCs w:val="28"/>
        </w:rPr>
        <w:t>ekonomikas ministrs</w:t>
      </w:r>
      <w:r w:rsidRPr="00836FE4">
        <w:rPr>
          <w:bCs/>
          <w:sz w:val="28"/>
          <w:szCs w:val="28"/>
        </w:rPr>
        <w:tab/>
      </w:r>
      <w:r w:rsidRPr="00836FE4">
        <w:rPr>
          <w:bCs/>
          <w:sz w:val="28"/>
          <w:szCs w:val="28"/>
        </w:rPr>
        <w:tab/>
      </w:r>
      <w:r w:rsidRPr="00836FE4">
        <w:rPr>
          <w:bCs/>
          <w:sz w:val="28"/>
          <w:szCs w:val="28"/>
        </w:rPr>
        <w:tab/>
      </w:r>
      <w:r w:rsidRPr="00836FE4">
        <w:rPr>
          <w:bCs/>
          <w:sz w:val="28"/>
          <w:szCs w:val="28"/>
        </w:rPr>
        <w:tab/>
        <w:t xml:space="preserve">                                </w:t>
      </w:r>
      <w:r w:rsidRPr="00836FE4">
        <w:rPr>
          <w:rStyle w:val="name"/>
          <w:bCs/>
          <w:color w:val="000000"/>
          <w:sz w:val="28"/>
          <w:szCs w:val="28"/>
        </w:rPr>
        <w:t>A. Ašeradens</w:t>
      </w:r>
    </w:p>
    <w:p w:rsidR="00B559D5" w:rsidRPr="00836FE4" w:rsidP="00B559D5" w14:paraId="4FD5CE58" w14:textId="77777777">
      <w:pPr>
        <w:rPr>
          <w:sz w:val="28"/>
          <w:szCs w:val="28"/>
        </w:rPr>
      </w:pPr>
    </w:p>
    <w:p w:rsidR="00B559D5" w:rsidRPr="00836FE4" w:rsidP="00B559D5" w14:paraId="5859F4B6" w14:textId="77777777">
      <w:pPr>
        <w:rPr>
          <w:sz w:val="28"/>
          <w:szCs w:val="28"/>
        </w:rPr>
      </w:pPr>
    </w:p>
    <w:p w:rsidR="00B559D5" w:rsidRPr="00836FE4" w:rsidP="00B559D5" w14:paraId="0E0DD5CB" w14:textId="77777777">
      <w:pPr>
        <w:tabs>
          <w:tab w:val="left" w:pos="5954"/>
        </w:tabs>
        <w:jc w:val="both"/>
        <w:rPr>
          <w:sz w:val="28"/>
          <w:szCs w:val="28"/>
        </w:rPr>
      </w:pPr>
      <w:r w:rsidRPr="00836FE4">
        <w:rPr>
          <w:sz w:val="28"/>
          <w:szCs w:val="28"/>
        </w:rPr>
        <w:t>Vīza: valsts sekretārs</w:t>
      </w:r>
      <w:r w:rsidRPr="00836FE4">
        <w:rPr>
          <w:sz w:val="28"/>
          <w:szCs w:val="28"/>
        </w:rPr>
        <w:tab/>
      </w:r>
      <w:r w:rsidRPr="00836FE4" w:rsidR="006E119D">
        <w:rPr>
          <w:sz w:val="28"/>
          <w:szCs w:val="28"/>
        </w:rPr>
        <w:t xml:space="preserve">                    </w:t>
      </w:r>
      <w:r w:rsidRPr="00836FE4">
        <w:rPr>
          <w:sz w:val="28"/>
          <w:szCs w:val="28"/>
        </w:rPr>
        <w:t>Ē</w:t>
      </w:r>
      <w:r w:rsidRPr="00836FE4" w:rsidR="006E119D">
        <w:rPr>
          <w:sz w:val="28"/>
          <w:szCs w:val="28"/>
        </w:rPr>
        <w:t>.</w:t>
      </w:r>
      <w:r w:rsidRPr="00836FE4">
        <w:rPr>
          <w:sz w:val="28"/>
          <w:szCs w:val="28"/>
        </w:rPr>
        <w:t xml:space="preserve"> Eglītis</w:t>
      </w:r>
    </w:p>
    <w:p w:rsidR="006519E4" w:rsidRPr="00836FE4" w:rsidP="00B559D5" w14:paraId="43CF80E5" w14:textId="77777777">
      <w:pPr>
        <w:ind w:left="-426"/>
      </w:pPr>
    </w:p>
    <w:p w:rsidR="007A7F81" w:rsidRPr="00836FE4" w:rsidP="007A7F81" w14:paraId="0A90BB38" w14:textId="77777777">
      <w:pPr>
        <w:rPr>
          <w:sz w:val="20"/>
          <w:szCs w:val="20"/>
        </w:rPr>
      </w:pPr>
      <w:r w:rsidRPr="00836FE4">
        <w:rPr>
          <w:sz w:val="20"/>
          <w:szCs w:val="20"/>
        </w:rPr>
        <w:t>Pavlova 67366694,</w:t>
      </w:r>
    </w:p>
    <w:p w:rsidR="007A7F81" w:rsidRPr="00836FE4" w:rsidP="007A7F81" w14:paraId="6D6B07A4" w14:textId="77777777">
      <w:pPr>
        <w:jc w:val="both"/>
        <w:outlineLvl w:val="0"/>
        <w:rPr>
          <w:rStyle w:val="Hyperlink"/>
        </w:rPr>
      </w:pPr>
      <w:r>
        <w:fldChar w:fldCharType="begin"/>
      </w:r>
      <w:r>
        <w:instrText xml:space="preserve"> HYPERLINK "mailto:anzelika.pavlova@csb.gov.lv" </w:instrText>
      </w:r>
      <w:r>
        <w:fldChar w:fldCharType="separate"/>
      </w:r>
      <w:r w:rsidRPr="00836FE4" w:rsidR="00442911">
        <w:rPr>
          <w:rStyle w:val="Hyperlink"/>
          <w:sz w:val="20"/>
          <w:szCs w:val="20"/>
        </w:rPr>
        <w:t>anzelika.pavlova@csb.gov.lv</w:t>
      </w:r>
      <w:r>
        <w:fldChar w:fldCharType="end"/>
      </w:r>
    </w:p>
    <w:sectPr w:rsidSect="00320499">
      <w:headerReference w:type="default" r:id="rId4"/>
      <w:footerReference w:type="default" r:id="rId5"/>
      <w:footerReference w:type="first" r:id="rId6"/>
      <w:pgSz w:w="11906" w:h="16838"/>
      <w:pgMar w:top="1276" w:right="1276" w:bottom="1418" w:left="1701"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6404" w:rsidRPr="00740092" w:rsidP="00946404" w14:paraId="276176AE" w14:textId="759B14D8">
    <w:pPr>
      <w:pStyle w:val="Footer"/>
      <w:jc w:val="both"/>
      <w:rPr>
        <w:noProof/>
      </w:rPr>
    </w:pPr>
    <w:r>
      <w:rPr>
        <w:noProof/>
      </w:rPr>
      <w:fldChar w:fldCharType="begin"/>
    </w:r>
    <w:r>
      <w:rPr>
        <w:noProof/>
      </w:rPr>
      <w:instrText xml:space="preserve"> FILENAME  \* MERGEFORMAT </w:instrText>
    </w:r>
    <w:r>
      <w:rPr>
        <w:noProof/>
      </w:rPr>
      <w:fldChar w:fldCharType="separate"/>
    </w:r>
    <w:r>
      <w:rPr>
        <w:noProof/>
      </w:rPr>
      <w:fldChar w:fldCharType="end"/>
    </w:r>
  </w:p>
  <w:p w:rsidR="006E119D" w:rsidRPr="00740092" w:rsidP="006E119D" w14:paraId="73C73829" w14:textId="77777777">
    <w:pPr>
      <w:pStyle w:val="Footer"/>
      <w:jc w:val="both"/>
      <w:rPr>
        <w:noProof/>
      </w:rPr>
    </w:pPr>
    <w:r>
      <w:rPr>
        <w:noProof/>
      </w:rPr>
      <w:fldChar w:fldCharType="begin"/>
    </w:r>
    <w:r>
      <w:rPr>
        <w:noProof/>
      </w:rPr>
      <w:instrText xml:space="preserve"> FILENAME  \* MERGEFORMAT </w:instrText>
    </w:r>
    <w:r>
      <w:rPr>
        <w:noProof/>
      </w:rPr>
      <w:fldChar w:fldCharType="separate"/>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6404" w:rsidRPr="00740092" w:rsidP="00946404" w14:paraId="4C37D8EA" w14:textId="6FD4686E">
    <w:pPr>
      <w:pStyle w:val="Footer"/>
      <w:jc w:val="both"/>
      <w:rPr>
        <w:noProof/>
      </w:rPr>
    </w:pPr>
    <w:r>
      <w:rPr>
        <w:noProof/>
      </w:rPr>
      <w:fldChar w:fldCharType="begin"/>
    </w:r>
    <w:r>
      <w:rPr>
        <w:noProof/>
      </w:rPr>
      <w:instrText xml:space="preserve"> FILENAME  \* MERGEFORMAT </w:instrText>
    </w:r>
    <w:r>
      <w:rPr>
        <w:noProof/>
      </w:rPr>
      <w:fldChar w:fldCharType="separate"/>
    </w:r>
    <w:r>
      <w:rPr>
        <w:noProof/>
      </w:rPr>
      <w:fldChar w:fldCharType="end"/>
    </w:r>
  </w:p>
  <w:p w:rsidR="006E119D" w:rsidRPr="00946404" w:rsidP="00946404" w14:paraId="0A93ED49" w14:textId="309E83E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2997" w14:paraId="2DA84009" w14:textId="77777777">
    <w:pPr>
      <w:pStyle w:val="Header"/>
      <w:jc w:val="center"/>
    </w:pPr>
    <w:r>
      <w:fldChar w:fldCharType="begin"/>
    </w:r>
    <w:r>
      <w:instrText xml:space="preserve"> PAGE </w:instrText>
    </w:r>
    <w:r>
      <w:fldChar w:fldCharType="separate"/>
    </w:r>
    <w:r>
      <w:t>9</w:t>
    </w:r>
    <w:r>
      <w:rPr>
        <w:noProof/>
      </w:rPr>
      <w:fldChar w:fldCharType="end"/>
    </w:r>
  </w:p>
  <w:p w:rsidR="00352997" w14:paraId="2AAD63D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00001"/>
    <w:multiLevelType w:val="multilevel"/>
    <w:tmpl w:val="00000001"/>
    <w:lvl w:ilvl="0">
      <w:start w:val="1"/>
      <w:numFmt w:val="none"/>
      <w:suff w:val="nothing"/>
      <w:lvlJc w:val="left"/>
      <w:pPr>
        <w:tabs>
          <w:tab w:val="num" w:pos="432"/>
        </w:tabs>
        <w:ind w:left="432" w:hanging="432"/>
      </w:pPr>
    </w:lvl>
    <w:lvl w:ilvl="1">
      <w:start w:val="1"/>
      <w:numFmt w:val="none"/>
      <w:suff w:val="nothing"/>
      <w:lvlJc w:val="left"/>
      <w:pPr>
        <w:tabs>
          <w:tab w:val="num" w:pos="576"/>
        </w:tabs>
        <w:ind w:left="576" w:hanging="576"/>
      </w:pPr>
    </w:lvl>
    <w:lvl w:ilvl="2">
      <w:start w:val="1"/>
      <w:numFmt w:val="none"/>
      <w:suff w:val="nothing"/>
      <w:lvlJc w:val="left"/>
      <w:pPr>
        <w:tabs>
          <w:tab w:val="num" w:pos="720"/>
        </w:tabs>
        <w:ind w:left="720" w:hanging="720"/>
      </w:pPr>
    </w:lvl>
    <w:lvl w:ilvl="3">
      <w:start w:val="1"/>
      <w:numFmt w:val="none"/>
      <w:suff w:val="nothing"/>
      <w:lvlJc w:val="left"/>
      <w:pPr>
        <w:tabs>
          <w:tab w:val="num" w:pos="864"/>
        </w:tabs>
        <w:ind w:left="864" w:hanging="864"/>
      </w:pPr>
    </w:lvl>
    <w:lvl w:ilvl="4">
      <w:start w:val="1"/>
      <w:numFmt w:val="none"/>
      <w:suff w:val="nothing"/>
      <w:lvlJc w:val="left"/>
      <w:pPr>
        <w:tabs>
          <w:tab w:val="num" w:pos="1008"/>
        </w:tabs>
        <w:ind w:left="1008" w:hanging="1008"/>
      </w:pPr>
    </w:lvl>
    <w:lvl w:ilvl="5">
      <w:start w:val="1"/>
      <w:numFmt w:val="none"/>
      <w:suff w:val="nothing"/>
      <w:lvlJc w:val="left"/>
      <w:pPr>
        <w:tabs>
          <w:tab w:val="num" w:pos="1152"/>
        </w:tabs>
        <w:ind w:left="1152" w:hanging="1152"/>
      </w:pPr>
    </w:lvl>
    <w:lvl w:ilvl="6">
      <w:start w:val="1"/>
      <w:numFmt w:val="none"/>
      <w:suff w:val="nothing"/>
      <w:lvlJc w:val="left"/>
      <w:pPr>
        <w:tabs>
          <w:tab w:val="num" w:pos="1296"/>
        </w:tabs>
        <w:ind w:left="1296" w:hanging="1296"/>
      </w:pPr>
    </w:lvl>
    <w:lvl w:ilvl="7">
      <w:start w:val="1"/>
      <w:numFmt w:val="none"/>
      <w:suff w:val="nothing"/>
      <w:lvlJc w:val="left"/>
      <w:pPr>
        <w:tabs>
          <w:tab w:val="num" w:pos="1440"/>
        </w:tabs>
        <w:ind w:left="1440" w:hanging="1440"/>
      </w:pPr>
    </w:lvl>
    <w:lvl w:ilvl="8">
      <w:start w:val="1"/>
      <w:numFmt w:val="none"/>
      <w:suff w:val="nothing"/>
      <w:lvlJc w:val="left"/>
      <w:pPr>
        <w:tabs>
          <w:tab w:val="num" w:pos="1584"/>
        </w:tabs>
        <w:ind w:left="1584" w:hanging="1584"/>
      </w:pPr>
    </w:lvl>
  </w:abstractNum>
  <w:abstractNum w:abstractNumId="1" w15:restartNumberingAfterBreak="1">
    <w:nsid w:val="00000005"/>
    <w:multiLevelType w:val="singleLevel"/>
    <w:tmpl w:val="00000005"/>
    <w:name w:val="WW8Num14"/>
    <w:lvl w:ilvl="0">
      <w:start w:val="1"/>
      <w:numFmt w:val="decimal"/>
      <w:lvlText w:val="%1)"/>
      <w:lvlJc w:val="left"/>
      <w:pPr>
        <w:tabs>
          <w:tab w:val="num" w:pos="0"/>
        </w:tabs>
        <w:ind w:left="360" w:hanging="360"/>
      </w:pPr>
    </w:lvl>
  </w:abstractNum>
  <w:abstractNum w:abstractNumId="2" w15:restartNumberingAfterBreak="1">
    <w:nsid w:val="167657DC"/>
    <w:multiLevelType w:val="multilevel"/>
    <w:tmpl w:val="A3C43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2CAF6D9C"/>
    <w:multiLevelType w:val="multilevel"/>
    <w:tmpl w:val="F75669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36D83434"/>
    <w:multiLevelType w:val="hybridMultilevel"/>
    <w:tmpl w:val="E9E831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6C001262"/>
    <w:multiLevelType w:val="hybridMultilevel"/>
    <w:tmpl w:val="363271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D5"/>
    <w:rsid w:val="00023D5A"/>
    <w:rsid w:val="000975EE"/>
    <w:rsid w:val="00102821"/>
    <w:rsid w:val="001114E0"/>
    <w:rsid w:val="00124878"/>
    <w:rsid w:val="0014217D"/>
    <w:rsid w:val="00145D81"/>
    <w:rsid w:val="00171260"/>
    <w:rsid w:val="001C29B0"/>
    <w:rsid w:val="001D603F"/>
    <w:rsid w:val="001F5004"/>
    <w:rsid w:val="00262DE5"/>
    <w:rsid w:val="00295BEE"/>
    <w:rsid w:val="002C003A"/>
    <w:rsid w:val="002C7BC5"/>
    <w:rsid w:val="003067C1"/>
    <w:rsid w:val="003338DA"/>
    <w:rsid w:val="00352997"/>
    <w:rsid w:val="0037721B"/>
    <w:rsid w:val="00396DAC"/>
    <w:rsid w:val="003A0953"/>
    <w:rsid w:val="003F4D13"/>
    <w:rsid w:val="00401C73"/>
    <w:rsid w:val="00407A9D"/>
    <w:rsid w:val="00442911"/>
    <w:rsid w:val="004636BE"/>
    <w:rsid w:val="004B33E3"/>
    <w:rsid w:val="00516A77"/>
    <w:rsid w:val="0053636E"/>
    <w:rsid w:val="00536626"/>
    <w:rsid w:val="00537167"/>
    <w:rsid w:val="005615DB"/>
    <w:rsid w:val="0056773C"/>
    <w:rsid w:val="005B36CB"/>
    <w:rsid w:val="006519E4"/>
    <w:rsid w:val="00665A27"/>
    <w:rsid w:val="006D2AE7"/>
    <w:rsid w:val="006E119D"/>
    <w:rsid w:val="00740092"/>
    <w:rsid w:val="007830FC"/>
    <w:rsid w:val="007A7F81"/>
    <w:rsid w:val="00806AA7"/>
    <w:rsid w:val="00836FE4"/>
    <w:rsid w:val="00862572"/>
    <w:rsid w:val="008850B0"/>
    <w:rsid w:val="00892B07"/>
    <w:rsid w:val="008B195C"/>
    <w:rsid w:val="008D6471"/>
    <w:rsid w:val="009430DB"/>
    <w:rsid w:val="00946404"/>
    <w:rsid w:val="009C5D33"/>
    <w:rsid w:val="00A56529"/>
    <w:rsid w:val="00A803E7"/>
    <w:rsid w:val="00A8574D"/>
    <w:rsid w:val="00AD3A6F"/>
    <w:rsid w:val="00B559D5"/>
    <w:rsid w:val="00B72709"/>
    <w:rsid w:val="00BB174A"/>
    <w:rsid w:val="00CB268D"/>
    <w:rsid w:val="00D54213"/>
    <w:rsid w:val="00D71163"/>
    <w:rsid w:val="00DC77CF"/>
    <w:rsid w:val="00E1299E"/>
    <w:rsid w:val="00E1300F"/>
    <w:rsid w:val="00E40441"/>
    <w:rsid w:val="00E67A56"/>
    <w:rsid w:val="00E77BD1"/>
    <w:rsid w:val="00E83FC3"/>
    <w:rsid w:val="00EA09FA"/>
    <w:rsid w:val="00F40167"/>
    <w:rsid w:val="00F64998"/>
    <w:rsid w:val="00F82D6C"/>
    <w:rsid w:val="00F865CB"/>
    <w:rsid w:val="00FB0398"/>
    <w:rsid w:val="00FB3D0B"/>
    <w:rsid w:val="00FD0D66"/>
    <w:rsid w:val="00FD2B8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7DC0A3A9-DFDE-4B61-BB65-143A5C75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9D5"/>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59D5"/>
    <w:rPr>
      <w:color w:val="0000FF"/>
      <w:u w:val="single"/>
    </w:rPr>
  </w:style>
  <w:style w:type="paragraph" w:customStyle="1" w:styleId="naisf">
    <w:name w:val="naisf"/>
    <w:basedOn w:val="Normal"/>
    <w:uiPriority w:val="99"/>
    <w:rsid w:val="00B559D5"/>
    <w:pPr>
      <w:spacing w:before="75" w:after="75"/>
      <w:ind w:firstLine="375"/>
      <w:jc w:val="both"/>
    </w:pPr>
  </w:style>
  <w:style w:type="paragraph" w:customStyle="1" w:styleId="naisnod">
    <w:name w:val="naisnod"/>
    <w:basedOn w:val="Normal"/>
    <w:uiPriority w:val="99"/>
    <w:rsid w:val="00B559D5"/>
    <w:pPr>
      <w:spacing w:before="150" w:after="150"/>
      <w:jc w:val="center"/>
    </w:pPr>
    <w:rPr>
      <w:b/>
      <w:bCs/>
    </w:rPr>
  </w:style>
  <w:style w:type="paragraph" w:customStyle="1" w:styleId="naiskr">
    <w:name w:val="naiskr"/>
    <w:basedOn w:val="Normal"/>
    <w:uiPriority w:val="99"/>
    <w:rsid w:val="00B559D5"/>
    <w:pPr>
      <w:spacing w:before="75" w:after="75"/>
    </w:pPr>
  </w:style>
  <w:style w:type="paragraph" w:styleId="Header">
    <w:name w:val="header"/>
    <w:basedOn w:val="Normal"/>
    <w:link w:val="HeaderChar1"/>
    <w:uiPriority w:val="99"/>
    <w:rsid w:val="00B559D5"/>
  </w:style>
  <w:style w:type="character" w:customStyle="1" w:styleId="HeaderChar">
    <w:name w:val="Header Char"/>
    <w:basedOn w:val="DefaultParagraphFont"/>
    <w:uiPriority w:val="99"/>
    <w:semiHidden/>
    <w:rsid w:val="00B559D5"/>
    <w:rPr>
      <w:rFonts w:ascii="Times New Roman" w:eastAsia="Times New Roman" w:hAnsi="Times New Roman" w:cs="Times New Roman"/>
      <w:sz w:val="24"/>
      <w:szCs w:val="24"/>
      <w:lang w:eastAsia="zh-CN"/>
    </w:rPr>
  </w:style>
  <w:style w:type="character" w:customStyle="1" w:styleId="HeaderChar1">
    <w:name w:val="Header Char1"/>
    <w:basedOn w:val="DefaultParagraphFont"/>
    <w:link w:val="Header"/>
    <w:uiPriority w:val="99"/>
    <w:locked/>
    <w:rsid w:val="00B559D5"/>
    <w:rPr>
      <w:rFonts w:ascii="Times New Roman" w:eastAsia="Times New Roman" w:hAnsi="Times New Roman" w:cs="Times New Roman"/>
      <w:sz w:val="24"/>
      <w:szCs w:val="24"/>
      <w:lang w:eastAsia="zh-CN"/>
    </w:rPr>
  </w:style>
  <w:style w:type="paragraph" w:styleId="Footer">
    <w:name w:val="footer"/>
    <w:basedOn w:val="Normal"/>
    <w:link w:val="FooterChar1"/>
    <w:uiPriority w:val="99"/>
    <w:rsid w:val="00B559D5"/>
  </w:style>
  <w:style w:type="character" w:customStyle="1" w:styleId="FooterChar">
    <w:name w:val="Footer Char"/>
    <w:basedOn w:val="DefaultParagraphFont"/>
    <w:uiPriority w:val="99"/>
    <w:semiHidden/>
    <w:rsid w:val="00B559D5"/>
    <w:rPr>
      <w:rFonts w:ascii="Times New Roman" w:eastAsia="Times New Roman" w:hAnsi="Times New Roman" w:cs="Times New Roman"/>
      <w:sz w:val="24"/>
      <w:szCs w:val="24"/>
      <w:lang w:eastAsia="zh-CN"/>
    </w:rPr>
  </w:style>
  <w:style w:type="character" w:customStyle="1" w:styleId="FooterChar1">
    <w:name w:val="Footer Char1"/>
    <w:basedOn w:val="DefaultParagraphFont"/>
    <w:link w:val="Footer"/>
    <w:uiPriority w:val="99"/>
    <w:locked/>
    <w:rsid w:val="00B559D5"/>
    <w:rPr>
      <w:rFonts w:ascii="Times New Roman" w:eastAsia="Times New Roman" w:hAnsi="Times New Roman" w:cs="Times New Roman"/>
      <w:sz w:val="24"/>
      <w:szCs w:val="24"/>
      <w:lang w:eastAsia="zh-CN"/>
    </w:rPr>
  </w:style>
  <w:style w:type="paragraph" w:customStyle="1" w:styleId="VPBody">
    <w:name w:val="VP Body"/>
    <w:basedOn w:val="Normal"/>
    <w:link w:val="VPBodyChar"/>
    <w:qFormat/>
    <w:rsid w:val="00B559D5"/>
    <w:pPr>
      <w:spacing w:after="160" w:line="254" w:lineRule="auto"/>
    </w:pPr>
    <w:rPr>
      <w:sz w:val="22"/>
      <w:szCs w:val="22"/>
    </w:rPr>
  </w:style>
  <w:style w:type="paragraph" w:customStyle="1" w:styleId="tvhtml">
    <w:name w:val="tv_html"/>
    <w:basedOn w:val="Normal"/>
    <w:rsid w:val="00B559D5"/>
    <w:pPr>
      <w:spacing w:before="280" w:after="280"/>
    </w:pPr>
  </w:style>
  <w:style w:type="paragraph" w:customStyle="1" w:styleId="VPTitle">
    <w:name w:val="VP Title"/>
    <w:basedOn w:val="Title"/>
    <w:qFormat/>
    <w:rsid w:val="00B559D5"/>
    <w:pPr>
      <w:keepNext/>
      <w:suppressAutoHyphens w:val="0"/>
      <w:spacing w:before="80" w:line="360" w:lineRule="auto"/>
      <w:contextualSpacing w:val="0"/>
    </w:pPr>
    <w:rPr>
      <w:rFonts w:ascii="Calibri" w:eastAsia="Times New Roman" w:hAnsi="Calibri" w:cs="Calibri"/>
      <w:b/>
      <w:bCs/>
      <w:sz w:val="48"/>
      <w:szCs w:val="48"/>
      <w:lang w:eastAsia="lv-LV"/>
    </w:rPr>
  </w:style>
  <w:style w:type="character" w:customStyle="1" w:styleId="VPBodyChar">
    <w:name w:val="VP Body Char"/>
    <w:link w:val="VPBody"/>
    <w:locked/>
    <w:rsid w:val="00B559D5"/>
    <w:rPr>
      <w:rFonts w:ascii="Times New Roman" w:eastAsia="Times New Roman" w:hAnsi="Times New Roman" w:cs="Times New Roman"/>
      <w:lang w:eastAsia="zh-CN"/>
    </w:rPr>
  </w:style>
  <w:style w:type="paragraph" w:customStyle="1" w:styleId="Default">
    <w:name w:val="Default"/>
    <w:rsid w:val="00B559D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B559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9D5"/>
    <w:rPr>
      <w:rFonts w:asciiTheme="majorHAnsi" w:eastAsiaTheme="majorEastAsia" w:hAnsiTheme="majorHAnsi" w:cstheme="majorBidi"/>
      <w:spacing w:val="-10"/>
      <w:kern w:val="28"/>
      <w:sz w:val="56"/>
      <w:szCs w:val="56"/>
      <w:lang w:eastAsia="zh-CN"/>
    </w:rPr>
  </w:style>
  <w:style w:type="character" w:customStyle="1" w:styleId="name">
    <w:name w:val="name"/>
    <w:rsid w:val="006E119D"/>
  </w:style>
  <w:style w:type="paragraph" w:styleId="BalloonText">
    <w:name w:val="Balloon Text"/>
    <w:basedOn w:val="Normal"/>
    <w:link w:val="BalloonTextChar"/>
    <w:uiPriority w:val="99"/>
    <w:semiHidden/>
    <w:unhideWhenUsed/>
    <w:rsid w:val="00E40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441"/>
    <w:rPr>
      <w:rFonts w:ascii="Segoe UI" w:eastAsia="Times New Roman" w:hAnsi="Segoe UI" w:cs="Segoe UI"/>
      <w:sz w:val="18"/>
      <w:szCs w:val="18"/>
      <w:lang w:eastAsia="zh-CN"/>
    </w:rPr>
  </w:style>
  <w:style w:type="character" w:styleId="CommentReference">
    <w:name w:val="annotation reference"/>
    <w:basedOn w:val="DefaultParagraphFont"/>
    <w:uiPriority w:val="99"/>
    <w:semiHidden/>
    <w:unhideWhenUsed/>
    <w:rsid w:val="00F40167"/>
    <w:rPr>
      <w:sz w:val="16"/>
      <w:szCs w:val="16"/>
    </w:rPr>
  </w:style>
  <w:style w:type="paragraph" w:styleId="CommentText">
    <w:name w:val="annotation text"/>
    <w:basedOn w:val="Normal"/>
    <w:link w:val="CommentTextChar"/>
    <w:uiPriority w:val="99"/>
    <w:semiHidden/>
    <w:unhideWhenUsed/>
    <w:rsid w:val="00F40167"/>
    <w:rPr>
      <w:sz w:val="20"/>
      <w:szCs w:val="20"/>
    </w:rPr>
  </w:style>
  <w:style w:type="character" w:customStyle="1" w:styleId="CommentTextChar">
    <w:name w:val="Comment Text Char"/>
    <w:basedOn w:val="DefaultParagraphFont"/>
    <w:link w:val="CommentText"/>
    <w:uiPriority w:val="99"/>
    <w:semiHidden/>
    <w:rsid w:val="00F40167"/>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40167"/>
    <w:rPr>
      <w:b/>
      <w:bCs/>
    </w:rPr>
  </w:style>
  <w:style w:type="character" w:customStyle="1" w:styleId="CommentSubjectChar">
    <w:name w:val="Comment Subject Char"/>
    <w:basedOn w:val="CommentTextChar"/>
    <w:link w:val="CommentSubject"/>
    <w:uiPriority w:val="99"/>
    <w:semiHidden/>
    <w:rsid w:val="00F40167"/>
    <w:rPr>
      <w:rFonts w:ascii="Times New Roman" w:eastAsia="Times New Roman" w:hAnsi="Times New Roman" w:cs="Times New Roman"/>
      <w:b/>
      <w:bCs/>
      <w:sz w:val="20"/>
      <w:szCs w:val="20"/>
      <w:lang w:eastAsia="zh-CN"/>
    </w:rPr>
  </w:style>
  <w:style w:type="character" w:customStyle="1" w:styleId="UnresolvedMention">
    <w:name w:val="Unresolved Mention"/>
    <w:basedOn w:val="DefaultParagraphFont"/>
    <w:uiPriority w:val="99"/>
    <w:semiHidden/>
    <w:unhideWhenUsed/>
    <w:rsid w:val="000975EE"/>
    <w:rPr>
      <w:color w:val="605E5C"/>
      <w:shd w:val="clear" w:color="auto" w:fill="E1DFDD"/>
    </w:rPr>
  </w:style>
  <w:style w:type="character" w:customStyle="1" w:styleId="left">
    <w:name w:val="left"/>
    <w:basedOn w:val="DefaultParagraphFont"/>
    <w:rsid w:val="000975EE"/>
  </w:style>
  <w:style w:type="character" w:customStyle="1" w:styleId="ListParagraphChar">
    <w:name w:val="List Paragraph Char"/>
    <w:aliases w:val="2 Char,H&amp;P List Paragraph Char,Strip Char"/>
    <w:link w:val="ListParagraph"/>
    <w:uiPriority w:val="34"/>
    <w:locked/>
    <w:rsid w:val="005615DB"/>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5615DB"/>
    <w:pPr>
      <w:suppressAutoHyphens w:val="0"/>
      <w:ind w:left="720"/>
      <w:contextualSpacing/>
    </w:pPr>
    <w:rPr>
      <w:lang w:eastAsia="en-US"/>
    </w:rPr>
  </w:style>
  <w:style w:type="paragraph" w:styleId="Revision">
    <w:name w:val="Revision"/>
    <w:hidden/>
    <w:uiPriority w:val="99"/>
    <w:semiHidden/>
    <w:rsid w:val="00D54213"/>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12974</Words>
  <Characters>7396</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Par informācijas sabiedrības attīstības pamatnostādņu ieviešanu publiskās pārvaldes informācijas sistēmu jomā (mērķarhitektūras 41.0 versija - Centrālās statistikas pārvaldes “Ārējās tirdzniecības statistikas datu apstrādes sistēma” izveide)</vt:lpstr>
    </vt:vector>
  </TitlesOfParts>
  <Company>Centrālā statistikas pārvalde</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informācijas sabiedrības attīstības pamatnostādņu ieviešanu publiskās pārvaldes informācijas sistēmu jomā (mērķarhitektūras 41.0 versija - Centrālās statistikas pārvaldes “Ārējās tirdzniecības statistikas datu apstrādes sistēma” izveide)</dc:title>
  <dc:subject>Rīkojuma projekts</dc:subject>
  <dc:creator>Anželika Pavlova</dc:creator>
  <dc:description>67366694, Anzelika.Pavlova@csb.gov.lv</dc:description>
  <cp:lastModifiedBy>Ieva Zaceste</cp:lastModifiedBy>
  <cp:revision>11</cp:revision>
  <dcterms:created xsi:type="dcterms:W3CDTF">2018-08-27T07:01:00Z</dcterms:created>
  <dcterms:modified xsi:type="dcterms:W3CDTF">2018-09-06T07:40:00Z</dcterms:modified>
</cp:coreProperties>
</file>