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4EF8F" w14:textId="3CAE5C4D" w:rsidR="00BE37D4" w:rsidRDefault="00BE37D4" w:rsidP="0000059C">
      <w:pPr>
        <w:contextualSpacing/>
        <w:jc w:val="center"/>
        <w:rPr>
          <w:rStyle w:val="Strong"/>
        </w:rPr>
      </w:pPr>
      <w:r w:rsidRPr="001A2563">
        <w:rPr>
          <w:rStyle w:val="Strong"/>
        </w:rPr>
        <w:t xml:space="preserve">Ministru kabineta noteikumu projekta </w:t>
      </w:r>
      <w:r w:rsidRPr="001A2563">
        <w:rPr>
          <w:b/>
          <w:bCs/>
        </w:rPr>
        <w:t>“</w:t>
      </w:r>
      <w:r w:rsidRPr="001A2563">
        <w:rPr>
          <w:b/>
        </w:rPr>
        <w:t xml:space="preserve">Grozījumi Ministru kabineta 2016.gada 11.oktobra noteikumos Nr.668 “Energoefektivitātes monitoringa un piemērojamā energopārvaldības sistēmas standarta noteikumi” </w:t>
      </w:r>
      <w:r w:rsidRPr="001A2563">
        <w:rPr>
          <w:rStyle w:val="Strong"/>
        </w:rPr>
        <w:t>sākotnējās ietekmes novērtējuma ziņojums (anotācija)</w:t>
      </w:r>
    </w:p>
    <w:p w14:paraId="0817D343" w14:textId="15106A4A" w:rsidR="00507A01" w:rsidRDefault="00507A01" w:rsidP="0000059C">
      <w:pPr>
        <w:contextualSpacing/>
        <w:jc w:val="center"/>
        <w:rPr>
          <w:rStyle w:val="Strong"/>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394"/>
        <w:gridCol w:w="5661"/>
      </w:tblGrid>
      <w:tr w:rsidR="00507A01" w:rsidRPr="00507A01" w14:paraId="4A93BA89" w14:textId="77777777" w:rsidTr="00507A01">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D0B9F" w14:textId="77777777" w:rsidR="00507A01" w:rsidRPr="00507A01" w:rsidRDefault="00507A01" w:rsidP="00507A01">
            <w:pPr>
              <w:spacing w:before="100" w:beforeAutospacing="1" w:after="100" w:afterAutospacing="1" w:line="293" w:lineRule="atLeast"/>
              <w:jc w:val="center"/>
              <w:rPr>
                <w:rFonts w:ascii="Arial" w:hAnsi="Arial" w:cs="Arial"/>
                <w:b/>
                <w:bCs/>
                <w:color w:val="414142"/>
                <w:sz w:val="20"/>
                <w:szCs w:val="20"/>
              </w:rPr>
            </w:pPr>
            <w:r w:rsidRPr="00507A01">
              <w:rPr>
                <w:rFonts w:ascii="Arial" w:hAnsi="Arial" w:cs="Arial"/>
                <w:b/>
                <w:bCs/>
                <w:color w:val="414142"/>
                <w:sz w:val="20"/>
                <w:szCs w:val="20"/>
              </w:rPr>
              <w:t>Tiesību akta projekta anotācijas kopsavilkums</w:t>
            </w:r>
          </w:p>
        </w:tc>
      </w:tr>
      <w:tr w:rsidR="00507A01" w:rsidRPr="00507A01" w14:paraId="0A483053" w14:textId="77777777" w:rsidTr="00B50359">
        <w:tc>
          <w:tcPr>
            <w:tcW w:w="1874" w:type="pct"/>
            <w:tcBorders>
              <w:top w:val="outset" w:sz="6" w:space="0" w:color="414142"/>
              <w:left w:val="outset" w:sz="6" w:space="0" w:color="414142"/>
              <w:bottom w:val="outset" w:sz="6" w:space="0" w:color="414142"/>
              <w:right w:val="outset" w:sz="6" w:space="0" w:color="414142"/>
            </w:tcBorders>
            <w:shd w:val="clear" w:color="auto" w:fill="FFFFFF"/>
            <w:hideMark/>
          </w:tcPr>
          <w:p w14:paraId="20680991" w14:textId="77777777" w:rsidR="00507A01" w:rsidRPr="00507A01" w:rsidRDefault="00507A01" w:rsidP="00507A01">
            <w:pPr>
              <w:rPr>
                <w:color w:val="414142"/>
              </w:rPr>
            </w:pPr>
            <w:r w:rsidRPr="00507A01">
              <w:rPr>
                <w:color w:val="414142"/>
              </w:rPr>
              <w:t>Mērķis, risinājums un projekta spēkā stāšanās laiks (500 zīmes bez atstarpēm)</w:t>
            </w:r>
          </w:p>
        </w:tc>
        <w:tc>
          <w:tcPr>
            <w:tcW w:w="3126" w:type="pct"/>
            <w:tcBorders>
              <w:top w:val="outset" w:sz="6" w:space="0" w:color="414142"/>
              <w:left w:val="outset" w:sz="6" w:space="0" w:color="414142"/>
              <w:bottom w:val="outset" w:sz="6" w:space="0" w:color="414142"/>
              <w:right w:val="outset" w:sz="6" w:space="0" w:color="414142"/>
            </w:tcBorders>
            <w:shd w:val="clear" w:color="auto" w:fill="FFFFFF"/>
            <w:hideMark/>
          </w:tcPr>
          <w:p w14:paraId="5243B373" w14:textId="26FF5B02" w:rsidR="00507A01" w:rsidRPr="00507A01" w:rsidRDefault="00507A01" w:rsidP="00B50359">
            <w:pPr>
              <w:jc w:val="both"/>
              <w:rPr>
                <w:color w:val="414142"/>
              </w:rPr>
            </w:pPr>
            <w:r w:rsidRPr="00B50359">
              <w:t xml:space="preserve">Projekts </w:t>
            </w:r>
            <w:r w:rsidRPr="00B50359">
              <w:rPr>
                <w:bCs/>
              </w:rPr>
              <w:t>“</w:t>
            </w:r>
            <w:r w:rsidRPr="00B50359">
              <w:t>Grozījumi Ministru kabineta 2016.gada 11.oktobra noteikumos Nr.668 “Energoefektivitātes monitoringa un piemērojamā energopārvaldības sistēmas standarta noteikumi” (turpmāk – noteikumu projekts),</w:t>
            </w:r>
            <w:r w:rsidRPr="00B50359">
              <w:rPr>
                <w:b/>
              </w:rPr>
              <w:t xml:space="preserve"> </w:t>
            </w:r>
            <w:r w:rsidRPr="00B50359">
              <w:t>izstrādāts</w:t>
            </w:r>
            <w:r w:rsidRPr="00B50359">
              <w:rPr>
                <w:b/>
              </w:rPr>
              <w:t xml:space="preserve"> </w:t>
            </w:r>
            <w:r w:rsidRPr="00B50359">
              <w:t>lai uzlabotu energoefektivitātes normatīvo regulējumu attiecībā uz energoefektivitātes monitoringa sistēmas darbību, ņemot vērā praksē konstatētās problēmas un mazinātu administratīvo slogu valsts iestādēm un pašvaldībām, kurās ir ieviesta nesertificēta energopārvaldības sistēma.</w:t>
            </w:r>
            <w:r w:rsidR="00B50359">
              <w:t xml:space="preserve"> </w:t>
            </w:r>
            <w:r w:rsidRPr="00B50359">
              <w:t>Noteikumu projekts izstrādāts ņemot vērā praksē konstatētās problēmas.</w:t>
            </w:r>
          </w:p>
        </w:tc>
      </w:tr>
    </w:tbl>
    <w:p w14:paraId="31CA4E28" w14:textId="392533FE" w:rsidR="00507A01" w:rsidRDefault="00507A01" w:rsidP="0000059C">
      <w:pPr>
        <w:contextualSpacing/>
        <w:jc w:val="center"/>
        <w:rPr>
          <w:rStyle w:val="Strong"/>
        </w:rPr>
      </w:pPr>
    </w:p>
    <w:p w14:paraId="63485A7B" w14:textId="77777777" w:rsidR="00507A01" w:rsidRDefault="00507A01" w:rsidP="0000059C">
      <w:pPr>
        <w:contextualSpacing/>
        <w:jc w:val="center"/>
        <w:rPr>
          <w:rStyle w:val="Strong"/>
        </w:rPr>
      </w:pPr>
    </w:p>
    <w:p w14:paraId="2576EDFC" w14:textId="77777777" w:rsidR="0000059C" w:rsidRPr="00415A0F" w:rsidRDefault="0000059C" w:rsidP="007207FD">
      <w:pPr>
        <w:contextualSpacing/>
        <w:rPr>
          <w:b/>
          <w:bC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1A2563" w14:paraId="055A5CDD" w14:textId="77777777" w:rsidTr="00415A0F">
        <w:trPr>
          <w:cantSplit/>
        </w:trPr>
        <w:tc>
          <w:tcPr>
            <w:tcW w:w="5000" w:type="pct"/>
            <w:gridSpan w:val="3"/>
            <w:vAlign w:val="center"/>
            <w:hideMark/>
          </w:tcPr>
          <w:p w14:paraId="5E949664" w14:textId="77777777" w:rsidR="00BD5588" w:rsidRPr="001A2563" w:rsidRDefault="00BD5588" w:rsidP="007207FD">
            <w:pPr>
              <w:keepLines/>
              <w:contextualSpacing/>
              <w:jc w:val="center"/>
              <w:rPr>
                <w:b/>
                <w:bCs/>
              </w:rPr>
            </w:pPr>
            <w:r w:rsidRPr="001A2563">
              <w:rPr>
                <w:b/>
                <w:bCs/>
              </w:rPr>
              <w:t>I. Tiesību akta projekta izstrādes nepieciešamība</w:t>
            </w:r>
          </w:p>
        </w:tc>
      </w:tr>
      <w:tr w:rsidR="00BD5588" w:rsidRPr="001A2563" w14:paraId="7AB4C979" w14:textId="77777777" w:rsidTr="00415A0F">
        <w:trPr>
          <w:cantSplit/>
        </w:trPr>
        <w:tc>
          <w:tcPr>
            <w:tcW w:w="311" w:type="pct"/>
            <w:hideMark/>
          </w:tcPr>
          <w:p w14:paraId="76A9384A" w14:textId="77777777" w:rsidR="00BD5588" w:rsidRPr="001A2563" w:rsidRDefault="00BD5588" w:rsidP="007207FD">
            <w:pPr>
              <w:keepLines/>
              <w:contextualSpacing/>
              <w:jc w:val="center"/>
            </w:pPr>
            <w:r w:rsidRPr="001A2563">
              <w:t>1.</w:t>
            </w:r>
          </w:p>
        </w:tc>
        <w:tc>
          <w:tcPr>
            <w:tcW w:w="1479" w:type="pct"/>
            <w:hideMark/>
          </w:tcPr>
          <w:p w14:paraId="54E15CF4" w14:textId="77777777" w:rsidR="00BD5588" w:rsidRPr="001A2563" w:rsidRDefault="00BD5588" w:rsidP="007207FD">
            <w:pPr>
              <w:keepLines/>
              <w:contextualSpacing/>
            </w:pPr>
            <w:r w:rsidRPr="001A2563">
              <w:t>Pamatojums</w:t>
            </w:r>
          </w:p>
        </w:tc>
        <w:tc>
          <w:tcPr>
            <w:tcW w:w="3210" w:type="pct"/>
            <w:hideMark/>
          </w:tcPr>
          <w:p w14:paraId="06855EF8" w14:textId="615B3687" w:rsidR="00507A01" w:rsidRPr="00507A01" w:rsidRDefault="00507A01" w:rsidP="00507A01">
            <w:pPr>
              <w:tabs>
                <w:tab w:val="left" w:pos="2552"/>
              </w:tabs>
              <w:ind w:right="-1"/>
              <w:contextualSpacing/>
              <w:jc w:val="both"/>
            </w:pPr>
            <w:r w:rsidRPr="00507A01">
              <w:t xml:space="preserve">Noteikumu projekts izdots  saskaņā ar </w:t>
            </w:r>
            <w:bookmarkStart w:id="0" w:name="_Hlk525111350"/>
            <w:r w:rsidRPr="00507A01">
              <w:t>Energoefektivitātes likum</w:t>
            </w:r>
            <w:bookmarkEnd w:id="0"/>
            <w:r w:rsidRPr="00507A01">
              <w:t>a</w:t>
            </w:r>
            <w:r>
              <w:t xml:space="preserve"> </w:t>
            </w:r>
            <w:r w:rsidRPr="00507A01">
              <w:t>5.panta ceturto  un piekto daļu, 6.panta piekto daļu,</w:t>
            </w:r>
            <w:r>
              <w:t xml:space="preserve"> </w:t>
            </w:r>
            <w:r w:rsidRPr="00507A01">
              <w:t>8.panta trešo daļu,</w:t>
            </w:r>
            <w:r>
              <w:t xml:space="preserve"> </w:t>
            </w:r>
            <w:r w:rsidRPr="00507A01">
              <w:t>10.panta sesto un septīto daļu,</w:t>
            </w:r>
            <w:r>
              <w:t xml:space="preserve"> </w:t>
            </w:r>
            <w:r w:rsidRPr="00507A01">
              <w:t>12.panta ceturto un sesto daļu</w:t>
            </w:r>
            <w:r>
              <w:t xml:space="preserve"> </w:t>
            </w:r>
            <w:r w:rsidRPr="00507A01">
              <w:t>un 15.panta pirmo daļu</w:t>
            </w:r>
            <w:r>
              <w:t>.</w:t>
            </w:r>
          </w:p>
          <w:p w14:paraId="64B7D009" w14:textId="48ED5082" w:rsidR="00BD5588" w:rsidRPr="001A2563" w:rsidRDefault="00BD5588" w:rsidP="007207FD">
            <w:pPr>
              <w:keepLines/>
              <w:contextualSpacing/>
              <w:jc w:val="both"/>
            </w:pPr>
          </w:p>
        </w:tc>
      </w:tr>
      <w:tr w:rsidR="00BE37D4" w:rsidRPr="00380894" w14:paraId="00BF34BA" w14:textId="77777777" w:rsidTr="002D5EFE">
        <w:trPr>
          <w:cantSplit/>
          <w:trHeight w:val="1378"/>
        </w:trPr>
        <w:tc>
          <w:tcPr>
            <w:tcW w:w="311" w:type="pct"/>
            <w:hideMark/>
          </w:tcPr>
          <w:p w14:paraId="04A22FDB" w14:textId="77777777" w:rsidR="00BE37D4" w:rsidRPr="00380894" w:rsidRDefault="00BE37D4" w:rsidP="007207FD">
            <w:pPr>
              <w:keepLines/>
              <w:contextualSpacing/>
              <w:jc w:val="center"/>
            </w:pPr>
            <w:r w:rsidRPr="00380894">
              <w:t>2.</w:t>
            </w:r>
          </w:p>
        </w:tc>
        <w:tc>
          <w:tcPr>
            <w:tcW w:w="1479" w:type="pct"/>
            <w:hideMark/>
          </w:tcPr>
          <w:p w14:paraId="5D1292A3" w14:textId="77777777" w:rsidR="00BE37D4" w:rsidRPr="00380894" w:rsidRDefault="00BE37D4" w:rsidP="007207FD">
            <w:pPr>
              <w:keepLines/>
              <w:contextualSpacing/>
            </w:pPr>
            <w:r w:rsidRPr="00380894">
              <w:t>Pašreizējā situācija un problēmas, kuru risināšanai tiesību akta projekts izstrādāts, tiesiskā regulējuma mērķis un būtība</w:t>
            </w:r>
          </w:p>
        </w:tc>
        <w:tc>
          <w:tcPr>
            <w:tcW w:w="3210" w:type="pct"/>
            <w:hideMark/>
          </w:tcPr>
          <w:p w14:paraId="2C906C41" w14:textId="77777777" w:rsidR="00BE37D4" w:rsidRPr="004A2CC7" w:rsidRDefault="00BE37D4" w:rsidP="007207FD">
            <w:pPr>
              <w:keepLines/>
              <w:contextualSpacing/>
              <w:jc w:val="both"/>
            </w:pPr>
            <w:r w:rsidRPr="004A2CC7">
              <w:t>Noteikumu projekta mērķis ir nodrošināt kvalitatīvu energoefektivitātes monitoringa sistēmas darbību un precizēt prasības attiecībā par dokumentiem, kas apliecina nesertificētas energopārvaldības ieviešanu valsts iestādēm un pašvaldībām.</w:t>
            </w:r>
          </w:p>
          <w:p w14:paraId="3B95C8D0" w14:textId="77777777" w:rsidR="00BE37D4" w:rsidRPr="004A2CC7" w:rsidRDefault="00BE37D4" w:rsidP="007207FD">
            <w:pPr>
              <w:keepLines/>
              <w:contextualSpacing/>
              <w:jc w:val="both"/>
            </w:pPr>
            <w:r w:rsidRPr="004A2CC7">
              <w:t>Spēkā esošajā regulējumā Ministru kabineta 2016.gada 11.oktobra noteikumos Nr.668 “Energoefektivitātes monitoringa un piemērojamā energopārvaldības sistēmas standarta noteikumi” (turpmāk – MK noteikumi Nr.668) 11.punktā nav ietverta prasība ikgadējo enerģijas ietaupījumu pārskatu iesniegt brīvprātīgo vienošanos par energoefektivitātes uzlabošanu dalībniekiem. Atbilstoši Ministru kabineta 2016.gada 11.oktobra noteikumiem Nr.669 “Kārtība, kādā noslēdz un pārrauga brīvprātīgu vienošanos par energoefektivitātes uzlabošanu” prasībām līdz šim ir noslēgtas divas vienošanās ar centralizētās siltumapgādes uzņēmumiem: SIA “Salaspils Siltums”</w:t>
            </w:r>
            <w:r w:rsidR="00A45CC3">
              <w:t xml:space="preserve"> </w:t>
            </w:r>
            <w:r w:rsidRPr="004A2CC7">
              <w:t>(21.12.2017.) un SIA “Jūrmalas siltums”</w:t>
            </w:r>
            <w:r w:rsidR="00A45CC3">
              <w:t xml:space="preserve"> </w:t>
            </w:r>
            <w:r w:rsidRPr="004A2CC7">
              <w:t>(26.03.2018.). Brīvprātīgo vienošanos noslēgšana ir iekļauta Energoefektivitātes politikas alternatīvo pasākumu plānā enerģijas galapatēriņa ietaupījuma mērķa 2014.-2020.gadam sasniegšanai (Apstiprināts ar 2017.gada 24.maija rīkojumu Nr.257, prot. Nr.27</w:t>
            </w:r>
            <w:r w:rsidR="003C1196">
              <w:t xml:space="preserve"> </w:t>
            </w:r>
            <w:r w:rsidRPr="004A2CC7">
              <w:t xml:space="preserve">27§). Ekonomikas ministrija (turpmāk Ministrija) 2018.gada 16.maijā ir publicējusi ikgadējo </w:t>
            </w:r>
            <w:r w:rsidRPr="004A2CC7">
              <w:lastRenderedPageBreak/>
              <w:t>uzaicinājumu komersantiem un pašvaldībām noslēgt brīvprātīgu vienošanos.</w:t>
            </w:r>
          </w:p>
          <w:p w14:paraId="7C45AD2C" w14:textId="77777777" w:rsidR="00BE37D4" w:rsidRPr="004A2CC7" w:rsidRDefault="00BE37D4" w:rsidP="007207FD">
            <w:pPr>
              <w:keepLines/>
              <w:contextualSpacing/>
              <w:jc w:val="both"/>
            </w:pPr>
            <w:r w:rsidRPr="004A2CC7">
              <w:t>MK noteikumu Nr.668 4.pielikumā ir norādīti</w:t>
            </w:r>
            <w:r w:rsidR="003C1196">
              <w:t xml:space="preserve"> </w:t>
            </w:r>
            <w:r w:rsidRPr="004A2CC7">
              <w:t>dokumenti, kas apliecina energopārvaldības sistēmas ieviešanu valsts iestādēs un pašvaldībās, kurās atbilstoši Energoefektivitātes likuma 5.panta trešās daļas prasībām energopārvaldības sistēma netiek sertificēta. Ņemot vērā praksē konstatētās problēmas, noteikumu projektā ir precizēts MK noteikumu Nr.668 4.pielikumā noteiktais</w:t>
            </w:r>
            <w:r w:rsidR="003C1196">
              <w:t xml:space="preserve"> </w:t>
            </w:r>
            <w:r w:rsidRPr="004A2CC7">
              <w:t>dokumentu uzskaitījums</w:t>
            </w:r>
            <w:r w:rsidR="00CB7ABA" w:rsidRPr="004A2CC7">
              <w:t>, kas apliecina energopārvaldības sistēmas ieviešanu</w:t>
            </w:r>
            <w:r w:rsidRPr="004A2CC7">
              <w:t>. Tas atvieglos valsts iestādēm un pašvaldībām kurās ir ieviesta</w:t>
            </w:r>
            <w:r w:rsidR="003C1196">
              <w:t xml:space="preserve"> </w:t>
            </w:r>
            <w:r w:rsidRPr="004A2CC7">
              <w:t>energopārvaldības sistēma, bet kura nav sertificēta, atbilstošas dokumentācijas izstrādi. Atbilstoši MK noteikumu Nr. 668 29.punkta prasībām, valsts iestādēm un pašvaldībām ir pienākums pēc Ministrijas pieprasījuma uzrādīt minēto dokumentu oriģinālus.</w:t>
            </w:r>
          </w:p>
          <w:p w14:paraId="690505DF" w14:textId="66759B15" w:rsidR="00FB79CA" w:rsidRPr="00F46CA7" w:rsidRDefault="00BE37D4" w:rsidP="00F46CA7">
            <w:pPr>
              <w:keepLines/>
              <w:contextualSpacing/>
              <w:jc w:val="both"/>
            </w:pPr>
            <w:r w:rsidRPr="004A2CC7">
              <w:t>MK noteikumu Nr.668 25.punktā ir noteikts, ka sistēmas operatoram, kuram ir tiesības un pienākums veikt elektroenerģijas sadali vai pārvadi, katru gadu līdz 31.janvārim jāiesniedz Ministrijā datus par tiem savai sistēmai pieslēgtajiem komersantiem, kuru elektroenerģijas patēriņš iepriekšējā gadā ir pārsniedzis 500 MWh. Minētos datus jāiesniedz apkopotus MK noteikumu Nr.668 6.pielikumā dotajā tabulā. Praksē ir konstatēts, ka ar 6.pielikumā sniegto informāciju ir nepietiekami gadījumos, kad sadales operatoru klienti ir dzīvojamo namu apsaimniekotāji, kuri paši nepatērē elektroenerģiju, bet to patērē daudzdzīvokļu namu iedzīvotāji kuru vārdā namu apsaimniekotājs ir noslēdzis līgumu par elektroenerģijas piegādi. Lai novērstu nepamatota administratīvā sloga uzlikšanu namu apsaimniekotājiem, noteikumu projektā ir iekļauts 6</w:t>
            </w:r>
            <w:r w:rsidR="00F56402">
              <w:t>.</w:t>
            </w:r>
            <w:r w:rsidRPr="004A2CC7">
              <w:rPr>
                <w:vertAlign w:val="superscript"/>
              </w:rPr>
              <w:t>1</w:t>
            </w:r>
            <w:r w:rsidR="00F56402">
              <w:t xml:space="preserve"> </w:t>
            </w:r>
            <w:r w:rsidRPr="004A2CC7">
              <w:t xml:space="preserve">pielikums, kurā sadales operatoram ir jāsniedz ziņas par savu klientu – namu apsaimniekotāju objektiem, kuriem tiek piegādāta elektroenerģija. </w:t>
            </w:r>
          </w:p>
        </w:tc>
      </w:tr>
      <w:tr w:rsidR="00BE37D4" w:rsidRPr="00380894" w14:paraId="62F243E9" w14:textId="77777777" w:rsidTr="00415A0F">
        <w:trPr>
          <w:cantSplit/>
        </w:trPr>
        <w:tc>
          <w:tcPr>
            <w:tcW w:w="311" w:type="pct"/>
            <w:hideMark/>
          </w:tcPr>
          <w:p w14:paraId="42566896" w14:textId="77777777" w:rsidR="00BE37D4" w:rsidRPr="00380894" w:rsidRDefault="00BE37D4" w:rsidP="007207FD">
            <w:pPr>
              <w:keepLines/>
              <w:contextualSpacing/>
              <w:jc w:val="center"/>
            </w:pPr>
            <w:r w:rsidRPr="00380894">
              <w:lastRenderedPageBreak/>
              <w:t>3.</w:t>
            </w:r>
          </w:p>
        </w:tc>
        <w:tc>
          <w:tcPr>
            <w:tcW w:w="1479" w:type="pct"/>
            <w:hideMark/>
          </w:tcPr>
          <w:p w14:paraId="07F711FF" w14:textId="77777777" w:rsidR="00BE37D4" w:rsidRPr="00380894" w:rsidRDefault="00BE37D4" w:rsidP="007207FD">
            <w:pPr>
              <w:keepLines/>
              <w:contextualSpacing/>
            </w:pPr>
            <w:r w:rsidRPr="00380894">
              <w:t>Projekta izstrādē iesaistītās institūcijas un publiskas personas kapitālsabiedrības</w:t>
            </w:r>
          </w:p>
        </w:tc>
        <w:tc>
          <w:tcPr>
            <w:tcW w:w="3210" w:type="pct"/>
            <w:hideMark/>
          </w:tcPr>
          <w:p w14:paraId="2C7A17DD" w14:textId="36BDA418" w:rsidR="00BE37D4" w:rsidRPr="00380894" w:rsidRDefault="00BE37D4" w:rsidP="007207FD">
            <w:pPr>
              <w:keepLines/>
              <w:contextualSpacing/>
            </w:pPr>
            <w:r w:rsidRPr="00380894">
              <w:t>Ekonomikas ministrija</w:t>
            </w:r>
          </w:p>
        </w:tc>
      </w:tr>
      <w:tr w:rsidR="00BE37D4" w:rsidRPr="00380894" w14:paraId="1A115AEC" w14:textId="77777777" w:rsidTr="00415A0F">
        <w:trPr>
          <w:cantSplit/>
        </w:trPr>
        <w:tc>
          <w:tcPr>
            <w:tcW w:w="311" w:type="pct"/>
            <w:hideMark/>
          </w:tcPr>
          <w:p w14:paraId="03243E8E" w14:textId="77777777" w:rsidR="00BE37D4" w:rsidRPr="00380894" w:rsidRDefault="00BE37D4" w:rsidP="007207FD">
            <w:pPr>
              <w:keepLines/>
              <w:contextualSpacing/>
              <w:jc w:val="center"/>
            </w:pPr>
            <w:r w:rsidRPr="00380894">
              <w:t>4.</w:t>
            </w:r>
          </w:p>
        </w:tc>
        <w:tc>
          <w:tcPr>
            <w:tcW w:w="1479" w:type="pct"/>
            <w:hideMark/>
          </w:tcPr>
          <w:p w14:paraId="20807932" w14:textId="77777777" w:rsidR="00BE37D4" w:rsidRPr="00380894" w:rsidRDefault="00BE37D4" w:rsidP="007207FD">
            <w:pPr>
              <w:keepLines/>
              <w:contextualSpacing/>
            </w:pPr>
            <w:r w:rsidRPr="00380894">
              <w:t>Cita informācija</w:t>
            </w:r>
          </w:p>
        </w:tc>
        <w:tc>
          <w:tcPr>
            <w:tcW w:w="3210" w:type="pct"/>
            <w:hideMark/>
          </w:tcPr>
          <w:p w14:paraId="7BB64210" w14:textId="77777777" w:rsidR="00BE37D4" w:rsidRPr="00380894" w:rsidRDefault="00BE37D4" w:rsidP="007207FD">
            <w:pPr>
              <w:keepLines/>
              <w:contextualSpacing/>
            </w:pPr>
            <w:r w:rsidRPr="00380894">
              <w:t>Nav</w:t>
            </w:r>
          </w:p>
        </w:tc>
      </w:tr>
    </w:tbl>
    <w:p w14:paraId="26D9D3FF" w14:textId="77777777" w:rsidR="00BD5588" w:rsidRPr="00380894" w:rsidRDefault="00BD5588" w:rsidP="007207FD">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1A2563" w14:paraId="4CD457C8" w14:textId="77777777" w:rsidTr="009E0502">
        <w:trPr>
          <w:cantSplit/>
        </w:trPr>
        <w:tc>
          <w:tcPr>
            <w:tcW w:w="5000" w:type="pct"/>
            <w:gridSpan w:val="3"/>
            <w:vAlign w:val="center"/>
            <w:hideMark/>
          </w:tcPr>
          <w:p w14:paraId="0DA6A353" w14:textId="77777777" w:rsidR="00BD5588" w:rsidRPr="001A2563" w:rsidRDefault="00BD5588" w:rsidP="007207FD">
            <w:pPr>
              <w:contextualSpacing/>
              <w:jc w:val="center"/>
              <w:rPr>
                <w:b/>
                <w:bCs/>
              </w:rPr>
            </w:pPr>
            <w:r w:rsidRPr="001A2563">
              <w:rPr>
                <w:b/>
                <w:bCs/>
              </w:rPr>
              <w:t>II. Tiesību akta projekta ietekme uz sabiedrību, tautsaimniecības attīstību un administratīvo slogu</w:t>
            </w:r>
          </w:p>
        </w:tc>
      </w:tr>
      <w:tr w:rsidR="00BD5588" w:rsidRPr="001A2563" w14:paraId="3249AA98" w14:textId="77777777" w:rsidTr="009E0502">
        <w:trPr>
          <w:cantSplit/>
        </w:trPr>
        <w:tc>
          <w:tcPr>
            <w:tcW w:w="311" w:type="pct"/>
            <w:hideMark/>
          </w:tcPr>
          <w:p w14:paraId="09386914" w14:textId="77777777" w:rsidR="00BD5588" w:rsidRPr="001A2563" w:rsidRDefault="00BD5588" w:rsidP="007207FD">
            <w:pPr>
              <w:contextualSpacing/>
              <w:jc w:val="center"/>
            </w:pPr>
            <w:r w:rsidRPr="001A2563">
              <w:lastRenderedPageBreak/>
              <w:t>1.</w:t>
            </w:r>
          </w:p>
        </w:tc>
        <w:tc>
          <w:tcPr>
            <w:tcW w:w="1479" w:type="pct"/>
            <w:hideMark/>
          </w:tcPr>
          <w:p w14:paraId="5423DA70" w14:textId="77777777" w:rsidR="00BD5588" w:rsidRPr="001A2563" w:rsidRDefault="00BD5588" w:rsidP="007207FD">
            <w:pPr>
              <w:contextualSpacing/>
            </w:pPr>
            <w:r w:rsidRPr="001A2563">
              <w:t>Sabiedrības mērķgrupas, kuras tiesiskais regulējums ietekmē vai varētu ietekmēt</w:t>
            </w:r>
          </w:p>
        </w:tc>
        <w:tc>
          <w:tcPr>
            <w:tcW w:w="3210" w:type="pct"/>
            <w:hideMark/>
          </w:tcPr>
          <w:p w14:paraId="7E7FE109" w14:textId="77777777" w:rsidR="00BE37D4" w:rsidRPr="001A2563" w:rsidRDefault="00BE37D4" w:rsidP="007207FD">
            <w:pPr>
              <w:contextualSpacing/>
              <w:jc w:val="both"/>
            </w:pPr>
            <w:r w:rsidRPr="001A2563">
              <w:rPr>
                <w:iCs/>
              </w:rPr>
              <w:t xml:space="preserve">Noteikumu projekta tiesiskais regulējums attiecas uz: </w:t>
            </w:r>
          </w:p>
          <w:p w14:paraId="0AE91B1F" w14:textId="77777777" w:rsidR="00BE37D4" w:rsidRPr="001A2563" w:rsidRDefault="00BE37D4" w:rsidP="007207FD">
            <w:pPr>
              <w:contextualSpacing/>
              <w:jc w:val="both"/>
            </w:pPr>
            <w:r w:rsidRPr="001A2563">
              <w:t>1)</w:t>
            </w:r>
            <w:r w:rsidR="000D7B99">
              <w:t xml:space="preserve"> </w:t>
            </w:r>
            <w:r w:rsidRPr="001A2563">
              <w:t>brīvprātīgo vienošanos par energoefektivitātes uzlabošanu dalībniekiem;</w:t>
            </w:r>
          </w:p>
          <w:p w14:paraId="2BC229B0" w14:textId="77777777" w:rsidR="00BE37D4" w:rsidRPr="001A2563" w:rsidRDefault="00BE37D4" w:rsidP="007207FD">
            <w:pPr>
              <w:contextualSpacing/>
              <w:jc w:val="both"/>
            </w:pPr>
            <w:r w:rsidRPr="001A2563">
              <w:t>2)</w:t>
            </w:r>
            <w:r w:rsidR="000D7B99">
              <w:t xml:space="preserve"> </w:t>
            </w:r>
            <w:r w:rsidRPr="001A2563">
              <w:t>valsts iestādēm un pašvaldībām, kurās ir ieviesta nesertificēta energopārvaldības sistēma;</w:t>
            </w:r>
          </w:p>
          <w:p w14:paraId="52C60BF8" w14:textId="77777777" w:rsidR="00BE37D4" w:rsidRPr="001A2563" w:rsidRDefault="00BE37D4" w:rsidP="007207FD">
            <w:pPr>
              <w:contextualSpacing/>
              <w:jc w:val="both"/>
            </w:pPr>
            <w:r w:rsidRPr="001A2563">
              <w:t>3)</w:t>
            </w:r>
            <w:r w:rsidR="000D7B99">
              <w:t xml:space="preserve"> </w:t>
            </w:r>
            <w:r w:rsidRPr="001A2563">
              <w:t>valsts iestādēm, kuru īpašumā vai valdījumā ir ēkas ar 10 000 kvadrātmetru vai lielāku kopējo apkurināmo platību;</w:t>
            </w:r>
          </w:p>
          <w:p w14:paraId="12C60A6E" w14:textId="77777777" w:rsidR="00BE37D4" w:rsidRPr="001A2563" w:rsidRDefault="00BE37D4" w:rsidP="007207FD">
            <w:pPr>
              <w:contextualSpacing/>
              <w:jc w:val="both"/>
            </w:pPr>
            <w:r w:rsidRPr="001A2563">
              <w:t>4) novadu pašvaldībām, kuru teritorijas attīstības līmeņa indekss ir 0,5 vai lielāks un iedzīvotāju skaits ir 10 000 vai lielāks;</w:t>
            </w:r>
          </w:p>
          <w:p w14:paraId="528ACF90" w14:textId="77777777" w:rsidR="00BD5588" w:rsidRPr="001A2563" w:rsidRDefault="00BE37D4" w:rsidP="007207FD">
            <w:pPr>
              <w:contextualSpacing/>
            </w:pPr>
            <w:r w:rsidRPr="001A2563">
              <w:t>5) inženierkonsultantiem.</w:t>
            </w:r>
          </w:p>
        </w:tc>
      </w:tr>
      <w:tr w:rsidR="006C1265" w:rsidRPr="001A2563" w14:paraId="25F9DC73" w14:textId="77777777" w:rsidTr="006C1265">
        <w:trPr>
          <w:cantSplit/>
        </w:trPr>
        <w:tc>
          <w:tcPr>
            <w:tcW w:w="311" w:type="pct"/>
            <w:hideMark/>
          </w:tcPr>
          <w:p w14:paraId="4F22568B" w14:textId="77777777" w:rsidR="006C1265" w:rsidRPr="001A2563" w:rsidRDefault="006C1265" w:rsidP="007207FD">
            <w:pPr>
              <w:contextualSpacing/>
              <w:jc w:val="center"/>
            </w:pPr>
            <w:r w:rsidRPr="001A2563">
              <w:t>2.</w:t>
            </w:r>
          </w:p>
        </w:tc>
        <w:tc>
          <w:tcPr>
            <w:tcW w:w="1479" w:type="pct"/>
            <w:hideMark/>
          </w:tcPr>
          <w:p w14:paraId="735EFDB7" w14:textId="77777777" w:rsidR="006C1265" w:rsidRPr="001A2563" w:rsidRDefault="006C1265" w:rsidP="007207FD">
            <w:pPr>
              <w:contextualSpacing/>
            </w:pPr>
            <w:r w:rsidRPr="001A2563">
              <w:t>Tiesiskā regulējuma ietekme uz tautsaimniecību un administratīvo slogu</w:t>
            </w:r>
          </w:p>
        </w:tc>
        <w:tc>
          <w:tcPr>
            <w:tcW w:w="3210" w:type="pct"/>
          </w:tcPr>
          <w:p w14:paraId="1E3852EA" w14:textId="77777777" w:rsidR="006C1265" w:rsidRPr="001A2563" w:rsidRDefault="006C1265" w:rsidP="007207FD">
            <w:pPr>
              <w:contextualSpacing/>
              <w:jc w:val="both"/>
            </w:pPr>
            <w:r w:rsidRPr="001A2563">
              <w:t>Noteikumu projekta mērķis ir nodrošināt kvalitatīvu energoefektivitātes monitoringa sistēmas darbību un precizēt prasības attiecībā par dokumentiem, kas apliecina nesertificētas energopārvaldības ieviešanu valsts iestādēm un pašvaldībām.</w:t>
            </w:r>
          </w:p>
          <w:p w14:paraId="71D1912E" w14:textId="77777777" w:rsidR="006C1265" w:rsidRDefault="006C1265" w:rsidP="007207FD">
            <w:pPr>
              <w:contextualSpacing/>
              <w:jc w:val="both"/>
            </w:pPr>
            <w:r w:rsidRPr="001A2563">
              <w:t>Noteikumu projekta ieviešanas rezultātā tiks nodrošināta brīvprātīgas vienošanās par energoefektivitātes uzlabošanu dalībnieku sasniegto enerģijas ietaupījumu ziņošana. Minētā prasība jau pašlaik tiek iekļauta brīvprātīgo vienošanos līgumā.</w:t>
            </w:r>
            <w:r w:rsidRPr="001A2563">
              <w:rPr>
                <w:iCs/>
              </w:rPr>
              <w:t xml:space="preserve"> Administratīvais slogs komersantiem netiks paaugstināts.</w:t>
            </w:r>
            <w:r w:rsidRPr="001A2563">
              <w:t xml:space="preserve"> Sakārtojot minēto jautājumu, tiks sekmēta Latvijas Nacionālajā attīstības plānā (turpmāk – Plāns) noteikto valsts energoefektivitātes mērķu izpilde. Plāna</w:t>
            </w:r>
            <w:r w:rsidR="003C1196">
              <w:t xml:space="preserve"> </w:t>
            </w:r>
            <w:r w:rsidRPr="001A2563">
              <w:t>rīcības virzienā “Energoefektivitāte un enerģijas ražošana” norādīts, ka energoefektivitātes uzlabošana primāri ir būtiska ražojošajā sektorā un kā viens no Plāna mērķu sasniegšanas rādītājiem ir norādīts enerģijas patēriņa samazinājums iekšzemes kopprodukta radīšanai, kas sekmēs primārās enerģijas patēriņa samazināšanos.</w:t>
            </w:r>
          </w:p>
          <w:p w14:paraId="0FBB7811" w14:textId="41F36DA8" w:rsidR="00847AE6" w:rsidRPr="001A2563" w:rsidRDefault="00847AE6" w:rsidP="00847AE6">
            <w:pPr>
              <w:contextualSpacing/>
              <w:jc w:val="both"/>
            </w:pPr>
            <w:r w:rsidRPr="001A2563">
              <w:t>Projekts atvieglos valsts iestādēm un pašvaldībām</w:t>
            </w:r>
            <w:r>
              <w:t>,</w:t>
            </w:r>
            <w:r w:rsidRPr="001A2563">
              <w:t xml:space="preserve"> kurās ir jāievieš nesertificēta energopārvaldības sistēma, atbilstošas dokumentācijas izstrādi un samazinās administratīvo slogu namu pārvaldītājiem.</w:t>
            </w:r>
            <w:r>
              <w:t xml:space="preserve"> </w:t>
            </w:r>
          </w:p>
        </w:tc>
      </w:tr>
      <w:tr w:rsidR="006C1265" w:rsidRPr="001A2563" w14:paraId="18C7C5BC" w14:textId="77777777" w:rsidTr="009E0502">
        <w:trPr>
          <w:cantSplit/>
        </w:trPr>
        <w:tc>
          <w:tcPr>
            <w:tcW w:w="311" w:type="pct"/>
            <w:hideMark/>
          </w:tcPr>
          <w:p w14:paraId="7D8AEB0F" w14:textId="77777777" w:rsidR="006C1265" w:rsidRPr="001A2563" w:rsidRDefault="006C1265" w:rsidP="007207FD">
            <w:pPr>
              <w:contextualSpacing/>
              <w:jc w:val="center"/>
            </w:pPr>
            <w:r w:rsidRPr="001A2563">
              <w:t>3.</w:t>
            </w:r>
          </w:p>
        </w:tc>
        <w:tc>
          <w:tcPr>
            <w:tcW w:w="1479" w:type="pct"/>
            <w:hideMark/>
          </w:tcPr>
          <w:p w14:paraId="5568A2FF" w14:textId="77777777" w:rsidR="006C1265" w:rsidRPr="001A2563" w:rsidRDefault="006C1265" w:rsidP="007207FD">
            <w:pPr>
              <w:contextualSpacing/>
            </w:pPr>
            <w:r w:rsidRPr="001A2563">
              <w:t>Administratīvo izmaksu monetārs novērtējums</w:t>
            </w:r>
          </w:p>
        </w:tc>
        <w:tc>
          <w:tcPr>
            <w:tcW w:w="3210" w:type="pct"/>
            <w:hideMark/>
          </w:tcPr>
          <w:p w14:paraId="5A520CF4" w14:textId="67B4CDEE" w:rsidR="0004314D" w:rsidRPr="001A2563" w:rsidRDefault="0004314D" w:rsidP="002D5EFE">
            <w:pPr>
              <w:contextualSpacing/>
            </w:pPr>
            <w:r w:rsidRPr="001A2563">
              <w:t>Projektā ietvertajam tiesiskajam regulējumam nav ietekme uz a</w:t>
            </w:r>
            <w:r>
              <w:t>dministratīvajām</w:t>
            </w:r>
            <w:r w:rsidRPr="001A2563">
              <w:t xml:space="preserve"> izmaksām</w:t>
            </w:r>
          </w:p>
        </w:tc>
      </w:tr>
      <w:tr w:rsidR="006C1265" w:rsidRPr="001A2563" w14:paraId="0EE06C94" w14:textId="77777777" w:rsidTr="009E0502">
        <w:trPr>
          <w:cantSplit/>
        </w:trPr>
        <w:tc>
          <w:tcPr>
            <w:tcW w:w="311" w:type="pct"/>
            <w:hideMark/>
          </w:tcPr>
          <w:p w14:paraId="42F96FA6" w14:textId="77777777" w:rsidR="006C1265" w:rsidRPr="001A2563" w:rsidRDefault="006C1265" w:rsidP="007207FD">
            <w:pPr>
              <w:contextualSpacing/>
              <w:jc w:val="center"/>
            </w:pPr>
            <w:r w:rsidRPr="001A2563">
              <w:t>4.</w:t>
            </w:r>
          </w:p>
        </w:tc>
        <w:tc>
          <w:tcPr>
            <w:tcW w:w="1479" w:type="pct"/>
            <w:hideMark/>
          </w:tcPr>
          <w:p w14:paraId="763D0F8A" w14:textId="77777777" w:rsidR="006C1265" w:rsidRPr="001A2563" w:rsidRDefault="006C1265" w:rsidP="007207FD">
            <w:pPr>
              <w:contextualSpacing/>
            </w:pPr>
            <w:r w:rsidRPr="001A2563">
              <w:t>Atbilstības izmaksu monetārs novērtējums</w:t>
            </w:r>
          </w:p>
        </w:tc>
        <w:tc>
          <w:tcPr>
            <w:tcW w:w="3210" w:type="pct"/>
            <w:hideMark/>
          </w:tcPr>
          <w:p w14:paraId="1F8A11FA" w14:textId="77777777" w:rsidR="006C1265" w:rsidRPr="001A2563" w:rsidRDefault="006C1265" w:rsidP="007207FD">
            <w:pPr>
              <w:contextualSpacing/>
            </w:pPr>
            <w:r w:rsidRPr="001A2563">
              <w:t>Projektā ietvertajam tiesiskajam regulējumam nav ietekme uz atbilstības izmaksām</w:t>
            </w:r>
          </w:p>
        </w:tc>
      </w:tr>
      <w:tr w:rsidR="006C1265" w:rsidRPr="001A2563" w14:paraId="128A148B" w14:textId="77777777" w:rsidTr="009E0502">
        <w:trPr>
          <w:cantSplit/>
        </w:trPr>
        <w:tc>
          <w:tcPr>
            <w:tcW w:w="311" w:type="pct"/>
            <w:hideMark/>
          </w:tcPr>
          <w:p w14:paraId="52B22B8D" w14:textId="77777777" w:rsidR="006C1265" w:rsidRPr="001A2563" w:rsidRDefault="006C1265" w:rsidP="007207FD">
            <w:pPr>
              <w:contextualSpacing/>
              <w:jc w:val="center"/>
            </w:pPr>
            <w:r w:rsidRPr="001A2563">
              <w:t>5.</w:t>
            </w:r>
          </w:p>
        </w:tc>
        <w:tc>
          <w:tcPr>
            <w:tcW w:w="1479" w:type="pct"/>
            <w:hideMark/>
          </w:tcPr>
          <w:p w14:paraId="183DAC7F" w14:textId="77777777" w:rsidR="006C1265" w:rsidRPr="001A2563" w:rsidRDefault="006C1265" w:rsidP="007207FD">
            <w:pPr>
              <w:contextualSpacing/>
            </w:pPr>
            <w:r w:rsidRPr="001A2563">
              <w:t>Cita informācija</w:t>
            </w:r>
          </w:p>
        </w:tc>
        <w:tc>
          <w:tcPr>
            <w:tcW w:w="3210" w:type="pct"/>
            <w:hideMark/>
          </w:tcPr>
          <w:p w14:paraId="110F49AC" w14:textId="77777777" w:rsidR="006C1265" w:rsidRPr="001A2563" w:rsidRDefault="006C1265" w:rsidP="007207FD">
            <w:pPr>
              <w:contextualSpacing/>
            </w:pPr>
            <w:r w:rsidRPr="001A2563">
              <w:t>Nav</w:t>
            </w:r>
          </w:p>
        </w:tc>
      </w:tr>
    </w:tbl>
    <w:p w14:paraId="5642CFCB" w14:textId="77777777" w:rsidR="00BD5588" w:rsidRPr="002D5EFE" w:rsidRDefault="00BD5588" w:rsidP="002D5EFE">
      <w:pPr>
        <w:pStyle w:val="Title"/>
        <w:contextualSpacing/>
        <w:jc w:val="both"/>
        <w:rPr>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83"/>
        <w:gridCol w:w="996"/>
        <w:gridCol w:w="996"/>
        <w:gridCol w:w="996"/>
        <w:gridCol w:w="996"/>
        <w:gridCol w:w="996"/>
        <w:gridCol w:w="996"/>
        <w:gridCol w:w="996"/>
      </w:tblGrid>
      <w:tr w:rsidR="002D5EFE" w:rsidRPr="002D5EFE" w14:paraId="64ABA0CD" w14:textId="77777777" w:rsidTr="003361C6">
        <w:tc>
          <w:tcPr>
            <w:tcW w:w="0" w:type="auto"/>
            <w:gridSpan w:val="8"/>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C2A7A88" w14:textId="77777777" w:rsidR="00101250" w:rsidRPr="002D5EFE" w:rsidRDefault="00101250" w:rsidP="007207FD">
            <w:pPr>
              <w:contextualSpacing/>
              <w:jc w:val="center"/>
              <w:rPr>
                <w:b/>
                <w:bCs/>
              </w:rPr>
            </w:pPr>
            <w:r w:rsidRPr="002D5EFE">
              <w:rPr>
                <w:b/>
                <w:bCs/>
              </w:rPr>
              <w:t>III. Tiesību akta projekta ietekme uz valsts budžetu un pašvaldību budžetiem</w:t>
            </w:r>
          </w:p>
        </w:tc>
      </w:tr>
      <w:tr w:rsidR="002D5EFE" w:rsidRPr="002D5EFE" w14:paraId="47928B70" w14:textId="77777777" w:rsidTr="003361C6">
        <w:tc>
          <w:tcPr>
            <w:tcW w:w="115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744B9CE" w14:textId="77777777" w:rsidR="00101250" w:rsidRPr="002D5EFE" w:rsidRDefault="00101250" w:rsidP="007207FD">
            <w:pPr>
              <w:contextualSpacing/>
              <w:jc w:val="center"/>
            </w:pPr>
            <w:r w:rsidRPr="002D5EFE">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298EBCE" w14:textId="77777777" w:rsidR="00101250" w:rsidRPr="002D5EFE" w:rsidRDefault="00101250" w:rsidP="007207FD">
            <w:pPr>
              <w:contextualSpacing/>
              <w:jc w:val="center"/>
            </w:pPr>
            <w:r w:rsidRPr="002D5EFE">
              <w:t>2018</w:t>
            </w:r>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F9AFAC2" w14:textId="77777777" w:rsidR="00101250" w:rsidRPr="002D5EFE" w:rsidRDefault="00101250" w:rsidP="007207FD">
            <w:pPr>
              <w:contextualSpacing/>
              <w:jc w:val="center"/>
            </w:pPr>
            <w:r w:rsidRPr="002D5EFE">
              <w:t>Turpmākie trīs gadi (</w:t>
            </w:r>
            <w:r w:rsidRPr="002D5EFE">
              <w:rPr>
                <w:i/>
                <w:iCs/>
              </w:rPr>
              <w:t>euro</w:t>
            </w:r>
            <w:r w:rsidRPr="002D5EFE">
              <w:t>)</w:t>
            </w:r>
          </w:p>
        </w:tc>
      </w:tr>
      <w:tr w:rsidR="002D5EFE" w:rsidRPr="002D5EFE" w14:paraId="4A1B2F2B" w14:textId="77777777" w:rsidTr="003361C6">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BFC32E9" w14:textId="77777777" w:rsidR="00101250" w:rsidRPr="002D5EFE" w:rsidRDefault="00101250" w:rsidP="007207FD">
            <w:pPr>
              <w:contextualSpacing/>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539EBB5" w14:textId="77777777" w:rsidR="00101250" w:rsidRPr="002D5EFE" w:rsidRDefault="00101250" w:rsidP="007207FD">
            <w:pPr>
              <w:contextualSpacing/>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A148181" w14:textId="77777777" w:rsidR="00101250" w:rsidRPr="002D5EFE" w:rsidRDefault="00101250" w:rsidP="007207FD">
            <w:pPr>
              <w:contextualSpacing/>
              <w:jc w:val="center"/>
            </w:pPr>
            <w:r w:rsidRPr="002D5EFE">
              <w:t>2019</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FB90A5B" w14:textId="77777777" w:rsidR="00101250" w:rsidRPr="002D5EFE" w:rsidRDefault="00101250" w:rsidP="007207FD">
            <w:pPr>
              <w:contextualSpacing/>
              <w:jc w:val="center"/>
            </w:pPr>
            <w:r w:rsidRPr="002D5EFE">
              <w:t>2020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8CF0C64" w14:textId="77777777" w:rsidR="00101250" w:rsidRPr="002D5EFE" w:rsidRDefault="00101250" w:rsidP="007207FD">
            <w:pPr>
              <w:contextualSpacing/>
              <w:jc w:val="center"/>
            </w:pPr>
            <w:r w:rsidRPr="002D5EFE">
              <w:t>2021</w:t>
            </w:r>
          </w:p>
        </w:tc>
      </w:tr>
      <w:tr w:rsidR="002D5EFE" w:rsidRPr="002D5EFE" w14:paraId="4A890910" w14:textId="77777777" w:rsidTr="003361C6">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FED7278" w14:textId="77777777" w:rsidR="00101250" w:rsidRPr="002D5EFE" w:rsidRDefault="00101250" w:rsidP="007207FD">
            <w:pPr>
              <w:contextualSpacing/>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34D2403" w14:textId="77777777" w:rsidR="00101250" w:rsidRPr="002D5EFE" w:rsidRDefault="00101250" w:rsidP="007207FD">
            <w:pPr>
              <w:contextualSpacing/>
              <w:jc w:val="center"/>
            </w:pPr>
            <w:r w:rsidRPr="002D5EFE">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16B4654" w14:textId="77777777" w:rsidR="00101250" w:rsidRPr="002D5EFE" w:rsidRDefault="00101250" w:rsidP="007207FD">
            <w:pPr>
              <w:contextualSpacing/>
              <w:jc w:val="center"/>
            </w:pPr>
            <w:r w:rsidRPr="002D5EFE">
              <w:t xml:space="preserve">izmaiņas kārtējā gadā, salīdzinot ar valsts budžetu </w:t>
            </w:r>
            <w:r w:rsidRPr="002D5EFE">
              <w:lastRenderedPageBreak/>
              <w:t>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B75EA0B" w14:textId="77777777" w:rsidR="00101250" w:rsidRPr="002D5EFE" w:rsidRDefault="00101250" w:rsidP="007207FD">
            <w:pPr>
              <w:contextualSpacing/>
              <w:jc w:val="center"/>
            </w:pPr>
            <w:r w:rsidRPr="002D5EFE">
              <w:lastRenderedPageBreak/>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5A0868F" w14:textId="77777777" w:rsidR="00101250" w:rsidRPr="002D5EFE" w:rsidRDefault="00101250" w:rsidP="007207FD">
            <w:pPr>
              <w:contextualSpacing/>
              <w:jc w:val="center"/>
            </w:pPr>
            <w:r w:rsidRPr="002D5EFE">
              <w:t xml:space="preserve">izmaiņas, salīdzinot ar vidēja termiņa budžeta </w:t>
            </w:r>
            <w:r w:rsidRPr="002D5EFE">
              <w:lastRenderedPageBreak/>
              <w:t>ietvaru 2019.g.</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A56D86B" w14:textId="77777777" w:rsidR="00101250" w:rsidRPr="002D5EFE" w:rsidRDefault="00101250" w:rsidP="007207FD">
            <w:pPr>
              <w:contextualSpacing/>
              <w:jc w:val="center"/>
            </w:pPr>
            <w:r w:rsidRPr="002D5EFE">
              <w:lastRenderedPageBreak/>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0B94AC1" w14:textId="77777777" w:rsidR="00101250" w:rsidRPr="002D5EFE" w:rsidRDefault="00101250" w:rsidP="007207FD">
            <w:pPr>
              <w:contextualSpacing/>
              <w:jc w:val="center"/>
            </w:pPr>
            <w:r w:rsidRPr="002D5EFE">
              <w:t xml:space="preserve">izmaiņas, salīdzinot ar vidēja termiņa budžeta </w:t>
            </w:r>
            <w:r w:rsidRPr="002D5EFE">
              <w:lastRenderedPageBreak/>
              <w:t>ietvaru 2020.g.</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F758556" w14:textId="77777777" w:rsidR="00101250" w:rsidRPr="002D5EFE" w:rsidRDefault="00101250" w:rsidP="007207FD">
            <w:pPr>
              <w:contextualSpacing/>
              <w:jc w:val="center"/>
            </w:pPr>
            <w:r w:rsidRPr="002D5EFE">
              <w:lastRenderedPageBreak/>
              <w:t xml:space="preserve">izmaiņas, salīdzinot ar vidēja termiņa budžeta </w:t>
            </w:r>
            <w:r w:rsidRPr="002D5EFE">
              <w:lastRenderedPageBreak/>
              <w:t>ietvaru 2020.g.</w:t>
            </w:r>
          </w:p>
        </w:tc>
      </w:tr>
      <w:tr w:rsidR="002D5EFE" w:rsidRPr="002D5EFE" w14:paraId="4513FCDC"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62D75F8" w14:textId="77777777" w:rsidR="00101250" w:rsidRPr="002D5EFE" w:rsidRDefault="00101250" w:rsidP="007207FD">
            <w:pPr>
              <w:contextualSpacing/>
              <w:jc w:val="center"/>
            </w:pPr>
            <w:r w:rsidRPr="002D5EFE">
              <w:lastRenderedPageBreak/>
              <w:t>1</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91365B1" w14:textId="77777777" w:rsidR="00101250" w:rsidRPr="002D5EFE" w:rsidRDefault="00101250" w:rsidP="007207FD">
            <w:pPr>
              <w:contextualSpacing/>
              <w:jc w:val="center"/>
            </w:pPr>
            <w:r w:rsidRPr="002D5EFE">
              <w:t>2</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830EC6D" w14:textId="77777777" w:rsidR="00101250" w:rsidRPr="002D5EFE" w:rsidRDefault="00101250" w:rsidP="007207FD">
            <w:pPr>
              <w:contextualSpacing/>
              <w:jc w:val="center"/>
            </w:pPr>
            <w:r w:rsidRPr="002D5EFE">
              <w:t>3</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7EAE31F" w14:textId="77777777" w:rsidR="00101250" w:rsidRPr="002D5EFE" w:rsidRDefault="00101250" w:rsidP="007207FD">
            <w:pPr>
              <w:contextualSpacing/>
              <w:jc w:val="center"/>
            </w:pPr>
            <w:r w:rsidRPr="002D5EFE">
              <w:t>4</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917E7B6" w14:textId="77777777" w:rsidR="00101250" w:rsidRPr="002D5EFE" w:rsidRDefault="00101250" w:rsidP="007207FD">
            <w:pPr>
              <w:contextualSpacing/>
              <w:jc w:val="center"/>
            </w:pPr>
            <w:r w:rsidRPr="002D5EFE">
              <w:t>5</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5212DF3" w14:textId="77777777" w:rsidR="00101250" w:rsidRPr="002D5EFE" w:rsidRDefault="00101250" w:rsidP="007207FD">
            <w:pPr>
              <w:contextualSpacing/>
              <w:jc w:val="center"/>
            </w:pPr>
            <w:r w:rsidRPr="002D5EFE">
              <w:t>6</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4EC8E6F" w14:textId="77777777" w:rsidR="00101250" w:rsidRPr="002D5EFE" w:rsidRDefault="00101250" w:rsidP="007207FD">
            <w:pPr>
              <w:contextualSpacing/>
              <w:jc w:val="center"/>
            </w:pPr>
            <w:r w:rsidRPr="002D5EFE">
              <w:t>7</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220F2EC" w14:textId="77777777" w:rsidR="00101250" w:rsidRPr="002D5EFE" w:rsidRDefault="00101250" w:rsidP="007207FD">
            <w:pPr>
              <w:contextualSpacing/>
              <w:jc w:val="center"/>
            </w:pPr>
            <w:r w:rsidRPr="002D5EFE">
              <w:t>8</w:t>
            </w:r>
          </w:p>
        </w:tc>
      </w:tr>
      <w:tr w:rsidR="002D5EFE" w:rsidRPr="002D5EFE" w14:paraId="1BD6501A"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2AD85573" w14:textId="77777777" w:rsidR="00101250" w:rsidRPr="002D5EFE" w:rsidRDefault="00101250" w:rsidP="007207FD">
            <w:pPr>
              <w:contextualSpacing/>
            </w:pPr>
            <w:r w:rsidRPr="002D5EFE">
              <w:t>1. 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852D8DF"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D56B06A"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1BA9E55"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F591C31"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89B3A46"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6176B4B"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B7BEA3F" w14:textId="77777777" w:rsidR="00101250" w:rsidRPr="002D5EFE" w:rsidRDefault="00101250" w:rsidP="007207FD">
            <w:pPr>
              <w:contextualSpacing/>
              <w:jc w:val="center"/>
            </w:pPr>
            <w:r w:rsidRPr="002D5EFE">
              <w:t>0</w:t>
            </w:r>
          </w:p>
        </w:tc>
      </w:tr>
      <w:tr w:rsidR="002D5EFE" w:rsidRPr="002D5EFE" w14:paraId="12712CE5"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07CBA76D" w14:textId="77777777" w:rsidR="00101250" w:rsidRPr="002D5EFE" w:rsidRDefault="00101250" w:rsidP="007207FD">
            <w:pPr>
              <w:contextualSpacing/>
            </w:pPr>
            <w:r w:rsidRPr="002D5EFE">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AE2B9FF"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706245B"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1ADA428"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D7F57FE"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95F6D5C"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CF34435"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B8C5A4E" w14:textId="77777777" w:rsidR="00101250" w:rsidRPr="002D5EFE" w:rsidRDefault="00101250" w:rsidP="007207FD">
            <w:pPr>
              <w:contextualSpacing/>
              <w:jc w:val="center"/>
            </w:pPr>
            <w:r w:rsidRPr="002D5EFE">
              <w:t>0</w:t>
            </w:r>
          </w:p>
        </w:tc>
      </w:tr>
      <w:tr w:rsidR="002D5EFE" w:rsidRPr="002D5EFE" w14:paraId="14AB7DAB"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AD3F668" w14:textId="77777777" w:rsidR="00101250" w:rsidRPr="002D5EFE" w:rsidRDefault="00101250" w:rsidP="007207FD">
            <w:pPr>
              <w:contextualSpacing/>
            </w:pPr>
            <w:r w:rsidRPr="002D5EFE">
              <w:t>1.2.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0A0A383"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DADA71D"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9F0EB29"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A7A65C0"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49E5923"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9CE33C9"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6A575F9" w14:textId="77777777" w:rsidR="00101250" w:rsidRPr="002D5EFE" w:rsidRDefault="00101250" w:rsidP="007207FD">
            <w:pPr>
              <w:contextualSpacing/>
              <w:jc w:val="center"/>
            </w:pPr>
            <w:r w:rsidRPr="002D5EFE">
              <w:t>0</w:t>
            </w:r>
          </w:p>
        </w:tc>
      </w:tr>
      <w:tr w:rsidR="002D5EFE" w:rsidRPr="002D5EFE" w14:paraId="2A54FB77"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200C30B" w14:textId="77777777" w:rsidR="00101250" w:rsidRPr="002D5EFE" w:rsidRDefault="00101250" w:rsidP="007207FD">
            <w:pPr>
              <w:contextualSpacing/>
            </w:pPr>
            <w:r w:rsidRPr="002D5EFE">
              <w:t>1.3.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2474022"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274289A"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D466406"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0783058"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DE364AD"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79A3057"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13D5E3D" w14:textId="77777777" w:rsidR="00101250" w:rsidRPr="002D5EFE" w:rsidRDefault="00101250" w:rsidP="007207FD">
            <w:pPr>
              <w:contextualSpacing/>
              <w:jc w:val="center"/>
            </w:pPr>
            <w:r w:rsidRPr="002D5EFE">
              <w:t>0</w:t>
            </w:r>
          </w:p>
        </w:tc>
      </w:tr>
      <w:tr w:rsidR="002D5EFE" w:rsidRPr="002D5EFE" w14:paraId="11AB1CA2"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93FCBA4" w14:textId="77777777" w:rsidR="00101250" w:rsidRPr="002D5EFE" w:rsidRDefault="00101250" w:rsidP="007207FD">
            <w:pPr>
              <w:contextualSpacing/>
            </w:pPr>
            <w:r w:rsidRPr="002D5EFE">
              <w:t>2. 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F741587"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36AAE0D"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EA40E54"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6C66BAE"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51DD0C5"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3DEF840"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BE66B31" w14:textId="77777777" w:rsidR="00101250" w:rsidRPr="002D5EFE" w:rsidRDefault="00101250" w:rsidP="007207FD">
            <w:pPr>
              <w:contextualSpacing/>
              <w:jc w:val="center"/>
            </w:pPr>
            <w:r w:rsidRPr="002D5EFE">
              <w:t>0</w:t>
            </w:r>
          </w:p>
        </w:tc>
      </w:tr>
      <w:tr w:rsidR="002D5EFE" w:rsidRPr="002D5EFE" w14:paraId="579434C1"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C76208E" w14:textId="77777777" w:rsidR="00101250" w:rsidRPr="002D5EFE" w:rsidRDefault="00101250" w:rsidP="007207FD">
            <w:pPr>
              <w:contextualSpacing/>
            </w:pPr>
            <w:r w:rsidRPr="002D5EFE">
              <w:t>2.1.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ACBE026"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A62CF52"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BB85B7F"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A9B07C0"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885512E"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D881214"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82A3DDE" w14:textId="77777777" w:rsidR="00101250" w:rsidRPr="002D5EFE" w:rsidRDefault="00101250" w:rsidP="007207FD">
            <w:pPr>
              <w:contextualSpacing/>
              <w:jc w:val="center"/>
            </w:pPr>
            <w:r w:rsidRPr="002D5EFE">
              <w:t>0</w:t>
            </w:r>
          </w:p>
        </w:tc>
      </w:tr>
      <w:tr w:rsidR="002D5EFE" w:rsidRPr="002D5EFE" w14:paraId="04C734C1"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BB8B869" w14:textId="77777777" w:rsidR="00101250" w:rsidRPr="002D5EFE" w:rsidRDefault="00101250" w:rsidP="007207FD">
            <w:pPr>
              <w:contextualSpacing/>
            </w:pPr>
            <w:r w:rsidRPr="002D5EFE">
              <w:t>2.2.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8878E5B"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36CF66C"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636845F"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4810328"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462FCC8"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4886A09"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058ABE5" w14:textId="77777777" w:rsidR="00101250" w:rsidRPr="002D5EFE" w:rsidRDefault="00101250" w:rsidP="007207FD">
            <w:pPr>
              <w:contextualSpacing/>
              <w:jc w:val="center"/>
            </w:pPr>
            <w:r w:rsidRPr="002D5EFE">
              <w:t>0</w:t>
            </w:r>
          </w:p>
        </w:tc>
      </w:tr>
      <w:tr w:rsidR="002D5EFE" w:rsidRPr="002D5EFE" w14:paraId="0BE36392"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93F8B4E" w14:textId="77777777" w:rsidR="00101250" w:rsidRPr="002D5EFE" w:rsidRDefault="00101250" w:rsidP="007207FD">
            <w:pPr>
              <w:contextualSpacing/>
            </w:pPr>
            <w:r w:rsidRPr="002D5EFE">
              <w:t>2.3.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5D01C35"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BD6F42B"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0620A6F"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C3724FC"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A929729"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4BDE1E7"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39024DF" w14:textId="77777777" w:rsidR="00101250" w:rsidRPr="002D5EFE" w:rsidRDefault="00101250" w:rsidP="007207FD">
            <w:pPr>
              <w:contextualSpacing/>
              <w:jc w:val="center"/>
            </w:pPr>
            <w:r w:rsidRPr="002D5EFE">
              <w:t>0</w:t>
            </w:r>
          </w:p>
        </w:tc>
      </w:tr>
      <w:tr w:rsidR="002D5EFE" w:rsidRPr="002D5EFE" w14:paraId="10155E0C"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2D6F8260" w14:textId="77777777" w:rsidR="00101250" w:rsidRPr="002D5EFE" w:rsidRDefault="00101250" w:rsidP="007207FD">
            <w:pPr>
              <w:contextualSpacing/>
            </w:pPr>
            <w:r w:rsidRPr="002D5EFE">
              <w:t>3. Finansiālā ietekme</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9E96868"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A5714DA"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9C7DC70"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360AE9A"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F16EB71"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D5308F2"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58AFCEA" w14:textId="77777777" w:rsidR="00101250" w:rsidRPr="002D5EFE" w:rsidRDefault="00101250" w:rsidP="007207FD">
            <w:pPr>
              <w:contextualSpacing/>
              <w:jc w:val="center"/>
            </w:pPr>
            <w:r w:rsidRPr="002D5EFE">
              <w:t>0</w:t>
            </w:r>
          </w:p>
        </w:tc>
      </w:tr>
      <w:tr w:rsidR="002D5EFE" w:rsidRPr="002D5EFE" w14:paraId="7C58238C"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EC5BF50" w14:textId="77777777" w:rsidR="00101250" w:rsidRPr="002D5EFE" w:rsidRDefault="00101250" w:rsidP="007207FD">
            <w:pPr>
              <w:contextualSpacing/>
            </w:pPr>
            <w:r w:rsidRPr="002D5EFE">
              <w:t>3.1.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3492872"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8A162B9"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2552DB8"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8C7D5DE"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5648063"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B9E2E87"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E6BE5B5" w14:textId="77777777" w:rsidR="00101250" w:rsidRPr="002D5EFE" w:rsidRDefault="00101250" w:rsidP="007207FD">
            <w:pPr>
              <w:contextualSpacing/>
              <w:jc w:val="center"/>
            </w:pPr>
            <w:r w:rsidRPr="002D5EFE">
              <w:t>0</w:t>
            </w:r>
          </w:p>
        </w:tc>
      </w:tr>
      <w:tr w:rsidR="002D5EFE" w:rsidRPr="002D5EFE" w14:paraId="32486336"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5C58A70C" w14:textId="77777777" w:rsidR="00101250" w:rsidRPr="002D5EFE" w:rsidRDefault="00101250" w:rsidP="007207FD">
            <w:pPr>
              <w:contextualSpacing/>
            </w:pPr>
            <w:r w:rsidRPr="002D5EFE">
              <w:t>3.2.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00D547F"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A6F5D83"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D63281C"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0067285"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2642293"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68F151A"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A296D06" w14:textId="77777777" w:rsidR="00101250" w:rsidRPr="002D5EFE" w:rsidRDefault="00101250" w:rsidP="007207FD">
            <w:pPr>
              <w:contextualSpacing/>
              <w:jc w:val="center"/>
            </w:pPr>
            <w:r w:rsidRPr="002D5EFE">
              <w:t>0</w:t>
            </w:r>
          </w:p>
        </w:tc>
      </w:tr>
      <w:tr w:rsidR="002D5EFE" w:rsidRPr="002D5EFE" w14:paraId="710864D8"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E12D4E7" w14:textId="77777777" w:rsidR="00101250" w:rsidRPr="002D5EFE" w:rsidRDefault="00101250" w:rsidP="007207FD">
            <w:pPr>
              <w:contextualSpacing/>
            </w:pPr>
            <w:r w:rsidRPr="002D5EFE">
              <w:t>3.3.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37E63EE"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2CC7C46"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9C868F6"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86F95E9"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BD6DEBD"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D2BE35B"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7BE0D14" w14:textId="77777777" w:rsidR="00101250" w:rsidRPr="002D5EFE" w:rsidRDefault="00101250" w:rsidP="007207FD">
            <w:pPr>
              <w:contextualSpacing/>
              <w:jc w:val="center"/>
            </w:pPr>
            <w:r w:rsidRPr="002D5EFE">
              <w:t>0</w:t>
            </w:r>
          </w:p>
        </w:tc>
      </w:tr>
      <w:tr w:rsidR="002D5EFE" w:rsidRPr="002D5EFE" w14:paraId="4FFF9E8F"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A11B597" w14:textId="77777777" w:rsidR="00101250" w:rsidRPr="002D5EFE" w:rsidRDefault="00101250" w:rsidP="007207FD">
            <w:pPr>
              <w:contextualSpacing/>
            </w:pPr>
            <w:r w:rsidRPr="002D5EFE">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4705D43"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5B6B366"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D0D24A5"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C43D0EB"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0B28E54"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D0B06E2"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B13C1D3" w14:textId="77777777" w:rsidR="00101250" w:rsidRPr="002D5EFE" w:rsidRDefault="00101250" w:rsidP="007207FD">
            <w:pPr>
              <w:contextualSpacing/>
              <w:jc w:val="center"/>
            </w:pPr>
            <w:r w:rsidRPr="002D5EFE">
              <w:t>0</w:t>
            </w:r>
          </w:p>
        </w:tc>
      </w:tr>
      <w:tr w:rsidR="002D5EFE" w:rsidRPr="002D5EFE" w14:paraId="41277585"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C72A4CD" w14:textId="77777777" w:rsidR="00101250" w:rsidRPr="002D5EFE" w:rsidRDefault="00101250" w:rsidP="007207FD">
            <w:pPr>
              <w:contextualSpacing/>
            </w:pPr>
            <w:r w:rsidRPr="002D5EFE">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528FF92"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0E17F99" w14:textId="77777777" w:rsidR="00101250" w:rsidRPr="002D5EFE" w:rsidRDefault="00101250" w:rsidP="007207FD">
            <w:pPr>
              <w:contextualSpacing/>
              <w:jc w:val="center"/>
            </w:pPr>
            <w:r w:rsidRPr="002D5EFE">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5E8D84A"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0BE6233" w14:textId="77777777" w:rsidR="00101250" w:rsidRPr="002D5EFE" w:rsidRDefault="00101250" w:rsidP="007207FD">
            <w:pPr>
              <w:contextualSpacing/>
              <w:jc w:val="center"/>
            </w:pPr>
            <w:r w:rsidRPr="002D5EFE">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2CA3E21"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3BE5EB7"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9446D72" w14:textId="77777777" w:rsidR="00101250" w:rsidRPr="002D5EFE" w:rsidRDefault="00101250" w:rsidP="007207FD">
            <w:pPr>
              <w:contextualSpacing/>
              <w:jc w:val="center"/>
            </w:pPr>
            <w:r w:rsidRPr="002D5EFE">
              <w:t>0</w:t>
            </w:r>
          </w:p>
        </w:tc>
      </w:tr>
      <w:tr w:rsidR="002D5EFE" w:rsidRPr="002D5EFE" w14:paraId="167043C8"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21D4579E" w14:textId="77777777" w:rsidR="00101250" w:rsidRPr="002D5EFE" w:rsidRDefault="00101250" w:rsidP="007207FD">
            <w:pPr>
              <w:contextualSpacing/>
            </w:pPr>
            <w:r w:rsidRPr="002D5EFE">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A321C3E" w14:textId="77777777" w:rsidR="00101250" w:rsidRPr="002D5EFE" w:rsidRDefault="00101250" w:rsidP="007207FD">
            <w:pPr>
              <w:contextualSpacing/>
              <w:jc w:val="cente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F725A2E" w14:textId="77777777" w:rsidR="00101250" w:rsidRPr="002D5EFE" w:rsidRDefault="00101250" w:rsidP="007207FD">
            <w:pPr>
              <w:contextualSpacing/>
              <w:jc w:val="center"/>
            </w:pPr>
            <w:r w:rsidRPr="002D5EFE">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0FA6085" w14:textId="77777777" w:rsidR="00101250" w:rsidRPr="002D5EFE" w:rsidRDefault="00101250" w:rsidP="007207FD">
            <w:pPr>
              <w:contextualSpacing/>
              <w:jc w:val="cente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0557E93" w14:textId="77777777" w:rsidR="00101250" w:rsidRPr="002D5EFE" w:rsidRDefault="00101250" w:rsidP="007207FD">
            <w:pPr>
              <w:contextualSpacing/>
              <w:jc w:val="center"/>
            </w:pPr>
            <w:r w:rsidRPr="002D5EFE">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AE57FFC" w14:textId="77777777" w:rsidR="00101250" w:rsidRPr="002D5EFE" w:rsidRDefault="00101250" w:rsidP="007207FD">
            <w:pPr>
              <w:contextualSpacing/>
              <w:jc w:val="cente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16B9677"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7781FFF" w14:textId="77777777" w:rsidR="00101250" w:rsidRPr="002D5EFE" w:rsidRDefault="00101250" w:rsidP="007207FD">
            <w:pPr>
              <w:contextualSpacing/>
              <w:jc w:val="center"/>
            </w:pPr>
            <w:r w:rsidRPr="002D5EFE">
              <w:t>0</w:t>
            </w:r>
          </w:p>
        </w:tc>
      </w:tr>
      <w:tr w:rsidR="002D5EFE" w:rsidRPr="002D5EFE" w14:paraId="0A3E7734"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BE50C0C" w14:textId="77777777" w:rsidR="00101250" w:rsidRPr="002D5EFE" w:rsidRDefault="00101250" w:rsidP="007207FD">
            <w:pPr>
              <w:contextualSpacing/>
            </w:pPr>
            <w:r w:rsidRPr="002D5EFE">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D0C11A2" w14:textId="77777777" w:rsidR="00101250" w:rsidRPr="002D5EFE" w:rsidRDefault="00101250" w:rsidP="007207FD">
            <w:pPr>
              <w:contextualSpacing/>
              <w:jc w:val="cente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30D55A2" w14:textId="77777777" w:rsidR="00101250" w:rsidRPr="002D5EFE" w:rsidRDefault="00101250" w:rsidP="007207FD">
            <w:pPr>
              <w:contextualSpacing/>
              <w:jc w:val="center"/>
            </w:pPr>
            <w:r w:rsidRPr="002D5EFE">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19B0344" w14:textId="77777777" w:rsidR="00101250" w:rsidRPr="002D5EFE" w:rsidRDefault="00101250" w:rsidP="007207FD">
            <w:pPr>
              <w:contextualSpacing/>
              <w:jc w:val="cente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2D91243" w14:textId="77777777" w:rsidR="00101250" w:rsidRPr="002D5EFE" w:rsidRDefault="00101250" w:rsidP="007207FD">
            <w:pPr>
              <w:contextualSpacing/>
              <w:jc w:val="center"/>
            </w:pPr>
            <w:r w:rsidRPr="002D5EFE">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C9E3D8D" w14:textId="77777777" w:rsidR="00101250" w:rsidRPr="002D5EFE" w:rsidRDefault="00101250" w:rsidP="007207FD">
            <w:pPr>
              <w:contextualSpacing/>
              <w:jc w:val="cente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DAC2051"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F60A8F5" w14:textId="77777777" w:rsidR="00101250" w:rsidRPr="002D5EFE" w:rsidRDefault="00101250" w:rsidP="007207FD">
            <w:pPr>
              <w:contextualSpacing/>
              <w:jc w:val="center"/>
            </w:pPr>
            <w:r w:rsidRPr="002D5EFE">
              <w:t>0</w:t>
            </w:r>
          </w:p>
        </w:tc>
      </w:tr>
      <w:tr w:rsidR="002D5EFE" w:rsidRPr="002D5EFE" w14:paraId="089BD798"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96FC236" w14:textId="77777777" w:rsidR="00101250" w:rsidRPr="002D5EFE" w:rsidRDefault="00101250" w:rsidP="007207FD">
            <w:pPr>
              <w:contextualSpacing/>
            </w:pPr>
            <w:r w:rsidRPr="002D5EFE">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F7A4D8F" w14:textId="77777777" w:rsidR="00101250" w:rsidRPr="002D5EFE" w:rsidRDefault="00101250" w:rsidP="007207FD">
            <w:pPr>
              <w:contextualSpacing/>
              <w:jc w:val="cente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1FE4CC7" w14:textId="77777777" w:rsidR="00101250" w:rsidRPr="002D5EFE" w:rsidRDefault="00101250" w:rsidP="007207FD">
            <w:pPr>
              <w:contextualSpacing/>
              <w:jc w:val="center"/>
            </w:pPr>
            <w:r w:rsidRPr="002D5EFE">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3D44270" w14:textId="77777777" w:rsidR="00101250" w:rsidRPr="002D5EFE" w:rsidRDefault="00101250" w:rsidP="007207FD">
            <w:pPr>
              <w:contextualSpacing/>
              <w:jc w:val="cente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1059BDB" w14:textId="77777777" w:rsidR="00101250" w:rsidRPr="002D5EFE" w:rsidRDefault="00101250" w:rsidP="007207FD">
            <w:pPr>
              <w:contextualSpacing/>
              <w:jc w:val="center"/>
            </w:pPr>
            <w:r w:rsidRPr="002D5EFE">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F38D9E2" w14:textId="77777777" w:rsidR="00101250" w:rsidRPr="002D5EFE" w:rsidRDefault="00101250" w:rsidP="007207FD">
            <w:pPr>
              <w:contextualSpacing/>
              <w:jc w:val="cente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30B64DA"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728F069" w14:textId="77777777" w:rsidR="00101250" w:rsidRPr="002D5EFE" w:rsidRDefault="00101250" w:rsidP="007207FD">
            <w:pPr>
              <w:contextualSpacing/>
              <w:jc w:val="center"/>
            </w:pPr>
            <w:r w:rsidRPr="002D5EFE">
              <w:t>0</w:t>
            </w:r>
          </w:p>
        </w:tc>
      </w:tr>
      <w:tr w:rsidR="002D5EFE" w:rsidRPr="002D5EFE" w14:paraId="39A6992C"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5DAAA7D3" w14:textId="77777777" w:rsidR="00101250" w:rsidRPr="002D5EFE" w:rsidRDefault="00101250" w:rsidP="007207FD">
            <w:pPr>
              <w:contextualSpacing/>
            </w:pPr>
            <w:r w:rsidRPr="002D5EFE">
              <w:lastRenderedPageBreak/>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5CD8D03" w14:textId="36954B3E" w:rsidR="00637186" w:rsidRDefault="00637186" w:rsidP="007207FD">
            <w:pPr>
              <w:contextualSpacing/>
              <w:jc w:val="both"/>
              <w:rPr>
                <w:shd w:val="clear" w:color="auto" w:fill="FFFFFF"/>
              </w:rPr>
            </w:pPr>
          </w:p>
          <w:p w14:paraId="76F54009" w14:textId="18744B63" w:rsidR="0004314D" w:rsidRPr="002D5EFE" w:rsidRDefault="00637186" w:rsidP="007207FD">
            <w:pPr>
              <w:contextualSpacing/>
              <w:jc w:val="both"/>
            </w:pPr>
            <w:r w:rsidRPr="002D5EFE">
              <w:t>Noteikumu projektā iekļauto nosacījumu īstenošanai Ekonomikas ministrijā</w:t>
            </w:r>
            <w:r>
              <w:t xml:space="preserve"> </w:t>
            </w:r>
            <w:r w:rsidRPr="002D5EFE">
              <w:t>nebūs nepieciešam</w:t>
            </w:r>
            <w:r>
              <w:t>i</w:t>
            </w:r>
            <w:r w:rsidRPr="002D5EFE">
              <w:t xml:space="preserve"> papildu </w:t>
            </w:r>
            <w:r>
              <w:t>izdevumi.</w:t>
            </w:r>
          </w:p>
        </w:tc>
      </w:tr>
      <w:tr w:rsidR="002D5EFE" w:rsidRPr="002D5EFE" w14:paraId="2A24EC0B"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74F0939" w14:textId="77777777" w:rsidR="00101250" w:rsidRPr="002D5EFE" w:rsidRDefault="00101250" w:rsidP="007207FD">
            <w:pPr>
              <w:contextualSpacing/>
            </w:pPr>
            <w:r w:rsidRPr="002D5EFE">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E219A30" w14:textId="77777777" w:rsidR="00101250" w:rsidRPr="002D5EFE" w:rsidRDefault="00101250" w:rsidP="007207FD">
            <w:pPr>
              <w:contextualSpacing/>
            </w:pPr>
          </w:p>
        </w:tc>
      </w:tr>
      <w:tr w:rsidR="002D5EFE" w:rsidRPr="002D5EFE" w14:paraId="2DBA975A"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5803C35" w14:textId="77777777" w:rsidR="00101250" w:rsidRPr="002D5EFE" w:rsidRDefault="00101250" w:rsidP="007207FD">
            <w:pPr>
              <w:contextualSpacing/>
            </w:pPr>
            <w:r w:rsidRPr="002D5EFE">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392B1C5" w14:textId="77777777" w:rsidR="00101250" w:rsidRPr="002D5EFE" w:rsidRDefault="00101250" w:rsidP="007207FD">
            <w:pPr>
              <w:contextualSpacing/>
            </w:pPr>
          </w:p>
        </w:tc>
      </w:tr>
      <w:tr w:rsidR="002D5EFE" w:rsidRPr="002D5EFE" w14:paraId="6C77D0A7"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A4D27CB" w14:textId="77777777" w:rsidR="00101250" w:rsidRPr="002D5EFE" w:rsidRDefault="00101250" w:rsidP="007207FD">
            <w:pPr>
              <w:contextualSpacing/>
            </w:pPr>
            <w:r w:rsidRPr="002D5EFE">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auto"/>
            <w:hideMark/>
          </w:tcPr>
          <w:p w14:paraId="2CFC7741" w14:textId="7466A28B" w:rsidR="00101250" w:rsidRPr="002D5EFE" w:rsidRDefault="00101250" w:rsidP="007207FD">
            <w:pPr>
              <w:contextualSpacing/>
              <w:jc w:val="both"/>
            </w:pPr>
            <w:r w:rsidRPr="002D5EFE">
              <w:t>Noteikumu projektā iekļauto nosacījumu īstenošanai</w:t>
            </w:r>
            <w:r w:rsidR="00637186">
              <w:t xml:space="preserve"> Ekonomikas ministrijā</w:t>
            </w:r>
            <w:r w:rsidRPr="002D5EFE">
              <w:t xml:space="preserve"> nebūs nepieciešamas papildu amata vietas</w:t>
            </w:r>
            <w:r w:rsidR="00637186">
              <w:t>.</w:t>
            </w:r>
            <w:r w:rsidRPr="002D5EFE">
              <w:t xml:space="preserve"> </w:t>
            </w:r>
          </w:p>
        </w:tc>
      </w:tr>
      <w:tr w:rsidR="002D5EFE" w:rsidRPr="002D5EFE" w14:paraId="276932BE"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B8C80EA" w14:textId="77777777" w:rsidR="00101250" w:rsidRPr="002D5EFE" w:rsidRDefault="00101250" w:rsidP="007207FD">
            <w:pPr>
              <w:contextualSpacing/>
            </w:pPr>
            <w:r w:rsidRPr="002D5EFE">
              <w:t>8. 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auto"/>
            <w:hideMark/>
          </w:tcPr>
          <w:p w14:paraId="683A80B9" w14:textId="77777777" w:rsidR="00101250" w:rsidRPr="002D5EFE" w:rsidRDefault="00101250" w:rsidP="007207FD">
            <w:pPr>
              <w:contextualSpacing/>
            </w:pPr>
            <w:r w:rsidRPr="002D5EFE">
              <w:t>Nav.</w:t>
            </w:r>
          </w:p>
        </w:tc>
      </w:tr>
    </w:tbl>
    <w:p w14:paraId="09CC6E54" w14:textId="77777777" w:rsidR="00BD5588" w:rsidRPr="002D5EFE" w:rsidRDefault="00BD5588" w:rsidP="007207FD">
      <w:pPr>
        <w:contextualSpacing/>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BD5588" w:rsidRPr="001A2563" w14:paraId="6818809A" w14:textId="77777777" w:rsidTr="00DD4D6D">
        <w:trPr>
          <w:cantSplit/>
        </w:trPr>
        <w:tc>
          <w:tcPr>
            <w:tcW w:w="8299" w:type="dxa"/>
            <w:vAlign w:val="center"/>
            <w:hideMark/>
          </w:tcPr>
          <w:p w14:paraId="02B1550D" w14:textId="77777777" w:rsidR="00BD5588" w:rsidRPr="001A2563" w:rsidRDefault="00BD5588" w:rsidP="007207FD">
            <w:pPr>
              <w:contextualSpacing/>
              <w:jc w:val="center"/>
              <w:rPr>
                <w:b/>
                <w:bCs/>
              </w:rPr>
            </w:pPr>
            <w:r w:rsidRPr="001A2563">
              <w:rPr>
                <w:b/>
                <w:bCs/>
              </w:rPr>
              <w:t>IV. Tiesību akta projekta ietekme uz spēkā esošo tiesību normu sistēmu</w:t>
            </w:r>
          </w:p>
        </w:tc>
      </w:tr>
      <w:tr w:rsidR="00DD4D6D" w:rsidRPr="001A2563" w14:paraId="22C00B8B" w14:textId="77777777" w:rsidTr="00DD4D6D">
        <w:trPr>
          <w:cantSplit/>
        </w:trPr>
        <w:tc>
          <w:tcPr>
            <w:tcW w:w="8299" w:type="dxa"/>
            <w:vAlign w:val="center"/>
          </w:tcPr>
          <w:p w14:paraId="0F0A8C96" w14:textId="77777777" w:rsidR="00DD4D6D" w:rsidRPr="001A2563" w:rsidRDefault="00DD4D6D" w:rsidP="007207FD">
            <w:pPr>
              <w:contextualSpacing/>
              <w:jc w:val="center"/>
              <w:rPr>
                <w:bCs/>
              </w:rPr>
            </w:pPr>
            <w:r w:rsidRPr="001A2563">
              <w:rPr>
                <w:bCs/>
              </w:rPr>
              <w:t>Projekts šo jomu neskar</w:t>
            </w:r>
          </w:p>
        </w:tc>
      </w:tr>
    </w:tbl>
    <w:p w14:paraId="3C879E0D" w14:textId="77777777" w:rsidR="00BD5588" w:rsidRPr="001A2563" w:rsidRDefault="00BD5588" w:rsidP="00405EF7">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D5588" w:rsidRPr="001A2563" w14:paraId="2861C1B4" w14:textId="77777777" w:rsidTr="009E0502">
        <w:trPr>
          <w:cantSplit/>
        </w:trPr>
        <w:tc>
          <w:tcPr>
            <w:tcW w:w="5000" w:type="pct"/>
            <w:vAlign w:val="center"/>
            <w:hideMark/>
          </w:tcPr>
          <w:p w14:paraId="39C7284C" w14:textId="77777777" w:rsidR="00BD5588" w:rsidRPr="001A2563" w:rsidRDefault="00BD5588" w:rsidP="007207FD">
            <w:pPr>
              <w:contextualSpacing/>
              <w:jc w:val="center"/>
              <w:rPr>
                <w:b/>
                <w:bCs/>
              </w:rPr>
            </w:pPr>
            <w:r w:rsidRPr="001A2563">
              <w:rPr>
                <w:b/>
                <w:bCs/>
              </w:rPr>
              <w:t>V. Tiesību akta projekta atbilstība Latvijas Republikas starptautiskajām saistībām</w:t>
            </w:r>
          </w:p>
        </w:tc>
      </w:tr>
      <w:tr w:rsidR="00DD4D6D" w:rsidRPr="001A2563" w14:paraId="3F6ACCA2" w14:textId="77777777" w:rsidTr="009E0502">
        <w:trPr>
          <w:cantSplit/>
        </w:trPr>
        <w:tc>
          <w:tcPr>
            <w:tcW w:w="5000" w:type="pct"/>
            <w:vAlign w:val="center"/>
          </w:tcPr>
          <w:p w14:paraId="4950E4EA" w14:textId="77777777" w:rsidR="00DD4D6D" w:rsidRPr="001A2563" w:rsidRDefault="00DD4D6D" w:rsidP="007207FD">
            <w:pPr>
              <w:contextualSpacing/>
              <w:jc w:val="center"/>
              <w:rPr>
                <w:bCs/>
              </w:rPr>
            </w:pPr>
            <w:r w:rsidRPr="001A2563">
              <w:rPr>
                <w:bCs/>
              </w:rPr>
              <w:t>Projekts šo jomu neskar</w:t>
            </w:r>
          </w:p>
        </w:tc>
      </w:tr>
    </w:tbl>
    <w:p w14:paraId="7F3944B4" w14:textId="77777777" w:rsidR="00BD5588" w:rsidRPr="001A2563" w:rsidRDefault="00BD5588" w:rsidP="00405EF7">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1A2563" w14:paraId="50112339" w14:textId="77777777" w:rsidTr="009E0502">
        <w:trPr>
          <w:cantSplit/>
        </w:trPr>
        <w:tc>
          <w:tcPr>
            <w:tcW w:w="5000" w:type="pct"/>
            <w:gridSpan w:val="3"/>
            <w:vAlign w:val="center"/>
            <w:hideMark/>
          </w:tcPr>
          <w:p w14:paraId="530DB622" w14:textId="77777777" w:rsidR="00BD5588" w:rsidRPr="001A2563" w:rsidRDefault="00BD5588" w:rsidP="007207FD">
            <w:pPr>
              <w:contextualSpacing/>
              <w:jc w:val="center"/>
              <w:rPr>
                <w:b/>
                <w:bCs/>
              </w:rPr>
            </w:pPr>
            <w:r w:rsidRPr="001A2563">
              <w:rPr>
                <w:b/>
                <w:bCs/>
              </w:rPr>
              <w:t>VI. Sabiedrības līdzdalība un komunikācijas aktivitātes</w:t>
            </w:r>
          </w:p>
        </w:tc>
      </w:tr>
      <w:tr w:rsidR="00BD5588" w:rsidRPr="001A2563" w14:paraId="25FBED6E" w14:textId="77777777" w:rsidTr="009E0502">
        <w:trPr>
          <w:cantSplit/>
        </w:trPr>
        <w:tc>
          <w:tcPr>
            <w:tcW w:w="311" w:type="pct"/>
            <w:hideMark/>
          </w:tcPr>
          <w:p w14:paraId="3C8118A0" w14:textId="77777777" w:rsidR="00BD5588" w:rsidRPr="001A2563" w:rsidRDefault="00BD5588" w:rsidP="007207FD">
            <w:pPr>
              <w:contextualSpacing/>
              <w:jc w:val="center"/>
            </w:pPr>
            <w:r w:rsidRPr="001A2563">
              <w:t>1.</w:t>
            </w:r>
          </w:p>
        </w:tc>
        <w:tc>
          <w:tcPr>
            <w:tcW w:w="1479" w:type="pct"/>
            <w:hideMark/>
          </w:tcPr>
          <w:p w14:paraId="3F9A8093" w14:textId="77777777" w:rsidR="00BD5588" w:rsidRPr="001A2563" w:rsidRDefault="00BD5588" w:rsidP="007207FD">
            <w:pPr>
              <w:contextualSpacing/>
            </w:pPr>
            <w:r w:rsidRPr="001A2563">
              <w:t>Plānotās sabiedrības līdzdalības un komunikācijas aktivitātes saistībā ar projektu</w:t>
            </w:r>
          </w:p>
        </w:tc>
        <w:tc>
          <w:tcPr>
            <w:tcW w:w="3210" w:type="pct"/>
            <w:hideMark/>
          </w:tcPr>
          <w:p w14:paraId="25436810" w14:textId="77777777" w:rsidR="00BD5588" w:rsidRPr="001A2563" w:rsidRDefault="00CB7ABA" w:rsidP="007207FD">
            <w:pPr>
              <w:contextualSpacing/>
            </w:pPr>
            <w:r w:rsidRPr="001A2563">
              <w:t>Pēc projekta apstiprināšanas Ministrijas tīmekļa vietnē tiks publicēta informācija par grozījumu būtību.</w:t>
            </w:r>
          </w:p>
        </w:tc>
      </w:tr>
      <w:tr w:rsidR="00BD5588" w:rsidRPr="001A2563" w14:paraId="6AA44C09" w14:textId="77777777" w:rsidTr="009E0502">
        <w:trPr>
          <w:cantSplit/>
        </w:trPr>
        <w:tc>
          <w:tcPr>
            <w:tcW w:w="311" w:type="pct"/>
            <w:hideMark/>
          </w:tcPr>
          <w:p w14:paraId="4CD0509A" w14:textId="77777777" w:rsidR="00BD5588" w:rsidRPr="001A2563" w:rsidRDefault="00BD5588" w:rsidP="007207FD">
            <w:pPr>
              <w:contextualSpacing/>
              <w:jc w:val="center"/>
            </w:pPr>
            <w:r w:rsidRPr="001A2563">
              <w:t>2.</w:t>
            </w:r>
          </w:p>
        </w:tc>
        <w:tc>
          <w:tcPr>
            <w:tcW w:w="1479" w:type="pct"/>
            <w:hideMark/>
          </w:tcPr>
          <w:p w14:paraId="6EB11443" w14:textId="77777777" w:rsidR="00BD5588" w:rsidRPr="001A2563" w:rsidRDefault="00BD5588" w:rsidP="007207FD">
            <w:pPr>
              <w:contextualSpacing/>
            </w:pPr>
            <w:r w:rsidRPr="001A2563">
              <w:t>Sabiedrības līdzdalība projekta izstrādē</w:t>
            </w:r>
          </w:p>
        </w:tc>
        <w:tc>
          <w:tcPr>
            <w:tcW w:w="3210" w:type="pct"/>
            <w:hideMark/>
          </w:tcPr>
          <w:p w14:paraId="1A6332E5" w14:textId="262E1B28" w:rsidR="00BD5588" w:rsidRPr="001A2563" w:rsidRDefault="00F46CA7" w:rsidP="007207FD">
            <w:pPr>
              <w:contextualSpacing/>
            </w:pPr>
            <w:r>
              <w:t>Noteikumu projekts tika publicēts Ekonomikas ministrijas tīmekļa vietnē sabiedriskajai apspriešanai. Iebildumi vai priekšlikumi netika saņemti.</w:t>
            </w:r>
          </w:p>
        </w:tc>
      </w:tr>
      <w:tr w:rsidR="00BD5588" w:rsidRPr="001A2563" w14:paraId="184EFDF4" w14:textId="77777777" w:rsidTr="009E0502">
        <w:trPr>
          <w:cantSplit/>
        </w:trPr>
        <w:tc>
          <w:tcPr>
            <w:tcW w:w="311" w:type="pct"/>
            <w:hideMark/>
          </w:tcPr>
          <w:p w14:paraId="3C05F519" w14:textId="77777777" w:rsidR="00BD5588" w:rsidRPr="001A2563" w:rsidRDefault="00BD5588" w:rsidP="007207FD">
            <w:pPr>
              <w:contextualSpacing/>
              <w:jc w:val="center"/>
            </w:pPr>
            <w:r w:rsidRPr="001A2563">
              <w:t>3.</w:t>
            </w:r>
          </w:p>
        </w:tc>
        <w:tc>
          <w:tcPr>
            <w:tcW w:w="1479" w:type="pct"/>
            <w:hideMark/>
          </w:tcPr>
          <w:p w14:paraId="4B989546" w14:textId="77777777" w:rsidR="00BD5588" w:rsidRPr="001A2563" w:rsidRDefault="00BD5588" w:rsidP="007207FD">
            <w:pPr>
              <w:contextualSpacing/>
            </w:pPr>
            <w:r w:rsidRPr="001A2563">
              <w:t>Sabiedrības līdzdalības rezultāti</w:t>
            </w:r>
          </w:p>
        </w:tc>
        <w:tc>
          <w:tcPr>
            <w:tcW w:w="3210" w:type="pct"/>
            <w:hideMark/>
          </w:tcPr>
          <w:p w14:paraId="37A38C6D" w14:textId="33EA0CF6" w:rsidR="00BD5588" w:rsidRPr="001A2563" w:rsidRDefault="00F46CA7" w:rsidP="007207FD">
            <w:pPr>
              <w:contextualSpacing/>
            </w:pPr>
            <w:r>
              <w:t xml:space="preserve">Projekta izstrādē tika ņemta vērā informācija, kas tika saņemta no </w:t>
            </w:r>
            <w:r w:rsidR="00101250" w:rsidRPr="001A2563">
              <w:t>inženierkonsultantiem un energoauditoriem</w:t>
            </w:r>
            <w:r w:rsidR="00101250">
              <w:t xml:space="preserve"> </w:t>
            </w:r>
            <w:r w:rsidR="00E72E4D">
              <w:t>par praksē konstatētajām problēmām.</w:t>
            </w:r>
          </w:p>
        </w:tc>
      </w:tr>
      <w:tr w:rsidR="00BD5588" w:rsidRPr="001A2563" w14:paraId="435F46B7" w14:textId="77777777" w:rsidTr="009E0502">
        <w:trPr>
          <w:cantSplit/>
        </w:trPr>
        <w:tc>
          <w:tcPr>
            <w:tcW w:w="311" w:type="pct"/>
            <w:hideMark/>
          </w:tcPr>
          <w:p w14:paraId="297130A4" w14:textId="77777777" w:rsidR="00BD5588" w:rsidRPr="001A2563" w:rsidRDefault="00BD5588" w:rsidP="007207FD">
            <w:pPr>
              <w:contextualSpacing/>
              <w:jc w:val="center"/>
            </w:pPr>
            <w:r w:rsidRPr="001A2563">
              <w:t>4.</w:t>
            </w:r>
          </w:p>
        </w:tc>
        <w:tc>
          <w:tcPr>
            <w:tcW w:w="1479" w:type="pct"/>
            <w:hideMark/>
          </w:tcPr>
          <w:p w14:paraId="7663C37D" w14:textId="77777777" w:rsidR="00BD5588" w:rsidRPr="001A2563" w:rsidRDefault="00BD5588" w:rsidP="007207FD">
            <w:pPr>
              <w:contextualSpacing/>
            </w:pPr>
            <w:r w:rsidRPr="001A2563">
              <w:t>Cita informācija</w:t>
            </w:r>
          </w:p>
        </w:tc>
        <w:tc>
          <w:tcPr>
            <w:tcW w:w="3210" w:type="pct"/>
            <w:hideMark/>
          </w:tcPr>
          <w:p w14:paraId="6C4F904A" w14:textId="77777777" w:rsidR="00BD5588" w:rsidRPr="001A2563" w:rsidRDefault="00CB7ABA" w:rsidP="007207FD">
            <w:pPr>
              <w:contextualSpacing/>
            </w:pPr>
            <w:r w:rsidRPr="001A2563">
              <w:t>Nav</w:t>
            </w:r>
          </w:p>
        </w:tc>
      </w:tr>
    </w:tbl>
    <w:p w14:paraId="3928C09C" w14:textId="77777777" w:rsidR="00BD5588" w:rsidRPr="001A2563" w:rsidRDefault="00BD5588" w:rsidP="00E55EB6">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1A2563" w14:paraId="0C348154" w14:textId="77777777" w:rsidTr="009E0502">
        <w:trPr>
          <w:cantSplit/>
        </w:trPr>
        <w:tc>
          <w:tcPr>
            <w:tcW w:w="5000" w:type="pct"/>
            <w:gridSpan w:val="3"/>
            <w:vAlign w:val="center"/>
            <w:hideMark/>
          </w:tcPr>
          <w:p w14:paraId="6B71EA40" w14:textId="77777777" w:rsidR="00BD5588" w:rsidRPr="001A2563" w:rsidRDefault="00BD5588" w:rsidP="007207FD">
            <w:pPr>
              <w:contextualSpacing/>
              <w:jc w:val="center"/>
              <w:rPr>
                <w:b/>
                <w:bCs/>
              </w:rPr>
            </w:pPr>
            <w:r w:rsidRPr="001A2563">
              <w:rPr>
                <w:b/>
                <w:bCs/>
              </w:rPr>
              <w:t>VII. Tiesību akta projekta izpildes nodrošināšana un tās ietekme uz institūcijām</w:t>
            </w:r>
          </w:p>
        </w:tc>
      </w:tr>
      <w:tr w:rsidR="00BD5588" w:rsidRPr="001A2563" w14:paraId="3680ADCA" w14:textId="77777777" w:rsidTr="009E0502">
        <w:trPr>
          <w:cantSplit/>
        </w:trPr>
        <w:tc>
          <w:tcPr>
            <w:tcW w:w="311" w:type="pct"/>
            <w:hideMark/>
          </w:tcPr>
          <w:p w14:paraId="55523288" w14:textId="77777777" w:rsidR="00BD5588" w:rsidRPr="001A2563" w:rsidRDefault="00BD5588" w:rsidP="007207FD">
            <w:pPr>
              <w:contextualSpacing/>
              <w:jc w:val="center"/>
            </w:pPr>
            <w:r w:rsidRPr="001A2563">
              <w:t>1.</w:t>
            </w:r>
          </w:p>
        </w:tc>
        <w:tc>
          <w:tcPr>
            <w:tcW w:w="1479" w:type="pct"/>
            <w:hideMark/>
          </w:tcPr>
          <w:p w14:paraId="4D695C07" w14:textId="77777777" w:rsidR="00BD5588" w:rsidRPr="001A2563" w:rsidRDefault="00BD5588" w:rsidP="007207FD">
            <w:pPr>
              <w:contextualSpacing/>
            </w:pPr>
            <w:r w:rsidRPr="001A2563">
              <w:t>Projekta izpildē iesaistītās institūcijas</w:t>
            </w:r>
          </w:p>
        </w:tc>
        <w:tc>
          <w:tcPr>
            <w:tcW w:w="3210" w:type="pct"/>
            <w:hideMark/>
          </w:tcPr>
          <w:p w14:paraId="5DFC6377" w14:textId="20769C0B" w:rsidR="00BD5588" w:rsidRPr="001A2563" w:rsidRDefault="00CB7ABA" w:rsidP="007207FD">
            <w:pPr>
              <w:contextualSpacing/>
            </w:pPr>
            <w:r w:rsidRPr="001A2563">
              <w:t>Ekonomikas ministrija</w:t>
            </w:r>
            <w:bookmarkStart w:id="1" w:name="_GoBack"/>
            <w:bookmarkEnd w:id="1"/>
          </w:p>
        </w:tc>
      </w:tr>
      <w:tr w:rsidR="00BD5588" w:rsidRPr="001A2563" w14:paraId="121D590F" w14:textId="77777777" w:rsidTr="009E0502">
        <w:trPr>
          <w:cantSplit/>
        </w:trPr>
        <w:tc>
          <w:tcPr>
            <w:tcW w:w="311" w:type="pct"/>
            <w:hideMark/>
          </w:tcPr>
          <w:p w14:paraId="0197E4E5" w14:textId="77777777" w:rsidR="00BD5588" w:rsidRPr="001A2563" w:rsidRDefault="00BD5588" w:rsidP="007207FD">
            <w:pPr>
              <w:contextualSpacing/>
              <w:jc w:val="center"/>
            </w:pPr>
            <w:r w:rsidRPr="001A2563">
              <w:lastRenderedPageBreak/>
              <w:t>2.</w:t>
            </w:r>
          </w:p>
        </w:tc>
        <w:tc>
          <w:tcPr>
            <w:tcW w:w="1479" w:type="pct"/>
            <w:hideMark/>
          </w:tcPr>
          <w:p w14:paraId="3B34D5BF" w14:textId="77777777" w:rsidR="00BD5588" w:rsidRPr="001A2563" w:rsidRDefault="00BD5588" w:rsidP="007207FD">
            <w:pPr>
              <w:contextualSpacing/>
            </w:pPr>
            <w:r w:rsidRPr="001A2563">
              <w:t>Projekta izpildes ietekme uz pārvaldes funkcijām un institucionālo struktūru.</w:t>
            </w:r>
            <w:r w:rsidRPr="001A2563">
              <w:br/>
              <w:t>Jaunu institūciju izveide, esošu institūciju likvidācija vai reorganizācija, to ietekme uz institūcijas cilvēkresursiem</w:t>
            </w:r>
          </w:p>
        </w:tc>
        <w:tc>
          <w:tcPr>
            <w:tcW w:w="3210" w:type="pct"/>
            <w:hideMark/>
          </w:tcPr>
          <w:p w14:paraId="0823D3DE" w14:textId="77777777" w:rsidR="00BD5588" w:rsidRDefault="001A2563" w:rsidP="007207FD">
            <w:pPr>
              <w:contextualSpacing/>
              <w:jc w:val="both"/>
            </w:pPr>
            <w:r w:rsidRPr="001A2563">
              <w:t>Jaunas institūcijas netiek veidotas, kā arī nav paredzēta esošo institūciju likvidācija vai reorganizācija.</w:t>
            </w:r>
          </w:p>
          <w:p w14:paraId="6183A352" w14:textId="77777777" w:rsidR="000D6C67" w:rsidRPr="001A2563" w:rsidRDefault="000D6C67" w:rsidP="007207FD">
            <w:pPr>
              <w:contextualSpacing/>
              <w:jc w:val="both"/>
            </w:pPr>
            <w:r w:rsidRPr="000D6C67">
              <w:t>Noteikumu projekts tiks realizēts esošo cilvēkresursu ietvaros.</w:t>
            </w:r>
          </w:p>
        </w:tc>
      </w:tr>
      <w:tr w:rsidR="00BD5588" w:rsidRPr="001A2563" w14:paraId="6B306877" w14:textId="77777777" w:rsidTr="009E0502">
        <w:trPr>
          <w:cantSplit/>
        </w:trPr>
        <w:tc>
          <w:tcPr>
            <w:tcW w:w="311" w:type="pct"/>
            <w:hideMark/>
          </w:tcPr>
          <w:p w14:paraId="0AEE46E1" w14:textId="77777777" w:rsidR="00BD5588" w:rsidRPr="001A2563" w:rsidRDefault="00BD5588" w:rsidP="007207FD">
            <w:pPr>
              <w:contextualSpacing/>
              <w:jc w:val="center"/>
            </w:pPr>
            <w:r w:rsidRPr="001A2563">
              <w:t>3.</w:t>
            </w:r>
          </w:p>
        </w:tc>
        <w:tc>
          <w:tcPr>
            <w:tcW w:w="1479" w:type="pct"/>
            <w:hideMark/>
          </w:tcPr>
          <w:p w14:paraId="7221E294" w14:textId="77777777" w:rsidR="00BD5588" w:rsidRPr="001A2563" w:rsidRDefault="00BD5588" w:rsidP="007207FD">
            <w:pPr>
              <w:contextualSpacing/>
            </w:pPr>
            <w:r w:rsidRPr="001A2563">
              <w:t>Cita informācija</w:t>
            </w:r>
          </w:p>
        </w:tc>
        <w:tc>
          <w:tcPr>
            <w:tcW w:w="3210" w:type="pct"/>
            <w:hideMark/>
          </w:tcPr>
          <w:p w14:paraId="18FE347D" w14:textId="77777777" w:rsidR="00BD5588" w:rsidRPr="001A2563" w:rsidRDefault="00BD5588" w:rsidP="007207FD">
            <w:pPr>
              <w:contextualSpacing/>
            </w:pPr>
            <w:r w:rsidRPr="001A2563">
              <w:t>Nav</w:t>
            </w:r>
          </w:p>
        </w:tc>
      </w:tr>
    </w:tbl>
    <w:p w14:paraId="3B247AE4" w14:textId="77777777" w:rsidR="00E44472" w:rsidRDefault="00E44472" w:rsidP="007207FD">
      <w:pPr>
        <w:contextualSpacing/>
      </w:pPr>
    </w:p>
    <w:p w14:paraId="018B58C5" w14:textId="77777777" w:rsidR="001A2563" w:rsidRDefault="001A2563" w:rsidP="007207FD">
      <w:pPr>
        <w:contextualSpacing/>
      </w:pPr>
    </w:p>
    <w:p w14:paraId="59D92C2C" w14:textId="77777777" w:rsidR="001A2563" w:rsidRPr="005154DA" w:rsidRDefault="001A2563" w:rsidP="007207FD">
      <w:pPr>
        <w:contextualSpacing/>
        <w:rPr>
          <w:bCs/>
          <w:szCs w:val="28"/>
        </w:rPr>
      </w:pPr>
      <w:r w:rsidRPr="005154DA">
        <w:rPr>
          <w:bCs/>
          <w:szCs w:val="28"/>
        </w:rPr>
        <w:t>Iesniedzējs:</w:t>
      </w:r>
    </w:p>
    <w:p w14:paraId="7B806D12" w14:textId="77777777" w:rsidR="001A2563" w:rsidRPr="005154DA" w:rsidRDefault="001A2563" w:rsidP="007207FD">
      <w:pPr>
        <w:contextualSpacing/>
        <w:rPr>
          <w:bCs/>
          <w:szCs w:val="28"/>
        </w:rPr>
      </w:pPr>
      <w:r w:rsidRPr="005154DA">
        <w:rPr>
          <w:bCs/>
          <w:szCs w:val="28"/>
        </w:rPr>
        <w:t>Ministru prezidenta biedrs,</w:t>
      </w:r>
    </w:p>
    <w:p w14:paraId="08E55616" w14:textId="513172F0" w:rsidR="001A2563" w:rsidRPr="005154DA" w:rsidRDefault="001A2563" w:rsidP="00D956E6">
      <w:pPr>
        <w:tabs>
          <w:tab w:val="left" w:pos="6804"/>
        </w:tabs>
        <w:contextualSpacing/>
        <w:rPr>
          <w:bCs/>
          <w:szCs w:val="28"/>
        </w:rPr>
      </w:pPr>
      <w:r w:rsidRPr="005154DA">
        <w:rPr>
          <w:bCs/>
          <w:szCs w:val="28"/>
        </w:rPr>
        <w:t>ek</w:t>
      </w:r>
      <w:r>
        <w:rPr>
          <w:bCs/>
          <w:szCs w:val="28"/>
        </w:rPr>
        <w:t xml:space="preserve">onomikas ministrs </w:t>
      </w:r>
      <w:r>
        <w:rPr>
          <w:bCs/>
          <w:szCs w:val="28"/>
        </w:rPr>
        <w:tab/>
      </w:r>
      <w:r w:rsidRPr="005154DA">
        <w:rPr>
          <w:bCs/>
          <w:szCs w:val="28"/>
        </w:rPr>
        <w:t>A</w:t>
      </w:r>
      <w:r w:rsidR="00312CBC">
        <w:rPr>
          <w:bCs/>
          <w:szCs w:val="28"/>
        </w:rPr>
        <w:t xml:space="preserve">rvils </w:t>
      </w:r>
      <w:r w:rsidRPr="005154DA">
        <w:rPr>
          <w:bCs/>
          <w:szCs w:val="28"/>
        </w:rPr>
        <w:t>Ašeradens</w:t>
      </w:r>
    </w:p>
    <w:p w14:paraId="612437EC" w14:textId="77777777" w:rsidR="001A2563" w:rsidRDefault="001A2563" w:rsidP="00D956E6">
      <w:pPr>
        <w:tabs>
          <w:tab w:val="left" w:pos="916"/>
          <w:tab w:val="left" w:pos="1832"/>
          <w:tab w:val="left" w:pos="2748"/>
          <w:tab w:val="left" w:pos="3664"/>
          <w:tab w:val="left" w:pos="4580"/>
          <w:tab w:val="left" w:pos="5496"/>
          <w:tab w:val="left" w:pos="6412"/>
          <w:tab w:val="left" w:pos="6521"/>
          <w:tab w:val="left" w:pos="6804"/>
          <w:tab w:val="left" w:pos="7328"/>
          <w:tab w:val="left" w:pos="8244"/>
          <w:tab w:val="left" w:pos="9160"/>
          <w:tab w:val="left" w:pos="10076"/>
          <w:tab w:val="left" w:pos="10992"/>
          <w:tab w:val="left" w:pos="11908"/>
          <w:tab w:val="left" w:pos="12824"/>
          <w:tab w:val="left" w:pos="13740"/>
          <w:tab w:val="left" w:pos="14656"/>
        </w:tabs>
        <w:contextualSpacing/>
        <w:rPr>
          <w:bCs/>
          <w:szCs w:val="28"/>
        </w:rPr>
      </w:pPr>
    </w:p>
    <w:p w14:paraId="45823FD6" w14:textId="77777777" w:rsidR="00FD1399" w:rsidRPr="005154DA" w:rsidRDefault="00FD1399" w:rsidP="00D956E6">
      <w:pPr>
        <w:tabs>
          <w:tab w:val="left" w:pos="916"/>
          <w:tab w:val="left" w:pos="1832"/>
          <w:tab w:val="left" w:pos="2748"/>
          <w:tab w:val="left" w:pos="3664"/>
          <w:tab w:val="left" w:pos="4580"/>
          <w:tab w:val="left" w:pos="5496"/>
          <w:tab w:val="left" w:pos="6412"/>
          <w:tab w:val="left" w:pos="6521"/>
          <w:tab w:val="left" w:pos="6804"/>
          <w:tab w:val="left" w:pos="7328"/>
          <w:tab w:val="left" w:pos="8244"/>
          <w:tab w:val="left" w:pos="9160"/>
          <w:tab w:val="left" w:pos="10076"/>
          <w:tab w:val="left" w:pos="10992"/>
          <w:tab w:val="left" w:pos="11908"/>
          <w:tab w:val="left" w:pos="12824"/>
          <w:tab w:val="left" w:pos="13740"/>
          <w:tab w:val="left" w:pos="14656"/>
        </w:tabs>
        <w:contextualSpacing/>
        <w:rPr>
          <w:bCs/>
          <w:szCs w:val="28"/>
        </w:rPr>
      </w:pPr>
    </w:p>
    <w:p w14:paraId="30D7CC2F" w14:textId="77777777" w:rsidR="00A57A50" w:rsidRDefault="001A2563" w:rsidP="00D956E6">
      <w:pPr>
        <w:tabs>
          <w:tab w:val="left" w:pos="916"/>
          <w:tab w:val="left" w:pos="1832"/>
          <w:tab w:val="left" w:pos="2748"/>
          <w:tab w:val="left" w:pos="3664"/>
          <w:tab w:val="left" w:pos="4580"/>
          <w:tab w:val="left" w:pos="5496"/>
          <w:tab w:val="left" w:pos="6412"/>
          <w:tab w:val="left" w:pos="6521"/>
          <w:tab w:val="left" w:pos="6804"/>
          <w:tab w:val="left" w:pos="7328"/>
          <w:tab w:val="left" w:pos="8244"/>
          <w:tab w:val="left" w:pos="9160"/>
          <w:tab w:val="left" w:pos="10076"/>
          <w:tab w:val="left" w:pos="10992"/>
          <w:tab w:val="left" w:pos="11908"/>
          <w:tab w:val="left" w:pos="12824"/>
          <w:tab w:val="left" w:pos="13740"/>
          <w:tab w:val="left" w:pos="14656"/>
        </w:tabs>
        <w:contextualSpacing/>
        <w:rPr>
          <w:bCs/>
          <w:szCs w:val="28"/>
        </w:rPr>
      </w:pPr>
      <w:r>
        <w:rPr>
          <w:bCs/>
          <w:szCs w:val="28"/>
        </w:rPr>
        <w:t>Vīza:</w:t>
      </w:r>
    </w:p>
    <w:p w14:paraId="61C0FFF0" w14:textId="711338B3" w:rsidR="001A2563" w:rsidRDefault="001A2563" w:rsidP="00D956E6">
      <w:pPr>
        <w:tabs>
          <w:tab w:val="left" w:pos="6804"/>
        </w:tabs>
        <w:contextualSpacing/>
        <w:rPr>
          <w:szCs w:val="28"/>
        </w:rPr>
      </w:pPr>
      <w:r w:rsidRPr="005154DA">
        <w:rPr>
          <w:szCs w:val="28"/>
        </w:rPr>
        <w:t>Valsts sekretārs</w:t>
      </w:r>
      <w:r w:rsidR="00D956E6">
        <w:rPr>
          <w:szCs w:val="28"/>
        </w:rPr>
        <w:tab/>
      </w:r>
      <w:r w:rsidRPr="005154DA">
        <w:rPr>
          <w:szCs w:val="28"/>
        </w:rPr>
        <w:t>Ē</w:t>
      </w:r>
      <w:r w:rsidR="00312CBC">
        <w:rPr>
          <w:szCs w:val="28"/>
        </w:rPr>
        <w:t xml:space="preserve">riks </w:t>
      </w:r>
      <w:r w:rsidRPr="005154DA">
        <w:rPr>
          <w:szCs w:val="28"/>
        </w:rPr>
        <w:t>Eglītis</w:t>
      </w:r>
      <w:bookmarkStart w:id="2" w:name="OLE_LINK1"/>
      <w:bookmarkStart w:id="3" w:name="OLE_LINK2"/>
      <w:bookmarkStart w:id="4" w:name="OLE_LINK3"/>
      <w:bookmarkStart w:id="5" w:name="OLE_LINK4"/>
      <w:bookmarkEnd w:id="2"/>
      <w:bookmarkEnd w:id="3"/>
      <w:bookmarkEnd w:id="4"/>
      <w:bookmarkEnd w:id="5"/>
    </w:p>
    <w:p w14:paraId="4427845C" w14:textId="77777777" w:rsidR="0009498B" w:rsidRDefault="0009498B" w:rsidP="00D956E6">
      <w:pPr>
        <w:tabs>
          <w:tab w:val="left" w:pos="6804"/>
        </w:tabs>
        <w:contextualSpacing/>
        <w:rPr>
          <w:sz w:val="20"/>
          <w:szCs w:val="20"/>
        </w:rPr>
      </w:pPr>
    </w:p>
    <w:p w14:paraId="3B0DA606" w14:textId="77777777" w:rsidR="0009498B" w:rsidRDefault="0009498B" w:rsidP="00D956E6">
      <w:pPr>
        <w:tabs>
          <w:tab w:val="left" w:pos="6804"/>
        </w:tabs>
        <w:contextualSpacing/>
        <w:rPr>
          <w:sz w:val="20"/>
          <w:szCs w:val="20"/>
        </w:rPr>
      </w:pPr>
    </w:p>
    <w:p w14:paraId="15A6FD8A" w14:textId="77777777" w:rsidR="00CF3579" w:rsidRDefault="00CF3579" w:rsidP="00D956E6">
      <w:pPr>
        <w:tabs>
          <w:tab w:val="left" w:pos="6804"/>
        </w:tabs>
        <w:contextualSpacing/>
        <w:rPr>
          <w:sz w:val="20"/>
          <w:szCs w:val="20"/>
        </w:rPr>
      </w:pPr>
    </w:p>
    <w:p w14:paraId="425943F1" w14:textId="77777777" w:rsidR="00CF3579" w:rsidRPr="00CF3579" w:rsidRDefault="00CF3579" w:rsidP="00CF3579">
      <w:pPr>
        <w:tabs>
          <w:tab w:val="left" w:pos="6804"/>
        </w:tabs>
        <w:contextualSpacing/>
        <w:rPr>
          <w:sz w:val="20"/>
          <w:szCs w:val="20"/>
        </w:rPr>
      </w:pPr>
      <w:r>
        <w:rPr>
          <w:sz w:val="20"/>
          <w:szCs w:val="20"/>
        </w:rPr>
        <w:t>O</w:t>
      </w:r>
      <w:r w:rsidRPr="00CF3579">
        <w:rPr>
          <w:sz w:val="20"/>
          <w:szCs w:val="20"/>
        </w:rPr>
        <w:t>zoli</w:t>
      </w:r>
      <w:r>
        <w:rPr>
          <w:sz w:val="20"/>
          <w:szCs w:val="20"/>
        </w:rPr>
        <w:t>ņ</w:t>
      </w:r>
      <w:r w:rsidRPr="00CF3579">
        <w:rPr>
          <w:sz w:val="20"/>
          <w:szCs w:val="20"/>
        </w:rPr>
        <w:t xml:space="preserve">a, </w:t>
      </w:r>
      <w:r w:rsidR="00D32D60" w:rsidRPr="00D32D60">
        <w:rPr>
          <w:sz w:val="20"/>
          <w:szCs w:val="20"/>
        </w:rPr>
        <w:t>67013175</w:t>
      </w:r>
    </w:p>
    <w:p w14:paraId="75903FDA" w14:textId="77777777" w:rsidR="00CF3579" w:rsidRPr="005154DA" w:rsidRDefault="003E0A6B" w:rsidP="00CF3579">
      <w:pPr>
        <w:tabs>
          <w:tab w:val="left" w:pos="6804"/>
        </w:tabs>
        <w:contextualSpacing/>
        <w:rPr>
          <w:sz w:val="20"/>
          <w:szCs w:val="20"/>
        </w:rPr>
      </w:pPr>
      <w:hyperlink r:id="rId8" w:history="1">
        <w:r w:rsidR="00F05EE7" w:rsidRPr="0006098A">
          <w:rPr>
            <w:rStyle w:val="Hyperlink"/>
            <w:sz w:val="20"/>
            <w:szCs w:val="20"/>
          </w:rPr>
          <w:t>inguna.ozolina@em.gov.lv</w:t>
        </w:r>
      </w:hyperlink>
    </w:p>
    <w:sectPr w:rsidR="00CF3579" w:rsidRPr="005154DA" w:rsidSect="00B5509D">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8A401" w14:textId="77777777" w:rsidR="002E3469" w:rsidRDefault="002E3469" w:rsidP="004A2CC7">
      <w:r>
        <w:separator/>
      </w:r>
    </w:p>
  </w:endnote>
  <w:endnote w:type="continuationSeparator" w:id="0">
    <w:p w14:paraId="6BE3B89D" w14:textId="77777777" w:rsidR="002E3469" w:rsidRDefault="002E3469" w:rsidP="004A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4C6C" w14:textId="06139F63" w:rsidR="004A2CC7" w:rsidRPr="004A2CC7" w:rsidRDefault="004A2CC7">
    <w:pPr>
      <w:pStyle w:val="Footer"/>
      <w:rPr>
        <w:sz w:val="20"/>
        <w:szCs w:val="20"/>
      </w:rPr>
    </w:pPr>
    <w:r w:rsidRPr="004A2CC7">
      <w:rPr>
        <w:sz w:val="20"/>
        <w:szCs w:val="20"/>
      </w:rPr>
      <w:t>EMAnot_</w:t>
    </w:r>
    <w:r w:rsidR="0004314D">
      <w:rPr>
        <w:sz w:val="20"/>
        <w:szCs w:val="20"/>
      </w:rPr>
      <w:t>23</w:t>
    </w:r>
    <w:r w:rsidR="005C4CE2">
      <w:rPr>
        <w:sz w:val="20"/>
        <w:szCs w:val="20"/>
      </w:rPr>
      <w:t>11</w:t>
    </w:r>
    <w:r w:rsidRPr="004A2CC7">
      <w:rPr>
        <w:sz w:val="20"/>
        <w:szCs w:val="20"/>
      </w:rPr>
      <w:t>18_Groz668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B8045" w14:textId="77777777" w:rsidR="002E3469" w:rsidRDefault="002E3469" w:rsidP="004A2CC7">
      <w:r>
        <w:separator/>
      </w:r>
    </w:p>
  </w:footnote>
  <w:footnote w:type="continuationSeparator" w:id="0">
    <w:p w14:paraId="208D3948" w14:textId="77777777" w:rsidR="002E3469" w:rsidRDefault="002E3469" w:rsidP="004A2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7E0"/>
    <w:multiLevelType w:val="hybridMultilevel"/>
    <w:tmpl w:val="244AB874"/>
    <w:lvl w:ilvl="0" w:tplc="A22C2190">
      <w:start w:val="1"/>
      <w:numFmt w:val="bullet"/>
      <w:lvlText w:val="-"/>
      <w:lvlJc w:val="left"/>
      <w:pPr>
        <w:ind w:left="720" w:hanging="360"/>
      </w:pPr>
      <w:rPr>
        <w:rFonts w:ascii="Times New Roman" w:hAnsi="Times New Roman" w:cs="Times New Roman" w:hint="default"/>
      </w:rPr>
    </w:lvl>
    <w:lvl w:ilvl="1" w:tplc="E8C67F46" w:tentative="1">
      <w:start w:val="1"/>
      <w:numFmt w:val="bullet"/>
      <w:lvlText w:val="o"/>
      <w:lvlJc w:val="left"/>
      <w:pPr>
        <w:ind w:left="1440" w:hanging="360"/>
      </w:pPr>
      <w:rPr>
        <w:rFonts w:ascii="Courier New" w:hAnsi="Courier New" w:cs="Courier New" w:hint="default"/>
      </w:rPr>
    </w:lvl>
    <w:lvl w:ilvl="2" w:tplc="28A24C66" w:tentative="1">
      <w:start w:val="1"/>
      <w:numFmt w:val="bullet"/>
      <w:lvlText w:val=""/>
      <w:lvlJc w:val="left"/>
      <w:pPr>
        <w:ind w:left="2160" w:hanging="360"/>
      </w:pPr>
      <w:rPr>
        <w:rFonts w:ascii="Wingdings" w:hAnsi="Wingdings" w:hint="default"/>
      </w:rPr>
    </w:lvl>
    <w:lvl w:ilvl="3" w:tplc="431C1492" w:tentative="1">
      <w:start w:val="1"/>
      <w:numFmt w:val="bullet"/>
      <w:lvlText w:val=""/>
      <w:lvlJc w:val="left"/>
      <w:pPr>
        <w:ind w:left="2880" w:hanging="360"/>
      </w:pPr>
      <w:rPr>
        <w:rFonts w:ascii="Symbol" w:hAnsi="Symbol" w:hint="default"/>
      </w:rPr>
    </w:lvl>
    <w:lvl w:ilvl="4" w:tplc="9124B038" w:tentative="1">
      <w:start w:val="1"/>
      <w:numFmt w:val="bullet"/>
      <w:lvlText w:val="o"/>
      <w:lvlJc w:val="left"/>
      <w:pPr>
        <w:ind w:left="3600" w:hanging="360"/>
      </w:pPr>
      <w:rPr>
        <w:rFonts w:ascii="Courier New" w:hAnsi="Courier New" w:cs="Courier New" w:hint="default"/>
      </w:rPr>
    </w:lvl>
    <w:lvl w:ilvl="5" w:tplc="BF9683CE" w:tentative="1">
      <w:start w:val="1"/>
      <w:numFmt w:val="bullet"/>
      <w:lvlText w:val=""/>
      <w:lvlJc w:val="left"/>
      <w:pPr>
        <w:ind w:left="4320" w:hanging="360"/>
      </w:pPr>
      <w:rPr>
        <w:rFonts w:ascii="Wingdings" w:hAnsi="Wingdings" w:hint="default"/>
      </w:rPr>
    </w:lvl>
    <w:lvl w:ilvl="6" w:tplc="01BE12CA" w:tentative="1">
      <w:start w:val="1"/>
      <w:numFmt w:val="bullet"/>
      <w:lvlText w:val=""/>
      <w:lvlJc w:val="left"/>
      <w:pPr>
        <w:ind w:left="5040" w:hanging="360"/>
      </w:pPr>
      <w:rPr>
        <w:rFonts w:ascii="Symbol" w:hAnsi="Symbol" w:hint="default"/>
      </w:rPr>
    </w:lvl>
    <w:lvl w:ilvl="7" w:tplc="472E0B18" w:tentative="1">
      <w:start w:val="1"/>
      <w:numFmt w:val="bullet"/>
      <w:lvlText w:val="o"/>
      <w:lvlJc w:val="left"/>
      <w:pPr>
        <w:ind w:left="5760" w:hanging="360"/>
      </w:pPr>
      <w:rPr>
        <w:rFonts w:ascii="Courier New" w:hAnsi="Courier New" w:cs="Courier New" w:hint="default"/>
      </w:rPr>
    </w:lvl>
    <w:lvl w:ilvl="8" w:tplc="01905C1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059C"/>
    <w:rsid w:val="0004314D"/>
    <w:rsid w:val="00090F85"/>
    <w:rsid w:val="0009498B"/>
    <w:rsid w:val="000D6C67"/>
    <w:rsid w:val="000D7B99"/>
    <w:rsid w:val="00101250"/>
    <w:rsid w:val="00183F4C"/>
    <w:rsid w:val="00197053"/>
    <w:rsid w:val="001A2563"/>
    <w:rsid w:val="0026731A"/>
    <w:rsid w:val="002C7D10"/>
    <w:rsid w:val="002D5EFE"/>
    <w:rsid w:val="002E3469"/>
    <w:rsid w:val="00312CBC"/>
    <w:rsid w:val="00380894"/>
    <w:rsid w:val="003B0E97"/>
    <w:rsid w:val="003C1196"/>
    <w:rsid w:val="00405EF7"/>
    <w:rsid w:val="00415A0F"/>
    <w:rsid w:val="004A2CC7"/>
    <w:rsid w:val="004F5405"/>
    <w:rsid w:val="00507A01"/>
    <w:rsid w:val="00542BE8"/>
    <w:rsid w:val="0058083C"/>
    <w:rsid w:val="005C4CE2"/>
    <w:rsid w:val="005E640E"/>
    <w:rsid w:val="00635646"/>
    <w:rsid w:val="00637186"/>
    <w:rsid w:val="006425FE"/>
    <w:rsid w:val="00686E53"/>
    <w:rsid w:val="006C1265"/>
    <w:rsid w:val="006F325B"/>
    <w:rsid w:val="0071607C"/>
    <w:rsid w:val="007207FD"/>
    <w:rsid w:val="00733A1C"/>
    <w:rsid w:val="0084086F"/>
    <w:rsid w:val="00847AE6"/>
    <w:rsid w:val="009B0FEB"/>
    <w:rsid w:val="009D2611"/>
    <w:rsid w:val="00A05AC1"/>
    <w:rsid w:val="00A325FD"/>
    <w:rsid w:val="00A45CC3"/>
    <w:rsid w:val="00A57A50"/>
    <w:rsid w:val="00A9790D"/>
    <w:rsid w:val="00AC45C4"/>
    <w:rsid w:val="00AD49F0"/>
    <w:rsid w:val="00AE53FD"/>
    <w:rsid w:val="00B050B2"/>
    <w:rsid w:val="00B50359"/>
    <w:rsid w:val="00B5509D"/>
    <w:rsid w:val="00B5641A"/>
    <w:rsid w:val="00B94112"/>
    <w:rsid w:val="00BA57D5"/>
    <w:rsid w:val="00BD5588"/>
    <w:rsid w:val="00BD720C"/>
    <w:rsid w:val="00BE37D4"/>
    <w:rsid w:val="00BF76D8"/>
    <w:rsid w:val="00C434D1"/>
    <w:rsid w:val="00C52858"/>
    <w:rsid w:val="00CB6A98"/>
    <w:rsid w:val="00CB7ABA"/>
    <w:rsid w:val="00CE63B7"/>
    <w:rsid w:val="00CF3579"/>
    <w:rsid w:val="00D32D60"/>
    <w:rsid w:val="00D56D89"/>
    <w:rsid w:val="00D956E6"/>
    <w:rsid w:val="00DA2339"/>
    <w:rsid w:val="00DB07E2"/>
    <w:rsid w:val="00DD4D6D"/>
    <w:rsid w:val="00E44472"/>
    <w:rsid w:val="00E55EB6"/>
    <w:rsid w:val="00E72E4D"/>
    <w:rsid w:val="00F05EE7"/>
    <w:rsid w:val="00F46CA7"/>
    <w:rsid w:val="00F56402"/>
    <w:rsid w:val="00FB0F35"/>
    <w:rsid w:val="00FB64FD"/>
    <w:rsid w:val="00FB79CA"/>
    <w:rsid w:val="00FD13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46A2"/>
  <w15:docId w15:val="{193035F0-ECDD-4BA0-AA9B-464DD009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Strong">
    <w:name w:val="Strong"/>
    <w:qFormat/>
    <w:rsid w:val="00BE37D4"/>
    <w:rPr>
      <w:b/>
      <w:bCs/>
    </w:rPr>
  </w:style>
  <w:style w:type="paragraph" w:customStyle="1" w:styleId="naiskr">
    <w:name w:val="naiskr"/>
    <w:basedOn w:val="Normal"/>
    <w:uiPriority w:val="99"/>
    <w:rsid w:val="002C7D10"/>
    <w:pPr>
      <w:spacing w:before="75" w:after="75"/>
    </w:pPr>
  </w:style>
  <w:style w:type="paragraph" w:styleId="Header">
    <w:name w:val="header"/>
    <w:basedOn w:val="Normal"/>
    <w:link w:val="HeaderChar"/>
    <w:uiPriority w:val="99"/>
    <w:unhideWhenUsed/>
    <w:rsid w:val="004A2CC7"/>
    <w:pPr>
      <w:tabs>
        <w:tab w:val="center" w:pos="4153"/>
        <w:tab w:val="right" w:pos="8306"/>
      </w:tabs>
    </w:pPr>
  </w:style>
  <w:style w:type="character" w:customStyle="1" w:styleId="HeaderChar">
    <w:name w:val="Header Char"/>
    <w:basedOn w:val="DefaultParagraphFont"/>
    <w:link w:val="Header"/>
    <w:uiPriority w:val="99"/>
    <w:rsid w:val="004A2CC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A2CC7"/>
    <w:pPr>
      <w:tabs>
        <w:tab w:val="center" w:pos="4153"/>
        <w:tab w:val="right" w:pos="8306"/>
      </w:tabs>
    </w:pPr>
  </w:style>
  <w:style w:type="character" w:customStyle="1" w:styleId="FooterChar">
    <w:name w:val="Footer Char"/>
    <w:basedOn w:val="DefaultParagraphFont"/>
    <w:link w:val="Footer"/>
    <w:uiPriority w:val="99"/>
    <w:rsid w:val="004A2CC7"/>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10125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01250"/>
    <w:rPr>
      <w:sz w:val="20"/>
      <w:szCs w:val="20"/>
    </w:rPr>
  </w:style>
  <w:style w:type="character" w:styleId="FootnoteReference">
    <w:name w:val="footnote reference"/>
    <w:basedOn w:val="DefaultParagraphFont"/>
    <w:uiPriority w:val="99"/>
    <w:semiHidden/>
    <w:unhideWhenUsed/>
    <w:rsid w:val="00101250"/>
    <w:rPr>
      <w:vertAlign w:val="superscript"/>
    </w:rPr>
  </w:style>
  <w:style w:type="paragraph" w:styleId="BalloonText">
    <w:name w:val="Balloon Text"/>
    <w:basedOn w:val="Normal"/>
    <w:link w:val="BalloonTextChar"/>
    <w:uiPriority w:val="99"/>
    <w:semiHidden/>
    <w:unhideWhenUsed/>
    <w:rsid w:val="00AC4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5C4"/>
    <w:rPr>
      <w:rFonts w:ascii="Segoe UI" w:eastAsia="Times New Roman" w:hAnsi="Segoe UI" w:cs="Segoe UI"/>
      <w:sz w:val="18"/>
      <w:szCs w:val="18"/>
      <w:lang w:eastAsia="lv-LV"/>
    </w:rPr>
  </w:style>
  <w:style w:type="character" w:customStyle="1" w:styleId="UnresolvedMention">
    <w:name w:val="Unresolved Mention"/>
    <w:basedOn w:val="DefaultParagraphFont"/>
    <w:uiPriority w:val="99"/>
    <w:semiHidden/>
    <w:unhideWhenUsed/>
    <w:rsid w:val="00F05EE7"/>
    <w:rPr>
      <w:color w:val="808080"/>
      <w:shd w:val="clear" w:color="auto" w:fill="E6E6E6"/>
    </w:rPr>
  </w:style>
  <w:style w:type="character" w:styleId="CommentReference">
    <w:name w:val="annotation reference"/>
    <w:basedOn w:val="DefaultParagraphFont"/>
    <w:uiPriority w:val="99"/>
    <w:semiHidden/>
    <w:unhideWhenUsed/>
    <w:rsid w:val="00635646"/>
    <w:rPr>
      <w:sz w:val="16"/>
      <w:szCs w:val="16"/>
    </w:rPr>
  </w:style>
  <w:style w:type="paragraph" w:styleId="CommentText">
    <w:name w:val="annotation text"/>
    <w:basedOn w:val="Normal"/>
    <w:link w:val="CommentTextChar"/>
    <w:uiPriority w:val="99"/>
    <w:semiHidden/>
    <w:unhideWhenUsed/>
    <w:rsid w:val="00635646"/>
    <w:rPr>
      <w:sz w:val="20"/>
      <w:szCs w:val="20"/>
    </w:rPr>
  </w:style>
  <w:style w:type="character" w:customStyle="1" w:styleId="CommentTextChar">
    <w:name w:val="Comment Text Char"/>
    <w:basedOn w:val="DefaultParagraphFont"/>
    <w:link w:val="CommentText"/>
    <w:uiPriority w:val="99"/>
    <w:semiHidden/>
    <w:rsid w:val="00635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35646"/>
    <w:rPr>
      <w:b/>
      <w:bCs/>
    </w:rPr>
  </w:style>
  <w:style w:type="character" w:customStyle="1" w:styleId="CommentSubjectChar">
    <w:name w:val="Comment Subject Char"/>
    <w:basedOn w:val="CommentTextChar"/>
    <w:link w:val="CommentSubject"/>
    <w:uiPriority w:val="99"/>
    <w:semiHidden/>
    <w:rsid w:val="00635646"/>
    <w:rPr>
      <w:rFonts w:ascii="Times New Roman" w:eastAsia="Times New Roman" w:hAnsi="Times New Roman" w:cs="Times New Roman"/>
      <w:b/>
      <w:bCs/>
      <w:sz w:val="20"/>
      <w:szCs w:val="20"/>
      <w:lang w:eastAsia="lv-LV"/>
    </w:rPr>
  </w:style>
  <w:style w:type="paragraph" w:customStyle="1" w:styleId="tvhtml">
    <w:name w:val="tv_html"/>
    <w:basedOn w:val="Normal"/>
    <w:rsid w:val="00507A01"/>
    <w:pPr>
      <w:spacing w:before="100" w:beforeAutospacing="1" w:after="100" w:afterAutospacing="1"/>
    </w:pPr>
  </w:style>
  <w:style w:type="paragraph" w:customStyle="1" w:styleId="tv213">
    <w:name w:val="tv213"/>
    <w:basedOn w:val="Normal"/>
    <w:rsid w:val="005E64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541516">
      <w:bodyDiv w:val="1"/>
      <w:marLeft w:val="0"/>
      <w:marRight w:val="0"/>
      <w:marTop w:val="0"/>
      <w:marBottom w:val="0"/>
      <w:divBdr>
        <w:top w:val="none" w:sz="0" w:space="0" w:color="auto"/>
        <w:left w:val="none" w:sz="0" w:space="0" w:color="auto"/>
        <w:bottom w:val="none" w:sz="0" w:space="0" w:color="auto"/>
        <w:right w:val="none" w:sz="0" w:space="0" w:color="auto"/>
      </w:divBdr>
    </w:div>
    <w:div w:id="17738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una.ozolina@e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C2649-9F43-4871-95DC-9CBF96AC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6573</Words>
  <Characters>3747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2016.gada 11.oktobra noteikumos Nr.668 “Energoefektivitātes monitoringa un piemērojamā energopārvaldības sistēmas standarta noteikumi” sākotnējās ietekmes novērtējuma ziņojums (anotācija)</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11.oktobra noteikumos Nr.668 “Energoefektivitātes monitoringa un piemērojamā energopārvaldības sistēmas standarta noteikumi” sākotnējās ietekmes novērtējuma ziņojums (anotācija)</dc:title>
  <dc:creator>Inguna.Ozolina@em.gov.lv</dc:creator>
  <dc:description>67013175, inguna.ozolina@em.gov.lv</dc:description>
  <cp:lastModifiedBy>Inguna Ozoliņa</cp:lastModifiedBy>
  <cp:revision>2</cp:revision>
  <cp:lastPrinted>2018-09-19T05:40:00Z</cp:lastPrinted>
  <dcterms:created xsi:type="dcterms:W3CDTF">2018-11-23T07:21:00Z</dcterms:created>
  <dcterms:modified xsi:type="dcterms:W3CDTF">2018-11-23T07:21:00Z</dcterms:modified>
</cp:coreProperties>
</file>