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A6CD3" w:rsidRPr="00935C08" w:rsidP="007F6449" w14:paraId="088F7E8E" w14:textId="308DE7D7">
      <w:pPr>
        <w:jc w:val="center"/>
        <w:rPr>
          <w:b/>
          <w:sz w:val="26"/>
          <w:szCs w:val="26"/>
          <w:lang w:val="lv-LV"/>
        </w:rPr>
      </w:pPr>
      <w:bookmarkStart w:id="0" w:name="OLE_LINK3"/>
      <w:bookmarkStart w:id="1" w:name="OLE_LINK1"/>
      <w:bookmarkStart w:id="2" w:name="OLE_LINK2"/>
      <w:r w:rsidRPr="00935C08">
        <w:rPr>
          <w:b/>
          <w:sz w:val="26"/>
          <w:szCs w:val="26"/>
          <w:lang w:val="lv-LV"/>
        </w:rPr>
        <w:t>Ministru kabineta noteikumu projekta ,,</w:t>
      </w:r>
      <w:bookmarkStart w:id="3" w:name="OLE_LINK7"/>
      <w:bookmarkStart w:id="4" w:name="OLE_LINK8"/>
      <w:r w:rsidRPr="00935C08" w:rsidR="007F6449">
        <w:rPr>
          <w:sz w:val="26"/>
          <w:szCs w:val="26"/>
          <w:lang w:val="lv-LV"/>
        </w:rPr>
        <w:t xml:space="preserve"> </w:t>
      </w:r>
      <w:r w:rsidRPr="00935C08" w:rsidR="00FE76B5">
        <w:rPr>
          <w:b/>
          <w:sz w:val="26"/>
          <w:szCs w:val="26"/>
          <w:lang w:val="lv-LV"/>
        </w:rPr>
        <w:t xml:space="preserve">Grozījumi Ministru kabineta 2016.gada 31.maija noteikumos Nr.328 „Noteikumi par </w:t>
      </w:r>
      <w:r w:rsidRPr="00935C08" w:rsidR="00FE76B5">
        <w:rPr>
          <w:b/>
          <w:sz w:val="26"/>
          <w:szCs w:val="26"/>
          <w:lang w:val="lv-LV"/>
        </w:rPr>
        <w:t>mikroaizdevumiem</w:t>
      </w:r>
      <w:r w:rsidRPr="00935C08" w:rsidR="00FE76B5">
        <w:rPr>
          <w:b/>
          <w:sz w:val="26"/>
          <w:szCs w:val="26"/>
          <w:lang w:val="lv-LV"/>
        </w:rPr>
        <w:t xml:space="preserve"> un starta aizdevumiem”</w:t>
      </w:r>
      <w:r w:rsidRPr="00935C08">
        <w:rPr>
          <w:b/>
          <w:sz w:val="26"/>
          <w:szCs w:val="26"/>
          <w:lang w:val="lv-LV"/>
        </w:rPr>
        <w:t>”</w:t>
      </w:r>
      <w:bookmarkEnd w:id="3"/>
      <w:bookmarkEnd w:id="4"/>
      <w:r w:rsidRPr="00935C08" w:rsidR="00844176">
        <w:rPr>
          <w:b/>
          <w:sz w:val="26"/>
          <w:szCs w:val="26"/>
          <w:lang w:val="lv-LV"/>
        </w:rPr>
        <w:t xml:space="preserve"> </w:t>
      </w:r>
      <w:r w:rsidRPr="00935C08">
        <w:rPr>
          <w:b/>
          <w:sz w:val="26"/>
          <w:szCs w:val="26"/>
          <w:lang w:val="lv-LV"/>
        </w:rPr>
        <w:t>sākotnējās ietekmes novērtējuma ziņojums (anotācija)</w:t>
      </w:r>
    </w:p>
    <w:p w:rsidR="00310924" w:rsidRPr="00935C08" w:rsidP="007F6449" w14:paraId="4F03DE00" w14:textId="77777777">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06A3987D" w14:textId="77777777" w:rsidTr="0000307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0924" w:rsidRPr="00935C08" w:rsidP="00003072" w14:paraId="0723E20C" w14:textId="77777777">
            <w:pPr>
              <w:rPr>
                <w:rFonts w:eastAsia="Times New Roman"/>
                <w:b/>
                <w:bCs/>
                <w:iCs/>
                <w:sz w:val="26"/>
                <w:szCs w:val="26"/>
                <w:lang w:val="lv-LV" w:eastAsia="lv-LV"/>
              </w:rPr>
            </w:pPr>
            <w:bookmarkEnd w:id="0"/>
            <w:bookmarkEnd w:id="1"/>
            <w:bookmarkEnd w:id="2"/>
            <w:r w:rsidRPr="00935C08">
              <w:rPr>
                <w:rFonts w:eastAsia="Times New Roman"/>
                <w:b/>
                <w:bCs/>
                <w:iCs/>
                <w:sz w:val="26"/>
                <w:szCs w:val="26"/>
                <w:lang w:val="lv-LV" w:eastAsia="lv-LV"/>
              </w:rPr>
              <w:t>Tiesību akta projekta anotācijas kopsavilkums</w:t>
            </w:r>
          </w:p>
        </w:tc>
      </w:tr>
      <w:tr w14:paraId="5F92C921" w14:textId="77777777" w:rsidTr="00003072">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310924" w:rsidRPr="00935C08" w:rsidP="00003072" w14:paraId="4D1DBABE" w14:textId="77777777">
            <w:pPr>
              <w:rPr>
                <w:rFonts w:eastAsia="Times New Roman"/>
                <w:iCs/>
                <w:sz w:val="26"/>
                <w:szCs w:val="26"/>
                <w:lang w:val="lv-LV" w:eastAsia="lv-LV"/>
              </w:rPr>
            </w:pPr>
            <w:r w:rsidRPr="00935C08">
              <w:rPr>
                <w:rFonts w:eastAsia="Times New Roman"/>
                <w:iCs/>
                <w:sz w:val="26"/>
                <w:szCs w:val="26"/>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310924" w:rsidRPr="00935C08" w:rsidP="00003072" w14:paraId="0891E1DE" w14:textId="696F5DD5">
            <w:pPr>
              <w:jc w:val="both"/>
              <w:rPr>
                <w:rFonts w:eastAsia="Times New Roman"/>
                <w:iCs/>
                <w:sz w:val="26"/>
                <w:szCs w:val="26"/>
                <w:lang w:val="lv-LV" w:eastAsia="lv-LV"/>
              </w:rPr>
            </w:pPr>
            <w:r w:rsidRPr="00935C08">
              <w:rPr>
                <w:rFonts w:eastAsia="Times New Roman"/>
                <w:iCs/>
                <w:sz w:val="26"/>
                <w:szCs w:val="26"/>
                <w:lang w:val="lv-LV" w:eastAsia="lv-LV"/>
              </w:rPr>
              <w:t xml:space="preserve">Tiesību akta projekts paredz </w:t>
            </w:r>
            <w:r w:rsidRPr="00935C08" w:rsidR="00D67CE9">
              <w:rPr>
                <w:rFonts w:eastAsia="Times New Roman"/>
                <w:iCs/>
                <w:sz w:val="26"/>
                <w:szCs w:val="26"/>
                <w:lang w:val="lv-LV" w:eastAsia="lv-LV"/>
              </w:rPr>
              <w:t>precizēt</w:t>
            </w:r>
            <w:r w:rsidRPr="00935C08">
              <w:rPr>
                <w:rFonts w:eastAsia="Times New Roman"/>
                <w:iCs/>
                <w:sz w:val="26"/>
                <w:szCs w:val="26"/>
                <w:lang w:val="lv-LV" w:eastAsia="lv-LV"/>
              </w:rPr>
              <w:t xml:space="preserve"> </w:t>
            </w:r>
            <w:r w:rsidRPr="00935C08" w:rsidR="00D67CE9">
              <w:rPr>
                <w:rFonts w:eastAsia="Times New Roman"/>
                <w:iCs/>
                <w:sz w:val="26"/>
                <w:szCs w:val="26"/>
                <w:lang w:val="lv-LV" w:eastAsia="lv-LV"/>
              </w:rPr>
              <w:t xml:space="preserve">Ministru kabineta 2016.gada 31.maija noteikumos Nr.328 „Noteikumi par </w:t>
            </w:r>
            <w:r w:rsidRPr="00935C08" w:rsidR="00D67CE9">
              <w:rPr>
                <w:rFonts w:eastAsia="Times New Roman"/>
                <w:iCs/>
                <w:sz w:val="26"/>
                <w:szCs w:val="26"/>
                <w:lang w:val="lv-LV" w:eastAsia="lv-LV"/>
              </w:rPr>
              <w:t>mikroaizdevumiem</w:t>
            </w:r>
            <w:r w:rsidRPr="00935C08" w:rsidR="00D67CE9">
              <w:rPr>
                <w:rFonts w:eastAsia="Times New Roman"/>
                <w:iCs/>
                <w:sz w:val="26"/>
                <w:szCs w:val="26"/>
                <w:lang w:val="lv-LV" w:eastAsia="lv-LV"/>
              </w:rPr>
              <w:t xml:space="preserve"> un starta aizdevumiem”</w:t>
            </w:r>
            <w:r w:rsidRPr="00935C08" w:rsidR="00D67CE9">
              <w:rPr>
                <w:lang w:val="lv-LV"/>
              </w:rPr>
              <w:t xml:space="preserve"> </w:t>
            </w:r>
            <w:r w:rsidRPr="00935C08" w:rsidR="00D67CE9">
              <w:rPr>
                <w:rFonts w:eastAsia="Times New Roman"/>
                <w:iCs/>
                <w:sz w:val="26"/>
                <w:szCs w:val="26"/>
                <w:lang w:val="lv-LV" w:eastAsia="lv-LV"/>
              </w:rPr>
              <w:t xml:space="preserve">noteiktā ERAF finansējuma izlietojuma sadalījumu, kā arī precizēt aizdevumu </w:t>
            </w:r>
            <w:r w:rsidRPr="00935C08" w:rsidR="00D67CE9">
              <w:rPr>
                <w:rFonts w:eastAsia="Times New Roman"/>
                <w:iCs/>
                <w:sz w:val="26"/>
                <w:szCs w:val="26"/>
                <w:lang w:val="lv-LV" w:eastAsia="lv-LV"/>
              </w:rPr>
              <w:t>izniegšanas</w:t>
            </w:r>
            <w:r w:rsidRPr="00935C08" w:rsidR="00D67CE9">
              <w:rPr>
                <w:rFonts w:eastAsia="Times New Roman"/>
                <w:iCs/>
                <w:sz w:val="26"/>
                <w:szCs w:val="26"/>
                <w:lang w:val="lv-LV" w:eastAsia="lv-LV"/>
              </w:rPr>
              <w:t xml:space="preserve"> nosacījumus.</w:t>
            </w:r>
          </w:p>
        </w:tc>
      </w:tr>
    </w:tbl>
    <w:p w:rsidR="003E171B" w:rsidRPr="00935C08" w:rsidP="00EA6CD3" w14:paraId="2DE059E4" w14:textId="6BA0F248">
      <w:pPr>
        <w:tabs>
          <w:tab w:val="right" w:pos="9072"/>
        </w:tabs>
        <w:rPr>
          <w:sz w:val="26"/>
          <w:szCs w:val="26"/>
          <w:lang w:val="lv-LV"/>
        </w:rPr>
      </w:pPr>
    </w:p>
    <w:p w:rsidR="00310924" w:rsidRPr="00935C08" w:rsidP="00EA6CD3" w14:paraId="6A8022D4" w14:textId="77777777">
      <w:pPr>
        <w:tabs>
          <w:tab w:val="right" w:pos="9072"/>
        </w:tabs>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1752"/>
        <w:gridCol w:w="6959"/>
      </w:tblGrid>
      <w:tr w14:paraId="02364BB3" w14:textId="77777777" w:rsidTr="00871E2F">
        <w:tblPrEx>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rsidR="00844176" w:rsidRPr="00935C08" w:rsidP="00871E2F" w14:paraId="12E54FE2" w14:textId="77777777">
            <w:pPr>
              <w:spacing w:before="100" w:beforeAutospacing="1" w:after="100" w:afterAutospacing="1"/>
              <w:ind w:firstLine="300"/>
              <w:jc w:val="center"/>
              <w:rPr>
                <w:rFonts w:eastAsia="Times New Roman"/>
                <w:sz w:val="26"/>
                <w:szCs w:val="26"/>
                <w:lang w:val="lv-LV" w:eastAsia="lv-LV"/>
              </w:rPr>
            </w:pPr>
            <w:r w:rsidRPr="00935C08">
              <w:rPr>
                <w:rFonts w:eastAsia="Times New Roman"/>
                <w:b/>
                <w:bCs/>
                <w:color w:val="000000"/>
                <w:sz w:val="26"/>
                <w:szCs w:val="26"/>
                <w:lang w:val="lv-LV" w:eastAsia="lv-LV"/>
              </w:rPr>
              <w:t>I. Tiesību akta projekta izstrādes nepieciešamība</w:t>
            </w:r>
          </w:p>
        </w:tc>
      </w:tr>
      <w:tr w14:paraId="7F385C9A" w14:textId="77777777" w:rsidTr="00871E2F">
        <w:tblPrEx>
          <w:tblW w:w="9129" w:type="dxa"/>
          <w:tblCellMar>
            <w:top w:w="30" w:type="dxa"/>
            <w:left w:w="30" w:type="dxa"/>
            <w:bottom w:w="30" w:type="dxa"/>
            <w:right w:w="30" w:type="dxa"/>
          </w:tblCellMar>
          <w:tblLook w:val="04A0"/>
        </w:tblPrEx>
        <w:trPr>
          <w:trHeight w:val="405"/>
        </w:trPr>
        <w:tc>
          <w:tcPr>
            <w:tcW w:w="418"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7802C726"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1.</w:t>
            </w:r>
          </w:p>
        </w:tc>
        <w:tc>
          <w:tcPr>
            <w:tcW w:w="1752"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1D9EF4B2"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Pamatojums</w:t>
            </w:r>
          </w:p>
        </w:tc>
        <w:tc>
          <w:tcPr>
            <w:tcW w:w="6959" w:type="dxa"/>
            <w:tcBorders>
              <w:top w:val="outset" w:sz="6" w:space="0" w:color="414142"/>
              <w:left w:val="outset" w:sz="6" w:space="0" w:color="414142"/>
              <w:bottom w:val="outset" w:sz="6" w:space="0" w:color="414142"/>
              <w:right w:val="outset" w:sz="6" w:space="0" w:color="414142"/>
            </w:tcBorders>
            <w:hideMark/>
          </w:tcPr>
          <w:p w:rsidR="00B621AF" w:rsidRPr="00935C08" w:rsidP="00B621AF" w14:paraId="18A45073" w14:textId="77777777">
            <w:pPr>
              <w:ind w:right="344"/>
              <w:jc w:val="both"/>
              <w:rPr>
                <w:sz w:val="26"/>
                <w:szCs w:val="26"/>
                <w:lang w:val="lv-LV"/>
              </w:rPr>
            </w:pPr>
            <w:r w:rsidRPr="00935C08">
              <w:rPr>
                <w:sz w:val="26"/>
                <w:szCs w:val="26"/>
                <w:lang w:val="lv-LV"/>
              </w:rPr>
              <w:t>Attīstības finanšu institūcijas likuma 12.panta ceturtā daļa;</w:t>
            </w:r>
          </w:p>
          <w:p w:rsidR="00844176" w:rsidRPr="00935C08" w:rsidP="00B621AF" w14:paraId="79DF1BBF" w14:textId="72AF1B46">
            <w:pPr>
              <w:ind w:right="344"/>
              <w:jc w:val="both"/>
              <w:rPr>
                <w:sz w:val="26"/>
                <w:szCs w:val="26"/>
                <w:lang w:val="lv-LV"/>
              </w:rPr>
            </w:pPr>
            <w:r>
              <w:fldChar w:fldCharType="begin"/>
            </w:r>
            <w:r>
              <w:instrText xml:space="preserve"> HYPERLINK "http://likumi.lv/ta/id/" \t "_blank" </w:instrText>
            </w:r>
            <w:r>
              <w:fldChar w:fldCharType="separate"/>
            </w:r>
            <w:r w:rsidRPr="00935C08" w:rsidR="00B621AF">
              <w:rPr>
                <w:sz w:val="26"/>
                <w:szCs w:val="26"/>
                <w:lang w:val="lv-LV"/>
              </w:rPr>
              <w:t>Eiropas Savienības struktūrfondu un</w:t>
            </w:r>
            <w:r w:rsidRPr="00935C08" w:rsidR="00B621AF">
              <w:rPr>
                <w:sz w:val="26"/>
                <w:szCs w:val="26"/>
                <w:lang w:val="lv-LV"/>
              </w:rPr>
              <w:br/>
              <w:t>Kohēzijas fonda 2014.–2020. gada plānošanas perioda vadības likuma</w:t>
            </w:r>
            <w:r>
              <w:fldChar w:fldCharType="end"/>
            </w:r>
            <w:r w:rsidRPr="00935C08" w:rsidR="00B621AF">
              <w:rPr>
                <w:sz w:val="26"/>
                <w:szCs w:val="26"/>
                <w:lang w:val="lv-LV"/>
              </w:rPr>
              <w:t> </w:t>
            </w:r>
            <w:r>
              <w:fldChar w:fldCharType="begin"/>
            </w:r>
            <w:r>
              <w:instrText xml:space="preserve"> HYPERLINK "http://likumi.lv/ta/id/" \l "p20" \t "_blank" </w:instrText>
            </w:r>
            <w:r>
              <w:fldChar w:fldCharType="separate"/>
            </w:r>
            <w:r w:rsidRPr="00935C08" w:rsidR="00B621AF">
              <w:rPr>
                <w:sz w:val="26"/>
                <w:szCs w:val="26"/>
                <w:lang w:val="lv-LV"/>
              </w:rPr>
              <w:t>20. pant</w:t>
            </w:r>
            <w:r>
              <w:fldChar w:fldCharType="end"/>
            </w:r>
            <w:r w:rsidRPr="00935C08" w:rsidR="00B621AF">
              <w:rPr>
                <w:sz w:val="26"/>
                <w:szCs w:val="26"/>
                <w:lang w:val="lv-LV"/>
              </w:rPr>
              <w:t>a 14.punkts.</w:t>
            </w:r>
          </w:p>
        </w:tc>
      </w:tr>
      <w:tr w14:paraId="62EDED08" w14:textId="77777777" w:rsidTr="00871E2F">
        <w:tblPrEx>
          <w:tblW w:w="9129" w:type="dxa"/>
          <w:tblCellMar>
            <w:top w:w="30" w:type="dxa"/>
            <w:left w:w="30" w:type="dxa"/>
            <w:bottom w:w="30" w:type="dxa"/>
            <w:right w:w="30" w:type="dxa"/>
          </w:tblCellMar>
          <w:tblLook w:val="04A0"/>
        </w:tblPrEx>
        <w:trPr>
          <w:trHeight w:val="465"/>
        </w:trPr>
        <w:tc>
          <w:tcPr>
            <w:tcW w:w="418"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304587A4"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2.</w:t>
            </w:r>
          </w:p>
        </w:tc>
        <w:tc>
          <w:tcPr>
            <w:tcW w:w="1752" w:type="dxa"/>
            <w:tcBorders>
              <w:top w:val="outset" w:sz="6" w:space="0" w:color="414142"/>
              <w:left w:val="outset" w:sz="6" w:space="0" w:color="414142"/>
              <w:bottom w:val="outset" w:sz="6" w:space="0" w:color="414142"/>
              <w:right w:val="outset" w:sz="6" w:space="0" w:color="414142"/>
            </w:tcBorders>
            <w:hideMark/>
          </w:tcPr>
          <w:p w:rsidR="00ED0911" w:rsidRPr="00935C08" w:rsidP="00871E2F" w14:paraId="7671769E" w14:textId="1C92A414">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Pašreizējā situācija un problēmas, kuru risināšanai tiesību akta projekts izstrādāts, tiesiskā regulējuma mērķis un būtība</w:t>
            </w:r>
          </w:p>
          <w:p w:rsidR="00ED0911" w:rsidRPr="00935C08" w:rsidP="00ED0911" w14:paraId="4FC3B67D" w14:textId="77777777">
            <w:pPr>
              <w:rPr>
                <w:rFonts w:eastAsia="Times New Roman"/>
                <w:sz w:val="26"/>
                <w:szCs w:val="26"/>
                <w:lang w:val="lv-LV" w:eastAsia="lv-LV"/>
              </w:rPr>
            </w:pPr>
          </w:p>
          <w:p w:rsidR="00ED0911" w:rsidRPr="00935C08" w:rsidP="00ED0911" w14:paraId="117E2458" w14:textId="77777777">
            <w:pPr>
              <w:rPr>
                <w:rFonts w:eastAsia="Times New Roman"/>
                <w:sz w:val="26"/>
                <w:szCs w:val="26"/>
                <w:lang w:val="lv-LV" w:eastAsia="lv-LV"/>
              </w:rPr>
            </w:pPr>
          </w:p>
          <w:p w:rsidR="00ED0911" w:rsidRPr="00935C08" w:rsidP="00ED0911" w14:paraId="029C5030" w14:textId="77777777">
            <w:pPr>
              <w:rPr>
                <w:rFonts w:eastAsia="Times New Roman"/>
                <w:sz w:val="26"/>
                <w:szCs w:val="26"/>
                <w:lang w:val="lv-LV" w:eastAsia="lv-LV"/>
              </w:rPr>
            </w:pPr>
          </w:p>
          <w:p w:rsidR="00ED0911" w:rsidRPr="00935C08" w:rsidP="00ED0911" w14:paraId="074EFABB" w14:textId="77777777">
            <w:pPr>
              <w:rPr>
                <w:rFonts w:eastAsia="Times New Roman"/>
                <w:sz w:val="26"/>
                <w:szCs w:val="26"/>
                <w:lang w:val="lv-LV" w:eastAsia="lv-LV"/>
              </w:rPr>
            </w:pPr>
          </w:p>
          <w:p w:rsidR="00ED0911" w:rsidRPr="00935C08" w:rsidP="00ED0911" w14:paraId="1750BD0B" w14:textId="77777777">
            <w:pPr>
              <w:rPr>
                <w:rFonts w:eastAsia="Times New Roman"/>
                <w:sz w:val="26"/>
                <w:szCs w:val="26"/>
                <w:lang w:val="lv-LV" w:eastAsia="lv-LV"/>
              </w:rPr>
            </w:pPr>
          </w:p>
          <w:p w:rsidR="00ED0911" w:rsidRPr="00935C08" w:rsidP="00ED0911" w14:paraId="7CCC3563" w14:textId="77777777">
            <w:pPr>
              <w:rPr>
                <w:rFonts w:eastAsia="Times New Roman"/>
                <w:sz w:val="26"/>
                <w:szCs w:val="26"/>
                <w:lang w:val="lv-LV" w:eastAsia="lv-LV"/>
              </w:rPr>
            </w:pPr>
          </w:p>
          <w:p w:rsidR="00ED0911" w:rsidRPr="00935C08" w:rsidP="00ED0911" w14:paraId="5D2903DF" w14:textId="77777777">
            <w:pPr>
              <w:rPr>
                <w:rFonts w:eastAsia="Times New Roman"/>
                <w:sz w:val="26"/>
                <w:szCs w:val="26"/>
                <w:lang w:val="lv-LV" w:eastAsia="lv-LV"/>
              </w:rPr>
            </w:pPr>
          </w:p>
          <w:p w:rsidR="00ED0911" w:rsidRPr="00935C08" w:rsidP="00ED0911" w14:paraId="0458D688" w14:textId="77777777">
            <w:pPr>
              <w:rPr>
                <w:rFonts w:eastAsia="Times New Roman"/>
                <w:sz w:val="26"/>
                <w:szCs w:val="26"/>
                <w:lang w:val="lv-LV" w:eastAsia="lv-LV"/>
              </w:rPr>
            </w:pPr>
          </w:p>
          <w:p w:rsidR="00ED0911" w:rsidRPr="00935C08" w:rsidP="00ED0911" w14:paraId="0A6D0851" w14:textId="77777777">
            <w:pPr>
              <w:rPr>
                <w:rFonts w:eastAsia="Times New Roman"/>
                <w:sz w:val="26"/>
                <w:szCs w:val="26"/>
                <w:lang w:val="lv-LV" w:eastAsia="lv-LV"/>
              </w:rPr>
            </w:pPr>
          </w:p>
          <w:p w:rsidR="00ED0911" w:rsidRPr="00935C08" w:rsidP="00ED0911" w14:paraId="4C483563" w14:textId="77777777">
            <w:pPr>
              <w:rPr>
                <w:rFonts w:eastAsia="Times New Roman"/>
                <w:sz w:val="26"/>
                <w:szCs w:val="26"/>
                <w:lang w:val="lv-LV" w:eastAsia="lv-LV"/>
              </w:rPr>
            </w:pPr>
          </w:p>
          <w:p w:rsidR="00ED0911" w:rsidRPr="00935C08" w:rsidP="00ED0911" w14:paraId="5068709A" w14:textId="77777777">
            <w:pPr>
              <w:rPr>
                <w:rFonts w:eastAsia="Times New Roman"/>
                <w:sz w:val="26"/>
                <w:szCs w:val="26"/>
                <w:lang w:val="lv-LV" w:eastAsia="lv-LV"/>
              </w:rPr>
            </w:pPr>
          </w:p>
          <w:p w:rsidR="00ED0911" w:rsidRPr="00935C08" w:rsidP="00ED0911" w14:paraId="17CB6891" w14:textId="77777777">
            <w:pPr>
              <w:rPr>
                <w:rFonts w:eastAsia="Times New Roman"/>
                <w:sz w:val="26"/>
                <w:szCs w:val="26"/>
                <w:lang w:val="lv-LV" w:eastAsia="lv-LV"/>
              </w:rPr>
            </w:pPr>
          </w:p>
          <w:p w:rsidR="00ED0911" w:rsidRPr="00935C08" w:rsidP="00ED0911" w14:paraId="075C5136" w14:textId="77777777">
            <w:pPr>
              <w:rPr>
                <w:rFonts w:eastAsia="Times New Roman"/>
                <w:sz w:val="26"/>
                <w:szCs w:val="26"/>
                <w:lang w:val="lv-LV" w:eastAsia="lv-LV"/>
              </w:rPr>
            </w:pPr>
          </w:p>
          <w:p w:rsidR="00ED0911" w:rsidRPr="00935C08" w:rsidP="00ED0911" w14:paraId="672275B7" w14:textId="77777777">
            <w:pPr>
              <w:rPr>
                <w:rFonts w:eastAsia="Times New Roman"/>
                <w:sz w:val="26"/>
                <w:szCs w:val="26"/>
                <w:lang w:val="lv-LV" w:eastAsia="lv-LV"/>
              </w:rPr>
            </w:pPr>
          </w:p>
          <w:p w:rsidR="00ED0911" w:rsidRPr="00935C08" w:rsidP="00ED0911" w14:paraId="2B33C7F1" w14:textId="77777777">
            <w:pPr>
              <w:rPr>
                <w:rFonts w:eastAsia="Times New Roman"/>
                <w:sz w:val="26"/>
                <w:szCs w:val="26"/>
                <w:lang w:val="lv-LV" w:eastAsia="lv-LV"/>
              </w:rPr>
            </w:pPr>
          </w:p>
          <w:p w:rsidR="00ED0911" w:rsidRPr="00935C08" w:rsidP="00ED0911" w14:paraId="5D0B200E" w14:textId="77777777">
            <w:pPr>
              <w:rPr>
                <w:rFonts w:eastAsia="Times New Roman"/>
                <w:sz w:val="26"/>
                <w:szCs w:val="26"/>
                <w:lang w:val="lv-LV" w:eastAsia="lv-LV"/>
              </w:rPr>
            </w:pPr>
          </w:p>
          <w:p w:rsidR="00ED0911" w:rsidRPr="00935C08" w:rsidP="00ED0911" w14:paraId="4BB861D7" w14:textId="77777777">
            <w:pPr>
              <w:rPr>
                <w:rFonts w:eastAsia="Times New Roman"/>
                <w:sz w:val="26"/>
                <w:szCs w:val="26"/>
                <w:lang w:val="lv-LV" w:eastAsia="lv-LV"/>
              </w:rPr>
            </w:pPr>
          </w:p>
          <w:p w:rsidR="00ED0911" w:rsidRPr="00935C08" w:rsidP="00ED0911" w14:paraId="1BC83EFD" w14:textId="77777777">
            <w:pPr>
              <w:rPr>
                <w:rFonts w:eastAsia="Times New Roman"/>
                <w:sz w:val="26"/>
                <w:szCs w:val="26"/>
                <w:lang w:val="lv-LV" w:eastAsia="lv-LV"/>
              </w:rPr>
            </w:pPr>
          </w:p>
          <w:p w:rsidR="00ED0911" w:rsidRPr="00935C08" w:rsidP="00ED0911" w14:paraId="6860D7E9" w14:textId="77777777">
            <w:pPr>
              <w:rPr>
                <w:rFonts w:eastAsia="Times New Roman"/>
                <w:sz w:val="26"/>
                <w:szCs w:val="26"/>
                <w:lang w:val="lv-LV" w:eastAsia="lv-LV"/>
              </w:rPr>
            </w:pPr>
          </w:p>
          <w:p w:rsidR="00ED0911" w:rsidRPr="00935C08" w:rsidP="00ED0911" w14:paraId="70AB4ED1" w14:textId="77777777">
            <w:pPr>
              <w:rPr>
                <w:rFonts w:eastAsia="Times New Roman"/>
                <w:sz w:val="26"/>
                <w:szCs w:val="26"/>
                <w:lang w:val="lv-LV" w:eastAsia="lv-LV"/>
              </w:rPr>
            </w:pPr>
          </w:p>
          <w:p w:rsidR="00844176" w:rsidRPr="00935C08" w:rsidP="00ED0911" w14:paraId="40AD4671" w14:textId="6647EF11">
            <w:pPr>
              <w:rPr>
                <w:rFonts w:eastAsia="Times New Roman"/>
                <w:sz w:val="26"/>
                <w:szCs w:val="26"/>
                <w:lang w:val="lv-LV" w:eastAsia="lv-LV"/>
              </w:rPr>
            </w:pPr>
          </w:p>
        </w:tc>
        <w:tc>
          <w:tcPr>
            <w:tcW w:w="6959" w:type="dxa"/>
            <w:tcBorders>
              <w:top w:val="outset" w:sz="6" w:space="0" w:color="414142"/>
              <w:left w:val="outset" w:sz="6" w:space="0" w:color="414142"/>
              <w:bottom w:val="outset" w:sz="6" w:space="0" w:color="414142"/>
              <w:right w:val="outset" w:sz="6" w:space="0" w:color="414142"/>
            </w:tcBorders>
          </w:tcPr>
          <w:p w:rsidR="00844176" w:rsidRPr="00935C08" w:rsidP="00906ABE" w14:paraId="79E075A5" w14:textId="4076ED40">
            <w:pPr>
              <w:jc w:val="both"/>
              <w:rPr>
                <w:sz w:val="26"/>
                <w:szCs w:val="26"/>
                <w:lang w:val="lv-LV"/>
              </w:rPr>
            </w:pPr>
            <w:r w:rsidRPr="00935C08">
              <w:rPr>
                <w:sz w:val="26"/>
                <w:szCs w:val="26"/>
                <w:lang w:val="lv-LV"/>
              </w:rPr>
              <w:t xml:space="preserve">Ar šo MK noteikumu grozījumu projektu tiek veikti tālāk minētie grozījumi </w:t>
            </w:r>
            <w:r w:rsidRPr="00935C08" w:rsidR="00FE76B5">
              <w:rPr>
                <w:sz w:val="26"/>
                <w:szCs w:val="26"/>
                <w:lang w:val="lv-LV"/>
              </w:rPr>
              <w:t>2016.gada 31.maija noteikum</w:t>
            </w:r>
            <w:r w:rsidRPr="00935C08">
              <w:rPr>
                <w:sz w:val="26"/>
                <w:szCs w:val="26"/>
                <w:lang w:val="lv-LV"/>
              </w:rPr>
              <w:t>os</w:t>
            </w:r>
            <w:r w:rsidRPr="00935C08" w:rsidR="00FE76B5">
              <w:rPr>
                <w:sz w:val="26"/>
                <w:szCs w:val="26"/>
                <w:lang w:val="lv-LV"/>
              </w:rPr>
              <w:t xml:space="preserve"> Nr.328 „Noteikumi par </w:t>
            </w:r>
            <w:r w:rsidRPr="00935C08" w:rsidR="00FE76B5">
              <w:rPr>
                <w:sz w:val="26"/>
                <w:szCs w:val="26"/>
                <w:lang w:val="lv-LV"/>
              </w:rPr>
              <w:t>mikroaizdevumiem</w:t>
            </w:r>
            <w:r w:rsidRPr="00935C08" w:rsidR="00FE76B5">
              <w:rPr>
                <w:sz w:val="26"/>
                <w:szCs w:val="26"/>
                <w:lang w:val="lv-LV"/>
              </w:rPr>
              <w:t xml:space="preserve"> un starta aizdevumiem”</w:t>
            </w:r>
            <w:r w:rsidRPr="00935C08" w:rsidR="007F6449">
              <w:rPr>
                <w:sz w:val="26"/>
                <w:szCs w:val="26"/>
                <w:lang w:val="lv-LV"/>
              </w:rPr>
              <w:t xml:space="preserve"> (turpmāk – MK noteikumi </w:t>
            </w:r>
            <w:r w:rsidRPr="00935C08" w:rsidR="00796159">
              <w:rPr>
                <w:sz w:val="26"/>
                <w:szCs w:val="26"/>
                <w:lang w:val="lv-LV"/>
              </w:rPr>
              <w:t>N</w:t>
            </w:r>
            <w:r w:rsidRPr="00935C08" w:rsidR="007F6449">
              <w:rPr>
                <w:sz w:val="26"/>
                <w:szCs w:val="26"/>
                <w:lang w:val="lv-LV"/>
              </w:rPr>
              <w:t>r.</w:t>
            </w:r>
            <w:r w:rsidRPr="00935C08" w:rsidR="00FE76B5">
              <w:rPr>
                <w:sz w:val="26"/>
                <w:szCs w:val="26"/>
                <w:lang w:val="lv-LV"/>
              </w:rPr>
              <w:t>328</w:t>
            </w:r>
            <w:r w:rsidRPr="00935C08" w:rsidR="007F6449">
              <w:rPr>
                <w:sz w:val="26"/>
                <w:szCs w:val="26"/>
                <w:lang w:val="lv-LV"/>
              </w:rPr>
              <w:t>)</w:t>
            </w:r>
            <w:r w:rsidRPr="00935C08">
              <w:rPr>
                <w:sz w:val="26"/>
                <w:szCs w:val="26"/>
                <w:lang w:val="lv-LV"/>
              </w:rPr>
              <w:t>.</w:t>
            </w:r>
          </w:p>
          <w:p w:rsidR="00906ABE" w:rsidRPr="00935C08" w:rsidP="00906ABE" w14:paraId="2D787CFA" w14:textId="77777777">
            <w:pPr>
              <w:jc w:val="both"/>
              <w:rPr>
                <w:sz w:val="26"/>
                <w:szCs w:val="26"/>
                <w:lang w:val="lv-LV"/>
              </w:rPr>
            </w:pPr>
          </w:p>
          <w:p w:rsidR="00246849" w:rsidRPr="00935C08" w:rsidP="00906ABE" w14:paraId="2F8DD7EB" w14:textId="2DB929E8">
            <w:pPr>
              <w:pStyle w:val="ListParagraph"/>
              <w:numPr>
                <w:ilvl w:val="0"/>
                <w:numId w:val="25"/>
              </w:numPr>
              <w:jc w:val="both"/>
              <w:rPr>
                <w:b/>
                <w:sz w:val="26"/>
                <w:szCs w:val="26"/>
                <w:u w:val="single"/>
                <w:lang w:val="lv-LV"/>
              </w:rPr>
            </w:pPr>
            <w:r w:rsidRPr="00935C08">
              <w:rPr>
                <w:b/>
                <w:sz w:val="26"/>
                <w:szCs w:val="26"/>
                <w:u w:val="single"/>
                <w:lang w:val="lv-LV"/>
              </w:rPr>
              <w:t>Noteiktā ERAF finansējuma izlietojuma sadalījums</w:t>
            </w:r>
          </w:p>
          <w:p w:rsidR="00246849" w:rsidRPr="00935C08" w:rsidP="00E140A6" w14:paraId="6FA11641" w14:textId="77777777">
            <w:pPr>
              <w:rPr>
                <w:b/>
                <w:sz w:val="26"/>
                <w:szCs w:val="26"/>
                <w:lang w:val="lv-LV"/>
              </w:rPr>
            </w:pPr>
          </w:p>
          <w:p w:rsidR="00F85A24" w:rsidRPr="00935C08" w:rsidP="00246849" w14:paraId="26C4C7DD" w14:textId="6D1B7545">
            <w:pPr>
              <w:spacing w:after="120"/>
              <w:jc w:val="both"/>
              <w:rPr>
                <w:sz w:val="26"/>
                <w:szCs w:val="26"/>
                <w:lang w:val="lv-LV"/>
              </w:rPr>
            </w:pPr>
            <w:r w:rsidRPr="00935C08">
              <w:rPr>
                <w:sz w:val="26"/>
                <w:szCs w:val="26"/>
                <w:lang w:val="lv-LV"/>
              </w:rPr>
              <w:t>Šobrīd MK noteikum</w:t>
            </w:r>
            <w:r w:rsidRPr="00935C08" w:rsidR="00F06F21">
              <w:rPr>
                <w:sz w:val="26"/>
                <w:szCs w:val="26"/>
                <w:lang w:val="lv-LV"/>
              </w:rPr>
              <w:t>os</w:t>
            </w:r>
            <w:r w:rsidRPr="00935C08">
              <w:rPr>
                <w:sz w:val="26"/>
                <w:szCs w:val="26"/>
                <w:lang w:val="lv-LV"/>
              </w:rPr>
              <w:t xml:space="preserve"> Nr.328</w:t>
            </w:r>
            <w:r w:rsidRPr="00935C08" w:rsidR="00F06F21">
              <w:rPr>
                <w:sz w:val="26"/>
                <w:szCs w:val="26"/>
                <w:lang w:val="lv-LV"/>
              </w:rPr>
              <w:t xml:space="preserve"> paredzamais</w:t>
            </w:r>
            <w:r w:rsidRPr="00935C08">
              <w:rPr>
                <w:sz w:val="26"/>
                <w:szCs w:val="26"/>
                <w:lang w:val="lv-LV"/>
              </w:rPr>
              <w:t xml:space="preserve"> kopējais </w:t>
            </w:r>
            <w:r w:rsidRPr="00935C08" w:rsidR="00246849">
              <w:rPr>
                <w:sz w:val="26"/>
                <w:szCs w:val="26"/>
                <w:lang w:val="lv-LV"/>
              </w:rPr>
              <w:t>3.1.1.4. pasākumam "</w:t>
            </w:r>
            <w:r w:rsidRPr="00935C08" w:rsidR="00246849">
              <w:rPr>
                <w:sz w:val="26"/>
                <w:szCs w:val="26"/>
                <w:lang w:val="lv-LV"/>
              </w:rPr>
              <w:t>Mikrokreditēšana</w:t>
            </w:r>
            <w:r w:rsidRPr="00935C08" w:rsidR="00246849">
              <w:rPr>
                <w:sz w:val="26"/>
                <w:szCs w:val="26"/>
                <w:lang w:val="lv-LV"/>
              </w:rPr>
              <w:t xml:space="preserve"> un aizdevumi uzsācējiem" pieejamais ERAF finansējums ir 4 milj. </w:t>
            </w:r>
            <w:r w:rsidRPr="00935C08">
              <w:rPr>
                <w:i/>
                <w:sz w:val="26"/>
                <w:szCs w:val="26"/>
                <w:lang w:val="lv-LV"/>
              </w:rPr>
              <w:t>euro</w:t>
            </w:r>
            <w:r w:rsidRPr="00935C08" w:rsidR="00246849">
              <w:rPr>
                <w:sz w:val="26"/>
                <w:szCs w:val="26"/>
                <w:lang w:val="lv-LV"/>
              </w:rPr>
              <w:t xml:space="preserve">, no kuriem aizdevumiem plānotā </w:t>
            </w:r>
            <w:r w:rsidRPr="00935C08" w:rsidR="003C7796">
              <w:rPr>
                <w:sz w:val="26"/>
                <w:szCs w:val="26"/>
                <w:lang w:val="lv-LV"/>
              </w:rPr>
              <w:t xml:space="preserve">ERAF finansējuma </w:t>
            </w:r>
            <w:r w:rsidRPr="00935C08" w:rsidR="00246849">
              <w:rPr>
                <w:sz w:val="26"/>
                <w:szCs w:val="26"/>
                <w:lang w:val="lv-LV"/>
              </w:rPr>
              <w:t xml:space="preserve">daļa ir </w:t>
            </w:r>
            <w:r w:rsidRPr="00935C08" w:rsidR="003C7796">
              <w:rPr>
                <w:sz w:val="26"/>
                <w:szCs w:val="26"/>
                <w:lang w:val="lv-LV"/>
              </w:rPr>
              <w:t>noteikta</w:t>
            </w:r>
            <w:r w:rsidRPr="00935C08" w:rsidR="00F06F21">
              <w:rPr>
                <w:sz w:val="26"/>
                <w:szCs w:val="26"/>
                <w:lang w:val="lv-LV"/>
              </w:rPr>
              <w:t xml:space="preserve"> </w:t>
            </w:r>
            <w:r w:rsidRPr="00935C08" w:rsidR="00246849">
              <w:rPr>
                <w:sz w:val="26"/>
                <w:szCs w:val="26"/>
                <w:lang w:val="lv-LV"/>
              </w:rPr>
              <w:t xml:space="preserve">2 milj. </w:t>
            </w:r>
            <w:r w:rsidRPr="00935C08" w:rsidR="00F06F21">
              <w:rPr>
                <w:i/>
                <w:sz w:val="26"/>
                <w:szCs w:val="26"/>
                <w:lang w:val="lv-LV"/>
              </w:rPr>
              <w:t>e</w:t>
            </w:r>
            <w:r w:rsidRPr="00935C08" w:rsidR="00246849">
              <w:rPr>
                <w:i/>
                <w:sz w:val="26"/>
                <w:szCs w:val="26"/>
                <w:lang w:val="lv-LV"/>
              </w:rPr>
              <w:t>uro</w:t>
            </w:r>
            <w:r w:rsidRPr="00935C08" w:rsidR="00F06F21">
              <w:rPr>
                <w:i/>
                <w:sz w:val="26"/>
                <w:szCs w:val="26"/>
                <w:lang w:val="lv-LV"/>
              </w:rPr>
              <w:t xml:space="preserve"> </w:t>
            </w:r>
            <w:r w:rsidRPr="00935C08" w:rsidR="00F06F21">
              <w:rPr>
                <w:sz w:val="26"/>
                <w:szCs w:val="26"/>
                <w:lang w:val="lv-LV"/>
              </w:rPr>
              <w:t>apmērā</w:t>
            </w:r>
            <w:r w:rsidRPr="00935C08" w:rsidR="00246849">
              <w:rPr>
                <w:sz w:val="26"/>
                <w:szCs w:val="26"/>
                <w:lang w:val="lv-LV"/>
              </w:rPr>
              <w:t>, savukārt pārvaldības izmaksām</w:t>
            </w:r>
            <w:r w:rsidRPr="00935C08" w:rsidR="003C7796">
              <w:rPr>
                <w:sz w:val="26"/>
                <w:szCs w:val="26"/>
                <w:lang w:val="lv-LV"/>
              </w:rPr>
              <w:t xml:space="preserve"> </w:t>
            </w:r>
            <w:r w:rsidRPr="00935C08" w:rsidR="00246849">
              <w:rPr>
                <w:sz w:val="26"/>
                <w:szCs w:val="26"/>
                <w:lang w:val="lv-LV"/>
              </w:rPr>
              <w:t xml:space="preserve">– 2 milj. </w:t>
            </w:r>
            <w:r w:rsidRPr="00935C08" w:rsidR="00246849">
              <w:rPr>
                <w:i/>
                <w:sz w:val="26"/>
                <w:szCs w:val="26"/>
                <w:lang w:val="lv-LV"/>
              </w:rPr>
              <w:t>euro</w:t>
            </w:r>
            <w:r w:rsidRPr="00935C08" w:rsidR="00246849">
              <w:rPr>
                <w:sz w:val="26"/>
                <w:szCs w:val="26"/>
                <w:lang w:val="lv-LV"/>
              </w:rPr>
              <w:t xml:space="preserve">. </w:t>
            </w:r>
          </w:p>
          <w:p w:rsidR="00246849" w:rsidRPr="00935C08" w:rsidP="00246849" w14:paraId="4CA95798" w14:textId="544590BA">
            <w:pPr>
              <w:spacing w:after="120"/>
              <w:jc w:val="both"/>
              <w:rPr>
                <w:sz w:val="26"/>
                <w:szCs w:val="26"/>
                <w:lang w:val="lv-LV"/>
              </w:rPr>
            </w:pPr>
            <w:r w:rsidRPr="00935C08">
              <w:rPr>
                <w:b/>
                <w:sz w:val="26"/>
                <w:szCs w:val="26"/>
                <w:lang w:val="lv-LV"/>
              </w:rPr>
              <w:t>Lai nodrošinātu 3.1.1.4.pasākuma “</w:t>
            </w:r>
            <w:r w:rsidRPr="00935C08">
              <w:rPr>
                <w:b/>
                <w:sz w:val="26"/>
                <w:szCs w:val="26"/>
                <w:lang w:val="lv-LV"/>
              </w:rPr>
              <w:t>Mikrokreditēšana</w:t>
            </w:r>
            <w:r w:rsidRPr="00935C08">
              <w:rPr>
                <w:b/>
                <w:sz w:val="26"/>
                <w:szCs w:val="26"/>
                <w:lang w:val="lv-LV"/>
              </w:rPr>
              <w:t xml:space="preserve"> un aizdevumi uzsācējiem” pieejamā ERAF finansējuma ieguldīšanu pilnā apjomā, ir nepieciešama programmas ietvaros piešķirtā ERAF finansējuma novirzīšana no pārvaldības izmaksu daļas uz aizdevumu izsniegšanu saimnieciskās darbības veicējiem, kopējam programmai piešķirtajam ERAF finansējuma apjomam nemainoties.  Programmas ietvaros aizdevumu izsniegšanai un pārvaldības izdevumu segšanai secīgi tiek vispirms izmantots 3.1.1.4.pasākumam piešķirtais ERAF finansējums, ievērojot ERAF finansējuma </w:t>
            </w:r>
            <w:r w:rsidRPr="00935C08">
              <w:rPr>
                <w:b/>
                <w:sz w:val="26"/>
                <w:szCs w:val="26"/>
                <w:lang w:val="lv-LV"/>
              </w:rPr>
              <w:t>attiecināmības</w:t>
            </w:r>
            <w:r w:rsidRPr="00935C08">
              <w:rPr>
                <w:b/>
                <w:sz w:val="26"/>
                <w:szCs w:val="26"/>
                <w:lang w:val="lv-LV"/>
              </w:rPr>
              <w:t xml:space="preserve"> nosacījumus,  un pēc tam 2007.–2013.gada plānošanas perioda ietvaros atmaksāto līdzekļu publiskais finansējums. </w:t>
            </w:r>
            <w:r w:rsidRPr="00935C08" w:rsidR="00277D9D">
              <w:rPr>
                <w:sz w:val="26"/>
                <w:szCs w:val="26"/>
                <w:lang w:val="lv-LV"/>
              </w:rPr>
              <w:t>Un</w:t>
            </w:r>
            <w:r w:rsidRPr="00935C08" w:rsidR="008E5D85">
              <w:rPr>
                <w:sz w:val="26"/>
                <w:szCs w:val="26"/>
                <w:lang w:val="lv-LV"/>
              </w:rPr>
              <w:t xml:space="preserve"> tā kā </w:t>
            </w:r>
            <w:r w:rsidRPr="00935C08">
              <w:rPr>
                <w:sz w:val="26"/>
                <w:szCs w:val="26"/>
                <w:lang w:val="lv-LV"/>
              </w:rPr>
              <w:t>MK noteikumos Nr.328 nav nepieciešams</w:t>
            </w:r>
            <w:r w:rsidRPr="00935C08" w:rsidR="008E5D85">
              <w:rPr>
                <w:sz w:val="26"/>
                <w:szCs w:val="26"/>
                <w:lang w:val="lv-LV"/>
              </w:rPr>
              <w:t xml:space="preserve"> noteikt konkrētu</w:t>
            </w:r>
            <w:r w:rsidRPr="00935C08">
              <w:rPr>
                <w:sz w:val="26"/>
                <w:szCs w:val="26"/>
                <w:lang w:val="lv-LV"/>
              </w:rPr>
              <w:t xml:space="preserve"> ERAF summas sadalījum</w:t>
            </w:r>
            <w:r w:rsidRPr="00935C08" w:rsidR="008E5D85">
              <w:rPr>
                <w:sz w:val="26"/>
                <w:szCs w:val="26"/>
                <w:lang w:val="lv-LV"/>
              </w:rPr>
              <w:t>u</w:t>
            </w:r>
            <w:r w:rsidRPr="00935C08">
              <w:rPr>
                <w:sz w:val="26"/>
                <w:szCs w:val="26"/>
                <w:lang w:val="lv-LV"/>
              </w:rPr>
              <w:t xml:space="preserve"> starp izsniegto summu gala saņēmējiem un pasākuma </w:t>
            </w:r>
            <w:r w:rsidRPr="00935C08">
              <w:rPr>
                <w:sz w:val="26"/>
                <w:szCs w:val="26"/>
                <w:lang w:val="lv-LV"/>
              </w:rPr>
              <w:t xml:space="preserve">īstenotāja vadības izmaksām, jo to </w:t>
            </w:r>
            <w:r w:rsidRPr="00935C08" w:rsidR="003C7796">
              <w:rPr>
                <w:sz w:val="26"/>
                <w:szCs w:val="26"/>
                <w:lang w:val="lv-LV"/>
              </w:rPr>
              <w:t>ierobežojumu</w:t>
            </w:r>
            <w:r w:rsidRPr="00935C08">
              <w:rPr>
                <w:sz w:val="26"/>
                <w:szCs w:val="26"/>
                <w:lang w:val="lv-LV"/>
              </w:rPr>
              <w:t xml:space="preserve"> </w:t>
            </w:r>
            <w:r w:rsidRPr="00935C08" w:rsidR="00277D9D">
              <w:rPr>
                <w:sz w:val="26"/>
                <w:szCs w:val="26"/>
                <w:lang w:val="lv-LV"/>
              </w:rPr>
              <w:t xml:space="preserve">jau </w:t>
            </w:r>
            <w:r w:rsidRPr="00935C08" w:rsidR="00F06F21">
              <w:rPr>
                <w:sz w:val="26"/>
                <w:szCs w:val="26"/>
                <w:lang w:val="lv-LV"/>
              </w:rPr>
              <w:t>nosaka</w:t>
            </w:r>
            <w:r w:rsidRPr="00935C08">
              <w:rPr>
                <w:sz w:val="26"/>
                <w:szCs w:val="26"/>
                <w:lang w:val="lv-LV"/>
              </w:rPr>
              <w:t xml:space="preserve"> 2016.gada 1.marta noteikum</w:t>
            </w:r>
            <w:r w:rsidRPr="00935C08" w:rsidR="00F06F21">
              <w:rPr>
                <w:sz w:val="26"/>
                <w:szCs w:val="26"/>
                <w:lang w:val="lv-LV"/>
              </w:rPr>
              <w:t>os</w:t>
            </w:r>
            <w:r w:rsidRPr="00935C08">
              <w:rPr>
                <w:sz w:val="26"/>
                <w:szCs w:val="26"/>
                <w:lang w:val="lv-LV"/>
              </w:rPr>
              <w:t xml:space="preserve"> Nr.118 </w:t>
            </w:r>
            <w:r w:rsidRPr="00935C08">
              <w:rPr>
                <w:i/>
                <w:sz w:val="26"/>
                <w:szCs w:val="26"/>
                <w:lang w:val="lv-LV"/>
              </w:rPr>
              <w:t xml:space="preserve">“Noteikumi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w:t>
            </w:r>
            <w:r w:rsidRPr="00935C08">
              <w:rPr>
                <w:sz w:val="26"/>
                <w:szCs w:val="26"/>
                <w:lang w:val="lv-LV"/>
              </w:rPr>
              <w:t xml:space="preserve">un </w:t>
            </w:r>
            <w:r w:rsidRPr="00935C08" w:rsidR="00F85A24">
              <w:rPr>
                <w:sz w:val="26"/>
                <w:szCs w:val="26"/>
                <w:lang w:val="lv-LV"/>
              </w:rPr>
              <w:t>Eiropas Parlamenta un Padomes 2013.gada 17.decembra Regul</w:t>
            </w:r>
            <w:r w:rsidRPr="00935C08" w:rsidR="00F06F21">
              <w:rPr>
                <w:sz w:val="26"/>
                <w:szCs w:val="26"/>
                <w:lang w:val="lv-LV"/>
              </w:rPr>
              <w:t>ā</w:t>
            </w:r>
            <w:r w:rsidRPr="00935C08" w:rsidR="00F85A24">
              <w:rPr>
                <w:sz w:val="26"/>
                <w:szCs w:val="26"/>
                <w:lang w:val="lv-LV"/>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Nr.1303/2013)</w:t>
            </w:r>
            <w:r w:rsidRPr="00935C08" w:rsidR="00F06F21">
              <w:rPr>
                <w:sz w:val="26"/>
                <w:szCs w:val="26"/>
                <w:lang w:val="lv-LV"/>
              </w:rPr>
              <w:t xml:space="preserve"> </w:t>
            </w:r>
            <w:r w:rsidRPr="00935C08" w:rsidR="003C7796">
              <w:rPr>
                <w:sz w:val="26"/>
                <w:szCs w:val="26"/>
                <w:lang w:val="lv-LV"/>
              </w:rPr>
              <w:t>iekļautie nosacījumi</w:t>
            </w:r>
            <w:r w:rsidRPr="00935C08" w:rsidR="00277D9D">
              <w:rPr>
                <w:sz w:val="26"/>
                <w:szCs w:val="26"/>
                <w:lang w:val="lv-LV"/>
              </w:rPr>
              <w:t xml:space="preserve"> – atbilstoši tiek precizēts MK noteikumu Nr.328 5.punkts, apvienojot ERAF finansējumu vienā summā.</w:t>
            </w:r>
            <w:r w:rsidRPr="00935C08" w:rsidR="00FD01FC">
              <w:rPr>
                <w:sz w:val="26"/>
                <w:szCs w:val="26"/>
                <w:lang w:val="lv-LV"/>
              </w:rPr>
              <w:t xml:space="preserve"> Atbilstoši izmaiņām precizēts arī 7.punkts, kurā iekļauta atsauce uz 5.2.punktu.</w:t>
            </w:r>
          </w:p>
          <w:p w:rsidR="00277D9D" w:rsidRPr="00935C08" w:rsidP="00246849" w14:paraId="7A754C45" w14:textId="3472104C">
            <w:pPr>
              <w:spacing w:after="120"/>
              <w:jc w:val="both"/>
              <w:rPr>
                <w:sz w:val="26"/>
                <w:szCs w:val="26"/>
                <w:lang w:val="lv-LV"/>
              </w:rPr>
            </w:pPr>
            <w:r w:rsidRPr="00935C08">
              <w:rPr>
                <w:sz w:val="26"/>
                <w:szCs w:val="26"/>
                <w:lang w:val="lv-LV"/>
              </w:rPr>
              <w:t xml:space="preserve">Papildus jānorāda, ka </w:t>
            </w:r>
            <w:r w:rsidRPr="00935C08" w:rsidR="00F85A24">
              <w:rPr>
                <w:sz w:val="26"/>
                <w:szCs w:val="26"/>
                <w:lang w:val="lv-LV"/>
              </w:rPr>
              <w:t>praksē nav iespējams prognozēt precīzu ERAF finansējuma</w:t>
            </w:r>
            <w:r w:rsidRPr="00935C08" w:rsidR="00ED0911">
              <w:rPr>
                <w:sz w:val="26"/>
                <w:szCs w:val="26"/>
                <w:lang w:val="lv-LV"/>
              </w:rPr>
              <w:t xml:space="preserve"> sadalījumu</w:t>
            </w:r>
            <w:r w:rsidRPr="00935C08" w:rsidR="00F85A24">
              <w:rPr>
                <w:sz w:val="26"/>
                <w:szCs w:val="26"/>
                <w:lang w:val="lv-LV"/>
              </w:rPr>
              <w:t xml:space="preserve"> starp izsniegtā atbalsta un pārvaldības izmaksām, attiecīgi </w:t>
            </w:r>
            <w:r w:rsidRPr="00935C08">
              <w:rPr>
                <w:sz w:val="26"/>
                <w:szCs w:val="26"/>
                <w:lang w:val="lv-LV"/>
              </w:rPr>
              <w:t>pēc MK noteikumu Nr.328 grozījumu veikšanas</w:t>
            </w:r>
            <w:r w:rsidRPr="00935C08" w:rsidR="00F85A24">
              <w:rPr>
                <w:sz w:val="26"/>
                <w:szCs w:val="26"/>
                <w:lang w:val="lv-LV"/>
              </w:rPr>
              <w:t xml:space="preserve"> būs</w:t>
            </w:r>
            <w:r w:rsidRPr="00935C08" w:rsidR="00BB55EA">
              <w:rPr>
                <w:sz w:val="26"/>
                <w:szCs w:val="26"/>
                <w:lang w:val="lv-LV"/>
              </w:rPr>
              <w:t xml:space="preserve"> iespējams izvairīties no </w:t>
            </w:r>
            <w:r w:rsidRPr="00935C08">
              <w:rPr>
                <w:sz w:val="26"/>
                <w:szCs w:val="26"/>
                <w:lang w:val="lv-LV"/>
              </w:rPr>
              <w:t>turpmākas</w:t>
            </w:r>
            <w:r w:rsidRPr="00935C08" w:rsidR="00BB55EA">
              <w:rPr>
                <w:sz w:val="26"/>
                <w:szCs w:val="26"/>
                <w:lang w:val="lv-LV"/>
              </w:rPr>
              <w:t xml:space="preserve"> MK noteikumu grozī</w:t>
            </w:r>
            <w:r w:rsidRPr="00935C08">
              <w:rPr>
                <w:sz w:val="26"/>
                <w:szCs w:val="26"/>
                <w:lang w:val="lv-LV"/>
              </w:rPr>
              <w:t>jumu veikšanas</w:t>
            </w:r>
            <w:r w:rsidRPr="00935C08" w:rsidR="00BB55EA">
              <w:rPr>
                <w:sz w:val="26"/>
                <w:szCs w:val="26"/>
                <w:lang w:val="lv-LV"/>
              </w:rPr>
              <w:t>.</w:t>
            </w:r>
            <w:r w:rsidRPr="00935C08">
              <w:rPr>
                <w:sz w:val="26"/>
                <w:szCs w:val="26"/>
                <w:lang w:val="lv-LV"/>
              </w:rPr>
              <w:t xml:space="preserve"> Tāpat šādi grozījumi nerada papildus finanšu riskus, jo vadības izmaksu apjoms indikatīvi tiek plānots katrā finanšu instrumenta programmā</w:t>
            </w:r>
            <w:r w:rsidRPr="00935C08" w:rsidR="0065752A">
              <w:rPr>
                <w:sz w:val="26"/>
                <w:szCs w:val="26"/>
                <w:lang w:val="lv-LV"/>
              </w:rPr>
              <w:t>, kā arī tas tiek uzraudzīts un aktualizēts atbilstoši programmas ieviešanai.</w:t>
            </w:r>
            <w:r w:rsidRPr="00935C08" w:rsidR="0043619D">
              <w:rPr>
                <w:color w:val="00B050"/>
                <w:sz w:val="26"/>
                <w:szCs w:val="26"/>
                <w:lang w:val="lv-LV"/>
              </w:rPr>
              <w:t xml:space="preserve"> </w:t>
            </w:r>
          </w:p>
          <w:p w:rsidR="005D6B98" w:rsidRPr="00935C08" w:rsidP="00ED0911" w14:paraId="6AD5BD83" w14:textId="04D91CBB">
            <w:pPr>
              <w:pStyle w:val="ListParagraph"/>
              <w:numPr>
                <w:ilvl w:val="0"/>
                <w:numId w:val="25"/>
              </w:numPr>
              <w:jc w:val="both"/>
              <w:rPr>
                <w:rFonts w:eastAsia="Times New Roman"/>
                <w:b/>
                <w:bCs/>
                <w:sz w:val="26"/>
                <w:szCs w:val="26"/>
                <w:lang w:val="lv-LV"/>
              </w:rPr>
            </w:pPr>
            <w:r w:rsidRPr="00935C08">
              <w:rPr>
                <w:rFonts w:eastAsia="Times New Roman"/>
                <w:b/>
                <w:bCs/>
                <w:sz w:val="26"/>
                <w:szCs w:val="26"/>
                <w:u w:val="single"/>
                <w:lang w:val="lv-LV"/>
              </w:rPr>
              <w:t>Aizdevumu izsniegšanas nosacījumi</w:t>
            </w:r>
          </w:p>
          <w:p w:rsidR="00246849" w:rsidRPr="00935C08" w:rsidP="00D97622" w14:paraId="2FF0B401" w14:textId="03AD1FEA">
            <w:pPr>
              <w:ind w:left="81"/>
              <w:jc w:val="both"/>
              <w:rPr>
                <w:rFonts w:eastAsia="Times New Roman"/>
                <w:bCs/>
                <w:sz w:val="26"/>
                <w:szCs w:val="26"/>
                <w:lang w:val="lv-LV"/>
              </w:rPr>
            </w:pPr>
            <w:r w:rsidRPr="00935C08">
              <w:rPr>
                <w:rFonts w:eastAsia="Times New Roman"/>
                <w:bCs/>
                <w:sz w:val="26"/>
                <w:szCs w:val="26"/>
                <w:lang w:val="lv-LV"/>
              </w:rPr>
              <w:t>Precizēt</w:t>
            </w:r>
            <w:r w:rsidRPr="00935C08" w:rsidR="000B3FAB">
              <w:rPr>
                <w:rFonts w:eastAsia="Times New Roman"/>
                <w:bCs/>
                <w:sz w:val="26"/>
                <w:szCs w:val="26"/>
                <w:lang w:val="lv-LV"/>
              </w:rPr>
              <w:t>ai</w:t>
            </w:r>
            <w:r w:rsidRPr="00935C08">
              <w:rPr>
                <w:rFonts w:eastAsia="Times New Roman"/>
                <w:bCs/>
                <w:sz w:val="26"/>
                <w:szCs w:val="26"/>
                <w:lang w:val="lv-LV"/>
              </w:rPr>
              <w:t xml:space="preserve">s MK noteikumu Nr.328 14.punkts. 3.1.1.4. pasākuma </w:t>
            </w:r>
            <w:r w:rsidRPr="00935C08" w:rsidR="000B3FAB">
              <w:rPr>
                <w:rFonts w:eastAsia="Times New Roman"/>
                <w:bCs/>
                <w:sz w:val="26"/>
                <w:szCs w:val="26"/>
                <w:lang w:val="lv-LV"/>
              </w:rPr>
              <w:t xml:space="preserve">ietvaros paredz pietiekami stingrus ierobežojumus saskaņā ar  </w:t>
            </w:r>
            <w:r w:rsidRPr="00935C08" w:rsidR="00FA2346">
              <w:rPr>
                <w:rFonts w:eastAsia="Times New Roman"/>
                <w:bCs/>
                <w:sz w:val="26"/>
                <w:szCs w:val="26"/>
                <w:lang w:val="lv-LV"/>
              </w:rPr>
              <w:t xml:space="preserve">Eiropas </w:t>
            </w:r>
            <w:r w:rsidRPr="00935C08">
              <w:rPr>
                <w:rFonts w:eastAsia="Times New Roman"/>
                <w:bCs/>
                <w:sz w:val="26"/>
                <w:szCs w:val="26"/>
                <w:lang w:val="lv-LV"/>
              </w:rPr>
              <w:t xml:space="preserve">Komisijas </w:t>
            </w:r>
            <w:r w:rsidRPr="00935C08" w:rsidR="00FA2346">
              <w:rPr>
                <w:rFonts w:eastAsia="Times New Roman"/>
                <w:bCs/>
                <w:sz w:val="26"/>
                <w:szCs w:val="26"/>
                <w:lang w:val="lv-LV"/>
              </w:rPr>
              <w:t xml:space="preserve">2014.gada 17.jūnija </w:t>
            </w:r>
            <w:r w:rsidRPr="00935C08" w:rsidR="000B3FAB">
              <w:rPr>
                <w:rFonts w:eastAsia="Times New Roman"/>
                <w:bCs/>
                <w:sz w:val="26"/>
                <w:szCs w:val="26"/>
                <w:lang w:val="lv-LV"/>
              </w:rPr>
              <w:t>Regul</w:t>
            </w:r>
            <w:r w:rsidRPr="00935C08" w:rsidR="00FA2346">
              <w:rPr>
                <w:rFonts w:eastAsia="Times New Roman"/>
                <w:bCs/>
                <w:sz w:val="26"/>
                <w:szCs w:val="26"/>
                <w:lang w:val="lv-LV"/>
              </w:rPr>
              <w:t>as (ES) Nr.</w:t>
            </w:r>
            <w:r w:rsidRPr="00935C08" w:rsidR="000B3FAB">
              <w:rPr>
                <w:rFonts w:eastAsia="Times New Roman"/>
                <w:bCs/>
                <w:sz w:val="26"/>
                <w:szCs w:val="26"/>
                <w:lang w:val="lv-LV"/>
              </w:rPr>
              <w:t xml:space="preserve"> 651/2014 1.pielikuma 3.punktu </w:t>
            </w:r>
            <w:r w:rsidRPr="00935C08">
              <w:rPr>
                <w:rFonts w:eastAsia="Times New Roman"/>
                <w:bCs/>
                <w:sz w:val="26"/>
                <w:szCs w:val="26"/>
                <w:lang w:val="lv-LV"/>
              </w:rPr>
              <w:t xml:space="preserve">attiecībā uz aizdevuma līdzekļu izmaksas nosacījumiem </w:t>
            </w:r>
            <w:r w:rsidRPr="00935C08" w:rsidR="002C3E23">
              <w:rPr>
                <w:rFonts w:eastAsia="Times New Roman"/>
                <w:bCs/>
                <w:sz w:val="26"/>
                <w:szCs w:val="26"/>
                <w:lang w:val="lv-LV"/>
              </w:rPr>
              <w:t>saistītajiem uzņēmumiem</w:t>
            </w:r>
            <w:r w:rsidRPr="00935C08" w:rsidR="00382FEC">
              <w:rPr>
                <w:rFonts w:eastAsia="Times New Roman"/>
                <w:bCs/>
                <w:sz w:val="26"/>
                <w:szCs w:val="26"/>
                <w:lang w:val="lv-LV"/>
              </w:rPr>
              <w:t>.</w:t>
            </w:r>
            <w:r w:rsidRPr="00935C08">
              <w:rPr>
                <w:rFonts w:eastAsia="Times New Roman"/>
                <w:bCs/>
                <w:sz w:val="26"/>
                <w:szCs w:val="26"/>
                <w:lang w:val="lv-LV"/>
              </w:rPr>
              <w:t xml:space="preserve"> Nav racionālu un pamatotu iemeslu pārbaudīt</w:t>
            </w:r>
            <w:r w:rsidRPr="00935C08" w:rsidR="00FD01FC">
              <w:rPr>
                <w:rFonts w:eastAsia="Times New Roman"/>
                <w:bCs/>
                <w:sz w:val="26"/>
                <w:szCs w:val="26"/>
                <w:lang w:val="lv-LV"/>
              </w:rPr>
              <w:t xml:space="preserve"> papildus nosacījumus</w:t>
            </w:r>
            <w:r w:rsidRPr="00935C08">
              <w:rPr>
                <w:rFonts w:eastAsia="Times New Roman"/>
                <w:bCs/>
                <w:sz w:val="26"/>
                <w:szCs w:val="26"/>
                <w:lang w:val="lv-LV"/>
              </w:rPr>
              <w:t xml:space="preserve">, turklāt </w:t>
            </w:r>
            <w:r w:rsidRPr="00935C08">
              <w:rPr>
                <w:rFonts w:eastAsia="Times New Roman"/>
                <w:bCs/>
                <w:sz w:val="26"/>
                <w:szCs w:val="26"/>
                <w:lang w:val="lv-LV"/>
              </w:rPr>
              <w:t>Altum</w:t>
            </w:r>
            <w:r w:rsidRPr="00935C08">
              <w:rPr>
                <w:rFonts w:eastAsia="Times New Roman"/>
                <w:bCs/>
                <w:sz w:val="26"/>
                <w:szCs w:val="26"/>
                <w:lang w:val="lv-LV"/>
              </w:rPr>
              <w:t xml:space="preserve"> nav pieejas personas datu sistēmām, kurās minētā informācija ir pieejama, lai pārliecinātos, ka </w:t>
            </w:r>
            <w:bookmarkStart w:id="5" w:name="_Hlk519092547"/>
            <w:r w:rsidRPr="00935C08">
              <w:rPr>
                <w:rFonts w:eastAsia="Times New Roman"/>
                <w:bCs/>
                <w:i/>
                <w:sz w:val="26"/>
                <w:szCs w:val="26"/>
                <w:lang w:val="lv-LV"/>
              </w:rPr>
              <w:t>piegādātājs nav komersanta dalībnieku vai saimnieciskās darbības veicēja laulātais, radinieks vai svainis līdz otrai pakāpei, kā arī komersants, kurā komersanta dalībnieku vai saimnieciskās darbības veicēja radiniekiem pieder vairāk nekā 50 % no pamatkapitāla vai daļu vērtības</w:t>
            </w:r>
            <w:bookmarkEnd w:id="5"/>
            <w:r w:rsidRPr="00935C08">
              <w:rPr>
                <w:rFonts w:eastAsia="Times New Roman"/>
                <w:bCs/>
                <w:i/>
                <w:sz w:val="26"/>
                <w:szCs w:val="26"/>
                <w:lang w:val="lv-LV"/>
              </w:rPr>
              <w:t xml:space="preserve">. </w:t>
            </w:r>
            <w:r w:rsidRPr="00935C08">
              <w:rPr>
                <w:rFonts w:eastAsia="Times New Roman"/>
                <w:bCs/>
                <w:sz w:val="26"/>
                <w:szCs w:val="26"/>
                <w:lang w:val="lv-LV"/>
              </w:rPr>
              <w:t xml:space="preserve">Līdz šim pārbaude notika galvenokārt apliecinājuma veidā, savukārt uzņēmumu datu bāzēs ir iespējams pārbaudīt MK noteikumu 14.punkta pirmās daļas nosacījumu - vai piegādātājs ir komersanta dalībnieks vai ar saimnieciskās darbības veicēju </w:t>
            </w:r>
            <w:r w:rsidRPr="00935C08" w:rsidR="00C353F8">
              <w:rPr>
                <w:rFonts w:eastAsia="Times New Roman"/>
                <w:bCs/>
                <w:sz w:val="26"/>
                <w:szCs w:val="26"/>
                <w:lang w:val="lv-LV"/>
              </w:rPr>
              <w:t xml:space="preserve">saistīts uzņēmums </w:t>
            </w:r>
            <w:r w:rsidRPr="00935C08">
              <w:rPr>
                <w:rFonts w:eastAsia="Times New Roman"/>
                <w:bCs/>
                <w:sz w:val="26"/>
                <w:szCs w:val="26"/>
                <w:lang w:val="lv-LV"/>
              </w:rPr>
              <w:t>(t.i. pieder vairāk kā 50 % no pamatkapitāla vai daļu vērtības).</w:t>
            </w:r>
          </w:p>
          <w:p w:rsidR="00D97622" w:rsidRPr="00935C08" w:rsidP="00D97622" w14:paraId="54066B12" w14:textId="77777777">
            <w:pPr>
              <w:ind w:left="81"/>
              <w:jc w:val="both"/>
              <w:rPr>
                <w:rFonts w:eastAsia="Times New Roman"/>
                <w:bCs/>
                <w:sz w:val="26"/>
                <w:szCs w:val="26"/>
                <w:lang w:val="lv-LV"/>
              </w:rPr>
            </w:pPr>
          </w:p>
          <w:p w:rsidR="00FA2346" w:rsidRPr="00935C08" w:rsidP="000D2474" w14:paraId="423FAE93" w14:textId="77777777">
            <w:pPr>
              <w:pStyle w:val="ListParagraph"/>
              <w:numPr>
                <w:ilvl w:val="0"/>
                <w:numId w:val="25"/>
              </w:numPr>
              <w:jc w:val="both"/>
              <w:rPr>
                <w:b/>
                <w:sz w:val="26"/>
                <w:szCs w:val="26"/>
                <w:u w:val="single"/>
                <w:lang w:val="lv-LV"/>
              </w:rPr>
            </w:pPr>
            <w:r w:rsidRPr="00935C08">
              <w:rPr>
                <w:b/>
                <w:sz w:val="26"/>
                <w:szCs w:val="26"/>
                <w:u w:val="single"/>
                <w:lang w:val="lv-LV"/>
              </w:rPr>
              <w:t>Zaudējumu segšanas kārtība</w:t>
            </w:r>
          </w:p>
          <w:p w:rsidR="000D2474" w:rsidRPr="00935C08" w:rsidP="00FA2346" w14:paraId="3D394A15" w14:textId="4BF2BDF7">
            <w:pPr>
              <w:jc w:val="both"/>
              <w:rPr>
                <w:b/>
                <w:sz w:val="26"/>
                <w:szCs w:val="26"/>
                <w:u w:val="single"/>
                <w:lang w:val="lv-LV"/>
              </w:rPr>
            </w:pPr>
            <w:r w:rsidRPr="00935C08">
              <w:rPr>
                <w:sz w:val="26"/>
                <w:szCs w:val="26"/>
                <w:lang w:val="lv-LV"/>
              </w:rPr>
              <w:t>Noteikumu projekts paredz</w:t>
            </w:r>
            <w:r w:rsidRPr="00935C08">
              <w:rPr>
                <w:sz w:val="26"/>
                <w:szCs w:val="26"/>
                <w:lang w:val="lv-LV"/>
              </w:rPr>
              <w:t xml:space="preserve"> precizēt MK noteikumu 18.punktu, skaidri nosakot, ka pirmos zaudējumus sedz no publiskā finansējuma atbilstoši citiem normatīvajiem aktiem finanšu instrumentu jomā, vienlaikus izslēdzot nosacījumus, kas izriet no vispārīgās sabiedrības </w:t>
            </w:r>
            <w:r w:rsidRPr="00935C08">
              <w:rPr>
                <w:sz w:val="26"/>
                <w:szCs w:val="26"/>
                <w:lang w:val="lv-LV"/>
              </w:rPr>
              <w:t>Altum</w:t>
            </w:r>
            <w:r w:rsidRPr="00935C08">
              <w:rPr>
                <w:sz w:val="26"/>
                <w:szCs w:val="26"/>
                <w:lang w:val="lv-LV"/>
              </w:rPr>
              <w:t xml:space="preserve"> pārvaldības.</w:t>
            </w:r>
          </w:p>
          <w:p w:rsidR="000D2474" w:rsidRPr="00935C08" w:rsidP="000D2474" w14:paraId="53AF2AD1" w14:textId="77777777">
            <w:pPr>
              <w:pStyle w:val="ListParagraph"/>
              <w:numPr>
                <w:ilvl w:val="0"/>
                <w:numId w:val="25"/>
              </w:numPr>
              <w:jc w:val="both"/>
              <w:rPr>
                <w:b/>
                <w:sz w:val="26"/>
                <w:szCs w:val="26"/>
                <w:u w:val="single"/>
                <w:lang w:val="lv-LV"/>
              </w:rPr>
            </w:pPr>
            <w:r w:rsidRPr="00935C08">
              <w:rPr>
                <w:b/>
                <w:sz w:val="26"/>
                <w:szCs w:val="26"/>
                <w:u w:val="single"/>
                <w:lang w:val="lv-LV"/>
              </w:rPr>
              <w:t>Jaundibināts saimnieciskās darbības veicējs</w:t>
            </w:r>
          </w:p>
          <w:p w:rsidR="00420760" w:rsidRPr="00935C08" w:rsidP="00420760" w14:paraId="09F04E06" w14:textId="0C7B8ABD">
            <w:pPr>
              <w:jc w:val="both"/>
              <w:rPr>
                <w:sz w:val="26"/>
                <w:szCs w:val="26"/>
                <w:lang w:val="lv-LV"/>
              </w:rPr>
            </w:pPr>
            <w:r w:rsidRPr="00935C08">
              <w:rPr>
                <w:sz w:val="26"/>
                <w:szCs w:val="26"/>
                <w:lang w:val="lv-LV"/>
              </w:rPr>
              <w:t xml:space="preserve">Līdzšinējā 27. un 28.punkta redakcija skaidri neregulē juridiskās personas iespējamo līdzdalību jaundibinātā komersantā, tādēļ nepieciešams 27.punkta papildinājums ar nosacījumu, ka juridiskām personām drīkst būt nebūtiska līdzdalība (t.i. saskaņā ar noteikumu 30. punktu – ne vairāk kā 25%). Kā piemērs minams jaunie uzņēmumi, kuri piedalījušies Latvijas vai ārvalstu </w:t>
            </w:r>
            <w:r w:rsidRPr="00935C08">
              <w:rPr>
                <w:sz w:val="26"/>
                <w:szCs w:val="26"/>
                <w:lang w:val="lv-LV"/>
              </w:rPr>
              <w:t>akceleratoru</w:t>
            </w:r>
            <w:r w:rsidRPr="00935C08">
              <w:rPr>
                <w:sz w:val="26"/>
                <w:szCs w:val="26"/>
                <w:lang w:val="lv-LV"/>
              </w:rPr>
              <w:t xml:space="preserve"> programmās, pēc kuras </w:t>
            </w:r>
            <w:r w:rsidRPr="00935C08">
              <w:rPr>
                <w:sz w:val="26"/>
                <w:szCs w:val="26"/>
                <w:lang w:val="lv-LV"/>
              </w:rPr>
              <w:t>akcelerators</w:t>
            </w:r>
            <w:r w:rsidRPr="00935C08">
              <w:rPr>
                <w:sz w:val="26"/>
                <w:szCs w:val="26"/>
                <w:lang w:val="lv-LV"/>
              </w:rPr>
              <w:t xml:space="preserve"> parasti iegūst aptuveni 5-10% līdzdalību komersanta daļās. Šāda līdzdalība nav uzskatāma par būtisku un minētie uzņēmumi būtu viena no mērķa grupām, kuriem komercbankas neizsniedz aizdevumus, jo vēl nav stabili ieņēmumi</w:t>
            </w:r>
          </w:p>
        </w:tc>
      </w:tr>
      <w:tr w14:paraId="41041CF1" w14:textId="77777777" w:rsidTr="00871E2F">
        <w:tblPrEx>
          <w:tblW w:w="9129" w:type="dxa"/>
          <w:tblCellMar>
            <w:top w:w="30" w:type="dxa"/>
            <w:left w:w="30" w:type="dxa"/>
            <w:bottom w:w="30" w:type="dxa"/>
            <w:right w:w="30" w:type="dxa"/>
          </w:tblCellMar>
          <w:tblLook w:val="04A0"/>
        </w:tblPrEx>
        <w:trPr>
          <w:trHeight w:val="465"/>
        </w:trPr>
        <w:tc>
          <w:tcPr>
            <w:tcW w:w="418"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5CAB363A"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3.</w:t>
            </w:r>
          </w:p>
        </w:tc>
        <w:tc>
          <w:tcPr>
            <w:tcW w:w="1752"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2F4C459C"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Projekta izstrādē iesaistītās institūcijas</w:t>
            </w:r>
          </w:p>
        </w:tc>
        <w:tc>
          <w:tcPr>
            <w:tcW w:w="6959"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1C1732C9" w14:textId="77777777">
            <w:pPr>
              <w:spacing w:before="100" w:beforeAutospacing="1" w:after="100" w:afterAutospacing="1"/>
              <w:ind w:left="60"/>
              <w:rPr>
                <w:rFonts w:eastAsia="Times New Roman"/>
                <w:sz w:val="26"/>
                <w:szCs w:val="26"/>
                <w:lang w:val="lv-LV" w:eastAsia="lv-LV"/>
              </w:rPr>
            </w:pPr>
            <w:r w:rsidRPr="00935C08">
              <w:rPr>
                <w:sz w:val="26"/>
                <w:szCs w:val="26"/>
                <w:lang w:val="lv-LV"/>
              </w:rPr>
              <w:t>E</w:t>
            </w:r>
            <w:r w:rsidRPr="00935C08" w:rsidR="00547ACF">
              <w:rPr>
                <w:sz w:val="26"/>
                <w:szCs w:val="26"/>
                <w:lang w:val="lv-LV"/>
              </w:rPr>
              <w:t>konomikas ministrija</w:t>
            </w:r>
            <w:r w:rsidRPr="00935C08">
              <w:rPr>
                <w:sz w:val="26"/>
                <w:szCs w:val="26"/>
                <w:lang w:val="lv-LV"/>
              </w:rPr>
              <w:t xml:space="preserve">, </w:t>
            </w:r>
            <w:r w:rsidRPr="00935C08" w:rsidR="00547ACF">
              <w:rPr>
                <w:sz w:val="26"/>
                <w:szCs w:val="26"/>
                <w:lang w:val="lv-LV"/>
              </w:rPr>
              <w:t xml:space="preserve">akciju sabiedrība “Attīstības finanšu institūcija </w:t>
            </w:r>
            <w:r w:rsidRPr="00935C08" w:rsidR="00547ACF">
              <w:rPr>
                <w:sz w:val="26"/>
                <w:szCs w:val="26"/>
                <w:lang w:val="lv-LV"/>
              </w:rPr>
              <w:t>Altum</w:t>
            </w:r>
            <w:r w:rsidRPr="00935C08" w:rsidR="00547ACF">
              <w:rPr>
                <w:sz w:val="26"/>
                <w:szCs w:val="26"/>
                <w:lang w:val="lv-LV"/>
              </w:rPr>
              <w:t>”</w:t>
            </w:r>
          </w:p>
        </w:tc>
      </w:tr>
      <w:tr w14:paraId="3C98D228" w14:textId="77777777" w:rsidTr="00871E2F">
        <w:tblPrEx>
          <w:tblW w:w="9129" w:type="dxa"/>
          <w:tblCellMar>
            <w:top w:w="30" w:type="dxa"/>
            <w:left w:w="30" w:type="dxa"/>
            <w:bottom w:w="30" w:type="dxa"/>
            <w:right w:w="30" w:type="dxa"/>
          </w:tblCellMar>
          <w:tblLook w:val="04A0"/>
        </w:tblPrEx>
        <w:tc>
          <w:tcPr>
            <w:tcW w:w="418"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55D70DCF"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4.</w:t>
            </w:r>
          </w:p>
        </w:tc>
        <w:tc>
          <w:tcPr>
            <w:tcW w:w="1752"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3639AA3F"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Cita informācija</w:t>
            </w:r>
          </w:p>
        </w:tc>
        <w:tc>
          <w:tcPr>
            <w:tcW w:w="6959" w:type="dxa"/>
            <w:tcBorders>
              <w:top w:val="outset" w:sz="6" w:space="0" w:color="414142"/>
              <w:left w:val="outset" w:sz="6" w:space="0" w:color="414142"/>
              <w:bottom w:val="outset" w:sz="6" w:space="0" w:color="414142"/>
              <w:right w:val="outset" w:sz="6" w:space="0" w:color="414142"/>
            </w:tcBorders>
            <w:hideMark/>
          </w:tcPr>
          <w:p w:rsidR="00844176" w:rsidRPr="00935C08" w:rsidP="00547ACF" w14:paraId="5D4509E1"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 xml:space="preserve">Nav </w:t>
            </w:r>
          </w:p>
        </w:tc>
      </w:tr>
      <w:tr w14:paraId="5271E387" w14:textId="77777777" w:rsidTr="00871E2F">
        <w:tblPrEx>
          <w:tblW w:w="9129" w:type="dxa"/>
          <w:tblCellMar>
            <w:top w:w="30" w:type="dxa"/>
            <w:left w:w="30" w:type="dxa"/>
            <w:bottom w:w="30" w:type="dxa"/>
            <w:right w:w="30" w:type="dxa"/>
          </w:tblCellMar>
          <w:tblLook w:val="04A0"/>
        </w:tblPrEx>
        <w:trPr>
          <w:trHeight w:val="128"/>
        </w:trPr>
        <w:tc>
          <w:tcPr>
            <w:tcW w:w="9129" w:type="dxa"/>
            <w:gridSpan w:val="3"/>
            <w:tcBorders>
              <w:top w:val="outset" w:sz="6" w:space="0" w:color="414142"/>
              <w:left w:val="nil"/>
              <w:bottom w:val="outset" w:sz="6" w:space="0" w:color="414142"/>
              <w:right w:val="nil"/>
            </w:tcBorders>
            <w:hideMark/>
          </w:tcPr>
          <w:p w:rsidR="00844176" w:rsidRPr="00935C08" w:rsidP="00871E2F" w14:paraId="4DC32511" w14:textId="77777777">
            <w:pPr>
              <w:tabs>
                <w:tab w:val="left" w:pos="990"/>
              </w:tabs>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ab/>
            </w:r>
          </w:p>
        </w:tc>
      </w:tr>
    </w:tbl>
    <w:p w:rsidR="00844176" w:rsidRPr="00935C08" w:rsidP="00844176" w14:paraId="76329086" w14:textId="77777777">
      <w:pPr>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70"/>
        <w:gridCol w:w="2134"/>
        <w:gridCol w:w="6725"/>
      </w:tblGrid>
      <w:tr w14:paraId="7175E08A" w14:textId="77777777" w:rsidTr="00871E2F">
        <w:tblPrEx>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9129" w:type="dxa"/>
            <w:gridSpan w:val="3"/>
            <w:tcBorders>
              <w:top w:val="nil"/>
              <w:left w:val="outset" w:sz="6" w:space="0" w:color="414142"/>
              <w:bottom w:val="outset" w:sz="6" w:space="0" w:color="414142"/>
              <w:right w:val="outset" w:sz="6" w:space="0" w:color="414142"/>
            </w:tcBorders>
            <w:hideMark/>
          </w:tcPr>
          <w:p w:rsidR="00844176" w:rsidRPr="00935C08" w:rsidP="00871E2F" w14:paraId="0CDF66C2" w14:textId="77777777">
            <w:pPr>
              <w:spacing w:before="100" w:beforeAutospacing="1" w:after="100" w:afterAutospacing="1"/>
              <w:ind w:firstLine="300"/>
              <w:jc w:val="center"/>
              <w:rPr>
                <w:rFonts w:eastAsia="Times New Roman"/>
                <w:sz w:val="26"/>
                <w:szCs w:val="26"/>
                <w:lang w:val="lv-LV" w:eastAsia="lv-LV"/>
              </w:rPr>
            </w:pPr>
            <w:r w:rsidRPr="00935C08">
              <w:rPr>
                <w:rFonts w:eastAsia="Times New Roman"/>
                <w:b/>
                <w:bCs/>
                <w:color w:val="000000"/>
                <w:sz w:val="26"/>
                <w:szCs w:val="26"/>
                <w:lang w:val="lv-LV" w:eastAsia="lv-LV"/>
              </w:rPr>
              <w:t>II. Tiesību akta projekta ietekme uz sabiedrību, tautsaimniecības attīstību un administratīvo slogu</w:t>
            </w:r>
          </w:p>
        </w:tc>
      </w:tr>
      <w:tr w14:paraId="3867AEAD" w14:textId="77777777" w:rsidTr="00E0333C">
        <w:tblPrEx>
          <w:tblW w:w="9129" w:type="dxa"/>
          <w:tblCellMar>
            <w:top w:w="30" w:type="dxa"/>
            <w:left w:w="30" w:type="dxa"/>
            <w:bottom w:w="30" w:type="dxa"/>
            <w:right w:w="30" w:type="dxa"/>
          </w:tblCellMar>
          <w:tblLook w:val="04A0"/>
        </w:tblPrEx>
        <w:trPr>
          <w:trHeight w:val="465"/>
        </w:trPr>
        <w:tc>
          <w:tcPr>
            <w:tcW w:w="270"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5233F396"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2E14993C"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 xml:space="preserve">Sabiedrības </w:t>
            </w:r>
            <w:r w:rsidRPr="00935C08">
              <w:rPr>
                <w:rFonts w:eastAsia="Times New Roman"/>
                <w:color w:val="000000"/>
                <w:sz w:val="26"/>
                <w:szCs w:val="26"/>
                <w:lang w:val="lv-LV" w:eastAsia="lv-LV"/>
              </w:rPr>
              <w:t>mērķgrupas</w:t>
            </w:r>
            <w:r w:rsidRPr="00935C08">
              <w:rPr>
                <w:rFonts w:eastAsia="Times New Roman"/>
                <w:color w:val="000000"/>
                <w:sz w:val="26"/>
                <w:szCs w:val="26"/>
                <w:lang w:val="lv-LV" w:eastAsia="lv-LV"/>
              </w:rPr>
              <w:t>,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6747612B" w14:textId="77777777">
            <w:pPr>
              <w:ind w:left="223" w:right="201"/>
              <w:jc w:val="both"/>
              <w:rPr>
                <w:sz w:val="26"/>
                <w:szCs w:val="26"/>
                <w:lang w:val="lv-LV"/>
              </w:rPr>
            </w:pPr>
            <w:r w:rsidRPr="00935C08">
              <w:rPr>
                <w:sz w:val="26"/>
                <w:szCs w:val="26"/>
                <w:lang w:val="lv-LV"/>
              </w:rPr>
              <w:t xml:space="preserve">Latvijā reģistrēti saimnieciskās darbības veicēji, </w:t>
            </w:r>
            <w:r w:rsidRPr="00935C08" w:rsidR="00B83EED">
              <w:rPr>
                <w:sz w:val="26"/>
                <w:szCs w:val="26"/>
                <w:lang w:val="lv-LV"/>
              </w:rPr>
              <w:t>akciju sabiedrība</w:t>
            </w:r>
            <w:r w:rsidRPr="00935C08" w:rsidR="003F0341">
              <w:rPr>
                <w:sz w:val="26"/>
                <w:szCs w:val="26"/>
                <w:lang w:val="lv-LV"/>
              </w:rPr>
              <w:t xml:space="preserve"> “Attīstības finanšu institūcija </w:t>
            </w:r>
            <w:r w:rsidRPr="00935C08" w:rsidR="003F0341">
              <w:rPr>
                <w:sz w:val="26"/>
                <w:szCs w:val="26"/>
                <w:lang w:val="lv-LV"/>
              </w:rPr>
              <w:t>Altum</w:t>
            </w:r>
            <w:r w:rsidRPr="00935C08" w:rsidR="003F0341">
              <w:rPr>
                <w:sz w:val="26"/>
                <w:szCs w:val="26"/>
                <w:lang w:val="lv-LV"/>
              </w:rPr>
              <w:t>”</w:t>
            </w:r>
            <w:r w:rsidRPr="00935C08">
              <w:rPr>
                <w:sz w:val="26"/>
                <w:szCs w:val="26"/>
                <w:lang w:val="lv-LV"/>
              </w:rPr>
              <w:t>.</w:t>
            </w:r>
          </w:p>
        </w:tc>
      </w:tr>
      <w:tr w14:paraId="7D9FA66B" w14:textId="77777777" w:rsidTr="00E0333C">
        <w:tblPrEx>
          <w:tblW w:w="9129" w:type="dxa"/>
          <w:tblCellMar>
            <w:top w:w="30" w:type="dxa"/>
            <w:left w:w="30" w:type="dxa"/>
            <w:bottom w:w="30" w:type="dxa"/>
            <w:right w:w="30" w:type="dxa"/>
          </w:tblCellMar>
          <w:tblLook w:val="04A0"/>
        </w:tblPrEx>
        <w:trPr>
          <w:trHeight w:val="510"/>
        </w:trPr>
        <w:tc>
          <w:tcPr>
            <w:tcW w:w="270"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7CA4E694"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5D2EC3C2"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6618DD63" w14:textId="77777777">
            <w:pPr>
              <w:pStyle w:val="BodyText"/>
              <w:ind w:left="223" w:right="201"/>
              <w:rPr>
                <w:rFonts w:eastAsia="Calibri"/>
                <w:sz w:val="26"/>
                <w:szCs w:val="26"/>
                <w:lang w:eastAsia="en-US"/>
              </w:rPr>
            </w:pPr>
            <w:r w:rsidRPr="00935C08">
              <w:rPr>
                <w:rFonts w:eastAsia="Calibri"/>
                <w:sz w:val="26"/>
                <w:szCs w:val="26"/>
                <w:lang w:eastAsia="en-US"/>
              </w:rPr>
              <w:t>Noteikumu projekts neparedz ietekmi uz administratīvo slogu.</w:t>
            </w:r>
          </w:p>
          <w:p w:rsidR="00844176" w:rsidRPr="00935C08" w:rsidP="00DC64F8" w14:paraId="62F21F17" w14:textId="714AA087">
            <w:pPr>
              <w:pStyle w:val="BodyText"/>
              <w:ind w:left="223" w:right="201"/>
              <w:rPr>
                <w:rFonts w:eastAsia="Calibri"/>
                <w:sz w:val="26"/>
                <w:szCs w:val="26"/>
                <w:lang w:eastAsia="en-US"/>
              </w:rPr>
            </w:pPr>
          </w:p>
        </w:tc>
      </w:tr>
      <w:tr w14:paraId="183D00C8" w14:textId="77777777" w:rsidTr="00E0333C">
        <w:tblPrEx>
          <w:tblW w:w="9129" w:type="dxa"/>
          <w:tblCellMar>
            <w:top w:w="30" w:type="dxa"/>
            <w:left w:w="30" w:type="dxa"/>
            <w:bottom w:w="30" w:type="dxa"/>
            <w:right w:w="30" w:type="dxa"/>
          </w:tblCellMar>
          <w:tblLook w:val="04A0"/>
        </w:tblPrEx>
        <w:trPr>
          <w:trHeight w:val="510"/>
        </w:trPr>
        <w:tc>
          <w:tcPr>
            <w:tcW w:w="270"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70C05ABE"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1E661F3D"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4EC93682" w14:textId="77777777">
            <w:pPr>
              <w:pStyle w:val="BodyText"/>
              <w:ind w:left="223" w:right="201"/>
              <w:rPr>
                <w:rFonts w:eastAsia="Calibri"/>
                <w:sz w:val="26"/>
                <w:szCs w:val="26"/>
                <w:lang w:eastAsia="en-US"/>
              </w:rPr>
            </w:pPr>
            <w:r w:rsidRPr="00935C08">
              <w:rPr>
                <w:rFonts w:eastAsia="Calibri"/>
                <w:sz w:val="26"/>
                <w:szCs w:val="26"/>
                <w:lang w:eastAsia="en-US"/>
              </w:rPr>
              <w:t>Projekts šo jomu neskar.</w:t>
            </w:r>
          </w:p>
        </w:tc>
      </w:tr>
      <w:tr w14:paraId="2F7C8B1B" w14:textId="77777777" w:rsidTr="00E0333C">
        <w:tblPrEx>
          <w:tblW w:w="9129" w:type="dxa"/>
          <w:tblCellMar>
            <w:top w:w="30" w:type="dxa"/>
            <w:left w:w="30" w:type="dxa"/>
            <w:bottom w:w="30" w:type="dxa"/>
            <w:right w:w="30" w:type="dxa"/>
          </w:tblCellMar>
          <w:tblLook w:val="04A0"/>
        </w:tblPrEx>
        <w:trPr>
          <w:trHeight w:val="345"/>
        </w:trPr>
        <w:tc>
          <w:tcPr>
            <w:tcW w:w="270"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7753AD2E"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6027A436"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6BD39809" w14:textId="77777777">
            <w:pPr>
              <w:ind w:left="223" w:right="201"/>
              <w:jc w:val="both"/>
              <w:rPr>
                <w:sz w:val="26"/>
                <w:szCs w:val="26"/>
                <w:lang w:val="lv-LV"/>
              </w:rPr>
            </w:pPr>
            <w:r w:rsidRPr="00935C08">
              <w:rPr>
                <w:sz w:val="26"/>
                <w:szCs w:val="26"/>
                <w:lang w:val="lv-LV"/>
              </w:rPr>
              <w:t>Nav</w:t>
            </w:r>
          </w:p>
        </w:tc>
      </w:tr>
    </w:tbl>
    <w:p w:rsidR="00E0333C" w:rsidRPr="00935C08" w:rsidP="00E0333C" w14:paraId="57D2014F" w14:textId="77777777">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14:paraId="5C3AC8E5" w14:textId="77777777" w:rsidTr="002E7B7E">
        <w:tblPrEx>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E0333C" w:rsidRPr="00935C08" w:rsidP="00907DD7" w14:paraId="2E8916C1" w14:textId="77777777">
            <w:pPr>
              <w:jc w:val="center"/>
              <w:rPr>
                <w:rFonts w:eastAsia="Times New Roman"/>
                <w:b/>
                <w:sz w:val="26"/>
                <w:szCs w:val="26"/>
                <w:lang w:val="lv-LV" w:eastAsia="lv-LV"/>
              </w:rPr>
            </w:pPr>
            <w:r w:rsidRPr="00935C08">
              <w:rPr>
                <w:rFonts w:eastAsia="Times New Roman"/>
                <w:b/>
                <w:bCs/>
                <w:sz w:val="26"/>
                <w:szCs w:val="26"/>
                <w:lang w:val="lv-LV" w:eastAsia="lv-LV"/>
              </w:rPr>
              <w:t>III. Tiesību akta projekta ietekme uz valsts budžetu un pašvaldību budžetiem</w:t>
            </w:r>
          </w:p>
        </w:tc>
      </w:tr>
      <w:tr w14:paraId="07D6D83D" w14:textId="77777777" w:rsidTr="002E7B7E">
        <w:tblPrEx>
          <w:tblW w:w="9180" w:type="dxa"/>
          <w:tblInd w:w="-5" w:type="dxa"/>
          <w:tblLook w:val="04A0"/>
        </w:tblPrEx>
        <w:tc>
          <w:tcPr>
            <w:tcW w:w="9180" w:type="dxa"/>
            <w:tcBorders>
              <w:top w:val="single" w:sz="4" w:space="0" w:color="auto"/>
              <w:left w:val="single" w:sz="4" w:space="0" w:color="auto"/>
              <w:bottom w:val="single" w:sz="4" w:space="0" w:color="auto"/>
              <w:right w:val="single" w:sz="4" w:space="0" w:color="auto"/>
            </w:tcBorders>
            <w:shd w:val="clear" w:color="auto" w:fill="auto"/>
          </w:tcPr>
          <w:p w:rsidR="00E0333C" w:rsidRPr="00935C08" w:rsidP="00907DD7" w14:paraId="5639F0C7" w14:textId="0C87749B">
            <w:pPr>
              <w:jc w:val="center"/>
              <w:rPr>
                <w:rFonts w:eastAsia="Times New Roman"/>
                <w:bCs/>
                <w:sz w:val="26"/>
                <w:szCs w:val="26"/>
                <w:lang w:val="lv-LV" w:eastAsia="lv-LV"/>
              </w:rPr>
            </w:pPr>
            <w:r w:rsidRPr="00935C08">
              <w:rPr>
                <w:rFonts w:eastAsia="Times New Roman"/>
                <w:bCs/>
                <w:sz w:val="26"/>
                <w:szCs w:val="26"/>
                <w:lang w:val="lv-LV" w:eastAsia="lv-LV"/>
              </w:rPr>
              <w:t>MK n</w:t>
            </w:r>
            <w:r w:rsidRPr="00935C08">
              <w:rPr>
                <w:rFonts w:eastAsia="Times New Roman"/>
                <w:bCs/>
                <w:sz w:val="26"/>
                <w:szCs w:val="26"/>
                <w:lang w:val="lv-LV" w:eastAsia="lv-LV"/>
              </w:rPr>
              <w:t>oteikumu</w:t>
            </w:r>
            <w:r w:rsidRPr="00935C08">
              <w:rPr>
                <w:rFonts w:eastAsia="Times New Roman"/>
                <w:bCs/>
                <w:sz w:val="26"/>
                <w:szCs w:val="26"/>
                <w:lang w:val="lv-LV" w:eastAsia="lv-LV"/>
              </w:rPr>
              <w:t xml:space="preserve"> grozījumu</w:t>
            </w:r>
            <w:r w:rsidRPr="00935C08">
              <w:rPr>
                <w:rFonts w:eastAsia="Times New Roman"/>
                <w:bCs/>
                <w:sz w:val="26"/>
                <w:szCs w:val="26"/>
                <w:lang w:val="lv-LV" w:eastAsia="lv-LV"/>
              </w:rPr>
              <w:t xml:space="preserve"> projekts šo jomu neskar.</w:t>
            </w:r>
          </w:p>
        </w:tc>
      </w:tr>
    </w:tbl>
    <w:p w:rsidR="00844176" w:rsidRPr="00935C08" w:rsidP="00844176" w14:paraId="57F14BC5" w14:textId="512F1E09">
      <w:pPr>
        <w:rPr>
          <w:rFonts w:eastAsia="Times New Roman"/>
          <w:sz w:val="26"/>
          <w:szCs w:val="26"/>
          <w:lang w:val="lv-LV"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1861"/>
        <w:gridCol w:w="6714"/>
      </w:tblGrid>
      <w:tr w14:paraId="6C33CD82" w14:textId="77777777" w:rsidTr="002D7D0E">
        <w:tblPrEx>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44176" w:rsidRPr="00935C08" w:rsidP="00871E2F" w14:paraId="5EF4B0E9" w14:textId="77777777">
            <w:pPr>
              <w:ind w:firstLine="300"/>
              <w:jc w:val="center"/>
              <w:rPr>
                <w:rFonts w:eastAsia="Times New Roman"/>
                <w:b/>
                <w:bCs/>
                <w:sz w:val="26"/>
                <w:szCs w:val="26"/>
                <w:lang w:val="lv-LV" w:eastAsia="lv-LV"/>
              </w:rPr>
            </w:pPr>
            <w:r w:rsidRPr="00935C08">
              <w:rPr>
                <w:rFonts w:eastAsia="Times New Roman"/>
                <w:b/>
                <w:bCs/>
                <w:sz w:val="26"/>
                <w:szCs w:val="26"/>
                <w:lang w:val="lv-LV" w:eastAsia="lv-LV"/>
              </w:rPr>
              <w:t>IV. Tiesību akta projekta ietekme uz spēkā esošo tiesību normu sistēmu</w:t>
            </w:r>
          </w:p>
        </w:tc>
      </w:tr>
      <w:tr w14:paraId="57818953" w14:textId="77777777" w:rsidTr="002D7D0E">
        <w:tblPrEx>
          <w:tblW w:w="4984"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1A5FDF87" w14:textId="77777777">
            <w:pPr>
              <w:rPr>
                <w:rFonts w:eastAsia="Times New Roman"/>
                <w:sz w:val="26"/>
                <w:szCs w:val="26"/>
                <w:lang w:val="lv-LV" w:eastAsia="lv-LV"/>
              </w:rPr>
            </w:pPr>
            <w:r w:rsidRPr="00935C08">
              <w:rPr>
                <w:rFonts w:eastAsia="Times New Roman"/>
                <w:sz w:val="26"/>
                <w:szCs w:val="26"/>
                <w:lang w:val="lv-LV" w:eastAsia="lv-LV"/>
              </w:rPr>
              <w:t>1.</w:t>
            </w:r>
          </w:p>
        </w:tc>
        <w:tc>
          <w:tcPr>
            <w:tcW w:w="1031"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6B0EF5B6" w14:textId="77777777">
            <w:pPr>
              <w:rPr>
                <w:rFonts w:eastAsia="Times New Roman"/>
                <w:sz w:val="26"/>
                <w:szCs w:val="26"/>
                <w:lang w:val="lv-LV" w:eastAsia="lv-LV"/>
              </w:rPr>
            </w:pPr>
            <w:r w:rsidRPr="00935C08">
              <w:rPr>
                <w:rFonts w:eastAsia="Times New Roman"/>
                <w:sz w:val="26"/>
                <w:szCs w:val="26"/>
                <w:lang w:val="lv-LV" w:eastAsia="lv-LV"/>
              </w:rPr>
              <w:t>Nepieciešamie saistītie tiesību aktu projekti</w:t>
            </w:r>
          </w:p>
        </w:tc>
        <w:tc>
          <w:tcPr>
            <w:tcW w:w="3719" w:type="pct"/>
            <w:tcBorders>
              <w:top w:val="outset" w:sz="6" w:space="0" w:color="414142"/>
              <w:left w:val="outset" w:sz="6" w:space="0" w:color="414142"/>
              <w:bottom w:val="outset" w:sz="6" w:space="0" w:color="414142"/>
              <w:right w:val="outset" w:sz="6" w:space="0" w:color="414142"/>
            </w:tcBorders>
            <w:hideMark/>
          </w:tcPr>
          <w:p w:rsidR="00844176" w:rsidRPr="00935C08" w:rsidP="007F6449" w14:paraId="37F545BF" w14:textId="77777777">
            <w:pPr>
              <w:pStyle w:val="BodyText"/>
              <w:ind w:right="142"/>
              <w:rPr>
                <w:rFonts w:eastAsia="Calibri"/>
                <w:sz w:val="26"/>
                <w:szCs w:val="26"/>
                <w:lang w:eastAsia="en-US"/>
              </w:rPr>
            </w:pPr>
            <w:r w:rsidRPr="00935C08">
              <w:rPr>
                <w:sz w:val="26"/>
                <w:szCs w:val="26"/>
              </w:rPr>
              <w:t>Nav</w:t>
            </w:r>
            <w:r w:rsidRPr="00935C08">
              <w:rPr>
                <w:sz w:val="26"/>
                <w:szCs w:val="26"/>
              </w:rPr>
              <w:t>.</w:t>
            </w:r>
          </w:p>
        </w:tc>
      </w:tr>
      <w:tr w14:paraId="3469659F" w14:textId="77777777" w:rsidTr="002D7D0E">
        <w:tblPrEx>
          <w:tblW w:w="4984"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1F7E264C" w14:textId="77777777">
            <w:pPr>
              <w:rPr>
                <w:rFonts w:eastAsia="Times New Roman"/>
                <w:sz w:val="26"/>
                <w:szCs w:val="26"/>
                <w:lang w:val="lv-LV" w:eastAsia="lv-LV"/>
              </w:rPr>
            </w:pPr>
            <w:r w:rsidRPr="00935C08">
              <w:rPr>
                <w:rFonts w:eastAsia="Times New Roman"/>
                <w:sz w:val="26"/>
                <w:szCs w:val="26"/>
                <w:lang w:val="lv-LV" w:eastAsia="lv-LV"/>
              </w:rPr>
              <w:t>2.</w:t>
            </w:r>
          </w:p>
        </w:tc>
        <w:tc>
          <w:tcPr>
            <w:tcW w:w="1031"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458FEFBA" w14:textId="77777777">
            <w:pPr>
              <w:rPr>
                <w:rFonts w:eastAsia="Times New Roman"/>
                <w:sz w:val="26"/>
                <w:szCs w:val="26"/>
                <w:lang w:val="lv-LV" w:eastAsia="lv-LV"/>
              </w:rPr>
            </w:pPr>
            <w:r w:rsidRPr="00935C08">
              <w:rPr>
                <w:rFonts w:eastAsia="Times New Roman"/>
                <w:sz w:val="26"/>
                <w:szCs w:val="26"/>
                <w:lang w:val="lv-LV" w:eastAsia="lv-LV"/>
              </w:rPr>
              <w:t>Atbildīgā institūcija</w:t>
            </w:r>
          </w:p>
        </w:tc>
        <w:tc>
          <w:tcPr>
            <w:tcW w:w="3719"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3DEC7C4D" w14:textId="77777777">
            <w:pPr>
              <w:pStyle w:val="BodyText"/>
              <w:ind w:right="142"/>
              <w:rPr>
                <w:rFonts w:eastAsia="Calibri"/>
                <w:sz w:val="26"/>
                <w:szCs w:val="26"/>
                <w:lang w:eastAsia="en-US"/>
              </w:rPr>
            </w:pPr>
            <w:r w:rsidRPr="00935C08">
              <w:rPr>
                <w:rFonts w:eastAsia="Calibri"/>
                <w:sz w:val="26"/>
                <w:szCs w:val="26"/>
                <w:lang w:eastAsia="en-US"/>
              </w:rPr>
              <w:t>Ekonomikas ministrija</w:t>
            </w:r>
          </w:p>
        </w:tc>
      </w:tr>
      <w:tr w14:paraId="32F2DD54" w14:textId="77777777" w:rsidTr="002D7D0E">
        <w:tblPrEx>
          <w:tblW w:w="4984"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4A6C61D3" w14:textId="77777777">
            <w:pPr>
              <w:rPr>
                <w:rFonts w:eastAsia="Times New Roman"/>
                <w:sz w:val="26"/>
                <w:szCs w:val="26"/>
                <w:lang w:val="lv-LV" w:eastAsia="lv-LV"/>
              </w:rPr>
            </w:pPr>
            <w:r w:rsidRPr="00935C08">
              <w:rPr>
                <w:rFonts w:eastAsia="Times New Roman"/>
                <w:sz w:val="26"/>
                <w:szCs w:val="26"/>
                <w:lang w:val="lv-LV" w:eastAsia="lv-LV"/>
              </w:rPr>
              <w:t>3.</w:t>
            </w:r>
          </w:p>
        </w:tc>
        <w:tc>
          <w:tcPr>
            <w:tcW w:w="1031"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3AF1A60F" w14:textId="77777777">
            <w:pPr>
              <w:rPr>
                <w:rFonts w:eastAsia="Times New Roman"/>
                <w:sz w:val="26"/>
                <w:szCs w:val="26"/>
                <w:lang w:val="lv-LV" w:eastAsia="lv-LV"/>
              </w:rPr>
            </w:pPr>
            <w:r w:rsidRPr="00935C08">
              <w:rPr>
                <w:rFonts w:eastAsia="Times New Roman"/>
                <w:sz w:val="26"/>
                <w:szCs w:val="26"/>
                <w:lang w:val="lv-LV" w:eastAsia="lv-LV"/>
              </w:rPr>
              <w:t>Cita informācija</w:t>
            </w:r>
          </w:p>
        </w:tc>
        <w:tc>
          <w:tcPr>
            <w:tcW w:w="3719"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637C4F16" w14:textId="4180BA14">
            <w:pPr>
              <w:jc w:val="both"/>
              <w:rPr>
                <w:sz w:val="26"/>
                <w:szCs w:val="26"/>
                <w:lang w:val="lv-LV"/>
              </w:rPr>
            </w:pPr>
            <w:r w:rsidRPr="00935C08">
              <w:rPr>
                <w:sz w:val="26"/>
                <w:szCs w:val="26"/>
                <w:lang w:val="lv-LV"/>
              </w:rPr>
              <w:t>Nav.</w:t>
            </w:r>
          </w:p>
        </w:tc>
      </w:tr>
    </w:tbl>
    <w:p w:rsidR="00844176" w:rsidRPr="00935C08" w:rsidP="00844176" w14:paraId="2A21AD4B" w14:textId="77777777">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2699"/>
        <w:gridCol w:w="6088"/>
      </w:tblGrid>
      <w:tr w14:paraId="07C3ABEE" w14:textId="77777777" w:rsidTr="00871E2F">
        <w:tblPrEx>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hideMark/>
          </w:tcPr>
          <w:p w:rsidR="00844176" w:rsidRPr="00935C08" w:rsidP="00871E2F" w14:paraId="6901DE8D" w14:textId="77777777">
            <w:pPr>
              <w:spacing w:before="100" w:beforeAutospacing="1" w:after="100" w:afterAutospacing="1"/>
              <w:ind w:firstLine="300"/>
              <w:jc w:val="center"/>
              <w:rPr>
                <w:rFonts w:eastAsia="Times New Roman"/>
                <w:sz w:val="26"/>
                <w:szCs w:val="26"/>
                <w:lang w:val="lv-LV" w:eastAsia="lv-LV"/>
              </w:rPr>
            </w:pPr>
            <w:r w:rsidRPr="00935C08">
              <w:rPr>
                <w:rFonts w:eastAsia="Times New Roman"/>
                <w:b/>
                <w:bCs/>
                <w:color w:val="000000"/>
                <w:sz w:val="26"/>
                <w:szCs w:val="26"/>
                <w:lang w:val="lv-LV" w:eastAsia="lv-LV"/>
              </w:rPr>
              <w:t>V. Tiesību akta projekta atbilstība Latvijas Republikas starptautiskajām saistībām</w:t>
            </w:r>
          </w:p>
        </w:tc>
      </w:tr>
      <w:tr w14:paraId="17F7F902" w14:textId="77777777" w:rsidTr="00871E2F">
        <w:tblPrEx>
          <w:tblW w:w="9205" w:type="dxa"/>
          <w:tblCellMar>
            <w:top w:w="30" w:type="dxa"/>
            <w:left w:w="30" w:type="dxa"/>
            <w:bottom w:w="30" w:type="dxa"/>
            <w:right w:w="30" w:type="dxa"/>
          </w:tblCellMar>
          <w:tblLook w:val="04A0"/>
        </w:tblPrEx>
        <w:tc>
          <w:tcPr>
            <w:tcW w:w="227"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78A781BB" w14:textId="77777777">
            <w:pPr>
              <w:rPr>
                <w:rFonts w:eastAsia="Times New Roman"/>
                <w:sz w:val="26"/>
                <w:szCs w:val="26"/>
                <w:lang w:val="lv-LV" w:eastAsia="lv-LV"/>
              </w:rPr>
            </w:pPr>
            <w:r w:rsidRPr="00935C08">
              <w:rPr>
                <w:rFonts w:eastAsia="Times New Roman"/>
                <w:sz w:val="26"/>
                <w:szCs w:val="26"/>
                <w:lang w:val="lv-LV"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4D28CC95" w14:textId="77777777">
            <w:pPr>
              <w:jc w:val="both"/>
              <w:rPr>
                <w:rFonts w:eastAsia="Times New Roman"/>
                <w:sz w:val="26"/>
                <w:szCs w:val="26"/>
                <w:lang w:val="lv-LV" w:eastAsia="lv-LV"/>
              </w:rPr>
            </w:pPr>
            <w:r w:rsidRPr="00935C08">
              <w:rPr>
                <w:rFonts w:eastAsia="Times New Roman"/>
                <w:sz w:val="26"/>
                <w:szCs w:val="26"/>
                <w:lang w:val="lv-LV" w:eastAsia="lv-LV"/>
              </w:rPr>
              <w:t>Saistības pret Eiropas Savienību</w:t>
            </w:r>
          </w:p>
        </w:tc>
        <w:tc>
          <w:tcPr>
            <w:tcW w:w="3307" w:type="pct"/>
            <w:tcBorders>
              <w:top w:val="outset" w:sz="6" w:space="0" w:color="414142"/>
              <w:left w:val="outset" w:sz="6" w:space="0" w:color="414142"/>
              <w:bottom w:val="outset" w:sz="6" w:space="0" w:color="414142"/>
              <w:right w:val="outset" w:sz="6" w:space="0" w:color="414142"/>
            </w:tcBorders>
            <w:hideMark/>
          </w:tcPr>
          <w:p w:rsidR="00C45150" w:rsidRPr="00935C08" w:rsidP="00281C0B" w14:paraId="69DDB98D" w14:textId="6A3CF50C">
            <w:pPr>
              <w:jc w:val="both"/>
              <w:rPr>
                <w:rFonts w:eastAsia="Times New Roman"/>
                <w:sz w:val="26"/>
                <w:szCs w:val="26"/>
                <w:lang w:val="lv-LV"/>
              </w:rPr>
            </w:pPr>
            <w:r w:rsidRPr="00935C08">
              <w:rPr>
                <w:rFonts w:eastAsia="Times New Roman"/>
                <w:sz w:val="26"/>
                <w:szCs w:val="26"/>
                <w:lang w:val="lv-LV"/>
              </w:rPr>
              <w:t xml:space="preserve">Ar </w:t>
            </w:r>
            <w:r w:rsidRPr="00935C08" w:rsidR="00FA2346">
              <w:rPr>
                <w:rFonts w:eastAsia="Times New Roman"/>
                <w:sz w:val="26"/>
                <w:szCs w:val="26"/>
                <w:lang w:val="lv-LV"/>
              </w:rPr>
              <w:t>MK n</w:t>
            </w:r>
            <w:r w:rsidRPr="00935C08">
              <w:rPr>
                <w:rFonts w:eastAsia="Times New Roman"/>
                <w:sz w:val="26"/>
                <w:szCs w:val="26"/>
                <w:lang w:val="lv-LV"/>
              </w:rPr>
              <w:t>oteikumu</w:t>
            </w:r>
            <w:r w:rsidRPr="00935C08" w:rsidR="00FA2346">
              <w:rPr>
                <w:rFonts w:eastAsia="Times New Roman"/>
                <w:sz w:val="26"/>
                <w:szCs w:val="26"/>
                <w:lang w:val="lv-LV"/>
              </w:rPr>
              <w:t xml:space="preserve"> grozījumu</w:t>
            </w:r>
            <w:r w:rsidRPr="00935C08">
              <w:rPr>
                <w:rFonts w:eastAsia="Times New Roman"/>
                <w:sz w:val="26"/>
                <w:szCs w:val="26"/>
                <w:lang w:val="lv-LV"/>
              </w:rPr>
              <w:t xml:space="preserve"> projektu tiks ieviestas prasības šādiem Eiropas Savienības tiesību aktiem:</w:t>
            </w:r>
          </w:p>
          <w:p w:rsidR="00281C0B" w:rsidRPr="00935C08" w:rsidP="00281C0B" w14:paraId="313D4E77" w14:textId="792E995A">
            <w:pPr>
              <w:jc w:val="both"/>
              <w:rPr>
                <w:bCs/>
                <w:color w:val="00B050"/>
                <w:sz w:val="24"/>
                <w:szCs w:val="24"/>
                <w:lang w:val="lv-LV"/>
              </w:rPr>
            </w:pPr>
            <w:r w:rsidRPr="00935C08">
              <w:rPr>
                <w:sz w:val="26"/>
                <w:szCs w:val="26"/>
                <w:lang w:val="lv-LV"/>
              </w:rPr>
              <w:t xml:space="preserve"> -  </w:t>
            </w:r>
            <w:r w:rsidRPr="00935C08">
              <w:rPr>
                <w:sz w:val="26"/>
                <w:szCs w:val="26"/>
                <w:lang w:val="lv-LV"/>
              </w:rPr>
              <w:t xml:space="preserve">Komisijas regula Nr. </w:t>
            </w:r>
            <w:r w:rsidRPr="00935C08" w:rsidR="00382FEC">
              <w:rPr>
                <w:sz w:val="26"/>
                <w:szCs w:val="26"/>
                <w:lang w:val="lv-LV"/>
              </w:rPr>
              <w:t>651</w:t>
            </w:r>
            <w:r w:rsidRPr="00935C08">
              <w:rPr>
                <w:sz w:val="26"/>
                <w:szCs w:val="26"/>
                <w:lang w:val="lv-LV"/>
              </w:rPr>
              <w:t>/201</w:t>
            </w:r>
            <w:r w:rsidRPr="00935C08" w:rsidR="00382FEC">
              <w:rPr>
                <w:sz w:val="26"/>
                <w:szCs w:val="26"/>
                <w:lang w:val="lv-LV"/>
              </w:rPr>
              <w:t>4</w:t>
            </w:r>
            <w:r w:rsidRPr="00935C08">
              <w:rPr>
                <w:sz w:val="24"/>
                <w:szCs w:val="24"/>
                <w:lang w:val="lv-LV"/>
              </w:rPr>
              <w:t xml:space="preserve"> </w:t>
            </w:r>
          </w:p>
        </w:tc>
      </w:tr>
      <w:tr w14:paraId="2BF33DFD" w14:textId="77777777" w:rsidTr="00871E2F">
        <w:tblPrEx>
          <w:tblW w:w="9205" w:type="dxa"/>
          <w:tblCellMar>
            <w:top w:w="30" w:type="dxa"/>
            <w:left w:w="30" w:type="dxa"/>
            <w:bottom w:w="30" w:type="dxa"/>
            <w:right w:w="30" w:type="dxa"/>
          </w:tblCellMar>
          <w:tblLook w:val="04A0"/>
        </w:tblPrEx>
        <w:tc>
          <w:tcPr>
            <w:tcW w:w="227"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1F188A09" w14:textId="77777777">
            <w:pPr>
              <w:rPr>
                <w:rFonts w:eastAsia="Times New Roman"/>
                <w:sz w:val="26"/>
                <w:szCs w:val="26"/>
                <w:lang w:val="lv-LV" w:eastAsia="lv-LV"/>
              </w:rPr>
            </w:pPr>
            <w:r w:rsidRPr="00935C08">
              <w:rPr>
                <w:rFonts w:eastAsia="Times New Roman"/>
                <w:sz w:val="26"/>
                <w:szCs w:val="26"/>
                <w:lang w:val="lv-LV" w:eastAsia="lv-LV"/>
              </w:rPr>
              <w:t>2.</w:t>
            </w:r>
          </w:p>
        </w:tc>
        <w:tc>
          <w:tcPr>
            <w:tcW w:w="1466"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0B74399D" w14:textId="77777777">
            <w:pPr>
              <w:jc w:val="both"/>
              <w:rPr>
                <w:rFonts w:eastAsia="Times New Roman"/>
                <w:sz w:val="26"/>
                <w:szCs w:val="26"/>
                <w:lang w:val="lv-LV" w:eastAsia="lv-LV"/>
              </w:rPr>
            </w:pPr>
            <w:r w:rsidRPr="00935C08">
              <w:rPr>
                <w:rFonts w:eastAsia="Times New Roman"/>
                <w:sz w:val="26"/>
                <w:szCs w:val="26"/>
                <w:lang w:val="lv-LV" w:eastAsia="lv-LV"/>
              </w:rPr>
              <w:t>Citas starptautiskās saistības</w:t>
            </w:r>
          </w:p>
        </w:tc>
        <w:tc>
          <w:tcPr>
            <w:tcW w:w="3307" w:type="pct"/>
            <w:tcBorders>
              <w:top w:val="outset" w:sz="6" w:space="0" w:color="414142"/>
              <w:left w:val="outset" w:sz="6" w:space="0" w:color="414142"/>
              <w:bottom w:val="outset" w:sz="6" w:space="0" w:color="414142"/>
              <w:right w:val="outset" w:sz="6" w:space="0" w:color="414142"/>
            </w:tcBorders>
            <w:hideMark/>
          </w:tcPr>
          <w:p w:rsidR="00844176" w:rsidRPr="00935C08" w:rsidP="00ED0911" w14:paraId="04D2F44F" w14:textId="533688DA">
            <w:pPr>
              <w:ind w:right="92"/>
              <w:jc w:val="both"/>
              <w:rPr>
                <w:rFonts w:eastAsia="Times New Roman"/>
                <w:sz w:val="26"/>
                <w:szCs w:val="26"/>
                <w:lang w:val="lv-LV" w:eastAsia="lv-LV"/>
              </w:rPr>
            </w:pPr>
            <w:r w:rsidRPr="00935C08">
              <w:rPr>
                <w:rFonts w:eastAsia="Times New Roman"/>
                <w:sz w:val="26"/>
                <w:szCs w:val="26"/>
                <w:lang w:val="lv-LV" w:eastAsia="lv-LV"/>
              </w:rPr>
              <w:t xml:space="preserve">MK noteikumu </w:t>
            </w:r>
            <w:r w:rsidRPr="00935C08" w:rsidR="00FA2346">
              <w:rPr>
                <w:rFonts w:eastAsia="Times New Roman"/>
                <w:sz w:val="26"/>
                <w:szCs w:val="26"/>
                <w:lang w:val="lv-LV" w:eastAsia="lv-LV"/>
              </w:rPr>
              <w:t xml:space="preserve">grozījumu </w:t>
            </w:r>
            <w:r w:rsidRPr="00935C08">
              <w:rPr>
                <w:rFonts w:eastAsia="Times New Roman"/>
                <w:sz w:val="26"/>
                <w:szCs w:val="26"/>
                <w:lang w:val="lv-LV" w:eastAsia="lv-LV"/>
              </w:rPr>
              <w:t>p</w:t>
            </w:r>
            <w:r w:rsidRPr="00935C08">
              <w:rPr>
                <w:rFonts w:eastAsia="Times New Roman"/>
                <w:sz w:val="26"/>
                <w:szCs w:val="26"/>
                <w:lang w:val="lv-LV" w:eastAsia="lv-LV"/>
              </w:rPr>
              <w:t>rojekts šo jomu neskar.</w:t>
            </w:r>
          </w:p>
        </w:tc>
      </w:tr>
      <w:tr w14:paraId="64229F4B" w14:textId="77777777" w:rsidTr="00871E2F">
        <w:tblPrEx>
          <w:tblW w:w="9205" w:type="dxa"/>
          <w:tblCellMar>
            <w:top w:w="30" w:type="dxa"/>
            <w:left w:w="30" w:type="dxa"/>
            <w:bottom w:w="30" w:type="dxa"/>
            <w:right w:w="30" w:type="dxa"/>
          </w:tblCellMar>
          <w:tblLook w:val="04A0"/>
        </w:tblPrEx>
        <w:tc>
          <w:tcPr>
            <w:tcW w:w="227"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2D9DCABC" w14:textId="77777777">
            <w:pPr>
              <w:rPr>
                <w:rFonts w:eastAsia="Times New Roman"/>
                <w:sz w:val="26"/>
                <w:szCs w:val="26"/>
                <w:lang w:val="lv-LV" w:eastAsia="lv-LV"/>
              </w:rPr>
            </w:pPr>
            <w:r w:rsidRPr="00935C08">
              <w:rPr>
                <w:rFonts w:eastAsia="Times New Roman"/>
                <w:sz w:val="26"/>
                <w:szCs w:val="26"/>
                <w:lang w:val="lv-LV"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rsidR="00844176" w:rsidRPr="00935C08" w:rsidP="00871E2F" w14:paraId="19774E23" w14:textId="77777777">
            <w:pPr>
              <w:jc w:val="both"/>
              <w:rPr>
                <w:rFonts w:eastAsia="Times New Roman"/>
                <w:sz w:val="26"/>
                <w:szCs w:val="26"/>
                <w:lang w:val="lv-LV" w:eastAsia="lv-LV"/>
              </w:rPr>
            </w:pPr>
            <w:r w:rsidRPr="00935C08">
              <w:rPr>
                <w:rFonts w:eastAsia="Times New Roman"/>
                <w:sz w:val="26"/>
                <w:szCs w:val="26"/>
                <w:lang w:val="lv-LV" w:eastAsia="lv-LV"/>
              </w:rPr>
              <w:t>Cita informācija</w:t>
            </w:r>
          </w:p>
        </w:tc>
        <w:tc>
          <w:tcPr>
            <w:tcW w:w="3307" w:type="pct"/>
            <w:tcBorders>
              <w:top w:val="outset" w:sz="6" w:space="0" w:color="414142"/>
              <w:left w:val="outset" w:sz="6" w:space="0" w:color="414142"/>
              <w:bottom w:val="outset" w:sz="6" w:space="0" w:color="414142"/>
              <w:right w:val="outset" w:sz="6" w:space="0" w:color="414142"/>
            </w:tcBorders>
            <w:hideMark/>
          </w:tcPr>
          <w:p w:rsidR="00844176" w:rsidRPr="00935C08" w:rsidP="00ED0911" w14:paraId="10FD6544" w14:textId="77777777">
            <w:pPr>
              <w:ind w:right="92"/>
              <w:jc w:val="both"/>
              <w:rPr>
                <w:rFonts w:eastAsia="Times New Roman"/>
                <w:sz w:val="26"/>
                <w:szCs w:val="26"/>
                <w:lang w:val="lv-LV" w:eastAsia="lv-LV"/>
              </w:rPr>
            </w:pPr>
            <w:r w:rsidRPr="00935C08">
              <w:rPr>
                <w:rFonts w:eastAsia="Times New Roman"/>
                <w:sz w:val="26"/>
                <w:szCs w:val="26"/>
                <w:lang w:val="lv-LV" w:eastAsia="lv-LV"/>
              </w:rPr>
              <w:t>Nav</w:t>
            </w:r>
          </w:p>
        </w:tc>
      </w:tr>
    </w:tbl>
    <w:p w:rsidR="00844176" w:rsidRPr="00935C08" w:rsidP="00844176" w14:paraId="1F45E5ED" w14:textId="77777777">
      <w:pPr>
        <w:rPr>
          <w:rFonts w:eastAsia="Times New Roman"/>
          <w:color w:val="000000"/>
          <w:sz w:val="26"/>
          <w:szCs w:val="26"/>
          <w:lang w:val="lv-LV" w:eastAsia="lv-LV"/>
        </w:rPr>
      </w:pPr>
      <w:r w:rsidRPr="00935C08">
        <w:rPr>
          <w:rFonts w:eastAsia="Times New Roman"/>
          <w:color w:val="000000"/>
          <w:sz w:val="26"/>
          <w:szCs w:val="26"/>
          <w:lang w:val="lv-LV" w:eastAsia="lv-LV"/>
        </w:rPr>
        <w:t>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123"/>
        <w:gridCol w:w="2254"/>
        <w:gridCol w:w="2534"/>
      </w:tblGrid>
      <w:tr w14:paraId="298E60E0" w14:textId="77777777" w:rsidTr="00871E2F">
        <w:tblPrEx>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08" w:type="dxa"/>
            <w:gridSpan w:val="4"/>
            <w:tcBorders>
              <w:top w:val="single" w:sz="4" w:space="0" w:color="auto"/>
              <w:left w:val="single" w:sz="4" w:space="0" w:color="auto"/>
              <w:bottom w:val="single" w:sz="4" w:space="0" w:color="auto"/>
              <w:right w:val="single" w:sz="4" w:space="0" w:color="auto"/>
            </w:tcBorders>
            <w:hideMark/>
          </w:tcPr>
          <w:p w:rsidR="00DC64F8" w:rsidRPr="00935C08" w:rsidP="00871E2F" w14:paraId="57927B3B" w14:textId="77777777">
            <w:pPr>
              <w:pStyle w:val="naisnod"/>
              <w:spacing w:before="0" w:beforeAutospacing="0" w:after="0" w:afterAutospacing="0"/>
              <w:jc w:val="center"/>
              <w:rPr>
                <w:color w:val="000000"/>
                <w:sz w:val="26"/>
                <w:szCs w:val="26"/>
                <w:lang w:eastAsia="en-US"/>
              </w:rPr>
            </w:pPr>
            <w:r w:rsidRPr="00935C08">
              <w:rPr>
                <w:b/>
                <w:color w:val="000000"/>
                <w:sz w:val="26"/>
                <w:szCs w:val="26"/>
                <w:lang w:eastAsia="en-US"/>
              </w:rPr>
              <w:t>1.tabula. Tiesību akta projekta atbilstība ES tiesību aktiem</w:t>
            </w:r>
          </w:p>
        </w:tc>
      </w:tr>
      <w:tr w14:paraId="4713CCCC" w14:textId="77777777" w:rsidTr="00871E2F">
        <w:tblPrEx>
          <w:tblW w:w="9208" w:type="dxa"/>
          <w:tblLook w:val="01E0"/>
        </w:tblPrEx>
        <w:tc>
          <w:tcPr>
            <w:tcW w:w="2297" w:type="dxa"/>
            <w:tcBorders>
              <w:top w:val="single" w:sz="4" w:space="0" w:color="auto"/>
              <w:left w:val="single" w:sz="4" w:space="0" w:color="auto"/>
              <w:bottom w:val="single" w:sz="4" w:space="0" w:color="auto"/>
              <w:right w:val="single" w:sz="4" w:space="0" w:color="auto"/>
            </w:tcBorders>
            <w:hideMark/>
          </w:tcPr>
          <w:p w:rsidR="00DC64F8" w:rsidRPr="00935C08" w:rsidP="00871E2F" w14:paraId="56272E11" w14:textId="77777777">
            <w:pPr>
              <w:rPr>
                <w:color w:val="000000"/>
                <w:sz w:val="26"/>
                <w:szCs w:val="26"/>
                <w:lang w:val="lv-LV"/>
              </w:rPr>
            </w:pPr>
            <w:r w:rsidRPr="00935C08">
              <w:rPr>
                <w:color w:val="000000"/>
                <w:sz w:val="26"/>
                <w:szCs w:val="26"/>
                <w:lang w:val="lv-LV"/>
              </w:rPr>
              <w:t>Attiecīgā ES tiesību akta datums, numurs un nosaukums</w:t>
            </w:r>
          </w:p>
        </w:tc>
        <w:tc>
          <w:tcPr>
            <w:tcW w:w="6911" w:type="dxa"/>
            <w:gridSpan w:val="3"/>
            <w:tcBorders>
              <w:top w:val="single" w:sz="4" w:space="0" w:color="auto"/>
              <w:left w:val="single" w:sz="4" w:space="0" w:color="auto"/>
              <w:bottom w:val="single" w:sz="4" w:space="0" w:color="auto"/>
              <w:right w:val="single" w:sz="4" w:space="0" w:color="auto"/>
            </w:tcBorders>
            <w:hideMark/>
          </w:tcPr>
          <w:p w:rsidR="00951ED7" w:rsidRPr="00935C08" w:rsidP="00D97622" w14:paraId="1D404E98" w14:textId="167C12D6">
            <w:pPr>
              <w:pStyle w:val="naiskr"/>
              <w:spacing w:before="0" w:after="0"/>
              <w:jc w:val="both"/>
              <w:rPr>
                <w:color w:val="00B050"/>
                <w:sz w:val="26"/>
                <w:szCs w:val="26"/>
                <w:lang w:eastAsia="en-US"/>
              </w:rPr>
            </w:pPr>
            <w:r w:rsidRPr="00935C08">
              <w:rPr>
                <w:sz w:val="26"/>
                <w:szCs w:val="26"/>
              </w:rPr>
              <w:t xml:space="preserve">Eiropas </w:t>
            </w:r>
            <w:r w:rsidRPr="00935C08" w:rsidR="00C45150">
              <w:rPr>
                <w:sz w:val="26"/>
                <w:szCs w:val="26"/>
              </w:rPr>
              <w:t xml:space="preserve">Komisijas </w:t>
            </w:r>
            <w:r w:rsidRPr="00935C08">
              <w:rPr>
                <w:sz w:val="26"/>
                <w:szCs w:val="26"/>
              </w:rPr>
              <w:t>2014.gada 17.jūnija R</w:t>
            </w:r>
            <w:r w:rsidRPr="00935C08" w:rsidR="00C45150">
              <w:rPr>
                <w:sz w:val="26"/>
                <w:szCs w:val="26"/>
              </w:rPr>
              <w:t>egula</w:t>
            </w:r>
            <w:r w:rsidRPr="00935C08">
              <w:rPr>
                <w:sz w:val="26"/>
                <w:szCs w:val="26"/>
              </w:rPr>
              <w:t>s (ES)</w:t>
            </w:r>
            <w:r w:rsidRPr="00935C08" w:rsidR="00C45150">
              <w:rPr>
                <w:sz w:val="26"/>
                <w:szCs w:val="26"/>
              </w:rPr>
              <w:t xml:space="preserve"> Nr. </w:t>
            </w:r>
            <w:r w:rsidRPr="00935C08" w:rsidR="00382FEC">
              <w:rPr>
                <w:sz w:val="26"/>
                <w:szCs w:val="26"/>
              </w:rPr>
              <w:t>651</w:t>
            </w:r>
            <w:r w:rsidRPr="00935C08" w:rsidR="00C45150">
              <w:rPr>
                <w:sz w:val="26"/>
                <w:szCs w:val="26"/>
              </w:rPr>
              <w:t>/201</w:t>
            </w:r>
            <w:r w:rsidRPr="00935C08" w:rsidR="00382FEC">
              <w:rPr>
                <w:sz w:val="26"/>
                <w:szCs w:val="26"/>
              </w:rPr>
              <w:t>4</w:t>
            </w:r>
            <w:r w:rsidRPr="00935C08" w:rsidR="00C45150">
              <w:rPr>
                <w:sz w:val="26"/>
                <w:szCs w:val="26"/>
              </w:rPr>
              <w:t xml:space="preserve"> </w:t>
            </w:r>
            <w:r w:rsidRPr="00935C08" w:rsidR="0003012D">
              <w:rPr>
                <w:sz w:val="26"/>
                <w:szCs w:val="26"/>
              </w:rPr>
              <w:t>ar ko noteiktas atbalsta kategorijas atzīst par saderīgām ar iekšējo tirgu, piemērojot Līguma 107. un 108. pantu</w:t>
            </w:r>
          </w:p>
        </w:tc>
      </w:tr>
      <w:tr w14:paraId="0E2D4AAA" w14:textId="77777777" w:rsidTr="00871E2F">
        <w:tblPrEx>
          <w:tblW w:w="9208" w:type="dxa"/>
          <w:tblLook w:val="01E0"/>
        </w:tblPrEx>
        <w:tc>
          <w:tcPr>
            <w:tcW w:w="2297" w:type="dxa"/>
            <w:tcBorders>
              <w:top w:val="single" w:sz="4" w:space="0" w:color="auto"/>
              <w:left w:val="single" w:sz="4" w:space="0" w:color="auto"/>
              <w:bottom w:val="single" w:sz="4" w:space="0" w:color="auto"/>
              <w:right w:val="single" w:sz="4" w:space="0" w:color="auto"/>
            </w:tcBorders>
            <w:hideMark/>
          </w:tcPr>
          <w:p w:rsidR="00DC64F8" w:rsidRPr="00935C08" w:rsidP="00871E2F" w14:paraId="5DA4950F" w14:textId="77777777">
            <w:pPr>
              <w:jc w:val="center"/>
              <w:rPr>
                <w:color w:val="000000"/>
                <w:sz w:val="26"/>
                <w:szCs w:val="26"/>
                <w:lang w:val="lv-LV"/>
              </w:rPr>
            </w:pPr>
            <w:r w:rsidRPr="00935C08">
              <w:rPr>
                <w:color w:val="000000"/>
                <w:sz w:val="26"/>
                <w:szCs w:val="26"/>
                <w:lang w:val="lv-LV"/>
              </w:rPr>
              <w:t>A</w:t>
            </w:r>
          </w:p>
        </w:tc>
        <w:tc>
          <w:tcPr>
            <w:tcW w:w="2123" w:type="dxa"/>
            <w:tcBorders>
              <w:top w:val="single" w:sz="4" w:space="0" w:color="auto"/>
              <w:left w:val="single" w:sz="4" w:space="0" w:color="auto"/>
              <w:bottom w:val="single" w:sz="4" w:space="0" w:color="auto"/>
              <w:right w:val="single" w:sz="4" w:space="0" w:color="auto"/>
            </w:tcBorders>
            <w:hideMark/>
          </w:tcPr>
          <w:p w:rsidR="00DC64F8" w:rsidRPr="00935C08" w:rsidP="00871E2F" w14:paraId="0DF75052" w14:textId="77777777">
            <w:pPr>
              <w:jc w:val="center"/>
              <w:rPr>
                <w:color w:val="000000"/>
                <w:sz w:val="26"/>
                <w:szCs w:val="26"/>
                <w:lang w:val="lv-LV"/>
              </w:rPr>
            </w:pPr>
            <w:r w:rsidRPr="00935C08">
              <w:rPr>
                <w:color w:val="000000"/>
                <w:sz w:val="26"/>
                <w:szCs w:val="26"/>
                <w:lang w:val="lv-LV"/>
              </w:rPr>
              <w:t>B</w:t>
            </w:r>
          </w:p>
        </w:tc>
        <w:tc>
          <w:tcPr>
            <w:tcW w:w="2254" w:type="dxa"/>
            <w:tcBorders>
              <w:top w:val="single" w:sz="4" w:space="0" w:color="auto"/>
              <w:left w:val="single" w:sz="4" w:space="0" w:color="auto"/>
              <w:bottom w:val="single" w:sz="4" w:space="0" w:color="auto"/>
              <w:right w:val="single" w:sz="4" w:space="0" w:color="auto"/>
            </w:tcBorders>
            <w:hideMark/>
          </w:tcPr>
          <w:p w:rsidR="00DC64F8" w:rsidRPr="00935C08" w:rsidP="00871E2F" w14:paraId="63D11488" w14:textId="77777777">
            <w:pPr>
              <w:jc w:val="center"/>
              <w:rPr>
                <w:color w:val="000000"/>
                <w:sz w:val="26"/>
                <w:szCs w:val="26"/>
                <w:lang w:val="lv-LV"/>
              </w:rPr>
            </w:pPr>
            <w:r w:rsidRPr="00935C08">
              <w:rPr>
                <w:color w:val="000000"/>
                <w:sz w:val="26"/>
                <w:szCs w:val="26"/>
                <w:lang w:val="lv-LV"/>
              </w:rPr>
              <w:t>C</w:t>
            </w:r>
          </w:p>
        </w:tc>
        <w:tc>
          <w:tcPr>
            <w:tcW w:w="2534" w:type="dxa"/>
            <w:tcBorders>
              <w:top w:val="single" w:sz="4" w:space="0" w:color="auto"/>
              <w:left w:val="single" w:sz="4" w:space="0" w:color="auto"/>
              <w:bottom w:val="single" w:sz="4" w:space="0" w:color="auto"/>
              <w:right w:val="single" w:sz="4" w:space="0" w:color="auto"/>
            </w:tcBorders>
            <w:hideMark/>
          </w:tcPr>
          <w:p w:rsidR="00DC64F8" w:rsidRPr="00935C08" w:rsidP="00871E2F" w14:paraId="670D8ED4" w14:textId="77777777">
            <w:pPr>
              <w:jc w:val="center"/>
              <w:rPr>
                <w:color w:val="000000"/>
                <w:sz w:val="26"/>
                <w:szCs w:val="26"/>
                <w:lang w:val="lv-LV"/>
              </w:rPr>
            </w:pPr>
            <w:r w:rsidRPr="00935C08">
              <w:rPr>
                <w:color w:val="000000"/>
                <w:sz w:val="26"/>
                <w:szCs w:val="26"/>
                <w:lang w:val="lv-LV"/>
              </w:rPr>
              <w:t>D</w:t>
            </w:r>
          </w:p>
        </w:tc>
      </w:tr>
      <w:tr w14:paraId="5599C834" w14:textId="77777777" w:rsidTr="00871E2F">
        <w:tblPrEx>
          <w:tblW w:w="9208" w:type="dxa"/>
          <w:tblLook w:val="01E0"/>
        </w:tblPrEx>
        <w:tc>
          <w:tcPr>
            <w:tcW w:w="2297" w:type="dxa"/>
            <w:tcBorders>
              <w:top w:val="single" w:sz="4" w:space="0" w:color="auto"/>
              <w:left w:val="single" w:sz="4" w:space="0" w:color="auto"/>
              <w:bottom w:val="single" w:sz="4" w:space="0" w:color="auto"/>
              <w:right w:val="single" w:sz="4" w:space="0" w:color="auto"/>
            </w:tcBorders>
            <w:hideMark/>
          </w:tcPr>
          <w:p w:rsidR="00DC64F8" w:rsidRPr="00935C08" w:rsidP="00871E2F" w14:paraId="7A960198" w14:textId="77777777">
            <w:pPr>
              <w:rPr>
                <w:color w:val="000000"/>
                <w:sz w:val="26"/>
                <w:szCs w:val="26"/>
                <w:lang w:val="lv-LV"/>
              </w:rPr>
            </w:pPr>
            <w:r w:rsidRPr="00935C08">
              <w:rPr>
                <w:color w:val="000000"/>
                <w:sz w:val="26"/>
                <w:szCs w:val="26"/>
                <w:lang w:val="lv-LV"/>
              </w:rPr>
              <w:t xml:space="preserve">Attiecīgā ES tiesību akta panta numurs (uzskaitot katru tiesību akta </w:t>
            </w:r>
            <w:r w:rsidRPr="00935C08">
              <w:rPr>
                <w:color w:val="000000"/>
                <w:sz w:val="26"/>
                <w:szCs w:val="26"/>
                <w:lang w:val="lv-LV"/>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rsidR="00DC64F8" w:rsidRPr="00935C08" w:rsidP="00871E2F" w14:paraId="67C81A01" w14:textId="77777777">
            <w:pPr>
              <w:rPr>
                <w:color w:val="000000"/>
                <w:sz w:val="26"/>
                <w:szCs w:val="26"/>
                <w:lang w:val="lv-LV"/>
              </w:rPr>
            </w:pPr>
            <w:r w:rsidRPr="00935C08">
              <w:rPr>
                <w:color w:val="000000"/>
                <w:sz w:val="26"/>
                <w:szCs w:val="26"/>
                <w:lang w:val="lv-LV"/>
              </w:rPr>
              <w:t>Projekta vienība, kas pārņem vai ievieš katru šīs tabulas A ailē minēto ES tiesību akta vienību, vai tiesību akts, kur attiecīgā ES tiesību akta vienība pārņemta vai ieviesta</w:t>
            </w:r>
          </w:p>
        </w:tc>
        <w:tc>
          <w:tcPr>
            <w:tcW w:w="2254" w:type="dxa"/>
            <w:tcBorders>
              <w:top w:val="single" w:sz="4" w:space="0" w:color="auto"/>
              <w:left w:val="single" w:sz="4" w:space="0" w:color="auto"/>
              <w:bottom w:val="single" w:sz="4" w:space="0" w:color="auto"/>
              <w:right w:val="single" w:sz="4" w:space="0" w:color="auto"/>
            </w:tcBorders>
            <w:hideMark/>
          </w:tcPr>
          <w:p w:rsidR="00DC64F8" w:rsidRPr="00935C08" w:rsidP="00871E2F" w14:paraId="029A86E3" w14:textId="77777777">
            <w:pPr>
              <w:rPr>
                <w:color w:val="000000"/>
                <w:sz w:val="26"/>
                <w:szCs w:val="26"/>
                <w:lang w:val="lv-LV"/>
              </w:rPr>
            </w:pPr>
            <w:r w:rsidRPr="00935C08">
              <w:rPr>
                <w:color w:val="000000"/>
                <w:sz w:val="26"/>
                <w:szCs w:val="26"/>
                <w:lang w:val="lv-LV"/>
              </w:rPr>
              <w:t>Informācija par to, vai šīs tabulas A ailē minētās ES tiesību akta vienības tiek pārņemtas vai ieviestas pilnībā vai daļēji.</w:t>
            </w:r>
          </w:p>
          <w:p w:rsidR="00DC64F8" w:rsidRPr="00935C08" w:rsidP="00871E2F" w14:paraId="7D3562DD" w14:textId="77777777">
            <w:pPr>
              <w:rPr>
                <w:color w:val="000000"/>
                <w:sz w:val="26"/>
                <w:szCs w:val="26"/>
                <w:lang w:val="lv-LV"/>
              </w:rPr>
            </w:pPr>
            <w:r w:rsidRPr="00935C08">
              <w:rPr>
                <w:color w:val="000000"/>
                <w:sz w:val="26"/>
                <w:szCs w:val="26"/>
                <w:lang w:val="lv-LV"/>
              </w:rPr>
              <w:t>Ja attiecīgā ES tiesību akta vienība tiek pārņemta vai ieviesta daļēji, – sniedz attiecīgu skaidrojumu, kā arī precīzi norāda, kad un kādā veidā ES tiesību akta vienība tiks pārņemta vai ieviesta pilnībā.</w:t>
            </w:r>
          </w:p>
          <w:p w:rsidR="00DC64F8" w:rsidRPr="00935C08" w:rsidP="00871E2F" w14:paraId="041EC588" w14:textId="77777777">
            <w:pPr>
              <w:rPr>
                <w:color w:val="000000"/>
                <w:sz w:val="26"/>
                <w:szCs w:val="26"/>
                <w:lang w:val="lv-LV"/>
              </w:rPr>
            </w:pPr>
            <w:r w:rsidRPr="00935C08">
              <w:rPr>
                <w:color w:val="000000"/>
                <w:sz w:val="26"/>
                <w:szCs w:val="26"/>
                <w:lang w:val="lv-LV"/>
              </w:rPr>
              <w:t xml:space="preserve">Norāda institūciju, kas ir atbildīga par </w:t>
            </w:r>
            <w:r w:rsidRPr="00935C08">
              <w:rPr>
                <w:color w:val="000000"/>
                <w:sz w:val="26"/>
                <w:szCs w:val="26"/>
                <w:lang w:val="lv-LV"/>
              </w:rPr>
              <w:t>šo saistību izpildi pilnībā</w:t>
            </w:r>
          </w:p>
        </w:tc>
        <w:tc>
          <w:tcPr>
            <w:tcW w:w="2534" w:type="dxa"/>
            <w:tcBorders>
              <w:top w:val="single" w:sz="4" w:space="0" w:color="auto"/>
              <w:left w:val="single" w:sz="4" w:space="0" w:color="auto"/>
              <w:bottom w:val="single" w:sz="4" w:space="0" w:color="auto"/>
              <w:right w:val="single" w:sz="4" w:space="0" w:color="auto"/>
            </w:tcBorders>
            <w:hideMark/>
          </w:tcPr>
          <w:p w:rsidR="00DC64F8" w:rsidRPr="00935C08" w:rsidP="00871E2F" w14:paraId="2B8CA595" w14:textId="77777777">
            <w:pPr>
              <w:rPr>
                <w:color w:val="000000"/>
                <w:sz w:val="26"/>
                <w:szCs w:val="26"/>
                <w:lang w:val="lv-LV"/>
              </w:rPr>
            </w:pPr>
            <w:r w:rsidRPr="00935C08">
              <w:rPr>
                <w:color w:val="000000"/>
                <w:sz w:val="26"/>
                <w:szCs w:val="26"/>
                <w:lang w:val="lv-LV"/>
              </w:rPr>
              <w:t>Informācija par to, vai šīs tabulas B ailē minētās projekta vienības paredz stingrākas prasības nekā šīs tabulas A ailē minētās ES tiesību akta vienības.</w:t>
            </w:r>
          </w:p>
          <w:p w:rsidR="00DC64F8" w:rsidRPr="00935C08" w:rsidP="00871E2F" w14:paraId="4DB9214A" w14:textId="77777777">
            <w:pPr>
              <w:rPr>
                <w:color w:val="000000"/>
                <w:sz w:val="26"/>
                <w:szCs w:val="26"/>
                <w:lang w:val="lv-LV"/>
              </w:rPr>
            </w:pPr>
            <w:r w:rsidRPr="00935C08">
              <w:rPr>
                <w:color w:val="000000"/>
                <w:sz w:val="26"/>
                <w:szCs w:val="26"/>
                <w:lang w:val="lv-LV"/>
              </w:rPr>
              <w:t>Ja projekts satur stingrākas prasības nekā attiecīgais ES tiesību akts, – norāda pamatojumu un samērīgumu.</w:t>
            </w:r>
          </w:p>
          <w:p w:rsidR="00DC64F8" w:rsidRPr="00935C08" w:rsidP="00871E2F" w14:paraId="523EFDC1" w14:textId="77777777">
            <w:pPr>
              <w:rPr>
                <w:color w:val="000000"/>
                <w:sz w:val="26"/>
                <w:szCs w:val="26"/>
                <w:lang w:val="lv-LV"/>
              </w:rPr>
            </w:pPr>
            <w:r w:rsidRPr="00935C08">
              <w:rPr>
                <w:color w:val="000000"/>
                <w:sz w:val="26"/>
                <w:szCs w:val="26"/>
                <w:lang w:val="lv-LV"/>
              </w:rPr>
              <w:t xml:space="preserve">Norāda iespējamās alternatīvas (t.sk. alternatīvas, kas neparedz tiesiskā regulējuma izstrādi) – kādos gadījumos būtu iespējams izvairīties </w:t>
            </w:r>
            <w:r w:rsidRPr="00935C08">
              <w:rPr>
                <w:color w:val="000000"/>
                <w:sz w:val="26"/>
                <w:szCs w:val="26"/>
                <w:lang w:val="lv-LV"/>
              </w:rPr>
              <w:t>no stingrāku prasību noteikšanas, nekā paredzēts attiecīgajos ES tiesību aktos</w:t>
            </w:r>
          </w:p>
        </w:tc>
      </w:tr>
      <w:tr w14:paraId="3387DCB6" w14:textId="77777777" w:rsidTr="00871E2F">
        <w:tblPrEx>
          <w:tblW w:w="9208" w:type="dxa"/>
          <w:tblLook w:val="01E0"/>
        </w:tblPrEx>
        <w:tc>
          <w:tcPr>
            <w:tcW w:w="2297" w:type="dxa"/>
            <w:tcBorders>
              <w:top w:val="single" w:sz="4" w:space="0" w:color="auto"/>
              <w:left w:val="single" w:sz="4" w:space="0" w:color="auto"/>
              <w:bottom w:val="single" w:sz="4" w:space="0" w:color="auto"/>
              <w:right w:val="single" w:sz="4" w:space="0" w:color="auto"/>
            </w:tcBorders>
          </w:tcPr>
          <w:p w:rsidR="00C45150" w:rsidRPr="00935C08" w:rsidP="00C45150" w14:paraId="7B1BCBE9" w14:textId="655859C0">
            <w:pPr>
              <w:rPr>
                <w:sz w:val="26"/>
                <w:szCs w:val="26"/>
                <w:lang w:val="lv-LV"/>
              </w:rPr>
            </w:pPr>
            <w:r w:rsidRPr="00935C08">
              <w:rPr>
                <w:sz w:val="26"/>
                <w:szCs w:val="26"/>
                <w:lang w:val="lv-LV"/>
              </w:rPr>
              <w:t xml:space="preserve">Regula </w:t>
            </w:r>
            <w:r w:rsidRPr="00935C08" w:rsidR="00EA4CBA">
              <w:rPr>
                <w:sz w:val="26"/>
                <w:szCs w:val="26"/>
                <w:lang w:val="lv-LV"/>
              </w:rPr>
              <w:t>651</w:t>
            </w:r>
            <w:r w:rsidRPr="00935C08">
              <w:rPr>
                <w:sz w:val="26"/>
                <w:szCs w:val="26"/>
                <w:lang w:val="lv-LV"/>
              </w:rPr>
              <w:t>/201</w:t>
            </w:r>
            <w:r w:rsidRPr="00935C08" w:rsidR="001A38EA">
              <w:rPr>
                <w:sz w:val="26"/>
                <w:szCs w:val="26"/>
                <w:lang w:val="lv-LV"/>
              </w:rPr>
              <w:t>4</w:t>
            </w:r>
            <w:r w:rsidRPr="00935C08">
              <w:rPr>
                <w:sz w:val="26"/>
                <w:szCs w:val="26"/>
                <w:lang w:val="lv-LV"/>
              </w:rPr>
              <w:t xml:space="preserve"> </w:t>
            </w:r>
            <w:r w:rsidRPr="00935C08" w:rsidR="001A38EA">
              <w:rPr>
                <w:sz w:val="26"/>
                <w:szCs w:val="26"/>
                <w:lang w:val="lv-LV"/>
              </w:rPr>
              <w:t>1.pielikuma 3.pants</w:t>
            </w:r>
          </w:p>
        </w:tc>
        <w:tc>
          <w:tcPr>
            <w:tcW w:w="2123" w:type="dxa"/>
            <w:tcBorders>
              <w:top w:val="single" w:sz="4" w:space="0" w:color="auto"/>
              <w:left w:val="single" w:sz="4" w:space="0" w:color="auto"/>
              <w:bottom w:val="single" w:sz="4" w:space="0" w:color="auto"/>
              <w:right w:val="single" w:sz="4" w:space="0" w:color="auto"/>
            </w:tcBorders>
          </w:tcPr>
          <w:p w:rsidR="00C45150" w:rsidRPr="00935C08" w:rsidP="00C45150" w14:paraId="746A9F94" w14:textId="324D2798">
            <w:pPr>
              <w:rPr>
                <w:sz w:val="26"/>
                <w:szCs w:val="26"/>
                <w:lang w:val="lv-LV"/>
              </w:rPr>
            </w:pPr>
            <w:r w:rsidRPr="00935C08">
              <w:rPr>
                <w:sz w:val="26"/>
                <w:szCs w:val="26"/>
                <w:lang w:val="lv-LV"/>
              </w:rPr>
              <w:t>Noteikuma projekta 3.punkts</w:t>
            </w:r>
          </w:p>
        </w:tc>
        <w:tc>
          <w:tcPr>
            <w:tcW w:w="2254" w:type="dxa"/>
            <w:tcBorders>
              <w:top w:val="single" w:sz="4" w:space="0" w:color="auto"/>
              <w:left w:val="single" w:sz="4" w:space="0" w:color="auto"/>
              <w:bottom w:val="single" w:sz="4" w:space="0" w:color="auto"/>
              <w:right w:val="single" w:sz="4" w:space="0" w:color="auto"/>
            </w:tcBorders>
          </w:tcPr>
          <w:p w:rsidR="00C45150" w:rsidRPr="00935C08" w:rsidP="00C45150" w14:paraId="3978ED5F" w14:textId="1DBDF10D">
            <w:pPr>
              <w:rPr>
                <w:sz w:val="26"/>
                <w:szCs w:val="26"/>
                <w:lang w:val="lv-LV"/>
              </w:rPr>
            </w:pPr>
            <w:r w:rsidRPr="00935C08">
              <w:rPr>
                <w:rFonts w:eastAsia="Times New Roman"/>
                <w:sz w:val="26"/>
                <w:szCs w:val="26"/>
                <w:lang w:val="lv-LV"/>
              </w:rPr>
              <w:t>Ieviests pilnībā</w:t>
            </w:r>
          </w:p>
        </w:tc>
        <w:tc>
          <w:tcPr>
            <w:tcW w:w="2534" w:type="dxa"/>
            <w:tcBorders>
              <w:top w:val="single" w:sz="4" w:space="0" w:color="auto"/>
              <w:left w:val="single" w:sz="4" w:space="0" w:color="auto"/>
              <w:bottom w:val="single" w:sz="4" w:space="0" w:color="auto"/>
              <w:right w:val="single" w:sz="4" w:space="0" w:color="auto"/>
            </w:tcBorders>
          </w:tcPr>
          <w:p w:rsidR="00C45150" w:rsidRPr="00935C08" w:rsidP="00C45150" w14:paraId="6F37320C" w14:textId="1AD547BB">
            <w:pPr>
              <w:rPr>
                <w:sz w:val="26"/>
                <w:szCs w:val="26"/>
                <w:lang w:val="lv-LV"/>
              </w:rPr>
            </w:pPr>
            <w:r w:rsidRPr="00935C08">
              <w:rPr>
                <w:rFonts w:eastAsia="Times New Roman"/>
                <w:sz w:val="26"/>
                <w:szCs w:val="26"/>
                <w:lang w:val="lv-LV"/>
              </w:rPr>
              <w:t>Neparedz stingrākas prasības</w:t>
            </w:r>
          </w:p>
        </w:tc>
      </w:tr>
      <w:tr w14:paraId="464410F0" w14:textId="77777777" w:rsidTr="00871E2F">
        <w:tblPrEx>
          <w:tblW w:w="9208" w:type="dxa"/>
          <w:tblLook w:val="01E0"/>
        </w:tblPrEx>
        <w:tc>
          <w:tcPr>
            <w:tcW w:w="4420" w:type="dxa"/>
            <w:gridSpan w:val="2"/>
            <w:tcBorders>
              <w:top w:val="single" w:sz="4" w:space="0" w:color="auto"/>
              <w:left w:val="single" w:sz="4" w:space="0" w:color="auto"/>
              <w:bottom w:val="single" w:sz="4" w:space="0" w:color="auto"/>
              <w:right w:val="single" w:sz="4" w:space="0" w:color="auto"/>
            </w:tcBorders>
            <w:hideMark/>
          </w:tcPr>
          <w:p w:rsidR="00C45150" w:rsidRPr="00935C08" w:rsidP="00C45150" w14:paraId="2F56BC05" w14:textId="77777777">
            <w:pPr>
              <w:rPr>
                <w:sz w:val="26"/>
                <w:szCs w:val="26"/>
                <w:lang w:val="lv-LV"/>
              </w:rPr>
            </w:pPr>
            <w:r w:rsidRPr="00935C08">
              <w:rPr>
                <w:sz w:val="26"/>
                <w:szCs w:val="26"/>
                <w:lang w:val="lv-LV"/>
              </w:rPr>
              <w:t>Kā ir izmantota ES tiesību aktā paredzētā rīcības brīvība dalībvalstij pārņemt vai ieviest noteiktas ES tiesību akta normas?</w:t>
            </w:r>
          </w:p>
          <w:p w:rsidR="00C45150" w:rsidRPr="00935C08" w:rsidP="00C45150" w14:paraId="2D77C6B6" w14:textId="77777777">
            <w:pPr>
              <w:rPr>
                <w:i/>
                <w:sz w:val="26"/>
                <w:szCs w:val="26"/>
                <w:lang w:val="lv-LV"/>
              </w:rPr>
            </w:pPr>
            <w:r w:rsidRPr="00935C08">
              <w:rPr>
                <w:sz w:val="26"/>
                <w:szCs w:val="26"/>
                <w:lang w:val="lv-LV"/>
              </w:rPr>
              <w:t>Kādēļ?</w:t>
            </w:r>
          </w:p>
        </w:tc>
        <w:tc>
          <w:tcPr>
            <w:tcW w:w="4788" w:type="dxa"/>
            <w:gridSpan w:val="2"/>
            <w:tcBorders>
              <w:top w:val="single" w:sz="4" w:space="0" w:color="auto"/>
              <w:left w:val="single" w:sz="4" w:space="0" w:color="auto"/>
              <w:bottom w:val="single" w:sz="4" w:space="0" w:color="auto"/>
              <w:right w:val="single" w:sz="4" w:space="0" w:color="auto"/>
            </w:tcBorders>
            <w:hideMark/>
          </w:tcPr>
          <w:p w:rsidR="00C45150" w:rsidRPr="00935C08" w:rsidP="00C45150" w14:paraId="670F051D" w14:textId="07FCD4EC">
            <w:pPr>
              <w:rPr>
                <w:color w:val="000000"/>
                <w:sz w:val="26"/>
                <w:szCs w:val="26"/>
                <w:lang w:val="lv-LV"/>
              </w:rPr>
            </w:pPr>
            <w:r w:rsidRPr="00935C08">
              <w:rPr>
                <w:rFonts w:eastAsia="Times New Roman"/>
                <w:sz w:val="26"/>
                <w:szCs w:val="26"/>
                <w:lang w:val="lv-LV"/>
              </w:rPr>
              <w:t>Noteikumu projekts šo jomu neskar.</w:t>
            </w:r>
          </w:p>
        </w:tc>
      </w:tr>
      <w:tr w14:paraId="7539012C" w14:textId="77777777" w:rsidTr="00871E2F">
        <w:tblPrEx>
          <w:tblW w:w="9208" w:type="dxa"/>
          <w:tblLook w:val="01E0"/>
        </w:tblPrEx>
        <w:tc>
          <w:tcPr>
            <w:tcW w:w="4420" w:type="dxa"/>
            <w:gridSpan w:val="2"/>
            <w:tcBorders>
              <w:top w:val="single" w:sz="4" w:space="0" w:color="auto"/>
              <w:left w:val="single" w:sz="4" w:space="0" w:color="auto"/>
              <w:bottom w:val="single" w:sz="4" w:space="0" w:color="auto"/>
              <w:right w:val="single" w:sz="4" w:space="0" w:color="auto"/>
            </w:tcBorders>
            <w:hideMark/>
          </w:tcPr>
          <w:p w:rsidR="00C45150" w:rsidRPr="00935C08" w:rsidP="00C45150" w14:paraId="3C4A9424" w14:textId="77777777">
            <w:pPr>
              <w:rPr>
                <w:i/>
                <w:color w:val="000000"/>
                <w:sz w:val="26"/>
                <w:szCs w:val="26"/>
                <w:lang w:val="lv-LV"/>
              </w:rPr>
            </w:pPr>
            <w:r w:rsidRPr="00935C08">
              <w:rPr>
                <w:color w:val="000000"/>
                <w:sz w:val="26"/>
                <w:szCs w:val="26"/>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8" w:type="dxa"/>
            <w:gridSpan w:val="2"/>
            <w:tcBorders>
              <w:top w:val="single" w:sz="4" w:space="0" w:color="auto"/>
              <w:left w:val="single" w:sz="4" w:space="0" w:color="auto"/>
              <w:bottom w:val="single" w:sz="4" w:space="0" w:color="auto"/>
              <w:right w:val="single" w:sz="4" w:space="0" w:color="auto"/>
            </w:tcBorders>
            <w:hideMark/>
          </w:tcPr>
          <w:p w:rsidR="00C45150" w:rsidRPr="00935C08" w:rsidP="00C45150" w14:paraId="1421F176" w14:textId="60072C1C">
            <w:pPr>
              <w:jc w:val="both"/>
              <w:rPr>
                <w:color w:val="000000"/>
                <w:sz w:val="26"/>
                <w:szCs w:val="26"/>
                <w:lang w:val="lv-LV"/>
              </w:rPr>
            </w:pPr>
            <w:r w:rsidRPr="00935C08">
              <w:rPr>
                <w:rFonts w:eastAsia="Times New Roman"/>
                <w:sz w:val="26"/>
                <w:szCs w:val="26"/>
                <w:lang w:val="lv-LV"/>
              </w:rPr>
              <w:t>Noteikumu projekts šo jomu neskar.</w:t>
            </w:r>
          </w:p>
        </w:tc>
      </w:tr>
      <w:tr w14:paraId="11C13895" w14:textId="77777777" w:rsidTr="00871E2F">
        <w:tblPrEx>
          <w:tblW w:w="9208" w:type="dxa"/>
          <w:tblLook w:val="01E0"/>
        </w:tblPrEx>
        <w:tc>
          <w:tcPr>
            <w:tcW w:w="4420" w:type="dxa"/>
            <w:gridSpan w:val="2"/>
            <w:tcBorders>
              <w:top w:val="single" w:sz="4" w:space="0" w:color="auto"/>
              <w:left w:val="single" w:sz="4" w:space="0" w:color="auto"/>
              <w:bottom w:val="single" w:sz="4" w:space="0" w:color="auto"/>
              <w:right w:val="single" w:sz="4" w:space="0" w:color="auto"/>
            </w:tcBorders>
            <w:hideMark/>
          </w:tcPr>
          <w:p w:rsidR="00C45150" w:rsidRPr="00935C08" w:rsidP="00C45150" w14:paraId="26EEF5DD" w14:textId="77777777">
            <w:pPr>
              <w:pStyle w:val="naiskr"/>
              <w:spacing w:before="0" w:after="0"/>
              <w:rPr>
                <w:i/>
                <w:color w:val="000000"/>
                <w:sz w:val="26"/>
                <w:szCs w:val="26"/>
                <w:lang w:eastAsia="en-US"/>
              </w:rPr>
            </w:pPr>
            <w:r w:rsidRPr="00935C08">
              <w:rPr>
                <w:color w:val="000000"/>
                <w:sz w:val="26"/>
                <w:szCs w:val="26"/>
                <w:lang w:eastAsia="en-US"/>
              </w:rPr>
              <w:t>Cita informācija</w:t>
            </w:r>
          </w:p>
        </w:tc>
        <w:tc>
          <w:tcPr>
            <w:tcW w:w="4788" w:type="dxa"/>
            <w:gridSpan w:val="2"/>
            <w:tcBorders>
              <w:top w:val="single" w:sz="4" w:space="0" w:color="auto"/>
              <w:left w:val="single" w:sz="4" w:space="0" w:color="auto"/>
              <w:bottom w:val="single" w:sz="4" w:space="0" w:color="auto"/>
              <w:right w:val="single" w:sz="4" w:space="0" w:color="auto"/>
            </w:tcBorders>
            <w:hideMark/>
          </w:tcPr>
          <w:p w:rsidR="00C45150" w:rsidRPr="00935C08" w:rsidP="00C45150" w14:paraId="385AE2F2" w14:textId="77777777">
            <w:pPr>
              <w:rPr>
                <w:color w:val="000000"/>
                <w:sz w:val="26"/>
                <w:szCs w:val="26"/>
                <w:lang w:val="lv-LV"/>
              </w:rPr>
            </w:pPr>
            <w:r w:rsidRPr="00935C08">
              <w:rPr>
                <w:color w:val="000000"/>
                <w:sz w:val="26"/>
                <w:szCs w:val="26"/>
                <w:lang w:val="lv-LV"/>
              </w:rPr>
              <w:t>Nav.</w:t>
            </w:r>
          </w:p>
        </w:tc>
      </w:tr>
    </w:tbl>
    <w:p w:rsidR="00E0333C" w:rsidRPr="00935C08" w:rsidP="00E0333C" w14:paraId="616500B1" w14:textId="77777777">
      <w:pPr>
        <w:jc w:val="center"/>
        <w:rPr>
          <w:rFonts w:eastAsia="PMingLiU"/>
          <w:sz w:val="26"/>
          <w:szCs w:val="26"/>
          <w:lang w:val="lv-LV"/>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2564"/>
        <w:gridCol w:w="3260"/>
      </w:tblGrid>
      <w:tr w14:paraId="74ED0A6E" w14:textId="77777777" w:rsidTr="002E7B7E">
        <w:tblPrEx>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08" w:type="dxa"/>
            <w:gridSpan w:val="3"/>
            <w:tcBorders>
              <w:top w:val="single" w:sz="4" w:space="0" w:color="auto"/>
              <w:left w:val="single" w:sz="4" w:space="0" w:color="auto"/>
              <w:bottom w:val="single" w:sz="4" w:space="0" w:color="auto"/>
              <w:right w:val="single" w:sz="4" w:space="0" w:color="auto"/>
            </w:tcBorders>
            <w:hideMark/>
          </w:tcPr>
          <w:p w:rsidR="00E0333C" w:rsidRPr="00935C08" w:rsidP="002E7B7E" w14:paraId="7AD87AA9" w14:textId="77777777">
            <w:pPr>
              <w:jc w:val="center"/>
              <w:rPr>
                <w:rFonts w:eastAsia="Times New Roman"/>
                <w:b/>
                <w:color w:val="000000"/>
                <w:sz w:val="26"/>
                <w:szCs w:val="26"/>
                <w:lang w:val="lv-LV"/>
              </w:rPr>
            </w:pPr>
            <w:r w:rsidRPr="00935C08">
              <w:rPr>
                <w:rFonts w:eastAsia="Times New Roman"/>
                <w:b/>
                <w:color w:val="000000"/>
                <w:sz w:val="26"/>
                <w:szCs w:val="26"/>
                <w:lang w:val="lv-LV"/>
              </w:rPr>
              <w:t>2.tabula. Ar tiesību akta projektu uzņemtās saistības, kas izriet no starptautiskajiem tiesību aktiem vai starptautiskas institūcijas vai organizācijas dokumentiem</w:t>
            </w:r>
          </w:p>
          <w:p w:rsidR="00E0333C" w:rsidRPr="00935C08" w:rsidP="002E7B7E" w14:paraId="5DE6A8F8" w14:textId="77777777">
            <w:pPr>
              <w:jc w:val="center"/>
              <w:rPr>
                <w:rFonts w:eastAsia="PMingLiU"/>
                <w:color w:val="000000"/>
                <w:sz w:val="26"/>
                <w:szCs w:val="26"/>
                <w:lang w:val="lv-LV"/>
              </w:rPr>
            </w:pPr>
            <w:r w:rsidRPr="00935C08">
              <w:rPr>
                <w:rFonts w:eastAsia="PMingLiU"/>
                <w:b/>
                <w:color w:val="000000"/>
                <w:sz w:val="26"/>
                <w:szCs w:val="26"/>
                <w:lang w:val="lv-LV" w:eastAsia="ja-JP"/>
              </w:rPr>
              <w:t>Pasākumi šo saistību izpildei</w:t>
            </w:r>
          </w:p>
        </w:tc>
      </w:tr>
      <w:tr w14:paraId="182DAAF5"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935C08" w:rsidP="002E7B7E" w14:paraId="44B62415" w14:textId="77777777">
            <w:pPr>
              <w:rPr>
                <w:rFonts w:eastAsia="PMingLiU"/>
                <w:color w:val="000000"/>
                <w:sz w:val="26"/>
                <w:szCs w:val="26"/>
                <w:lang w:val="lv-LV"/>
              </w:rPr>
            </w:pPr>
            <w:r w:rsidRPr="00935C08">
              <w:rPr>
                <w:rFonts w:eastAsia="PMingLiU"/>
                <w:color w:val="000000"/>
                <w:sz w:val="26"/>
                <w:szCs w:val="26"/>
                <w:lang w:val="lv-LV" w:eastAsia="ja-JP"/>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E0333C" w:rsidRPr="00935C08" w:rsidP="002E7B7E" w14:paraId="1A9318DE" w14:textId="77777777">
            <w:pPr>
              <w:tabs>
                <w:tab w:val="left" w:pos="325"/>
              </w:tabs>
              <w:rPr>
                <w:rFonts w:eastAsia="PMingLiU"/>
                <w:i/>
                <w:color w:val="000000"/>
                <w:sz w:val="26"/>
                <w:szCs w:val="26"/>
                <w:lang w:val="lv-LV"/>
              </w:rPr>
            </w:pPr>
            <w:r w:rsidRPr="00935C08">
              <w:rPr>
                <w:rFonts w:eastAsia="PMingLiU"/>
                <w:iCs/>
                <w:color w:val="000000"/>
                <w:sz w:val="26"/>
                <w:szCs w:val="26"/>
                <w:lang w:val="lv-LV" w:eastAsia="ja-JP"/>
              </w:rPr>
              <w:t>Noteikumu projekts šo jomu neskar.</w:t>
            </w:r>
          </w:p>
        </w:tc>
      </w:tr>
      <w:tr w14:paraId="0A23EC5E"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935C08" w:rsidP="002E7B7E" w14:paraId="2B043639" w14:textId="77777777">
            <w:pPr>
              <w:jc w:val="center"/>
              <w:rPr>
                <w:rFonts w:eastAsia="PMingLiU"/>
                <w:color w:val="000000"/>
                <w:sz w:val="26"/>
                <w:szCs w:val="26"/>
                <w:lang w:val="lv-LV"/>
              </w:rPr>
            </w:pPr>
            <w:r w:rsidRPr="00935C08">
              <w:rPr>
                <w:rFonts w:eastAsia="PMingLiU"/>
                <w:color w:val="000000"/>
                <w:sz w:val="26"/>
                <w:szCs w:val="26"/>
                <w:lang w:val="lv-LV" w:eastAsia="ja-JP"/>
              </w:rPr>
              <w:t>A</w:t>
            </w:r>
          </w:p>
        </w:tc>
        <w:tc>
          <w:tcPr>
            <w:tcW w:w="2564" w:type="dxa"/>
            <w:tcBorders>
              <w:top w:val="single" w:sz="4" w:space="0" w:color="auto"/>
              <w:left w:val="single" w:sz="4" w:space="0" w:color="auto"/>
              <w:bottom w:val="single" w:sz="4" w:space="0" w:color="auto"/>
              <w:right w:val="single" w:sz="4" w:space="0" w:color="auto"/>
            </w:tcBorders>
            <w:hideMark/>
          </w:tcPr>
          <w:p w:rsidR="00E0333C" w:rsidRPr="00935C08" w:rsidP="002E7B7E" w14:paraId="5BA0EB8B" w14:textId="77777777">
            <w:pPr>
              <w:jc w:val="center"/>
              <w:rPr>
                <w:rFonts w:eastAsia="PMingLiU"/>
                <w:color w:val="000000"/>
                <w:sz w:val="26"/>
                <w:szCs w:val="26"/>
                <w:lang w:val="lv-LV"/>
              </w:rPr>
            </w:pPr>
            <w:r w:rsidRPr="00935C08">
              <w:rPr>
                <w:rFonts w:eastAsia="PMingLiU"/>
                <w:color w:val="000000"/>
                <w:sz w:val="26"/>
                <w:szCs w:val="26"/>
                <w:lang w:val="lv-LV" w:eastAsia="ja-JP"/>
              </w:rPr>
              <w:t>B</w:t>
            </w:r>
          </w:p>
        </w:tc>
        <w:tc>
          <w:tcPr>
            <w:tcW w:w="3260" w:type="dxa"/>
            <w:tcBorders>
              <w:top w:val="single" w:sz="4" w:space="0" w:color="auto"/>
              <w:left w:val="single" w:sz="4" w:space="0" w:color="auto"/>
              <w:bottom w:val="single" w:sz="4" w:space="0" w:color="auto"/>
              <w:right w:val="single" w:sz="4" w:space="0" w:color="auto"/>
            </w:tcBorders>
            <w:hideMark/>
          </w:tcPr>
          <w:p w:rsidR="00E0333C" w:rsidRPr="00935C08" w:rsidP="002E7B7E" w14:paraId="47790E3C" w14:textId="77777777">
            <w:pPr>
              <w:jc w:val="center"/>
              <w:rPr>
                <w:rFonts w:eastAsia="PMingLiU"/>
                <w:color w:val="000000"/>
                <w:sz w:val="26"/>
                <w:szCs w:val="26"/>
                <w:lang w:val="lv-LV"/>
              </w:rPr>
            </w:pPr>
            <w:r w:rsidRPr="00935C08">
              <w:rPr>
                <w:rFonts w:eastAsia="PMingLiU"/>
                <w:color w:val="000000"/>
                <w:sz w:val="26"/>
                <w:szCs w:val="26"/>
                <w:lang w:val="lv-LV" w:eastAsia="ja-JP"/>
              </w:rPr>
              <w:t>C</w:t>
            </w:r>
          </w:p>
        </w:tc>
      </w:tr>
      <w:tr w14:paraId="38F9CD4A"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935C08" w:rsidP="002E7B7E" w14:paraId="1F2F7A16" w14:textId="77777777">
            <w:pPr>
              <w:rPr>
                <w:rFonts w:eastAsia="PMingLiU"/>
                <w:color w:val="000000"/>
                <w:sz w:val="26"/>
                <w:szCs w:val="26"/>
                <w:lang w:val="lv-LV" w:eastAsia="ja-JP"/>
              </w:rPr>
            </w:pPr>
            <w:r w:rsidRPr="00935C08">
              <w:rPr>
                <w:rFonts w:eastAsia="PMingLiU"/>
                <w:color w:val="000000"/>
                <w:sz w:val="26"/>
                <w:szCs w:val="26"/>
                <w:lang w:val="lv-LV" w:eastAsia="ja-JP"/>
              </w:rPr>
              <w:t>Starptautiskās saistības (pēc būtības), kas izriet no norādītā starptautiskā dokumenta.</w:t>
            </w:r>
          </w:p>
          <w:p w:rsidR="00E0333C" w:rsidRPr="00935C08" w:rsidP="002E7B7E" w14:paraId="7B6B70B6" w14:textId="77777777">
            <w:pPr>
              <w:rPr>
                <w:rFonts w:eastAsia="PMingLiU"/>
                <w:color w:val="000000"/>
                <w:sz w:val="26"/>
                <w:szCs w:val="26"/>
                <w:lang w:val="lv-LV"/>
              </w:rPr>
            </w:pPr>
            <w:r w:rsidRPr="00935C08">
              <w:rPr>
                <w:rFonts w:eastAsia="PMingLiU"/>
                <w:color w:val="000000"/>
                <w:sz w:val="26"/>
                <w:szCs w:val="26"/>
                <w:lang w:val="lv-LV" w:eastAsia="ja-JP"/>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E0333C" w:rsidRPr="00935C08" w:rsidP="002E7B7E" w14:paraId="63CFE456" w14:textId="77777777">
            <w:pPr>
              <w:rPr>
                <w:rFonts w:eastAsia="PMingLiU"/>
                <w:color w:val="000000"/>
                <w:sz w:val="26"/>
                <w:szCs w:val="26"/>
                <w:lang w:val="lv-LV"/>
              </w:rPr>
            </w:pPr>
            <w:r w:rsidRPr="00935C08">
              <w:rPr>
                <w:rFonts w:eastAsia="PMingLiU"/>
                <w:color w:val="000000"/>
                <w:sz w:val="26"/>
                <w:szCs w:val="26"/>
                <w:lang w:val="lv-LV" w:eastAsia="ja-JP"/>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E0333C" w:rsidRPr="00935C08" w:rsidP="002E7B7E" w14:paraId="39779893" w14:textId="77777777">
            <w:pPr>
              <w:rPr>
                <w:rFonts w:eastAsia="PMingLiU"/>
                <w:color w:val="000000"/>
                <w:sz w:val="26"/>
                <w:szCs w:val="26"/>
                <w:lang w:val="lv-LV" w:eastAsia="ja-JP"/>
              </w:rPr>
            </w:pPr>
            <w:r w:rsidRPr="00935C08">
              <w:rPr>
                <w:rFonts w:eastAsia="PMingLiU"/>
                <w:color w:val="000000"/>
                <w:sz w:val="26"/>
                <w:szCs w:val="26"/>
                <w:lang w:val="lv-LV" w:eastAsia="ja-JP"/>
              </w:rPr>
              <w:t>Informācija par to, vai starptautiskās saistības, kas minētas šīs tabulas A ailē, tiek izpildītas pilnībā vai daļēji.</w:t>
            </w:r>
          </w:p>
          <w:p w:rsidR="00E0333C" w:rsidRPr="00935C08" w:rsidP="002E7B7E" w14:paraId="3C25175E" w14:textId="77777777">
            <w:pPr>
              <w:rPr>
                <w:rFonts w:eastAsia="PMingLiU"/>
                <w:color w:val="000000"/>
                <w:sz w:val="26"/>
                <w:szCs w:val="26"/>
                <w:lang w:val="lv-LV" w:eastAsia="ja-JP"/>
              </w:rPr>
            </w:pPr>
            <w:r w:rsidRPr="00935C08">
              <w:rPr>
                <w:rFonts w:eastAsia="PMingLiU"/>
                <w:color w:val="000000"/>
                <w:sz w:val="26"/>
                <w:szCs w:val="26"/>
                <w:lang w:val="lv-LV" w:eastAsia="ja-JP"/>
              </w:rPr>
              <w:t>Ja attiecīgās starptautiskās saistības tiek izpildītas daļēji, sniedz attiecīgu skaidrojumu, kā arī precīzi norāda, kad un kādā veidā starptautiskās saistības tiks izpildītas pilnībā.</w:t>
            </w:r>
          </w:p>
          <w:p w:rsidR="00E0333C" w:rsidRPr="00935C08" w:rsidP="002E7B7E" w14:paraId="75FE546D" w14:textId="77777777">
            <w:pPr>
              <w:rPr>
                <w:rFonts w:eastAsia="PMingLiU"/>
                <w:color w:val="000000"/>
                <w:sz w:val="26"/>
                <w:szCs w:val="26"/>
                <w:lang w:val="lv-LV"/>
              </w:rPr>
            </w:pPr>
            <w:r w:rsidRPr="00935C08">
              <w:rPr>
                <w:rFonts w:eastAsia="PMingLiU"/>
                <w:color w:val="000000"/>
                <w:sz w:val="26"/>
                <w:szCs w:val="26"/>
                <w:lang w:val="lv-LV" w:eastAsia="ja-JP"/>
              </w:rPr>
              <w:t>Norāda institūciju, kas ir atbildīga par šo saistību izpildi pilnībā</w:t>
            </w:r>
          </w:p>
        </w:tc>
      </w:tr>
      <w:tr w14:paraId="30241B71"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935C08" w:rsidP="002E7B7E" w14:paraId="624554BD" w14:textId="77777777">
            <w:pPr>
              <w:rPr>
                <w:rFonts w:eastAsia="PMingLiU"/>
                <w:color w:val="000000"/>
                <w:sz w:val="26"/>
                <w:szCs w:val="26"/>
                <w:lang w:val="lv-LV"/>
              </w:rPr>
            </w:pPr>
            <w:r w:rsidRPr="00935C08">
              <w:rPr>
                <w:rFonts w:eastAsia="PMingLiU"/>
                <w:iCs/>
                <w:color w:val="000000"/>
                <w:sz w:val="26"/>
                <w:szCs w:val="26"/>
                <w:lang w:val="lv-LV" w:eastAsia="ja-JP"/>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E0333C" w:rsidRPr="00935C08" w:rsidP="002E7B7E" w14:paraId="18D0D418" w14:textId="77777777">
            <w:pPr>
              <w:rPr>
                <w:rFonts w:eastAsia="PMingLiU"/>
                <w:color w:val="000000"/>
                <w:sz w:val="26"/>
                <w:szCs w:val="26"/>
                <w:lang w:val="lv-LV"/>
              </w:rPr>
            </w:pPr>
            <w:r w:rsidRPr="00935C08">
              <w:rPr>
                <w:rFonts w:eastAsia="PMingLiU"/>
                <w:iCs/>
                <w:color w:val="000000"/>
                <w:sz w:val="26"/>
                <w:szCs w:val="26"/>
                <w:lang w:val="lv-LV" w:eastAsia="ja-JP"/>
              </w:rPr>
              <w:t>Noteikumu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rsidR="00E0333C" w:rsidRPr="00935C08" w:rsidP="002E7B7E" w14:paraId="1E6552BF" w14:textId="77777777">
            <w:pPr>
              <w:rPr>
                <w:rFonts w:eastAsia="PMingLiU"/>
                <w:color w:val="000000"/>
                <w:sz w:val="26"/>
                <w:szCs w:val="26"/>
                <w:lang w:val="lv-LV"/>
              </w:rPr>
            </w:pPr>
            <w:r w:rsidRPr="00935C08">
              <w:rPr>
                <w:rFonts w:eastAsia="PMingLiU"/>
                <w:iCs/>
                <w:color w:val="000000"/>
                <w:sz w:val="26"/>
                <w:szCs w:val="26"/>
                <w:lang w:val="lv-LV" w:eastAsia="ja-JP"/>
              </w:rPr>
              <w:t>Noteikumu projekts šo jomu neskar.</w:t>
            </w:r>
          </w:p>
        </w:tc>
      </w:tr>
      <w:tr w14:paraId="64EB8036"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935C08" w:rsidP="002E7B7E" w14:paraId="743D7E69" w14:textId="77777777">
            <w:pPr>
              <w:rPr>
                <w:rFonts w:eastAsia="PMingLiU"/>
                <w:color w:val="000000"/>
                <w:sz w:val="26"/>
                <w:szCs w:val="26"/>
                <w:lang w:val="lv-LV"/>
              </w:rPr>
            </w:pPr>
            <w:r w:rsidRPr="00935C08">
              <w:rPr>
                <w:rFonts w:eastAsia="PMingLiU"/>
                <w:color w:val="000000"/>
                <w:sz w:val="26"/>
                <w:szCs w:val="26"/>
                <w:lang w:val="lv-LV" w:eastAsia="ja-JP"/>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E0333C" w:rsidRPr="00935C08" w:rsidP="002E7B7E" w14:paraId="76278378" w14:textId="77777777">
            <w:pPr>
              <w:rPr>
                <w:rFonts w:eastAsia="PMingLiU"/>
                <w:i/>
                <w:color w:val="000000"/>
                <w:sz w:val="26"/>
                <w:szCs w:val="26"/>
                <w:lang w:val="lv-LV"/>
              </w:rPr>
            </w:pPr>
            <w:r w:rsidRPr="00935C08">
              <w:rPr>
                <w:rFonts w:eastAsia="PMingLiU"/>
                <w:iCs/>
                <w:color w:val="000000"/>
                <w:sz w:val="26"/>
                <w:szCs w:val="26"/>
                <w:lang w:val="lv-LV" w:eastAsia="ja-JP"/>
              </w:rPr>
              <w:t>Noteikumu projekts šo jomu neskar.</w:t>
            </w:r>
          </w:p>
        </w:tc>
      </w:tr>
      <w:tr w14:paraId="23F33131"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935C08" w:rsidP="002E7B7E" w14:paraId="39A28DEE" w14:textId="77777777">
            <w:pPr>
              <w:rPr>
                <w:rFonts w:eastAsia="PMingLiU"/>
                <w:color w:val="000000"/>
                <w:sz w:val="26"/>
                <w:szCs w:val="26"/>
                <w:lang w:val="lv-LV"/>
              </w:rPr>
            </w:pPr>
            <w:r w:rsidRPr="00935C08">
              <w:rPr>
                <w:rFonts w:eastAsia="PMingLiU"/>
                <w:color w:val="000000"/>
                <w:sz w:val="26"/>
                <w:szCs w:val="26"/>
                <w:lang w:val="lv-LV" w:eastAsia="ja-JP"/>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E0333C" w:rsidRPr="00935C08" w:rsidP="002E7B7E" w14:paraId="2C2BB609" w14:textId="77777777">
            <w:pPr>
              <w:rPr>
                <w:rFonts w:eastAsia="PMingLiU"/>
                <w:color w:val="000000"/>
                <w:sz w:val="26"/>
                <w:szCs w:val="26"/>
                <w:lang w:val="lv-LV"/>
              </w:rPr>
            </w:pPr>
            <w:r w:rsidRPr="00935C08">
              <w:rPr>
                <w:rFonts w:eastAsia="PMingLiU"/>
                <w:color w:val="000000"/>
                <w:sz w:val="26"/>
                <w:szCs w:val="26"/>
                <w:lang w:val="lv-LV" w:eastAsia="ja-JP"/>
              </w:rPr>
              <w:t>Nav.</w:t>
            </w:r>
          </w:p>
        </w:tc>
      </w:tr>
    </w:tbl>
    <w:p w:rsidR="00E0333C" w:rsidRPr="00935C08" w:rsidP="00E0333C" w14:paraId="43B2E7F0" w14:textId="77777777">
      <w:pPr>
        <w:rPr>
          <w:rFonts w:eastAsia="PMingLiU"/>
          <w:sz w:val="26"/>
          <w:szCs w:val="26"/>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4"/>
      </w:tblGrid>
      <w:tr w14:paraId="4E623AC5" w14:textId="77777777" w:rsidTr="00907DD7">
        <w:tblPrEx>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49"/>
        </w:trPr>
        <w:tc>
          <w:tcPr>
            <w:tcW w:w="9214" w:type="dxa"/>
            <w:vAlign w:val="center"/>
          </w:tcPr>
          <w:p w:rsidR="00E0333C" w:rsidRPr="00935C08" w:rsidP="002E7B7E" w14:paraId="4178B270" w14:textId="77777777">
            <w:pPr>
              <w:ind w:left="57" w:right="57"/>
              <w:jc w:val="center"/>
              <w:rPr>
                <w:rFonts w:eastAsia="Times New Roman"/>
                <w:sz w:val="26"/>
                <w:szCs w:val="26"/>
                <w:lang w:val="lv-LV" w:eastAsia="lv-LV"/>
              </w:rPr>
            </w:pPr>
            <w:r w:rsidRPr="00935C08">
              <w:rPr>
                <w:rFonts w:eastAsia="Times New Roman"/>
                <w:b/>
                <w:sz w:val="26"/>
                <w:szCs w:val="26"/>
                <w:lang w:val="lv-LV" w:eastAsia="lv-LV"/>
              </w:rPr>
              <w:t>VI. Sa</w:t>
            </w:r>
            <w:bookmarkStart w:id="6" w:name="_GoBack"/>
            <w:bookmarkEnd w:id="6"/>
            <w:r w:rsidRPr="00935C08">
              <w:rPr>
                <w:rFonts w:eastAsia="Times New Roman"/>
                <w:b/>
                <w:sz w:val="26"/>
                <w:szCs w:val="26"/>
                <w:lang w:val="lv-LV" w:eastAsia="lv-LV"/>
              </w:rPr>
              <w:t>biedrības līdzdalība un komunikācijas aktivitātes</w:t>
            </w:r>
          </w:p>
        </w:tc>
      </w:tr>
      <w:tr w14:paraId="180B45C9" w14:textId="77777777" w:rsidTr="00907DD7">
        <w:tblPrEx>
          <w:tblW w:w="9214" w:type="dxa"/>
          <w:tblInd w:w="-5" w:type="dxa"/>
          <w:tblCellMar>
            <w:left w:w="0" w:type="dxa"/>
            <w:right w:w="0" w:type="dxa"/>
          </w:tblCellMar>
          <w:tblLook w:val="0000"/>
        </w:tblPrEx>
        <w:trPr>
          <w:trHeight w:val="218"/>
        </w:trPr>
        <w:tc>
          <w:tcPr>
            <w:tcW w:w="9214" w:type="dxa"/>
          </w:tcPr>
          <w:p w:rsidR="00E0333C" w:rsidRPr="00935C08" w:rsidP="002E7B7E" w14:paraId="2975675E" w14:textId="795C26DD">
            <w:pPr>
              <w:ind w:left="57" w:right="57"/>
              <w:jc w:val="center"/>
              <w:rPr>
                <w:rFonts w:eastAsia="PMingLiU"/>
                <w:sz w:val="26"/>
                <w:szCs w:val="26"/>
                <w:lang w:val="lv-LV" w:eastAsia="ja-JP"/>
              </w:rPr>
            </w:pPr>
            <w:r w:rsidRPr="00935C08">
              <w:rPr>
                <w:sz w:val="26"/>
                <w:szCs w:val="26"/>
                <w:lang w:val="lv-LV"/>
              </w:rPr>
              <w:t>Noteikumu projekta izstrāde balstīta uz komersantu vajadzībām.</w:t>
            </w:r>
            <w:bookmarkStart w:id="7" w:name="p61"/>
            <w:bookmarkEnd w:id="7"/>
          </w:p>
        </w:tc>
      </w:tr>
    </w:tbl>
    <w:p w:rsidR="00844176" w:rsidRPr="00935C08" w:rsidP="00844176" w14:paraId="07B85D36" w14:textId="1E6EF1D8">
      <w:pPr>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68"/>
        <w:gridCol w:w="2739"/>
        <w:gridCol w:w="6122"/>
      </w:tblGrid>
      <w:tr w14:paraId="72278BCA" w14:textId="77777777" w:rsidTr="00871E2F">
        <w:tblPrEx>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rsidR="00844176" w:rsidRPr="00935C08" w:rsidP="00FA2346" w14:paraId="34C12EA7" w14:textId="53912CA3">
            <w:pPr>
              <w:spacing w:before="100" w:beforeAutospacing="1" w:after="100" w:afterAutospacing="1"/>
              <w:ind w:firstLine="300"/>
              <w:jc w:val="center"/>
              <w:rPr>
                <w:rFonts w:eastAsia="Times New Roman"/>
                <w:sz w:val="26"/>
                <w:szCs w:val="26"/>
                <w:lang w:val="lv-LV" w:eastAsia="lv-LV"/>
              </w:rPr>
            </w:pPr>
            <w:r w:rsidRPr="00935C08">
              <w:rPr>
                <w:rFonts w:eastAsia="Times New Roman"/>
                <w:b/>
                <w:bCs/>
                <w:color w:val="000000"/>
                <w:sz w:val="26"/>
                <w:szCs w:val="26"/>
                <w:lang w:val="lv-LV" w:eastAsia="lv-LV"/>
              </w:rPr>
              <w:t>VII. Tiesību akta projekta izpildes nodrošināšana un tās ietekme uz institūcijām</w:t>
            </w:r>
          </w:p>
        </w:tc>
      </w:tr>
      <w:tr w14:paraId="3BE578E7" w14:textId="77777777" w:rsidTr="00D37973">
        <w:tblPrEx>
          <w:tblW w:w="9129" w:type="dxa"/>
          <w:tblCellMar>
            <w:top w:w="30" w:type="dxa"/>
            <w:left w:w="30" w:type="dxa"/>
            <w:bottom w:w="30" w:type="dxa"/>
            <w:right w:w="30" w:type="dxa"/>
          </w:tblCellMar>
          <w:tblLook w:val="04A0"/>
        </w:tblPrEx>
        <w:trPr>
          <w:trHeight w:val="420"/>
        </w:trPr>
        <w:tc>
          <w:tcPr>
            <w:tcW w:w="268"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722ABD64"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6CB08CA7" w14:textId="77777777">
            <w:pPr>
              <w:ind w:right="112"/>
              <w:jc w:val="both"/>
              <w:rPr>
                <w:sz w:val="26"/>
                <w:szCs w:val="26"/>
                <w:lang w:val="lv-LV"/>
              </w:rPr>
            </w:pPr>
            <w:r w:rsidRPr="00935C08">
              <w:rPr>
                <w:sz w:val="26"/>
                <w:szCs w:val="26"/>
                <w:lang w:val="lv-LV"/>
              </w:rPr>
              <w:t>Projekta izpildē iesaistītās institūcijas</w:t>
            </w:r>
          </w:p>
        </w:tc>
        <w:tc>
          <w:tcPr>
            <w:tcW w:w="6122"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4C10CF17" w14:textId="77777777">
            <w:pPr>
              <w:ind w:left="82" w:right="161"/>
              <w:jc w:val="both"/>
              <w:rPr>
                <w:sz w:val="26"/>
                <w:szCs w:val="26"/>
                <w:lang w:val="lv-LV"/>
              </w:rPr>
            </w:pPr>
            <w:r w:rsidRPr="00935C08">
              <w:rPr>
                <w:sz w:val="26"/>
                <w:szCs w:val="26"/>
                <w:lang w:val="lv-LV"/>
              </w:rPr>
              <w:t>E</w:t>
            </w:r>
            <w:r w:rsidRPr="00935C08" w:rsidR="00733C32">
              <w:rPr>
                <w:sz w:val="26"/>
                <w:szCs w:val="26"/>
                <w:lang w:val="lv-LV"/>
              </w:rPr>
              <w:t>konomikas ministrija</w:t>
            </w:r>
            <w:r w:rsidRPr="00935C08" w:rsidR="0074545C">
              <w:rPr>
                <w:sz w:val="26"/>
                <w:szCs w:val="26"/>
                <w:lang w:val="lv-LV"/>
              </w:rPr>
              <w:t>, akciju sabiedrība</w:t>
            </w:r>
            <w:r w:rsidRPr="00935C08" w:rsidR="00733C32">
              <w:rPr>
                <w:sz w:val="26"/>
                <w:szCs w:val="26"/>
                <w:lang w:val="lv-LV"/>
              </w:rPr>
              <w:t xml:space="preserve"> “Attīstības finanšu institūcija </w:t>
            </w:r>
            <w:r w:rsidRPr="00935C08" w:rsidR="00733C32">
              <w:rPr>
                <w:sz w:val="26"/>
                <w:szCs w:val="26"/>
                <w:lang w:val="lv-LV"/>
              </w:rPr>
              <w:t>Altum</w:t>
            </w:r>
            <w:r w:rsidRPr="00935C08" w:rsidR="00733C32">
              <w:rPr>
                <w:sz w:val="26"/>
                <w:szCs w:val="26"/>
                <w:lang w:val="lv-LV"/>
              </w:rPr>
              <w:t>”</w:t>
            </w:r>
            <w:r w:rsidRPr="00935C08">
              <w:rPr>
                <w:sz w:val="26"/>
                <w:szCs w:val="26"/>
                <w:lang w:val="lv-LV"/>
              </w:rPr>
              <w:t>.</w:t>
            </w:r>
          </w:p>
        </w:tc>
      </w:tr>
      <w:tr w14:paraId="2CF2C3EA" w14:textId="77777777" w:rsidTr="00D37973">
        <w:tblPrEx>
          <w:tblW w:w="9129" w:type="dxa"/>
          <w:tblCellMar>
            <w:top w:w="30" w:type="dxa"/>
            <w:left w:w="30" w:type="dxa"/>
            <w:bottom w:w="30" w:type="dxa"/>
            <w:right w:w="30" w:type="dxa"/>
          </w:tblCellMar>
          <w:tblLook w:val="04A0"/>
        </w:tblPrEx>
        <w:trPr>
          <w:trHeight w:val="450"/>
        </w:trPr>
        <w:tc>
          <w:tcPr>
            <w:tcW w:w="268"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6D5BFDB2"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7D209650" w14:textId="77777777">
            <w:pPr>
              <w:ind w:right="112"/>
              <w:jc w:val="both"/>
              <w:rPr>
                <w:sz w:val="26"/>
                <w:szCs w:val="26"/>
                <w:lang w:val="lv-LV"/>
              </w:rPr>
            </w:pPr>
            <w:r w:rsidRPr="00935C08">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122"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6633769E" w14:textId="593B8F73">
            <w:pPr>
              <w:ind w:left="82" w:right="161"/>
              <w:jc w:val="both"/>
              <w:rPr>
                <w:sz w:val="26"/>
                <w:szCs w:val="26"/>
                <w:lang w:val="lv-LV"/>
              </w:rPr>
            </w:pPr>
            <w:r w:rsidRPr="00935C08">
              <w:rPr>
                <w:sz w:val="26"/>
                <w:szCs w:val="26"/>
                <w:lang w:val="lv-LV"/>
              </w:rPr>
              <w:t>M</w:t>
            </w:r>
            <w:r w:rsidRPr="00935C08" w:rsidR="00FA2346">
              <w:rPr>
                <w:sz w:val="26"/>
                <w:szCs w:val="26"/>
                <w:lang w:val="lv-LV"/>
              </w:rPr>
              <w:t>K</w:t>
            </w:r>
            <w:r w:rsidRPr="00935C08">
              <w:rPr>
                <w:sz w:val="26"/>
                <w:szCs w:val="26"/>
                <w:lang w:val="lv-LV"/>
              </w:rPr>
              <w:t xml:space="preserve"> noteikumu</w:t>
            </w:r>
            <w:r w:rsidRPr="00935C08" w:rsidR="00FA2346">
              <w:rPr>
                <w:sz w:val="26"/>
                <w:szCs w:val="26"/>
                <w:lang w:val="lv-LV"/>
              </w:rPr>
              <w:t xml:space="preserve"> grozījumu</w:t>
            </w:r>
            <w:r w:rsidRPr="00935C08">
              <w:rPr>
                <w:sz w:val="26"/>
                <w:szCs w:val="26"/>
                <w:lang w:val="lv-LV"/>
              </w:rPr>
              <w:t xml:space="preserve"> proj</w:t>
            </w:r>
            <w:r w:rsidRPr="00935C08" w:rsidR="00733C32">
              <w:rPr>
                <w:sz w:val="26"/>
                <w:szCs w:val="26"/>
                <w:lang w:val="lv-LV"/>
              </w:rPr>
              <w:t>ekta izpilde tiks nodrošināta Ekonomikas ministrijas</w:t>
            </w:r>
            <w:r w:rsidRPr="00935C08">
              <w:rPr>
                <w:sz w:val="26"/>
                <w:szCs w:val="26"/>
                <w:lang w:val="lv-LV"/>
              </w:rPr>
              <w:t xml:space="preserve"> un </w:t>
            </w:r>
            <w:r w:rsidRPr="00935C08" w:rsidR="0074545C">
              <w:rPr>
                <w:sz w:val="26"/>
                <w:szCs w:val="26"/>
                <w:lang w:val="lv-LV"/>
              </w:rPr>
              <w:t>akciju sabiedrības</w:t>
            </w:r>
            <w:r w:rsidRPr="00935C08" w:rsidR="00733C32">
              <w:rPr>
                <w:sz w:val="26"/>
                <w:szCs w:val="26"/>
                <w:lang w:val="lv-LV"/>
              </w:rPr>
              <w:t xml:space="preserve"> “Attīstības finanšu institūcija </w:t>
            </w:r>
            <w:r w:rsidRPr="00935C08" w:rsidR="00733C32">
              <w:rPr>
                <w:sz w:val="26"/>
                <w:szCs w:val="26"/>
                <w:lang w:val="lv-LV"/>
              </w:rPr>
              <w:t>Altum</w:t>
            </w:r>
            <w:r w:rsidRPr="00935C08" w:rsidR="00733C32">
              <w:rPr>
                <w:sz w:val="26"/>
                <w:szCs w:val="26"/>
                <w:lang w:val="lv-LV"/>
              </w:rPr>
              <w:t xml:space="preserve">” </w:t>
            </w:r>
            <w:r w:rsidRPr="00935C08">
              <w:rPr>
                <w:sz w:val="26"/>
                <w:szCs w:val="26"/>
                <w:lang w:val="lv-LV"/>
              </w:rPr>
              <w:t>esošo funkciju ietvaros.</w:t>
            </w:r>
          </w:p>
          <w:p w:rsidR="00844176" w:rsidRPr="00935C08" w:rsidP="00871E2F" w14:paraId="5F5A7977" w14:textId="77777777">
            <w:pPr>
              <w:ind w:left="82" w:right="161" w:firstLine="720"/>
              <w:jc w:val="both"/>
              <w:rPr>
                <w:sz w:val="26"/>
                <w:szCs w:val="26"/>
                <w:lang w:val="lv-LV"/>
              </w:rPr>
            </w:pPr>
          </w:p>
        </w:tc>
      </w:tr>
      <w:tr w14:paraId="2EBACAF6" w14:textId="77777777" w:rsidTr="00D37973">
        <w:tblPrEx>
          <w:tblW w:w="9129" w:type="dxa"/>
          <w:tblCellMar>
            <w:top w:w="30" w:type="dxa"/>
            <w:left w:w="30" w:type="dxa"/>
            <w:bottom w:w="30" w:type="dxa"/>
            <w:right w:w="30" w:type="dxa"/>
          </w:tblCellMar>
          <w:tblLook w:val="04A0"/>
        </w:tblPrEx>
        <w:trPr>
          <w:trHeight w:val="390"/>
        </w:trPr>
        <w:tc>
          <w:tcPr>
            <w:tcW w:w="268"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7852C13F" w14:textId="77777777">
            <w:pPr>
              <w:spacing w:before="100" w:beforeAutospacing="1" w:after="100" w:afterAutospacing="1"/>
              <w:rPr>
                <w:rFonts w:eastAsia="Times New Roman"/>
                <w:sz w:val="26"/>
                <w:szCs w:val="26"/>
                <w:lang w:val="lv-LV" w:eastAsia="lv-LV"/>
              </w:rPr>
            </w:pPr>
            <w:r w:rsidRPr="00935C08">
              <w:rPr>
                <w:rFonts w:eastAsia="Times New Roman"/>
                <w:color w:val="000000"/>
                <w:sz w:val="26"/>
                <w:szCs w:val="26"/>
                <w:lang w:val="lv-LV"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rsidR="00844176" w:rsidRPr="00935C08" w:rsidP="00871E2F" w14:paraId="19CC748B" w14:textId="77777777">
            <w:pPr>
              <w:jc w:val="both"/>
              <w:rPr>
                <w:rFonts w:eastAsia="Times New Roman"/>
                <w:sz w:val="26"/>
                <w:szCs w:val="26"/>
                <w:lang w:val="lv-LV" w:eastAsia="lv-LV"/>
              </w:rPr>
            </w:pPr>
            <w:r w:rsidRPr="00935C08">
              <w:rPr>
                <w:rFonts w:eastAsia="Times New Roman"/>
                <w:sz w:val="26"/>
                <w:szCs w:val="26"/>
                <w:lang w:val="lv-LV" w:eastAsia="lv-LV"/>
              </w:rPr>
              <w:t>Cita informācija</w:t>
            </w:r>
          </w:p>
        </w:tc>
        <w:tc>
          <w:tcPr>
            <w:tcW w:w="6122" w:type="dxa"/>
            <w:tcBorders>
              <w:top w:val="outset" w:sz="6" w:space="0" w:color="414142"/>
              <w:left w:val="outset" w:sz="6" w:space="0" w:color="414142"/>
              <w:bottom w:val="outset" w:sz="6" w:space="0" w:color="414142"/>
              <w:right w:val="outset" w:sz="6" w:space="0" w:color="414142"/>
            </w:tcBorders>
            <w:hideMark/>
          </w:tcPr>
          <w:p w:rsidR="00844176" w:rsidRPr="00935C08" w:rsidP="002932D2" w14:paraId="539FA647" w14:textId="77777777">
            <w:pPr>
              <w:jc w:val="both"/>
              <w:rPr>
                <w:rFonts w:eastAsia="Times New Roman"/>
                <w:sz w:val="26"/>
                <w:szCs w:val="26"/>
                <w:lang w:val="lv-LV" w:eastAsia="lv-LV"/>
              </w:rPr>
            </w:pPr>
            <w:r w:rsidRPr="00935C08">
              <w:rPr>
                <w:rFonts w:eastAsia="Times New Roman"/>
                <w:sz w:val="26"/>
                <w:szCs w:val="26"/>
                <w:lang w:val="lv-LV" w:eastAsia="lv-LV"/>
              </w:rPr>
              <w:t>Nav</w:t>
            </w:r>
          </w:p>
        </w:tc>
      </w:tr>
    </w:tbl>
    <w:p w:rsidR="000A0059" w:rsidRPr="00935C08" w:rsidP="00EA6CD3" w14:paraId="7FC0F3F0" w14:textId="1E3ACBC7">
      <w:pPr>
        <w:tabs>
          <w:tab w:val="right" w:pos="9072"/>
        </w:tabs>
        <w:rPr>
          <w:sz w:val="26"/>
          <w:szCs w:val="26"/>
          <w:lang w:val="lv-LV"/>
        </w:rPr>
      </w:pPr>
    </w:p>
    <w:p w:rsidR="00EB184B" w:rsidRPr="00935C08" w:rsidP="00EB184B" w14:paraId="285B29A3" w14:textId="77777777">
      <w:pPr>
        <w:jc w:val="both"/>
        <w:rPr>
          <w:sz w:val="26"/>
          <w:szCs w:val="26"/>
          <w:lang w:val="lv-LV"/>
        </w:rPr>
      </w:pPr>
      <w:r w:rsidRPr="00935C08">
        <w:rPr>
          <w:sz w:val="26"/>
          <w:szCs w:val="26"/>
          <w:lang w:val="lv-LV"/>
        </w:rPr>
        <w:t>Ministru prezidenta biedrs,</w:t>
      </w:r>
    </w:p>
    <w:p w:rsidR="00EB184B" w:rsidRPr="00935C08" w:rsidP="00EB184B" w14:paraId="4C5917F9" w14:textId="77777777">
      <w:pPr>
        <w:jc w:val="both"/>
        <w:rPr>
          <w:sz w:val="26"/>
          <w:szCs w:val="26"/>
          <w:lang w:val="lv-LV"/>
        </w:rPr>
      </w:pPr>
      <w:r w:rsidRPr="00935C08">
        <w:rPr>
          <w:sz w:val="26"/>
          <w:szCs w:val="26"/>
          <w:lang w:val="lv-LV"/>
        </w:rPr>
        <w:t>ekonomikas ministrs</w:t>
      </w:r>
      <w:r w:rsidRPr="00935C08" w:rsidR="00B26202">
        <w:rPr>
          <w:sz w:val="26"/>
          <w:szCs w:val="26"/>
          <w:lang w:val="lv-LV"/>
        </w:rPr>
        <w:tab/>
      </w:r>
      <w:r w:rsidRPr="00935C08" w:rsidR="00B26202">
        <w:rPr>
          <w:sz w:val="26"/>
          <w:szCs w:val="26"/>
          <w:lang w:val="lv-LV"/>
        </w:rPr>
        <w:tab/>
      </w:r>
      <w:r w:rsidRPr="00935C08" w:rsidR="00B26202">
        <w:rPr>
          <w:sz w:val="26"/>
          <w:szCs w:val="26"/>
          <w:lang w:val="lv-LV"/>
        </w:rPr>
        <w:tab/>
      </w:r>
      <w:r w:rsidRPr="00935C08" w:rsidR="00B26202">
        <w:rPr>
          <w:sz w:val="26"/>
          <w:szCs w:val="26"/>
          <w:lang w:val="lv-LV"/>
        </w:rPr>
        <w:tab/>
      </w:r>
      <w:r w:rsidRPr="00935C08" w:rsidR="00B26202">
        <w:rPr>
          <w:sz w:val="26"/>
          <w:szCs w:val="26"/>
          <w:lang w:val="lv-LV"/>
        </w:rPr>
        <w:tab/>
      </w:r>
      <w:r w:rsidRPr="00935C08" w:rsidR="00B26202">
        <w:rPr>
          <w:sz w:val="26"/>
          <w:szCs w:val="26"/>
          <w:lang w:val="lv-LV"/>
        </w:rPr>
        <w:tab/>
      </w:r>
      <w:r w:rsidRPr="00935C08" w:rsidR="006C20C5">
        <w:rPr>
          <w:sz w:val="26"/>
          <w:szCs w:val="26"/>
          <w:lang w:val="lv-LV"/>
        </w:rPr>
        <w:tab/>
      </w:r>
      <w:r w:rsidRPr="00935C08">
        <w:rPr>
          <w:sz w:val="26"/>
          <w:szCs w:val="26"/>
          <w:lang w:val="lv-LV"/>
        </w:rPr>
        <w:t>A. Ašeradens</w:t>
      </w:r>
    </w:p>
    <w:p w:rsidR="00EB184B" w:rsidRPr="00935C08" w:rsidP="00EB184B" w14:paraId="10F9896C" w14:textId="77777777">
      <w:pPr>
        <w:jc w:val="both"/>
        <w:rPr>
          <w:sz w:val="26"/>
          <w:szCs w:val="26"/>
          <w:lang w:val="lv-LV"/>
        </w:rPr>
      </w:pPr>
    </w:p>
    <w:p w:rsidR="000A0059" w:rsidRPr="00935C08" w:rsidP="00EB184B" w14:paraId="50199F2B" w14:textId="77777777">
      <w:pPr>
        <w:jc w:val="both"/>
        <w:rPr>
          <w:sz w:val="26"/>
          <w:szCs w:val="26"/>
          <w:lang w:val="lv-LV"/>
        </w:rPr>
      </w:pPr>
      <w:r w:rsidRPr="00935C08">
        <w:rPr>
          <w:sz w:val="26"/>
          <w:szCs w:val="26"/>
          <w:lang w:val="lv-LV"/>
        </w:rPr>
        <w:t>Vīza:</w:t>
      </w:r>
    </w:p>
    <w:p w:rsidR="002C504B" w:rsidRPr="00935C08" w:rsidP="006C20C5" w14:paraId="01FC1189" w14:textId="2B632026">
      <w:pPr>
        <w:jc w:val="both"/>
        <w:rPr>
          <w:sz w:val="26"/>
          <w:szCs w:val="26"/>
          <w:lang w:val="lv-LV"/>
        </w:rPr>
      </w:pPr>
      <w:r w:rsidRPr="00935C08">
        <w:rPr>
          <w:sz w:val="26"/>
          <w:szCs w:val="26"/>
          <w:lang w:val="lv-LV"/>
        </w:rPr>
        <w:t>Valsts sekretār</w:t>
      </w:r>
      <w:r w:rsidRPr="00935C08" w:rsidR="006C20C5">
        <w:rPr>
          <w:sz w:val="26"/>
          <w:szCs w:val="26"/>
          <w:lang w:val="lv-LV"/>
        </w:rPr>
        <w:t>s</w:t>
      </w:r>
      <w:r w:rsidRPr="00935C08" w:rsidR="006C20C5">
        <w:rPr>
          <w:sz w:val="26"/>
          <w:szCs w:val="26"/>
          <w:lang w:val="lv-LV"/>
        </w:rPr>
        <w:tab/>
      </w:r>
      <w:r w:rsidRPr="00935C08" w:rsidR="006C20C5">
        <w:rPr>
          <w:sz w:val="26"/>
          <w:szCs w:val="26"/>
          <w:lang w:val="lv-LV"/>
        </w:rPr>
        <w:tab/>
      </w:r>
      <w:r w:rsidRPr="00935C08" w:rsidR="006C20C5">
        <w:rPr>
          <w:sz w:val="26"/>
          <w:szCs w:val="26"/>
          <w:lang w:val="lv-LV"/>
        </w:rPr>
        <w:tab/>
      </w:r>
      <w:r w:rsidRPr="00935C08" w:rsidR="006C20C5">
        <w:rPr>
          <w:sz w:val="26"/>
          <w:szCs w:val="26"/>
          <w:lang w:val="lv-LV"/>
        </w:rPr>
        <w:tab/>
      </w:r>
      <w:r w:rsidRPr="00935C08" w:rsidR="006C20C5">
        <w:rPr>
          <w:sz w:val="26"/>
          <w:szCs w:val="26"/>
          <w:lang w:val="lv-LV"/>
        </w:rPr>
        <w:tab/>
      </w:r>
      <w:r w:rsidRPr="00935C08" w:rsidR="006C20C5">
        <w:rPr>
          <w:sz w:val="26"/>
          <w:szCs w:val="26"/>
          <w:lang w:val="lv-LV"/>
        </w:rPr>
        <w:tab/>
      </w:r>
      <w:r w:rsidRPr="00935C08" w:rsidR="006C20C5">
        <w:rPr>
          <w:sz w:val="26"/>
          <w:szCs w:val="26"/>
          <w:lang w:val="lv-LV"/>
        </w:rPr>
        <w:tab/>
      </w:r>
      <w:r w:rsidRPr="00935C08" w:rsidR="00F06F21">
        <w:rPr>
          <w:sz w:val="26"/>
          <w:szCs w:val="26"/>
          <w:lang w:val="lv-LV"/>
        </w:rPr>
        <w:t xml:space="preserve"> </w:t>
      </w:r>
      <w:r w:rsidRPr="00935C08" w:rsidR="006C20C5">
        <w:rPr>
          <w:sz w:val="26"/>
          <w:szCs w:val="26"/>
          <w:lang w:val="lv-LV"/>
        </w:rPr>
        <w:tab/>
      </w:r>
      <w:r w:rsidRPr="00935C08" w:rsidR="00F06F21">
        <w:rPr>
          <w:sz w:val="26"/>
          <w:szCs w:val="26"/>
          <w:lang w:val="lv-LV"/>
        </w:rPr>
        <w:t xml:space="preserve">     </w:t>
      </w:r>
      <w:r w:rsidRPr="00935C08" w:rsidR="00F06F21">
        <w:rPr>
          <w:sz w:val="26"/>
          <w:szCs w:val="26"/>
          <w:lang w:val="lv-LV"/>
        </w:rPr>
        <w:t>Ē.Eglītis</w:t>
      </w:r>
    </w:p>
    <w:p w:rsidR="0094022B" w:rsidRPr="00935C08" w14:paraId="5F554659" w14:textId="247537A5">
      <w:pPr>
        <w:rPr>
          <w:sz w:val="26"/>
          <w:szCs w:val="26"/>
          <w:lang w:val="lv-LV"/>
        </w:rPr>
      </w:pPr>
    </w:p>
    <w:p w:rsidR="0094022B" w:rsidRPr="00935C08" w:rsidP="0094022B" w14:paraId="3FE46FE9" w14:textId="2C2B56B5">
      <w:pPr>
        <w:rPr>
          <w:sz w:val="26"/>
          <w:szCs w:val="26"/>
          <w:lang w:val="lv-LV"/>
        </w:rPr>
      </w:pPr>
    </w:p>
    <w:p w:rsidR="0094022B" w:rsidRPr="00935C08" w:rsidP="0094022B" w14:paraId="53B97E9F" w14:textId="77777777">
      <w:pPr>
        <w:jc w:val="both"/>
        <w:rPr>
          <w:sz w:val="24"/>
          <w:szCs w:val="24"/>
          <w:lang w:val="lv-LV"/>
        </w:rPr>
      </w:pPr>
    </w:p>
    <w:p w:rsidR="0094022B" w:rsidRPr="00935C08" w:rsidP="0094022B" w14:paraId="0E3B6E0F" w14:textId="7B74E615">
      <w:pPr>
        <w:rPr>
          <w:sz w:val="16"/>
          <w:szCs w:val="16"/>
          <w:lang w:val="lv-LV"/>
        </w:rPr>
      </w:pPr>
      <w:r w:rsidRPr="00935C08">
        <w:rPr>
          <w:sz w:val="16"/>
          <w:szCs w:val="16"/>
          <w:lang w:val="lv-LV"/>
        </w:rPr>
        <w:t>Liene Bergholde</w:t>
      </w:r>
      <w:r w:rsidRPr="00935C08">
        <w:rPr>
          <w:sz w:val="16"/>
          <w:szCs w:val="16"/>
          <w:lang w:val="lv-LV"/>
        </w:rPr>
        <w:t>, 67013</w:t>
      </w:r>
      <w:r w:rsidRPr="00935C08">
        <w:rPr>
          <w:sz w:val="16"/>
          <w:szCs w:val="16"/>
          <w:lang w:val="lv-LV"/>
        </w:rPr>
        <w:t>203</w:t>
      </w:r>
    </w:p>
    <w:p w:rsidR="0094022B" w:rsidRPr="00935C08" w:rsidP="0094022B" w14:paraId="18F9F631" w14:textId="348AB87C">
      <w:pPr>
        <w:rPr>
          <w:rFonts w:eastAsia="Times New Roman"/>
          <w:iCs/>
          <w:sz w:val="24"/>
          <w:szCs w:val="24"/>
          <w:lang w:val="lv-LV" w:eastAsia="lv-LV"/>
        </w:rPr>
      </w:pPr>
      <w:r>
        <w:fldChar w:fldCharType="begin"/>
      </w:r>
      <w:r>
        <w:instrText xml:space="preserve"> HYPERLINK "mailto:Liene.Bergholde@em.gov.lv" </w:instrText>
      </w:r>
      <w:r>
        <w:fldChar w:fldCharType="separate"/>
      </w:r>
      <w:r w:rsidRPr="00935C08" w:rsidR="005A0C78">
        <w:rPr>
          <w:rStyle w:val="Hyperlink"/>
          <w:sz w:val="16"/>
          <w:szCs w:val="16"/>
          <w:lang w:val="lv-LV"/>
        </w:rPr>
        <w:t>Liene.Bergholde@em.gov.lv</w:t>
      </w:r>
      <w:r>
        <w:fldChar w:fldCharType="end"/>
      </w:r>
      <w:r w:rsidRPr="00935C08">
        <w:rPr>
          <w:sz w:val="16"/>
          <w:szCs w:val="16"/>
          <w:lang w:val="lv-LV"/>
        </w:rPr>
        <w:t xml:space="preserve"> </w:t>
      </w:r>
    </w:p>
    <w:p w:rsidR="00733C32" w:rsidRPr="00935C08" w14:paraId="15AA3A25" w14:textId="77777777">
      <w:pPr>
        <w:rPr>
          <w:sz w:val="26"/>
          <w:szCs w:val="26"/>
          <w:lang w:val="lv-LV"/>
        </w:rPr>
      </w:pPr>
    </w:p>
    <w:sectPr w:rsidSect="00720C35">
      <w:headerReference w:type="default" r:id="rId5"/>
      <w:footerReference w:type="default" r:id="rId6"/>
      <w:footerReference w:type="first" r:id="rId7"/>
      <w:endnotePr>
        <w:numFmt w:val="decimal"/>
      </w:endnotePr>
      <w:type w:val="continuous"/>
      <w:pgSz w:w="11906" w:h="16838"/>
      <w:pgMar w:top="1304" w:right="113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56D" w:rsidRPr="00BB55EA" w:rsidP="00E37F50" w14:paraId="3997D52F" w14:textId="1BC03566">
    <w:pPr>
      <w:pStyle w:val="Footer"/>
      <w:jc w:val="both"/>
      <w:rPr>
        <w:lang w:val="lv-LV"/>
      </w:rPr>
    </w:pPr>
    <w:r>
      <w:rPr>
        <w:noProof/>
      </w:rPr>
      <w:fldChar w:fldCharType="begin"/>
    </w:r>
    <w:r>
      <w:rPr>
        <w:noProof/>
      </w:rPr>
      <w:instrText xml:space="preserve"> FILENAME   \* MERGEFORMAT </w:instrText>
    </w:r>
    <w:r>
      <w:rPr>
        <w:noProof/>
      </w:rP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56D" w:rsidP="003B7B62" w14:paraId="20CFF2A6" w14:textId="77777777">
    <w:pPr>
      <w:pStyle w:val="Footer"/>
      <w:jc w:val="both"/>
    </w:pPr>
    <w:r>
      <w:rPr>
        <w:noProof/>
      </w:rPr>
      <w:fldChar w:fldCharType="begin"/>
    </w:r>
    <w:r>
      <w:rPr>
        <w:noProof/>
      </w:rPr>
      <w:instrText xml:space="preserve"> FILENAME   \* MERGEFORMAT </w:instrText>
    </w:r>
    <w:r>
      <w:rPr>
        <w:noProof/>
      </w:rPr>
      <w:fldChar w:fldCharType="separate"/>
    </w:r>
    <w:r>
      <w:rPr>
        <w:noProof/>
      </w:rPr>
      <w:fldChar w:fldCharType="end"/>
    </w:r>
    <w:r>
      <w:t xml:space="preserve">; </w:t>
    </w:r>
    <w:sdt>
      <w:sdtPr>
        <w:alias w:val="Title"/>
        <w:id w:val="997117455"/>
        <w:dataBinding w:prefixMappings="xmlns:ns0='http://purl.org/dc/elements/1.1/' xmlns:ns1='http://schemas.openxmlformats.org/package/2006/metadata/core-properties' " w:xpath="/ns1:coreProperties[1]/ns0:title[1]" w:storeItemID="{6C3C8BC8-F283-45AE-878A-BAB7291924A1}"/>
        <w:text/>
      </w:sdtPr>
      <w:sdtContent>
        <w:r>
          <w:t xml:space="preserve">     </w:t>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9793354"/>
      <w:docPartObj>
        <w:docPartGallery w:val="Page Numbers (Top of Page)"/>
        <w:docPartUnique/>
      </w:docPartObj>
    </w:sdtPr>
    <w:sdtEndPr>
      <w:rPr>
        <w:sz w:val="24"/>
        <w:szCs w:val="24"/>
      </w:rPr>
    </w:sdtEndPr>
    <w:sdtContent>
      <w:p w:rsidR="0007156D" w:rsidRPr="00B014C2" w14:paraId="06079B9A" w14:textId="291C154A">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935C08">
          <w:rPr>
            <w:noProof/>
            <w:sz w:val="24"/>
            <w:szCs w:val="24"/>
          </w:rPr>
          <w:t>6</w:t>
        </w:r>
        <w:r w:rsidRPr="00B014C2">
          <w:rPr>
            <w:sz w:val="24"/>
            <w:szCs w:val="24"/>
          </w:rPr>
          <w:fldChar w:fldCharType="end"/>
        </w:r>
      </w:p>
    </w:sdtContent>
  </w:sdt>
  <w:p w:rsidR="0007156D" w14:paraId="6CE91A04" w14:textId="77777777">
    <w:pPr>
      <w:pStyle w:val="Header"/>
    </w:pPr>
  </w:p>
  <w:p w:rsidR="0007156D" w14:paraId="4597F8B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5E061A"/>
    <w:multiLevelType w:val="hybridMultilevel"/>
    <w:tmpl w:val="E90AB3D0"/>
    <w:lvl w:ilvl="0">
      <w:start w:val="5"/>
      <w:numFmt w:val="bullet"/>
      <w:lvlText w:val="-"/>
      <w:lvlJc w:val="left"/>
      <w:pPr>
        <w:ind w:left="359" w:hanging="360"/>
      </w:pPr>
      <w:rPr>
        <w:rFonts w:ascii="Times New Roman" w:eastAsia="Calibri" w:hAnsi="Times New Roman" w:cs="Times New Roman" w:hint="default"/>
      </w:rPr>
    </w:lvl>
    <w:lvl w:ilvl="1" w:tentative="1">
      <w:start w:val="1"/>
      <w:numFmt w:val="bullet"/>
      <w:lvlText w:val="o"/>
      <w:lvlJc w:val="left"/>
      <w:pPr>
        <w:ind w:left="1079" w:hanging="360"/>
      </w:pPr>
      <w:rPr>
        <w:rFonts w:ascii="Courier New" w:hAnsi="Courier New" w:cs="Courier New" w:hint="default"/>
      </w:rPr>
    </w:lvl>
    <w:lvl w:ilvl="2" w:tentative="1">
      <w:start w:val="1"/>
      <w:numFmt w:val="bullet"/>
      <w:lvlText w:val=""/>
      <w:lvlJc w:val="left"/>
      <w:pPr>
        <w:ind w:left="1799" w:hanging="360"/>
      </w:pPr>
      <w:rPr>
        <w:rFonts w:ascii="Wingdings" w:hAnsi="Wingdings" w:hint="default"/>
      </w:rPr>
    </w:lvl>
    <w:lvl w:ilvl="3" w:tentative="1">
      <w:start w:val="1"/>
      <w:numFmt w:val="bullet"/>
      <w:lvlText w:val=""/>
      <w:lvlJc w:val="left"/>
      <w:pPr>
        <w:ind w:left="2519" w:hanging="360"/>
      </w:pPr>
      <w:rPr>
        <w:rFonts w:ascii="Symbol" w:hAnsi="Symbol" w:hint="default"/>
      </w:rPr>
    </w:lvl>
    <w:lvl w:ilvl="4" w:tentative="1">
      <w:start w:val="1"/>
      <w:numFmt w:val="bullet"/>
      <w:lvlText w:val="o"/>
      <w:lvlJc w:val="left"/>
      <w:pPr>
        <w:ind w:left="3239" w:hanging="360"/>
      </w:pPr>
      <w:rPr>
        <w:rFonts w:ascii="Courier New" w:hAnsi="Courier New" w:cs="Courier New" w:hint="default"/>
      </w:rPr>
    </w:lvl>
    <w:lvl w:ilvl="5" w:tentative="1">
      <w:start w:val="1"/>
      <w:numFmt w:val="bullet"/>
      <w:lvlText w:val=""/>
      <w:lvlJc w:val="left"/>
      <w:pPr>
        <w:ind w:left="3959" w:hanging="360"/>
      </w:pPr>
      <w:rPr>
        <w:rFonts w:ascii="Wingdings" w:hAnsi="Wingdings" w:hint="default"/>
      </w:rPr>
    </w:lvl>
    <w:lvl w:ilvl="6" w:tentative="1">
      <w:start w:val="1"/>
      <w:numFmt w:val="bullet"/>
      <w:lvlText w:val=""/>
      <w:lvlJc w:val="left"/>
      <w:pPr>
        <w:ind w:left="4679" w:hanging="360"/>
      </w:pPr>
      <w:rPr>
        <w:rFonts w:ascii="Symbol" w:hAnsi="Symbol" w:hint="default"/>
      </w:rPr>
    </w:lvl>
    <w:lvl w:ilvl="7" w:tentative="1">
      <w:start w:val="1"/>
      <w:numFmt w:val="bullet"/>
      <w:lvlText w:val="o"/>
      <w:lvlJc w:val="left"/>
      <w:pPr>
        <w:ind w:left="5399" w:hanging="360"/>
      </w:pPr>
      <w:rPr>
        <w:rFonts w:ascii="Courier New" w:hAnsi="Courier New" w:cs="Courier New" w:hint="default"/>
      </w:rPr>
    </w:lvl>
    <w:lvl w:ilvl="8" w:tentative="1">
      <w:start w:val="1"/>
      <w:numFmt w:val="bullet"/>
      <w:lvlText w:val=""/>
      <w:lvlJc w:val="left"/>
      <w:pPr>
        <w:ind w:left="6119" w:hanging="360"/>
      </w:pPr>
      <w:rPr>
        <w:rFonts w:ascii="Wingdings" w:hAnsi="Wingdings" w:hint="default"/>
      </w:rPr>
    </w:lvl>
  </w:abstractNum>
  <w:abstractNum w:abstractNumId="1" w15:restartNumberingAfterBreak="1">
    <w:nsid w:val="051D5F0E"/>
    <w:multiLevelType w:val="hybridMultilevel"/>
    <w:tmpl w:val="4B546A86"/>
    <w:lvl w:ilvl="0">
      <w:start w:val="0"/>
      <w:numFmt w:val="bullet"/>
      <w:lvlText w:val="–"/>
      <w:lvlJc w:val="left"/>
      <w:pPr>
        <w:ind w:left="142" w:hanging="360"/>
      </w:pPr>
      <w:rPr>
        <w:rFonts w:ascii="Times New Roman" w:eastAsia="Calibri" w:hAnsi="Times New Roman" w:cs="Times New Roman" w:hint="default"/>
      </w:rPr>
    </w:lvl>
    <w:lvl w:ilvl="1" w:tentative="1">
      <w:start w:val="1"/>
      <w:numFmt w:val="bullet"/>
      <w:lvlText w:val="o"/>
      <w:lvlJc w:val="left"/>
      <w:pPr>
        <w:ind w:left="862" w:hanging="360"/>
      </w:pPr>
      <w:rPr>
        <w:rFonts w:ascii="Courier New" w:hAnsi="Courier New" w:cs="Courier New" w:hint="default"/>
      </w:rPr>
    </w:lvl>
    <w:lvl w:ilvl="2" w:tentative="1">
      <w:start w:val="1"/>
      <w:numFmt w:val="bullet"/>
      <w:lvlText w:val=""/>
      <w:lvlJc w:val="left"/>
      <w:pPr>
        <w:ind w:left="1582" w:hanging="360"/>
      </w:pPr>
      <w:rPr>
        <w:rFonts w:ascii="Wingdings" w:hAnsi="Wingdings" w:hint="default"/>
      </w:rPr>
    </w:lvl>
    <w:lvl w:ilvl="3" w:tentative="1">
      <w:start w:val="1"/>
      <w:numFmt w:val="bullet"/>
      <w:lvlText w:val=""/>
      <w:lvlJc w:val="left"/>
      <w:pPr>
        <w:ind w:left="2302" w:hanging="360"/>
      </w:pPr>
      <w:rPr>
        <w:rFonts w:ascii="Symbol" w:hAnsi="Symbol" w:hint="default"/>
      </w:rPr>
    </w:lvl>
    <w:lvl w:ilvl="4" w:tentative="1">
      <w:start w:val="1"/>
      <w:numFmt w:val="bullet"/>
      <w:lvlText w:val="o"/>
      <w:lvlJc w:val="left"/>
      <w:pPr>
        <w:ind w:left="3022" w:hanging="360"/>
      </w:pPr>
      <w:rPr>
        <w:rFonts w:ascii="Courier New" w:hAnsi="Courier New" w:cs="Courier New" w:hint="default"/>
      </w:rPr>
    </w:lvl>
    <w:lvl w:ilvl="5" w:tentative="1">
      <w:start w:val="1"/>
      <w:numFmt w:val="bullet"/>
      <w:lvlText w:val=""/>
      <w:lvlJc w:val="left"/>
      <w:pPr>
        <w:ind w:left="3742" w:hanging="360"/>
      </w:pPr>
      <w:rPr>
        <w:rFonts w:ascii="Wingdings" w:hAnsi="Wingdings" w:hint="default"/>
      </w:rPr>
    </w:lvl>
    <w:lvl w:ilvl="6" w:tentative="1">
      <w:start w:val="1"/>
      <w:numFmt w:val="bullet"/>
      <w:lvlText w:val=""/>
      <w:lvlJc w:val="left"/>
      <w:pPr>
        <w:ind w:left="4462" w:hanging="360"/>
      </w:pPr>
      <w:rPr>
        <w:rFonts w:ascii="Symbol" w:hAnsi="Symbol" w:hint="default"/>
      </w:rPr>
    </w:lvl>
    <w:lvl w:ilvl="7" w:tentative="1">
      <w:start w:val="1"/>
      <w:numFmt w:val="bullet"/>
      <w:lvlText w:val="o"/>
      <w:lvlJc w:val="left"/>
      <w:pPr>
        <w:ind w:left="5182" w:hanging="360"/>
      </w:pPr>
      <w:rPr>
        <w:rFonts w:ascii="Courier New" w:hAnsi="Courier New" w:cs="Courier New" w:hint="default"/>
      </w:rPr>
    </w:lvl>
    <w:lvl w:ilvl="8" w:tentative="1">
      <w:start w:val="1"/>
      <w:numFmt w:val="bullet"/>
      <w:lvlText w:val=""/>
      <w:lvlJc w:val="left"/>
      <w:pPr>
        <w:ind w:left="5902" w:hanging="360"/>
      </w:pPr>
      <w:rPr>
        <w:rFonts w:ascii="Wingdings" w:hAnsi="Wingdings" w:hint="default"/>
      </w:rPr>
    </w:lvl>
  </w:abstractNum>
  <w:abstractNum w:abstractNumId="2" w15:restartNumberingAfterBreak="1">
    <w:nsid w:val="063438F4"/>
    <w:multiLevelType w:val="hybridMultilevel"/>
    <w:tmpl w:val="FFCA72A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15:restartNumberingAfterBreak="1">
    <w:nsid w:val="0F8171BC"/>
    <w:multiLevelType w:val="hybridMultilevel"/>
    <w:tmpl w:val="6BAE632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 w15:restartNumberingAfterBreak="1">
    <w:nsid w:val="13555B1C"/>
    <w:multiLevelType w:val="hybridMultilevel"/>
    <w:tmpl w:val="35C08D2E"/>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5" w15:restartNumberingAfterBreak="1">
    <w:nsid w:val="19CF3FAE"/>
    <w:multiLevelType w:val="hybridMultilevel"/>
    <w:tmpl w:val="D0140E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CDC60C8"/>
    <w:multiLevelType w:val="hybridMultilevel"/>
    <w:tmpl w:val="AC582DDE"/>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7" w15:restartNumberingAfterBreak="1">
    <w:nsid w:val="1FA95D05"/>
    <w:multiLevelType w:val="hybridMultilevel"/>
    <w:tmpl w:val="77C4113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15:restartNumberingAfterBreak="1">
    <w:nsid w:val="228D2668"/>
    <w:multiLevelType w:val="hybridMultilevel"/>
    <w:tmpl w:val="AAA4C9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B2F58BF"/>
    <w:multiLevelType w:val="hybridMultilevel"/>
    <w:tmpl w:val="E6A269FE"/>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15:restartNumberingAfterBreak="1">
    <w:nsid w:val="2C34708A"/>
    <w:multiLevelType w:val="hybridMultilevel"/>
    <w:tmpl w:val="E7E03FB6"/>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15:restartNumberingAfterBreak="1">
    <w:nsid w:val="315539C9"/>
    <w:multiLevelType w:val="hybridMultilevel"/>
    <w:tmpl w:val="3FF28906"/>
    <w:lvl w:ilvl="0">
      <w:start w:val="5"/>
      <w:numFmt w:val="bullet"/>
      <w:lvlText w:val="-"/>
      <w:lvlJc w:val="left"/>
      <w:pPr>
        <w:ind w:left="502" w:hanging="360"/>
      </w:pPr>
      <w:rPr>
        <w:rFonts w:ascii="Times New Roman" w:eastAsia="Calibri"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12" w15:restartNumberingAfterBreak="1">
    <w:nsid w:val="338939FF"/>
    <w:multiLevelType w:val="hybridMultilevel"/>
    <w:tmpl w:val="C52A55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34991720"/>
    <w:multiLevelType w:val="hybridMultilevel"/>
    <w:tmpl w:val="5C242DD4"/>
    <w:lvl w:ilvl="0">
      <w:start w:val="7"/>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35E60574"/>
    <w:multiLevelType w:val="hybridMultilevel"/>
    <w:tmpl w:val="626C33EE"/>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5" w15:restartNumberingAfterBreak="1">
    <w:nsid w:val="366B6A2C"/>
    <w:multiLevelType w:val="hybridMultilevel"/>
    <w:tmpl w:val="1DE2ED08"/>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6" w15:restartNumberingAfterBreak="1">
    <w:nsid w:val="3BD17CA9"/>
    <w:multiLevelType w:val="hybridMultilevel"/>
    <w:tmpl w:val="CBA2BB1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1">
    <w:nsid w:val="55265F8E"/>
    <w:multiLevelType w:val="hybridMultilevel"/>
    <w:tmpl w:val="B5E805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15:restartNumberingAfterBreak="1">
    <w:nsid w:val="5A510D38"/>
    <w:multiLevelType w:val="hybridMultilevel"/>
    <w:tmpl w:val="888CE90E"/>
    <w:lvl w:ilvl="0">
      <w:start w:val="1"/>
      <w:numFmt w:val="bullet"/>
      <w:lvlText w:val=""/>
      <w:lvlJc w:val="left"/>
      <w:pPr>
        <w:ind w:left="501" w:hanging="360"/>
      </w:pPr>
      <w:rPr>
        <w:rFonts w:ascii="Symbol" w:hAnsi="Symbol" w:hint="default"/>
        <w:b w:val="0"/>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start w:val="1"/>
      <w:numFmt w:val="bullet"/>
      <w:lvlText w:val=""/>
      <w:lvlJc w:val="left"/>
      <w:pPr>
        <w:ind w:left="2661" w:hanging="360"/>
      </w:pPr>
      <w:rPr>
        <w:rFonts w:ascii="Symbol" w:hAnsi="Symbol" w:hint="default"/>
      </w:r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9" w15:restartNumberingAfterBreak="1">
    <w:nsid w:val="5A931078"/>
    <w:multiLevelType w:val="hybridMultilevel"/>
    <w:tmpl w:val="7CB21D14"/>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658A2F4E"/>
    <w:multiLevelType w:val="hybridMultilevel"/>
    <w:tmpl w:val="3508ED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67B72757"/>
    <w:multiLevelType w:val="hybridMultilevel"/>
    <w:tmpl w:val="A7FCEC66"/>
    <w:lvl w:ilvl="0">
      <w:start w:val="2016"/>
      <w:numFmt w:val="bullet"/>
      <w:lvlText w:val="-"/>
      <w:lvlJc w:val="left"/>
      <w:pPr>
        <w:ind w:left="502" w:hanging="360"/>
      </w:pPr>
      <w:rPr>
        <w:rFonts w:ascii="Times New Roman" w:eastAsia="Calibri"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22" w15:restartNumberingAfterBreak="1">
    <w:nsid w:val="6FED38EF"/>
    <w:multiLevelType w:val="hybridMultilevel"/>
    <w:tmpl w:val="C48CD6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705E154F"/>
    <w:multiLevelType w:val="hybridMultilevel"/>
    <w:tmpl w:val="9168DF8E"/>
    <w:lvl w:ilvl="0">
      <w:start w:val="2016"/>
      <w:numFmt w:val="bullet"/>
      <w:lvlText w:val="-"/>
      <w:lvlJc w:val="left"/>
      <w:pPr>
        <w:ind w:left="502" w:hanging="360"/>
      </w:pPr>
      <w:rPr>
        <w:rFonts w:ascii="Times New Roman" w:eastAsia="Calibri"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24" w15:restartNumberingAfterBreak="1">
    <w:nsid w:val="77DE4F9C"/>
    <w:multiLevelType w:val="hybridMultilevel"/>
    <w:tmpl w:val="FADEBF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7EE86341"/>
    <w:multiLevelType w:val="hybridMultilevel"/>
    <w:tmpl w:val="A698B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4"/>
  </w:num>
  <w:num w:numId="3">
    <w:abstractNumId w:val="17"/>
  </w:num>
  <w:num w:numId="4">
    <w:abstractNumId w:val="7"/>
  </w:num>
  <w:num w:numId="5">
    <w:abstractNumId w:val="10"/>
  </w:num>
  <w:num w:numId="6">
    <w:abstractNumId w:val="3"/>
  </w:num>
  <w:num w:numId="7">
    <w:abstractNumId w:val="16"/>
  </w:num>
  <w:num w:numId="8">
    <w:abstractNumId w:val="25"/>
  </w:num>
  <w:num w:numId="9">
    <w:abstractNumId w:val="18"/>
  </w:num>
  <w:num w:numId="10">
    <w:abstractNumId w:val="0"/>
  </w:num>
  <w:num w:numId="11">
    <w:abstractNumId w:val="1"/>
  </w:num>
  <w:num w:numId="12">
    <w:abstractNumId w:val="11"/>
  </w:num>
  <w:num w:numId="13">
    <w:abstractNumId w:val="20"/>
  </w:num>
  <w:num w:numId="14">
    <w:abstractNumId w:val="22"/>
  </w:num>
  <w:num w:numId="15">
    <w:abstractNumId w:val="9"/>
  </w:num>
  <w:num w:numId="16">
    <w:abstractNumId w:val="23"/>
  </w:num>
  <w:num w:numId="17">
    <w:abstractNumId w:val="19"/>
  </w:num>
  <w:num w:numId="18">
    <w:abstractNumId w:val="21"/>
  </w:num>
  <w:num w:numId="19">
    <w:abstractNumId w:val="15"/>
  </w:num>
  <w:num w:numId="20">
    <w:abstractNumId w:val="4"/>
  </w:num>
  <w:num w:numId="21">
    <w:abstractNumId w:val="6"/>
  </w:num>
  <w:num w:numId="22">
    <w:abstractNumId w:val="5"/>
  </w:num>
  <w:num w:numId="23">
    <w:abstractNumId w:val="14"/>
  </w:num>
  <w:num w:numId="24">
    <w:abstractNumId w:val="8"/>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08A9"/>
    <w:rsid w:val="00003072"/>
    <w:rsid w:val="000058AA"/>
    <w:rsid w:val="0001048C"/>
    <w:rsid w:val="00013B61"/>
    <w:rsid w:val="00014B9F"/>
    <w:rsid w:val="00016159"/>
    <w:rsid w:val="0002003C"/>
    <w:rsid w:val="0002596F"/>
    <w:rsid w:val="00026F18"/>
    <w:rsid w:val="0003012D"/>
    <w:rsid w:val="00030B7E"/>
    <w:rsid w:val="0003245D"/>
    <w:rsid w:val="0003265E"/>
    <w:rsid w:val="000430AC"/>
    <w:rsid w:val="00044743"/>
    <w:rsid w:val="00047095"/>
    <w:rsid w:val="000527A4"/>
    <w:rsid w:val="000678CD"/>
    <w:rsid w:val="00070F56"/>
    <w:rsid w:val="00071082"/>
    <w:rsid w:val="0007156D"/>
    <w:rsid w:val="00072B02"/>
    <w:rsid w:val="0007330D"/>
    <w:rsid w:val="00074090"/>
    <w:rsid w:val="000773A5"/>
    <w:rsid w:val="00077D13"/>
    <w:rsid w:val="0008002B"/>
    <w:rsid w:val="00080352"/>
    <w:rsid w:val="00081EC5"/>
    <w:rsid w:val="0008515E"/>
    <w:rsid w:val="00085640"/>
    <w:rsid w:val="0009324B"/>
    <w:rsid w:val="00094B1E"/>
    <w:rsid w:val="00095280"/>
    <w:rsid w:val="00096060"/>
    <w:rsid w:val="000964C6"/>
    <w:rsid w:val="000A0059"/>
    <w:rsid w:val="000A14E3"/>
    <w:rsid w:val="000B0748"/>
    <w:rsid w:val="000B1926"/>
    <w:rsid w:val="000B1B64"/>
    <w:rsid w:val="000B2C54"/>
    <w:rsid w:val="000B3449"/>
    <w:rsid w:val="000B3FAB"/>
    <w:rsid w:val="000B492B"/>
    <w:rsid w:val="000C33C1"/>
    <w:rsid w:val="000C4418"/>
    <w:rsid w:val="000D2474"/>
    <w:rsid w:val="000D3D56"/>
    <w:rsid w:val="000D43D9"/>
    <w:rsid w:val="000D74B9"/>
    <w:rsid w:val="000E257B"/>
    <w:rsid w:val="000E53C3"/>
    <w:rsid w:val="000E56F8"/>
    <w:rsid w:val="000E5DD2"/>
    <w:rsid w:val="000F0A62"/>
    <w:rsid w:val="000F4230"/>
    <w:rsid w:val="00102922"/>
    <w:rsid w:val="00102B1D"/>
    <w:rsid w:val="00110128"/>
    <w:rsid w:val="0011606F"/>
    <w:rsid w:val="0012624C"/>
    <w:rsid w:val="00137388"/>
    <w:rsid w:val="00137F96"/>
    <w:rsid w:val="00143BB6"/>
    <w:rsid w:val="00145366"/>
    <w:rsid w:val="00146697"/>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3B65"/>
    <w:rsid w:val="00186A4D"/>
    <w:rsid w:val="00187140"/>
    <w:rsid w:val="00190B3D"/>
    <w:rsid w:val="001935C8"/>
    <w:rsid w:val="001946C8"/>
    <w:rsid w:val="00195D43"/>
    <w:rsid w:val="001A1368"/>
    <w:rsid w:val="001A1439"/>
    <w:rsid w:val="001A38EA"/>
    <w:rsid w:val="001A3ED2"/>
    <w:rsid w:val="001A7C3A"/>
    <w:rsid w:val="001A7E1D"/>
    <w:rsid w:val="001B7454"/>
    <w:rsid w:val="001C0801"/>
    <w:rsid w:val="001C143C"/>
    <w:rsid w:val="001C1B72"/>
    <w:rsid w:val="001C2832"/>
    <w:rsid w:val="001C362D"/>
    <w:rsid w:val="001C5ED6"/>
    <w:rsid w:val="001C6208"/>
    <w:rsid w:val="001C68A2"/>
    <w:rsid w:val="001D0561"/>
    <w:rsid w:val="001D0800"/>
    <w:rsid w:val="001D3167"/>
    <w:rsid w:val="001D7397"/>
    <w:rsid w:val="001D7DC1"/>
    <w:rsid w:val="001E1B0F"/>
    <w:rsid w:val="001E3588"/>
    <w:rsid w:val="001E4C2F"/>
    <w:rsid w:val="001E5FBC"/>
    <w:rsid w:val="001E76BE"/>
    <w:rsid w:val="001F2BA2"/>
    <w:rsid w:val="001F6DBE"/>
    <w:rsid w:val="001F7086"/>
    <w:rsid w:val="001F7AAD"/>
    <w:rsid w:val="00200E7D"/>
    <w:rsid w:val="0020468C"/>
    <w:rsid w:val="002107BF"/>
    <w:rsid w:val="00211315"/>
    <w:rsid w:val="00215C6A"/>
    <w:rsid w:val="002177B0"/>
    <w:rsid w:val="00217F5B"/>
    <w:rsid w:val="00224E84"/>
    <w:rsid w:val="002267E7"/>
    <w:rsid w:val="0023582E"/>
    <w:rsid w:val="00237878"/>
    <w:rsid w:val="002438ED"/>
    <w:rsid w:val="00244A9E"/>
    <w:rsid w:val="00246849"/>
    <w:rsid w:val="00250127"/>
    <w:rsid w:val="0025023B"/>
    <w:rsid w:val="00252EEF"/>
    <w:rsid w:val="00253B6C"/>
    <w:rsid w:val="00254651"/>
    <w:rsid w:val="00254901"/>
    <w:rsid w:val="00255BAC"/>
    <w:rsid w:val="002601C7"/>
    <w:rsid w:val="00261B97"/>
    <w:rsid w:val="002651EA"/>
    <w:rsid w:val="0027369F"/>
    <w:rsid w:val="00273700"/>
    <w:rsid w:val="00273B21"/>
    <w:rsid w:val="00277D9D"/>
    <w:rsid w:val="00281C0B"/>
    <w:rsid w:val="00290EE2"/>
    <w:rsid w:val="00292062"/>
    <w:rsid w:val="002932D2"/>
    <w:rsid w:val="002957B7"/>
    <w:rsid w:val="002A0435"/>
    <w:rsid w:val="002A0BC1"/>
    <w:rsid w:val="002A166A"/>
    <w:rsid w:val="002A3EC2"/>
    <w:rsid w:val="002A6400"/>
    <w:rsid w:val="002B3EAE"/>
    <w:rsid w:val="002B4900"/>
    <w:rsid w:val="002B6364"/>
    <w:rsid w:val="002B7F82"/>
    <w:rsid w:val="002C15A0"/>
    <w:rsid w:val="002C22CF"/>
    <w:rsid w:val="002C3E23"/>
    <w:rsid w:val="002C3E51"/>
    <w:rsid w:val="002C504B"/>
    <w:rsid w:val="002D6A10"/>
    <w:rsid w:val="002D6BDB"/>
    <w:rsid w:val="002D744A"/>
    <w:rsid w:val="002D7D0E"/>
    <w:rsid w:val="002E024D"/>
    <w:rsid w:val="002E1075"/>
    <w:rsid w:val="002E5643"/>
    <w:rsid w:val="002E678E"/>
    <w:rsid w:val="002E708A"/>
    <w:rsid w:val="002E7B7E"/>
    <w:rsid w:val="002F06CE"/>
    <w:rsid w:val="002F5587"/>
    <w:rsid w:val="002F741D"/>
    <w:rsid w:val="00300B84"/>
    <w:rsid w:val="00301A6D"/>
    <w:rsid w:val="0030247A"/>
    <w:rsid w:val="00303955"/>
    <w:rsid w:val="00304810"/>
    <w:rsid w:val="003061FB"/>
    <w:rsid w:val="00306270"/>
    <w:rsid w:val="0031008A"/>
    <w:rsid w:val="00310924"/>
    <w:rsid w:val="0031259B"/>
    <w:rsid w:val="00314298"/>
    <w:rsid w:val="003176D3"/>
    <w:rsid w:val="003228DE"/>
    <w:rsid w:val="00323C8A"/>
    <w:rsid w:val="00326096"/>
    <w:rsid w:val="003334FB"/>
    <w:rsid w:val="0033779C"/>
    <w:rsid w:val="00337AC6"/>
    <w:rsid w:val="00343A18"/>
    <w:rsid w:val="0034476B"/>
    <w:rsid w:val="003469B5"/>
    <w:rsid w:val="00346CE0"/>
    <w:rsid w:val="00354ABE"/>
    <w:rsid w:val="00360657"/>
    <w:rsid w:val="00366AFE"/>
    <w:rsid w:val="00367B98"/>
    <w:rsid w:val="00374F73"/>
    <w:rsid w:val="00375F30"/>
    <w:rsid w:val="00376F09"/>
    <w:rsid w:val="00380AC5"/>
    <w:rsid w:val="00381382"/>
    <w:rsid w:val="003814A5"/>
    <w:rsid w:val="00381B26"/>
    <w:rsid w:val="00382FEC"/>
    <w:rsid w:val="00385772"/>
    <w:rsid w:val="00387734"/>
    <w:rsid w:val="0039139B"/>
    <w:rsid w:val="003913FB"/>
    <w:rsid w:val="00392998"/>
    <w:rsid w:val="00395460"/>
    <w:rsid w:val="00396152"/>
    <w:rsid w:val="00397D0E"/>
    <w:rsid w:val="003A1D77"/>
    <w:rsid w:val="003A24AD"/>
    <w:rsid w:val="003A40AD"/>
    <w:rsid w:val="003A6A32"/>
    <w:rsid w:val="003B1693"/>
    <w:rsid w:val="003B32EC"/>
    <w:rsid w:val="003B3488"/>
    <w:rsid w:val="003B5E55"/>
    <w:rsid w:val="003B5F6A"/>
    <w:rsid w:val="003B63BE"/>
    <w:rsid w:val="003B7B62"/>
    <w:rsid w:val="003C072B"/>
    <w:rsid w:val="003C3D3D"/>
    <w:rsid w:val="003C7796"/>
    <w:rsid w:val="003D0448"/>
    <w:rsid w:val="003D1A86"/>
    <w:rsid w:val="003D3E7E"/>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8BC"/>
    <w:rsid w:val="00406AE2"/>
    <w:rsid w:val="0041036A"/>
    <w:rsid w:val="0041316A"/>
    <w:rsid w:val="004158F6"/>
    <w:rsid w:val="00415A66"/>
    <w:rsid w:val="00416A31"/>
    <w:rsid w:val="00417136"/>
    <w:rsid w:val="00420760"/>
    <w:rsid w:val="004224C2"/>
    <w:rsid w:val="00423B46"/>
    <w:rsid w:val="00425AA9"/>
    <w:rsid w:val="00426250"/>
    <w:rsid w:val="00426A69"/>
    <w:rsid w:val="00426B77"/>
    <w:rsid w:val="00431019"/>
    <w:rsid w:val="00433EC2"/>
    <w:rsid w:val="004352F7"/>
    <w:rsid w:val="0043554A"/>
    <w:rsid w:val="0043619D"/>
    <w:rsid w:val="004362D3"/>
    <w:rsid w:val="00442A8B"/>
    <w:rsid w:val="00442D1E"/>
    <w:rsid w:val="00443016"/>
    <w:rsid w:val="00444344"/>
    <w:rsid w:val="00445945"/>
    <w:rsid w:val="00450691"/>
    <w:rsid w:val="00450D9C"/>
    <w:rsid w:val="00452140"/>
    <w:rsid w:val="00453BB3"/>
    <w:rsid w:val="004619FE"/>
    <w:rsid w:val="00463574"/>
    <w:rsid w:val="004666F3"/>
    <w:rsid w:val="00467343"/>
    <w:rsid w:val="0047031A"/>
    <w:rsid w:val="004741BD"/>
    <w:rsid w:val="00481C20"/>
    <w:rsid w:val="00483B86"/>
    <w:rsid w:val="00485293"/>
    <w:rsid w:val="00485E47"/>
    <w:rsid w:val="00490499"/>
    <w:rsid w:val="00497AB8"/>
    <w:rsid w:val="004A2EE3"/>
    <w:rsid w:val="004A4356"/>
    <w:rsid w:val="004A5EEF"/>
    <w:rsid w:val="004B0B1D"/>
    <w:rsid w:val="004C0738"/>
    <w:rsid w:val="004C0FE6"/>
    <w:rsid w:val="004C20F1"/>
    <w:rsid w:val="004C253C"/>
    <w:rsid w:val="004C2FC4"/>
    <w:rsid w:val="004D0B68"/>
    <w:rsid w:val="004D0F95"/>
    <w:rsid w:val="004D232B"/>
    <w:rsid w:val="004D3010"/>
    <w:rsid w:val="004D3ABB"/>
    <w:rsid w:val="004E4946"/>
    <w:rsid w:val="004E5D38"/>
    <w:rsid w:val="004E603B"/>
    <w:rsid w:val="004E626B"/>
    <w:rsid w:val="004E6C7D"/>
    <w:rsid w:val="004F13BD"/>
    <w:rsid w:val="004F478F"/>
    <w:rsid w:val="0050230D"/>
    <w:rsid w:val="0050364D"/>
    <w:rsid w:val="00503D17"/>
    <w:rsid w:val="00504D6E"/>
    <w:rsid w:val="005116FB"/>
    <w:rsid w:val="00514B75"/>
    <w:rsid w:val="00515D44"/>
    <w:rsid w:val="00531AFF"/>
    <w:rsid w:val="00532875"/>
    <w:rsid w:val="00534305"/>
    <w:rsid w:val="00537FF8"/>
    <w:rsid w:val="005464E6"/>
    <w:rsid w:val="00546938"/>
    <w:rsid w:val="00547ACF"/>
    <w:rsid w:val="00552639"/>
    <w:rsid w:val="00555557"/>
    <w:rsid w:val="00557AA8"/>
    <w:rsid w:val="00566916"/>
    <w:rsid w:val="00566F71"/>
    <w:rsid w:val="00567FC5"/>
    <w:rsid w:val="00571CCF"/>
    <w:rsid w:val="00572180"/>
    <w:rsid w:val="00572337"/>
    <w:rsid w:val="00573FFE"/>
    <w:rsid w:val="00575FC3"/>
    <w:rsid w:val="0057625C"/>
    <w:rsid w:val="00576743"/>
    <w:rsid w:val="005771D5"/>
    <w:rsid w:val="00581784"/>
    <w:rsid w:val="00584453"/>
    <w:rsid w:val="00591838"/>
    <w:rsid w:val="00592809"/>
    <w:rsid w:val="00593343"/>
    <w:rsid w:val="00594A83"/>
    <w:rsid w:val="005A0C78"/>
    <w:rsid w:val="005A4807"/>
    <w:rsid w:val="005A5A80"/>
    <w:rsid w:val="005B297A"/>
    <w:rsid w:val="005B29EF"/>
    <w:rsid w:val="005B2DA5"/>
    <w:rsid w:val="005B476F"/>
    <w:rsid w:val="005B5F05"/>
    <w:rsid w:val="005B6095"/>
    <w:rsid w:val="005B65B8"/>
    <w:rsid w:val="005B6A0D"/>
    <w:rsid w:val="005B6D1C"/>
    <w:rsid w:val="005C04E5"/>
    <w:rsid w:val="005C1764"/>
    <w:rsid w:val="005C3B2C"/>
    <w:rsid w:val="005C3D03"/>
    <w:rsid w:val="005C51FA"/>
    <w:rsid w:val="005C5413"/>
    <w:rsid w:val="005C63C7"/>
    <w:rsid w:val="005C6628"/>
    <w:rsid w:val="005C6B2C"/>
    <w:rsid w:val="005C73E4"/>
    <w:rsid w:val="005C7B1F"/>
    <w:rsid w:val="005D06E8"/>
    <w:rsid w:val="005D1195"/>
    <w:rsid w:val="005D2167"/>
    <w:rsid w:val="005D688E"/>
    <w:rsid w:val="005D6B98"/>
    <w:rsid w:val="005D794E"/>
    <w:rsid w:val="005E30B2"/>
    <w:rsid w:val="005E39B3"/>
    <w:rsid w:val="005E4164"/>
    <w:rsid w:val="005F3FC6"/>
    <w:rsid w:val="005F75C4"/>
    <w:rsid w:val="006002BF"/>
    <w:rsid w:val="00600301"/>
    <w:rsid w:val="006008D1"/>
    <w:rsid w:val="00611ADA"/>
    <w:rsid w:val="00611E18"/>
    <w:rsid w:val="00611FC0"/>
    <w:rsid w:val="00613A4A"/>
    <w:rsid w:val="00614157"/>
    <w:rsid w:val="00614A2A"/>
    <w:rsid w:val="00614ECD"/>
    <w:rsid w:val="006231D7"/>
    <w:rsid w:val="00626031"/>
    <w:rsid w:val="00630C6C"/>
    <w:rsid w:val="00630ED2"/>
    <w:rsid w:val="00631935"/>
    <w:rsid w:val="00636B91"/>
    <w:rsid w:val="006373FF"/>
    <w:rsid w:val="00646A6F"/>
    <w:rsid w:val="00653397"/>
    <w:rsid w:val="006535C3"/>
    <w:rsid w:val="006553CD"/>
    <w:rsid w:val="006559F5"/>
    <w:rsid w:val="0065752A"/>
    <w:rsid w:val="00661782"/>
    <w:rsid w:val="00662C11"/>
    <w:rsid w:val="00672822"/>
    <w:rsid w:val="006729D2"/>
    <w:rsid w:val="00673B07"/>
    <w:rsid w:val="00673BC6"/>
    <w:rsid w:val="006775B3"/>
    <w:rsid w:val="00684808"/>
    <w:rsid w:val="00690F72"/>
    <w:rsid w:val="006B2D92"/>
    <w:rsid w:val="006B2FEF"/>
    <w:rsid w:val="006B4B31"/>
    <w:rsid w:val="006B6581"/>
    <w:rsid w:val="006B6D6C"/>
    <w:rsid w:val="006C20C5"/>
    <w:rsid w:val="006C5ECD"/>
    <w:rsid w:val="006D1520"/>
    <w:rsid w:val="006D2482"/>
    <w:rsid w:val="006D2F0C"/>
    <w:rsid w:val="006D3604"/>
    <w:rsid w:val="006D536E"/>
    <w:rsid w:val="006D5EB4"/>
    <w:rsid w:val="006E2082"/>
    <w:rsid w:val="006E3BE5"/>
    <w:rsid w:val="006E5D5B"/>
    <w:rsid w:val="006E67BA"/>
    <w:rsid w:val="006F2362"/>
    <w:rsid w:val="006F47EB"/>
    <w:rsid w:val="006F4DE9"/>
    <w:rsid w:val="006F61B5"/>
    <w:rsid w:val="006F71C2"/>
    <w:rsid w:val="007008B0"/>
    <w:rsid w:val="00700AC3"/>
    <w:rsid w:val="00700AD6"/>
    <w:rsid w:val="00700E68"/>
    <w:rsid w:val="00701065"/>
    <w:rsid w:val="0070175E"/>
    <w:rsid w:val="00703DC5"/>
    <w:rsid w:val="007040F2"/>
    <w:rsid w:val="007049DF"/>
    <w:rsid w:val="007120EE"/>
    <w:rsid w:val="0071279F"/>
    <w:rsid w:val="007153C5"/>
    <w:rsid w:val="007161D3"/>
    <w:rsid w:val="00720C35"/>
    <w:rsid w:val="00720E7B"/>
    <w:rsid w:val="007262F0"/>
    <w:rsid w:val="007314F1"/>
    <w:rsid w:val="00731BE9"/>
    <w:rsid w:val="00731E2B"/>
    <w:rsid w:val="00733C32"/>
    <w:rsid w:val="007420D7"/>
    <w:rsid w:val="0074545C"/>
    <w:rsid w:val="00752DBC"/>
    <w:rsid w:val="00753FF4"/>
    <w:rsid w:val="0075411D"/>
    <w:rsid w:val="00756F8A"/>
    <w:rsid w:val="00757367"/>
    <w:rsid w:val="00760295"/>
    <w:rsid w:val="00760B97"/>
    <w:rsid w:val="00762675"/>
    <w:rsid w:val="00762FC8"/>
    <w:rsid w:val="00765825"/>
    <w:rsid w:val="007700D3"/>
    <w:rsid w:val="00770970"/>
    <w:rsid w:val="0077131C"/>
    <w:rsid w:val="0077138B"/>
    <w:rsid w:val="0077534E"/>
    <w:rsid w:val="0078045E"/>
    <w:rsid w:val="00780B70"/>
    <w:rsid w:val="00782847"/>
    <w:rsid w:val="00783777"/>
    <w:rsid w:val="00783D20"/>
    <w:rsid w:val="00785232"/>
    <w:rsid w:val="007862D0"/>
    <w:rsid w:val="0079247D"/>
    <w:rsid w:val="00794F2D"/>
    <w:rsid w:val="007954D3"/>
    <w:rsid w:val="00796159"/>
    <w:rsid w:val="00797AAD"/>
    <w:rsid w:val="007A2F02"/>
    <w:rsid w:val="007A5127"/>
    <w:rsid w:val="007A5C51"/>
    <w:rsid w:val="007B41D7"/>
    <w:rsid w:val="007C1A7D"/>
    <w:rsid w:val="007C4094"/>
    <w:rsid w:val="007C45C5"/>
    <w:rsid w:val="007C608D"/>
    <w:rsid w:val="007D50AE"/>
    <w:rsid w:val="007E1EA6"/>
    <w:rsid w:val="007E2FDE"/>
    <w:rsid w:val="007E4C1F"/>
    <w:rsid w:val="007E6943"/>
    <w:rsid w:val="007F0204"/>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597B"/>
    <w:rsid w:val="00831A5D"/>
    <w:rsid w:val="00831DB4"/>
    <w:rsid w:val="008365EC"/>
    <w:rsid w:val="00837390"/>
    <w:rsid w:val="00844176"/>
    <w:rsid w:val="008503CA"/>
    <w:rsid w:val="0085318D"/>
    <w:rsid w:val="008565FB"/>
    <w:rsid w:val="00862834"/>
    <w:rsid w:val="00871516"/>
    <w:rsid w:val="00871E2F"/>
    <w:rsid w:val="008764DD"/>
    <w:rsid w:val="00877499"/>
    <w:rsid w:val="008841EB"/>
    <w:rsid w:val="0088688D"/>
    <w:rsid w:val="00891622"/>
    <w:rsid w:val="00891C00"/>
    <w:rsid w:val="00895E41"/>
    <w:rsid w:val="0089734D"/>
    <w:rsid w:val="008A0A32"/>
    <w:rsid w:val="008A1056"/>
    <w:rsid w:val="008A7CC5"/>
    <w:rsid w:val="008B1CC3"/>
    <w:rsid w:val="008B206C"/>
    <w:rsid w:val="008B4335"/>
    <w:rsid w:val="008B56DF"/>
    <w:rsid w:val="008B5B2C"/>
    <w:rsid w:val="008B5EFB"/>
    <w:rsid w:val="008C4728"/>
    <w:rsid w:val="008C7959"/>
    <w:rsid w:val="008D4F09"/>
    <w:rsid w:val="008D539E"/>
    <w:rsid w:val="008D65D5"/>
    <w:rsid w:val="008D75EB"/>
    <w:rsid w:val="008D7F23"/>
    <w:rsid w:val="008E1F57"/>
    <w:rsid w:val="008E5D85"/>
    <w:rsid w:val="008E751B"/>
    <w:rsid w:val="00900C33"/>
    <w:rsid w:val="0090193D"/>
    <w:rsid w:val="009034C7"/>
    <w:rsid w:val="00906ABE"/>
    <w:rsid w:val="00907DD7"/>
    <w:rsid w:val="00910BBC"/>
    <w:rsid w:val="009165D6"/>
    <w:rsid w:val="00917D6F"/>
    <w:rsid w:val="00921504"/>
    <w:rsid w:val="00922352"/>
    <w:rsid w:val="0092710C"/>
    <w:rsid w:val="0093112B"/>
    <w:rsid w:val="0093298F"/>
    <w:rsid w:val="00935C08"/>
    <w:rsid w:val="00937BB0"/>
    <w:rsid w:val="0094022B"/>
    <w:rsid w:val="00942D63"/>
    <w:rsid w:val="0094437B"/>
    <w:rsid w:val="009455DB"/>
    <w:rsid w:val="00951ED7"/>
    <w:rsid w:val="00954428"/>
    <w:rsid w:val="00954541"/>
    <w:rsid w:val="00954C0F"/>
    <w:rsid w:val="00956218"/>
    <w:rsid w:val="00956C4B"/>
    <w:rsid w:val="00957E64"/>
    <w:rsid w:val="00961605"/>
    <w:rsid w:val="00963C88"/>
    <w:rsid w:val="00966814"/>
    <w:rsid w:val="00970D58"/>
    <w:rsid w:val="00973167"/>
    <w:rsid w:val="00993596"/>
    <w:rsid w:val="009A692C"/>
    <w:rsid w:val="009A7E10"/>
    <w:rsid w:val="009B1CEB"/>
    <w:rsid w:val="009B2576"/>
    <w:rsid w:val="009B3508"/>
    <w:rsid w:val="009B3AE3"/>
    <w:rsid w:val="009B43EB"/>
    <w:rsid w:val="009B584C"/>
    <w:rsid w:val="009B6613"/>
    <w:rsid w:val="009B7000"/>
    <w:rsid w:val="009B75D4"/>
    <w:rsid w:val="009C061A"/>
    <w:rsid w:val="009C108E"/>
    <w:rsid w:val="009C1FE8"/>
    <w:rsid w:val="009C228A"/>
    <w:rsid w:val="009C282F"/>
    <w:rsid w:val="009C2E2D"/>
    <w:rsid w:val="009C3257"/>
    <w:rsid w:val="009C7F6E"/>
    <w:rsid w:val="009D0A96"/>
    <w:rsid w:val="009D1051"/>
    <w:rsid w:val="009D43B2"/>
    <w:rsid w:val="009E5C84"/>
    <w:rsid w:val="009F0FC9"/>
    <w:rsid w:val="009F1A7E"/>
    <w:rsid w:val="00A03E32"/>
    <w:rsid w:val="00A13FC8"/>
    <w:rsid w:val="00A14369"/>
    <w:rsid w:val="00A154D5"/>
    <w:rsid w:val="00A2067E"/>
    <w:rsid w:val="00A21F19"/>
    <w:rsid w:val="00A229AC"/>
    <w:rsid w:val="00A23E8B"/>
    <w:rsid w:val="00A25225"/>
    <w:rsid w:val="00A26676"/>
    <w:rsid w:val="00A267B2"/>
    <w:rsid w:val="00A27A02"/>
    <w:rsid w:val="00A30DAB"/>
    <w:rsid w:val="00A32A3F"/>
    <w:rsid w:val="00A337C5"/>
    <w:rsid w:val="00A33B10"/>
    <w:rsid w:val="00A34EAB"/>
    <w:rsid w:val="00A37CD5"/>
    <w:rsid w:val="00A41FB2"/>
    <w:rsid w:val="00A468F1"/>
    <w:rsid w:val="00A541ED"/>
    <w:rsid w:val="00A562DC"/>
    <w:rsid w:val="00A56E9B"/>
    <w:rsid w:val="00A66F1F"/>
    <w:rsid w:val="00A73448"/>
    <w:rsid w:val="00A86F1C"/>
    <w:rsid w:val="00A9174A"/>
    <w:rsid w:val="00A92A07"/>
    <w:rsid w:val="00A93054"/>
    <w:rsid w:val="00A94B68"/>
    <w:rsid w:val="00A969CC"/>
    <w:rsid w:val="00A96C8D"/>
    <w:rsid w:val="00A9708B"/>
    <w:rsid w:val="00AA3A72"/>
    <w:rsid w:val="00AB3EB4"/>
    <w:rsid w:val="00AB6AE8"/>
    <w:rsid w:val="00AC24BD"/>
    <w:rsid w:val="00AD3D79"/>
    <w:rsid w:val="00AD5B91"/>
    <w:rsid w:val="00AD5C75"/>
    <w:rsid w:val="00AD6AEF"/>
    <w:rsid w:val="00AE0055"/>
    <w:rsid w:val="00AE091D"/>
    <w:rsid w:val="00AE5675"/>
    <w:rsid w:val="00AE57EC"/>
    <w:rsid w:val="00AF1C04"/>
    <w:rsid w:val="00AF254A"/>
    <w:rsid w:val="00AF36C9"/>
    <w:rsid w:val="00AF5DF5"/>
    <w:rsid w:val="00B014C2"/>
    <w:rsid w:val="00B02EDD"/>
    <w:rsid w:val="00B10B94"/>
    <w:rsid w:val="00B111A5"/>
    <w:rsid w:val="00B117F2"/>
    <w:rsid w:val="00B13379"/>
    <w:rsid w:val="00B13C6F"/>
    <w:rsid w:val="00B14D75"/>
    <w:rsid w:val="00B15DBA"/>
    <w:rsid w:val="00B2297A"/>
    <w:rsid w:val="00B230F6"/>
    <w:rsid w:val="00B25828"/>
    <w:rsid w:val="00B26202"/>
    <w:rsid w:val="00B300C7"/>
    <w:rsid w:val="00B32793"/>
    <w:rsid w:val="00B404B6"/>
    <w:rsid w:val="00B414FF"/>
    <w:rsid w:val="00B4164D"/>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4B38"/>
    <w:rsid w:val="00B762A0"/>
    <w:rsid w:val="00B77E56"/>
    <w:rsid w:val="00B80371"/>
    <w:rsid w:val="00B8269F"/>
    <w:rsid w:val="00B837AE"/>
    <w:rsid w:val="00B83EED"/>
    <w:rsid w:val="00B85A89"/>
    <w:rsid w:val="00B868AD"/>
    <w:rsid w:val="00B9742D"/>
    <w:rsid w:val="00BA2274"/>
    <w:rsid w:val="00BB0BAA"/>
    <w:rsid w:val="00BB1EA2"/>
    <w:rsid w:val="00BB480B"/>
    <w:rsid w:val="00BB4E62"/>
    <w:rsid w:val="00BB55EA"/>
    <w:rsid w:val="00BC608E"/>
    <w:rsid w:val="00BC69DC"/>
    <w:rsid w:val="00BC7045"/>
    <w:rsid w:val="00BD20AE"/>
    <w:rsid w:val="00BD7AE1"/>
    <w:rsid w:val="00BE15E4"/>
    <w:rsid w:val="00BE6127"/>
    <w:rsid w:val="00BF13E6"/>
    <w:rsid w:val="00BF15B9"/>
    <w:rsid w:val="00BF7BD9"/>
    <w:rsid w:val="00BF7D60"/>
    <w:rsid w:val="00C017FE"/>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6333"/>
    <w:rsid w:val="00C264E6"/>
    <w:rsid w:val="00C26E37"/>
    <w:rsid w:val="00C271E6"/>
    <w:rsid w:val="00C32C97"/>
    <w:rsid w:val="00C353F8"/>
    <w:rsid w:val="00C35A54"/>
    <w:rsid w:val="00C416DB"/>
    <w:rsid w:val="00C423B7"/>
    <w:rsid w:val="00C42887"/>
    <w:rsid w:val="00C42ACD"/>
    <w:rsid w:val="00C446A5"/>
    <w:rsid w:val="00C45150"/>
    <w:rsid w:val="00C52004"/>
    <w:rsid w:val="00C6333E"/>
    <w:rsid w:val="00C633A8"/>
    <w:rsid w:val="00C65AAE"/>
    <w:rsid w:val="00C66A4D"/>
    <w:rsid w:val="00C7141D"/>
    <w:rsid w:val="00C72945"/>
    <w:rsid w:val="00C77C68"/>
    <w:rsid w:val="00C85115"/>
    <w:rsid w:val="00C86896"/>
    <w:rsid w:val="00C86AE5"/>
    <w:rsid w:val="00C933DE"/>
    <w:rsid w:val="00CA082C"/>
    <w:rsid w:val="00CA0BCB"/>
    <w:rsid w:val="00CA373F"/>
    <w:rsid w:val="00CB2A80"/>
    <w:rsid w:val="00CB5A26"/>
    <w:rsid w:val="00CB6AC4"/>
    <w:rsid w:val="00CD1C12"/>
    <w:rsid w:val="00CD1F7F"/>
    <w:rsid w:val="00CE0AC5"/>
    <w:rsid w:val="00CE1DD6"/>
    <w:rsid w:val="00CE35E1"/>
    <w:rsid w:val="00CE5541"/>
    <w:rsid w:val="00CF4607"/>
    <w:rsid w:val="00CF6767"/>
    <w:rsid w:val="00CF747C"/>
    <w:rsid w:val="00D00576"/>
    <w:rsid w:val="00D0207F"/>
    <w:rsid w:val="00D04299"/>
    <w:rsid w:val="00D05A7A"/>
    <w:rsid w:val="00D07B78"/>
    <w:rsid w:val="00D12B80"/>
    <w:rsid w:val="00D13BD0"/>
    <w:rsid w:val="00D13D6F"/>
    <w:rsid w:val="00D165F4"/>
    <w:rsid w:val="00D16C33"/>
    <w:rsid w:val="00D20CC5"/>
    <w:rsid w:val="00D217AC"/>
    <w:rsid w:val="00D31BE1"/>
    <w:rsid w:val="00D37973"/>
    <w:rsid w:val="00D41F46"/>
    <w:rsid w:val="00D42754"/>
    <w:rsid w:val="00D455A4"/>
    <w:rsid w:val="00D5265D"/>
    <w:rsid w:val="00D62E09"/>
    <w:rsid w:val="00D64101"/>
    <w:rsid w:val="00D64FFD"/>
    <w:rsid w:val="00D67CE9"/>
    <w:rsid w:val="00D70AAA"/>
    <w:rsid w:val="00D71684"/>
    <w:rsid w:val="00D767E6"/>
    <w:rsid w:val="00D76D7C"/>
    <w:rsid w:val="00D77A0C"/>
    <w:rsid w:val="00D8131B"/>
    <w:rsid w:val="00D81D94"/>
    <w:rsid w:val="00D8420C"/>
    <w:rsid w:val="00D84DE0"/>
    <w:rsid w:val="00D96FBA"/>
    <w:rsid w:val="00D97622"/>
    <w:rsid w:val="00DA1FCE"/>
    <w:rsid w:val="00DA239C"/>
    <w:rsid w:val="00DB3228"/>
    <w:rsid w:val="00DB3721"/>
    <w:rsid w:val="00DB3D04"/>
    <w:rsid w:val="00DC64F8"/>
    <w:rsid w:val="00DC72F1"/>
    <w:rsid w:val="00DD00BE"/>
    <w:rsid w:val="00DD02D4"/>
    <w:rsid w:val="00DD0953"/>
    <w:rsid w:val="00DD1CB9"/>
    <w:rsid w:val="00DD1F77"/>
    <w:rsid w:val="00DD2637"/>
    <w:rsid w:val="00DD2F35"/>
    <w:rsid w:val="00DF3993"/>
    <w:rsid w:val="00DF6E16"/>
    <w:rsid w:val="00E00218"/>
    <w:rsid w:val="00E018E1"/>
    <w:rsid w:val="00E0333C"/>
    <w:rsid w:val="00E0484E"/>
    <w:rsid w:val="00E07AC4"/>
    <w:rsid w:val="00E10305"/>
    <w:rsid w:val="00E1062C"/>
    <w:rsid w:val="00E1136D"/>
    <w:rsid w:val="00E116BA"/>
    <w:rsid w:val="00E11D29"/>
    <w:rsid w:val="00E140A6"/>
    <w:rsid w:val="00E15447"/>
    <w:rsid w:val="00E15B7B"/>
    <w:rsid w:val="00E20773"/>
    <w:rsid w:val="00E2107F"/>
    <w:rsid w:val="00E23059"/>
    <w:rsid w:val="00E231E0"/>
    <w:rsid w:val="00E30352"/>
    <w:rsid w:val="00E33146"/>
    <w:rsid w:val="00E37F50"/>
    <w:rsid w:val="00E40942"/>
    <w:rsid w:val="00E50E6F"/>
    <w:rsid w:val="00E539B3"/>
    <w:rsid w:val="00E55EC8"/>
    <w:rsid w:val="00E56469"/>
    <w:rsid w:val="00E56D02"/>
    <w:rsid w:val="00E57209"/>
    <w:rsid w:val="00E5727D"/>
    <w:rsid w:val="00E713A7"/>
    <w:rsid w:val="00E72404"/>
    <w:rsid w:val="00E74A15"/>
    <w:rsid w:val="00E7567F"/>
    <w:rsid w:val="00E85807"/>
    <w:rsid w:val="00E86ACB"/>
    <w:rsid w:val="00E900E0"/>
    <w:rsid w:val="00E9122B"/>
    <w:rsid w:val="00E93CFE"/>
    <w:rsid w:val="00E953B9"/>
    <w:rsid w:val="00EA0EBB"/>
    <w:rsid w:val="00EA1619"/>
    <w:rsid w:val="00EA49CE"/>
    <w:rsid w:val="00EA4CBA"/>
    <w:rsid w:val="00EA6CD3"/>
    <w:rsid w:val="00EA7EDF"/>
    <w:rsid w:val="00EB184B"/>
    <w:rsid w:val="00EC03E6"/>
    <w:rsid w:val="00EC218F"/>
    <w:rsid w:val="00ED053C"/>
    <w:rsid w:val="00ED0911"/>
    <w:rsid w:val="00ED0A46"/>
    <w:rsid w:val="00ED18C9"/>
    <w:rsid w:val="00ED2979"/>
    <w:rsid w:val="00ED377A"/>
    <w:rsid w:val="00ED4255"/>
    <w:rsid w:val="00ED5CF7"/>
    <w:rsid w:val="00ED603E"/>
    <w:rsid w:val="00EE44FE"/>
    <w:rsid w:val="00EE4A54"/>
    <w:rsid w:val="00EE4C51"/>
    <w:rsid w:val="00EE61BD"/>
    <w:rsid w:val="00EE7BA0"/>
    <w:rsid w:val="00EF2696"/>
    <w:rsid w:val="00EF55B6"/>
    <w:rsid w:val="00F00E88"/>
    <w:rsid w:val="00F019FA"/>
    <w:rsid w:val="00F02EB7"/>
    <w:rsid w:val="00F0662E"/>
    <w:rsid w:val="00F066C5"/>
    <w:rsid w:val="00F06F21"/>
    <w:rsid w:val="00F15773"/>
    <w:rsid w:val="00F30608"/>
    <w:rsid w:val="00F30A0A"/>
    <w:rsid w:val="00F32822"/>
    <w:rsid w:val="00F352DD"/>
    <w:rsid w:val="00F40762"/>
    <w:rsid w:val="00F40F20"/>
    <w:rsid w:val="00F418C2"/>
    <w:rsid w:val="00F42208"/>
    <w:rsid w:val="00F449A8"/>
    <w:rsid w:val="00F44B3E"/>
    <w:rsid w:val="00F51164"/>
    <w:rsid w:val="00F53217"/>
    <w:rsid w:val="00F542FA"/>
    <w:rsid w:val="00F652EB"/>
    <w:rsid w:val="00F70443"/>
    <w:rsid w:val="00F7097D"/>
    <w:rsid w:val="00F716EF"/>
    <w:rsid w:val="00F77D50"/>
    <w:rsid w:val="00F81A0A"/>
    <w:rsid w:val="00F838F0"/>
    <w:rsid w:val="00F858D1"/>
    <w:rsid w:val="00F85A24"/>
    <w:rsid w:val="00F9016C"/>
    <w:rsid w:val="00F929ED"/>
    <w:rsid w:val="00F9305D"/>
    <w:rsid w:val="00F94D89"/>
    <w:rsid w:val="00F9522F"/>
    <w:rsid w:val="00FA2346"/>
    <w:rsid w:val="00FA3AB1"/>
    <w:rsid w:val="00FA4EC5"/>
    <w:rsid w:val="00FA5EE1"/>
    <w:rsid w:val="00FB1472"/>
    <w:rsid w:val="00FC3C7A"/>
    <w:rsid w:val="00FC6839"/>
    <w:rsid w:val="00FD01FC"/>
    <w:rsid w:val="00FD061B"/>
    <w:rsid w:val="00FD5F34"/>
    <w:rsid w:val="00FD5FEF"/>
    <w:rsid w:val="00FE2D33"/>
    <w:rsid w:val="00FE6FC3"/>
    <w:rsid w:val="00FE76B5"/>
    <w:rsid w:val="00FE76D2"/>
    <w:rsid w:val="00FF22AC"/>
    <w:rsid w:val="00FF3664"/>
    <w:rsid w:val="00FF42CE"/>
    <w:rsid w:val="00FF5967"/>
    <w:rsid w:val="00FF6BE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semiHidden/>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
    <w:name w:val="Unresolved Mention"/>
    <w:basedOn w:val="DefaultParagraphFont"/>
    <w:uiPriority w:val="99"/>
    <w:semiHidden/>
    <w:unhideWhenUsed/>
    <w:rsid w:val="005A0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F1E6-5FD6-41B5-B446-68AE8A3E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7670</Words>
  <Characters>4373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Signe Tuklere</dc:creator>
  <dc:description>67013298
Signe.Tuklere@em.gov</dc:description>
  <cp:lastModifiedBy>Madara Ambrēna</cp:lastModifiedBy>
  <cp:revision>19</cp:revision>
  <cp:lastPrinted>2017-07-21T07:32:00Z</cp:lastPrinted>
  <dcterms:created xsi:type="dcterms:W3CDTF">2018-07-16T12:17:00Z</dcterms:created>
  <dcterms:modified xsi:type="dcterms:W3CDTF">2018-10-25T05:52:00Z</dcterms:modified>
</cp:coreProperties>
</file>