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BFD5" w14:textId="77777777" w:rsidR="00C90A31" w:rsidRDefault="00F24484">
      <w:pPr>
        <w:pStyle w:val="NoSpacing"/>
        <w:jc w:val="center"/>
        <w:rPr>
          <w:rFonts w:ascii="Times New Roman" w:hAnsi="Times New Roman"/>
          <w:sz w:val="24"/>
          <w:szCs w:val="24"/>
          <w:lang w:eastAsia="lv-LV"/>
        </w:rPr>
      </w:pPr>
      <w:r>
        <w:rPr>
          <w:rFonts w:ascii="Times New Roman" w:hAnsi="Times New Roman"/>
          <w:sz w:val="24"/>
          <w:szCs w:val="24"/>
          <w:lang w:eastAsia="lv-LV"/>
        </w:rPr>
        <w:t>Ministru kabineta rīkojuma projekta</w:t>
      </w:r>
    </w:p>
    <w:p w14:paraId="272EFA5D" w14:textId="77777777" w:rsidR="00C90A31" w:rsidRDefault="00F24484">
      <w:pPr>
        <w:pStyle w:val="Heading2"/>
      </w:pPr>
      <w:r>
        <w:rPr>
          <w:sz w:val="24"/>
          <w:szCs w:val="24"/>
        </w:rPr>
        <w:t xml:space="preserve">“Par valsts nekustamā īpašuma d/s </w:t>
      </w:r>
      <w:proofErr w:type="spellStart"/>
      <w:r>
        <w:rPr>
          <w:sz w:val="24"/>
          <w:szCs w:val="24"/>
        </w:rPr>
        <w:t>Tumšupe</w:t>
      </w:r>
      <w:proofErr w:type="spellEnd"/>
      <w:r>
        <w:rPr>
          <w:sz w:val="24"/>
          <w:szCs w:val="24"/>
        </w:rPr>
        <w:t xml:space="preserve"> Nr.168, “</w:t>
      </w:r>
      <w:proofErr w:type="spellStart"/>
      <w:r>
        <w:rPr>
          <w:sz w:val="24"/>
          <w:szCs w:val="24"/>
        </w:rPr>
        <w:t>Tumšupē</w:t>
      </w:r>
      <w:proofErr w:type="spellEnd"/>
      <w:r>
        <w:rPr>
          <w:sz w:val="24"/>
          <w:szCs w:val="24"/>
        </w:rPr>
        <w:t xml:space="preserve"> 168”, </w:t>
      </w:r>
      <w:proofErr w:type="spellStart"/>
      <w:r>
        <w:rPr>
          <w:sz w:val="24"/>
          <w:szCs w:val="24"/>
        </w:rPr>
        <w:t>Podkājās</w:t>
      </w:r>
      <w:proofErr w:type="spellEnd"/>
      <w:r>
        <w:rPr>
          <w:sz w:val="24"/>
          <w:szCs w:val="24"/>
        </w:rPr>
        <w:t>, Ropažu novadā, nodošanu Ropažu novada pašvaldības īpašumā”</w:t>
      </w:r>
    </w:p>
    <w:p w14:paraId="50478D2A" w14:textId="77777777" w:rsidR="00C90A31" w:rsidRDefault="00F24484">
      <w:pPr>
        <w:pStyle w:val="NoSpacing"/>
        <w:jc w:val="center"/>
      </w:pPr>
      <w:r>
        <w:rPr>
          <w:rFonts w:ascii="Times New Roman" w:hAnsi="Times New Roman"/>
          <w:sz w:val="24"/>
          <w:szCs w:val="24"/>
          <w:lang w:eastAsia="lv-LV"/>
        </w:rPr>
        <w:t>sākotnējās ietekmes novērtējuma ziņojums (anotācija)</w:t>
      </w:r>
    </w:p>
    <w:p w14:paraId="63FF53C1" w14:textId="77777777" w:rsidR="00C90A31" w:rsidRDefault="00C90A31">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C90A31" w14:paraId="217FCE98" w14:textId="77777777">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3D089A"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aktu projektu anotācijas kopsavilkums</w:t>
            </w:r>
          </w:p>
        </w:tc>
      </w:tr>
      <w:tr w:rsidR="00C90A31" w14:paraId="40BE5D10" w14:textId="77777777">
        <w:trPr>
          <w:trHeight w:val="124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F255E1B"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A9969E" w14:textId="77777777" w:rsidR="00162E5F" w:rsidRDefault="00162E5F" w:rsidP="00162E5F">
            <w:pPr>
              <w:pStyle w:val="NoSpacing"/>
              <w:ind w:firstLine="629"/>
              <w:jc w:val="both"/>
              <w:rPr>
                <w:rFonts w:ascii="Times New Roman" w:hAnsi="Times New Roman"/>
                <w:sz w:val="24"/>
                <w:szCs w:val="24"/>
              </w:rPr>
            </w:pPr>
            <w:r w:rsidRPr="00162E5F">
              <w:rPr>
                <w:rFonts w:ascii="Times New Roman" w:hAnsi="Times New Roman"/>
                <w:sz w:val="24"/>
                <w:szCs w:val="24"/>
              </w:rPr>
              <w:t xml:space="preserve">Projekta mērķis ir atbilstoši Publiskas personas mantas atsavināšanas likumā (turpmāk – Atsavināšanas likums) ietvertajam regulējumam nodot bez atlīdzības </w:t>
            </w:r>
            <w:r>
              <w:rPr>
                <w:rFonts w:ascii="Times New Roman" w:hAnsi="Times New Roman"/>
                <w:sz w:val="24"/>
                <w:szCs w:val="24"/>
              </w:rPr>
              <w:t xml:space="preserve">Ropažu novada </w:t>
            </w:r>
            <w:r w:rsidRPr="00162E5F">
              <w:rPr>
                <w:rFonts w:ascii="Times New Roman" w:hAnsi="Times New Roman"/>
                <w:sz w:val="24"/>
                <w:szCs w:val="24"/>
              </w:rPr>
              <w:t>pašvaldības īpašumā valsts nekustamo īpašumu</w:t>
            </w:r>
            <w:r>
              <w:rPr>
                <w:rFonts w:ascii="Times New Roman" w:hAnsi="Times New Roman"/>
                <w:sz w:val="24"/>
                <w:szCs w:val="24"/>
              </w:rPr>
              <w:t xml:space="preserve"> </w:t>
            </w:r>
            <w:r w:rsidRPr="00162E5F">
              <w:rPr>
                <w:rFonts w:ascii="Times New Roman" w:hAnsi="Times New Roman"/>
                <w:sz w:val="24"/>
                <w:szCs w:val="24"/>
              </w:rPr>
              <w:t xml:space="preserve">d/s </w:t>
            </w:r>
            <w:proofErr w:type="spellStart"/>
            <w:r w:rsidRPr="00162E5F">
              <w:rPr>
                <w:rFonts w:ascii="Times New Roman" w:hAnsi="Times New Roman"/>
                <w:sz w:val="24"/>
                <w:szCs w:val="24"/>
              </w:rPr>
              <w:t>Tumšupe</w:t>
            </w:r>
            <w:proofErr w:type="spellEnd"/>
            <w:r w:rsidRPr="00162E5F">
              <w:rPr>
                <w:rFonts w:ascii="Times New Roman" w:hAnsi="Times New Roman"/>
                <w:sz w:val="24"/>
                <w:szCs w:val="24"/>
              </w:rPr>
              <w:t xml:space="preserve"> Nr.168, “</w:t>
            </w:r>
            <w:proofErr w:type="spellStart"/>
            <w:r w:rsidRPr="00162E5F">
              <w:rPr>
                <w:rFonts w:ascii="Times New Roman" w:hAnsi="Times New Roman"/>
                <w:sz w:val="24"/>
                <w:szCs w:val="24"/>
              </w:rPr>
              <w:t>Tumšupē</w:t>
            </w:r>
            <w:proofErr w:type="spellEnd"/>
            <w:r w:rsidRPr="00162E5F">
              <w:rPr>
                <w:rFonts w:ascii="Times New Roman" w:hAnsi="Times New Roman"/>
                <w:sz w:val="24"/>
                <w:szCs w:val="24"/>
              </w:rPr>
              <w:t xml:space="preserve"> 168”, </w:t>
            </w:r>
            <w:proofErr w:type="spellStart"/>
            <w:r w:rsidRPr="00162E5F">
              <w:rPr>
                <w:rFonts w:ascii="Times New Roman" w:hAnsi="Times New Roman"/>
                <w:sz w:val="24"/>
                <w:szCs w:val="24"/>
              </w:rPr>
              <w:t>Podkājās</w:t>
            </w:r>
            <w:proofErr w:type="spellEnd"/>
            <w:r w:rsidRPr="00162E5F">
              <w:rPr>
                <w:rFonts w:ascii="Times New Roman" w:hAnsi="Times New Roman"/>
                <w:sz w:val="24"/>
                <w:szCs w:val="24"/>
              </w:rPr>
              <w:t>, Ropažu novadā, lai saskaņā ar likuma "Par pašvaldībām" 15. panta pirm</w:t>
            </w:r>
            <w:r>
              <w:rPr>
                <w:rFonts w:ascii="Times New Roman" w:hAnsi="Times New Roman"/>
                <w:sz w:val="24"/>
                <w:szCs w:val="24"/>
              </w:rPr>
              <w:t>ās</w:t>
            </w:r>
            <w:r w:rsidRPr="00162E5F">
              <w:rPr>
                <w:rFonts w:ascii="Times New Roman" w:hAnsi="Times New Roman"/>
                <w:sz w:val="24"/>
                <w:szCs w:val="24"/>
              </w:rPr>
              <w:t xml:space="preserve"> daļ</w:t>
            </w:r>
            <w:r>
              <w:rPr>
                <w:rFonts w:ascii="Times New Roman" w:hAnsi="Times New Roman"/>
                <w:sz w:val="24"/>
                <w:szCs w:val="24"/>
              </w:rPr>
              <w:t>as 9.punktu</w:t>
            </w:r>
            <w:r w:rsidRPr="00162E5F">
              <w:rPr>
                <w:rFonts w:ascii="Times New Roman" w:hAnsi="Times New Roman"/>
                <w:sz w:val="24"/>
                <w:szCs w:val="24"/>
              </w:rPr>
              <w:t xml:space="preserve"> to izmantotu pašvaldības autonom</w:t>
            </w:r>
            <w:r>
              <w:rPr>
                <w:rFonts w:ascii="Times New Roman" w:hAnsi="Times New Roman"/>
                <w:sz w:val="24"/>
                <w:szCs w:val="24"/>
              </w:rPr>
              <w:t>ās</w:t>
            </w:r>
            <w:r w:rsidRPr="00162E5F">
              <w:rPr>
                <w:rFonts w:ascii="Times New Roman" w:hAnsi="Times New Roman"/>
                <w:sz w:val="24"/>
                <w:szCs w:val="24"/>
              </w:rPr>
              <w:t xml:space="preserve"> funkcij</w:t>
            </w:r>
            <w:r>
              <w:rPr>
                <w:rFonts w:ascii="Times New Roman" w:hAnsi="Times New Roman"/>
                <w:sz w:val="24"/>
                <w:szCs w:val="24"/>
              </w:rPr>
              <w:t>as</w:t>
            </w:r>
            <w:r w:rsidRPr="00162E5F">
              <w:rPr>
                <w:rFonts w:ascii="Times New Roman" w:hAnsi="Times New Roman"/>
                <w:sz w:val="24"/>
                <w:szCs w:val="24"/>
              </w:rPr>
              <w:t xml:space="preserve"> īstenošanai</w:t>
            </w:r>
            <w:r>
              <w:rPr>
                <w:rFonts w:ascii="Times New Roman" w:hAnsi="Times New Roman"/>
                <w:sz w:val="24"/>
                <w:szCs w:val="24"/>
              </w:rPr>
              <w:t>.</w:t>
            </w:r>
          </w:p>
          <w:p w14:paraId="17981730" w14:textId="0303E493" w:rsidR="00C90A31" w:rsidRDefault="00162E5F" w:rsidP="00162E5F">
            <w:pPr>
              <w:pStyle w:val="NoSpacing"/>
              <w:ind w:firstLine="629"/>
              <w:jc w:val="both"/>
              <w:rPr>
                <w:rFonts w:ascii="Times New Roman" w:hAnsi="Times New Roman"/>
                <w:sz w:val="24"/>
                <w:szCs w:val="24"/>
              </w:rPr>
            </w:pPr>
            <w:r w:rsidRPr="00162E5F">
              <w:rPr>
                <w:rFonts w:ascii="Times New Roman" w:hAnsi="Times New Roman"/>
                <w:sz w:val="24"/>
                <w:szCs w:val="24"/>
              </w:rPr>
              <w:t>Projekts stāsies spēkā tā parakstīšanas brīdī.</w:t>
            </w:r>
          </w:p>
        </w:tc>
      </w:tr>
    </w:tbl>
    <w:p w14:paraId="6204F35F" w14:textId="77777777" w:rsidR="00C90A31" w:rsidRDefault="00C90A31">
      <w:pPr>
        <w:spacing w:after="0" w:line="240" w:lineRule="auto"/>
        <w:jc w:val="center"/>
        <w:rPr>
          <w:rFonts w:ascii="Times New Roman" w:eastAsia="Times New Roman" w:hAnsi="Times New Roman"/>
          <w:b/>
          <w:sz w:val="24"/>
          <w:szCs w:val="24"/>
        </w:rPr>
      </w:pPr>
    </w:p>
    <w:tbl>
      <w:tblPr>
        <w:tblW w:w="4959" w:type="pct"/>
        <w:tblInd w:w="75" w:type="dxa"/>
        <w:tblCellMar>
          <w:left w:w="10" w:type="dxa"/>
          <w:right w:w="10" w:type="dxa"/>
        </w:tblCellMar>
        <w:tblLook w:val="0000" w:firstRow="0" w:lastRow="0" w:firstColumn="0" w:lastColumn="0" w:noHBand="0" w:noVBand="0"/>
      </w:tblPr>
      <w:tblGrid>
        <w:gridCol w:w="315"/>
        <w:gridCol w:w="1853"/>
        <w:gridCol w:w="6813"/>
      </w:tblGrid>
      <w:tr w:rsidR="00C90A31" w14:paraId="64A72A0B" w14:textId="77777777">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72F96511"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aktu projektu izstrādes nepieciešamība</w:t>
            </w:r>
          </w:p>
        </w:tc>
      </w:tr>
      <w:tr w:rsidR="00C90A31" w14:paraId="6062B4E4" w14:textId="77777777">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04E559"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DF831D"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580C9" w14:textId="08AA7EC7" w:rsidR="00C90A31" w:rsidRDefault="00F24484">
            <w:pPr>
              <w:spacing w:after="0" w:line="240" w:lineRule="auto"/>
              <w:ind w:firstLine="720"/>
              <w:jc w:val="both"/>
              <w:rPr>
                <w:rFonts w:ascii="Times New Roman" w:hAnsi="Times New Roman"/>
                <w:sz w:val="24"/>
                <w:szCs w:val="24"/>
              </w:rPr>
            </w:pPr>
            <w:r>
              <w:rPr>
                <w:rFonts w:ascii="Times New Roman" w:hAnsi="Times New Roman"/>
                <w:sz w:val="24"/>
                <w:szCs w:val="24"/>
              </w:rPr>
              <w:t>Atsavināšanas likum</w:t>
            </w:r>
            <w:r w:rsidR="00536CA4">
              <w:rPr>
                <w:rFonts w:ascii="Times New Roman" w:hAnsi="Times New Roman"/>
                <w:sz w:val="24"/>
                <w:szCs w:val="24"/>
              </w:rPr>
              <w:t>a</w:t>
            </w:r>
            <w:r>
              <w:rPr>
                <w:rFonts w:ascii="Times New Roman" w:hAnsi="Times New Roman"/>
                <w:sz w:val="24"/>
                <w:szCs w:val="24"/>
              </w:rPr>
              <w:t xml:space="preserve"> 5.panta pirmā daļa, 42.panta pirmā daļa, 43.pants, 45.panta pirmā daļa, likuma „Par pašvaldībām” 15.panta pirmās daļas 9.punkts.</w:t>
            </w:r>
          </w:p>
          <w:p w14:paraId="33B5CC13" w14:textId="134AAA58" w:rsidR="004841BB" w:rsidRDefault="004841BB">
            <w:pPr>
              <w:spacing w:after="0" w:line="240" w:lineRule="auto"/>
              <w:ind w:firstLine="720"/>
              <w:jc w:val="both"/>
              <w:rPr>
                <w:rFonts w:ascii="Times New Roman" w:hAnsi="Times New Roman"/>
                <w:sz w:val="24"/>
                <w:szCs w:val="24"/>
              </w:rPr>
            </w:pPr>
            <w:r>
              <w:rPr>
                <w:rFonts w:ascii="Times New Roman" w:hAnsi="Times New Roman"/>
                <w:sz w:val="24"/>
                <w:szCs w:val="24"/>
              </w:rPr>
              <w:t>Ropažu novada domes 2018.gada 30.maija sēdes lēmums “Par nekustamā īpašuma “</w:t>
            </w:r>
            <w:proofErr w:type="spellStart"/>
            <w:r>
              <w:rPr>
                <w:rFonts w:ascii="Times New Roman" w:hAnsi="Times New Roman"/>
                <w:sz w:val="24"/>
                <w:szCs w:val="24"/>
              </w:rPr>
              <w:t>Tumšupe</w:t>
            </w:r>
            <w:proofErr w:type="spellEnd"/>
            <w:r>
              <w:rPr>
                <w:rFonts w:ascii="Times New Roman" w:hAnsi="Times New Roman"/>
                <w:sz w:val="24"/>
                <w:szCs w:val="24"/>
              </w:rPr>
              <w:t xml:space="preserve"> 68”, </w:t>
            </w:r>
            <w:proofErr w:type="spellStart"/>
            <w:r>
              <w:rPr>
                <w:rFonts w:ascii="Times New Roman" w:hAnsi="Times New Roman"/>
                <w:sz w:val="24"/>
                <w:szCs w:val="24"/>
              </w:rPr>
              <w:t>Podkājas</w:t>
            </w:r>
            <w:proofErr w:type="spellEnd"/>
            <w:r>
              <w:rPr>
                <w:rFonts w:ascii="Times New Roman" w:hAnsi="Times New Roman"/>
                <w:sz w:val="24"/>
                <w:szCs w:val="24"/>
              </w:rPr>
              <w:t>, Ropažu nov., kadastra numurs 80840040180, iegūšanu pašvaldības īpašumā” (prot.Nr.8, 11.§).</w:t>
            </w:r>
          </w:p>
        </w:tc>
      </w:tr>
      <w:tr w:rsidR="00C90A31" w14:paraId="72631D8A" w14:textId="77777777" w:rsidTr="0046391A">
        <w:trPr>
          <w:trHeight w:val="2082"/>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C26D50" w14:textId="77777777" w:rsidR="00C90A31" w:rsidRDefault="00F24484" w:rsidP="00EC50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E871C6" w14:textId="77777777" w:rsidR="00C90A31" w:rsidRDefault="00F24484" w:rsidP="00EC504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619F5B" w14:textId="77677FDB" w:rsidR="00C90A31" w:rsidRDefault="00F24484" w:rsidP="00EC504B">
            <w:pPr>
              <w:spacing w:after="120" w:line="240" w:lineRule="auto"/>
              <w:ind w:firstLine="697"/>
              <w:jc w:val="both"/>
              <w:rPr>
                <w:rFonts w:ascii="Times New Roman" w:eastAsia="Times New Roman" w:hAnsi="Times New Roman"/>
                <w:sz w:val="24"/>
                <w:szCs w:val="24"/>
              </w:rPr>
            </w:pPr>
            <w:r>
              <w:rPr>
                <w:rFonts w:ascii="Times New Roman" w:eastAsia="Times New Roman" w:hAnsi="Times New Roman"/>
                <w:sz w:val="24"/>
                <w:szCs w:val="24"/>
              </w:rPr>
              <w:t xml:space="preserve">Izstrādātais rīkojuma projekts paredz atļaut Finanšu ministrijai </w:t>
            </w:r>
            <w:bookmarkStart w:id="0" w:name="OLE_LINK1"/>
            <w:r>
              <w:rPr>
                <w:rFonts w:ascii="Times New Roman" w:eastAsia="Times New Roman" w:hAnsi="Times New Roman"/>
                <w:sz w:val="24"/>
                <w:szCs w:val="24"/>
              </w:rPr>
              <w:t xml:space="preserve">nodot bez atlīdzības Ropažu novada pašvaldības īpašumā valsts nekustamo īpašumu d/s </w:t>
            </w:r>
            <w:proofErr w:type="spellStart"/>
            <w:r>
              <w:rPr>
                <w:rFonts w:ascii="Times New Roman" w:eastAsia="Times New Roman" w:hAnsi="Times New Roman"/>
                <w:sz w:val="24"/>
                <w:szCs w:val="24"/>
              </w:rPr>
              <w:t>Tumšupe</w:t>
            </w:r>
            <w:proofErr w:type="spellEnd"/>
            <w:r>
              <w:rPr>
                <w:rFonts w:ascii="Times New Roman" w:eastAsia="Times New Roman" w:hAnsi="Times New Roman"/>
                <w:sz w:val="24"/>
                <w:szCs w:val="24"/>
              </w:rPr>
              <w:t xml:space="preserve"> Nr.168 (nekustamā īpašuma kadastra numurs 8084 004 0180) </w:t>
            </w:r>
            <w:r>
              <w:rPr>
                <w:rFonts w:ascii="Times New Roman" w:eastAsia="Times New Roman" w:hAnsi="Times New Roman"/>
                <w:sz w:val="24"/>
                <w:szCs w:val="24"/>
              </w:rPr>
              <w:noBreakHyphen/>
              <w:t> zemes vienību (zemes vienības kadastra apzīmējums 8084 004 0180) 710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 un būvi (būves kadastra apzīmējums 8084  004 0180 001 – “</w:t>
            </w:r>
            <w:proofErr w:type="spellStart"/>
            <w:r w:rsidRPr="00F77D47">
              <w:rPr>
                <w:rFonts w:ascii="Times New Roman" w:eastAsia="Times New Roman" w:hAnsi="Times New Roman"/>
                <w:sz w:val="24"/>
                <w:szCs w:val="24"/>
              </w:rPr>
              <w:t>Tumšupē</w:t>
            </w:r>
            <w:proofErr w:type="spellEnd"/>
            <w:r w:rsidRPr="00F77D47">
              <w:rPr>
                <w:rFonts w:ascii="Times New Roman" w:eastAsia="Times New Roman" w:hAnsi="Times New Roman"/>
                <w:sz w:val="24"/>
                <w:szCs w:val="24"/>
              </w:rPr>
              <w:t xml:space="preserve"> 168”, </w:t>
            </w:r>
            <w:proofErr w:type="spellStart"/>
            <w:r w:rsidRPr="00F77D47">
              <w:rPr>
                <w:rFonts w:ascii="Times New Roman" w:eastAsia="Times New Roman" w:hAnsi="Times New Roman"/>
                <w:sz w:val="24"/>
                <w:szCs w:val="24"/>
              </w:rPr>
              <w:t>Podkājās</w:t>
            </w:r>
            <w:proofErr w:type="spellEnd"/>
            <w:r w:rsidRPr="00F77D47">
              <w:rPr>
                <w:rFonts w:ascii="Times New Roman" w:eastAsia="Times New Roman" w:hAnsi="Times New Roman"/>
                <w:sz w:val="24"/>
                <w:szCs w:val="24"/>
              </w:rPr>
              <w:t xml:space="preserve">, Ropažu novadā, kas ierakstīts zemesgrāmatā uz valsts vārda Finanšu ministrijas personā,  </w:t>
            </w:r>
            <w:r w:rsidR="00CD59FA">
              <w:rPr>
                <w:rFonts w:ascii="Times New Roman" w:eastAsia="Times New Roman" w:hAnsi="Times New Roman"/>
                <w:sz w:val="24"/>
                <w:szCs w:val="24"/>
              </w:rPr>
              <w:t xml:space="preserve">kopā ar Finanšu ministrijas valdījumā esošo būvi (būves kadastra apzīmējums 8084 004 0180 002) </w:t>
            </w:r>
            <w:r w:rsidRPr="00F77D47">
              <w:rPr>
                <w:rFonts w:ascii="Times New Roman" w:eastAsia="Times New Roman" w:hAnsi="Times New Roman"/>
                <w:sz w:val="24"/>
                <w:szCs w:val="24"/>
              </w:rPr>
              <w:t xml:space="preserve">likuma „Par pašvaldībām” 15.panta pirmās daļas 9.punktā noteiktās pašvaldības autonomās funkcijas īstenošanai – sniegt palīdzību iedzīvotājiem dzīvokļa jautājumu risināšanā. </w:t>
            </w:r>
            <w:bookmarkEnd w:id="0"/>
          </w:p>
          <w:p w14:paraId="013FF5D0" w14:textId="77777777" w:rsidR="0098303B" w:rsidRDefault="0098303B" w:rsidP="0098303B">
            <w:pPr>
              <w:pStyle w:val="NoSpacing"/>
              <w:ind w:firstLine="709"/>
              <w:jc w:val="both"/>
              <w:rPr>
                <w:rFonts w:ascii="Times New Roman" w:eastAsia="Times New Roman" w:hAnsi="Times New Roman"/>
                <w:sz w:val="24"/>
                <w:szCs w:val="24"/>
              </w:rPr>
            </w:pPr>
            <w:r>
              <w:rPr>
                <w:rFonts w:ascii="Times New Roman" w:eastAsia="Times New Roman" w:hAnsi="Times New Roman"/>
                <w:sz w:val="24"/>
                <w:szCs w:val="24"/>
              </w:rPr>
              <w:t>Ar Ropažu novada domes 2018.gada 30.maija lēmumu (prot. Nr.8, 11.§) "Par nekustamā īpašuma “</w:t>
            </w:r>
            <w:proofErr w:type="spellStart"/>
            <w:r>
              <w:rPr>
                <w:rFonts w:ascii="Times New Roman" w:eastAsia="Times New Roman" w:hAnsi="Times New Roman"/>
                <w:sz w:val="24"/>
                <w:szCs w:val="24"/>
              </w:rPr>
              <w:t>Tumšupe</w:t>
            </w:r>
            <w:proofErr w:type="spellEnd"/>
            <w:r>
              <w:rPr>
                <w:rFonts w:ascii="Times New Roman" w:eastAsia="Times New Roman" w:hAnsi="Times New Roman"/>
                <w:sz w:val="24"/>
                <w:szCs w:val="24"/>
              </w:rPr>
              <w:t xml:space="preserve"> 168”, </w:t>
            </w:r>
            <w:proofErr w:type="spellStart"/>
            <w:r>
              <w:rPr>
                <w:rFonts w:ascii="Times New Roman" w:eastAsia="Times New Roman" w:hAnsi="Times New Roman"/>
                <w:sz w:val="24"/>
                <w:szCs w:val="24"/>
              </w:rPr>
              <w:t>Podkājas</w:t>
            </w:r>
            <w:proofErr w:type="spellEnd"/>
            <w:r>
              <w:rPr>
                <w:rFonts w:ascii="Times New Roman" w:eastAsia="Times New Roman" w:hAnsi="Times New Roman"/>
                <w:sz w:val="24"/>
                <w:szCs w:val="24"/>
              </w:rPr>
              <w:t>, Ropažu nov., kadastra numurs 80840040180, iegūšanu pašvaldības īpašumā”, nolemts pārņemt valsts nekustamo īpašumu Ropažu novada pašvaldības īpašumā, lai realizētu likuma “Par pašvaldībām”15.panta pirmās daļas 9.punktā minēto pašvaldības funkciju – sniegt palīdzību iedzīvotājiem dzīvokļa jautājuma risināšanā.</w:t>
            </w:r>
          </w:p>
          <w:p w14:paraId="2A2B4B83" w14:textId="77777777" w:rsidR="00C90A31" w:rsidRDefault="00F24484">
            <w:pPr>
              <w:spacing w:after="0" w:line="240" w:lineRule="auto"/>
              <w:ind w:firstLine="720"/>
              <w:jc w:val="both"/>
              <w:rPr>
                <w:rFonts w:ascii="Times New Roman" w:hAnsi="Times New Roman"/>
                <w:bCs/>
                <w:sz w:val="24"/>
                <w:szCs w:val="24"/>
              </w:rPr>
            </w:pPr>
            <w:r>
              <w:rPr>
                <w:rFonts w:ascii="Times New Roman" w:hAnsi="Times New Roman"/>
                <w:bCs/>
                <w:sz w:val="24"/>
                <w:szCs w:val="24"/>
              </w:rPr>
              <w:t>Īpašuma tiesības uz valsts nekustamo īpašumu ir nostiprinātas Latvijas valstij Finanšu ministrijas personā Rīgas rajona tiesas Zemesgrāmatu nodaļas Ropažu novada zemesgrāmatas nodalījumā Nr.703 (turpmāk – Zemesgrāmatas nodalījums Nr.703), lēmuma datums: 09.04.2014. – uz zemi, 22.09.2014. – uz būvi.</w:t>
            </w:r>
          </w:p>
          <w:p w14:paraId="59FCB82E" w14:textId="77777777" w:rsidR="00C90A31" w:rsidRDefault="00F24484">
            <w:pPr>
              <w:spacing w:after="0" w:line="240" w:lineRule="auto"/>
              <w:ind w:firstLine="720"/>
              <w:jc w:val="both"/>
            </w:pPr>
            <w:r>
              <w:rPr>
                <w:rFonts w:ascii="Times New Roman" w:hAnsi="Times New Roman"/>
                <w:sz w:val="24"/>
                <w:szCs w:val="24"/>
              </w:rPr>
              <w:t>Saskaņā ar Nekustamā īpašuma valsts kadastra informācijas sistēmas (turpmāk – NĪVKIS) datiem</w:t>
            </w:r>
            <w:r>
              <w:rPr>
                <w:rFonts w:ascii="Times New Roman" w:hAnsi="Times New Roman"/>
                <w:bCs/>
                <w:sz w:val="24"/>
                <w:szCs w:val="24"/>
              </w:rPr>
              <w:t xml:space="preserve"> valsts nekustamā īpašuma </w:t>
            </w:r>
            <w:r>
              <w:rPr>
                <w:rFonts w:ascii="Times New Roman" w:hAnsi="Times New Roman"/>
                <w:bCs/>
                <w:sz w:val="24"/>
                <w:szCs w:val="24"/>
              </w:rPr>
              <w:lastRenderedPageBreak/>
              <w:t xml:space="preserve">kadastrālā vērtība uz 01.01.2018. ir noteikta 3659 </w:t>
            </w:r>
            <w:proofErr w:type="spellStart"/>
            <w:r>
              <w:rPr>
                <w:rFonts w:ascii="Times New Roman" w:hAnsi="Times New Roman"/>
                <w:bCs/>
                <w:i/>
                <w:sz w:val="24"/>
                <w:szCs w:val="24"/>
              </w:rPr>
              <w:t>euro</w:t>
            </w:r>
            <w:proofErr w:type="spellEnd"/>
            <w:r>
              <w:rPr>
                <w:rFonts w:ascii="Times New Roman" w:hAnsi="Times New Roman"/>
                <w:bCs/>
                <w:i/>
                <w:sz w:val="24"/>
                <w:szCs w:val="24"/>
              </w:rPr>
              <w:t xml:space="preserve"> </w:t>
            </w:r>
            <w:r>
              <w:rPr>
                <w:rFonts w:ascii="Times New Roman" w:hAnsi="Times New Roman"/>
                <w:bCs/>
                <w:sz w:val="24"/>
                <w:szCs w:val="24"/>
              </w:rPr>
              <w:t xml:space="preserve">(zemes vienībai – 2024 </w:t>
            </w:r>
            <w:proofErr w:type="spellStart"/>
            <w:r>
              <w:rPr>
                <w:rFonts w:ascii="Times New Roman" w:hAnsi="Times New Roman"/>
                <w:bCs/>
                <w:i/>
                <w:sz w:val="24"/>
                <w:szCs w:val="24"/>
              </w:rPr>
              <w:t>euro</w:t>
            </w:r>
            <w:proofErr w:type="spellEnd"/>
            <w:r>
              <w:rPr>
                <w:rFonts w:ascii="Times New Roman" w:hAnsi="Times New Roman"/>
                <w:bCs/>
                <w:i/>
                <w:sz w:val="24"/>
                <w:szCs w:val="24"/>
              </w:rPr>
              <w:t xml:space="preserve">; </w:t>
            </w:r>
            <w:r>
              <w:rPr>
                <w:rFonts w:ascii="Times New Roman" w:hAnsi="Times New Roman"/>
                <w:bCs/>
                <w:sz w:val="24"/>
                <w:szCs w:val="24"/>
              </w:rPr>
              <w:t>būvei – 1635</w:t>
            </w:r>
            <w:r>
              <w:rPr>
                <w:rFonts w:ascii="Times New Roman" w:hAnsi="Times New Roman"/>
                <w:bCs/>
                <w:i/>
                <w:sz w:val="24"/>
                <w:szCs w:val="24"/>
              </w:rPr>
              <w:t xml:space="preserve"> </w:t>
            </w:r>
            <w:proofErr w:type="spellStart"/>
            <w:r>
              <w:rPr>
                <w:rFonts w:ascii="Times New Roman" w:hAnsi="Times New Roman"/>
                <w:bCs/>
                <w:i/>
                <w:sz w:val="24"/>
                <w:szCs w:val="24"/>
              </w:rPr>
              <w:t>euro</w:t>
            </w:r>
            <w:proofErr w:type="spellEnd"/>
            <w:r>
              <w:rPr>
                <w:rFonts w:ascii="Times New Roman" w:hAnsi="Times New Roman"/>
                <w:bCs/>
                <w:i/>
                <w:sz w:val="24"/>
                <w:szCs w:val="24"/>
              </w:rPr>
              <w:t>)</w:t>
            </w:r>
            <w:r>
              <w:rPr>
                <w:rFonts w:ascii="Times New Roman" w:hAnsi="Times New Roman"/>
                <w:bCs/>
                <w:sz w:val="24"/>
                <w:szCs w:val="24"/>
              </w:rPr>
              <w:t xml:space="preserve">. </w:t>
            </w:r>
          </w:p>
          <w:p w14:paraId="4F32A383" w14:textId="77777777" w:rsidR="00C90A31" w:rsidRDefault="00F24484">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Zemes vienības lietošanas mērķis: 0601 – individuālo dzīvojamo māju apbūve. </w:t>
            </w:r>
          </w:p>
          <w:p w14:paraId="64B7BA85" w14:textId="0241C255" w:rsidR="00C90A31" w:rsidRPr="001C5491" w:rsidRDefault="00F24484">
            <w:pPr>
              <w:spacing w:after="0" w:line="240" w:lineRule="auto"/>
              <w:ind w:firstLine="720"/>
              <w:jc w:val="both"/>
              <w:rPr>
                <w:rFonts w:ascii="Times New Roman" w:hAnsi="Times New Roman"/>
                <w:sz w:val="24"/>
                <w:szCs w:val="24"/>
              </w:rPr>
            </w:pPr>
            <w:r w:rsidRPr="001C5491">
              <w:rPr>
                <w:rFonts w:ascii="Times New Roman" w:hAnsi="Times New Roman"/>
                <w:sz w:val="24"/>
                <w:szCs w:val="24"/>
              </w:rPr>
              <w:t>Būves galvenais lietošanas veids: 1110 – Viena dzīvokļa mājas, būves tips – Dārza mājas ar kopējo platību līdz 40 m</w:t>
            </w:r>
            <w:r w:rsidRPr="001C5491">
              <w:rPr>
                <w:rFonts w:ascii="Times New Roman" w:hAnsi="Times New Roman"/>
                <w:sz w:val="24"/>
                <w:szCs w:val="24"/>
                <w:vertAlign w:val="superscript"/>
              </w:rPr>
              <w:t>2</w:t>
            </w:r>
            <w:r w:rsidRPr="001C5491">
              <w:rPr>
                <w:rFonts w:ascii="Times New Roman" w:hAnsi="Times New Roman"/>
                <w:sz w:val="24"/>
                <w:szCs w:val="24"/>
              </w:rPr>
              <w:t>, (ieskaitot). Būves kopējā platība – 26 m</w:t>
            </w:r>
            <w:r w:rsidRPr="001C5491">
              <w:rPr>
                <w:rFonts w:ascii="Times New Roman" w:hAnsi="Times New Roman"/>
                <w:sz w:val="24"/>
                <w:szCs w:val="24"/>
                <w:vertAlign w:val="superscript"/>
              </w:rPr>
              <w:t>2</w:t>
            </w:r>
            <w:r w:rsidR="001C5491">
              <w:rPr>
                <w:rFonts w:ascii="Times New Roman" w:hAnsi="Times New Roman"/>
                <w:sz w:val="24"/>
                <w:szCs w:val="24"/>
                <w:vertAlign w:val="superscript"/>
              </w:rPr>
              <w:t xml:space="preserve"> </w:t>
            </w:r>
            <w:r w:rsidR="001C5491">
              <w:rPr>
                <w:rFonts w:ascii="Times New Roman" w:hAnsi="Times New Roman"/>
                <w:sz w:val="24"/>
                <w:szCs w:val="24"/>
              </w:rPr>
              <w:t>, dzīvokļu kopējā platība – 26 m</w:t>
            </w:r>
            <w:r w:rsidR="001C5491" w:rsidRPr="001C5491">
              <w:rPr>
                <w:rFonts w:ascii="Times New Roman" w:hAnsi="Times New Roman"/>
                <w:sz w:val="24"/>
                <w:szCs w:val="24"/>
                <w:vertAlign w:val="superscript"/>
              </w:rPr>
              <w:t>2</w:t>
            </w:r>
            <w:r w:rsidR="001C5491">
              <w:rPr>
                <w:rFonts w:ascii="Times New Roman" w:hAnsi="Times New Roman"/>
                <w:sz w:val="24"/>
                <w:szCs w:val="24"/>
              </w:rPr>
              <w:t xml:space="preserve">. </w:t>
            </w:r>
          </w:p>
          <w:p w14:paraId="777B69AA" w14:textId="77777777" w:rsidR="00C90A31" w:rsidRPr="001C5491" w:rsidRDefault="00F24484">
            <w:pPr>
              <w:spacing w:after="0" w:line="240" w:lineRule="auto"/>
              <w:ind w:firstLine="720"/>
              <w:jc w:val="both"/>
              <w:rPr>
                <w:rFonts w:ascii="Times New Roman" w:hAnsi="Times New Roman"/>
                <w:sz w:val="24"/>
                <w:szCs w:val="24"/>
              </w:rPr>
            </w:pPr>
            <w:r w:rsidRPr="001C5491">
              <w:rPr>
                <w:rFonts w:ascii="Times New Roman" w:eastAsia="Times New Roman" w:hAnsi="Times New Roman"/>
                <w:sz w:val="24"/>
                <w:szCs w:val="24"/>
              </w:rPr>
              <w:t xml:space="preserve"> Zemesgrāmatas nodalījumā Nr.</w:t>
            </w:r>
            <w:r w:rsidRPr="001C5491">
              <w:rPr>
                <w:rFonts w:ascii="Times New Roman" w:hAnsi="Times New Roman"/>
                <w:bCs/>
                <w:sz w:val="24"/>
                <w:szCs w:val="24"/>
              </w:rPr>
              <w:t xml:space="preserve"> 703</w:t>
            </w:r>
            <w:r w:rsidRPr="001C5491">
              <w:rPr>
                <w:rFonts w:ascii="Times New Roman" w:eastAsia="Times New Roman" w:hAnsi="Times New Roman"/>
                <w:sz w:val="24"/>
                <w:szCs w:val="24"/>
              </w:rPr>
              <w:t xml:space="preserve"> III daļas 1.iedaļā ir izdarīta atzīme par šādu apgrūtinājumu</w:t>
            </w:r>
            <w:r w:rsidRPr="001C5491">
              <w:rPr>
                <w:rFonts w:ascii="Times New Roman" w:hAnsi="Times New Roman"/>
                <w:bCs/>
                <w:sz w:val="24"/>
                <w:szCs w:val="24"/>
              </w:rPr>
              <w:t>:</w:t>
            </w:r>
          </w:p>
          <w:p w14:paraId="5491876F" w14:textId="60E5DBF0" w:rsidR="00C90A31" w:rsidRDefault="00F24484">
            <w:pPr>
              <w:pStyle w:val="NoSpacing"/>
              <w:numPr>
                <w:ilvl w:val="0"/>
                <w:numId w:val="1"/>
              </w:numPr>
              <w:jc w:val="both"/>
              <w:rPr>
                <w:rFonts w:ascii="Times New Roman" w:eastAsia="Times New Roman" w:hAnsi="Times New Roman"/>
                <w:sz w:val="24"/>
                <w:szCs w:val="24"/>
              </w:rPr>
            </w:pPr>
            <w:r>
              <w:rPr>
                <w:rFonts w:ascii="Times New Roman" w:eastAsia="Times New Roman" w:hAnsi="Times New Roman"/>
                <w:sz w:val="24"/>
                <w:szCs w:val="24"/>
              </w:rPr>
              <w:t>Ar Rīgas rajona Ropažu pagasta zemes komisijas 1996.gada 18.septembra lēmumu, sēde Nr.10 4.1.punktu noteikts apgrūtinājums: III kategorijas ceļš Garkalne – Alauksts aizsardzības zona – 60 m – 25m garums.</w:t>
            </w:r>
          </w:p>
          <w:p w14:paraId="6D337F32" w14:textId="39B87F19" w:rsidR="00BD3F7A" w:rsidRDefault="00BD3F7A" w:rsidP="00BD3F7A">
            <w:pPr>
              <w:pStyle w:val="NoSpacing"/>
              <w:ind w:firstLine="720"/>
              <w:jc w:val="both"/>
              <w:rPr>
                <w:rFonts w:ascii="Times New Roman" w:eastAsia="Times New Roman" w:hAnsi="Times New Roman"/>
                <w:sz w:val="24"/>
                <w:szCs w:val="24"/>
              </w:rPr>
            </w:pPr>
            <w:r>
              <w:rPr>
                <w:rFonts w:ascii="Times New Roman" w:eastAsia="Times New Roman" w:hAnsi="Times New Roman"/>
                <w:sz w:val="24"/>
                <w:szCs w:val="24"/>
              </w:rPr>
              <w:t>Ievērojot minēto zemesgrāmatas ierakstu, nekustamā īpašuma īpašniekam jāievēro aprobežojumi, kas noteikti Aizsargjoslu likuma 35. un 42.pantā.</w:t>
            </w:r>
          </w:p>
          <w:p w14:paraId="6FA9DE62" w14:textId="77777777"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Saskaņā ar 2009.gada 29.jūnijā parakstītu aktu Nekustamais īpašums ar 2009.gada 1.jūliju pārņemts valsts īpašumā un VNĪ pārvaldīšanā no Valsts ieņēmumu dienesta kā valstij piekritīgā manta.</w:t>
            </w:r>
          </w:p>
          <w:p w14:paraId="62C55B6C" w14:textId="529B01A5"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Uz zemes vienības vēl arī atrodas Finanšu ministrijas tiesiskajā valdījumā uz datu deklarācijas pamata NĪVKIS reģistrēta būve - žogs (būves kadastra apzīmējums 8084 004 0180 002). Būve ir funkcionāli piederīga nekustamajam īpašumam, atrodas Finanšu ministrijas bilancē (pamatlīdzekļa Nr.E9035) un ir nesaraujami saistīta ar nekustamo īpašumu.</w:t>
            </w:r>
          </w:p>
          <w:p w14:paraId="485127F5" w14:textId="332C7231"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 xml:space="preserve">Atbilstoši Civillikuma 853.pantam, visas tiesiskās attiecības, kas zīmējas uz galveno lietu, pašas par sevi attiecas arī uz tās blakus lietām, līdz ar to rīkojuma projekts paredz kopā ar nekustamo īpašumu </w:t>
            </w:r>
            <w:r w:rsidR="00224057">
              <w:rPr>
                <w:rFonts w:ascii="Times New Roman" w:hAnsi="Times New Roman"/>
                <w:sz w:val="24"/>
                <w:szCs w:val="24"/>
              </w:rPr>
              <w:t xml:space="preserve">atsavināt Ropažu novada pašvaldībai </w:t>
            </w:r>
            <w:r w:rsidRPr="003060E4">
              <w:rPr>
                <w:rFonts w:ascii="Times New Roman" w:hAnsi="Times New Roman"/>
                <w:sz w:val="24"/>
                <w:szCs w:val="24"/>
              </w:rPr>
              <w:t xml:space="preserve">arī uz zemes vienības Finanšu ministrijas tiesiskajā valdījumā esošo būvi, kas ir nesaraujami saistīta ar nekustamo īpašumu un tiks atsavināta kopā ar galveno lietu. </w:t>
            </w:r>
          </w:p>
          <w:p w14:paraId="6C76C728" w14:textId="77777777"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Saskaņā ar likuma „Par nekustamā īpašuma ierakstīšanu zemesgrāmatās” 19.panta pirmās daļas 2.punktu žogs zemesgrāmatā nav ierakstāms kā patstāvīgs īpašuma objekts. Saskaņā ar Nekustamā īpašuma valsts kadastra likuma 16.panta 2.punkta “e” apakšpunktu par nekustamā īpašuma objektu nav nosakāmi žogi.</w:t>
            </w:r>
          </w:p>
          <w:p w14:paraId="23C32B9D" w14:textId="66BF3119" w:rsid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 xml:space="preserve">Būves – žoga (būves kadastra apzīmējums 8084 004 0180 002) kadastrālā vērtība uz 2018.gada 1.janvāri - 118  </w:t>
            </w:r>
            <w:proofErr w:type="spellStart"/>
            <w:r w:rsidRPr="00070F8B">
              <w:rPr>
                <w:rFonts w:ascii="Times New Roman" w:hAnsi="Times New Roman"/>
                <w:i/>
                <w:sz w:val="24"/>
                <w:szCs w:val="24"/>
              </w:rPr>
              <w:t>euro</w:t>
            </w:r>
            <w:proofErr w:type="spellEnd"/>
            <w:r w:rsidRPr="003060E4">
              <w:rPr>
                <w:rFonts w:ascii="Times New Roman" w:hAnsi="Times New Roman"/>
                <w:sz w:val="24"/>
                <w:szCs w:val="24"/>
              </w:rPr>
              <w:t>.</w:t>
            </w:r>
          </w:p>
          <w:p w14:paraId="4E788233" w14:textId="77777777" w:rsidR="0098303B" w:rsidRPr="003060E4" w:rsidRDefault="0098303B" w:rsidP="0098303B">
            <w:pPr>
              <w:pStyle w:val="NoSpacing"/>
              <w:ind w:firstLine="709"/>
              <w:jc w:val="both"/>
              <w:rPr>
                <w:rFonts w:ascii="Times New Roman" w:hAnsi="Times New Roman"/>
                <w:sz w:val="24"/>
                <w:szCs w:val="24"/>
              </w:rPr>
            </w:pPr>
            <w:r w:rsidRPr="003060E4">
              <w:rPr>
                <w:rFonts w:ascii="Times New Roman" w:hAnsi="Times New Roman"/>
                <w:sz w:val="24"/>
                <w:szCs w:val="24"/>
              </w:rPr>
              <w:t>Nekustamais īpašums nav iznomāts.</w:t>
            </w:r>
          </w:p>
          <w:p w14:paraId="0027C495" w14:textId="77777777" w:rsidR="0098303B" w:rsidRPr="003060E4" w:rsidRDefault="0098303B" w:rsidP="0098303B">
            <w:pPr>
              <w:pStyle w:val="NoSpacing"/>
              <w:ind w:firstLine="709"/>
              <w:jc w:val="both"/>
              <w:rPr>
                <w:rFonts w:ascii="Times New Roman" w:hAnsi="Times New Roman"/>
                <w:sz w:val="24"/>
                <w:szCs w:val="24"/>
              </w:rPr>
            </w:pPr>
            <w:r w:rsidRPr="003060E4">
              <w:rPr>
                <w:rFonts w:ascii="Times New Roman" w:hAnsi="Times New Roman"/>
                <w:sz w:val="24"/>
                <w:szCs w:val="24"/>
              </w:rPr>
              <w:t>Saskaņā ar VNĪ rīcībā esošajiem nekustamā īpašuma rentabilitātes rādītājiem nekustamā īpašuma pārvaldīšana no 201</w:t>
            </w:r>
            <w:r>
              <w:rPr>
                <w:rFonts w:ascii="Times New Roman" w:hAnsi="Times New Roman"/>
                <w:sz w:val="24"/>
                <w:szCs w:val="24"/>
              </w:rPr>
              <w:t>6</w:t>
            </w:r>
            <w:r w:rsidRPr="003060E4">
              <w:rPr>
                <w:rFonts w:ascii="Times New Roman" w:hAnsi="Times New Roman"/>
                <w:sz w:val="24"/>
                <w:szCs w:val="24"/>
              </w:rPr>
              <w:t>.gada līdz 201</w:t>
            </w:r>
            <w:r>
              <w:rPr>
                <w:rFonts w:ascii="Times New Roman" w:hAnsi="Times New Roman"/>
                <w:sz w:val="24"/>
                <w:szCs w:val="24"/>
              </w:rPr>
              <w:t>8</w:t>
            </w:r>
            <w:r w:rsidRPr="003060E4">
              <w:rPr>
                <w:rFonts w:ascii="Times New Roman" w:hAnsi="Times New Roman"/>
                <w:sz w:val="24"/>
                <w:szCs w:val="24"/>
              </w:rPr>
              <w:t xml:space="preserve">.gada </w:t>
            </w:r>
            <w:r>
              <w:rPr>
                <w:rFonts w:ascii="Times New Roman" w:hAnsi="Times New Roman"/>
                <w:sz w:val="24"/>
                <w:szCs w:val="24"/>
              </w:rPr>
              <w:t>aprīlim</w:t>
            </w:r>
            <w:r w:rsidRPr="003060E4">
              <w:rPr>
                <w:rFonts w:ascii="Times New Roman" w:hAnsi="Times New Roman"/>
                <w:sz w:val="24"/>
                <w:szCs w:val="24"/>
              </w:rPr>
              <w:t xml:space="preserve"> VNĪ ir nesusi zaudējumus </w:t>
            </w:r>
            <w:r>
              <w:rPr>
                <w:rFonts w:ascii="Times New Roman" w:hAnsi="Times New Roman"/>
                <w:sz w:val="24"/>
                <w:szCs w:val="24"/>
              </w:rPr>
              <w:t>610</w:t>
            </w:r>
            <w:r w:rsidRPr="003060E4">
              <w:rPr>
                <w:rFonts w:ascii="Times New Roman" w:hAnsi="Times New Roman"/>
                <w:sz w:val="24"/>
                <w:szCs w:val="24"/>
              </w:rPr>
              <w:t xml:space="preserve"> </w:t>
            </w:r>
            <w:proofErr w:type="spellStart"/>
            <w:r w:rsidRPr="003060E4">
              <w:rPr>
                <w:rFonts w:ascii="Times New Roman" w:hAnsi="Times New Roman"/>
                <w:i/>
                <w:sz w:val="24"/>
                <w:szCs w:val="24"/>
              </w:rPr>
              <w:t>euro</w:t>
            </w:r>
            <w:proofErr w:type="spellEnd"/>
            <w:r w:rsidRPr="003060E4">
              <w:rPr>
                <w:rFonts w:ascii="Times New Roman" w:hAnsi="Times New Roman"/>
                <w:sz w:val="24"/>
                <w:szCs w:val="24"/>
              </w:rPr>
              <w:t xml:space="preserve"> apmērā.</w:t>
            </w:r>
          </w:p>
          <w:p w14:paraId="116CF709" w14:textId="17C640F0"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Uz nekustamā īpašuma sastāvā esošās zemes vienības vēl arī atrodas zemesgrāmatā un NĪVKIS nereģistrētas būves -  ūdens spice un divi koka šķūņi bez pamatiem</w:t>
            </w:r>
            <w:r w:rsidR="00046251">
              <w:rPr>
                <w:rFonts w:ascii="Times New Roman" w:hAnsi="Times New Roman"/>
                <w:sz w:val="24"/>
                <w:szCs w:val="24"/>
              </w:rPr>
              <w:t>.</w:t>
            </w:r>
            <w:r w:rsidRPr="003060E4">
              <w:rPr>
                <w:rFonts w:ascii="Times New Roman" w:hAnsi="Times New Roman"/>
                <w:sz w:val="24"/>
                <w:szCs w:val="24"/>
              </w:rPr>
              <w:t xml:space="preserve"> </w:t>
            </w:r>
            <w:r w:rsidR="00046251">
              <w:rPr>
                <w:rFonts w:ascii="Times New Roman" w:hAnsi="Times New Roman"/>
                <w:sz w:val="24"/>
                <w:szCs w:val="24"/>
              </w:rPr>
              <w:t>Koka šķūņi</w:t>
            </w:r>
            <w:r w:rsidR="00B16154">
              <w:rPr>
                <w:rFonts w:ascii="Times New Roman" w:hAnsi="Times New Roman"/>
                <w:sz w:val="24"/>
                <w:szCs w:val="24"/>
              </w:rPr>
              <w:t xml:space="preserve"> </w:t>
            </w:r>
            <w:r w:rsidRPr="003060E4">
              <w:rPr>
                <w:rFonts w:ascii="Times New Roman" w:hAnsi="Times New Roman"/>
                <w:sz w:val="24"/>
                <w:szCs w:val="24"/>
              </w:rPr>
              <w:t xml:space="preserve">kuri kopā ar nekustamo īpašumu, pamatojoties uz 2007.gada 6.jūnija spriedumu krimināllietā Nr.K04-0267-05/5, ar Valsts ieņēmumu dienesta 2009.gada 25.maijā apstiprināto Valstij piekritīgās mantas aprakstes un pieņemšanas aktu Nr. 001305 (turpmāk – Nodošanas – pieņemšanas akts) pārņemti Finanšu ministrijas valdījumā, VNĪ pārvaldīšanā.  Minētie koka šķūņi un ūdens spice reģistrēti Finanšu ministrijas zembilancē (reģistrācijas </w:t>
            </w:r>
            <w:r w:rsidRPr="003060E4">
              <w:rPr>
                <w:rFonts w:ascii="Times New Roman" w:hAnsi="Times New Roman"/>
                <w:sz w:val="24"/>
                <w:szCs w:val="24"/>
              </w:rPr>
              <w:lastRenderedPageBreak/>
              <w:t xml:space="preserve">Nr.E7972; E7973; E7974).  Saskaņā ar Nodošanas – pieņemšanas aktā norādīto informāciju koka </w:t>
            </w:r>
            <w:r w:rsidR="009A065C">
              <w:rPr>
                <w:rFonts w:ascii="Times New Roman" w:hAnsi="Times New Roman"/>
                <w:sz w:val="24"/>
                <w:szCs w:val="24"/>
              </w:rPr>
              <w:t>šķ</w:t>
            </w:r>
            <w:r w:rsidRPr="003060E4">
              <w:rPr>
                <w:rFonts w:ascii="Times New Roman" w:hAnsi="Times New Roman"/>
                <w:sz w:val="24"/>
                <w:szCs w:val="24"/>
              </w:rPr>
              <w:t>ū</w:t>
            </w:r>
            <w:r w:rsidR="009A065C">
              <w:rPr>
                <w:rFonts w:ascii="Times New Roman" w:hAnsi="Times New Roman"/>
                <w:sz w:val="24"/>
                <w:szCs w:val="24"/>
              </w:rPr>
              <w:t>ņ</w:t>
            </w:r>
            <w:r w:rsidRPr="003060E4">
              <w:rPr>
                <w:rFonts w:ascii="Times New Roman" w:hAnsi="Times New Roman"/>
                <w:sz w:val="24"/>
                <w:szCs w:val="24"/>
              </w:rPr>
              <w:t>u aptuvenā platība – 2x4,5 m</w:t>
            </w:r>
            <w:r w:rsidRPr="00224057">
              <w:rPr>
                <w:rFonts w:ascii="Times New Roman" w:hAnsi="Times New Roman"/>
                <w:sz w:val="24"/>
                <w:szCs w:val="24"/>
                <w:vertAlign w:val="superscript"/>
              </w:rPr>
              <w:t>2</w:t>
            </w:r>
            <w:r w:rsidRPr="003060E4">
              <w:rPr>
                <w:rFonts w:ascii="Times New Roman" w:hAnsi="Times New Roman"/>
                <w:sz w:val="24"/>
                <w:szCs w:val="24"/>
              </w:rPr>
              <w:t xml:space="preserve"> un 1,5x3 m</w:t>
            </w:r>
            <w:r w:rsidRPr="00224057">
              <w:rPr>
                <w:rFonts w:ascii="Times New Roman" w:hAnsi="Times New Roman"/>
                <w:sz w:val="24"/>
                <w:szCs w:val="24"/>
                <w:vertAlign w:val="superscript"/>
              </w:rPr>
              <w:t>2</w:t>
            </w:r>
            <w:r w:rsidRPr="003060E4">
              <w:rPr>
                <w:rFonts w:ascii="Times New Roman" w:hAnsi="Times New Roman"/>
                <w:sz w:val="24"/>
                <w:szCs w:val="24"/>
              </w:rPr>
              <w:t xml:space="preserve">. </w:t>
            </w:r>
          </w:p>
          <w:p w14:paraId="1C4DD54F" w14:textId="77777777"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 xml:space="preserve">Saskaņā ar Rīgas rajona tiesas zemesgrāmatu nodaļas sniegto informāciju  (2015.gada 28.janvāra vēstule Nr.1-5/553), ievērojot to, ka zemesgrāmatu nodaļas rīcībā nav ziņu par koka šķūņu un ūdens spices kadastra apzīmējumiem, nav iespējams sniegt ziņas par šo ēku kā patstāvīga īpašuma ierakstīšanu vai neierakstīšanu zemesgrāmatā atsevišķā nodalījumā. Saskaņā ar Ropažu novada pašvaldības Būvvaldes 2015.gada 21.janvāra izziņu Nr.10-9.1/1 būvvaldei par nekustamo īpašumu </w:t>
            </w:r>
            <w:proofErr w:type="spellStart"/>
            <w:r w:rsidRPr="003060E4">
              <w:rPr>
                <w:rFonts w:ascii="Times New Roman" w:hAnsi="Times New Roman"/>
                <w:sz w:val="24"/>
                <w:szCs w:val="24"/>
              </w:rPr>
              <w:t>Tumšupe</w:t>
            </w:r>
            <w:proofErr w:type="spellEnd"/>
            <w:r w:rsidRPr="003060E4">
              <w:rPr>
                <w:rFonts w:ascii="Times New Roman" w:hAnsi="Times New Roman"/>
                <w:sz w:val="24"/>
                <w:szCs w:val="24"/>
              </w:rPr>
              <w:t xml:space="preserve"> 168, </w:t>
            </w:r>
            <w:proofErr w:type="spellStart"/>
            <w:r w:rsidRPr="003060E4">
              <w:rPr>
                <w:rFonts w:ascii="Times New Roman" w:hAnsi="Times New Roman"/>
                <w:sz w:val="24"/>
                <w:szCs w:val="24"/>
              </w:rPr>
              <w:t>Podkājas</w:t>
            </w:r>
            <w:proofErr w:type="spellEnd"/>
            <w:r w:rsidRPr="003060E4">
              <w:rPr>
                <w:rFonts w:ascii="Times New Roman" w:hAnsi="Times New Roman"/>
                <w:sz w:val="24"/>
                <w:szCs w:val="24"/>
              </w:rPr>
              <w:t xml:space="preserve">, Ropažu novadā, kadastra Nr.8084 004 0180, nav nekustamā īpašuma lietas. </w:t>
            </w:r>
          </w:p>
          <w:p w14:paraId="4C2FD6A9" w14:textId="6E4C18AF"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Valsts zemes dienesta Rīgas reģionālā nodaļa sniegusi informāciju, ka minētās būves, kā arī uz valsts zemes vienības esošā ūdens spice NĪVKIS</w:t>
            </w:r>
            <w:r w:rsidRPr="003060E4">
              <w:rPr>
                <w:rFonts w:ascii="Times New Roman" w:hAnsi="Times New Roman"/>
              </w:rPr>
              <w:t xml:space="preserve"> </w:t>
            </w:r>
            <w:r w:rsidRPr="003060E4">
              <w:rPr>
                <w:rFonts w:ascii="Times New Roman" w:hAnsi="Times New Roman"/>
                <w:sz w:val="24"/>
                <w:szCs w:val="24"/>
              </w:rPr>
              <w:t>nav reģistrētas un nav bijušas reģistrētas kā patstāvīgi īpašuma objekti (2015.gada 2.februāra vēstule Nr.9-01/424303-1/1). Saskaņā ar likuma „Par nekustamā īpašuma ierakstīšanu zemesgrāmatās” 19.panta pirmās daļas 1.punktu un 5.punktu minētās būves zemesgrāmatā nav ierakstāmas kā patstāvīgi īpašuma objekti.</w:t>
            </w:r>
          </w:p>
          <w:p w14:paraId="38E1550E" w14:textId="68BF9218"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VNĪ speciālisti, veicot nekustamā īpašuma apsekošanu un būvju vizuāli tehnisko izpēti, konstatējuši, ka būves – koka šķūņi izbūvēti tieši uz grunts, to ārsienas sašķiebušās, dārza māja un koka šķūņi atrodas neapmierinošā tehniskā st</w:t>
            </w:r>
            <w:r w:rsidR="002C7ED6">
              <w:rPr>
                <w:rFonts w:ascii="Times New Roman" w:hAnsi="Times New Roman"/>
                <w:sz w:val="24"/>
                <w:szCs w:val="24"/>
              </w:rPr>
              <w:t>ā</w:t>
            </w:r>
            <w:r w:rsidRPr="003060E4">
              <w:rPr>
                <w:rFonts w:ascii="Times New Roman" w:hAnsi="Times New Roman"/>
                <w:sz w:val="24"/>
                <w:szCs w:val="24"/>
              </w:rPr>
              <w:t xml:space="preserve">voklī, to jumta segums saplaisājis, dārza mājas koka konstrukcijas ar trupes bojājumiem. Uz zemes vienības esošā ūdens spice nav noslēgta, piebirusi ar gružiem, ekspluatācijai nav lietojama. Apsekotās būves to sliktā tehniskā stāvokļa dēļ legalizēt nav ekonomiski izdevīgi un ieteicams tās nojaukt. Visu būvju demontāžas aptuvenās izmaksas – 5832,54 </w:t>
            </w:r>
            <w:proofErr w:type="spellStart"/>
            <w:r w:rsidRPr="002C7ED6">
              <w:rPr>
                <w:rFonts w:ascii="Times New Roman" w:hAnsi="Times New Roman"/>
                <w:i/>
                <w:sz w:val="24"/>
                <w:szCs w:val="24"/>
              </w:rPr>
              <w:t>euro</w:t>
            </w:r>
            <w:proofErr w:type="spellEnd"/>
            <w:r w:rsidRPr="003060E4">
              <w:rPr>
                <w:rFonts w:ascii="Times New Roman" w:hAnsi="Times New Roman"/>
                <w:sz w:val="24"/>
                <w:szCs w:val="24"/>
              </w:rPr>
              <w:t xml:space="preserve"> bez PVN (tai skaitā – dārza mājas demontāžas izmaksas – 4368,93 </w:t>
            </w:r>
            <w:proofErr w:type="spellStart"/>
            <w:r w:rsidRPr="002C7ED6">
              <w:rPr>
                <w:rFonts w:ascii="Times New Roman" w:hAnsi="Times New Roman"/>
                <w:i/>
                <w:sz w:val="24"/>
                <w:szCs w:val="24"/>
              </w:rPr>
              <w:t>euro</w:t>
            </w:r>
            <w:proofErr w:type="spellEnd"/>
            <w:r w:rsidRPr="003060E4">
              <w:rPr>
                <w:rFonts w:ascii="Times New Roman" w:hAnsi="Times New Roman"/>
                <w:sz w:val="24"/>
                <w:szCs w:val="24"/>
              </w:rPr>
              <w:t xml:space="preserve">, bez PVN, šķūņu demontāžas izmaksas – 1263,61 </w:t>
            </w:r>
            <w:proofErr w:type="spellStart"/>
            <w:r w:rsidRPr="002C7ED6">
              <w:rPr>
                <w:rFonts w:ascii="Times New Roman" w:hAnsi="Times New Roman"/>
                <w:i/>
                <w:sz w:val="24"/>
                <w:szCs w:val="24"/>
              </w:rPr>
              <w:t>euro</w:t>
            </w:r>
            <w:proofErr w:type="spellEnd"/>
            <w:r w:rsidRPr="003060E4">
              <w:rPr>
                <w:rFonts w:ascii="Times New Roman" w:hAnsi="Times New Roman"/>
                <w:sz w:val="24"/>
                <w:szCs w:val="24"/>
              </w:rPr>
              <w:t xml:space="preserve"> bez PVN, ūdens spices demontāžas izmaksas – 200 </w:t>
            </w:r>
            <w:proofErr w:type="spellStart"/>
            <w:r w:rsidRPr="002C7ED6">
              <w:rPr>
                <w:rFonts w:ascii="Times New Roman" w:hAnsi="Times New Roman"/>
                <w:i/>
                <w:sz w:val="24"/>
                <w:szCs w:val="24"/>
              </w:rPr>
              <w:t>euro</w:t>
            </w:r>
            <w:proofErr w:type="spellEnd"/>
            <w:r w:rsidRPr="003060E4">
              <w:rPr>
                <w:rFonts w:ascii="Times New Roman" w:hAnsi="Times New Roman"/>
                <w:sz w:val="24"/>
                <w:szCs w:val="24"/>
              </w:rPr>
              <w:t xml:space="preserve"> bez PVN.</w:t>
            </w:r>
          </w:p>
          <w:p w14:paraId="0DF035E0" w14:textId="14E1B425" w:rsidR="00C90A31" w:rsidRDefault="00F24484">
            <w:pPr>
              <w:spacing w:after="0" w:line="240" w:lineRule="auto"/>
              <w:ind w:firstLine="709"/>
              <w:jc w:val="both"/>
              <w:rPr>
                <w:rFonts w:ascii="Times New Roman" w:hAnsi="Times New Roman"/>
                <w:sz w:val="24"/>
                <w:szCs w:val="24"/>
              </w:rPr>
            </w:pPr>
            <w:r>
              <w:rPr>
                <w:rFonts w:ascii="Times New Roman" w:hAnsi="Times New Roman"/>
                <w:sz w:val="24"/>
                <w:szCs w:val="24"/>
                <w:lang w:eastAsia="lv-LV"/>
              </w:rPr>
              <w:t>Ņemot vērā būves lietošanas veidu, slikto tehnisko stāvokli, to, ka nav zināmas citas valsts iestādes, kuru vajadzībām būtu lietderīgi turpmāk saglabāt nekustamo īpašumu valsts īpašumā, kā arī nekustamais īpašums nav piemērots valsts pārvaldes funkciju nodrošināšanai saskaņā ar Valsts pārvaldes iekārtas likumu</w:t>
            </w:r>
            <w:r>
              <w:rPr>
                <w:rFonts w:ascii="Times New Roman" w:eastAsia="Times New Roman" w:hAnsi="Times New Roman"/>
                <w:sz w:val="24"/>
                <w:szCs w:val="24"/>
                <w:lang w:eastAsia="lv-LV"/>
              </w:rPr>
              <w:t xml:space="preserve">, </w:t>
            </w:r>
            <w:r>
              <w:rPr>
                <w:rFonts w:ascii="Times New Roman" w:eastAsia="Times New Roman" w:hAnsi="Times New Roman"/>
                <w:sz w:val="24"/>
                <w:szCs w:val="24"/>
              </w:rPr>
              <w:t xml:space="preserve">VNĪ Īpašumu izvērtēšanas komisija 2018.gada 1.jūnijā (prot.Nr.IZKP-18/21, 6.punkts) ir pieņēmusi lēmumu – </w:t>
            </w:r>
            <w:r>
              <w:rPr>
                <w:rFonts w:ascii="Times New Roman" w:hAnsi="Times New Roman"/>
                <w:sz w:val="24"/>
                <w:szCs w:val="24"/>
              </w:rPr>
              <w:t>noteiktā kārtībā sagatavot un virzīt izskatīšanai attiecīgu Ministru kabineta rīkojuma projektu par nekustamā īpašuma nodošanu Ropažu novada pašvaldības īpašumā, pašvaldības lēmumā norādītās autonomās funkcijas izpildes nodrošināšanai.</w:t>
            </w:r>
          </w:p>
          <w:p w14:paraId="04DBA35C" w14:textId="71468941" w:rsidR="003060E4" w:rsidRPr="003060E4" w:rsidRDefault="003060E4">
            <w:pPr>
              <w:spacing w:after="0" w:line="240" w:lineRule="auto"/>
              <w:ind w:firstLine="709"/>
              <w:jc w:val="both"/>
              <w:rPr>
                <w:rFonts w:ascii="Times New Roman" w:hAnsi="Times New Roman"/>
                <w:sz w:val="24"/>
                <w:szCs w:val="24"/>
              </w:rPr>
            </w:pPr>
            <w:r w:rsidRPr="003060E4">
              <w:rPr>
                <w:rFonts w:ascii="Times New Roman" w:hAnsi="Times New Roman"/>
                <w:sz w:val="24"/>
                <w:szCs w:val="24"/>
              </w:rPr>
              <w:t xml:space="preserve">Pēc nekustamā īpašuma </w:t>
            </w:r>
            <w:r w:rsidR="004841BB">
              <w:rPr>
                <w:rFonts w:ascii="Times New Roman" w:hAnsi="Times New Roman"/>
                <w:sz w:val="24"/>
                <w:szCs w:val="24"/>
              </w:rPr>
              <w:t>pārņemšanas Ropažu novada pašvaldībai b</w:t>
            </w:r>
            <w:r w:rsidRPr="003060E4">
              <w:rPr>
                <w:rFonts w:ascii="Times New Roman" w:hAnsi="Times New Roman"/>
                <w:sz w:val="24"/>
                <w:szCs w:val="24"/>
              </w:rPr>
              <w:t xml:space="preserve">ūs jāveic </w:t>
            </w:r>
            <w:r w:rsidR="00AE4119" w:rsidRPr="00AE4119">
              <w:rPr>
                <w:rFonts w:ascii="Times New Roman" w:hAnsi="Times New Roman"/>
                <w:sz w:val="24"/>
                <w:szCs w:val="24"/>
              </w:rPr>
              <w:t>būvniecību regulējošos normatīvajos aktos noteiktās darbības</w:t>
            </w:r>
            <w:r w:rsidR="00D81130" w:rsidRPr="00D81130">
              <w:rPr>
                <w:rFonts w:ascii="Times New Roman" w:hAnsi="Times New Roman"/>
                <w:sz w:val="24"/>
                <w:szCs w:val="24"/>
              </w:rPr>
              <w:t xml:space="preserve">, lai uz </w:t>
            </w:r>
            <w:r w:rsidR="00AE4119">
              <w:rPr>
                <w:rFonts w:ascii="Times New Roman" w:hAnsi="Times New Roman"/>
                <w:sz w:val="24"/>
                <w:szCs w:val="24"/>
              </w:rPr>
              <w:t xml:space="preserve">nekustamā īpašuma </w:t>
            </w:r>
            <w:r w:rsidR="00D81130" w:rsidRPr="00D81130">
              <w:rPr>
                <w:rFonts w:ascii="Times New Roman" w:hAnsi="Times New Roman"/>
                <w:sz w:val="24"/>
                <w:szCs w:val="24"/>
              </w:rPr>
              <w:t xml:space="preserve">sastāvā esošās zemes vienības atrodošās un zemesgrāmatā un </w:t>
            </w:r>
            <w:r w:rsidR="00AE4119">
              <w:rPr>
                <w:rFonts w:ascii="Times New Roman" w:hAnsi="Times New Roman"/>
                <w:sz w:val="24"/>
                <w:szCs w:val="24"/>
              </w:rPr>
              <w:t xml:space="preserve">NĪVKIS </w:t>
            </w:r>
            <w:r w:rsidR="00D81130" w:rsidRPr="00D81130">
              <w:rPr>
                <w:rFonts w:ascii="Times New Roman" w:hAnsi="Times New Roman"/>
                <w:sz w:val="24"/>
                <w:szCs w:val="24"/>
              </w:rPr>
              <w:t>nereģistrētās būves nojauktu</w:t>
            </w:r>
            <w:r w:rsidR="00B16154">
              <w:rPr>
                <w:rFonts w:ascii="Times New Roman" w:hAnsi="Times New Roman"/>
                <w:sz w:val="24"/>
                <w:szCs w:val="24"/>
              </w:rPr>
              <w:t>, savukārt, būvi-  dārza māju atjaunot</w:t>
            </w:r>
            <w:r w:rsidR="0046391A">
              <w:rPr>
                <w:rFonts w:ascii="Times New Roman" w:hAnsi="Times New Roman"/>
                <w:sz w:val="24"/>
                <w:szCs w:val="24"/>
              </w:rPr>
              <w:t>u</w:t>
            </w:r>
            <w:r w:rsidR="00B16154">
              <w:rPr>
                <w:rFonts w:ascii="Times New Roman" w:hAnsi="Times New Roman"/>
                <w:sz w:val="24"/>
                <w:szCs w:val="24"/>
              </w:rPr>
              <w:t xml:space="preserve"> tādā stāvoklī, lai varētu nodrošināt pašvaldības funkcijas – sniegt palīdzību iedzīvotājiem dzīvokļa jautājuma risināšanā veikšanu.</w:t>
            </w:r>
          </w:p>
          <w:p w14:paraId="2DF400AD" w14:textId="77777777" w:rsidR="00C90A31" w:rsidRDefault="00F24484">
            <w:pPr>
              <w:spacing w:after="0" w:line="240" w:lineRule="auto"/>
              <w:ind w:firstLine="720"/>
              <w:jc w:val="both"/>
              <w:textAlignment w:val="auto"/>
            </w:pPr>
            <w:r>
              <w:rPr>
                <w:rFonts w:ascii="Times New Roman" w:eastAsia="Times New Roman" w:hAnsi="Times New Roman"/>
                <w:sz w:val="24"/>
                <w:szCs w:val="24"/>
              </w:rPr>
              <w:t>Saskaņā ar Atsavināšanas likuma 42.panta (2) </w:t>
            </w:r>
            <w:r>
              <w:rPr>
                <w:rFonts w:ascii="Times New Roman" w:eastAsia="Times New Roman" w:hAnsi="Times New Roman"/>
                <w:sz w:val="24"/>
                <w:szCs w:val="24"/>
                <w:vertAlign w:val="superscript"/>
              </w:rPr>
              <w:t>5</w:t>
            </w:r>
            <w:r>
              <w:rPr>
                <w:rFonts w:ascii="Times New Roman" w:eastAsia="Times New Roman" w:hAnsi="Times New Roman"/>
                <w:sz w:val="24"/>
                <w:szCs w:val="24"/>
              </w:rPr>
              <w:t xml:space="preserve"> daļu publiskas personas nekustamo īpašumu, kas nodots bez atlīdzības funkciju vai </w:t>
            </w:r>
            <w:r>
              <w:rPr>
                <w:rFonts w:ascii="Times New Roman" w:eastAsia="Times New Roman" w:hAnsi="Times New Roman"/>
                <w:sz w:val="24"/>
                <w:szCs w:val="24"/>
              </w:rPr>
              <w:lastRenderedPageBreak/>
              <w:t>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4CAC7E4" w14:textId="77777777" w:rsidR="00C90A31" w:rsidRDefault="00F24484">
            <w:pPr>
              <w:pStyle w:val="Heading3"/>
              <w:spacing w:line="240" w:lineRule="auto"/>
              <w:ind w:firstLine="840"/>
              <w:jc w:val="both"/>
            </w:pPr>
            <w:r>
              <w:rPr>
                <w:rFonts w:ascii="Times New Roman" w:hAnsi="Times New Roman"/>
                <w:color w:val="auto"/>
              </w:rPr>
              <w:t>Rīkojuma projekts attiecas uz publiskās pārvaldes politiku.</w:t>
            </w:r>
            <w:bookmarkStart w:id="1" w:name="_GoBack"/>
            <w:bookmarkEnd w:id="1"/>
          </w:p>
        </w:tc>
      </w:tr>
      <w:tr w:rsidR="00C90A31" w14:paraId="6749BE55" w14:textId="77777777">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711B4F" w14:textId="77777777" w:rsidR="00C90A31" w:rsidRDefault="00F24484" w:rsidP="003060E4">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31A05C" w14:textId="77777777" w:rsidR="00C90A31" w:rsidRDefault="00F24484" w:rsidP="003060E4">
            <w:pPr>
              <w:spacing w:after="10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E1AA29" w14:textId="77777777" w:rsidR="00C90A31" w:rsidRDefault="00F24484" w:rsidP="003060E4">
            <w:pPr>
              <w:spacing w:after="100" w:line="240" w:lineRule="auto"/>
              <w:ind w:firstLine="720"/>
              <w:jc w:val="both"/>
            </w:pPr>
            <w:r>
              <w:rPr>
                <w:rFonts w:ascii="Times New Roman" w:eastAsia="Times New Roman" w:hAnsi="Times New Roman"/>
                <w:sz w:val="24"/>
                <w:szCs w:val="24"/>
                <w:lang w:eastAsia="lv-LV"/>
              </w:rPr>
              <w:t>Finanšu ministrija (</w:t>
            </w:r>
            <w:r>
              <w:rPr>
                <w:rFonts w:ascii="Times New Roman" w:eastAsia="Times New Roman" w:hAnsi="Times New Roman"/>
                <w:sz w:val="24"/>
                <w:szCs w:val="24"/>
              </w:rPr>
              <w:t>VNĪ)</w:t>
            </w:r>
            <w:r>
              <w:rPr>
                <w:rFonts w:ascii="Times New Roman" w:eastAsia="Times New Roman" w:hAnsi="Times New Roman"/>
                <w:sz w:val="24"/>
                <w:szCs w:val="24"/>
                <w:lang w:eastAsia="lv-LV"/>
              </w:rPr>
              <w:t>.</w:t>
            </w:r>
          </w:p>
        </w:tc>
      </w:tr>
      <w:tr w:rsidR="00C90A31" w14:paraId="617B605F" w14:textId="77777777">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17C21C" w14:textId="77777777" w:rsidR="00C90A31" w:rsidRDefault="00F24484" w:rsidP="003060E4">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E6FFC" w14:textId="77777777" w:rsidR="00C90A31" w:rsidRDefault="00F24484" w:rsidP="003060E4">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9AD8C9" w14:textId="1C0B0C21" w:rsidR="00C90A31" w:rsidRDefault="00870496" w:rsidP="002F3268">
            <w:pPr>
              <w:spacing w:after="100" w:line="240" w:lineRule="auto"/>
              <w:ind w:firstLine="720"/>
              <w:jc w:val="both"/>
            </w:pPr>
            <w:r w:rsidRPr="001A07E0">
              <w:rPr>
                <w:rFonts w:ascii="Times New Roman" w:eastAsia="Times New Roman" w:hAnsi="Times New Roman"/>
                <w:sz w:val="24"/>
                <w:szCs w:val="24"/>
                <w:lang w:eastAsia="lv-LV"/>
              </w:rPr>
              <w:t>Saskaņā ar Ministru kabineta 2011.gada 1.februāra noteikumu Nr.109 „Kārtība, kādā atsavināma publiskas personas</w:t>
            </w:r>
            <w:r w:rsidR="006D16F4">
              <w:rPr>
                <w:rFonts w:ascii="Times New Roman" w:eastAsia="Times New Roman" w:hAnsi="Times New Roman"/>
                <w:sz w:val="24"/>
                <w:szCs w:val="24"/>
                <w:lang w:eastAsia="lv-LV"/>
              </w:rPr>
              <w:t xml:space="preserve"> </w:t>
            </w:r>
            <w:r w:rsidR="006D16F4" w:rsidRPr="006D16F4">
              <w:rPr>
                <w:rFonts w:ascii="Times New Roman" w:eastAsia="Times New Roman" w:hAnsi="Times New Roman"/>
                <w:sz w:val="24"/>
                <w:szCs w:val="24"/>
                <w:lang w:eastAsia="lv-LV"/>
              </w:rPr>
              <w:t>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52D160B" w14:textId="77777777" w:rsidR="00C90A31" w:rsidRDefault="00C90A31">
      <w:pPr>
        <w:spacing w:after="0" w:line="240" w:lineRule="auto"/>
        <w:rPr>
          <w:rFonts w:ascii="Times New Roman" w:eastAsia="Times New Roman" w:hAnsi="Times New Roman"/>
          <w:sz w:val="24"/>
          <w:szCs w:val="24"/>
          <w:lang w:eastAsia="lv-LV"/>
        </w:rPr>
      </w:pPr>
    </w:p>
    <w:tbl>
      <w:tblPr>
        <w:tblW w:w="4989" w:type="pct"/>
        <w:tblInd w:w="64" w:type="dxa"/>
        <w:tblCellMar>
          <w:left w:w="10" w:type="dxa"/>
          <w:right w:w="10" w:type="dxa"/>
        </w:tblCellMar>
        <w:tblLook w:val="0000" w:firstRow="0" w:lastRow="0" w:firstColumn="0" w:lastColumn="0" w:noHBand="0" w:noVBand="0"/>
      </w:tblPr>
      <w:tblGrid>
        <w:gridCol w:w="426"/>
        <w:gridCol w:w="1722"/>
        <w:gridCol w:w="6858"/>
        <w:gridCol w:w="40"/>
      </w:tblGrid>
      <w:tr w:rsidR="00C90A31" w14:paraId="57CAE121" w14:textId="77777777">
        <w:trPr>
          <w:trHeight w:val="444"/>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B395AA" w14:textId="77777777" w:rsidR="00C90A31" w:rsidRDefault="00F24484">
            <w:pPr>
              <w:spacing w:after="0" w:line="240" w:lineRule="auto"/>
              <w:ind w:left="-609" w:firstLine="1113"/>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2D81634A" w14:textId="77777777" w:rsidR="00C90A31" w:rsidRDefault="00C90A31">
            <w:pPr>
              <w:spacing w:after="0" w:line="240" w:lineRule="auto"/>
              <w:ind w:left="-609" w:firstLine="1113"/>
              <w:jc w:val="center"/>
              <w:rPr>
                <w:rFonts w:ascii="Times New Roman" w:eastAsia="Times New Roman" w:hAnsi="Times New Roman"/>
                <w:b/>
                <w:bCs/>
                <w:sz w:val="24"/>
                <w:szCs w:val="24"/>
                <w:lang w:eastAsia="lv-LV"/>
              </w:rPr>
            </w:pPr>
          </w:p>
        </w:tc>
      </w:tr>
      <w:tr w:rsidR="00C90A31" w14:paraId="3BF75782" w14:textId="77777777">
        <w:trPr>
          <w:trHeight w:val="37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2B8143"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90AABC0"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96BB85F" w14:textId="10383D1D" w:rsidR="00C90A31" w:rsidRDefault="00F24484" w:rsidP="002F3268">
            <w:pPr>
              <w:spacing w:after="0" w:line="240" w:lineRule="auto"/>
              <w:jc w:val="both"/>
            </w:pPr>
            <w:r>
              <w:rPr>
                <w:rFonts w:ascii="Times New Roman" w:eastAsia="Times New Roman" w:hAnsi="Times New Roman"/>
                <w:sz w:val="24"/>
                <w:szCs w:val="24"/>
                <w:lang w:eastAsia="lv-LV"/>
              </w:rPr>
              <w:t>Ropažu novada pašvaldība</w:t>
            </w:r>
            <w:r w:rsidR="00C86DF6">
              <w:rPr>
                <w:rFonts w:ascii="Times New Roman" w:eastAsia="Times New Roman" w:hAnsi="Times New Roman"/>
                <w:sz w:val="24"/>
                <w:szCs w:val="24"/>
                <w:lang w:eastAsia="lv-LV"/>
              </w:rPr>
              <w:t xml:space="preserve"> un tās iedzīvotāji</w:t>
            </w:r>
            <w:r>
              <w:rPr>
                <w:rFonts w:ascii="Times New Roman" w:eastAsia="Times New Roman" w:hAnsi="Times New Roman"/>
                <w:sz w:val="24"/>
                <w:szCs w:val="24"/>
                <w:lang w:eastAsia="lv-LV"/>
              </w:rPr>
              <w:t>.</w:t>
            </w:r>
          </w:p>
        </w:tc>
        <w:tc>
          <w:tcPr>
            <w:tcW w:w="40" w:type="dxa"/>
            <w:shd w:val="clear" w:color="auto" w:fill="auto"/>
            <w:tcMar>
              <w:top w:w="0" w:type="dxa"/>
              <w:left w:w="10" w:type="dxa"/>
              <w:bottom w:w="0" w:type="dxa"/>
              <w:right w:w="10" w:type="dxa"/>
            </w:tcMar>
          </w:tcPr>
          <w:p w14:paraId="548CE343" w14:textId="77777777" w:rsidR="00C90A31" w:rsidRDefault="00C90A31">
            <w:pPr>
              <w:spacing w:after="0" w:line="240" w:lineRule="auto"/>
              <w:jc w:val="both"/>
              <w:rPr>
                <w:rFonts w:ascii="Times New Roman" w:hAnsi="Times New Roman"/>
                <w:sz w:val="24"/>
                <w:szCs w:val="24"/>
              </w:rPr>
            </w:pPr>
          </w:p>
        </w:tc>
      </w:tr>
      <w:tr w:rsidR="00C90A31" w14:paraId="54025853" w14:textId="77777777">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AE4EBB9"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B33D559"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FB7C9C3" w14:textId="78C42ED4" w:rsidR="00C90A31" w:rsidRDefault="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E8C998F" w14:textId="659DBF11" w:rsidR="002F3268" w:rsidRDefault="002F3268">
            <w:pPr>
              <w:spacing w:after="0" w:line="240" w:lineRule="auto"/>
              <w:jc w:val="both"/>
              <w:rPr>
                <w:rFonts w:ascii="Times New Roman" w:eastAsia="Times New Roman" w:hAnsi="Times New Roman"/>
                <w:sz w:val="24"/>
                <w:szCs w:val="24"/>
                <w:lang w:eastAsia="lv-LV"/>
              </w:rPr>
            </w:pPr>
          </w:p>
        </w:tc>
        <w:tc>
          <w:tcPr>
            <w:tcW w:w="40" w:type="dxa"/>
            <w:shd w:val="clear" w:color="auto" w:fill="auto"/>
            <w:tcMar>
              <w:top w:w="0" w:type="dxa"/>
              <w:left w:w="10" w:type="dxa"/>
              <w:bottom w:w="0" w:type="dxa"/>
              <w:right w:w="10" w:type="dxa"/>
            </w:tcMar>
          </w:tcPr>
          <w:p w14:paraId="22EC082D" w14:textId="77777777" w:rsidR="00C90A31" w:rsidRDefault="00C90A31">
            <w:pPr>
              <w:spacing w:after="0" w:line="240" w:lineRule="auto"/>
              <w:jc w:val="both"/>
              <w:rPr>
                <w:rFonts w:ascii="Times New Roman" w:eastAsia="Times New Roman" w:hAnsi="Times New Roman"/>
                <w:sz w:val="24"/>
                <w:szCs w:val="24"/>
                <w:lang w:eastAsia="lv-LV"/>
              </w:rPr>
            </w:pPr>
          </w:p>
        </w:tc>
      </w:tr>
      <w:tr w:rsidR="00C90A31" w14:paraId="4433411B" w14:textId="77777777">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90347E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DEA94BB"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B5890BD" w14:textId="64482424" w:rsidR="00C90A31" w:rsidRDefault="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c>
          <w:tcPr>
            <w:tcW w:w="40" w:type="dxa"/>
            <w:shd w:val="clear" w:color="auto" w:fill="auto"/>
            <w:tcMar>
              <w:top w:w="0" w:type="dxa"/>
              <w:left w:w="10" w:type="dxa"/>
              <w:bottom w:w="0" w:type="dxa"/>
              <w:right w:w="10" w:type="dxa"/>
            </w:tcMar>
          </w:tcPr>
          <w:p w14:paraId="0FB59574" w14:textId="77777777" w:rsidR="00C90A31" w:rsidRDefault="00C90A31">
            <w:pPr>
              <w:spacing w:after="0" w:line="240" w:lineRule="auto"/>
              <w:jc w:val="both"/>
              <w:rPr>
                <w:rFonts w:ascii="Times New Roman" w:eastAsia="Times New Roman" w:hAnsi="Times New Roman"/>
                <w:sz w:val="24"/>
                <w:szCs w:val="24"/>
                <w:lang w:eastAsia="lv-LV"/>
              </w:rPr>
            </w:pPr>
          </w:p>
        </w:tc>
      </w:tr>
      <w:tr w:rsidR="00C90A31" w14:paraId="60788E12" w14:textId="77777777">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558AF6"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C0FD9F"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407B025" w14:textId="77777777" w:rsidR="00C90A31" w:rsidRDefault="002F3268" w:rsidP="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7CE9925" w14:textId="614AF78C" w:rsidR="002F3268" w:rsidRDefault="002F3268">
            <w:pPr>
              <w:spacing w:after="0" w:line="240" w:lineRule="auto"/>
              <w:ind w:firstLine="300"/>
              <w:jc w:val="both"/>
              <w:rPr>
                <w:rFonts w:ascii="Times New Roman" w:eastAsia="Times New Roman" w:hAnsi="Times New Roman"/>
                <w:sz w:val="24"/>
                <w:szCs w:val="24"/>
                <w:lang w:eastAsia="lv-LV"/>
              </w:rPr>
            </w:pPr>
          </w:p>
        </w:tc>
        <w:tc>
          <w:tcPr>
            <w:tcW w:w="40" w:type="dxa"/>
            <w:shd w:val="clear" w:color="auto" w:fill="auto"/>
            <w:tcMar>
              <w:top w:w="0" w:type="dxa"/>
              <w:left w:w="10" w:type="dxa"/>
              <w:bottom w:w="0" w:type="dxa"/>
              <w:right w:w="10" w:type="dxa"/>
            </w:tcMar>
          </w:tcPr>
          <w:p w14:paraId="7BD61F37" w14:textId="77777777" w:rsidR="00C90A31" w:rsidRDefault="00C90A31">
            <w:pPr>
              <w:spacing w:after="0" w:line="240" w:lineRule="auto"/>
              <w:ind w:firstLine="300"/>
              <w:jc w:val="both"/>
              <w:rPr>
                <w:rFonts w:ascii="Times New Roman" w:eastAsia="Times New Roman" w:hAnsi="Times New Roman"/>
                <w:sz w:val="24"/>
                <w:szCs w:val="24"/>
                <w:lang w:eastAsia="lv-LV"/>
              </w:rPr>
            </w:pPr>
          </w:p>
        </w:tc>
      </w:tr>
      <w:tr w:rsidR="00C90A31" w14:paraId="1414BCAB" w14:textId="77777777">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EF2395"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34B2D7"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0BDC649" w14:textId="77777777" w:rsidR="00C90A31" w:rsidRDefault="00F24484" w:rsidP="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40" w:type="dxa"/>
            <w:shd w:val="clear" w:color="auto" w:fill="auto"/>
            <w:tcMar>
              <w:top w:w="0" w:type="dxa"/>
              <w:left w:w="10" w:type="dxa"/>
              <w:bottom w:w="0" w:type="dxa"/>
              <w:right w:w="10" w:type="dxa"/>
            </w:tcMar>
          </w:tcPr>
          <w:p w14:paraId="7B6CB2D0" w14:textId="77777777" w:rsidR="00C90A31" w:rsidRDefault="00C90A31">
            <w:pPr>
              <w:spacing w:after="0" w:line="240" w:lineRule="auto"/>
              <w:ind w:firstLine="300"/>
              <w:jc w:val="both"/>
              <w:rPr>
                <w:rFonts w:ascii="Times New Roman" w:eastAsia="Times New Roman" w:hAnsi="Times New Roman"/>
                <w:sz w:val="24"/>
                <w:szCs w:val="24"/>
                <w:lang w:eastAsia="lv-LV"/>
              </w:rPr>
            </w:pPr>
          </w:p>
        </w:tc>
      </w:tr>
    </w:tbl>
    <w:p w14:paraId="7A969D32" w14:textId="77777777" w:rsidR="00C90A31" w:rsidRDefault="00C90A31">
      <w:pPr>
        <w:spacing w:after="0" w:line="240" w:lineRule="auto"/>
        <w:rPr>
          <w:rFonts w:ascii="Times New Roman" w:eastAsia="Times New Roman" w:hAnsi="Times New Roman"/>
          <w:sz w:val="24"/>
          <w:szCs w:val="24"/>
          <w:lang w:eastAsia="lv-LV"/>
        </w:rPr>
      </w:pPr>
    </w:p>
    <w:p w14:paraId="7F198664" w14:textId="77777777" w:rsidR="00C90A31" w:rsidRDefault="00C90A31">
      <w:pPr>
        <w:spacing w:after="0" w:line="240" w:lineRule="auto"/>
        <w:rPr>
          <w:rFonts w:ascii="Times New Roman" w:eastAsia="Times New Roman" w:hAnsi="Times New Roman"/>
          <w:sz w:val="24"/>
          <w:szCs w:val="24"/>
          <w:lang w:eastAsia="lv-LV"/>
        </w:rPr>
      </w:pPr>
    </w:p>
    <w:tbl>
      <w:tblPr>
        <w:tblW w:w="4984" w:type="pct"/>
        <w:tblInd w:w="28" w:type="dxa"/>
        <w:tblCellMar>
          <w:left w:w="10" w:type="dxa"/>
          <w:right w:w="10" w:type="dxa"/>
        </w:tblCellMar>
        <w:tblLook w:val="0000" w:firstRow="0" w:lastRow="0" w:firstColumn="0" w:lastColumn="0" w:noHBand="0" w:noVBand="0"/>
      </w:tblPr>
      <w:tblGrid>
        <w:gridCol w:w="2891"/>
        <w:gridCol w:w="993"/>
        <w:gridCol w:w="1334"/>
        <w:gridCol w:w="1039"/>
        <w:gridCol w:w="1775"/>
        <w:gridCol w:w="994"/>
      </w:tblGrid>
      <w:tr w:rsidR="00C90A31" w14:paraId="35649AEB" w14:textId="77777777">
        <w:tc>
          <w:tcPr>
            <w:tcW w:w="9026"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4594A8"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III. Tiesību aktu projektu ietekme uz valsts budžetu un pašvaldību budžetiem</w:t>
            </w:r>
          </w:p>
        </w:tc>
      </w:tr>
      <w:tr w:rsidR="00C90A31" w14:paraId="66861B78" w14:textId="77777777">
        <w:tc>
          <w:tcPr>
            <w:tcW w:w="2891"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F97F173"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327"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316BEF1"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38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A7E843" w14:textId="77777777" w:rsidR="00C90A31" w:rsidRDefault="00F24484">
            <w:pPr>
              <w:spacing w:before="100" w:after="100" w:line="240" w:lineRule="auto"/>
              <w:jc w:val="cente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w:t>
            </w:r>
            <w:r>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tc>
      </w:tr>
      <w:tr w:rsidR="00C90A31" w14:paraId="17A5565F" w14:textId="77777777">
        <w:tc>
          <w:tcPr>
            <w:tcW w:w="289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D8AF39" w14:textId="77777777" w:rsidR="00C90A31" w:rsidRDefault="00C90A31">
            <w:pPr>
              <w:spacing w:after="0" w:line="240" w:lineRule="auto"/>
              <w:rPr>
                <w:rFonts w:ascii="Times New Roman" w:eastAsia="Times New Roman" w:hAnsi="Times New Roman"/>
                <w:b/>
                <w:bCs/>
                <w:sz w:val="24"/>
                <w:szCs w:val="24"/>
                <w:lang w:eastAsia="lv-LV"/>
              </w:rPr>
            </w:pPr>
          </w:p>
        </w:tc>
        <w:tc>
          <w:tcPr>
            <w:tcW w:w="2327"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0C6F560" w14:textId="77777777" w:rsidR="00C90A31" w:rsidRDefault="00C90A31">
            <w:pPr>
              <w:spacing w:after="0" w:line="240" w:lineRule="auto"/>
              <w:rPr>
                <w:rFonts w:ascii="Times New Roman" w:eastAsia="Times New Roman" w:hAnsi="Times New Roman"/>
                <w:b/>
                <w:bCs/>
                <w:sz w:val="24"/>
                <w:szCs w:val="24"/>
                <w:lang w:eastAsia="lv-LV"/>
              </w:rPr>
            </w:pP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C02B48"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64946F7"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4345B74"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C90A31" w14:paraId="09863577" w14:textId="77777777">
        <w:tc>
          <w:tcPr>
            <w:tcW w:w="289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CEF3D46" w14:textId="77777777" w:rsidR="00C90A31" w:rsidRDefault="00C90A31">
            <w:pPr>
              <w:spacing w:after="0" w:line="240" w:lineRule="auto"/>
              <w:rPr>
                <w:rFonts w:ascii="Times New Roman" w:eastAsia="Times New Roman" w:hAnsi="Times New Roman"/>
                <w:b/>
                <w:bCs/>
                <w:sz w:val="24"/>
                <w:szCs w:val="24"/>
                <w:lang w:eastAsia="lv-LV"/>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0E7A33"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3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372D336"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71DB2E8"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654486"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D02A525"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C90A31" w14:paraId="1EF10130"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BDD278"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14:paraId="1940474C"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1FBF245"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14:paraId="498A1BBB"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13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56A688"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14:paraId="613F81D3"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64745C"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14:paraId="14D0DF2A"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0E1DC2"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14:paraId="34986A9A"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63E6897"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14:paraId="333F501C" w14:textId="77777777" w:rsidR="00C90A31" w:rsidRDefault="00C90A31">
            <w:pPr>
              <w:spacing w:before="100" w:after="100" w:line="240" w:lineRule="auto"/>
              <w:jc w:val="center"/>
              <w:rPr>
                <w:rFonts w:ascii="Times New Roman" w:eastAsia="Times New Roman" w:hAnsi="Times New Roman"/>
                <w:sz w:val="24"/>
                <w:szCs w:val="24"/>
                <w:lang w:eastAsia="lv-LV"/>
              </w:rPr>
            </w:pPr>
          </w:p>
        </w:tc>
      </w:tr>
      <w:tr w:rsidR="00C90A31" w14:paraId="6A64340B"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C75F10"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85F711" w14:textId="584B49B1"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5EBDDEE4"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12D875A"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AE5D1C" w14:textId="48F41EB8"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3E36FE12"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407E9583"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1CAF50"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7E6BC7" w14:textId="0EBECE11"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14F9715C"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7440D3AA"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3A9A2E"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39BD84" w14:textId="11EB6643"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4282C85"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3B77FA80"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05096E"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47B7B9" w14:textId="71DBA239"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C600A4C"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30C8B4DE"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D1C1C4"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7C8A0B" w14:textId="36B5F8B0"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76933821"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CF7F91"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A12849" w14:textId="358D38F4"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3E571CA9"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DD525D"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E4106D" w14:textId="4353637B"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434851C2"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F34B00"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90FD0A" w14:textId="0897076E"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310FF954"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75533F"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077492" w14:textId="17FA065D"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7D49F591"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DCE1C2"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DABF0" w14:textId="73583A52"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29F892BE"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5EC4A6"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AAC947" w14:textId="3849DB15"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7D9C882A" w14:textId="77777777">
        <w:trPr>
          <w:trHeight w:val="1930"/>
        </w:trPr>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2256B8"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65A691"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142" w:type="dxa"/>
            <w:gridSpan w:val="4"/>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14:paraId="56B3B45C" w14:textId="77777777" w:rsidR="00C90A31" w:rsidRDefault="00F24484">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471B034B" w14:textId="77777777" w:rsidR="00C90A31" w:rsidRDefault="00C90A31">
            <w:pPr>
              <w:spacing w:after="0" w:line="360" w:lineRule="auto"/>
              <w:rPr>
                <w:rFonts w:ascii="Times New Roman" w:eastAsia="Times New Roman" w:hAnsi="Times New Roman"/>
                <w:sz w:val="24"/>
                <w:szCs w:val="24"/>
                <w:lang w:eastAsia="lv-LV"/>
              </w:rPr>
            </w:pPr>
          </w:p>
          <w:p w14:paraId="05FAB273" w14:textId="13B4C24F"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4CDDE5AE"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20C1C5"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993"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68EFC"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142"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985375" w14:textId="77777777" w:rsidR="00C90A31" w:rsidRDefault="00F24484">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04C6775D" w14:textId="1F45B024"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67F701ED"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C11535"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5779A8" w14:textId="77777777" w:rsidR="00C90A31" w:rsidRDefault="00C90A31">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E2EEFC" w14:textId="77777777" w:rsidR="00C90A31" w:rsidRDefault="00C90A31">
            <w:pPr>
              <w:spacing w:line="360" w:lineRule="auto"/>
              <w:rPr>
                <w:rFonts w:ascii="Times New Roman" w:eastAsia="Times New Roman" w:hAnsi="Times New Roman"/>
                <w:sz w:val="24"/>
                <w:szCs w:val="24"/>
                <w:lang w:eastAsia="lv-LV"/>
              </w:rPr>
            </w:pPr>
          </w:p>
        </w:tc>
      </w:tr>
      <w:tr w:rsidR="00C90A31" w14:paraId="4753F28C"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11CCC6"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E97C14" w14:textId="77777777" w:rsidR="00C90A31" w:rsidRDefault="00C90A31">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49F54B" w14:textId="77777777" w:rsidR="00C90A31" w:rsidRDefault="00C90A31">
            <w:pPr>
              <w:spacing w:line="360" w:lineRule="auto"/>
              <w:rPr>
                <w:rFonts w:ascii="Times New Roman" w:eastAsia="Times New Roman" w:hAnsi="Times New Roman"/>
                <w:sz w:val="24"/>
                <w:szCs w:val="24"/>
                <w:lang w:eastAsia="lv-LV"/>
              </w:rPr>
            </w:pPr>
          </w:p>
        </w:tc>
      </w:tr>
      <w:tr w:rsidR="00C90A31" w14:paraId="151B331A"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8CB675"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408FEF" w14:textId="77777777" w:rsidR="00C90A31" w:rsidRDefault="00C90A31">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DE66D0" w14:textId="77777777" w:rsidR="00C90A31" w:rsidRDefault="00C90A31">
            <w:pPr>
              <w:spacing w:after="0" w:line="360" w:lineRule="auto"/>
              <w:rPr>
                <w:rFonts w:ascii="Times New Roman" w:eastAsia="Times New Roman" w:hAnsi="Times New Roman"/>
                <w:sz w:val="24"/>
                <w:szCs w:val="24"/>
                <w:lang w:eastAsia="lv-LV"/>
              </w:rPr>
            </w:pPr>
          </w:p>
        </w:tc>
      </w:tr>
      <w:tr w:rsidR="00C90A31" w14:paraId="70E5A21F"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842863"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135"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C0E43CB" w14:textId="3874F158"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795B9B86" w14:textId="77777777" w:rsidR="00A737F7" w:rsidRDefault="00A737F7">
            <w:pPr>
              <w:spacing w:before="100" w:after="100" w:line="240" w:lineRule="auto"/>
              <w:jc w:val="center"/>
              <w:rPr>
                <w:rFonts w:ascii="Times New Roman" w:eastAsia="Times New Roman" w:hAnsi="Times New Roman"/>
                <w:sz w:val="24"/>
                <w:szCs w:val="24"/>
                <w:lang w:eastAsia="lv-LV"/>
              </w:rPr>
            </w:pPr>
          </w:p>
          <w:p w14:paraId="6A4B96D0"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436EB7BF"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896311"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13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5AA5AEB" w14:textId="77777777" w:rsidR="00C90A31" w:rsidRDefault="00C90A31">
            <w:pPr>
              <w:spacing w:after="0" w:line="240" w:lineRule="auto"/>
              <w:rPr>
                <w:rFonts w:ascii="Times New Roman" w:eastAsia="Times New Roman" w:hAnsi="Times New Roman"/>
                <w:sz w:val="24"/>
                <w:szCs w:val="24"/>
                <w:lang w:eastAsia="lv-LV"/>
              </w:rPr>
            </w:pPr>
          </w:p>
        </w:tc>
      </w:tr>
      <w:tr w:rsidR="00C90A31" w14:paraId="24BF4CA2"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8BF414"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13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1F6700" w14:textId="77777777" w:rsidR="00C90A31" w:rsidRDefault="00C90A31">
            <w:pPr>
              <w:spacing w:after="0" w:line="240" w:lineRule="auto"/>
              <w:rPr>
                <w:rFonts w:ascii="Times New Roman" w:eastAsia="Times New Roman" w:hAnsi="Times New Roman"/>
                <w:sz w:val="24"/>
                <w:szCs w:val="24"/>
                <w:lang w:eastAsia="lv-LV"/>
              </w:rPr>
            </w:pPr>
          </w:p>
        </w:tc>
      </w:tr>
      <w:tr w:rsidR="00C90A31" w14:paraId="23E720E4"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EBB053"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D85950" w14:textId="77777777" w:rsidR="00C90A31" w:rsidRDefault="00F2448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C90A31" w14:paraId="42908175"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4E58199"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A9C252" w14:textId="77777777" w:rsidR="00C90A31" w:rsidRDefault="00F24484">
            <w:pPr>
              <w:spacing w:after="0" w:line="240" w:lineRule="auto"/>
              <w:ind w:firstLine="720"/>
              <w:jc w:val="both"/>
            </w:pPr>
            <w:r>
              <w:rPr>
                <w:rFonts w:ascii="Times New Roman" w:hAnsi="Times New Roman"/>
                <w:sz w:val="24"/>
                <w:szCs w:val="24"/>
              </w:rPr>
              <w:t>Izstrādātajam rīkojuma projektam nav ietekmes uz valsts budžetu, jo papildus līdzekļi no valsts budžeta nav nepieciešami. Ropažu</w:t>
            </w:r>
            <w:r>
              <w:rPr>
                <w:rFonts w:ascii="Times New Roman" w:hAnsi="Times New Roman"/>
                <w:sz w:val="24"/>
                <w:szCs w:val="24"/>
                <w:lang w:eastAsia="lv-LV"/>
              </w:rPr>
              <w:t xml:space="preserve"> novada pašvaldība segs izdevumus, kas radīsies, ierakstot nekustamo īpašumu zemesgrāmatā uz pašvaldības vārda.</w:t>
            </w:r>
          </w:p>
        </w:tc>
      </w:tr>
    </w:tbl>
    <w:p w14:paraId="3CC32BCA" w14:textId="77777777" w:rsidR="00C90A31" w:rsidRDefault="00C90A31">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C90A31" w14:paraId="3DC34B81"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673A666" w14:textId="77777777" w:rsidR="00C90A31" w:rsidRDefault="00F24484">
            <w:pPr>
              <w:spacing w:before="100" w:after="100" w:line="293" w:lineRule="atLeast"/>
              <w:jc w:val="center"/>
            </w:pPr>
            <w:r>
              <w:rPr>
                <w:rFonts w:ascii="Times New Roman" w:eastAsia="Times New Roman" w:hAnsi="Times New Roman"/>
                <w:b/>
                <w:bCs/>
                <w:sz w:val="24"/>
                <w:szCs w:val="24"/>
                <w:lang w:eastAsia="lv-LV"/>
              </w:rPr>
              <w:t>IV. Tiesību aktu projektu ietekme uz spēkā esošo tiesību normu sistēmu</w:t>
            </w:r>
          </w:p>
        </w:tc>
      </w:tr>
      <w:tr w:rsidR="00C90A31" w14:paraId="5F3BDA3B"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8347367" w14:textId="77777777" w:rsidR="00C90A31" w:rsidRDefault="00F24484">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14:paraId="163002E5" w14:textId="77777777" w:rsidR="00C90A31" w:rsidRDefault="00C90A31">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C90A31" w14:paraId="53853AB2"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AEBCF87" w14:textId="77777777" w:rsidR="00C90A31" w:rsidRDefault="00F24484">
            <w:pPr>
              <w:spacing w:before="100" w:after="100" w:line="293" w:lineRule="atLeast"/>
              <w:jc w:val="center"/>
            </w:pPr>
            <w:r>
              <w:rPr>
                <w:rFonts w:ascii="Times New Roman" w:hAnsi="Times New Roman"/>
                <w:b/>
                <w:bCs/>
                <w:sz w:val="24"/>
                <w:szCs w:val="24"/>
              </w:rPr>
              <w:t>V. Tiesību aktu projektu atbilstība Latvijas Republikas starptautiskajām saistībām</w:t>
            </w:r>
          </w:p>
        </w:tc>
      </w:tr>
      <w:tr w:rsidR="00C90A31" w14:paraId="0AC10A91"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9299189" w14:textId="77777777" w:rsidR="00C90A31" w:rsidRDefault="00F24484">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14:paraId="2ABF0F54" w14:textId="77777777" w:rsidR="00C90A31" w:rsidRDefault="00C90A31">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C90A31" w14:paraId="07D779B4" w14:textId="77777777">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EBBDB42" w14:textId="77777777" w:rsidR="00C90A31" w:rsidRDefault="00F24484">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C90A31" w14:paraId="543A9DF8" w14:textId="77777777">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649247"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4CAE3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C48112" w14:textId="77777777" w:rsidR="00C90A31" w:rsidRDefault="00F244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4A986A80" w14:textId="77777777" w:rsidR="00C90A31" w:rsidRDefault="00F24484">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Pr>
                <w:rFonts w:ascii="Times New Roman" w:eastAsia="Times New Roman" w:hAnsi="Times New Roman"/>
                <w:i/>
                <w:iCs/>
                <w:sz w:val="24"/>
                <w:szCs w:val="24"/>
                <w:lang w:eastAsia="lv-LV"/>
              </w:rPr>
              <w:t>Tiesību aktu projekti.</w:t>
            </w:r>
          </w:p>
        </w:tc>
      </w:tr>
      <w:tr w:rsidR="00C90A31" w14:paraId="58C4AB8D" w14:textId="77777777">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CB1B64"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5E6C58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34FC6D" w14:textId="77777777" w:rsidR="00C90A31" w:rsidRDefault="00F244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69290AE8" w14:textId="77777777">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F624C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EDB6FD"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91F9CD" w14:textId="77777777" w:rsidR="00C90A31" w:rsidRDefault="00F244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4CECD8B9" w14:textId="77777777">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945386"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553570"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6EFE9E5" w14:textId="77777777" w:rsidR="00C90A31" w:rsidRDefault="00F24484">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5430594" w14:textId="77777777" w:rsidR="00C90A31" w:rsidRDefault="00C90A31">
      <w:pPr>
        <w:spacing w:after="0" w:line="240" w:lineRule="auto"/>
        <w:rPr>
          <w:rFonts w:ascii="Times New Roman" w:eastAsia="Times New Roman" w:hAnsi="Times New Roman"/>
          <w:sz w:val="24"/>
          <w:szCs w:val="24"/>
          <w:lang w:eastAsia="lv-LV"/>
        </w:rPr>
      </w:pPr>
    </w:p>
    <w:tbl>
      <w:tblPr>
        <w:tblW w:w="5000" w:type="pct"/>
        <w:tblInd w:w="-8" w:type="dxa"/>
        <w:tblCellMar>
          <w:left w:w="10" w:type="dxa"/>
          <w:right w:w="10" w:type="dxa"/>
        </w:tblCellMar>
        <w:tblLook w:val="0000" w:firstRow="0" w:lastRow="0" w:firstColumn="0" w:lastColumn="0" w:noHBand="0" w:noVBand="0"/>
      </w:tblPr>
      <w:tblGrid>
        <w:gridCol w:w="606"/>
        <w:gridCol w:w="2206"/>
        <w:gridCol w:w="6243"/>
      </w:tblGrid>
      <w:tr w:rsidR="00C90A31" w14:paraId="2E7FE347" w14:textId="77777777">
        <w:tc>
          <w:tcPr>
            <w:tcW w:w="9055"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39C678"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C90A31" w14:paraId="0CAFD0E3" w14:textId="77777777">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EF407"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24BD8F"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88EB18" w14:textId="77777777" w:rsidR="00C90A31" w:rsidRDefault="00F24484" w:rsidP="0091296B">
            <w:pPr>
              <w:spacing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 Ropažu novada pašvaldība.</w:t>
            </w:r>
          </w:p>
        </w:tc>
      </w:tr>
      <w:tr w:rsidR="00C90A31" w14:paraId="6C9FA03B" w14:textId="77777777">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ED4DC9"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CDF022"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40823992"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E75B1F" w14:textId="77777777" w:rsidR="00C90A31" w:rsidRDefault="00F24484" w:rsidP="0091296B">
            <w:pPr>
              <w:spacing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050F5F3A" w14:textId="77777777">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D2EDD2"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FA6AD4"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E1232E" w14:textId="77777777" w:rsidR="00C90A31" w:rsidRDefault="00F2448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39C4DA6F" w14:textId="77777777" w:rsidR="00C90A31" w:rsidRDefault="00C90A31">
      <w:pPr>
        <w:spacing w:after="0" w:line="240" w:lineRule="auto"/>
        <w:ind w:firstLine="720"/>
        <w:rPr>
          <w:rFonts w:ascii="Times New Roman" w:eastAsia="Times New Roman" w:hAnsi="Times New Roman"/>
          <w:sz w:val="24"/>
          <w:szCs w:val="24"/>
          <w:lang w:eastAsia="lv-LV"/>
        </w:rPr>
      </w:pPr>
    </w:p>
    <w:p w14:paraId="4FFCAE2A" w14:textId="1CADDEA0" w:rsidR="00C90A31" w:rsidRDefault="00C90A31">
      <w:pPr>
        <w:spacing w:after="0" w:line="240" w:lineRule="auto"/>
        <w:rPr>
          <w:rFonts w:ascii="Times New Roman" w:eastAsia="Times New Roman" w:hAnsi="Times New Roman"/>
          <w:sz w:val="24"/>
          <w:szCs w:val="24"/>
          <w:lang w:eastAsia="lv-LV"/>
        </w:rPr>
      </w:pPr>
    </w:p>
    <w:p w14:paraId="55426FED" w14:textId="77777777" w:rsidR="00BE00CB" w:rsidRDefault="00BE00CB">
      <w:pPr>
        <w:spacing w:after="0" w:line="240" w:lineRule="auto"/>
        <w:rPr>
          <w:rFonts w:ascii="Times New Roman" w:eastAsia="Times New Roman" w:hAnsi="Times New Roman"/>
          <w:sz w:val="24"/>
          <w:szCs w:val="24"/>
          <w:lang w:eastAsia="lv-LV"/>
        </w:rPr>
      </w:pPr>
    </w:p>
    <w:p w14:paraId="73244DD9" w14:textId="77777777" w:rsidR="00C90A31" w:rsidRDefault="00F24484">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ministre</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D. Reizniece – Ozola</w:t>
      </w:r>
    </w:p>
    <w:p w14:paraId="52CB726B" w14:textId="70CCA73B" w:rsidR="00C90A31" w:rsidRDefault="00C90A31">
      <w:pPr>
        <w:spacing w:after="0" w:line="240" w:lineRule="auto"/>
        <w:rPr>
          <w:rFonts w:ascii="Times New Roman" w:eastAsia="Times New Roman" w:hAnsi="Times New Roman"/>
          <w:sz w:val="24"/>
          <w:szCs w:val="24"/>
          <w:lang w:eastAsia="lv-LV"/>
        </w:rPr>
      </w:pPr>
    </w:p>
    <w:p w14:paraId="76387991" w14:textId="6F9CA8AF" w:rsidR="00BE00CB" w:rsidRDefault="00BE00CB">
      <w:pPr>
        <w:spacing w:after="0" w:line="240" w:lineRule="auto"/>
        <w:rPr>
          <w:rFonts w:ascii="Times New Roman" w:eastAsia="Times New Roman" w:hAnsi="Times New Roman"/>
          <w:sz w:val="24"/>
          <w:szCs w:val="24"/>
          <w:lang w:eastAsia="lv-LV"/>
        </w:rPr>
      </w:pPr>
    </w:p>
    <w:p w14:paraId="6CA4869D" w14:textId="77777777" w:rsidR="00C90A31" w:rsidRDefault="00C90A31">
      <w:pPr>
        <w:spacing w:after="0" w:line="240" w:lineRule="auto"/>
        <w:rPr>
          <w:rFonts w:ascii="Times New Roman" w:eastAsia="Times New Roman" w:hAnsi="Times New Roman"/>
          <w:sz w:val="24"/>
          <w:szCs w:val="24"/>
          <w:lang w:eastAsia="lv-LV"/>
        </w:rPr>
      </w:pPr>
    </w:p>
    <w:p w14:paraId="7ECD3921" w14:textId="77777777" w:rsidR="00C90A31" w:rsidRDefault="00C90A31">
      <w:pPr>
        <w:spacing w:after="0" w:line="240" w:lineRule="auto"/>
        <w:rPr>
          <w:rFonts w:ascii="Times New Roman" w:eastAsia="Times New Roman" w:hAnsi="Times New Roman"/>
          <w:sz w:val="24"/>
          <w:szCs w:val="24"/>
          <w:lang w:eastAsia="lv-LV"/>
        </w:rPr>
      </w:pPr>
    </w:p>
    <w:p w14:paraId="2215B02F" w14:textId="77777777" w:rsidR="00C90A31" w:rsidRDefault="00F24484">
      <w:pPr>
        <w:spacing w:after="0" w:line="240" w:lineRule="auto"/>
      </w:pPr>
      <w:r>
        <w:rPr>
          <w:rFonts w:ascii="Times New Roman" w:eastAsia="Times New Roman" w:hAnsi="Times New Roman"/>
          <w:sz w:val="20"/>
          <w:szCs w:val="20"/>
          <w:lang w:eastAsia="lv-LV"/>
        </w:rPr>
        <w:t xml:space="preserve">Rozenberga </w:t>
      </w:r>
      <w:r>
        <w:rPr>
          <w:rFonts w:ascii="Times New Roman" w:eastAsia="Times New Roman" w:hAnsi="Times New Roman"/>
          <w:color w:val="000000"/>
          <w:sz w:val="20"/>
          <w:szCs w:val="20"/>
        </w:rPr>
        <w:t>67024608</w:t>
      </w:r>
    </w:p>
    <w:p w14:paraId="3514C508" w14:textId="77777777" w:rsidR="00C90A31" w:rsidRDefault="00A6631A">
      <w:hyperlink r:id="rId7" w:history="1">
        <w:r w:rsidR="00F24484">
          <w:rPr>
            <w:rStyle w:val="Hyperlink"/>
            <w:rFonts w:ascii="Times New Roman" w:eastAsia="Times New Roman" w:hAnsi="Times New Roman"/>
            <w:sz w:val="20"/>
            <w:szCs w:val="20"/>
          </w:rPr>
          <w:t>Liga.Rozenberga@vni.lv</w:t>
        </w:r>
      </w:hyperlink>
    </w:p>
    <w:p w14:paraId="7EA6C9C7" w14:textId="77777777" w:rsidR="00C90A31" w:rsidRDefault="00C90A31">
      <w:pPr>
        <w:rPr>
          <w:rFonts w:ascii="Times New Roman" w:hAnsi="Times New Roman"/>
          <w:sz w:val="24"/>
          <w:szCs w:val="24"/>
        </w:rPr>
      </w:pPr>
    </w:p>
    <w:sectPr w:rsidR="00C90A31">
      <w:headerReference w:type="default" r:id="rId8"/>
      <w:footerReference w:type="default" r:id="rId9"/>
      <w:footerReference w:type="first" r:id="rId10"/>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CE79" w14:textId="77777777" w:rsidR="004D4493" w:rsidRDefault="00F24484">
      <w:pPr>
        <w:spacing w:after="0" w:line="240" w:lineRule="auto"/>
      </w:pPr>
      <w:r>
        <w:separator/>
      </w:r>
    </w:p>
  </w:endnote>
  <w:endnote w:type="continuationSeparator" w:id="0">
    <w:p w14:paraId="78B8E947" w14:textId="77777777" w:rsidR="004D4493" w:rsidRDefault="00F2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CF9C" w14:textId="77777777" w:rsidR="00B37695" w:rsidRDefault="00F24484">
    <w:pPr>
      <w:spacing w:after="0" w:line="240" w:lineRule="auto"/>
      <w:jc w:val="both"/>
    </w:pPr>
    <w:r>
      <w:rPr>
        <w:rFonts w:ascii="Times New Roman" w:hAnsi="Times New Roman"/>
        <w:sz w:val="20"/>
        <w:szCs w:val="20"/>
      </w:rPr>
      <w:t>FMAnot_100818_Tumsupe</w:t>
    </w:r>
  </w:p>
  <w:p w14:paraId="0B693757" w14:textId="77777777" w:rsidR="00B37695" w:rsidRDefault="00A6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47C5" w14:textId="77777777" w:rsidR="00B37695" w:rsidRDefault="00F24484">
    <w:pPr>
      <w:spacing w:after="0" w:line="240" w:lineRule="auto"/>
      <w:jc w:val="both"/>
    </w:pPr>
    <w:r>
      <w:rPr>
        <w:rFonts w:ascii="Times New Roman" w:hAnsi="Times New Roman"/>
        <w:sz w:val="20"/>
        <w:szCs w:val="20"/>
      </w:rPr>
      <w:t>FMAnot_100818</w:t>
    </w:r>
    <w:r>
      <w:rPr>
        <w:rFonts w:ascii="Times New Roman" w:hAnsi="Times New Roman"/>
        <w:sz w:val="20"/>
      </w:rPr>
      <w:t>_Tumsupe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C942" w14:textId="77777777" w:rsidR="004D4493" w:rsidRDefault="00F24484">
      <w:pPr>
        <w:spacing w:after="0" w:line="240" w:lineRule="auto"/>
      </w:pPr>
      <w:r>
        <w:rPr>
          <w:color w:val="000000"/>
        </w:rPr>
        <w:separator/>
      </w:r>
    </w:p>
  </w:footnote>
  <w:footnote w:type="continuationSeparator" w:id="0">
    <w:p w14:paraId="68A6CB3B" w14:textId="77777777" w:rsidR="004D4493" w:rsidRDefault="00F2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FC86" w14:textId="77777777" w:rsidR="00B37695" w:rsidRDefault="00F24484">
    <w:pPr>
      <w:pStyle w:val="Header"/>
    </w:pPr>
    <w:r>
      <w:rPr>
        <w:noProof/>
      </w:rPr>
      <mc:AlternateContent>
        <mc:Choice Requires="wps">
          <w:drawing>
            <wp:anchor distT="0" distB="0" distL="114300" distR="114300" simplePos="0" relativeHeight="251659264" behindDoc="0" locked="0" layoutInCell="1" allowOverlap="1" wp14:anchorId="0E5DD272" wp14:editId="405F07A7">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8B559E7" w14:textId="77777777" w:rsidR="00B37695" w:rsidRDefault="00F2448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E5DD272"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18B559E7" w14:textId="77777777" w:rsidR="00B37695" w:rsidRDefault="00F2448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51FB7"/>
    <w:multiLevelType w:val="multilevel"/>
    <w:tmpl w:val="B89A8F7C"/>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31"/>
    <w:rsid w:val="00046251"/>
    <w:rsid w:val="00070F8B"/>
    <w:rsid w:val="00162E5F"/>
    <w:rsid w:val="001C5491"/>
    <w:rsid w:val="00224057"/>
    <w:rsid w:val="002C7ED6"/>
    <w:rsid w:val="002F3268"/>
    <w:rsid w:val="003060E4"/>
    <w:rsid w:val="0031683F"/>
    <w:rsid w:val="00372634"/>
    <w:rsid w:val="0046391A"/>
    <w:rsid w:val="004841BB"/>
    <w:rsid w:val="004D4493"/>
    <w:rsid w:val="00536CA4"/>
    <w:rsid w:val="006D16F4"/>
    <w:rsid w:val="006F5BCE"/>
    <w:rsid w:val="00860052"/>
    <w:rsid w:val="00870496"/>
    <w:rsid w:val="0091296B"/>
    <w:rsid w:val="00974FED"/>
    <w:rsid w:val="0098303B"/>
    <w:rsid w:val="009A065C"/>
    <w:rsid w:val="009F07AD"/>
    <w:rsid w:val="00A6631A"/>
    <w:rsid w:val="00A737F7"/>
    <w:rsid w:val="00AB43A5"/>
    <w:rsid w:val="00AE4119"/>
    <w:rsid w:val="00B16154"/>
    <w:rsid w:val="00BD3F7A"/>
    <w:rsid w:val="00BE00CB"/>
    <w:rsid w:val="00C86DF6"/>
    <w:rsid w:val="00C90A31"/>
    <w:rsid w:val="00CD59FA"/>
    <w:rsid w:val="00D6294B"/>
    <w:rsid w:val="00D81130"/>
    <w:rsid w:val="00EC504B"/>
    <w:rsid w:val="00F24484"/>
    <w:rsid w:val="00F77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CBC81"/>
  <w15:docId w15:val="{352425B9-2798-469E-B5B7-690EE7E2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lang w:val="lv-LV"/>
    </w:rPr>
  </w:style>
  <w:style w:type="paragraph" w:styleId="Heading2">
    <w:name w:val="heading 2"/>
    <w:basedOn w:val="Normal"/>
    <w:next w:val="Normal"/>
    <w:uiPriority w:val="9"/>
    <w:unhideWhenUsed/>
    <w:qFormat/>
    <w:pPr>
      <w:keepNext/>
      <w:spacing w:after="0" w:line="240" w:lineRule="auto"/>
      <w:jc w:val="center"/>
      <w:textAlignment w:val="auto"/>
      <w:outlineLvl w:val="1"/>
    </w:pPr>
    <w:rPr>
      <w:rFonts w:ascii="Times New Roman" w:eastAsia="Times New Roman" w:hAnsi="Times New Roman"/>
      <w:b/>
      <w:bCs/>
      <w:sz w:val="28"/>
      <w:szCs w:val="20"/>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28"/>
      <w:szCs w:val="20"/>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pPr>
    <w:rPr>
      <w:lang w:val="lv-LV"/>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Rozenberg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9163</Words>
  <Characters>5224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d/s Tumšupe Nr.168, “Tumšupē 168”, Podkājās, Ropažu novadā, nodošanu Ropažu novada pašvaldības īpašumā"sākotnējās ietekmes novērtējuma ziņojums (anotācija)</vt:lpstr>
    </vt:vector>
  </TitlesOfParts>
  <Company>FM (VAS "Valsts nekustamie īpašumi")</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d/s Tumšupe Nr.168, “Tumšupē 168”, Podkājās, Ropažu novadā, nodošanu Ropažu novada pašvaldības īpašumā"sākotnējās ietekmes novērtējuma ziņojums (anotācija)</dc:title>
  <dc:subject>Ministru kabineta rīkojuma projekta sākotnējās ietekmes novērtējuma ziņojums (anotācija)</dc:subject>
  <dc:creator>Liga.Rozenberga@vni.lv</dc:creator>
  <dc:description>67024608
Liga.Rozenberga@vni.lv</dc:description>
  <cp:lastModifiedBy>Līga Rozenberga</cp:lastModifiedBy>
  <cp:revision>29</cp:revision>
  <cp:lastPrinted>2018-07-05T12:34:00Z</cp:lastPrinted>
  <dcterms:created xsi:type="dcterms:W3CDTF">2018-08-10T21:14:00Z</dcterms:created>
  <dcterms:modified xsi:type="dcterms:W3CDTF">2018-08-22T12:47:00Z</dcterms:modified>
</cp:coreProperties>
</file>