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DCFB" w14:textId="77777777" w:rsidR="00894C55" w:rsidRDefault="005540F4"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7F38535C"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52334783" w14:textId="77777777" w:rsidTr="006936E5">
        <w:tc>
          <w:tcPr>
            <w:tcW w:w="9356" w:type="dxa"/>
          </w:tcPr>
          <w:p w14:paraId="2EE2E9E2" w14:textId="77777777" w:rsidR="00EC6E12" w:rsidRPr="00EC6E12" w:rsidRDefault="005540F4"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552A2D" w14:paraId="25EB265E" w14:textId="77777777" w:rsidTr="006936E5">
        <w:tc>
          <w:tcPr>
            <w:tcW w:w="9356" w:type="dxa"/>
          </w:tcPr>
          <w:p w14:paraId="144B4036" w14:textId="77777777" w:rsidR="00130487" w:rsidRDefault="005540F4" w:rsidP="00EC6E12">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92BBA51"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409"/>
        <w:gridCol w:w="6379"/>
      </w:tblGrid>
      <w:tr w:rsidR="00552A2D" w14:paraId="29B93CE1" w14:textId="77777777" w:rsidTr="0079260F">
        <w:tc>
          <w:tcPr>
            <w:tcW w:w="9356" w:type="dxa"/>
            <w:gridSpan w:val="3"/>
          </w:tcPr>
          <w:p w14:paraId="2D978AEC" w14:textId="77777777" w:rsidR="00EC6E12" w:rsidRPr="00EC6E12" w:rsidRDefault="005540F4"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552A2D" w14:paraId="00D52E12" w14:textId="77777777" w:rsidTr="00085D2B">
        <w:tc>
          <w:tcPr>
            <w:tcW w:w="568" w:type="dxa"/>
          </w:tcPr>
          <w:p w14:paraId="42613F9B" w14:textId="77777777" w:rsidR="00130487" w:rsidRPr="008F0E21" w:rsidRDefault="005540F4" w:rsidP="0013048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1.</w:t>
            </w:r>
          </w:p>
        </w:tc>
        <w:tc>
          <w:tcPr>
            <w:tcW w:w="2409" w:type="dxa"/>
          </w:tcPr>
          <w:p w14:paraId="27D1FC2B" w14:textId="77777777" w:rsidR="00130487" w:rsidRPr="008F0E21" w:rsidRDefault="005540F4" w:rsidP="0013048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Pamatojums</w:t>
            </w:r>
          </w:p>
        </w:tc>
        <w:tc>
          <w:tcPr>
            <w:tcW w:w="6379" w:type="dxa"/>
          </w:tcPr>
          <w:p w14:paraId="3DC3D5D0" w14:textId="77777777" w:rsidR="0079260F" w:rsidRPr="008F0E21" w:rsidRDefault="005540F4" w:rsidP="00155578">
            <w:pPr>
              <w:pStyle w:val="NoSpacing"/>
              <w:ind w:firstLine="311"/>
              <w:jc w:val="both"/>
              <w:rPr>
                <w:rFonts w:ascii="Times New Roman" w:hAnsi="Times New Roman" w:cs="Times New Roman"/>
                <w:sz w:val="24"/>
              </w:rPr>
            </w:pPr>
            <w:r w:rsidRPr="008F0E21">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0F2B0BB0" w14:textId="2989BF20" w:rsidR="000C780D" w:rsidRPr="008F0E21" w:rsidRDefault="005540F4" w:rsidP="0076501F">
            <w:pPr>
              <w:pStyle w:val="NoSpacing"/>
              <w:ind w:firstLine="311"/>
              <w:jc w:val="both"/>
              <w:rPr>
                <w:rFonts w:ascii="Times New Roman" w:hAnsi="Times New Roman" w:cs="Times New Roman"/>
                <w:sz w:val="24"/>
              </w:rPr>
            </w:pPr>
            <w:r w:rsidRPr="008F0E21">
              <w:rPr>
                <w:rFonts w:ascii="Times New Roman" w:hAnsi="Times New Roman" w:cs="Times New Roman"/>
                <w:sz w:val="24"/>
              </w:rPr>
              <w:t>- Ministru kabineta 20</w:t>
            </w:r>
            <w:r w:rsidR="00DE3C0B">
              <w:rPr>
                <w:rFonts w:ascii="Times New Roman" w:hAnsi="Times New Roman" w:cs="Times New Roman"/>
                <w:sz w:val="24"/>
              </w:rPr>
              <w:t>18</w:t>
            </w:r>
            <w:r w:rsidRPr="008F0E21">
              <w:rPr>
                <w:rFonts w:ascii="Times New Roman" w:hAnsi="Times New Roman" w:cs="Times New Roman"/>
                <w:sz w:val="24"/>
              </w:rPr>
              <w:t xml:space="preserve">.gada </w:t>
            </w:r>
            <w:r w:rsidR="00DE3C0B">
              <w:rPr>
                <w:rFonts w:ascii="Times New Roman" w:hAnsi="Times New Roman" w:cs="Times New Roman"/>
                <w:sz w:val="24"/>
              </w:rPr>
              <w:t>17</w:t>
            </w:r>
            <w:r w:rsidRPr="008F0E21">
              <w:rPr>
                <w:rFonts w:ascii="Times New Roman" w:hAnsi="Times New Roman" w:cs="Times New Roman"/>
                <w:sz w:val="24"/>
              </w:rPr>
              <w:t>.</w:t>
            </w:r>
            <w:r w:rsidR="00DE3C0B">
              <w:rPr>
                <w:rFonts w:ascii="Times New Roman" w:hAnsi="Times New Roman" w:cs="Times New Roman"/>
                <w:sz w:val="24"/>
              </w:rPr>
              <w:t>jūlija</w:t>
            </w:r>
            <w:r w:rsidRPr="008F0E21">
              <w:rPr>
                <w:rFonts w:ascii="Times New Roman" w:hAnsi="Times New Roman" w:cs="Times New Roman"/>
                <w:sz w:val="24"/>
              </w:rPr>
              <w:t xml:space="preserve"> noteikumu Nr.</w:t>
            </w:r>
            <w:r w:rsidR="00DE3C0B">
              <w:rPr>
                <w:rFonts w:ascii="Times New Roman" w:hAnsi="Times New Roman" w:cs="Times New Roman"/>
                <w:sz w:val="24"/>
              </w:rPr>
              <w:t>421</w:t>
            </w:r>
            <w:r w:rsidRPr="008F0E21">
              <w:rPr>
                <w:rFonts w:ascii="Times New Roman" w:hAnsi="Times New Roman" w:cs="Times New Roman"/>
                <w:sz w:val="24"/>
              </w:rPr>
              <w:t xml:space="preserve"> „Kārtība, kādā</w:t>
            </w:r>
            <w:r w:rsidR="00DE3C0B">
              <w:rPr>
                <w:rFonts w:ascii="Times New Roman" w:hAnsi="Times New Roman" w:cs="Times New Roman"/>
                <w:sz w:val="24"/>
              </w:rPr>
              <w:t xml:space="preserve"> veic gadskārtējā valsts budžeta likumā noteiktās apropriācijas izmaiņas”</w:t>
            </w:r>
            <w:r w:rsidRPr="008F0E21">
              <w:rPr>
                <w:rFonts w:ascii="Times New Roman" w:hAnsi="Times New Roman" w:cs="Times New Roman"/>
                <w:sz w:val="24"/>
              </w:rPr>
              <w:t xml:space="preserve"> </w:t>
            </w:r>
            <w:r w:rsidR="0076501F">
              <w:rPr>
                <w:rFonts w:ascii="Times New Roman" w:hAnsi="Times New Roman" w:cs="Times New Roman"/>
                <w:sz w:val="24"/>
              </w:rPr>
              <w:t>41</w:t>
            </w:r>
            <w:r w:rsidRPr="008F0E21">
              <w:rPr>
                <w:rFonts w:ascii="Times New Roman" w:hAnsi="Times New Roman" w:cs="Times New Roman"/>
                <w:sz w:val="24"/>
              </w:rPr>
              <w:t>.punktu, kas nosaka,</w:t>
            </w:r>
            <w:r w:rsidR="0076501F">
              <w:rPr>
                <w:rFonts w:ascii="Times New Roman" w:hAnsi="Times New Roman" w:cs="Times New Roman"/>
                <w:sz w:val="24"/>
              </w:rPr>
              <w:t xml:space="preserve"> ka līdzekļus</w:t>
            </w:r>
            <w:r w:rsidRPr="008F0E21">
              <w:rPr>
                <w:rFonts w:ascii="Times New Roman" w:hAnsi="Times New Roman" w:cs="Times New Roman"/>
                <w:sz w:val="24"/>
              </w:rPr>
              <w:t xml:space="preserve"> </w:t>
            </w:r>
            <w:r w:rsidR="0076501F" w:rsidRPr="0076501F">
              <w:rPr>
                <w:rFonts w:ascii="Times New Roman" w:hAnsi="Times New Roman" w:cs="Times New Roman"/>
                <w:sz w:val="24"/>
              </w:rPr>
              <w:t>piešķir valstiski īpaši nozīmīgiem pasākumiem, valsts pamatbudžeta apropriācijās neparedzētiem izdevumiem katastrofu un dabas stihiju seku novēršanai un to radīto zaudējumu kompensēšanai un citiem neparedzētiem gadījumiem</w:t>
            </w:r>
            <w:r w:rsidRPr="008F0E21">
              <w:rPr>
                <w:rFonts w:ascii="Times New Roman" w:hAnsi="Times New Roman" w:cs="Times New Roman"/>
                <w:sz w:val="24"/>
              </w:rPr>
              <w:t>;</w:t>
            </w:r>
          </w:p>
          <w:p w14:paraId="6107BC71" w14:textId="1503DBD0" w:rsidR="00E06B02" w:rsidRPr="008F0E21" w:rsidRDefault="005540F4" w:rsidP="00F92251">
            <w:pPr>
              <w:pStyle w:val="NoSpacing"/>
              <w:ind w:firstLine="311"/>
              <w:jc w:val="both"/>
              <w:rPr>
                <w:rFonts w:ascii="Times New Roman" w:hAnsi="Times New Roman" w:cs="Times New Roman"/>
                <w:sz w:val="24"/>
              </w:rPr>
            </w:pPr>
            <w:r w:rsidRPr="008F0E21">
              <w:rPr>
                <w:rFonts w:ascii="Times New Roman" w:hAnsi="Times New Roman" w:cs="Times New Roman"/>
                <w:sz w:val="24"/>
              </w:rPr>
              <w:t xml:space="preserve">- Ministru kabineta noteikumu </w:t>
            </w:r>
            <w:r w:rsidR="00F92251" w:rsidRPr="008F0E21">
              <w:rPr>
                <w:rFonts w:ascii="Times New Roman" w:hAnsi="Times New Roman" w:cs="Times New Roman"/>
                <w:sz w:val="24"/>
              </w:rPr>
              <w:t>projekt</w:t>
            </w:r>
            <w:r w:rsidR="00F92251">
              <w:rPr>
                <w:rFonts w:ascii="Times New Roman" w:hAnsi="Times New Roman" w:cs="Times New Roman"/>
                <w:sz w:val="24"/>
              </w:rPr>
              <w:t>u</w:t>
            </w:r>
            <w:r w:rsidR="00F92251" w:rsidRPr="008F0E21">
              <w:rPr>
                <w:rFonts w:ascii="Times New Roman" w:hAnsi="Times New Roman" w:cs="Times New Roman"/>
                <w:sz w:val="24"/>
              </w:rPr>
              <w:t xml:space="preserve"> </w:t>
            </w:r>
            <w:r w:rsidRPr="008F0E21">
              <w:rPr>
                <w:rFonts w:ascii="Times New Roman" w:hAnsi="Times New Roman" w:cs="Times New Roman"/>
                <w:sz w:val="24"/>
              </w:rPr>
              <w:t>“</w:t>
            </w:r>
            <w:r w:rsidR="0076501F" w:rsidRPr="0076501F">
              <w:rPr>
                <w:rFonts w:ascii="Times New Roman" w:hAnsi="Times New Roman" w:cs="Times New Roman"/>
                <w:sz w:val="24"/>
              </w:rPr>
              <w:t>Padziļinātās sadarbības programmas darbības noteikumi</w:t>
            </w:r>
            <w:r w:rsidRPr="008F0E21">
              <w:rPr>
                <w:rFonts w:ascii="Times New Roman" w:hAnsi="Times New Roman" w:cs="Times New Roman"/>
                <w:sz w:val="24"/>
              </w:rPr>
              <w:t>”</w:t>
            </w:r>
            <w:r w:rsidR="00BF4D97" w:rsidRPr="008F0E21">
              <w:rPr>
                <w:rFonts w:ascii="Times New Roman" w:hAnsi="Times New Roman" w:cs="Times New Roman"/>
                <w:sz w:val="24"/>
              </w:rPr>
              <w:t xml:space="preserve"> </w:t>
            </w:r>
            <w:r w:rsidR="00F92251">
              <w:rPr>
                <w:rFonts w:ascii="Times New Roman" w:hAnsi="Times New Roman" w:cs="Times New Roman"/>
                <w:sz w:val="24"/>
              </w:rPr>
              <w:t xml:space="preserve">(VSS-993) </w:t>
            </w:r>
            <w:r w:rsidR="00BF4D97" w:rsidRPr="008F0E21">
              <w:rPr>
                <w:rFonts w:ascii="Times New Roman" w:hAnsi="Times New Roman" w:cs="Times New Roman"/>
                <w:sz w:val="24"/>
              </w:rPr>
              <w:t xml:space="preserve">(turpmāk – </w:t>
            </w:r>
            <w:r w:rsidR="00F92251">
              <w:rPr>
                <w:rFonts w:ascii="Times New Roman" w:hAnsi="Times New Roman" w:cs="Times New Roman"/>
                <w:sz w:val="24"/>
              </w:rPr>
              <w:t>n</w:t>
            </w:r>
            <w:r w:rsidR="00F92251" w:rsidRPr="008F0E21">
              <w:rPr>
                <w:rFonts w:ascii="Times New Roman" w:hAnsi="Times New Roman" w:cs="Times New Roman"/>
                <w:sz w:val="24"/>
              </w:rPr>
              <w:t xml:space="preserve">oteikumu </w:t>
            </w:r>
            <w:r w:rsidR="00BF4D97" w:rsidRPr="008F0E21">
              <w:rPr>
                <w:rFonts w:ascii="Times New Roman" w:hAnsi="Times New Roman" w:cs="Times New Roman"/>
                <w:sz w:val="24"/>
              </w:rPr>
              <w:t>projekts)</w:t>
            </w:r>
            <w:r w:rsidR="00D85B61" w:rsidRPr="008F0E21">
              <w:rPr>
                <w:rFonts w:ascii="Times New Roman" w:hAnsi="Times New Roman" w:cs="Times New Roman"/>
                <w:sz w:val="24"/>
              </w:rPr>
              <w:t>.</w:t>
            </w:r>
          </w:p>
        </w:tc>
      </w:tr>
      <w:tr w:rsidR="00552A2D" w14:paraId="0C617F7B" w14:textId="77777777" w:rsidTr="006D4400">
        <w:trPr>
          <w:trHeight w:val="2252"/>
        </w:trPr>
        <w:tc>
          <w:tcPr>
            <w:tcW w:w="568" w:type="dxa"/>
          </w:tcPr>
          <w:p w14:paraId="0D55150D" w14:textId="7777777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2.</w:t>
            </w:r>
          </w:p>
        </w:tc>
        <w:tc>
          <w:tcPr>
            <w:tcW w:w="2409" w:type="dxa"/>
          </w:tcPr>
          <w:p w14:paraId="14154328" w14:textId="77777777" w:rsidR="0067254E" w:rsidRPr="008F0E21" w:rsidRDefault="005540F4" w:rsidP="0067254E">
            <w:pPr>
              <w:pStyle w:val="NoSpacing"/>
              <w:jc w:val="both"/>
              <w:rPr>
                <w:rFonts w:ascii="Times New Roman" w:hAnsi="Times New Roman" w:cs="Times New Roman"/>
                <w:iCs/>
                <w:sz w:val="24"/>
                <w:szCs w:val="24"/>
                <w:lang w:eastAsia="lv-LV"/>
              </w:rPr>
            </w:pPr>
            <w:r w:rsidRPr="00A15BA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EBE13B0" w14:textId="77777777" w:rsidR="0067254E" w:rsidRPr="008F0E21" w:rsidRDefault="0067254E" w:rsidP="0067254E">
            <w:pPr>
              <w:jc w:val="center"/>
            </w:pPr>
          </w:p>
          <w:p w14:paraId="2D0600F9" w14:textId="77777777" w:rsidR="0067254E" w:rsidRPr="008F0E21" w:rsidRDefault="0067254E" w:rsidP="0067254E"/>
          <w:p w14:paraId="5A600ADD" w14:textId="77777777" w:rsidR="0067254E" w:rsidRPr="008F0E21" w:rsidRDefault="0067254E" w:rsidP="0067254E"/>
          <w:p w14:paraId="318D9D89" w14:textId="77777777" w:rsidR="0067254E" w:rsidRPr="008F0E21" w:rsidRDefault="0067254E" w:rsidP="0067254E"/>
          <w:p w14:paraId="20E15974" w14:textId="77777777" w:rsidR="0067254E" w:rsidRPr="008F0E21" w:rsidRDefault="0067254E" w:rsidP="0067254E"/>
          <w:p w14:paraId="003171F7" w14:textId="77777777" w:rsidR="0067254E" w:rsidRPr="008F0E21" w:rsidRDefault="0067254E" w:rsidP="0067254E"/>
          <w:p w14:paraId="03EDB466" w14:textId="77777777" w:rsidR="0067254E" w:rsidRPr="008F0E21" w:rsidRDefault="0067254E" w:rsidP="0067254E"/>
          <w:p w14:paraId="512E7237" w14:textId="77777777" w:rsidR="0067254E" w:rsidRPr="008F0E21" w:rsidRDefault="0067254E" w:rsidP="0067254E"/>
          <w:p w14:paraId="7DE082ED" w14:textId="77777777" w:rsidR="0067254E" w:rsidRPr="008F0E21" w:rsidRDefault="0067254E" w:rsidP="0067254E"/>
          <w:p w14:paraId="290BBB14" w14:textId="77777777" w:rsidR="0067254E" w:rsidRPr="008F0E21" w:rsidRDefault="0067254E" w:rsidP="0067254E"/>
          <w:p w14:paraId="37B9A263" w14:textId="77777777" w:rsidR="0067254E" w:rsidRPr="008F0E21" w:rsidRDefault="0067254E" w:rsidP="0067254E"/>
          <w:p w14:paraId="679779B1" w14:textId="77777777" w:rsidR="0067254E" w:rsidRPr="008F0E21" w:rsidRDefault="0067254E" w:rsidP="0067254E">
            <w:pPr>
              <w:jc w:val="center"/>
            </w:pPr>
          </w:p>
        </w:tc>
        <w:tc>
          <w:tcPr>
            <w:tcW w:w="6379" w:type="dxa"/>
          </w:tcPr>
          <w:p w14:paraId="59686084" w14:textId="1190149D" w:rsidR="0067254E" w:rsidRDefault="00425BF4" w:rsidP="00425BF4">
            <w:pPr>
              <w:ind w:firstLine="372"/>
              <w:jc w:val="both"/>
              <w:rPr>
                <w:szCs w:val="28"/>
              </w:rPr>
            </w:pPr>
            <w:r>
              <w:rPr>
                <w:shd w:val="clear" w:color="auto" w:fill="FFFFFF"/>
              </w:rPr>
              <w:t>Finanšu ministrijas izstrādātā</w:t>
            </w:r>
            <w:r w:rsidR="005540F4" w:rsidRPr="008F0E21">
              <w:rPr>
                <w:shd w:val="clear" w:color="auto" w:fill="FFFFFF"/>
              </w:rPr>
              <w:t xml:space="preserve"> </w:t>
            </w:r>
            <w:r>
              <w:rPr>
                <w:shd w:val="clear" w:color="auto" w:fill="FFFFFF"/>
              </w:rPr>
              <w:t xml:space="preserve">noteikumu projekta </w:t>
            </w:r>
            <w:r w:rsidRPr="00425BF4">
              <w:t>6.punkts paredz nodokļu maksātājam noteikt kritērijus dalībai Padziļinātās sadarbības</w:t>
            </w:r>
            <w:r>
              <w:rPr>
                <w:szCs w:val="28"/>
              </w:rPr>
              <w:t xml:space="preserve"> programmā.</w:t>
            </w:r>
          </w:p>
          <w:p w14:paraId="5B75DD5F" w14:textId="232FD108" w:rsidR="00425BF4" w:rsidRDefault="00425BF4" w:rsidP="00425BF4">
            <w:pPr>
              <w:ind w:firstLine="372"/>
              <w:jc w:val="both"/>
              <w:rPr>
                <w:szCs w:val="28"/>
              </w:rPr>
            </w:pPr>
            <w:r>
              <w:rPr>
                <w:szCs w:val="28"/>
              </w:rPr>
              <w:t xml:space="preserve">Plānots, ka noteikumu projekta 6.3., 6.6. un 6.9.apakšpunktā norādītās ziņas Valsts ieņēmumu dienests saņems no </w:t>
            </w:r>
            <w:r w:rsidR="00260E1E" w:rsidRPr="00260E1E">
              <w:rPr>
                <w:szCs w:val="28"/>
              </w:rPr>
              <w:t>Integrētā</w:t>
            </w:r>
            <w:r w:rsidR="00260E1E">
              <w:rPr>
                <w:szCs w:val="28"/>
              </w:rPr>
              <w:t>s</w:t>
            </w:r>
            <w:r w:rsidR="00260E1E" w:rsidRPr="00260E1E">
              <w:rPr>
                <w:szCs w:val="28"/>
              </w:rPr>
              <w:t xml:space="preserve"> iekšlietu informācijas sistēma</w:t>
            </w:r>
            <w:r w:rsidR="00260E1E">
              <w:rPr>
                <w:szCs w:val="28"/>
              </w:rPr>
              <w:t>s</w:t>
            </w:r>
            <w:r>
              <w:rPr>
                <w:szCs w:val="28"/>
              </w:rPr>
              <w:t>.</w:t>
            </w:r>
          </w:p>
          <w:p w14:paraId="7FEF632A" w14:textId="77F55315" w:rsidR="00425BF4" w:rsidRDefault="00425BF4" w:rsidP="00CE30E7">
            <w:pPr>
              <w:ind w:firstLine="372"/>
              <w:jc w:val="both"/>
            </w:pPr>
            <w:r>
              <w:rPr>
                <w:szCs w:val="28"/>
              </w:rPr>
              <w:t xml:space="preserve">Lai nodrošinātu automātisku </w:t>
            </w:r>
            <w:r w:rsidRPr="00425BF4">
              <w:t>nodokļu maksātāja un tā valdes locekļu atbilstības iepriekšējās sodāmības kritērijam izvērtēšanu,</w:t>
            </w:r>
            <w:r>
              <w:t xml:space="preserve"> </w:t>
            </w:r>
            <w:r w:rsidR="00260E1E">
              <w:t>Integrētajā iekšlietu informācijas sistēmā</w:t>
            </w:r>
            <w:r>
              <w:t xml:space="preserve"> nepieciešams izveidot rīku</w:t>
            </w:r>
            <w:r w:rsidR="00CE30E7">
              <w:t>/procedūru</w:t>
            </w:r>
            <w:r>
              <w:t>, kas nodrošinātu nepieciešamo personu pārbaudi</w:t>
            </w:r>
            <w:r w:rsidR="00CE30E7">
              <w:t xml:space="preserve">, monitoringu un datu nodošanu </w:t>
            </w:r>
            <w:r>
              <w:t>pēc noteikumu projektā paredzētajiem kritērijiem</w:t>
            </w:r>
            <w:r w:rsidR="00CE30E7">
              <w:t>.</w:t>
            </w:r>
          </w:p>
          <w:p w14:paraId="198135AE" w14:textId="60180890" w:rsidR="000D1D28" w:rsidRPr="00BE3DEF" w:rsidRDefault="000D1D28" w:rsidP="00CE30E7">
            <w:pPr>
              <w:ind w:firstLine="372"/>
              <w:jc w:val="both"/>
            </w:pPr>
            <w:r w:rsidRPr="00BE3DEF">
              <w:t>Šobrīd Padziļinātās sadarbības programma paredz 7</w:t>
            </w:r>
            <w:r w:rsidR="00BE3DEF" w:rsidRPr="00BE3DEF">
              <w:t>6</w:t>
            </w:r>
            <w:r w:rsidRPr="00BE3DEF">
              <w:t xml:space="preserve"> dalībnieku monitorēšanu, kas tiek veikts manuāli, nosūtot </w:t>
            </w:r>
            <w:r w:rsidR="004A11FB" w:rsidRPr="00BE3DEF">
              <w:t xml:space="preserve">informācijas </w:t>
            </w:r>
            <w:r w:rsidRPr="00BE3DEF">
              <w:t>pieprasījumu Iekšlietu ministrijas Informācijas centram. Savukārt jaunā modeļa Padziļinātās sadarbības programma paredz būtisku dalībnieku pieaugumu</w:t>
            </w:r>
            <w:r w:rsidR="004A11FB" w:rsidRPr="00BE3DEF">
              <w:t xml:space="preserve"> un</w:t>
            </w:r>
            <w:r w:rsidRPr="00BE3DEF">
              <w:t xml:space="preserve"> tāpēc</w:t>
            </w:r>
            <w:r w:rsidR="004A11FB" w:rsidRPr="00BE3DEF">
              <w:t xml:space="preserve"> nepieciešams paredzēt automātisku rīku informācijas apmaiņai.</w:t>
            </w:r>
            <w:r w:rsidRPr="00BE3DEF">
              <w:t xml:space="preserve"> </w:t>
            </w:r>
          </w:p>
          <w:p w14:paraId="5FE17E3E" w14:textId="21F0BDA7" w:rsidR="006D4400" w:rsidRPr="00BE3DEF" w:rsidRDefault="006D4400" w:rsidP="006D4400">
            <w:pPr>
              <w:ind w:firstLine="372"/>
              <w:jc w:val="both"/>
            </w:pPr>
            <w:r w:rsidRPr="00BE3DEF">
              <w:t>Katru ceturksn</w:t>
            </w:r>
            <w:r w:rsidR="00033DA1">
              <w:t>i</w:t>
            </w:r>
            <w:r w:rsidRPr="00BE3DEF">
              <w:t xml:space="preserve">, veicot Padziļinātās sadarbības programmas dalībnieku regulāru monitoringu, būs jāveic </w:t>
            </w:r>
            <w:r>
              <w:t xml:space="preserve">atbilstības pārbaude aptuveni 12 000 juridiskajām un fiziskajām personām. Savukārt, vienu reizi gādā, pārbaudot potenciālo dalībnieku atbilstību Padziļinātās sadarbības programmas kritērijiem, personu skaits paredzams </w:t>
            </w:r>
            <w:r w:rsidRPr="00BE3DEF">
              <w:t>aptuveni 15 000.</w:t>
            </w:r>
          </w:p>
          <w:p w14:paraId="7E847291" w14:textId="60527EA8" w:rsidR="006D4400" w:rsidRDefault="004A11FB" w:rsidP="006D4400">
            <w:pPr>
              <w:ind w:firstLine="372"/>
              <w:jc w:val="both"/>
            </w:pPr>
            <w:r w:rsidRPr="00BE3DEF">
              <w:t xml:space="preserve">Attiecībā uz </w:t>
            </w:r>
            <w:r w:rsidR="00BE3DEF" w:rsidRPr="00BE3DEF">
              <w:t>Valsts ieņēmumu dienesta atļaujas par īpašā pievienotās vērtības nodokļa režīma piemērošanu preču importa darījumos piešķiršanu, anulēšanu un apturēšanu</w:t>
            </w:r>
            <w:r w:rsidR="006D4400" w:rsidRPr="00BE3DEF">
              <w:t xml:space="preserve">, informācija </w:t>
            </w:r>
            <w:r w:rsidR="006D4400">
              <w:t xml:space="preserve">no </w:t>
            </w:r>
            <w:r w:rsidR="002A5FA0" w:rsidRPr="002A5FA0">
              <w:t>Iekšlietu ministrijas Informācijas centra</w:t>
            </w:r>
            <w:r w:rsidR="006D4400">
              <w:t xml:space="preserve"> nepieciešama vienu reizi </w:t>
            </w:r>
            <w:r w:rsidR="006D4400">
              <w:lastRenderedPageBreak/>
              <w:t>ceturksnī, saskaņā  ar Ministru kabineta noteikumu Nr.17 “Pievienotās vērtības nodokļa likuma normu piemērošanas kārtība un atsevišķas prasības pievienotās vērtības nodokļa maksāšanai un administrēšanai” 142.2.punktu, kas nosaka, ka V</w:t>
            </w:r>
            <w:r w:rsidR="004216C9">
              <w:t>alsts ieņēmumu dienests</w:t>
            </w:r>
            <w:r w:rsidR="006D4400">
              <w:t xml:space="preserve"> pieņem lēmumu par īpašās atļaujas importa darījumos anulēšanu, ja reģistrēta nodokļa maksātāja darbinieki, kam ir paraksta tiesības, īpašās atļaujas importa darījumos darbības laikā ir sodīti par noziedzīgiem nodarījumiem tautsaimniecībā. Katru ceturksn</w:t>
            </w:r>
            <w:r w:rsidR="004216C9">
              <w:t>i</w:t>
            </w:r>
            <w:r w:rsidR="006D4400">
              <w:t xml:space="preserve"> atbilstības pārbaudi jāveic aptuveni 10 000 juridisko personu amatpersonām un pilnvarotām personām, kurām ir paraksta tiesības.</w:t>
            </w:r>
          </w:p>
          <w:p w14:paraId="22EA2A32" w14:textId="73CAB6B6" w:rsidR="00F92251" w:rsidRPr="008F0E21" w:rsidRDefault="00F92251" w:rsidP="00CE30E7">
            <w:pPr>
              <w:ind w:firstLine="372"/>
              <w:jc w:val="both"/>
              <w:rPr>
                <w:shd w:val="clear" w:color="auto" w:fill="FFFFFF"/>
              </w:rPr>
            </w:pPr>
            <w:r>
              <w:t xml:space="preserve">Ņemot vērā minēto, sagatavots rīkojuma projekts, kas paredz </w:t>
            </w:r>
            <w:r w:rsidR="00755A5F" w:rsidRPr="00755A5F">
              <w:t xml:space="preserve">no valsts budžeta programmas 02.00.00 “Līdzekļi neparedzētiem gadījumiem” piešķirt Iekšlietu ministrijai (Iekšlietu ministrijas Informācijas centram) 134 721 </w:t>
            </w:r>
            <w:r w:rsidR="00755A5F" w:rsidRPr="001C73B6">
              <w:rPr>
                <w:i/>
              </w:rPr>
              <w:t>euro</w:t>
            </w:r>
            <w:r w:rsidR="00755A5F" w:rsidRPr="00755A5F">
              <w:t xml:space="preserve">, lai segtu izdevumus par </w:t>
            </w:r>
            <w:r w:rsidR="002411CB" w:rsidRPr="002411CB">
              <w:t>Integrētā</w:t>
            </w:r>
            <w:r w:rsidR="002411CB">
              <w:t>s</w:t>
            </w:r>
            <w:r w:rsidR="002411CB" w:rsidRPr="002411CB">
              <w:t xml:space="preserve"> iekšlietu informācijas sistēma</w:t>
            </w:r>
            <w:r w:rsidR="002411CB">
              <w:t xml:space="preserve">s </w:t>
            </w:r>
            <w:r w:rsidR="00755A5F" w:rsidRPr="00755A5F">
              <w:t>pilnveidošanu un datu pār</w:t>
            </w:r>
            <w:r w:rsidR="00755A5F">
              <w:t>baudi tajā</w:t>
            </w:r>
            <w:r>
              <w:t>.</w:t>
            </w:r>
          </w:p>
        </w:tc>
      </w:tr>
      <w:tr w:rsidR="00552A2D" w14:paraId="2F2F9FE4" w14:textId="77777777" w:rsidTr="00085D2B">
        <w:tc>
          <w:tcPr>
            <w:tcW w:w="568" w:type="dxa"/>
          </w:tcPr>
          <w:p w14:paraId="136457D2" w14:textId="144B9068"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lastRenderedPageBreak/>
              <w:t>3.</w:t>
            </w:r>
          </w:p>
        </w:tc>
        <w:tc>
          <w:tcPr>
            <w:tcW w:w="2409" w:type="dxa"/>
          </w:tcPr>
          <w:p w14:paraId="0B89C75E" w14:textId="77777777"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Projekta izstrādē iesaistītās institūcijas un publiskas personas kapitālsabiedrības</w:t>
            </w:r>
          </w:p>
        </w:tc>
        <w:tc>
          <w:tcPr>
            <w:tcW w:w="6379" w:type="dxa"/>
          </w:tcPr>
          <w:p w14:paraId="3FB21DD7" w14:textId="7C9DDB31" w:rsidR="0067254E" w:rsidRPr="00F92251" w:rsidRDefault="0076501F" w:rsidP="00A15BAF">
            <w:pPr>
              <w:pStyle w:val="NoSpacing"/>
              <w:ind w:firstLine="318"/>
              <w:jc w:val="both"/>
              <w:rPr>
                <w:rFonts w:ascii="Times New Roman" w:hAnsi="Times New Roman" w:cs="Times New Roman"/>
                <w:sz w:val="24"/>
                <w:szCs w:val="24"/>
                <w:lang w:eastAsia="lv-LV"/>
              </w:rPr>
            </w:pPr>
            <w:r w:rsidRPr="001C73B6">
              <w:rPr>
                <w:rFonts w:ascii="Times New Roman" w:hAnsi="Times New Roman" w:cs="Times New Roman"/>
                <w:sz w:val="24"/>
                <w:szCs w:val="24"/>
              </w:rPr>
              <w:t>Finanšu ministrija</w:t>
            </w:r>
            <w:r w:rsidR="00A15BAF" w:rsidRPr="001C73B6">
              <w:rPr>
                <w:rFonts w:ascii="Times New Roman" w:hAnsi="Times New Roman" w:cs="Times New Roman"/>
                <w:sz w:val="24"/>
                <w:szCs w:val="24"/>
              </w:rPr>
              <w:t>, Valsts ieņēmumu dienests</w:t>
            </w:r>
            <w:r w:rsidRPr="001C73B6">
              <w:rPr>
                <w:rFonts w:ascii="Times New Roman" w:hAnsi="Times New Roman" w:cs="Times New Roman"/>
                <w:sz w:val="24"/>
                <w:szCs w:val="24"/>
              </w:rPr>
              <w:t xml:space="preserve"> un </w:t>
            </w:r>
            <w:r w:rsidR="005540F4" w:rsidRPr="001C73B6">
              <w:rPr>
                <w:rFonts w:ascii="Times New Roman" w:hAnsi="Times New Roman" w:cs="Times New Roman"/>
                <w:sz w:val="24"/>
                <w:szCs w:val="24"/>
              </w:rPr>
              <w:t>Iekšlietu ministrijas Informācijas centrs</w:t>
            </w:r>
            <w:r w:rsidR="00F92251" w:rsidRPr="00F92251">
              <w:rPr>
                <w:rFonts w:ascii="Times New Roman" w:hAnsi="Times New Roman" w:cs="Times New Roman"/>
                <w:sz w:val="24"/>
                <w:szCs w:val="24"/>
              </w:rPr>
              <w:t>.</w:t>
            </w:r>
          </w:p>
        </w:tc>
      </w:tr>
      <w:tr w:rsidR="00552A2D" w14:paraId="0A40B2A0" w14:textId="77777777" w:rsidTr="00085D2B">
        <w:tc>
          <w:tcPr>
            <w:tcW w:w="568" w:type="dxa"/>
          </w:tcPr>
          <w:p w14:paraId="5115BF0D" w14:textId="7777777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4.</w:t>
            </w:r>
          </w:p>
        </w:tc>
        <w:tc>
          <w:tcPr>
            <w:tcW w:w="2409" w:type="dxa"/>
          </w:tcPr>
          <w:p w14:paraId="4A4F2BAA" w14:textId="77777777"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Cita informācija</w:t>
            </w:r>
          </w:p>
        </w:tc>
        <w:tc>
          <w:tcPr>
            <w:tcW w:w="6379" w:type="dxa"/>
          </w:tcPr>
          <w:p w14:paraId="5A4AFFB5" w14:textId="3404A4EC" w:rsidR="0067254E" w:rsidRPr="008F0E21" w:rsidRDefault="005540F4" w:rsidP="001C73B6">
            <w:pPr>
              <w:pStyle w:val="NoSpacing"/>
              <w:ind w:left="322"/>
              <w:jc w:val="both"/>
              <w:rPr>
                <w:rFonts w:ascii="Times New Roman" w:hAnsi="Times New Roman" w:cs="Times New Roman"/>
                <w:sz w:val="24"/>
                <w:szCs w:val="24"/>
                <w:lang w:eastAsia="lv-LV"/>
              </w:rPr>
            </w:pPr>
            <w:r w:rsidRPr="008F0E21">
              <w:rPr>
                <w:rFonts w:ascii="Times New Roman" w:hAnsi="Times New Roman" w:cs="Times New Roman"/>
                <w:sz w:val="24"/>
                <w:szCs w:val="24"/>
                <w:lang w:eastAsia="lv-LV"/>
              </w:rPr>
              <w:t>Nav</w:t>
            </w:r>
            <w:r w:rsidR="00F92251">
              <w:rPr>
                <w:rFonts w:ascii="Times New Roman" w:hAnsi="Times New Roman" w:cs="Times New Roman"/>
                <w:sz w:val="24"/>
                <w:szCs w:val="24"/>
                <w:lang w:eastAsia="lv-LV"/>
              </w:rPr>
              <w:t>.</w:t>
            </w:r>
          </w:p>
        </w:tc>
      </w:tr>
    </w:tbl>
    <w:p w14:paraId="6F115EDE" w14:textId="77777777" w:rsidR="00EC6E12" w:rsidRPr="008F0E21"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7EB32641" w14:textId="77777777" w:rsidTr="006936E5">
        <w:tc>
          <w:tcPr>
            <w:tcW w:w="9356" w:type="dxa"/>
          </w:tcPr>
          <w:p w14:paraId="08715414" w14:textId="77777777" w:rsidR="00EC6E12" w:rsidRPr="008F0E21" w:rsidRDefault="005540F4" w:rsidP="003903BF">
            <w:pPr>
              <w:pStyle w:val="NoSpacing"/>
              <w:jc w:val="center"/>
              <w:rPr>
                <w:rFonts w:ascii="Times New Roman" w:hAnsi="Times New Roman" w:cs="Times New Roman"/>
                <w:b/>
                <w:sz w:val="24"/>
                <w:szCs w:val="24"/>
                <w:lang w:eastAsia="lv-LV"/>
              </w:rPr>
            </w:pPr>
            <w:r w:rsidRPr="008F0E21">
              <w:rPr>
                <w:rFonts w:ascii="Times New Roman" w:hAnsi="Times New Roman" w:cs="Times New Roman"/>
                <w:b/>
                <w:iCs/>
                <w:sz w:val="24"/>
                <w:szCs w:val="24"/>
                <w:lang w:eastAsia="lv-LV"/>
              </w:rPr>
              <w:t>II. Tiesību akta projekta ietekme uz sabiedrību, tautsaimniecības attīstību un administratīvo slogu</w:t>
            </w:r>
          </w:p>
        </w:tc>
      </w:tr>
      <w:tr w:rsidR="00552A2D" w14:paraId="6933CE41" w14:textId="77777777" w:rsidTr="006936E5">
        <w:tc>
          <w:tcPr>
            <w:tcW w:w="9356" w:type="dxa"/>
          </w:tcPr>
          <w:p w14:paraId="39CF8526" w14:textId="700F7A02" w:rsidR="00155578" w:rsidRPr="008F0E21" w:rsidRDefault="005540F4" w:rsidP="003903BF">
            <w:pPr>
              <w:pStyle w:val="NoSpacing"/>
              <w:jc w:val="center"/>
              <w:rPr>
                <w:rFonts w:ascii="Times New Roman" w:hAnsi="Times New Roman" w:cs="Times New Roman"/>
                <w:b/>
                <w:iCs/>
                <w:sz w:val="24"/>
                <w:szCs w:val="24"/>
                <w:lang w:eastAsia="lv-LV"/>
              </w:rPr>
            </w:pPr>
            <w:r w:rsidRPr="008F0E21">
              <w:rPr>
                <w:rFonts w:ascii="Times New Roman" w:hAnsi="Times New Roman" w:cs="Times New Roman"/>
                <w:sz w:val="24"/>
                <w:szCs w:val="24"/>
              </w:rPr>
              <w:t>Projekts šo jomu neskar</w:t>
            </w:r>
            <w:r w:rsidR="002B3D39">
              <w:rPr>
                <w:rFonts w:ascii="Times New Roman" w:hAnsi="Times New Roman" w:cs="Times New Roman"/>
                <w:sz w:val="24"/>
                <w:szCs w:val="24"/>
              </w:rPr>
              <w:t>.</w:t>
            </w:r>
          </w:p>
        </w:tc>
      </w:tr>
    </w:tbl>
    <w:p w14:paraId="037C9073"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  </w:t>
      </w:r>
    </w:p>
    <w:tbl>
      <w:tblPr>
        <w:tblStyle w:val="TableGrid"/>
        <w:tblW w:w="9356" w:type="dxa"/>
        <w:jc w:val="center"/>
        <w:tblLayout w:type="fixed"/>
        <w:tblLook w:val="04A0" w:firstRow="1" w:lastRow="0" w:firstColumn="1" w:lastColumn="0" w:noHBand="0" w:noVBand="1"/>
      </w:tblPr>
      <w:tblGrid>
        <w:gridCol w:w="1702"/>
        <w:gridCol w:w="992"/>
        <w:gridCol w:w="1268"/>
        <w:gridCol w:w="1000"/>
        <w:gridCol w:w="1134"/>
        <w:gridCol w:w="992"/>
        <w:gridCol w:w="992"/>
        <w:gridCol w:w="1276"/>
      </w:tblGrid>
      <w:tr w:rsidR="00552A2D" w14:paraId="07544BE5" w14:textId="77777777" w:rsidTr="002824A8">
        <w:trPr>
          <w:jc w:val="center"/>
        </w:trPr>
        <w:tc>
          <w:tcPr>
            <w:tcW w:w="9356" w:type="dxa"/>
            <w:gridSpan w:val="8"/>
          </w:tcPr>
          <w:p w14:paraId="5CBE306A" w14:textId="77777777" w:rsidR="00842AD1" w:rsidRPr="008F0E21" w:rsidRDefault="005540F4" w:rsidP="00842AD1">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rsidR="00552A2D" w14:paraId="700680B4" w14:textId="77777777" w:rsidTr="002824A8">
        <w:trPr>
          <w:jc w:val="center"/>
        </w:trPr>
        <w:tc>
          <w:tcPr>
            <w:tcW w:w="1702" w:type="dxa"/>
            <w:vMerge w:val="restart"/>
          </w:tcPr>
          <w:p w14:paraId="47F04D8F"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Rādītāji</w:t>
            </w:r>
          </w:p>
        </w:tc>
        <w:tc>
          <w:tcPr>
            <w:tcW w:w="2260" w:type="dxa"/>
            <w:gridSpan w:val="2"/>
            <w:vMerge w:val="restart"/>
          </w:tcPr>
          <w:p w14:paraId="68DC37B8" w14:textId="77777777" w:rsidR="00842AD1" w:rsidRPr="008F0E21" w:rsidRDefault="005540F4" w:rsidP="001C73B6">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2018. gads</w:t>
            </w:r>
          </w:p>
        </w:tc>
        <w:tc>
          <w:tcPr>
            <w:tcW w:w="5394" w:type="dxa"/>
            <w:gridSpan w:val="5"/>
          </w:tcPr>
          <w:p w14:paraId="635286B4" w14:textId="77777777" w:rsidR="00842AD1" w:rsidRPr="008F0E21" w:rsidRDefault="005540F4" w:rsidP="001C73B6">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Turpmākie trīs gadi (</w:t>
            </w:r>
            <w:r w:rsidRPr="008F0E21">
              <w:rPr>
                <w:rFonts w:ascii="Times New Roman" w:hAnsi="Times New Roman" w:cs="Times New Roman"/>
                <w:i/>
                <w:iCs/>
                <w:sz w:val="24"/>
                <w:szCs w:val="24"/>
                <w:lang w:eastAsia="lv-LV"/>
              </w:rPr>
              <w:t>euro</w:t>
            </w:r>
            <w:r w:rsidRPr="008F0E21">
              <w:rPr>
                <w:rFonts w:ascii="Times New Roman" w:hAnsi="Times New Roman" w:cs="Times New Roman"/>
                <w:iCs/>
                <w:sz w:val="24"/>
                <w:szCs w:val="24"/>
                <w:lang w:eastAsia="lv-LV"/>
              </w:rPr>
              <w:t>)</w:t>
            </w:r>
          </w:p>
        </w:tc>
      </w:tr>
      <w:tr w:rsidR="00552A2D" w14:paraId="362C2D4C" w14:textId="77777777" w:rsidTr="002824A8">
        <w:trPr>
          <w:jc w:val="center"/>
        </w:trPr>
        <w:tc>
          <w:tcPr>
            <w:tcW w:w="1702" w:type="dxa"/>
            <w:vMerge/>
          </w:tcPr>
          <w:p w14:paraId="44846703" w14:textId="77777777" w:rsidR="00842AD1" w:rsidRPr="008F0E2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2670AE0A" w14:textId="77777777" w:rsidR="00842AD1" w:rsidRPr="008F0E21" w:rsidRDefault="00842AD1" w:rsidP="007D50B3">
            <w:pPr>
              <w:pStyle w:val="NoSpacing"/>
              <w:jc w:val="center"/>
              <w:rPr>
                <w:rFonts w:ascii="Times New Roman" w:hAnsi="Times New Roman" w:cs="Times New Roman"/>
                <w:iCs/>
                <w:sz w:val="24"/>
                <w:szCs w:val="24"/>
                <w:lang w:eastAsia="lv-LV"/>
              </w:rPr>
            </w:pPr>
          </w:p>
        </w:tc>
        <w:tc>
          <w:tcPr>
            <w:tcW w:w="2134" w:type="dxa"/>
            <w:gridSpan w:val="2"/>
          </w:tcPr>
          <w:p w14:paraId="4BD18834" w14:textId="77777777" w:rsidR="00842AD1" w:rsidRPr="008F0E21" w:rsidRDefault="005540F4" w:rsidP="007D50B3">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2019. gads</w:t>
            </w:r>
          </w:p>
        </w:tc>
        <w:tc>
          <w:tcPr>
            <w:tcW w:w="1984" w:type="dxa"/>
            <w:gridSpan w:val="2"/>
          </w:tcPr>
          <w:p w14:paraId="4063132C" w14:textId="77777777" w:rsidR="00842AD1" w:rsidRPr="008F0E21" w:rsidRDefault="005540F4" w:rsidP="007D50B3">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2020. gads</w:t>
            </w:r>
          </w:p>
        </w:tc>
        <w:tc>
          <w:tcPr>
            <w:tcW w:w="1276" w:type="dxa"/>
          </w:tcPr>
          <w:p w14:paraId="33E3687C" w14:textId="77777777" w:rsidR="00842AD1" w:rsidRPr="008F0E21" w:rsidRDefault="005540F4" w:rsidP="007D50B3">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2021. gads</w:t>
            </w:r>
          </w:p>
        </w:tc>
      </w:tr>
      <w:tr w:rsidR="00552A2D" w14:paraId="7ACE5809" w14:textId="77777777" w:rsidTr="002824A8">
        <w:trPr>
          <w:jc w:val="center"/>
        </w:trPr>
        <w:tc>
          <w:tcPr>
            <w:tcW w:w="1702" w:type="dxa"/>
            <w:vMerge/>
          </w:tcPr>
          <w:p w14:paraId="57D284B0" w14:textId="77777777" w:rsidR="00842AD1" w:rsidRPr="008F0E21" w:rsidRDefault="00842AD1" w:rsidP="00EC6E12">
            <w:pPr>
              <w:pStyle w:val="NoSpacing"/>
              <w:rPr>
                <w:rFonts w:ascii="Times New Roman" w:hAnsi="Times New Roman" w:cs="Times New Roman"/>
                <w:iCs/>
                <w:sz w:val="24"/>
                <w:szCs w:val="24"/>
                <w:lang w:eastAsia="lv-LV"/>
              </w:rPr>
            </w:pPr>
          </w:p>
        </w:tc>
        <w:tc>
          <w:tcPr>
            <w:tcW w:w="992" w:type="dxa"/>
          </w:tcPr>
          <w:p w14:paraId="42394A19"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valsts budžetu kārtējam gadam</w:t>
            </w:r>
          </w:p>
        </w:tc>
        <w:tc>
          <w:tcPr>
            <w:tcW w:w="1268" w:type="dxa"/>
          </w:tcPr>
          <w:p w14:paraId="2ADC8C15"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kārtējā gadā, salīdzinot ar valsts budžetu kārtējam gadam</w:t>
            </w:r>
          </w:p>
        </w:tc>
        <w:tc>
          <w:tcPr>
            <w:tcW w:w="1000" w:type="dxa"/>
          </w:tcPr>
          <w:p w14:paraId="69F6C3CA"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1134" w:type="dxa"/>
          </w:tcPr>
          <w:p w14:paraId="3AC20522" w14:textId="77777777" w:rsidR="006E71F7"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salīdzi-</w:t>
            </w:r>
          </w:p>
          <w:p w14:paraId="404BC0A5" w14:textId="77777777" w:rsidR="00842AD1" w:rsidRPr="008F0E21" w:rsidRDefault="005540F4" w:rsidP="00037CA6">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not ar vidēja termiņa budžeta ietvaru </w:t>
            </w:r>
            <w:r w:rsidR="00037CA6" w:rsidRPr="008F0E21">
              <w:rPr>
                <w:rFonts w:ascii="Times New Roman" w:hAnsi="Times New Roman" w:cs="Times New Roman"/>
                <w:iCs/>
                <w:sz w:val="24"/>
                <w:szCs w:val="24"/>
                <w:lang w:eastAsia="lv-LV"/>
              </w:rPr>
              <w:t>2019.</w:t>
            </w:r>
            <w:r w:rsidRPr="008F0E21">
              <w:rPr>
                <w:rFonts w:ascii="Times New Roman" w:hAnsi="Times New Roman" w:cs="Times New Roman"/>
                <w:iCs/>
                <w:sz w:val="24"/>
                <w:szCs w:val="24"/>
                <w:lang w:eastAsia="lv-LV"/>
              </w:rPr>
              <w:t xml:space="preserve"> gadam</w:t>
            </w:r>
          </w:p>
        </w:tc>
        <w:tc>
          <w:tcPr>
            <w:tcW w:w="992" w:type="dxa"/>
          </w:tcPr>
          <w:p w14:paraId="352A44DF"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992" w:type="dxa"/>
          </w:tcPr>
          <w:p w14:paraId="31A0EB11" w14:textId="77777777" w:rsidR="00037CA6"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w:t>
            </w:r>
            <w:r w:rsidR="00842AD1" w:rsidRPr="008F0E21">
              <w:rPr>
                <w:rFonts w:ascii="Times New Roman" w:hAnsi="Times New Roman" w:cs="Times New Roman"/>
                <w:iCs/>
                <w:sz w:val="24"/>
                <w:szCs w:val="24"/>
                <w:lang w:eastAsia="lv-LV"/>
              </w:rPr>
              <w:t>zmai</w:t>
            </w:r>
            <w:r w:rsidRPr="008F0E21">
              <w:rPr>
                <w:rFonts w:ascii="Times New Roman" w:hAnsi="Times New Roman" w:cs="Times New Roman"/>
                <w:iCs/>
                <w:sz w:val="24"/>
                <w:szCs w:val="24"/>
                <w:lang w:eastAsia="lv-LV"/>
              </w:rPr>
              <w:t>-</w:t>
            </w:r>
          </w:p>
          <w:p w14:paraId="0566ACAB" w14:textId="77777777" w:rsidR="006E71F7"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ņas, salīdzi-</w:t>
            </w:r>
          </w:p>
          <w:p w14:paraId="4EFAC628" w14:textId="77777777" w:rsidR="00842AD1" w:rsidRPr="008F0E21" w:rsidRDefault="005540F4" w:rsidP="00037CA6">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not ar vidēja termiņa budžeta ietvaru </w:t>
            </w:r>
            <w:r w:rsidR="00037CA6" w:rsidRPr="008F0E21">
              <w:rPr>
                <w:rFonts w:ascii="Times New Roman" w:hAnsi="Times New Roman" w:cs="Times New Roman"/>
                <w:iCs/>
                <w:sz w:val="24"/>
                <w:szCs w:val="24"/>
                <w:lang w:eastAsia="lv-LV"/>
              </w:rPr>
              <w:t>2020.</w:t>
            </w:r>
            <w:r w:rsidRPr="008F0E21">
              <w:rPr>
                <w:rFonts w:ascii="Times New Roman" w:hAnsi="Times New Roman" w:cs="Times New Roman"/>
                <w:iCs/>
                <w:sz w:val="24"/>
                <w:szCs w:val="24"/>
                <w:lang w:eastAsia="lv-LV"/>
              </w:rPr>
              <w:t xml:space="preserve"> gadam</w:t>
            </w:r>
          </w:p>
        </w:tc>
        <w:tc>
          <w:tcPr>
            <w:tcW w:w="1276" w:type="dxa"/>
          </w:tcPr>
          <w:p w14:paraId="0590C28E" w14:textId="77777777" w:rsidR="006E71F7"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salīdzi-</w:t>
            </w:r>
          </w:p>
          <w:p w14:paraId="1D8462C8" w14:textId="5D738DF5" w:rsidR="00842AD1" w:rsidRPr="008F0E21" w:rsidRDefault="005540F4" w:rsidP="002940E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not ar vidēja termiņa budžeta ietvaru </w:t>
            </w:r>
            <w:r w:rsidR="002940EE" w:rsidRPr="008F0E21">
              <w:rPr>
                <w:rFonts w:ascii="Times New Roman" w:hAnsi="Times New Roman" w:cs="Times New Roman"/>
                <w:iCs/>
                <w:sz w:val="24"/>
                <w:szCs w:val="24"/>
                <w:lang w:eastAsia="lv-LV"/>
              </w:rPr>
              <w:t>202</w:t>
            </w:r>
            <w:r w:rsidR="002940EE">
              <w:rPr>
                <w:rFonts w:ascii="Times New Roman" w:hAnsi="Times New Roman" w:cs="Times New Roman"/>
                <w:iCs/>
                <w:sz w:val="24"/>
                <w:szCs w:val="24"/>
                <w:lang w:eastAsia="lv-LV"/>
              </w:rPr>
              <w:t>0</w:t>
            </w:r>
            <w:r w:rsidR="00037CA6" w:rsidRPr="008F0E21">
              <w:rPr>
                <w:rFonts w:ascii="Times New Roman" w:hAnsi="Times New Roman" w:cs="Times New Roman"/>
                <w:iCs/>
                <w:sz w:val="24"/>
                <w:szCs w:val="24"/>
                <w:lang w:eastAsia="lv-LV"/>
              </w:rPr>
              <w:t>.</w:t>
            </w:r>
            <w:r w:rsidRPr="008F0E21">
              <w:rPr>
                <w:rFonts w:ascii="Times New Roman" w:hAnsi="Times New Roman" w:cs="Times New Roman"/>
                <w:iCs/>
                <w:sz w:val="24"/>
                <w:szCs w:val="24"/>
                <w:lang w:eastAsia="lv-LV"/>
              </w:rPr>
              <w:t xml:space="preserve"> gadam</w:t>
            </w:r>
          </w:p>
        </w:tc>
      </w:tr>
      <w:tr w:rsidR="00552A2D" w14:paraId="00FABFB8" w14:textId="77777777" w:rsidTr="002824A8">
        <w:trPr>
          <w:jc w:val="center"/>
        </w:trPr>
        <w:tc>
          <w:tcPr>
            <w:tcW w:w="1702" w:type="dxa"/>
            <w:vAlign w:val="center"/>
          </w:tcPr>
          <w:p w14:paraId="5914591D"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w:t>
            </w:r>
          </w:p>
        </w:tc>
        <w:tc>
          <w:tcPr>
            <w:tcW w:w="992" w:type="dxa"/>
            <w:vAlign w:val="center"/>
          </w:tcPr>
          <w:p w14:paraId="7CAB9382"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w:t>
            </w:r>
          </w:p>
        </w:tc>
        <w:tc>
          <w:tcPr>
            <w:tcW w:w="1268" w:type="dxa"/>
            <w:vAlign w:val="center"/>
          </w:tcPr>
          <w:p w14:paraId="5D46EA98"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w:t>
            </w:r>
          </w:p>
        </w:tc>
        <w:tc>
          <w:tcPr>
            <w:tcW w:w="1000" w:type="dxa"/>
            <w:vAlign w:val="center"/>
          </w:tcPr>
          <w:p w14:paraId="04A2B98A"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4</w:t>
            </w:r>
          </w:p>
        </w:tc>
        <w:tc>
          <w:tcPr>
            <w:tcW w:w="1134" w:type="dxa"/>
            <w:vAlign w:val="center"/>
          </w:tcPr>
          <w:p w14:paraId="71B4A152"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w:t>
            </w:r>
          </w:p>
        </w:tc>
        <w:tc>
          <w:tcPr>
            <w:tcW w:w="992" w:type="dxa"/>
            <w:vAlign w:val="center"/>
          </w:tcPr>
          <w:p w14:paraId="399DBDDA"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w:t>
            </w:r>
          </w:p>
        </w:tc>
        <w:tc>
          <w:tcPr>
            <w:tcW w:w="992" w:type="dxa"/>
            <w:vAlign w:val="center"/>
          </w:tcPr>
          <w:p w14:paraId="73891FCC"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7</w:t>
            </w:r>
          </w:p>
        </w:tc>
        <w:tc>
          <w:tcPr>
            <w:tcW w:w="1276" w:type="dxa"/>
            <w:vAlign w:val="center"/>
          </w:tcPr>
          <w:p w14:paraId="6E95B983"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8</w:t>
            </w:r>
          </w:p>
        </w:tc>
      </w:tr>
      <w:tr w:rsidR="00552A2D" w14:paraId="0329FA56" w14:textId="77777777" w:rsidTr="000A1EC2">
        <w:trPr>
          <w:jc w:val="center"/>
        </w:trPr>
        <w:tc>
          <w:tcPr>
            <w:tcW w:w="1702" w:type="dxa"/>
            <w:vAlign w:val="center"/>
          </w:tcPr>
          <w:p w14:paraId="2E99A354" w14:textId="77777777" w:rsidR="000A1EC2" w:rsidRPr="008F0E21" w:rsidRDefault="005540F4" w:rsidP="000A1EC2">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 Budžeta ieņēmumi</w:t>
            </w:r>
          </w:p>
        </w:tc>
        <w:tc>
          <w:tcPr>
            <w:tcW w:w="992" w:type="dxa"/>
            <w:vAlign w:val="center"/>
          </w:tcPr>
          <w:p w14:paraId="571B8ACF"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56A8FC81"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2BEBC62B" w14:textId="77777777" w:rsidR="000A1EC2" w:rsidRPr="008F0E21" w:rsidRDefault="005540F4" w:rsidP="000A1EC2">
            <w:r w:rsidRPr="008F0E21">
              <w:rPr>
                <w:iCs/>
              </w:rPr>
              <w:t>0</w:t>
            </w:r>
          </w:p>
        </w:tc>
        <w:tc>
          <w:tcPr>
            <w:tcW w:w="1134" w:type="dxa"/>
            <w:vAlign w:val="center"/>
          </w:tcPr>
          <w:p w14:paraId="0F1E2947" w14:textId="77777777" w:rsidR="000A1EC2" w:rsidRPr="008F0E21" w:rsidRDefault="005540F4" w:rsidP="000A1EC2">
            <w:r w:rsidRPr="008F0E21">
              <w:rPr>
                <w:iCs/>
              </w:rPr>
              <w:t>0</w:t>
            </w:r>
          </w:p>
        </w:tc>
        <w:tc>
          <w:tcPr>
            <w:tcW w:w="992" w:type="dxa"/>
            <w:vAlign w:val="center"/>
          </w:tcPr>
          <w:p w14:paraId="1322517A" w14:textId="77777777" w:rsidR="000A1EC2" w:rsidRPr="008F0E21" w:rsidRDefault="005540F4" w:rsidP="000A1EC2">
            <w:r w:rsidRPr="008F0E21">
              <w:rPr>
                <w:iCs/>
              </w:rPr>
              <w:t>0</w:t>
            </w:r>
          </w:p>
        </w:tc>
        <w:tc>
          <w:tcPr>
            <w:tcW w:w="992" w:type="dxa"/>
            <w:vAlign w:val="center"/>
          </w:tcPr>
          <w:p w14:paraId="269C7024" w14:textId="77777777" w:rsidR="000A1EC2" w:rsidRPr="008F0E21" w:rsidRDefault="005540F4" w:rsidP="000A1EC2">
            <w:r w:rsidRPr="008F0E21">
              <w:rPr>
                <w:iCs/>
              </w:rPr>
              <w:t>0</w:t>
            </w:r>
          </w:p>
        </w:tc>
        <w:tc>
          <w:tcPr>
            <w:tcW w:w="1276" w:type="dxa"/>
            <w:vAlign w:val="center"/>
          </w:tcPr>
          <w:p w14:paraId="5A86DF1B" w14:textId="77777777" w:rsidR="000A1EC2" w:rsidRPr="008F0E21" w:rsidRDefault="005540F4" w:rsidP="000A1EC2">
            <w:r w:rsidRPr="008F0E21">
              <w:rPr>
                <w:iCs/>
              </w:rPr>
              <w:t>0</w:t>
            </w:r>
          </w:p>
        </w:tc>
      </w:tr>
      <w:tr w:rsidR="00552A2D" w14:paraId="35DC6D59" w14:textId="77777777" w:rsidTr="000A1EC2">
        <w:trPr>
          <w:jc w:val="center"/>
        </w:trPr>
        <w:tc>
          <w:tcPr>
            <w:tcW w:w="1702" w:type="dxa"/>
            <w:vAlign w:val="center"/>
          </w:tcPr>
          <w:p w14:paraId="7C755B74" w14:textId="77777777" w:rsidR="000A1EC2" w:rsidRPr="008F0E21" w:rsidRDefault="005540F4" w:rsidP="000A1EC2">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1.1. valsts pamatbudžets, tai skaitā ieņēmumi no maksas pakalpojumie</w:t>
            </w:r>
            <w:r w:rsidRPr="008F0E21">
              <w:rPr>
                <w:rFonts w:ascii="Times New Roman" w:hAnsi="Times New Roman" w:cs="Times New Roman"/>
                <w:iCs/>
                <w:sz w:val="24"/>
                <w:szCs w:val="24"/>
                <w:lang w:eastAsia="lv-LV"/>
              </w:rPr>
              <w:lastRenderedPageBreak/>
              <w:t>m un citi pašu ieņēmumi</w:t>
            </w:r>
          </w:p>
        </w:tc>
        <w:tc>
          <w:tcPr>
            <w:tcW w:w="992" w:type="dxa"/>
            <w:vAlign w:val="center"/>
          </w:tcPr>
          <w:p w14:paraId="3D426369"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lastRenderedPageBreak/>
              <w:t>0</w:t>
            </w:r>
          </w:p>
        </w:tc>
        <w:tc>
          <w:tcPr>
            <w:tcW w:w="1268" w:type="dxa"/>
            <w:vAlign w:val="center"/>
          </w:tcPr>
          <w:p w14:paraId="36EC7DB3"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299F0B9A" w14:textId="77777777" w:rsidR="000A1EC2" w:rsidRPr="008F0E21" w:rsidRDefault="005540F4" w:rsidP="000A1EC2">
            <w:r w:rsidRPr="008F0E21">
              <w:rPr>
                <w:iCs/>
              </w:rPr>
              <w:t>0</w:t>
            </w:r>
          </w:p>
        </w:tc>
        <w:tc>
          <w:tcPr>
            <w:tcW w:w="1134" w:type="dxa"/>
            <w:vAlign w:val="center"/>
          </w:tcPr>
          <w:p w14:paraId="558CE909" w14:textId="77777777" w:rsidR="000A1EC2" w:rsidRPr="008F0E21" w:rsidRDefault="005540F4" w:rsidP="000A1EC2">
            <w:r w:rsidRPr="008F0E21">
              <w:rPr>
                <w:iCs/>
              </w:rPr>
              <w:t>0</w:t>
            </w:r>
          </w:p>
        </w:tc>
        <w:tc>
          <w:tcPr>
            <w:tcW w:w="992" w:type="dxa"/>
            <w:vAlign w:val="center"/>
          </w:tcPr>
          <w:p w14:paraId="19D4F329" w14:textId="77777777" w:rsidR="000A1EC2" w:rsidRPr="008F0E21" w:rsidRDefault="005540F4" w:rsidP="000A1EC2">
            <w:r w:rsidRPr="008F0E21">
              <w:rPr>
                <w:iCs/>
              </w:rPr>
              <w:t>0</w:t>
            </w:r>
          </w:p>
        </w:tc>
        <w:tc>
          <w:tcPr>
            <w:tcW w:w="992" w:type="dxa"/>
            <w:vAlign w:val="center"/>
          </w:tcPr>
          <w:p w14:paraId="19812D29" w14:textId="77777777" w:rsidR="000A1EC2" w:rsidRPr="008F0E21" w:rsidRDefault="005540F4" w:rsidP="000A1EC2">
            <w:r w:rsidRPr="008F0E21">
              <w:rPr>
                <w:iCs/>
              </w:rPr>
              <w:t>0</w:t>
            </w:r>
          </w:p>
        </w:tc>
        <w:tc>
          <w:tcPr>
            <w:tcW w:w="1276" w:type="dxa"/>
            <w:vAlign w:val="center"/>
          </w:tcPr>
          <w:p w14:paraId="0BAE3964" w14:textId="77777777" w:rsidR="000A1EC2" w:rsidRPr="008F0E21" w:rsidRDefault="005540F4" w:rsidP="000A1EC2">
            <w:r w:rsidRPr="008F0E21">
              <w:rPr>
                <w:iCs/>
              </w:rPr>
              <w:t>0</w:t>
            </w:r>
          </w:p>
        </w:tc>
      </w:tr>
      <w:tr w:rsidR="00552A2D" w14:paraId="1BD0EB76" w14:textId="77777777" w:rsidTr="000A1EC2">
        <w:trPr>
          <w:jc w:val="center"/>
        </w:trPr>
        <w:tc>
          <w:tcPr>
            <w:tcW w:w="1702" w:type="dxa"/>
            <w:vAlign w:val="center"/>
          </w:tcPr>
          <w:p w14:paraId="645BB5C3" w14:textId="77777777" w:rsidR="000A1EC2" w:rsidRPr="008F0E21" w:rsidRDefault="005540F4" w:rsidP="000A1EC2">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1.2. valsts speciālais budžets</w:t>
            </w:r>
          </w:p>
        </w:tc>
        <w:tc>
          <w:tcPr>
            <w:tcW w:w="992" w:type="dxa"/>
            <w:vAlign w:val="center"/>
          </w:tcPr>
          <w:p w14:paraId="2D58F027"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4801DABD"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0A3164F2" w14:textId="77777777" w:rsidR="000A1EC2" w:rsidRPr="008F0E21" w:rsidRDefault="005540F4" w:rsidP="000A1EC2">
            <w:r w:rsidRPr="008F0E21">
              <w:rPr>
                <w:iCs/>
              </w:rPr>
              <w:t>0</w:t>
            </w:r>
          </w:p>
        </w:tc>
        <w:tc>
          <w:tcPr>
            <w:tcW w:w="1134" w:type="dxa"/>
            <w:vAlign w:val="center"/>
          </w:tcPr>
          <w:p w14:paraId="23FA5B0D" w14:textId="77777777" w:rsidR="000A1EC2" w:rsidRPr="008F0E21" w:rsidRDefault="005540F4" w:rsidP="000A1EC2">
            <w:r w:rsidRPr="008F0E21">
              <w:rPr>
                <w:iCs/>
              </w:rPr>
              <w:t>0</w:t>
            </w:r>
          </w:p>
        </w:tc>
        <w:tc>
          <w:tcPr>
            <w:tcW w:w="992" w:type="dxa"/>
            <w:vAlign w:val="center"/>
          </w:tcPr>
          <w:p w14:paraId="5683D1F8" w14:textId="77777777" w:rsidR="000A1EC2" w:rsidRPr="008F0E21" w:rsidRDefault="005540F4" w:rsidP="000A1EC2">
            <w:r w:rsidRPr="008F0E21">
              <w:rPr>
                <w:iCs/>
              </w:rPr>
              <w:t>0</w:t>
            </w:r>
          </w:p>
        </w:tc>
        <w:tc>
          <w:tcPr>
            <w:tcW w:w="992" w:type="dxa"/>
            <w:vAlign w:val="center"/>
          </w:tcPr>
          <w:p w14:paraId="1A1B058A" w14:textId="77777777" w:rsidR="000A1EC2" w:rsidRPr="008F0E21" w:rsidRDefault="005540F4" w:rsidP="000A1EC2">
            <w:r w:rsidRPr="008F0E21">
              <w:rPr>
                <w:iCs/>
              </w:rPr>
              <w:t>0</w:t>
            </w:r>
          </w:p>
        </w:tc>
        <w:tc>
          <w:tcPr>
            <w:tcW w:w="1276" w:type="dxa"/>
            <w:vAlign w:val="center"/>
          </w:tcPr>
          <w:p w14:paraId="19B04EEF" w14:textId="77777777" w:rsidR="000A1EC2" w:rsidRPr="008F0E21" w:rsidRDefault="005540F4" w:rsidP="000A1EC2">
            <w:r w:rsidRPr="008F0E21">
              <w:rPr>
                <w:iCs/>
              </w:rPr>
              <w:t>0</w:t>
            </w:r>
          </w:p>
        </w:tc>
      </w:tr>
      <w:tr w:rsidR="00552A2D" w14:paraId="1BB59D17" w14:textId="77777777" w:rsidTr="000A1EC2">
        <w:trPr>
          <w:jc w:val="center"/>
        </w:trPr>
        <w:tc>
          <w:tcPr>
            <w:tcW w:w="1702" w:type="dxa"/>
            <w:vAlign w:val="center"/>
          </w:tcPr>
          <w:p w14:paraId="38E5D008" w14:textId="77777777" w:rsidR="000A1EC2" w:rsidRPr="008F0E21" w:rsidRDefault="005540F4" w:rsidP="000A1EC2">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1.3. pašvaldību budžets</w:t>
            </w:r>
          </w:p>
        </w:tc>
        <w:tc>
          <w:tcPr>
            <w:tcW w:w="992" w:type="dxa"/>
            <w:vAlign w:val="center"/>
          </w:tcPr>
          <w:p w14:paraId="636A854A"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0888658B" w14:textId="77777777" w:rsidR="000A1EC2" w:rsidRPr="008F0E21" w:rsidRDefault="005540F4" w:rsidP="000A1EC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73AC2A0F" w14:textId="77777777" w:rsidR="000A1EC2" w:rsidRPr="008F0E21" w:rsidRDefault="005540F4" w:rsidP="000A1EC2">
            <w:r w:rsidRPr="008F0E21">
              <w:rPr>
                <w:iCs/>
              </w:rPr>
              <w:t>0</w:t>
            </w:r>
          </w:p>
        </w:tc>
        <w:tc>
          <w:tcPr>
            <w:tcW w:w="1134" w:type="dxa"/>
            <w:vAlign w:val="center"/>
          </w:tcPr>
          <w:p w14:paraId="2ED673DE" w14:textId="77777777" w:rsidR="000A1EC2" w:rsidRPr="008F0E21" w:rsidRDefault="005540F4" w:rsidP="000A1EC2">
            <w:r w:rsidRPr="008F0E21">
              <w:rPr>
                <w:iCs/>
              </w:rPr>
              <w:t>0</w:t>
            </w:r>
          </w:p>
        </w:tc>
        <w:tc>
          <w:tcPr>
            <w:tcW w:w="992" w:type="dxa"/>
            <w:vAlign w:val="center"/>
          </w:tcPr>
          <w:p w14:paraId="7427CD35" w14:textId="77777777" w:rsidR="000A1EC2" w:rsidRPr="008F0E21" w:rsidRDefault="005540F4" w:rsidP="000A1EC2">
            <w:r w:rsidRPr="008F0E21">
              <w:rPr>
                <w:iCs/>
              </w:rPr>
              <w:t>0</w:t>
            </w:r>
          </w:p>
        </w:tc>
        <w:tc>
          <w:tcPr>
            <w:tcW w:w="992" w:type="dxa"/>
            <w:vAlign w:val="center"/>
          </w:tcPr>
          <w:p w14:paraId="35F867FC" w14:textId="77777777" w:rsidR="000A1EC2" w:rsidRPr="008F0E21" w:rsidRDefault="005540F4" w:rsidP="000A1EC2">
            <w:r w:rsidRPr="008F0E21">
              <w:rPr>
                <w:iCs/>
              </w:rPr>
              <w:t>0</w:t>
            </w:r>
          </w:p>
        </w:tc>
        <w:tc>
          <w:tcPr>
            <w:tcW w:w="1276" w:type="dxa"/>
            <w:vAlign w:val="center"/>
          </w:tcPr>
          <w:p w14:paraId="15BA0099" w14:textId="77777777" w:rsidR="000A1EC2" w:rsidRPr="008F0E21" w:rsidRDefault="005540F4" w:rsidP="000A1EC2">
            <w:r w:rsidRPr="008F0E21">
              <w:rPr>
                <w:iCs/>
              </w:rPr>
              <w:t>0</w:t>
            </w:r>
          </w:p>
        </w:tc>
      </w:tr>
      <w:tr w:rsidR="00552A2D" w14:paraId="2ED28BCE" w14:textId="77777777" w:rsidTr="000A1EC2">
        <w:trPr>
          <w:jc w:val="center"/>
        </w:trPr>
        <w:tc>
          <w:tcPr>
            <w:tcW w:w="1702" w:type="dxa"/>
            <w:vAlign w:val="center"/>
          </w:tcPr>
          <w:p w14:paraId="215834FA" w14:textId="77777777" w:rsidR="00C03A7C" w:rsidRPr="008F0E21" w:rsidRDefault="005540F4" w:rsidP="00C03A7C">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 Budžeta izdevumi</w:t>
            </w:r>
          </w:p>
        </w:tc>
        <w:tc>
          <w:tcPr>
            <w:tcW w:w="992" w:type="dxa"/>
            <w:vAlign w:val="center"/>
          </w:tcPr>
          <w:p w14:paraId="4FF52872" w14:textId="77777777" w:rsidR="00C03A7C" w:rsidRPr="008F0E21" w:rsidRDefault="005540F4" w:rsidP="00C03A7C">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0B1D7E26" w14:textId="5525FE7E" w:rsidR="00C03A7C" w:rsidRPr="008F0E21" w:rsidRDefault="005540F4" w:rsidP="00801A5B">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w:t>
            </w:r>
            <w:r w:rsidR="00801A5B">
              <w:rPr>
                <w:rFonts w:ascii="Times New Roman" w:hAnsi="Times New Roman" w:cs="Times New Roman"/>
                <w:iCs/>
                <w:sz w:val="24"/>
                <w:szCs w:val="24"/>
                <w:lang w:eastAsia="lv-LV"/>
              </w:rPr>
              <w:t>34</w:t>
            </w:r>
            <w:r w:rsidRPr="008F0E21">
              <w:rPr>
                <w:rFonts w:ascii="Times New Roman" w:hAnsi="Times New Roman" w:cs="Times New Roman"/>
                <w:iCs/>
                <w:sz w:val="24"/>
                <w:szCs w:val="24"/>
                <w:lang w:eastAsia="lv-LV"/>
              </w:rPr>
              <w:t xml:space="preserve"> </w:t>
            </w:r>
            <w:r w:rsidR="00801A5B">
              <w:rPr>
                <w:rFonts w:ascii="Times New Roman" w:hAnsi="Times New Roman" w:cs="Times New Roman"/>
                <w:iCs/>
                <w:sz w:val="24"/>
                <w:szCs w:val="24"/>
                <w:lang w:eastAsia="lv-LV"/>
              </w:rPr>
              <w:t>721</w:t>
            </w:r>
          </w:p>
        </w:tc>
        <w:tc>
          <w:tcPr>
            <w:tcW w:w="1000" w:type="dxa"/>
            <w:vAlign w:val="center"/>
          </w:tcPr>
          <w:p w14:paraId="057D3E64" w14:textId="77777777" w:rsidR="00C03A7C" w:rsidRPr="008F0E21" w:rsidRDefault="005540F4" w:rsidP="00C03A7C">
            <w:r w:rsidRPr="008F0E21">
              <w:rPr>
                <w:iCs/>
              </w:rPr>
              <w:t>0</w:t>
            </w:r>
          </w:p>
        </w:tc>
        <w:tc>
          <w:tcPr>
            <w:tcW w:w="1134" w:type="dxa"/>
            <w:vAlign w:val="center"/>
          </w:tcPr>
          <w:p w14:paraId="30CF39DA" w14:textId="77777777" w:rsidR="00C03A7C" w:rsidRPr="008F0E21" w:rsidRDefault="005540F4" w:rsidP="00C03A7C">
            <w:r w:rsidRPr="008F0E21">
              <w:rPr>
                <w:iCs/>
              </w:rPr>
              <w:t>0</w:t>
            </w:r>
          </w:p>
        </w:tc>
        <w:tc>
          <w:tcPr>
            <w:tcW w:w="992" w:type="dxa"/>
            <w:vAlign w:val="center"/>
          </w:tcPr>
          <w:p w14:paraId="18EB2A87" w14:textId="77777777" w:rsidR="00C03A7C" w:rsidRPr="008F0E21" w:rsidRDefault="005540F4" w:rsidP="00C03A7C">
            <w:r w:rsidRPr="008F0E21">
              <w:rPr>
                <w:iCs/>
              </w:rPr>
              <w:t>0</w:t>
            </w:r>
          </w:p>
        </w:tc>
        <w:tc>
          <w:tcPr>
            <w:tcW w:w="992" w:type="dxa"/>
            <w:vAlign w:val="center"/>
          </w:tcPr>
          <w:p w14:paraId="10CB37B7" w14:textId="77777777" w:rsidR="00C03A7C" w:rsidRPr="008F0E21" w:rsidRDefault="005540F4" w:rsidP="00C03A7C">
            <w:r w:rsidRPr="008F0E21">
              <w:rPr>
                <w:iCs/>
              </w:rPr>
              <w:t>0</w:t>
            </w:r>
          </w:p>
        </w:tc>
        <w:tc>
          <w:tcPr>
            <w:tcW w:w="1276" w:type="dxa"/>
            <w:vAlign w:val="center"/>
          </w:tcPr>
          <w:p w14:paraId="5F252392" w14:textId="77777777" w:rsidR="00C03A7C" w:rsidRPr="008F0E21" w:rsidRDefault="005540F4" w:rsidP="00C03A7C">
            <w:r w:rsidRPr="008F0E21">
              <w:rPr>
                <w:iCs/>
              </w:rPr>
              <w:t>0</w:t>
            </w:r>
          </w:p>
        </w:tc>
      </w:tr>
      <w:tr w:rsidR="00552A2D" w14:paraId="5BFAE408" w14:textId="77777777" w:rsidTr="000A1EC2">
        <w:trPr>
          <w:jc w:val="center"/>
        </w:trPr>
        <w:tc>
          <w:tcPr>
            <w:tcW w:w="1702" w:type="dxa"/>
            <w:vAlign w:val="center"/>
          </w:tcPr>
          <w:p w14:paraId="5E4A29A9"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2.1. valsts pamatbudžets</w:t>
            </w:r>
          </w:p>
        </w:tc>
        <w:tc>
          <w:tcPr>
            <w:tcW w:w="992" w:type="dxa"/>
            <w:vAlign w:val="center"/>
          </w:tcPr>
          <w:p w14:paraId="5E2D31B4"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06D8A328" w14:textId="51362BA6" w:rsidR="004D4DB7" w:rsidRPr="008F0E21" w:rsidRDefault="00DE3C0B" w:rsidP="00801A5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1</w:t>
            </w:r>
            <w:r w:rsidR="00801A5B">
              <w:rPr>
                <w:rFonts w:ascii="Times New Roman" w:hAnsi="Times New Roman" w:cs="Times New Roman"/>
                <w:iCs/>
                <w:sz w:val="24"/>
                <w:szCs w:val="24"/>
                <w:lang w:eastAsia="lv-LV"/>
              </w:rPr>
              <w:t>34</w:t>
            </w:r>
            <w:r>
              <w:rPr>
                <w:rFonts w:ascii="Times New Roman" w:hAnsi="Times New Roman" w:cs="Times New Roman"/>
                <w:iCs/>
                <w:sz w:val="24"/>
                <w:szCs w:val="24"/>
                <w:lang w:eastAsia="lv-LV"/>
              </w:rPr>
              <w:t xml:space="preserve"> </w:t>
            </w:r>
            <w:r w:rsidR="00801A5B">
              <w:rPr>
                <w:rFonts w:ascii="Times New Roman" w:hAnsi="Times New Roman" w:cs="Times New Roman"/>
                <w:iCs/>
                <w:sz w:val="24"/>
                <w:szCs w:val="24"/>
                <w:lang w:eastAsia="lv-LV"/>
              </w:rPr>
              <w:t>721</w:t>
            </w:r>
          </w:p>
        </w:tc>
        <w:tc>
          <w:tcPr>
            <w:tcW w:w="1000" w:type="dxa"/>
            <w:vAlign w:val="center"/>
          </w:tcPr>
          <w:p w14:paraId="3FF7E410" w14:textId="77777777" w:rsidR="004D4DB7" w:rsidRPr="008F0E21" w:rsidRDefault="005540F4" w:rsidP="004D4DB7">
            <w:r w:rsidRPr="008F0E21">
              <w:rPr>
                <w:iCs/>
              </w:rPr>
              <w:t>0</w:t>
            </w:r>
          </w:p>
        </w:tc>
        <w:tc>
          <w:tcPr>
            <w:tcW w:w="1134" w:type="dxa"/>
            <w:vAlign w:val="center"/>
          </w:tcPr>
          <w:p w14:paraId="23F50BF0" w14:textId="77777777" w:rsidR="004D4DB7" w:rsidRPr="008F0E21" w:rsidRDefault="005540F4" w:rsidP="004D4DB7">
            <w:r w:rsidRPr="008F0E21">
              <w:rPr>
                <w:iCs/>
              </w:rPr>
              <w:t>0</w:t>
            </w:r>
          </w:p>
        </w:tc>
        <w:tc>
          <w:tcPr>
            <w:tcW w:w="992" w:type="dxa"/>
            <w:vAlign w:val="center"/>
          </w:tcPr>
          <w:p w14:paraId="0AD7ACAA" w14:textId="77777777" w:rsidR="004D4DB7" w:rsidRPr="008F0E21" w:rsidRDefault="005540F4" w:rsidP="004D4DB7">
            <w:r w:rsidRPr="008F0E21">
              <w:rPr>
                <w:iCs/>
              </w:rPr>
              <w:t>0</w:t>
            </w:r>
          </w:p>
        </w:tc>
        <w:tc>
          <w:tcPr>
            <w:tcW w:w="992" w:type="dxa"/>
            <w:vAlign w:val="center"/>
          </w:tcPr>
          <w:p w14:paraId="0F07AB43" w14:textId="77777777" w:rsidR="004D4DB7" w:rsidRPr="008F0E21" w:rsidRDefault="005540F4" w:rsidP="004D4DB7">
            <w:r w:rsidRPr="008F0E21">
              <w:rPr>
                <w:iCs/>
              </w:rPr>
              <w:t>0</w:t>
            </w:r>
          </w:p>
        </w:tc>
        <w:tc>
          <w:tcPr>
            <w:tcW w:w="1276" w:type="dxa"/>
            <w:vAlign w:val="center"/>
          </w:tcPr>
          <w:p w14:paraId="3441D0FA" w14:textId="77777777" w:rsidR="004D4DB7" w:rsidRPr="008F0E21" w:rsidRDefault="005540F4" w:rsidP="004D4DB7">
            <w:r w:rsidRPr="008F0E21">
              <w:rPr>
                <w:iCs/>
              </w:rPr>
              <w:t>0</w:t>
            </w:r>
          </w:p>
        </w:tc>
      </w:tr>
      <w:tr w:rsidR="00552A2D" w14:paraId="21A85097" w14:textId="77777777" w:rsidTr="000A1EC2">
        <w:trPr>
          <w:jc w:val="center"/>
        </w:trPr>
        <w:tc>
          <w:tcPr>
            <w:tcW w:w="1702" w:type="dxa"/>
            <w:vAlign w:val="center"/>
          </w:tcPr>
          <w:p w14:paraId="430ADF3F"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2.2. valsts speciālais budžets</w:t>
            </w:r>
          </w:p>
        </w:tc>
        <w:tc>
          <w:tcPr>
            <w:tcW w:w="992" w:type="dxa"/>
            <w:vAlign w:val="center"/>
          </w:tcPr>
          <w:p w14:paraId="132353A6"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4D4CC006"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146F9347" w14:textId="77777777" w:rsidR="004D4DB7" w:rsidRPr="008F0E21" w:rsidRDefault="005540F4" w:rsidP="004D4DB7">
            <w:r w:rsidRPr="008F0E21">
              <w:rPr>
                <w:iCs/>
              </w:rPr>
              <w:t>0</w:t>
            </w:r>
          </w:p>
        </w:tc>
        <w:tc>
          <w:tcPr>
            <w:tcW w:w="1134" w:type="dxa"/>
            <w:vAlign w:val="center"/>
          </w:tcPr>
          <w:p w14:paraId="1771D041" w14:textId="77777777" w:rsidR="004D4DB7" w:rsidRPr="008F0E21" w:rsidRDefault="005540F4" w:rsidP="004D4DB7">
            <w:r w:rsidRPr="008F0E21">
              <w:rPr>
                <w:iCs/>
              </w:rPr>
              <w:t>0</w:t>
            </w:r>
          </w:p>
        </w:tc>
        <w:tc>
          <w:tcPr>
            <w:tcW w:w="992" w:type="dxa"/>
            <w:vAlign w:val="center"/>
          </w:tcPr>
          <w:p w14:paraId="044F0FB4" w14:textId="77777777" w:rsidR="004D4DB7" w:rsidRPr="008F0E21" w:rsidRDefault="005540F4" w:rsidP="004D4DB7">
            <w:r w:rsidRPr="008F0E21">
              <w:rPr>
                <w:iCs/>
              </w:rPr>
              <w:t>0</w:t>
            </w:r>
          </w:p>
        </w:tc>
        <w:tc>
          <w:tcPr>
            <w:tcW w:w="992" w:type="dxa"/>
            <w:vAlign w:val="center"/>
          </w:tcPr>
          <w:p w14:paraId="681A27CF" w14:textId="77777777" w:rsidR="004D4DB7" w:rsidRPr="008F0E21" w:rsidRDefault="005540F4" w:rsidP="004D4DB7">
            <w:r w:rsidRPr="008F0E21">
              <w:rPr>
                <w:iCs/>
              </w:rPr>
              <w:t>0</w:t>
            </w:r>
          </w:p>
        </w:tc>
        <w:tc>
          <w:tcPr>
            <w:tcW w:w="1276" w:type="dxa"/>
            <w:vAlign w:val="center"/>
          </w:tcPr>
          <w:p w14:paraId="4E760B9C" w14:textId="77777777" w:rsidR="004D4DB7" w:rsidRPr="008F0E21" w:rsidRDefault="005540F4" w:rsidP="004D4DB7">
            <w:r w:rsidRPr="008F0E21">
              <w:rPr>
                <w:iCs/>
              </w:rPr>
              <w:t>0</w:t>
            </w:r>
          </w:p>
        </w:tc>
      </w:tr>
      <w:tr w:rsidR="00552A2D" w14:paraId="73AE1B61" w14:textId="77777777" w:rsidTr="000A1EC2">
        <w:trPr>
          <w:jc w:val="center"/>
        </w:trPr>
        <w:tc>
          <w:tcPr>
            <w:tcW w:w="1702" w:type="dxa"/>
            <w:vAlign w:val="center"/>
          </w:tcPr>
          <w:p w14:paraId="5128806E"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2.3. pašvaldību budžets</w:t>
            </w:r>
          </w:p>
        </w:tc>
        <w:tc>
          <w:tcPr>
            <w:tcW w:w="992" w:type="dxa"/>
            <w:vAlign w:val="center"/>
          </w:tcPr>
          <w:p w14:paraId="19D3D20E"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6E2E319C"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7D32154B" w14:textId="77777777" w:rsidR="004D4DB7" w:rsidRPr="008F0E21" w:rsidRDefault="005540F4" w:rsidP="004D4DB7">
            <w:r w:rsidRPr="008F0E21">
              <w:rPr>
                <w:iCs/>
              </w:rPr>
              <w:t>0</w:t>
            </w:r>
          </w:p>
        </w:tc>
        <w:tc>
          <w:tcPr>
            <w:tcW w:w="1134" w:type="dxa"/>
            <w:vAlign w:val="center"/>
          </w:tcPr>
          <w:p w14:paraId="0567E68B" w14:textId="77777777" w:rsidR="004D4DB7" w:rsidRPr="008F0E21" w:rsidRDefault="005540F4" w:rsidP="004D4DB7">
            <w:r w:rsidRPr="008F0E21">
              <w:rPr>
                <w:iCs/>
              </w:rPr>
              <w:t>0</w:t>
            </w:r>
          </w:p>
        </w:tc>
        <w:tc>
          <w:tcPr>
            <w:tcW w:w="992" w:type="dxa"/>
            <w:vAlign w:val="center"/>
          </w:tcPr>
          <w:p w14:paraId="7E04258E" w14:textId="77777777" w:rsidR="004D4DB7" w:rsidRPr="008F0E21" w:rsidRDefault="005540F4" w:rsidP="004D4DB7">
            <w:r w:rsidRPr="008F0E21">
              <w:rPr>
                <w:iCs/>
              </w:rPr>
              <w:t>0</w:t>
            </w:r>
          </w:p>
        </w:tc>
        <w:tc>
          <w:tcPr>
            <w:tcW w:w="992" w:type="dxa"/>
            <w:vAlign w:val="center"/>
          </w:tcPr>
          <w:p w14:paraId="0021A83C" w14:textId="77777777" w:rsidR="004D4DB7" w:rsidRPr="008F0E21" w:rsidRDefault="005540F4" w:rsidP="004D4DB7">
            <w:r w:rsidRPr="008F0E21">
              <w:rPr>
                <w:iCs/>
              </w:rPr>
              <w:t>0</w:t>
            </w:r>
          </w:p>
        </w:tc>
        <w:tc>
          <w:tcPr>
            <w:tcW w:w="1276" w:type="dxa"/>
            <w:vAlign w:val="center"/>
          </w:tcPr>
          <w:p w14:paraId="263FABCA" w14:textId="77777777" w:rsidR="004D4DB7" w:rsidRPr="008F0E21" w:rsidRDefault="005540F4" w:rsidP="004D4DB7">
            <w:r w:rsidRPr="008F0E21">
              <w:rPr>
                <w:iCs/>
              </w:rPr>
              <w:t>0</w:t>
            </w:r>
          </w:p>
        </w:tc>
      </w:tr>
      <w:tr w:rsidR="00552A2D" w14:paraId="10E9EBB5" w14:textId="77777777" w:rsidTr="000A1EC2">
        <w:trPr>
          <w:jc w:val="center"/>
        </w:trPr>
        <w:tc>
          <w:tcPr>
            <w:tcW w:w="1702" w:type="dxa"/>
            <w:vAlign w:val="center"/>
          </w:tcPr>
          <w:p w14:paraId="795D4CE6"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 Finansiālā ietekme</w:t>
            </w:r>
          </w:p>
        </w:tc>
        <w:tc>
          <w:tcPr>
            <w:tcW w:w="992" w:type="dxa"/>
            <w:vAlign w:val="center"/>
          </w:tcPr>
          <w:p w14:paraId="0B5C0CB8"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65609761" w14:textId="59219DAB" w:rsidR="004D4DB7" w:rsidRPr="008F0E21" w:rsidRDefault="005540F4" w:rsidP="00801A5B">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w:t>
            </w:r>
            <w:r w:rsidR="00777C2E" w:rsidRPr="008F0E21">
              <w:rPr>
                <w:rFonts w:ascii="Times New Roman" w:hAnsi="Times New Roman" w:cs="Times New Roman"/>
                <w:iCs/>
                <w:sz w:val="24"/>
                <w:szCs w:val="24"/>
                <w:lang w:eastAsia="lv-LV"/>
              </w:rPr>
              <w:t>1</w:t>
            </w:r>
            <w:r w:rsidR="00801A5B">
              <w:rPr>
                <w:rFonts w:ascii="Times New Roman" w:hAnsi="Times New Roman" w:cs="Times New Roman"/>
                <w:iCs/>
                <w:sz w:val="24"/>
                <w:szCs w:val="24"/>
                <w:lang w:eastAsia="lv-LV"/>
              </w:rPr>
              <w:t>34 721</w:t>
            </w:r>
          </w:p>
        </w:tc>
        <w:tc>
          <w:tcPr>
            <w:tcW w:w="1000" w:type="dxa"/>
            <w:vAlign w:val="center"/>
          </w:tcPr>
          <w:p w14:paraId="459C4858" w14:textId="77777777" w:rsidR="004D4DB7" w:rsidRPr="008F0E21" w:rsidRDefault="005540F4" w:rsidP="004D4DB7">
            <w:r w:rsidRPr="008F0E21">
              <w:rPr>
                <w:iCs/>
              </w:rPr>
              <w:t>0</w:t>
            </w:r>
          </w:p>
        </w:tc>
        <w:tc>
          <w:tcPr>
            <w:tcW w:w="1134" w:type="dxa"/>
            <w:vAlign w:val="center"/>
          </w:tcPr>
          <w:p w14:paraId="17902539" w14:textId="77777777" w:rsidR="004D4DB7" w:rsidRPr="008F0E21" w:rsidRDefault="005540F4" w:rsidP="004D4DB7">
            <w:r w:rsidRPr="008F0E21">
              <w:rPr>
                <w:iCs/>
              </w:rPr>
              <w:t>0</w:t>
            </w:r>
          </w:p>
        </w:tc>
        <w:tc>
          <w:tcPr>
            <w:tcW w:w="992" w:type="dxa"/>
            <w:vAlign w:val="center"/>
          </w:tcPr>
          <w:p w14:paraId="0FF0B99A" w14:textId="77777777" w:rsidR="004D4DB7" w:rsidRPr="008F0E21" w:rsidRDefault="005540F4" w:rsidP="004D4DB7">
            <w:r w:rsidRPr="008F0E21">
              <w:rPr>
                <w:iCs/>
              </w:rPr>
              <w:t>0</w:t>
            </w:r>
          </w:p>
        </w:tc>
        <w:tc>
          <w:tcPr>
            <w:tcW w:w="992" w:type="dxa"/>
            <w:vAlign w:val="center"/>
          </w:tcPr>
          <w:p w14:paraId="210CFDC6" w14:textId="77777777" w:rsidR="004D4DB7" w:rsidRPr="008F0E21" w:rsidRDefault="005540F4" w:rsidP="004D4DB7">
            <w:r w:rsidRPr="008F0E21">
              <w:rPr>
                <w:iCs/>
              </w:rPr>
              <w:t>0</w:t>
            </w:r>
          </w:p>
        </w:tc>
        <w:tc>
          <w:tcPr>
            <w:tcW w:w="1276" w:type="dxa"/>
            <w:vAlign w:val="center"/>
          </w:tcPr>
          <w:p w14:paraId="0A704A95" w14:textId="77777777" w:rsidR="004D4DB7" w:rsidRPr="008F0E21" w:rsidRDefault="005540F4" w:rsidP="004D4DB7">
            <w:r w:rsidRPr="008F0E21">
              <w:rPr>
                <w:iCs/>
              </w:rPr>
              <w:t>0</w:t>
            </w:r>
          </w:p>
        </w:tc>
      </w:tr>
      <w:tr w:rsidR="00552A2D" w14:paraId="7B118AD2" w14:textId="77777777" w:rsidTr="000A1EC2">
        <w:trPr>
          <w:jc w:val="center"/>
        </w:trPr>
        <w:tc>
          <w:tcPr>
            <w:tcW w:w="1702" w:type="dxa"/>
            <w:vAlign w:val="center"/>
          </w:tcPr>
          <w:p w14:paraId="79042D5B"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3.1. valsts pamatbudžets</w:t>
            </w:r>
          </w:p>
        </w:tc>
        <w:tc>
          <w:tcPr>
            <w:tcW w:w="992" w:type="dxa"/>
            <w:vAlign w:val="center"/>
          </w:tcPr>
          <w:p w14:paraId="304CFB83"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1459A962" w14:textId="3A0F1B01" w:rsidR="004D4DB7" w:rsidRPr="008F0E21" w:rsidRDefault="005540F4" w:rsidP="00801A5B">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w:t>
            </w:r>
            <w:r w:rsidR="00777C2E" w:rsidRPr="008F0E21">
              <w:rPr>
                <w:rFonts w:ascii="Times New Roman" w:hAnsi="Times New Roman" w:cs="Times New Roman"/>
                <w:iCs/>
                <w:sz w:val="24"/>
                <w:szCs w:val="24"/>
                <w:lang w:eastAsia="lv-LV"/>
              </w:rPr>
              <w:t>1</w:t>
            </w:r>
            <w:r w:rsidR="00801A5B">
              <w:rPr>
                <w:rFonts w:ascii="Times New Roman" w:hAnsi="Times New Roman" w:cs="Times New Roman"/>
                <w:iCs/>
                <w:sz w:val="24"/>
                <w:szCs w:val="24"/>
                <w:lang w:eastAsia="lv-LV"/>
              </w:rPr>
              <w:t>34 721</w:t>
            </w:r>
          </w:p>
        </w:tc>
        <w:tc>
          <w:tcPr>
            <w:tcW w:w="1000" w:type="dxa"/>
            <w:vAlign w:val="center"/>
          </w:tcPr>
          <w:p w14:paraId="4EC3D171" w14:textId="77777777" w:rsidR="004D4DB7" w:rsidRPr="008F0E21" w:rsidRDefault="005540F4" w:rsidP="004D4DB7">
            <w:r w:rsidRPr="008F0E21">
              <w:rPr>
                <w:iCs/>
              </w:rPr>
              <w:t>0</w:t>
            </w:r>
          </w:p>
        </w:tc>
        <w:tc>
          <w:tcPr>
            <w:tcW w:w="1134" w:type="dxa"/>
            <w:vAlign w:val="center"/>
          </w:tcPr>
          <w:p w14:paraId="4946C8C6" w14:textId="77777777" w:rsidR="004D4DB7" w:rsidRPr="008F0E21" w:rsidRDefault="005540F4" w:rsidP="004D4DB7">
            <w:r w:rsidRPr="008F0E21">
              <w:rPr>
                <w:iCs/>
              </w:rPr>
              <w:t>0</w:t>
            </w:r>
          </w:p>
        </w:tc>
        <w:tc>
          <w:tcPr>
            <w:tcW w:w="992" w:type="dxa"/>
            <w:vAlign w:val="center"/>
          </w:tcPr>
          <w:p w14:paraId="3B911CE9" w14:textId="77777777" w:rsidR="004D4DB7" w:rsidRPr="008F0E21" w:rsidRDefault="005540F4" w:rsidP="004D4DB7">
            <w:r w:rsidRPr="008F0E21">
              <w:rPr>
                <w:iCs/>
              </w:rPr>
              <w:t>0</w:t>
            </w:r>
          </w:p>
        </w:tc>
        <w:tc>
          <w:tcPr>
            <w:tcW w:w="992" w:type="dxa"/>
            <w:vAlign w:val="center"/>
          </w:tcPr>
          <w:p w14:paraId="490EED56" w14:textId="77777777" w:rsidR="004D4DB7" w:rsidRPr="008F0E21" w:rsidRDefault="005540F4" w:rsidP="004D4DB7">
            <w:r w:rsidRPr="008F0E21">
              <w:rPr>
                <w:iCs/>
              </w:rPr>
              <w:t>0</w:t>
            </w:r>
          </w:p>
        </w:tc>
        <w:tc>
          <w:tcPr>
            <w:tcW w:w="1276" w:type="dxa"/>
            <w:vAlign w:val="center"/>
          </w:tcPr>
          <w:p w14:paraId="5CB3DC26" w14:textId="77777777" w:rsidR="004D4DB7" w:rsidRPr="008F0E21" w:rsidRDefault="005540F4" w:rsidP="004D4DB7">
            <w:r w:rsidRPr="008F0E21">
              <w:rPr>
                <w:iCs/>
              </w:rPr>
              <w:t>0</w:t>
            </w:r>
          </w:p>
        </w:tc>
      </w:tr>
      <w:tr w:rsidR="00552A2D" w14:paraId="2E874BF3" w14:textId="77777777" w:rsidTr="000A1EC2">
        <w:trPr>
          <w:jc w:val="center"/>
        </w:trPr>
        <w:tc>
          <w:tcPr>
            <w:tcW w:w="1702" w:type="dxa"/>
            <w:vAlign w:val="center"/>
          </w:tcPr>
          <w:p w14:paraId="6B07A581"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3.2. speciālais budžets</w:t>
            </w:r>
          </w:p>
        </w:tc>
        <w:tc>
          <w:tcPr>
            <w:tcW w:w="992" w:type="dxa"/>
            <w:vAlign w:val="center"/>
          </w:tcPr>
          <w:p w14:paraId="1F653296"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08526D8D"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5D417185" w14:textId="77777777" w:rsidR="004D4DB7" w:rsidRPr="008F0E21" w:rsidRDefault="005540F4" w:rsidP="004D4DB7">
            <w:r w:rsidRPr="008F0E21">
              <w:rPr>
                <w:iCs/>
              </w:rPr>
              <w:t>0</w:t>
            </w:r>
          </w:p>
        </w:tc>
        <w:tc>
          <w:tcPr>
            <w:tcW w:w="1134" w:type="dxa"/>
            <w:vAlign w:val="center"/>
          </w:tcPr>
          <w:p w14:paraId="32ACD71B" w14:textId="77777777" w:rsidR="004D4DB7" w:rsidRPr="008F0E21" w:rsidRDefault="005540F4" w:rsidP="004D4DB7">
            <w:r w:rsidRPr="008F0E21">
              <w:rPr>
                <w:iCs/>
              </w:rPr>
              <w:t>0</w:t>
            </w:r>
          </w:p>
        </w:tc>
        <w:tc>
          <w:tcPr>
            <w:tcW w:w="992" w:type="dxa"/>
            <w:vAlign w:val="center"/>
          </w:tcPr>
          <w:p w14:paraId="2BC4EDD8" w14:textId="77777777" w:rsidR="004D4DB7" w:rsidRPr="008F0E21" w:rsidRDefault="005540F4" w:rsidP="004D4DB7">
            <w:r w:rsidRPr="008F0E21">
              <w:rPr>
                <w:iCs/>
              </w:rPr>
              <w:t>0</w:t>
            </w:r>
          </w:p>
        </w:tc>
        <w:tc>
          <w:tcPr>
            <w:tcW w:w="992" w:type="dxa"/>
            <w:vAlign w:val="center"/>
          </w:tcPr>
          <w:p w14:paraId="3CE53270" w14:textId="77777777" w:rsidR="004D4DB7" w:rsidRPr="008F0E21" w:rsidRDefault="005540F4" w:rsidP="004D4DB7">
            <w:r w:rsidRPr="008F0E21">
              <w:rPr>
                <w:iCs/>
              </w:rPr>
              <w:t>0</w:t>
            </w:r>
          </w:p>
        </w:tc>
        <w:tc>
          <w:tcPr>
            <w:tcW w:w="1276" w:type="dxa"/>
            <w:vAlign w:val="center"/>
          </w:tcPr>
          <w:p w14:paraId="3FCCCAA7" w14:textId="77777777" w:rsidR="004D4DB7" w:rsidRPr="008F0E21" w:rsidRDefault="005540F4" w:rsidP="004D4DB7">
            <w:r w:rsidRPr="008F0E21">
              <w:rPr>
                <w:iCs/>
              </w:rPr>
              <w:t>0</w:t>
            </w:r>
          </w:p>
        </w:tc>
      </w:tr>
      <w:tr w:rsidR="00552A2D" w14:paraId="118C796D" w14:textId="77777777" w:rsidTr="000A1EC2">
        <w:trPr>
          <w:jc w:val="center"/>
        </w:trPr>
        <w:tc>
          <w:tcPr>
            <w:tcW w:w="1702" w:type="dxa"/>
            <w:vAlign w:val="center"/>
          </w:tcPr>
          <w:p w14:paraId="1779769B"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3.3. pašvaldību budžets</w:t>
            </w:r>
          </w:p>
        </w:tc>
        <w:tc>
          <w:tcPr>
            <w:tcW w:w="992" w:type="dxa"/>
            <w:vAlign w:val="center"/>
          </w:tcPr>
          <w:p w14:paraId="29C7DD2B"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14:paraId="737C91AF"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14:paraId="0CEDE954" w14:textId="77777777" w:rsidR="004D4DB7" w:rsidRPr="008F0E21" w:rsidRDefault="005540F4" w:rsidP="004D4DB7">
            <w:r w:rsidRPr="008F0E21">
              <w:rPr>
                <w:iCs/>
              </w:rPr>
              <w:t>0</w:t>
            </w:r>
          </w:p>
        </w:tc>
        <w:tc>
          <w:tcPr>
            <w:tcW w:w="1134" w:type="dxa"/>
            <w:vAlign w:val="center"/>
          </w:tcPr>
          <w:p w14:paraId="1E1CEDA5" w14:textId="77777777" w:rsidR="004D4DB7" w:rsidRPr="008F0E21" w:rsidRDefault="005540F4" w:rsidP="004D4DB7">
            <w:r w:rsidRPr="008F0E21">
              <w:rPr>
                <w:iCs/>
              </w:rPr>
              <w:t>0</w:t>
            </w:r>
          </w:p>
        </w:tc>
        <w:tc>
          <w:tcPr>
            <w:tcW w:w="992" w:type="dxa"/>
            <w:vAlign w:val="center"/>
          </w:tcPr>
          <w:p w14:paraId="56D59A46" w14:textId="77777777" w:rsidR="004D4DB7" w:rsidRPr="008F0E21" w:rsidRDefault="005540F4" w:rsidP="004D4DB7">
            <w:r w:rsidRPr="008F0E21">
              <w:rPr>
                <w:iCs/>
              </w:rPr>
              <w:t>0</w:t>
            </w:r>
          </w:p>
        </w:tc>
        <w:tc>
          <w:tcPr>
            <w:tcW w:w="992" w:type="dxa"/>
            <w:vAlign w:val="center"/>
          </w:tcPr>
          <w:p w14:paraId="5B8C4645" w14:textId="77777777" w:rsidR="004D4DB7" w:rsidRPr="008F0E21" w:rsidRDefault="005540F4" w:rsidP="004D4DB7">
            <w:r w:rsidRPr="008F0E21">
              <w:rPr>
                <w:iCs/>
              </w:rPr>
              <w:t>0</w:t>
            </w:r>
          </w:p>
        </w:tc>
        <w:tc>
          <w:tcPr>
            <w:tcW w:w="1276" w:type="dxa"/>
            <w:vAlign w:val="center"/>
          </w:tcPr>
          <w:p w14:paraId="2F70B2EA" w14:textId="77777777" w:rsidR="004D4DB7" w:rsidRPr="008F0E21" w:rsidRDefault="005540F4" w:rsidP="004D4DB7">
            <w:r w:rsidRPr="008F0E21">
              <w:rPr>
                <w:iCs/>
              </w:rPr>
              <w:t>0</w:t>
            </w:r>
          </w:p>
        </w:tc>
      </w:tr>
      <w:tr w:rsidR="00552A2D" w14:paraId="4CF884A2" w14:textId="77777777" w:rsidTr="000A1EC2">
        <w:trPr>
          <w:jc w:val="center"/>
        </w:trPr>
        <w:tc>
          <w:tcPr>
            <w:tcW w:w="1702" w:type="dxa"/>
            <w:vAlign w:val="center"/>
          </w:tcPr>
          <w:p w14:paraId="551B09D6"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09553C46"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X</w:t>
            </w:r>
          </w:p>
        </w:tc>
        <w:tc>
          <w:tcPr>
            <w:tcW w:w="1268" w:type="dxa"/>
            <w:vAlign w:val="center"/>
          </w:tcPr>
          <w:p w14:paraId="25F601A1" w14:textId="6619D0B8" w:rsidR="004D4DB7" w:rsidRPr="008F0E21" w:rsidRDefault="005540F4" w:rsidP="00A15BAF">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w:t>
            </w:r>
            <w:r w:rsidR="00A15BAF">
              <w:rPr>
                <w:rFonts w:ascii="Times New Roman" w:hAnsi="Times New Roman" w:cs="Times New Roman"/>
                <w:iCs/>
                <w:sz w:val="24"/>
                <w:szCs w:val="24"/>
                <w:lang w:eastAsia="lv-LV"/>
              </w:rPr>
              <w:t>34 721</w:t>
            </w:r>
          </w:p>
        </w:tc>
        <w:tc>
          <w:tcPr>
            <w:tcW w:w="1000" w:type="dxa"/>
            <w:vAlign w:val="center"/>
          </w:tcPr>
          <w:p w14:paraId="69A939CE" w14:textId="77777777" w:rsidR="004D4DB7" w:rsidRPr="008F0E21" w:rsidRDefault="005540F4" w:rsidP="004D4DB7">
            <w:r w:rsidRPr="008F0E21">
              <w:rPr>
                <w:iCs/>
              </w:rPr>
              <w:t>0</w:t>
            </w:r>
          </w:p>
        </w:tc>
        <w:tc>
          <w:tcPr>
            <w:tcW w:w="1134" w:type="dxa"/>
            <w:vAlign w:val="center"/>
          </w:tcPr>
          <w:p w14:paraId="1C1B7625" w14:textId="77777777" w:rsidR="004D4DB7" w:rsidRPr="008F0E21" w:rsidRDefault="005540F4" w:rsidP="004D4DB7">
            <w:r w:rsidRPr="008F0E21">
              <w:rPr>
                <w:iCs/>
              </w:rPr>
              <w:t>0</w:t>
            </w:r>
          </w:p>
        </w:tc>
        <w:tc>
          <w:tcPr>
            <w:tcW w:w="992" w:type="dxa"/>
            <w:vAlign w:val="center"/>
          </w:tcPr>
          <w:p w14:paraId="649028E7" w14:textId="77777777" w:rsidR="004D4DB7" w:rsidRPr="008F0E21" w:rsidRDefault="005540F4" w:rsidP="004D4DB7">
            <w:r w:rsidRPr="008F0E21">
              <w:rPr>
                <w:iCs/>
              </w:rPr>
              <w:t>0</w:t>
            </w:r>
          </w:p>
        </w:tc>
        <w:tc>
          <w:tcPr>
            <w:tcW w:w="992" w:type="dxa"/>
            <w:vAlign w:val="center"/>
          </w:tcPr>
          <w:p w14:paraId="097E205B" w14:textId="77777777" w:rsidR="004D4DB7" w:rsidRPr="008F0E21" w:rsidRDefault="005540F4" w:rsidP="004D4DB7">
            <w:r w:rsidRPr="008F0E21">
              <w:rPr>
                <w:iCs/>
              </w:rPr>
              <w:t>0</w:t>
            </w:r>
          </w:p>
        </w:tc>
        <w:tc>
          <w:tcPr>
            <w:tcW w:w="1276" w:type="dxa"/>
            <w:vAlign w:val="center"/>
          </w:tcPr>
          <w:p w14:paraId="46ABEEE4" w14:textId="77777777" w:rsidR="004D4DB7" w:rsidRPr="008F0E21" w:rsidRDefault="005540F4" w:rsidP="004D4DB7">
            <w:r w:rsidRPr="008F0E21">
              <w:rPr>
                <w:iCs/>
              </w:rPr>
              <w:t>0</w:t>
            </w:r>
          </w:p>
        </w:tc>
      </w:tr>
      <w:tr w:rsidR="00552A2D" w14:paraId="3C3B7DB6" w14:textId="77777777" w:rsidTr="000A1EC2">
        <w:trPr>
          <w:jc w:val="center"/>
        </w:trPr>
        <w:tc>
          <w:tcPr>
            <w:tcW w:w="1702" w:type="dxa"/>
            <w:vAlign w:val="center"/>
          </w:tcPr>
          <w:p w14:paraId="75051297"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 Precizēta finansiālā ietekme</w:t>
            </w:r>
          </w:p>
        </w:tc>
        <w:tc>
          <w:tcPr>
            <w:tcW w:w="992" w:type="dxa"/>
            <w:vMerge w:val="restart"/>
            <w:vAlign w:val="center"/>
          </w:tcPr>
          <w:p w14:paraId="5EA71F98" w14:textId="77777777" w:rsidR="004D4DB7" w:rsidRPr="008F0E21" w:rsidRDefault="005540F4" w:rsidP="004D4DB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X</w:t>
            </w:r>
          </w:p>
        </w:tc>
        <w:tc>
          <w:tcPr>
            <w:tcW w:w="1268" w:type="dxa"/>
            <w:vAlign w:val="center"/>
          </w:tcPr>
          <w:p w14:paraId="4C73E40F" w14:textId="77777777" w:rsidR="004D4DB7" w:rsidRPr="008F0E21" w:rsidRDefault="005540F4" w:rsidP="004D4DB7">
            <w:r w:rsidRPr="008F0E21">
              <w:rPr>
                <w:iCs/>
              </w:rPr>
              <w:t>0</w:t>
            </w:r>
          </w:p>
        </w:tc>
        <w:tc>
          <w:tcPr>
            <w:tcW w:w="1000" w:type="dxa"/>
            <w:vMerge w:val="restart"/>
            <w:vAlign w:val="center"/>
          </w:tcPr>
          <w:p w14:paraId="1500E520" w14:textId="77777777" w:rsidR="004D4DB7" w:rsidRPr="008F0E21" w:rsidRDefault="005540F4" w:rsidP="004D4DB7">
            <w:r w:rsidRPr="008F0E21">
              <w:rPr>
                <w:iCs/>
              </w:rPr>
              <w:t>0</w:t>
            </w:r>
          </w:p>
        </w:tc>
        <w:tc>
          <w:tcPr>
            <w:tcW w:w="1134" w:type="dxa"/>
            <w:vAlign w:val="center"/>
          </w:tcPr>
          <w:p w14:paraId="5E62AFA6" w14:textId="77777777" w:rsidR="004D4DB7" w:rsidRPr="008F0E21" w:rsidRDefault="005540F4" w:rsidP="004D4DB7">
            <w:r w:rsidRPr="008F0E21">
              <w:rPr>
                <w:iCs/>
              </w:rPr>
              <w:t>0</w:t>
            </w:r>
          </w:p>
        </w:tc>
        <w:tc>
          <w:tcPr>
            <w:tcW w:w="992" w:type="dxa"/>
            <w:vMerge w:val="restart"/>
            <w:vAlign w:val="center"/>
          </w:tcPr>
          <w:p w14:paraId="0AF967E6" w14:textId="77777777" w:rsidR="004D4DB7" w:rsidRPr="008F0E21" w:rsidRDefault="005540F4" w:rsidP="004D4DB7">
            <w:r w:rsidRPr="008F0E21">
              <w:rPr>
                <w:iCs/>
              </w:rPr>
              <w:t>0</w:t>
            </w:r>
          </w:p>
        </w:tc>
        <w:tc>
          <w:tcPr>
            <w:tcW w:w="992" w:type="dxa"/>
            <w:vAlign w:val="center"/>
          </w:tcPr>
          <w:p w14:paraId="1D1387F2" w14:textId="77777777" w:rsidR="004D4DB7" w:rsidRPr="008F0E21" w:rsidRDefault="005540F4" w:rsidP="004D4DB7">
            <w:r w:rsidRPr="008F0E21">
              <w:rPr>
                <w:iCs/>
              </w:rPr>
              <w:t>0</w:t>
            </w:r>
          </w:p>
        </w:tc>
        <w:tc>
          <w:tcPr>
            <w:tcW w:w="1276" w:type="dxa"/>
            <w:vAlign w:val="center"/>
          </w:tcPr>
          <w:p w14:paraId="11531AE5" w14:textId="77777777" w:rsidR="004D4DB7" w:rsidRPr="008F0E21" w:rsidRDefault="005540F4" w:rsidP="004D4DB7">
            <w:r w:rsidRPr="008F0E21">
              <w:rPr>
                <w:iCs/>
              </w:rPr>
              <w:t>0</w:t>
            </w:r>
          </w:p>
        </w:tc>
      </w:tr>
      <w:tr w:rsidR="00552A2D" w14:paraId="3589B1D5" w14:textId="77777777" w:rsidTr="000A1EC2">
        <w:trPr>
          <w:jc w:val="center"/>
        </w:trPr>
        <w:tc>
          <w:tcPr>
            <w:tcW w:w="1702" w:type="dxa"/>
            <w:vAlign w:val="center"/>
          </w:tcPr>
          <w:p w14:paraId="515283A3"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5.1. valsts pamatbudžets</w:t>
            </w:r>
          </w:p>
        </w:tc>
        <w:tc>
          <w:tcPr>
            <w:tcW w:w="992" w:type="dxa"/>
            <w:vMerge/>
            <w:vAlign w:val="center"/>
          </w:tcPr>
          <w:p w14:paraId="6590D9DB" w14:textId="77777777" w:rsidR="004D4DB7" w:rsidRPr="008F0E21" w:rsidRDefault="004D4DB7" w:rsidP="004D4DB7">
            <w:pPr>
              <w:pStyle w:val="NoSpacing"/>
              <w:rPr>
                <w:rFonts w:ascii="Times New Roman" w:hAnsi="Times New Roman" w:cs="Times New Roman"/>
                <w:iCs/>
                <w:sz w:val="24"/>
                <w:szCs w:val="24"/>
                <w:lang w:eastAsia="lv-LV"/>
              </w:rPr>
            </w:pPr>
          </w:p>
        </w:tc>
        <w:tc>
          <w:tcPr>
            <w:tcW w:w="1268" w:type="dxa"/>
            <w:vAlign w:val="center"/>
          </w:tcPr>
          <w:p w14:paraId="01029801" w14:textId="77777777" w:rsidR="004D4DB7" w:rsidRPr="008F0E21" w:rsidRDefault="005540F4" w:rsidP="004D4DB7">
            <w:r w:rsidRPr="008F0E21">
              <w:rPr>
                <w:iCs/>
              </w:rPr>
              <w:t>0</w:t>
            </w:r>
          </w:p>
        </w:tc>
        <w:tc>
          <w:tcPr>
            <w:tcW w:w="1000" w:type="dxa"/>
            <w:vMerge/>
            <w:vAlign w:val="center"/>
          </w:tcPr>
          <w:p w14:paraId="5B8E11FD" w14:textId="77777777" w:rsidR="004D4DB7" w:rsidRPr="008F0E21" w:rsidRDefault="004D4DB7" w:rsidP="004D4DB7">
            <w:pPr>
              <w:pStyle w:val="NoSpacing"/>
              <w:rPr>
                <w:rFonts w:ascii="Times New Roman" w:hAnsi="Times New Roman" w:cs="Times New Roman"/>
                <w:iCs/>
                <w:sz w:val="24"/>
                <w:szCs w:val="24"/>
                <w:lang w:eastAsia="lv-LV"/>
              </w:rPr>
            </w:pPr>
          </w:p>
        </w:tc>
        <w:tc>
          <w:tcPr>
            <w:tcW w:w="1134" w:type="dxa"/>
            <w:vAlign w:val="center"/>
          </w:tcPr>
          <w:p w14:paraId="7454F684" w14:textId="77777777" w:rsidR="004D4DB7" w:rsidRPr="008F0E21" w:rsidRDefault="005540F4" w:rsidP="004D4DB7">
            <w:r w:rsidRPr="008F0E21">
              <w:rPr>
                <w:iCs/>
              </w:rPr>
              <w:t>0</w:t>
            </w:r>
          </w:p>
        </w:tc>
        <w:tc>
          <w:tcPr>
            <w:tcW w:w="992" w:type="dxa"/>
            <w:vMerge/>
            <w:vAlign w:val="center"/>
          </w:tcPr>
          <w:p w14:paraId="7A8228ED" w14:textId="77777777" w:rsidR="004D4DB7" w:rsidRPr="008F0E21" w:rsidRDefault="004D4DB7" w:rsidP="004D4DB7">
            <w:pPr>
              <w:pStyle w:val="NoSpacing"/>
              <w:rPr>
                <w:rFonts w:ascii="Times New Roman" w:hAnsi="Times New Roman" w:cs="Times New Roman"/>
                <w:iCs/>
                <w:sz w:val="24"/>
                <w:szCs w:val="24"/>
                <w:lang w:eastAsia="lv-LV"/>
              </w:rPr>
            </w:pPr>
          </w:p>
        </w:tc>
        <w:tc>
          <w:tcPr>
            <w:tcW w:w="992" w:type="dxa"/>
            <w:vAlign w:val="center"/>
          </w:tcPr>
          <w:p w14:paraId="6E68F96A" w14:textId="77777777" w:rsidR="004D4DB7" w:rsidRPr="008F0E21" w:rsidRDefault="005540F4" w:rsidP="004D4DB7">
            <w:r w:rsidRPr="008F0E21">
              <w:rPr>
                <w:iCs/>
              </w:rPr>
              <w:t>0</w:t>
            </w:r>
          </w:p>
        </w:tc>
        <w:tc>
          <w:tcPr>
            <w:tcW w:w="1276" w:type="dxa"/>
            <w:vAlign w:val="center"/>
          </w:tcPr>
          <w:p w14:paraId="4C35584F" w14:textId="77777777" w:rsidR="004D4DB7" w:rsidRPr="008F0E21" w:rsidRDefault="005540F4" w:rsidP="004D4DB7">
            <w:r w:rsidRPr="008F0E21">
              <w:rPr>
                <w:iCs/>
              </w:rPr>
              <w:t>0</w:t>
            </w:r>
          </w:p>
        </w:tc>
      </w:tr>
      <w:tr w:rsidR="00552A2D" w14:paraId="47615B2A" w14:textId="77777777" w:rsidTr="000A1EC2">
        <w:trPr>
          <w:jc w:val="center"/>
        </w:trPr>
        <w:tc>
          <w:tcPr>
            <w:tcW w:w="1702" w:type="dxa"/>
            <w:vAlign w:val="center"/>
          </w:tcPr>
          <w:p w14:paraId="7E77F7C4"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5.2. speciālais budžets</w:t>
            </w:r>
          </w:p>
        </w:tc>
        <w:tc>
          <w:tcPr>
            <w:tcW w:w="992" w:type="dxa"/>
            <w:vMerge/>
            <w:vAlign w:val="center"/>
          </w:tcPr>
          <w:p w14:paraId="5B690DAB" w14:textId="77777777" w:rsidR="004D4DB7" w:rsidRPr="008F0E21" w:rsidRDefault="004D4DB7" w:rsidP="004D4DB7">
            <w:pPr>
              <w:pStyle w:val="NoSpacing"/>
              <w:rPr>
                <w:rFonts w:ascii="Times New Roman" w:hAnsi="Times New Roman" w:cs="Times New Roman"/>
                <w:iCs/>
                <w:sz w:val="24"/>
                <w:szCs w:val="24"/>
                <w:lang w:eastAsia="lv-LV"/>
              </w:rPr>
            </w:pPr>
          </w:p>
        </w:tc>
        <w:tc>
          <w:tcPr>
            <w:tcW w:w="1268" w:type="dxa"/>
            <w:vAlign w:val="center"/>
          </w:tcPr>
          <w:p w14:paraId="683E2F83" w14:textId="77777777" w:rsidR="004D4DB7" w:rsidRPr="008F0E21" w:rsidRDefault="005540F4" w:rsidP="004D4DB7">
            <w:r w:rsidRPr="008F0E21">
              <w:rPr>
                <w:iCs/>
              </w:rPr>
              <w:t>0</w:t>
            </w:r>
          </w:p>
        </w:tc>
        <w:tc>
          <w:tcPr>
            <w:tcW w:w="1000" w:type="dxa"/>
            <w:vMerge/>
            <w:vAlign w:val="center"/>
          </w:tcPr>
          <w:p w14:paraId="34B19EFD" w14:textId="77777777" w:rsidR="004D4DB7" w:rsidRPr="008F0E21" w:rsidRDefault="004D4DB7" w:rsidP="004D4DB7">
            <w:pPr>
              <w:pStyle w:val="NoSpacing"/>
              <w:rPr>
                <w:rFonts w:ascii="Times New Roman" w:hAnsi="Times New Roman" w:cs="Times New Roman"/>
                <w:iCs/>
                <w:sz w:val="24"/>
                <w:szCs w:val="24"/>
                <w:lang w:eastAsia="lv-LV"/>
              </w:rPr>
            </w:pPr>
          </w:p>
        </w:tc>
        <w:tc>
          <w:tcPr>
            <w:tcW w:w="1134" w:type="dxa"/>
            <w:vAlign w:val="center"/>
          </w:tcPr>
          <w:p w14:paraId="1D2D270E" w14:textId="77777777" w:rsidR="004D4DB7" w:rsidRPr="008F0E21" w:rsidRDefault="005540F4" w:rsidP="004D4DB7">
            <w:r w:rsidRPr="008F0E21">
              <w:rPr>
                <w:iCs/>
              </w:rPr>
              <w:t>0</w:t>
            </w:r>
          </w:p>
        </w:tc>
        <w:tc>
          <w:tcPr>
            <w:tcW w:w="992" w:type="dxa"/>
            <w:vMerge/>
            <w:vAlign w:val="center"/>
          </w:tcPr>
          <w:p w14:paraId="68400113" w14:textId="77777777" w:rsidR="004D4DB7" w:rsidRPr="008F0E21" w:rsidRDefault="004D4DB7" w:rsidP="004D4DB7">
            <w:pPr>
              <w:pStyle w:val="NoSpacing"/>
              <w:rPr>
                <w:rFonts w:ascii="Times New Roman" w:hAnsi="Times New Roman" w:cs="Times New Roman"/>
                <w:iCs/>
                <w:sz w:val="24"/>
                <w:szCs w:val="24"/>
                <w:lang w:eastAsia="lv-LV"/>
              </w:rPr>
            </w:pPr>
          </w:p>
        </w:tc>
        <w:tc>
          <w:tcPr>
            <w:tcW w:w="992" w:type="dxa"/>
            <w:vAlign w:val="center"/>
          </w:tcPr>
          <w:p w14:paraId="7A76308F" w14:textId="77777777" w:rsidR="004D4DB7" w:rsidRPr="008F0E21" w:rsidRDefault="005540F4" w:rsidP="004D4DB7">
            <w:r w:rsidRPr="008F0E21">
              <w:rPr>
                <w:iCs/>
              </w:rPr>
              <w:t>0</w:t>
            </w:r>
          </w:p>
        </w:tc>
        <w:tc>
          <w:tcPr>
            <w:tcW w:w="1276" w:type="dxa"/>
            <w:vAlign w:val="center"/>
          </w:tcPr>
          <w:p w14:paraId="2331C50D" w14:textId="77777777" w:rsidR="004D4DB7" w:rsidRPr="008F0E21" w:rsidRDefault="005540F4" w:rsidP="004D4DB7">
            <w:r w:rsidRPr="008F0E21">
              <w:rPr>
                <w:iCs/>
              </w:rPr>
              <w:t>0</w:t>
            </w:r>
          </w:p>
        </w:tc>
      </w:tr>
      <w:tr w:rsidR="00552A2D" w14:paraId="758E88B5" w14:textId="77777777" w:rsidTr="000A1EC2">
        <w:trPr>
          <w:jc w:val="center"/>
        </w:trPr>
        <w:tc>
          <w:tcPr>
            <w:tcW w:w="1702" w:type="dxa"/>
            <w:vAlign w:val="center"/>
          </w:tcPr>
          <w:p w14:paraId="7CF3331F"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5.3. pašvaldību budžets</w:t>
            </w:r>
          </w:p>
        </w:tc>
        <w:tc>
          <w:tcPr>
            <w:tcW w:w="992" w:type="dxa"/>
            <w:vMerge/>
            <w:vAlign w:val="center"/>
          </w:tcPr>
          <w:p w14:paraId="18FD1670" w14:textId="77777777" w:rsidR="004D4DB7" w:rsidRPr="008F0E21" w:rsidRDefault="004D4DB7" w:rsidP="004D4DB7">
            <w:pPr>
              <w:pStyle w:val="NoSpacing"/>
              <w:rPr>
                <w:rFonts w:ascii="Times New Roman" w:hAnsi="Times New Roman" w:cs="Times New Roman"/>
                <w:iCs/>
                <w:sz w:val="24"/>
                <w:szCs w:val="24"/>
                <w:lang w:eastAsia="lv-LV"/>
              </w:rPr>
            </w:pPr>
          </w:p>
        </w:tc>
        <w:tc>
          <w:tcPr>
            <w:tcW w:w="1268" w:type="dxa"/>
            <w:vAlign w:val="center"/>
          </w:tcPr>
          <w:p w14:paraId="40528900" w14:textId="77777777" w:rsidR="004D4DB7" w:rsidRPr="008F0E21" w:rsidRDefault="005540F4" w:rsidP="004D4DB7">
            <w:r w:rsidRPr="008F0E21">
              <w:rPr>
                <w:iCs/>
              </w:rPr>
              <w:t>0</w:t>
            </w:r>
          </w:p>
        </w:tc>
        <w:tc>
          <w:tcPr>
            <w:tcW w:w="1000" w:type="dxa"/>
            <w:vMerge/>
            <w:vAlign w:val="center"/>
          </w:tcPr>
          <w:p w14:paraId="395E9553" w14:textId="77777777" w:rsidR="004D4DB7" w:rsidRPr="008F0E21" w:rsidRDefault="004D4DB7" w:rsidP="004D4DB7">
            <w:pPr>
              <w:pStyle w:val="NoSpacing"/>
              <w:rPr>
                <w:rFonts w:ascii="Times New Roman" w:hAnsi="Times New Roman" w:cs="Times New Roman"/>
                <w:iCs/>
                <w:sz w:val="24"/>
                <w:szCs w:val="24"/>
                <w:lang w:eastAsia="lv-LV"/>
              </w:rPr>
            </w:pPr>
          </w:p>
        </w:tc>
        <w:tc>
          <w:tcPr>
            <w:tcW w:w="1134" w:type="dxa"/>
            <w:vAlign w:val="center"/>
          </w:tcPr>
          <w:p w14:paraId="7C936033" w14:textId="77777777" w:rsidR="004D4DB7" w:rsidRPr="008F0E21" w:rsidRDefault="005540F4" w:rsidP="004D4DB7">
            <w:r w:rsidRPr="008F0E21">
              <w:rPr>
                <w:iCs/>
              </w:rPr>
              <w:t>0</w:t>
            </w:r>
          </w:p>
        </w:tc>
        <w:tc>
          <w:tcPr>
            <w:tcW w:w="992" w:type="dxa"/>
            <w:vMerge/>
            <w:vAlign w:val="center"/>
          </w:tcPr>
          <w:p w14:paraId="3CDE7692" w14:textId="77777777" w:rsidR="004D4DB7" w:rsidRPr="008F0E21" w:rsidRDefault="004D4DB7" w:rsidP="004D4DB7">
            <w:pPr>
              <w:pStyle w:val="NoSpacing"/>
              <w:rPr>
                <w:rFonts w:ascii="Times New Roman" w:hAnsi="Times New Roman" w:cs="Times New Roman"/>
                <w:iCs/>
                <w:sz w:val="24"/>
                <w:szCs w:val="24"/>
                <w:lang w:eastAsia="lv-LV"/>
              </w:rPr>
            </w:pPr>
          </w:p>
        </w:tc>
        <w:tc>
          <w:tcPr>
            <w:tcW w:w="992" w:type="dxa"/>
            <w:vAlign w:val="center"/>
          </w:tcPr>
          <w:p w14:paraId="3D778433" w14:textId="77777777" w:rsidR="004D4DB7" w:rsidRPr="008F0E21" w:rsidRDefault="005540F4" w:rsidP="004D4DB7">
            <w:r w:rsidRPr="008F0E21">
              <w:rPr>
                <w:iCs/>
              </w:rPr>
              <w:t>0</w:t>
            </w:r>
          </w:p>
        </w:tc>
        <w:tc>
          <w:tcPr>
            <w:tcW w:w="1276" w:type="dxa"/>
            <w:vAlign w:val="center"/>
          </w:tcPr>
          <w:p w14:paraId="2D17651B" w14:textId="77777777" w:rsidR="004D4DB7" w:rsidRPr="008F0E21" w:rsidRDefault="005540F4" w:rsidP="004D4DB7">
            <w:r w:rsidRPr="008F0E21">
              <w:rPr>
                <w:iCs/>
              </w:rPr>
              <w:t>0</w:t>
            </w:r>
          </w:p>
        </w:tc>
      </w:tr>
      <w:tr w:rsidR="00552A2D" w14:paraId="3156560C" w14:textId="77777777" w:rsidTr="002824A8">
        <w:trPr>
          <w:jc w:val="center"/>
        </w:trPr>
        <w:tc>
          <w:tcPr>
            <w:tcW w:w="1702" w:type="dxa"/>
            <w:vAlign w:val="center"/>
          </w:tcPr>
          <w:p w14:paraId="781F8807" w14:textId="77777777" w:rsidR="004D4DB7" w:rsidRPr="008F0E21" w:rsidRDefault="005540F4" w:rsidP="004D4DB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6. Detalizēts ieņēmumu un izdevumu aprēķins (ja nepieciešams, detalizētu ieņēmumu un izdevumu aprēķinu var </w:t>
            </w:r>
            <w:r w:rsidRPr="008F0E21">
              <w:rPr>
                <w:rFonts w:ascii="Times New Roman" w:hAnsi="Times New Roman" w:cs="Times New Roman"/>
                <w:iCs/>
                <w:sz w:val="24"/>
                <w:szCs w:val="24"/>
                <w:lang w:eastAsia="lv-LV"/>
              </w:rPr>
              <w:lastRenderedPageBreak/>
              <w:t>pievienot anotācijas pielikumā)</w:t>
            </w:r>
          </w:p>
        </w:tc>
        <w:tc>
          <w:tcPr>
            <w:tcW w:w="7654" w:type="dxa"/>
            <w:gridSpan w:val="7"/>
            <w:vMerge w:val="restart"/>
            <w:shd w:val="clear" w:color="auto" w:fill="auto"/>
          </w:tcPr>
          <w:p w14:paraId="04C365AF" w14:textId="3EA0F61D" w:rsidR="002C02D6" w:rsidRPr="007E4970" w:rsidRDefault="00C52800" w:rsidP="001C73B6">
            <w:pPr>
              <w:pStyle w:val="tv213"/>
              <w:tabs>
                <w:tab w:val="left" w:pos="709"/>
              </w:tabs>
              <w:spacing w:before="0" w:beforeAutospacing="0" w:after="0" w:afterAutospacing="0"/>
              <w:ind w:firstLine="313"/>
              <w:jc w:val="both"/>
              <w:rPr>
                <w:i/>
              </w:rPr>
            </w:pPr>
            <w:r>
              <w:lastRenderedPageBreak/>
              <w:t>Rīkojuma projekts</w:t>
            </w:r>
            <w:r w:rsidRPr="00C52800">
              <w:t xml:space="preserve"> paredz </w:t>
            </w:r>
            <w:r w:rsidR="00755A5F" w:rsidRPr="00755A5F">
              <w:t xml:space="preserve">no valsts budžeta programmas 02.00.00 “Līdzekļi neparedzētiem gadījumiem” piešķirt Iekšlietu ministrijai (Iekšlietu ministrijas Informācijas centram) 134 721 </w:t>
            </w:r>
            <w:r w:rsidR="00755A5F" w:rsidRPr="001C73B6">
              <w:rPr>
                <w:i/>
              </w:rPr>
              <w:t>euro</w:t>
            </w:r>
            <w:r w:rsidR="00755A5F" w:rsidRPr="00755A5F">
              <w:t xml:space="preserve">, lai segtu izdevumus par </w:t>
            </w:r>
            <w:r w:rsidR="002411CB" w:rsidRPr="002411CB">
              <w:t>Integrētā</w:t>
            </w:r>
            <w:r w:rsidR="002411CB">
              <w:t>s</w:t>
            </w:r>
            <w:r w:rsidR="002411CB" w:rsidRPr="002411CB">
              <w:t xml:space="preserve"> iekšlietu informācijas sistēma</w:t>
            </w:r>
            <w:r w:rsidR="002411CB">
              <w:t>s</w:t>
            </w:r>
            <w:r w:rsidR="00755A5F" w:rsidRPr="00755A5F">
              <w:t xml:space="preserve"> pilnveidošanu </w:t>
            </w:r>
            <w:r w:rsidR="00755A5F">
              <w:t>un datu pārbaudi tajā</w:t>
            </w:r>
            <w:r w:rsidRPr="00C52800">
              <w:t>.</w:t>
            </w:r>
            <w:r>
              <w:t xml:space="preserve"> I</w:t>
            </w:r>
            <w:r w:rsidR="002C02D6" w:rsidRPr="007E4970">
              <w:t xml:space="preserve">zmaiņu </w:t>
            </w:r>
            <w:r w:rsidR="007C0267" w:rsidRPr="007E4970">
              <w:t>veikšan</w:t>
            </w:r>
            <w:r w:rsidR="007C0267">
              <w:t>a</w:t>
            </w:r>
            <w:r w:rsidR="007C0267" w:rsidRPr="007E4970">
              <w:t xml:space="preserve"> </w:t>
            </w:r>
            <w:r w:rsidR="002411CB">
              <w:t>Integrētajā</w:t>
            </w:r>
            <w:r w:rsidR="002411CB" w:rsidRPr="002411CB">
              <w:t xml:space="preserve"> iekšlietu informācijas sistēm</w:t>
            </w:r>
            <w:r w:rsidR="002411CB">
              <w:t xml:space="preserve">ā </w:t>
            </w:r>
            <w:r>
              <w:t>paredz</w:t>
            </w:r>
            <w:r w:rsidR="002C02D6" w:rsidRPr="007E4970">
              <w:t xml:space="preserve"> rīka izstrād</w:t>
            </w:r>
            <w:r w:rsidR="00801A5B">
              <w:t>i</w:t>
            </w:r>
            <w:r>
              <w:t>,</w:t>
            </w:r>
            <w:r w:rsidR="00801A5B">
              <w:t xml:space="preserve"> kas nodrošinās</w:t>
            </w:r>
            <w:r w:rsidR="002C02D6" w:rsidRPr="007E4970">
              <w:t xml:space="preserve"> automātisku nodokļu maksātāja un tā valdes locekļu atbilstības iepriekšējās sodāmības kritērijam izvērtēšanu. Procedūras ietvaros tiks pārbaudīts vai personai noteiktā laika periodā atbilstoši </w:t>
            </w:r>
            <w:r>
              <w:t>n</w:t>
            </w:r>
            <w:r w:rsidRPr="007E4970">
              <w:t xml:space="preserve">oteikumu </w:t>
            </w:r>
            <w:r w:rsidR="002C02D6" w:rsidRPr="007E4970">
              <w:lastRenderedPageBreak/>
              <w:t>projektā paredzētajiem kritērijiem nav piemērots sods p</w:t>
            </w:r>
            <w:r w:rsidR="00801A5B">
              <w:t>ar attiecīgiem likumpārkāpumiem</w:t>
            </w:r>
            <w:r w:rsidR="002C02D6" w:rsidRPr="007E4970">
              <w:t xml:space="preserve">: </w:t>
            </w:r>
          </w:p>
          <w:p w14:paraId="5720A757" w14:textId="1F420AF0" w:rsidR="002C02D6" w:rsidRPr="007E4970" w:rsidRDefault="002C02D6" w:rsidP="002C02D6">
            <w:pPr>
              <w:pStyle w:val="FootnoteText"/>
              <w:jc w:val="both"/>
              <w:rPr>
                <w:rFonts w:ascii="Times New Roman" w:hAnsi="Times New Roman" w:cs="Times New Roman"/>
                <w:sz w:val="24"/>
                <w:szCs w:val="24"/>
                <w:lang w:eastAsia="lv-LV"/>
              </w:rPr>
            </w:pPr>
            <w:r w:rsidRPr="007E4970">
              <w:rPr>
                <w:rFonts w:ascii="Times New Roman" w:hAnsi="Times New Roman" w:cs="Times New Roman"/>
                <w:sz w:val="24"/>
                <w:szCs w:val="24"/>
              </w:rPr>
              <w:t>250</w:t>
            </w:r>
            <w:r w:rsidR="00203138">
              <w:rPr>
                <w:rFonts w:ascii="Times New Roman" w:hAnsi="Times New Roman" w:cs="Times New Roman"/>
                <w:sz w:val="24"/>
                <w:szCs w:val="24"/>
              </w:rPr>
              <w:t>,</w:t>
            </w:r>
            <w:r w:rsidRPr="007E4970">
              <w:rPr>
                <w:rFonts w:ascii="Times New Roman" w:hAnsi="Times New Roman" w:cs="Times New Roman"/>
                <w:sz w:val="24"/>
                <w:szCs w:val="24"/>
              </w:rPr>
              <w:t>2¹ cilvēkdienas x 5</w:t>
            </w:r>
            <w:r w:rsidR="007E4970" w:rsidRPr="007E4970">
              <w:rPr>
                <w:rFonts w:ascii="Times New Roman" w:hAnsi="Times New Roman" w:cs="Times New Roman"/>
                <w:sz w:val="24"/>
                <w:szCs w:val="24"/>
              </w:rPr>
              <w:t>38</w:t>
            </w:r>
            <w:r w:rsidRPr="007E4970">
              <w:rPr>
                <w:rFonts w:ascii="Times New Roman" w:hAnsi="Times New Roman" w:cs="Times New Roman"/>
                <w:sz w:val="24"/>
                <w:szCs w:val="24"/>
              </w:rPr>
              <w:t>,</w:t>
            </w:r>
            <w:r w:rsidR="007E4970" w:rsidRPr="007E4970">
              <w:rPr>
                <w:rFonts w:ascii="Times New Roman" w:hAnsi="Times New Roman" w:cs="Times New Roman"/>
                <w:sz w:val="24"/>
                <w:szCs w:val="24"/>
              </w:rPr>
              <w:t>45</w:t>
            </w:r>
            <w:r w:rsidRPr="007E4970">
              <w:rPr>
                <w:rFonts w:ascii="Times New Roman" w:hAnsi="Times New Roman" w:cs="Times New Roman"/>
                <w:sz w:val="24"/>
                <w:szCs w:val="24"/>
              </w:rPr>
              <w:t xml:space="preserve">² </w:t>
            </w:r>
            <w:r w:rsidRPr="007E4970">
              <w:rPr>
                <w:rFonts w:ascii="Times New Roman" w:hAnsi="Times New Roman" w:cs="Times New Roman"/>
                <w:i/>
                <w:sz w:val="24"/>
                <w:szCs w:val="24"/>
              </w:rPr>
              <w:t>euro</w:t>
            </w:r>
            <w:r w:rsidRPr="007E4970">
              <w:rPr>
                <w:rFonts w:ascii="Times New Roman" w:hAnsi="Times New Roman" w:cs="Times New Roman"/>
                <w:sz w:val="24"/>
                <w:szCs w:val="24"/>
              </w:rPr>
              <w:t xml:space="preserve"> = 13</w:t>
            </w:r>
            <w:r w:rsidR="007E4970" w:rsidRPr="007E4970">
              <w:rPr>
                <w:rFonts w:ascii="Times New Roman" w:hAnsi="Times New Roman" w:cs="Times New Roman"/>
                <w:sz w:val="24"/>
                <w:szCs w:val="24"/>
              </w:rPr>
              <w:t>4</w:t>
            </w:r>
            <w:r w:rsidRPr="007E4970">
              <w:rPr>
                <w:rFonts w:ascii="Times New Roman" w:hAnsi="Times New Roman" w:cs="Times New Roman"/>
                <w:sz w:val="24"/>
                <w:szCs w:val="24"/>
              </w:rPr>
              <w:t xml:space="preserve"> </w:t>
            </w:r>
            <w:r w:rsidR="007E4970" w:rsidRPr="007E4970">
              <w:rPr>
                <w:rFonts w:ascii="Times New Roman" w:hAnsi="Times New Roman" w:cs="Times New Roman"/>
                <w:sz w:val="24"/>
                <w:szCs w:val="24"/>
              </w:rPr>
              <w:t>721</w:t>
            </w:r>
            <w:r w:rsidRPr="007E4970">
              <w:rPr>
                <w:rFonts w:ascii="Times New Roman" w:hAnsi="Times New Roman" w:cs="Times New Roman"/>
                <w:sz w:val="24"/>
                <w:szCs w:val="24"/>
              </w:rPr>
              <w:t xml:space="preserve"> </w:t>
            </w:r>
            <w:r w:rsidRPr="007E4970">
              <w:rPr>
                <w:rFonts w:ascii="Times New Roman" w:hAnsi="Times New Roman" w:cs="Times New Roman"/>
                <w:i/>
                <w:sz w:val="24"/>
                <w:szCs w:val="24"/>
              </w:rPr>
              <w:t>euro</w:t>
            </w:r>
            <w:r w:rsidRPr="007E4970">
              <w:rPr>
                <w:rFonts w:ascii="Times New Roman" w:hAnsi="Times New Roman" w:cs="Times New Roman"/>
                <w:sz w:val="24"/>
                <w:szCs w:val="24"/>
              </w:rPr>
              <w:t xml:space="preserve"> </w:t>
            </w:r>
            <w:r w:rsidRPr="007E4970">
              <w:rPr>
                <w:rFonts w:ascii="Times New Roman" w:eastAsia="Times New Roman" w:hAnsi="Times New Roman" w:cs="Times New Roman"/>
                <w:sz w:val="24"/>
                <w:szCs w:val="24"/>
                <w:lang w:eastAsia="lv-LV"/>
              </w:rPr>
              <w:t>(ar pievienotās vērtības nodokli)</w:t>
            </w:r>
            <w:r w:rsidRPr="007E4970">
              <w:rPr>
                <w:rFonts w:ascii="Times New Roman" w:hAnsi="Times New Roman" w:cs="Times New Roman"/>
                <w:sz w:val="24"/>
                <w:szCs w:val="24"/>
              </w:rPr>
              <w:t xml:space="preserve"> </w:t>
            </w:r>
            <w:r w:rsidRPr="007E4970">
              <w:rPr>
                <w:rFonts w:ascii="Times New Roman" w:hAnsi="Times New Roman" w:cs="Times New Roman"/>
                <w:sz w:val="24"/>
                <w:szCs w:val="24"/>
                <w:lang w:eastAsia="lv-LV"/>
              </w:rPr>
              <w:t>(EKK 5140 “Nemateriālo ieguldījumu izveidošana”)</w:t>
            </w:r>
          </w:p>
          <w:p w14:paraId="1AC09A5C" w14:textId="017AD983" w:rsidR="002C02D6" w:rsidRPr="007E4970" w:rsidRDefault="002C02D6" w:rsidP="002C02D6">
            <w:pPr>
              <w:ind w:right="102"/>
              <w:jc w:val="both"/>
            </w:pPr>
            <w:r w:rsidRPr="007E4970">
              <w:t>¹</w:t>
            </w:r>
            <w:r w:rsidRPr="007E4970">
              <w:rPr>
                <w:sz w:val="20"/>
                <w:szCs w:val="20"/>
              </w:rPr>
              <w:t>Cilvēkdienu skaits aprēķināts, pamatojoties uz</w:t>
            </w:r>
            <w:r w:rsidR="00297507">
              <w:rPr>
                <w:sz w:val="20"/>
                <w:szCs w:val="20"/>
              </w:rPr>
              <w:t xml:space="preserve"> izvirzīto prasību realizācijas novērtējumu</w:t>
            </w:r>
            <w:r w:rsidRPr="007E4970">
              <w:t>.</w:t>
            </w:r>
          </w:p>
          <w:p w14:paraId="69EE8885" w14:textId="59105EEB" w:rsidR="002C02D6" w:rsidRPr="007E4970" w:rsidRDefault="002C02D6" w:rsidP="002C02D6">
            <w:pPr>
              <w:rPr>
                <w:rFonts w:eastAsia="Arial"/>
                <w:sz w:val="20"/>
                <w:szCs w:val="20"/>
              </w:rPr>
            </w:pPr>
            <w:r w:rsidRPr="007E4970">
              <w:t>²</w:t>
            </w:r>
            <w:r w:rsidRPr="007E4970">
              <w:rPr>
                <w:sz w:val="20"/>
                <w:szCs w:val="20"/>
              </w:rPr>
              <w:t>Vienas cilvēkdienas izmaksas saskaņā ar</w:t>
            </w:r>
            <w:r w:rsidR="007E4970" w:rsidRPr="007E4970">
              <w:rPr>
                <w:sz w:val="20"/>
                <w:szCs w:val="20"/>
              </w:rPr>
              <w:t xml:space="preserve"> šobrīd spēkā</w:t>
            </w:r>
            <w:r w:rsidR="00297507">
              <w:rPr>
                <w:sz w:val="20"/>
                <w:szCs w:val="20"/>
              </w:rPr>
              <w:t xml:space="preserve"> esošo</w:t>
            </w:r>
            <w:r w:rsidR="00801A5B">
              <w:rPr>
                <w:sz w:val="20"/>
                <w:szCs w:val="20"/>
              </w:rPr>
              <w:t xml:space="preserve"> iepirkumu par informācijas sistēmu</w:t>
            </w:r>
            <w:r w:rsidR="00297507">
              <w:rPr>
                <w:sz w:val="20"/>
                <w:szCs w:val="20"/>
              </w:rPr>
              <w:t xml:space="preserve"> pilnveidošanu,</w:t>
            </w:r>
            <w:r w:rsidR="00801A5B">
              <w:rPr>
                <w:sz w:val="20"/>
                <w:szCs w:val="20"/>
              </w:rPr>
              <w:t xml:space="preserve"> uzturēšanu</w:t>
            </w:r>
            <w:r w:rsidRPr="007E4970">
              <w:rPr>
                <w:sz w:val="20"/>
                <w:szCs w:val="20"/>
              </w:rPr>
              <w:t>.</w:t>
            </w:r>
          </w:p>
          <w:p w14:paraId="7135A05F" w14:textId="2E8F6277" w:rsidR="004D4DB7" w:rsidRPr="008F0E21" w:rsidRDefault="004D4DB7" w:rsidP="004D4DB7">
            <w:pPr>
              <w:pStyle w:val="tv213"/>
              <w:tabs>
                <w:tab w:val="left" w:pos="709"/>
              </w:tabs>
              <w:spacing w:before="0" w:beforeAutospacing="0" w:after="0" w:afterAutospacing="0"/>
              <w:jc w:val="both"/>
              <w:rPr>
                <w:bCs/>
              </w:rPr>
            </w:pPr>
          </w:p>
        </w:tc>
      </w:tr>
      <w:tr w:rsidR="00552A2D" w14:paraId="7B25F4E8" w14:textId="77777777" w:rsidTr="002824A8">
        <w:trPr>
          <w:jc w:val="center"/>
        </w:trPr>
        <w:tc>
          <w:tcPr>
            <w:tcW w:w="1702" w:type="dxa"/>
            <w:vAlign w:val="center"/>
          </w:tcPr>
          <w:p w14:paraId="582FD5D0" w14:textId="77777777" w:rsidR="004D4DB7" w:rsidRPr="00EC6E12" w:rsidRDefault="005540F4" w:rsidP="004D4DB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3E2A6308" w14:textId="77777777" w:rsidR="004D4DB7" w:rsidRPr="00EC6E12" w:rsidRDefault="004D4DB7" w:rsidP="004D4DB7">
            <w:pPr>
              <w:pStyle w:val="NoSpacing"/>
              <w:rPr>
                <w:rFonts w:ascii="Times New Roman" w:hAnsi="Times New Roman" w:cs="Times New Roman"/>
                <w:iCs/>
                <w:sz w:val="24"/>
                <w:szCs w:val="24"/>
                <w:lang w:eastAsia="lv-LV"/>
              </w:rPr>
            </w:pPr>
          </w:p>
        </w:tc>
      </w:tr>
      <w:tr w:rsidR="00552A2D" w14:paraId="6E3F7E41" w14:textId="77777777" w:rsidTr="002824A8">
        <w:trPr>
          <w:jc w:val="center"/>
        </w:trPr>
        <w:tc>
          <w:tcPr>
            <w:tcW w:w="1702" w:type="dxa"/>
            <w:vAlign w:val="center"/>
          </w:tcPr>
          <w:p w14:paraId="7A3161A9" w14:textId="77777777" w:rsidR="004D4DB7" w:rsidRPr="00EC6E12" w:rsidRDefault="005540F4" w:rsidP="004D4DB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537C9A7D" w14:textId="77777777" w:rsidR="004D4DB7" w:rsidRPr="00EC6E12" w:rsidRDefault="004D4DB7" w:rsidP="004D4DB7">
            <w:pPr>
              <w:pStyle w:val="NoSpacing"/>
              <w:rPr>
                <w:rFonts w:ascii="Times New Roman" w:hAnsi="Times New Roman" w:cs="Times New Roman"/>
                <w:iCs/>
                <w:sz w:val="24"/>
                <w:szCs w:val="24"/>
                <w:lang w:eastAsia="lv-LV"/>
              </w:rPr>
            </w:pPr>
          </w:p>
        </w:tc>
      </w:tr>
      <w:tr w:rsidR="00552A2D" w14:paraId="0D150743" w14:textId="77777777" w:rsidTr="002824A8">
        <w:trPr>
          <w:jc w:val="center"/>
        </w:trPr>
        <w:tc>
          <w:tcPr>
            <w:tcW w:w="1702" w:type="dxa"/>
            <w:vAlign w:val="center"/>
          </w:tcPr>
          <w:p w14:paraId="14DB8372" w14:textId="77777777" w:rsidR="004D4DB7" w:rsidRPr="00EC6E12" w:rsidRDefault="005540F4" w:rsidP="004D4DB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44E5B65" w14:textId="77777777" w:rsidR="004D4DB7" w:rsidRPr="00EC6E12" w:rsidRDefault="005540F4" w:rsidP="004D4DB7">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552A2D" w14:paraId="779A9A7B" w14:textId="77777777" w:rsidTr="002824A8">
        <w:trPr>
          <w:jc w:val="center"/>
        </w:trPr>
        <w:tc>
          <w:tcPr>
            <w:tcW w:w="1702" w:type="dxa"/>
            <w:vAlign w:val="center"/>
          </w:tcPr>
          <w:p w14:paraId="7AC45972" w14:textId="3A52CD2C" w:rsidR="004D4DB7" w:rsidRPr="00EC6E12" w:rsidRDefault="005540F4" w:rsidP="004D4DB7">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8.</w:t>
            </w:r>
            <w:r w:rsidR="00207825" w:rsidRPr="00EC6E12">
              <w:rPr>
                <w:rFonts w:ascii="Times New Roman" w:hAnsi="Times New Roman" w:cs="Times New Roman"/>
                <w:iCs/>
                <w:sz w:val="24"/>
                <w:szCs w:val="24"/>
                <w:lang w:eastAsia="lv-LV"/>
              </w:rPr>
              <w:t>Cita informācija</w:t>
            </w:r>
          </w:p>
        </w:tc>
        <w:tc>
          <w:tcPr>
            <w:tcW w:w="7654" w:type="dxa"/>
            <w:gridSpan w:val="7"/>
            <w:vAlign w:val="center"/>
          </w:tcPr>
          <w:p w14:paraId="0B53ECF3" w14:textId="1454B121" w:rsidR="00777C2E" w:rsidRPr="008F0E21" w:rsidRDefault="00F07CB3" w:rsidP="001C73B6">
            <w:pPr>
              <w:pStyle w:val="NoSpacing"/>
              <w:jc w:val="both"/>
              <w:rPr>
                <w:rFonts w:ascii="Times New Roman" w:hAnsi="Times New Roman" w:cs="Times New Roman"/>
                <w:sz w:val="24"/>
              </w:rPr>
            </w:pPr>
            <w:r>
              <w:rPr>
                <w:rFonts w:ascii="Times New Roman" w:hAnsi="Times New Roman" w:cs="Times New Roman"/>
                <w:sz w:val="24"/>
              </w:rPr>
              <w:t>Izdevumi</w:t>
            </w:r>
            <w:r w:rsidRPr="00F07CB3">
              <w:rPr>
                <w:rFonts w:ascii="Times New Roman" w:hAnsi="Times New Roman" w:cs="Times New Roman"/>
                <w:sz w:val="24"/>
              </w:rPr>
              <w:t xml:space="preserve"> sedz</w:t>
            </w:r>
            <w:r>
              <w:rPr>
                <w:rFonts w:ascii="Times New Roman" w:hAnsi="Times New Roman" w:cs="Times New Roman"/>
                <w:sz w:val="24"/>
              </w:rPr>
              <w:t>ami</w:t>
            </w:r>
            <w:r w:rsidRPr="00F07CB3">
              <w:rPr>
                <w:rFonts w:ascii="Times New Roman" w:hAnsi="Times New Roman" w:cs="Times New Roman"/>
                <w:sz w:val="24"/>
              </w:rPr>
              <w:t xml:space="preserve"> no valsts budžeta programmas 02.00.00 “Līdzekļi neparedzētiem gadījumiem”.</w:t>
            </w:r>
          </w:p>
          <w:p w14:paraId="40BB96F2" w14:textId="76BA1D69" w:rsidR="00726131" w:rsidRPr="008F0E21" w:rsidRDefault="00726131" w:rsidP="007E4970">
            <w:pPr>
              <w:pStyle w:val="NoSpacing"/>
              <w:ind w:left="720"/>
              <w:jc w:val="both"/>
              <w:rPr>
                <w:rFonts w:ascii="Times New Roman" w:hAnsi="Times New Roman" w:cs="Times New Roman"/>
                <w:iCs/>
                <w:sz w:val="24"/>
                <w:szCs w:val="24"/>
                <w:lang w:eastAsia="lv-LV"/>
              </w:rPr>
            </w:pPr>
          </w:p>
        </w:tc>
      </w:tr>
    </w:tbl>
    <w:p w14:paraId="012545FE"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6853B75B" w14:textId="77777777" w:rsidTr="006936E5">
        <w:tc>
          <w:tcPr>
            <w:tcW w:w="9356" w:type="dxa"/>
          </w:tcPr>
          <w:p w14:paraId="0DFAC491"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552A2D" w14:paraId="25DEF3BE" w14:textId="77777777" w:rsidTr="006936E5">
        <w:tc>
          <w:tcPr>
            <w:tcW w:w="9356" w:type="dxa"/>
          </w:tcPr>
          <w:p w14:paraId="6EAE0ABD"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53975E5"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3F82F906" w14:textId="77777777" w:rsidTr="006936E5">
        <w:tc>
          <w:tcPr>
            <w:tcW w:w="9356" w:type="dxa"/>
          </w:tcPr>
          <w:p w14:paraId="386CC309"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552A2D" w14:paraId="525BD9C9" w14:textId="77777777" w:rsidTr="006936E5">
        <w:tc>
          <w:tcPr>
            <w:tcW w:w="9356" w:type="dxa"/>
          </w:tcPr>
          <w:p w14:paraId="1E984355"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8BEDFE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650D4A42" w14:textId="77777777" w:rsidTr="006936E5">
        <w:tc>
          <w:tcPr>
            <w:tcW w:w="9356" w:type="dxa"/>
          </w:tcPr>
          <w:p w14:paraId="3DA1036D"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552A2D" w14:paraId="2FD8A33D" w14:textId="77777777" w:rsidTr="006936E5">
        <w:tc>
          <w:tcPr>
            <w:tcW w:w="9356" w:type="dxa"/>
          </w:tcPr>
          <w:p w14:paraId="49E6A1C3"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4FB1621" w14:textId="77777777" w:rsidR="007F6F87" w:rsidRPr="00EC6E12" w:rsidRDefault="005540F4"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2976"/>
        <w:gridCol w:w="5812"/>
      </w:tblGrid>
      <w:tr w:rsidR="00552A2D" w14:paraId="66DFBEEB" w14:textId="77777777" w:rsidTr="006936E5">
        <w:tc>
          <w:tcPr>
            <w:tcW w:w="9356" w:type="dxa"/>
            <w:gridSpan w:val="3"/>
          </w:tcPr>
          <w:p w14:paraId="4F8CC7F4" w14:textId="77777777" w:rsidR="007F6F87" w:rsidRPr="00CB0786" w:rsidRDefault="005540F4"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552A2D" w14:paraId="5705F59C" w14:textId="77777777" w:rsidTr="00901E6D">
        <w:tc>
          <w:tcPr>
            <w:tcW w:w="568" w:type="dxa"/>
          </w:tcPr>
          <w:p w14:paraId="30AC3110"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976" w:type="dxa"/>
          </w:tcPr>
          <w:p w14:paraId="58E2F7AC" w14:textId="77777777"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812" w:type="dxa"/>
          </w:tcPr>
          <w:p w14:paraId="1644588E" w14:textId="02AC3F01" w:rsidR="0049601C" w:rsidRPr="00AD4E6F" w:rsidRDefault="007E4970" w:rsidP="00A15BAF">
            <w:pPr>
              <w:jc w:val="both"/>
            </w:pPr>
            <w:r w:rsidRPr="001C73B6">
              <w:t xml:space="preserve">Finanšu ministrija, </w:t>
            </w:r>
            <w:r w:rsidR="00A15BAF" w:rsidRPr="001C73B6">
              <w:t xml:space="preserve">Valsts ieņēmumu dienests, </w:t>
            </w:r>
            <w:r w:rsidR="005540F4" w:rsidRPr="001C73B6">
              <w:t>Iekšlietu ministrija</w:t>
            </w:r>
            <w:r w:rsidR="00C34C9C" w:rsidRPr="001C73B6">
              <w:t>s Informācijas centrs</w:t>
            </w:r>
            <w:r w:rsidRPr="001C73B6">
              <w:t>.</w:t>
            </w:r>
          </w:p>
        </w:tc>
      </w:tr>
      <w:tr w:rsidR="00552A2D" w14:paraId="5C57C94E" w14:textId="77777777" w:rsidTr="00901E6D">
        <w:tc>
          <w:tcPr>
            <w:tcW w:w="568" w:type="dxa"/>
          </w:tcPr>
          <w:p w14:paraId="1AAC3A17"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976" w:type="dxa"/>
          </w:tcPr>
          <w:p w14:paraId="5C3D44B8" w14:textId="77777777" w:rsidR="0049601C" w:rsidRPr="00EC6E12" w:rsidRDefault="005540F4"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812" w:type="dxa"/>
          </w:tcPr>
          <w:p w14:paraId="358221CF" w14:textId="77777777" w:rsidR="0049601C" w:rsidRPr="00D65792" w:rsidRDefault="005540F4" w:rsidP="0049601C">
            <w:r w:rsidRPr="00D65792">
              <w:t>Projekts šo jomu neskar.</w:t>
            </w:r>
          </w:p>
        </w:tc>
      </w:tr>
      <w:tr w:rsidR="00552A2D" w14:paraId="5AC4A69D" w14:textId="77777777" w:rsidTr="00901E6D">
        <w:tc>
          <w:tcPr>
            <w:tcW w:w="568" w:type="dxa"/>
          </w:tcPr>
          <w:p w14:paraId="2ED29DA3"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976" w:type="dxa"/>
          </w:tcPr>
          <w:p w14:paraId="60F64A0F" w14:textId="77777777"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812" w:type="dxa"/>
          </w:tcPr>
          <w:p w14:paraId="6384051A" w14:textId="41D521E0" w:rsidR="0049601C" w:rsidRDefault="007C0267" w:rsidP="0046784C">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538ABA7" w14:textId="77777777" w:rsidR="008B37B7" w:rsidRDefault="005540F4"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A1DFE9C" w14:textId="77777777" w:rsidR="00890FCA" w:rsidRDefault="00890FCA" w:rsidP="0020467A">
      <w:pPr>
        <w:ind w:right="-765"/>
        <w:rPr>
          <w:rFonts w:eastAsia="Calibri"/>
          <w:color w:val="000000" w:themeColor="text1"/>
          <w:sz w:val="28"/>
          <w:szCs w:val="28"/>
        </w:rPr>
      </w:pPr>
    </w:p>
    <w:p w14:paraId="5BBD7173" w14:textId="77777777" w:rsidR="00890FCA" w:rsidRDefault="00890FCA" w:rsidP="0020467A">
      <w:pPr>
        <w:ind w:right="-765"/>
        <w:rPr>
          <w:rFonts w:eastAsia="Calibri"/>
          <w:color w:val="000000" w:themeColor="text1"/>
          <w:sz w:val="28"/>
          <w:szCs w:val="28"/>
        </w:rPr>
      </w:pPr>
    </w:p>
    <w:p w14:paraId="20F306B5" w14:textId="50E847C4" w:rsidR="00DF461F" w:rsidRDefault="007E4970" w:rsidP="007E4970">
      <w:pPr>
        <w:ind w:right="140"/>
        <w:rPr>
          <w:rFonts w:eastAsiaTheme="minorHAnsi"/>
          <w:sz w:val="28"/>
          <w:szCs w:val="28"/>
        </w:rPr>
      </w:pPr>
      <w:r>
        <w:rPr>
          <w:rFonts w:eastAsia="Calibri"/>
          <w:color w:val="000000" w:themeColor="text1"/>
          <w:sz w:val="28"/>
          <w:szCs w:val="28"/>
        </w:rPr>
        <w:t>Iekšlietu</w:t>
      </w:r>
      <w:r w:rsidR="00E06B02">
        <w:rPr>
          <w:rFonts w:eastAsia="Calibri"/>
          <w:color w:val="000000" w:themeColor="text1"/>
          <w:sz w:val="28"/>
          <w:szCs w:val="28"/>
        </w:rPr>
        <w:t xml:space="preserve"> ministr</w:t>
      </w:r>
      <w:r>
        <w:rPr>
          <w:rFonts w:eastAsia="Calibri"/>
          <w:color w:val="000000" w:themeColor="text1"/>
          <w:sz w:val="28"/>
          <w:szCs w:val="28"/>
        </w:rPr>
        <w:t>s</w:t>
      </w:r>
      <w:r w:rsidR="00E06B02">
        <w:rPr>
          <w:rFonts w:eastAsia="Calibri"/>
          <w:color w:val="000000" w:themeColor="text1"/>
          <w:sz w:val="28"/>
          <w:szCs w:val="28"/>
        </w:rPr>
        <w:t xml:space="preserve">          </w:t>
      </w:r>
      <w:r w:rsidR="00E06B02">
        <w:rPr>
          <w:rFonts w:eastAsia="Calibri"/>
          <w:color w:val="000000" w:themeColor="text1"/>
          <w:sz w:val="28"/>
          <w:szCs w:val="28"/>
        </w:rPr>
        <w:tab/>
      </w:r>
      <w:r w:rsidR="00E06B02">
        <w:rPr>
          <w:rFonts w:eastAsia="Calibri"/>
          <w:color w:val="000000" w:themeColor="text1"/>
          <w:sz w:val="28"/>
          <w:szCs w:val="28"/>
        </w:rPr>
        <w:tab/>
      </w:r>
      <w:r w:rsidR="00E06B02">
        <w:rPr>
          <w:rFonts w:eastAsia="Calibri"/>
          <w:color w:val="000000" w:themeColor="text1"/>
          <w:sz w:val="28"/>
          <w:szCs w:val="28"/>
        </w:rPr>
        <w:tab/>
      </w:r>
      <w:r>
        <w:rPr>
          <w:rFonts w:eastAsia="Calibri"/>
          <w:color w:val="000000" w:themeColor="text1"/>
          <w:sz w:val="28"/>
          <w:szCs w:val="28"/>
        </w:rPr>
        <w:t xml:space="preserv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 xml:space="preserve">   Rihards Kozlovskis</w:t>
      </w:r>
      <w:r w:rsidR="00E06B02">
        <w:rPr>
          <w:sz w:val="28"/>
          <w:szCs w:val="28"/>
        </w:rPr>
        <w:tab/>
      </w:r>
    </w:p>
    <w:p w14:paraId="26551D68" w14:textId="77777777" w:rsidR="00DF461F" w:rsidRDefault="00DF461F" w:rsidP="00DF461F">
      <w:pPr>
        <w:ind w:right="-765"/>
        <w:rPr>
          <w:rFonts w:eastAsia="Calibri"/>
          <w:color w:val="000000" w:themeColor="text1"/>
          <w:sz w:val="28"/>
          <w:szCs w:val="28"/>
        </w:rPr>
      </w:pPr>
    </w:p>
    <w:p w14:paraId="26C29BC9" w14:textId="77777777" w:rsidR="00ED2FE2" w:rsidRDefault="00ED2FE2" w:rsidP="00ED2FE2">
      <w:pPr>
        <w:pStyle w:val="NormalWeb"/>
        <w:spacing w:before="0" w:beforeAutospacing="0" w:after="0"/>
        <w:rPr>
          <w:sz w:val="22"/>
          <w:szCs w:val="22"/>
        </w:rPr>
      </w:pPr>
      <w:r>
        <w:rPr>
          <w:rFonts w:eastAsia="Calibri"/>
          <w:sz w:val="28"/>
          <w:szCs w:val="28"/>
          <w:lang w:eastAsia="en-US"/>
        </w:rPr>
        <w:t>Vīza: Valsts sekretārs</w:t>
      </w:r>
      <w:r w:rsidRPr="00F31A39">
        <w:rPr>
          <w:rFonts w:eastAsia="Calibri"/>
          <w:sz w:val="28"/>
          <w:szCs w:val="28"/>
          <w:lang w:eastAsia="en-US"/>
        </w:rPr>
        <w:tab/>
      </w:r>
      <w:r>
        <w:rPr>
          <w:rFonts w:eastAsia="Calibri"/>
          <w:sz w:val="28"/>
          <w:szCs w:val="28"/>
          <w:lang w:eastAsia="en-US"/>
        </w:rPr>
        <w:tab/>
      </w:r>
      <w:r>
        <w:rPr>
          <w:rFonts w:eastAsia="Calibri"/>
          <w:sz w:val="28"/>
          <w:szCs w:val="28"/>
          <w:lang w:eastAsia="en-US"/>
        </w:rPr>
        <w:tab/>
      </w:r>
      <w:proofErr w:type="gramStart"/>
      <w:r>
        <w:rPr>
          <w:rFonts w:eastAsia="Calibri"/>
          <w:sz w:val="28"/>
          <w:szCs w:val="28"/>
          <w:lang w:eastAsia="en-US"/>
        </w:rPr>
        <w:t xml:space="preserve">                                    </w:t>
      </w:r>
      <w:proofErr w:type="gramEnd"/>
      <w:r>
        <w:rPr>
          <w:rFonts w:eastAsia="Calibri"/>
          <w:sz w:val="28"/>
          <w:szCs w:val="28"/>
          <w:lang w:eastAsia="en-US"/>
        </w:rPr>
        <w:t xml:space="preserve">Dmitrijs </w:t>
      </w:r>
      <w:proofErr w:type="spellStart"/>
      <w:r>
        <w:rPr>
          <w:rFonts w:eastAsia="Calibri"/>
          <w:sz w:val="28"/>
          <w:szCs w:val="28"/>
          <w:lang w:eastAsia="en-US"/>
        </w:rPr>
        <w:t>Trofimovs</w:t>
      </w:r>
      <w:proofErr w:type="spellEnd"/>
    </w:p>
    <w:p w14:paraId="446AD78C" w14:textId="77777777" w:rsidR="00890FCA" w:rsidRDefault="00890FCA" w:rsidP="00155578">
      <w:pPr>
        <w:pStyle w:val="NormalWeb"/>
        <w:spacing w:before="0" w:beforeAutospacing="0" w:after="0" w:afterAutospacing="0"/>
      </w:pPr>
      <w:bookmarkStart w:id="0" w:name="_GoBack"/>
      <w:bookmarkEnd w:id="0"/>
    </w:p>
    <w:p w14:paraId="6393FC51" w14:textId="15CC1568" w:rsidR="008F1F97" w:rsidRDefault="008F1F97" w:rsidP="00FC3FDB">
      <w:pPr>
        <w:pStyle w:val="NormalWeb"/>
        <w:spacing w:before="0" w:beforeAutospacing="0" w:after="0" w:afterAutospacing="0"/>
      </w:pPr>
    </w:p>
    <w:p w14:paraId="515DF007" w14:textId="5B16219A" w:rsidR="008F1F97" w:rsidRDefault="008F1F97" w:rsidP="00FC3FDB">
      <w:pPr>
        <w:pStyle w:val="NormalWeb"/>
        <w:spacing w:before="0" w:beforeAutospacing="0" w:after="0" w:afterAutospacing="0"/>
      </w:pPr>
    </w:p>
    <w:p w14:paraId="7B13F2F3" w14:textId="5E7EC80D" w:rsidR="008F1F97" w:rsidRPr="001C73B6" w:rsidRDefault="008F1F97" w:rsidP="00FC3FDB">
      <w:pPr>
        <w:pStyle w:val="NormalWeb"/>
        <w:spacing w:before="0" w:beforeAutospacing="0" w:after="0" w:afterAutospacing="0"/>
        <w:rPr>
          <w:sz w:val="20"/>
          <w:szCs w:val="20"/>
        </w:rPr>
      </w:pPr>
      <w:r w:rsidRPr="001C73B6">
        <w:rPr>
          <w:sz w:val="20"/>
          <w:szCs w:val="20"/>
        </w:rPr>
        <w:t>A.Kronberga 67208712</w:t>
      </w:r>
    </w:p>
    <w:p w14:paraId="272BAD1E" w14:textId="4C3C8EEC" w:rsidR="007147BE" w:rsidRDefault="008F1F97" w:rsidP="00271D91">
      <w:pPr>
        <w:pStyle w:val="NormalWeb"/>
        <w:spacing w:before="0" w:beforeAutospacing="0" w:after="0" w:afterAutospacing="0"/>
      </w:pPr>
      <w:r>
        <w:rPr>
          <w:sz w:val="20"/>
          <w:szCs w:val="20"/>
        </w:rPr>
        <w:t>a</w:t>
      </w:r>
      <w:r w:rsidRPr="008F1F97">
        <w:rPr>
          <w:sz w:val="20"/>
          <w:szCs w:val="20"/>
        </w:rPr>
        <w:t>rta.k</w:t>
      </w:r>
      <w:r w:rsidRPr="001C73B6">
        <w:rPr>
          <w:sz w:val="20"/>
          <w:szCs w:val="20"/>
        </w:rPr>
        <w:t>ronberga@ic.iem.gov.lv</w:t>
      </w:r>
    </w:p>
    <w:sectPr w:rsidR="007147BE"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6862" w14:textId="77777777" w:rsidR="0078488E" w:rsidRDefault="0078488E">
      <w:r>
        <w:separator/>
      </w:r>
    </w:p>
  </w:endnote>
  <w:endnote w:type="continuationSeparator" w:id="0">
    <w:p w14:paraId="17B1572B" w14:textId="77777777" w:rsidR="0078488E" w:rsidRDefault="0078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8A3A" w14:textId="77777777" w:rsidR="00372AC8" w:rsidRDefault="0037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5F58" w14:textId="3E0EB246" w:rsidR="00091A80" w:rsidRPr="001C73B6" w:rsidRDefault="008F1F97">
    <w:pPr>
      <w:pStyle w:val="Footer"/>
    </w:pPr>
    <w:r w:rsidRPr="008F1F97">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72AC8">
      <w:rPr>
        <w:rFonts w:ascii="Times New Roman" w:hAnsi="Times New Roman" w:cs="Times New Roman"/>
        <w:noProof/>
        <w:sz w:val="20"/>
        <w:szCs w:val="20"/>
      </w:rPr>
      <w:t>IEMAnot_081118_LNG_datubaze</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B4F1" w14:textId="12A1C42A" w:rsidR="00091A80" w:rsidRPr="00155578" w:rsidRDefault="008F1F97" w:rsidP="0015557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72AC8">
      <w:rPr>
        <w:rFonts w:ascii="Times New Roman" w:hAnsi="Times New Roman" w:cs="Times New Roman"/>
        <w:noProof/>
        <w:sz w:val="20"/>
        <w:szCs w:val="20"/>
      </w:rPr>
      <w:t>IEMAnot_081118_LNG_datubaze</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0342" w14:textId="77777777" w:rsidR="0078488E" w:rsidRDefault="0078488E">
      <w:r>
        <w:separator/>
      </w:r>
    </w:p>
  </w:footnote>
  <w:footnote w:type="continuationSeparator" w:id="0">
    <w:p w14:paraId="6212E851" w14:textId="77777777" w:rsidR="0078488E" w:rsidRDefault="0078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0683" w14:textId="77777777" w:rsidR="00372AC8" w:rsidRDefault="0037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78792"/>
      <w:docPartObj>
        <w:docPartGallery w:val="Page Numbers (Top of Page)"/>
        <w:docPartUnique/>
      </w:docPartObj>
    </w:sdtPr>
    <w:sdtEndPr>
      <w:rPr>
        <w:rFonts w:ascii="Times New Roman" w:hAnsi="Times New Roman" w:cs="Times New Roman"/>
        <w:noProof/>
        <w:sz w:val="24"/>
        <w:szCs w:val="20"/>
      </w:rPr>
    </w:sdtEndPr>
    <w:sdtContent>
      <w:p w14:paraId="52B5E9EA" w14:textId="2C3FB37D" w:rsidR="00091A80" w:rsidRPr="00C25B49" w:rsidRDefault="005540F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2FE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B7CC" w14:textId="77777777" w:rsidR="00372AC8" w:rsidRDefault="0037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 w15:restartNumberingAfterBreak="0">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5E047E"/>
    <w:multiLevelType w:val="hybridMultilevel"/>
    <w:tmpl w:val="8EFA99D4"/>
    <w:lvl w:ilvl="0" w:tplc="4E545666">
      <w:start w:val="1"/>
      <w:numFmt w:val="decimal"/>
      <w:lvlText w:val="%1."/>
      <w:lvlJc w:val="left"/>
      <w:pPr>
        <w:ind w:left="720" w:hanging="360"/>
      </w:pPr>
      <w:rPr>
        <w:rFonts w:hint="default"/>
      </w:rPr>
    </w:lvl>
    <w:lvl w:ilvl="1" w:tplc="E6A293B8" w:tentative="1">
      <w:start w:val="1"/>
      <w:numFmt w:val="lowerLetter"/>
      <w:lvlText w:val="%2."/>
      <w:lvlJc w:val="left"/>
      <w:pPr>
        <w:ind w:left="1440" w:hanging="360"/>
      </w:pPr>
    </w:lvl>
    <w:lvl w:ilvl="2" w:tplc="71506F9E" w:tentative="1">
      <w:start w:val="1"/>
      <w:numFmt w:val="lowerRoman"/>
      <w:lvlText w:val="%3."/>
      <w:lvlJc w:val="right"/>
      <w:pPr>
        <w:ind w:left="2160" w:hanging="180"/>
      </w:pPr>
    </w:lvl>
    <w:lvl w:ilvl="3" w:tplc="A1526778" w:tentative="1">
      <w:start w:val="1"/>
      <w:numFmt w:val="decimal"/>
      <w:lvlText w:val="%4."/>
      <w:lvlJc w:val="left"/>
      <w:pPr>
        <w:ind w:left="2880" w:hanging="360"/>
      </w:pPr>
    </w:lvl>
    <w:lvl w:ilvl="4" w:tplc="D0F6F2C8" w:tentative="1">
      <w:start w:val="1"/>
      <w:numFmt w:val="lowerLetter"/>
      <w:lvlText w:val="%5."/>
      <w:lvlJc w:val="left"/>
      <w:pPr>
        <w:ind w:left="3600" w:hanging="360"/>
      </w:pPr>
    </w:lvl>
    <w:lvl w:ilvl="5" w:tplc="98DEF03A" w:tentative="1">
      <w:start w:val="1"/>
      <w:numFmt w:val="lowerRoman"/>
      <w:lvlText w:val="%6."/>
      <w:lvlJc w:val="right"/>
      <w:pPr>
        <w:ind w:left="4320" w:hanging="180"/>
      </w:pPr>
    </w:lvl>
    <w:lvl w:ilvl="6" w:tplc="A5C649C4" w:tentative="1">
      <w:start w:val="1"/>
      <w:numFmt w:val="decimal"/>
      <w:lvlText w:val="%7."/>
      <w:lvlJc w:val="left"/>
      <w:pPr>
        <w:ind w:left="5040" w:hanging="360"/>
      </w:pPr>
    </w:lvl>
    <w:lvl w:ilvl="7" w:tplc="6518B9A0" w:tentative="1">
      <w:start w:val="1"/>
      <w:numFmt w:val="lowerLetter"/>
      <w:lvlText w:val="%8."/>
      <w:lvlJc w:val="left"/>
      <w:pPr>
        <w:ind w:left="5760" w:hanging="360"/>
      </w:pPr>
    </w:lvl>
    <w:lvl w:ilvl="8" w:tplc="D7161C9A" w:tentative="1">
      <w:start w:val="1"/>
      <w:numFmt w:val="lowerRoman"/>
      <w:lvlText w:val="%9."/>
      <w:lvlJc w:val="right"/>
      <w:pPr>
        <w:ind w:left="6480" w:hanging="180"/>
      </w:pPr>
    </w:lvl>
  </w:abstractNum>
  <w:abstractNum w:abstractNumId="3" w15:restartNumberingAfterBreak="0">
    <w:nsid w:val="5FBF66A3"/>
    <w:multiLevelType w:val="hybridMultilevel"/>
    <w:tmpl w:val="54A259DA"/>
    <w:lvl w:ilvl="0" w:tplc="C344A0CE">
      <w:start w:val="1"/>
      <w:numFmt w:val="decimal"/>
      <w:lvlText w:val="%1)"/>
      <w:lvlJc w:val="left"/>
      <w:pPr>
        <w:ind w:left="720" w:hanging="360"/>
      </w:pPr>
      <w:rPr>
        <w:rFonts w:hint="default"/>
      </w:rPr>
    </w:lvl>
    <w:lvl w:ilvl="1" w:tplc="A54E2F76" w:tentative="1">
      <w:start w:val="1"/>
      <w:numFmt w:val="lowerLetter"/>
      <w:lvlText w:val="%2."/>
      <w:lvlJc w:val="left"/>
      <w:pPr>
        <w:ind w:left="1440" w:hanging="360"/>
      </w:pPr>
    </w:lvl>
    <w:lvl w:ilvl="2" w:tplc="293AE64A" w:tentative="1">
      <w:start w:val="1"/>
      <w:numFmt w:val="lowerRoman"/>
      <w:lvlText w:val="%3."/>
      <w:lvlJc w:val="right"/>
      <w:pPr>
        <w:ind w:left="2160" w:hanging="180"/>
      </w:pPr>
    </w:lvl>
    <w:lvl w:ilvl="3" w:tplc="44747B42" w:tentative="1">
      <w:start w:val="1"/>
      <w:numFmt w:val="decimal"/>
      <w:lvlText w:val="%4."/>
      <w:lvlJc w:val="left"/>
      <w:pPr>
        <w:ind w:left="2880" w:hanging="360"/>
      </w:pPr>
    </w:lvl>
    <w:lvl w:ilvl="4" w:tplc="1EE6C4F0" w:tentative="1">
      <w:start w:val="1"/>
      <w:numFmt w:val="lowerLetter"/>
      <w:lvlText w:val="%5."/>
      <w:lvlJc w:val="left"/>
      <w:pPr>
        <w:ind w:left="3600" w:hanging="360"/>
      </w:pPr>
    </w:lvl>
    <w:lvl w:ilvl="5" w:tplc="B36CB432" w:tentative="1">
      <w:start w:val="1"/>
      <w:numFmt w:val="lowerRoman"/>
      <w:lvlText w:val="%6."/>
      <w:lvlJc w:val="right"/>
      <w:pPr>
        <w:ind w:left="4320" w:hanging="180"/>
      </w:pPr>
    </w:lvl>
    <w:lvl w:ilvl="6" w:tplc="63A4F752" w:tentative="1">
      <w:start w:val="1"/>
      <w:numFmt w:val="decimal"/>
      <w:lvlText w:val="%7."/>
      <w:lvlJc w:val="left"/>
      <w:pPr>
        <w:ind w:left="5040" w:hanging="360"/>
      </w:pPr>
    </w:lvl>
    <w:lvl w:ilvl="7" w:tplc="8FB82300" w:tentative="1">
      <w:start w:val="1"/>
      <w:numFmt w:val="lowerLetter"/>
      <w:lvlText w:val="%8."/>
      <w:lvlJc w:val="left"/>
      <w:pPr>
        <w:ind w:left="5760" w:hanging="360"/>
      </w:pPr>
    </w:lvl>
    <w:lvl w:ilvl="8" w:tplc="0512DDA6" w:tentative="1">
      <w:start w:val="1"/>
      <w:numFmt w:val="lowerRoman"/>
      <w:lvlText w:val="%9."/>
      <w:lvlJc w:val="right"/>
      <w:pPr>
        <w:ind w:left="6480" w:hanging="180"/>
      </w:pPr>
    </w:lvl>
  </w:abstractNum>
  <w:abstractNum w:abstractNumId="4" w15:restartNumberingAfterBreak="0">
    <w:nsid w:val="60B01AA0"/>
    <w:multiLevelType w:val="hybridMultilevel"/>
    <w:tmpl w:val="17EAD664"/>
    <w:lvl w:ilvl="0" w:tplc="75745942">
      <w:start w:val="1"/>
      <w:numFmt w:val="decimal"/>
      <w:lvlText w:val="%1."/>
      <w:lvlJc w:val="left"/>
      <w:pPr>
        <w:ind w:left="928" w:hanging="360"/>
      </w:pPr>
      <w:rPr>
        <w:rFonts w:hint="default"/>
      </w:rPr>
    </w:lvl>
    <w:lvl w:ilvl="1" w:tplc="CFAA4D10" w:tentative="1">
      <w:start w:val="1"/>
      <w:numFmt w:val="lowerLetter"/>
      <w:lvlText w:val="%2."/>
      <w:lvlJc w:val="left"/>
      <w:pPr>
        <w:ind w:left="1647" w:hanging="360"/>
      </w:pPr>
    </w:lvl>
    <w:lvl w:ilvl="2" w:tplc="EABA648C" w:tentative="1">
      <w:start w:val="1"/>
      <w:numFmt w:val="lowerRoman"/>
      <w:lvlText w:val="%3."/>
      <w:lvlJc w:val="right"/>
      <w:pPr>
        <w:ind w:left="2367" w:hanging="180"/>
      </w:pPr>
    </w:lvl>
    <w:lvl w:ilvl="3" w:tplc="B8D07EEA" w:tentative="1">
      <w:start w:val="1"/>
      <w:numFmt w:val="decimal"/>
      <w:lvlText w:val="%4."/>
      <w:lvlJc w:val="left"/>
      <w:pPr>
        <w:ind w:left="3087" w:hanging="360"/>
      </w:pPr>
    </w:lvl>
    <w:lvl w:ilvl="4" w:tplc="76844702" w:tentative="1">
      <w:start w:val="1"/>
      <w:numFmt w:val="lowerLetter"/>
      <w:lvlText w:val="%5."/>
      <w:lvlJc w:val="left"/>
      <w:pPr>
        <w:ind w:left="3807" w:hanging="360"/>
      </w:pPr>
    </w:lvl>
    <w:lvl w:ilvl="5" w:tplc="7A2C6266" w:tentative="1">
      <w:start w:val="1"/>
      <w:numFmt w:val="lowerRoman"/>
      <w:lvlText w:val="%6."/>
      <w:lvlJc w:val="right"/>
      <w:pPr>
        <w:ind w:left="4527" w:hanging="180"/>
      </w:pPr>
    </w:lvl>
    <w:lvl w:ilvl="6" w:tplc="48D81616" w:tentative="1">
      <w:start w:val="1"/>
      <w:numFmt w:val="decimal"/>
      <w:lvlText w:val="%7."/>
      <w:lvlJc w:val="left"/>
      <w:pPr>
        <w:ind w:left="5247" w:hanging="360"/>
      </w:pPr>
    </w:lvl>
    <w:lvl w:ilvl="7" w:tplc="8996A150" w:tentative="1">
      <w:start w:val="1"/>
      <w:numFmt w:val="lowerLetter"/>
      <w:lvlText w:val="%8."/>
      <w:lvlJc w:val="left"/>
      <w:pPr>
        <w:ind w:left="5967" w:hanging="360"/>
      </w:pPr>
    </w:lvl>
    <w:lvl w:ilvl="8" w:tplc="1384EB6C" w:tentative="1">
      <w:start w:val="1"/>
      <w:numFmt w:val="lowerRoman"/>
      <w:lvlText w:val="%9."/>
      <w:lvlJc w:val="right"/>
      <w:pPr>
        <w:ind w:left="6687" w:hanging="180"/>
      </w:pPr>
    </w:lvl>
  </w:abstractNum>
  <w:abstractNum w:abstractNumId="5"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942290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16F70"/>
    <w:rsid w:val="000273BD"/>
    <w:rsid w:val="00033256"/>
    <w:rsid w:val="00033DA1"/>
    <w:rsid w:val="00037CA6"/>
    <w:rsid w:val="000531D4"/>
    <w:rsid w:val="00071489"/>
    <w:rsid w:val="00073948"/>
    <w:rsid w:val="0008249D"/>
    <w:rsid w:val="00085D2B"/>
    <w:rsid w:val="000866E2"/>
    <w:rsid w:val="00091A80"/>
    <w:rsid w:val="00097FF1"/>
    <w:rsid w:val="000A1EC2"/>
    <w:rsid w:val="000B127C"/>
    <w:rsid w:val="000B623F"/>
    <w:rsid w:val="000B7351"/>
    <w:rsid w:val="000C780D"/>
    <w:rsid w:val="000D1D28"/>
    <w:rsid w:val="000D359B"/>
    <w:rsid w:val="000E78A8"/>
    <w:rsid w:val="000E7FA7"/>
    <w:rsid w:val="00123FCA"/>
    <w:rsid w:val="00130487"/>
    <w:rsid w:val="001311CC"/>
    <w:rsid w:val="00140644"/>
    <w:rsid w:val="00150EB8"/>
    <w:rsid w:val="00152501"/>
    <w:rsid w:val="001525D7"/>
    <w:rsid w:val="001545F3"/>
    <w:rsid w:val="00154A6D"/>
    <w:rsid w:val="00155578"/>
    <w:rsid w:val="00156493"/>
    <w:rsid w:val="00171461"/>
    <w:rsid w:val="00175D0A"/>
    <w:rsid w:val="00176EA7"/>
    <w:rsid w:val="00181467"/>
    <w:rsid w:val="0019313F"/>
    <w:rsid w:val="001A45FC"/>
    <w:rsid w:val="001B6C59"/>
    <w:rsid w:val="001C73B6"/>
    <w:rsid w:val="001C768D"/>
    <w:rsid w:val="001D66EB"/>
    <w:rsid w:val="001E7EAF"/>
    <w:rsid w:val="00203138"/>
    <w:rsid w:val="00203E44"/>
    <w:rsid w:val="0020467A"/>
    <w:rsid w:val="00207825"/>
    <w:rsid w:val="00220DCC"/>
    <w:rsid w:val="0022405E"/>
    <w:rsid w:val="002411CB"/>
    <w:rsid w:val="00243426"/>
    <w:rsid w:val="00260E1E"/>
    <w:rsid w:val="00271D91"/>
    <w:rsid w:val="002824A8"/>
    <w:rsid w:val="002936E4"/>
    <w:rsid w:val="002940EE"/>
    <w:rsid w:val="00297507"/>
    <w:rsid w:val="002A216F"/>
    <w:rsid w:val="002A5FA0"/>
    <w:rsid w:val="002B3D39"/>
    <w:rsid w:val="002C02D6"/>
    <w:rsid w:val="002D09AE"/>
    <w:rsid w:val="002D1E95"/>
    <w:rsid w:val="002D5462"/>
    <w:rsid w:val="002E1C05"/>
    <w:rsid w:val="002E3BB2"/>
    <w:rsid w:val="002E7CEE"/>
    <w:rsid w:val="003074CE"/>
    <w:rsid w:val="003243B6"/>
    <w:rsid w:val="0033391F"/>
    <w:rsid w:val="0034308F"/>
    <w:rsid w:val="003523F6"/>
    <w:rsid w:val="00354246"/>
    <w:rsid w:val="00354A29"/>
    <w:rsid w:val="00372AC8"/>
    <w:rsid w:val="003903BF"/>
    <w:rsid w:val="0039467E"/>
    <w:rsid w:val="003B0BF9"/>
    <w:rsid w:val="003B7AFB"/>
    <w:rsid w:val="003D545A"/>
    <w:rsid w:val="003D762C"/>
    <w:rsid w:val="003E0791"/>
    <w:rsid w:val="003F28AC"/>
    <w:rsid w:val="00406874"/>
    <w:rsid w:val="00407963"/>
    <w:rsid w:val="00412238"/>
    <w:rsid w:val="00416E18"/>
    <w:rsid w:val="0041724B"/>
    <w:rsid w:val="004216C9"/>
    <w:rsid w:val="00424D9E"/>
    <w:rsid w:val="00425BF4"/>
    <w:rsid w:val="0043038B"/>
    <w:rsid w:val="00441DBA"/>
    <w:rsid w:val="004454FE"/>
    <w:rsid w:val="00456E40"/>
    <w:rsid w:val="00466F00"/>
    <w:rsid w:val="0046784C"/>
    <w:rsid w:val="00471F27"/>
    <w:rsid w:val="0049101C"/>
    <w:rsid w:val="0049601C"/>
    <w:rsid w:val="004A11FB"/>
    <w:rsid w:val="004B5A63"/>
    <w:rsid w:val="004C6D82"/>
    <w:rsid w:val="004D4DB7"/>
    <w:rsid w:val="004E1BA2"/>
    <w:rsid w:val="004E29AE"/>
    <w:rsid w:val="0050178F"/>
    <w:rsid w:val="00506259"/>
    <w:rsid w:val="005105EB"/>
    <w:rsid w:val="0051315B"/>
    <w:rsid w:val="00534272"/>
    <w:rsid w:val="00550459"/>
    <w:rsid w:val="00550635"/>
    <w:rsid w:val="005522AF"/>
    <w:rsid w:val="00552A2D"/>
    <w:rsid w:val="005540F4"/>
    <w:rsid w:val="00560FB1"/>
    <w:rsid w:val="00562D78"/>
    <w:rsid w:val="00571754"/>
    <w:rsid w:val="00573469"/>
    <w:rsid w:val="005856D9"/>
    <w:rsid w:val="005B004C"/>
    <w:rsid w:val="005C5EE0"/>
    <w:rsid w:val="005D500F"/>
    <w:rsid w:val="005F7BA4"/>
    <w:rsid w:val="005F7F97"/>
    <w:rsid w:val="00614053"/>
    <w:rsid w:val="00620FDD"/>
    <w:rsid w:val="00623839"/>
    <w:rsid w:val="006335C0"/>
    <w:rsid w:val="00647B3D"/>
    <w:rsid w:val="00655F2C"/>
    <w:rsid w:val="0067254E"/>
    <w:rsid w:val="00681F74"/>
    <w:rsid w:val="006936E5"/>
    <w:rsid w:val="006A31D0"/>
    <w:rsid w:val="006B2ED4"/>
    <w:rsid w:val="006D4400"/>
    <w:rsid w:val="006E1081"/>
    <w:rsid w:val="006E71F7"/>
    <w:rsid w:val="007003C3"/>
    <w:rsid w:val="007147BE"/>
    <w:rsid w:val="00715D80"/>
    <w:rsid w:val="00716293"/>
    <w:rsid w:val="00720585"/>
    <w:rsid w:val="00725263"/>
    <w:rsid w:val="00726131"/>
    <w:rsid w:val="007272A8"/>
    <w:rsid w:val="00735351"/>
    <w:rsid w:val="00751304"/>
    <w:rsid w:val="00755A5F"/>
    <w:rsid w:val="007606BC"/>
    <w:rsid w:val="0076501F"/>
    <w:rsid w:val="00773AF6"/>
    <w:rsid w:val="00773EC6"/>
    <w:rsid w:val="00775112"/>
    <w:rsid w:val="00777C2E"/>
    <w:rsid w:val="00781317"/>
    <w:rsid w:val="0078488E"/>
    <w:rsid w:val="0078722D"/>
    <w:rsid w:val="00787C3C"/>
    <w:rsid w:val="00787E27"/>
    <w:rsid w:val="0079260F"/>
    <w:rsid w:val="00792724"/>
    <w:rsid w:val="0079316C"/>
    <w:rsid w:val="00795F71"/>
    <w:rsid w:val="007A10A5"/>
    <w:rsid w:val="007C0267"/>
    <w:rsid w:val="007D20BC"/>
    <w:rsid w:val="007D36BC"/>
    <w:rsid w:val="007D50B3"/>
    <w:rsid w:val="007E220E"/>
    <w:rsid w:val="007E3BCE"/>
    <w:rsid w:val="007E4970"/>
    <w:rsid w:val="007E5F7A"/>
    <w:rsid w:val="007E73AB"/>
    <w:rsid w:val="007F0AE7"/>
    <w:rsid w:val="007F6F87"/>
    <w:rsid w:val="00801A5B"/>
    <w:rsid w:val="008046B7"/>
    <w:rsid w:val="00816C11"/>
    <w:rsid w:val="00817876"/>
    <w:rsid w:val="00842AD1"/>
    <w:rsid w:val="00866119"/>
    <w:rsid w:val="008666DA"/>
    <w:rsid w:val="00890FCA"/>
    <w:rsid w:val="00894C55"/>
    <w:rsid w:val="00896AEE"/>
    <w:rsid w:val="008B37B7"/>
    <w:rsid w:val="008B393D"/>
    <w:rsid w:val="008B5D99"/>
    <w:rsid w:val="008C1794"/>
    <w:rsid w:val="008C5FC7"/>
    <w:rsid w:val="008D7458"/>
    <w:rsid w:val="008F0E21"/>
    <w:rsid w:val="008F1F97"/>
    <w:rsid w:val="00901E6D"/>
    <w:rsid w:val="00927822"/>
    <w:rsid w:val="00930356"/>
    <w:rsid w:val="009547D2"/>
    <w:rsid w:val="00972EC8"/>
    <w:rsid w:val="00980238"/>
    <w:rsid w:val="009A0660"/>
    <w:rsid w:val="009A2654"/>
    <w:rsid w:val="009A6D75"/>
    <w:rsid w:val="009A7030"/>
    <w:rsid w:val="009B3D37"/>
    <w:rsid w:val="009B61EE"/>
    <w:rsid w:val="009E0605"/>
    <w:rsid w:val="009E47B9"/>
    <w:rsid w:val="009F25E7"/>
    <w:rsid w:val="00A01AF1"/>
    <w:rsid w:val="00A0417B"/>
    <w:rsid w:val="00A10FC3"/>
    <w:rsid w:val="00A1496F"/>
    <w:rsid w:val="00A15BAF"/>
    <w:rsid w:val="00A6073E"/>
    <w:rsid w:val="00A65E3E"/>
    <w:rsid w:val="00A772AD"/>
    <w:rsid w:val="00A83331"/>
    <w:rsid w:val="00A935DA"/>
    <w:rsid w:val="00AA174E"/>
    <w:rsid w:val="00AA4209"/>
    <w:rsid w:val="00AB1A1E"/>
    <w:rsid w:val="00AB484B"/>
    <w:rsid w:val="00AD2EAD"/>
    <w:rsid w:val="00AD43C4"/>
    <w:rsid w:val="00AD4E6F"/>
    <w:rsid w:val="00AD5992"/>
    <w:rsid w:val="00AE5567"/>
    <w:rsid w:val="00AE703C"/>
    <w:rsid w:val="00AF1239"/>
    <w:rsid w:val="00AF6CE9"/>
    <w:rsid w:val="00AF781F"/>
    <w:rsid w:val="00B0257C"/>
    <w:rsid w:val="00B12AA2"/>
    <w:rsid w:val="00B12D61"/>
    <w:rsid w:val="00B16480"/>
    <w:rsid w:val="00B2165C"/>
    <w:rsid w:val="00B24C87"/>
    <w:rsid w:val="00B34AA1"/>
    <w:rsid w:val="00B4382F"/>
    <w:rsid w:val="00B5050A"/>
    <w:rsid w:val="00B52623"/>
    <w:rsid w:val="00B5357D"/>
    <w:rsid w:val="00B563E1"/>
    <w:rsid w:val="00B63D36"/>
    <w:rsid w:val="00B67377"/>
    <w:rsid w:val="00B756AE"/>
    <w:rsid w:val="00BA1231"/>
    <w:rsid w:val="00BA20AA"/>
    <w:rsid w:val="00BB2000"/>
    <w:rsid w:val="00BB65B9"/>
    <w:rsid w:val="00BB79BA"/>
    <w:rsid w:val="00BC229D"/>
    <w:rsid w:val="00BC5A27"/>
    <w:rsid w:val="00BD4425"/>
    <w:rsid w:val="00BD7F5E"/>
    <w:rsid w:val="00BE3DEF"/>
    <w:rsid w:val="00BE4AD4"/>
    <w:rsid w:val="00BF04F5"/>
    <w:rsid w:val="00BF4D97"/>
    <w:rsid w:val="00BF78FE"/>
    <w:rsid w:val="00C03A7C"/>
    <w:rsid w:val="00C07D36"/>
    <w:rsid w:val="00C10270"/>
    <w:rsid w:val="00C20E9E"/>
    <w:rsid w:val="00C227AE"/>
    <w:rsid w:val="00C25B49"/>
    <w:rsid w:val="00C3058A"/>
    <w:rsid w:val="00C30F18"/>
    <w:rsid w:val="00C333BB"/>
    <w:rsid w:val="00C348FC"/>
    <w:rsid w:val="00C34C9C"/>
    <w:rsid w:val="00C378EC"/>
    <w:rsid w:val="00C42475"/>
    <w:rsid w:val="00C52800"/>
    <w:rsid w:val="00C55A9E"/>
    <w:rsid w:val="00C65974"/>
    <w:rsid w:val="00C863E1"/>
    <w:rsid w:val="00C9396D"/>
    <w:rsid w:val="00CA2965"/>
    <w:rsid w:val="00CB0786"/>
    <w:rsid w:val="00CB1CED"/>
    <w:rsid w:val="00CC0D2D"/>
    <w:rsid w:val="00CE30E7"/>
    <w:rsid w:val="00CE5657"/>
    <w:rsid w:val="00D133F8"/>
    <w:rsid w:val="00D14A3E"/>
    <w:rsid w:val="00D22281"/>
    <w:rsid w:val="00D24501"/>
    <w:rsid w:val="00D339B7"/>
    <w:rsid w:val="00D65792"/>
    <w:rsid w:val="00D67AF2"/>
    <w:rsid w:val="00D72A14"/>
    <w:rsid w:val="00D82B53"/>
    <w:rsid w:val="00D85B61"/>
    <w:rsid w:val="00DE07F2"/>
    <w:rsid w:val="00DE3C0B"/>
    <w:rsid w:val="00DF461F"/>
    <w:rsid w:val="00DF68F8"/>
    <w:rsid w:val="00E04F96"/>
    <w:rsid w:val="00E065D5"/>
    <w:rsid w:val="00E06B02"/>
    <w:rsid w:val="00E25682"/>
    <w:rsid w:val="00E32710"/>
    <w:rsid w:val="00E35CB0"/>
    <w:rsid w:val="00E3716B"/>
    <w:rsid w:val="00E44B77"/>
    <w:rsid w:val="00E50667"/>
    <w:rsid w:val="00E5323B"/>
    <w:rsid w:val="00E75EA8"/>
    <w:rsid w:val="00E8749E"/>
    <w:rsid w:val="00E90C01"/>
    <w:rsid w:val="00E9166F"/>
    <w:rsid w:val="00E9413A"/>
    <w:rsid w:val="00EA0908"/>
    <w:rsid w:val="00EA372F"/>
    <w:rsid w:val="00EA486E"/>
    <w:rsid w:val="00EA4880"/>
    <w:rsid w:val="00EB5548"/>
    <w:rsid w:val="00EC6E12"/>
    <w:rsid w:val="00EC766A"/>
    <w:rsid w:val="00ED2D2F"/>
    <w:rsid w:val="00ED2FE2"/>
    <w:rsid w:val="00ED33F6"/>
    <w:rsid w:val="00EE2F62"/>
    <w:rsid w:val="00EF7C70"/>
    <w:rsid w:val="00F07CB3"/>
    <w:rsid w:val="00F16184"/>
    <w:rsid w:val="00F17D3F"/>
    <w:rsid w:val="00F442B5"/>
    <w:rsid w:val="00F4443C"/>
    <w:rsid w:val="00F57B0C"/>
    <w:rsid w:val="00F71615"/>
    <w:rsid w:val="00F82318"/>
    <w:rsid w:val="00F92251"/>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E3DE"/>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styleId="FootnoteText">
    <w:name w:val="footnote text"/>
    <w:aliases w:val="fn,Footnote,Fußnote"/>
    <w:basedOn w:val="Normal"/>
    <w:link w:val="FootnoteTextChar"/>
    <w:uiPriority w:val="99"/>
    <w:semiHidden/>
    <w:unhideWhenUsed/>
    <w:qFormat/>
    <w:rsid w:val="00BF04F5"/>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semiHidden/>
    <w:qFormat/>
    <w:rsid w:val="00BF04F5"/>
    <w:rPr>
      <w:sz w:val="20"/>
      <w:szCs w:val="20"/>
    </w:rPr>
  </w:style>
  <w:style w:type="character" w:styleId="FootnoteReference">
    <w:name w:val="footnote reference"/>
    <w:basedOn w:val="DefaultParagraphFont"/>
    <w:semiHidden/>
    <w:unhideWhenUsed/>
    <w:rsid w:val="00BF04F5"/>
    <w:rPr>
      <w:vertAlign w:val="superscript"/>
    </w:rPr>
  </w:style>
  <w:style w:type="character" w:customStyle="1" w:styleId="UnresolvedMention1">
    <w:name w:val="Unresolved Mention1"/>
    <w:basedOn w:val="DefaultParagraphFont"/>
    <w:uiPriority w:val="99"/>
    <w:rsid w:val="00BF04F5"/>
    <w:rPr>
      <w:color w:val="808080"/>
      <w:shd w:val="clear" w:color="auto" w:fill="E6E6E6"/>
    </w:rPr>
  </w:style>
  <w:style w:type="paragraph" w:customStyle="1" w:styleId="tv213">
    <w:name w:val="tv213"/>
    <w:basedOn w:val="Normal"/>
    <w:rsid w:val="000A1EC2"/>
    <w:pPr>
      <w:spacing w:before="100" w:beforeAutospacing="1" w:after="100" w:afterAutospacing="1"/>
    </w:pPr>
  </w:style>
  <w:style w:type="character" w:styleId="CommentReference">
    <w:name w:val="annotation reference"/>
    <w:basedOn w:val="DefaultParagraphFont"/>
    <w:uiPriority w:val="99"/>
    <w:semiHidden/>
    <w:unhideWhenUsed/>
    <w:rsid w:val="0049101C"/>
    <w:rPr>
      <w:sz w:val="16"/>
      <w:szCs w:val="16"/>
    </w:rPr>
  </w:style>
  <w:style w:type="paragraph" w:styleId="CommentText">
    <w:name w:val="annotation text"/>
    <w:basedOn w:val="Normal"/>
    <w:link w:val="CommentTextChar"/>
    <w:uiPriority w:val="99"/>
    <w:semiHidden/>
    <w:unhideWhenUsed/>
    <w:rsid w:val="0049101C"/>
    <w:rPr>
      <w:sz w:val="20"/>
      <w:szCs w:val="20"/>
    </w:rPr>
  </w:style>
  <w:style w:type="character" w:customStyle="1" w:styleId="CommentTextChar">
    <w:name w:val="Comment Text Char"/>
    <w:basedOn w:val="DefaultParagraphFont"/>
    <w:link w:val="CommentText"/>
    <w:uiPriority w:val="99"/>
    <w:semiHidden/>
    <w:rsid w:val="0049101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01C"/>
    <w:rPr>
      <w:b/>
      <w:bCs/>
    </w:rPr>
  </w:style>
  <w:style w:type="character" w:customStyle="1" w:styleId="CommentSubjectChar">
    <w:name w:val="Comment Subject Char"/>
    <w:basedOn w:val="CommentTextChar"/>
    <w:link w:val="CommentSubject"/>
    <w:uiPriority w:val="99"/>
    <w:semiHidden/>
    <w:rsid w:val="0049101C"/>
    <w:rPr>
      <w:rFonts w:ascii="Times New Roman" w:eastAsia="Times New Roman" w:hAnsi="Times New Roman" w:cs="Times New Roman"/>
      <w:b/>
      <w:bCs/>
      <w:sz w:val="20"/>
      <w:szCs w:val="20"/>
      <w:lang w:eastAsia="lv-LV"/>
    </w:rPr>
  </w:style>
  <w:style w:type="paragraph" w:customStyle="1" w:styleId="xmsonormal">
    <w:name w:val="x_msonormal"/>
    <w:basedOn w:val="Normal"/>
    <w:rsid w:val="00726131"/>
    <w:pPr>
      <w:spacing w:before="100" w:beforeAutospacing="1" w:after="100" w:afterAutospacing="1"/>
    </w:pPr>
  </w:style>
  <w:style w:type="paragraph" w:styleId="BodyText2">
    <w:name w:val="Body Text 2"/>
    <w:basedOn w:val="Normal"/>
    <w:link w:val="BodyText2Char"/>
    <w:rsid w:val="00726131"/>
    <w:pPr>
      <w:jc w:val="both"/>
    </w:pPr>
    <w:rPr>
      <w:sz w:val="28"/>
      <w:szCs w:val="20"/>
      <w:lang w:eastAsia="en-US"/>
    </w:rPr>
  </w:style>
  <w:style w:type="character" w:customStyle="1" w:styleId="BodyText2Char">
    <w:name w:val="Body Text 2 Char"/>
    <w:basedOn w:val="DefaultParagraphFont"/>
    <w:link w:val="BodyText2"/>
    <w:rsid w:val="00726131"/>
    <w:rPr>
      <w:rFonts w:ascii="Times New Roman" w:eastAsia="Times New Roman" w:hAnsi="Times New Roman" w:cs="Times New Roman"/>
      <w:sz w:val="28"/>
      <w:szCs w:val="20"/>
    </w:rPr>
  </w:style>
  <w:style w:type="paragraph" w:customStyle="1" w:styleId="pamattekststabul">
    <w:name w:val="pamattekststabul"/>
    <w:basedOn w:val="Normal"/>
    <w:rsid w:val="00091A80"/>
    <w:pPr>
      <w:spacing w:before="100" w:beforeAutospacing="1" w:after="100" w:afterAutospacing="1"/>
    </w:pPr>
    <w:rPr>
      <w:lang w:val="en-US" w:eastAsia="en-US"/>
    </w:rPr>
  </w:style>
  <w:style w:type="paragraph" w:styleId="Revision">
    <w:name w:val="Revision"/>
    <w:hidden/>
    <w:uiPriority w:val="99"/>
    <w:semiHidden/>
    <w:rsid w:val="0020313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9D99-A57B-4B9F-A3E6-EF59E9F1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5022</Words>
  <Characters>2864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Iekšlietu ministrija</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Sarmite Klementjeva</dc:creator>
  <dc:description/>
  <cp:lastModifiedBy>Santa Šaicāne</cp:lastModifiedBy>
  <cp:revision>16</cp:revision>
  <cp:lastPrinted>2018-04-20T08:23:00Z</cp:lastPrinted>
  <dcterms:created xsi:type="dcterms:W3CDTF">2018-11-06T14:28:00Z</dcterms:created>
  <dcterms:modified xsi:type="dcterms:W3CDTF">2018-11-08T06:43:00Z</dcterms:modified>
</cp:coreProperties>
</file>