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833CEF" w:rsidRDefault="00F951E7" w:rsidP="005471A0">
      <w:pPr>
        <w:shd w:val="clear" w:color="auto" w:fill="FFFFFF"/>
        <w:spacing w:after="0" w:line="240" w:lineRule="auto"/>
        <w:jc w:val="center"/>
        <w:rPr>
          <w:rFonts w:ascii="Times New Roman" w:hAnsi="Times New Roman"/>
          <w:b/>
          <w:sz w:val="28"/>
          <w:szCs w:val="28"/>
        </w:rPr>
      </w:pPr>
      <w:r w:rsidRPr="00F951E7">
        <w:rPr>
          <w:rFonts w:ascii="Times New Roman" w:hAnsi="Times New Roman"/>
          <w:b/>
          <w:bCs/>
          <w:sz w:val="28"/>
          <w:szCs w:val="28"/>
        </w:rPr>
        <w:t xml:space="preserve">Ministru kabineta noteikumu projekta „Grozījumi </w:t>
      </w:r>
      <w:r w:rsidR="009F2510">
        <w:rPr>
          <w:rFonts w:ascii="Times New Roman" w:hAnsi="Times New Roman"/>
          <w:b/>
          <w:bCs/>
          <w:sz w:val="28"/>
          <w:szCs w:val="28"/>
        </w:rPr>
        <w:t>Ministru kabineta 2010.gada 7.decembra noteikumos Nr.</w:t>
      </w:r>
      <w:r w:rsidRPr="00F951E7">
        <w:rPr>
          <w:rFonts w:ascii="Times New Roman" w:hAnsi="Times New Roman"/>
          <w:b/>
          <w:bCs/>
          <w:sz w:val="28"/>
          <w:szCs w:val="28"/>
        </w:rPr>
        <w:t xml:space="preserve">1098 „Noteikumi par rīcību ar administratīvo pārkāpumu lietās izņemto mantu un dokumentiem”” sākotnējās ietekmes </w:t>
      </w:r>
      <w:r>
        <w:rPr>
          <w:rFonts w:ascii="Times New Roman" w:hAnsi="Times New Roman"/>
          <w:b/>
          <w:bCs/>
          <w:sz w:val="28"/>
          <w:szCs w:val="28"/>
        </w:rPr>
        <w:t xml:space="preserve">novērtējuma ziņojums </w:t>
      </w:r>
      <w:r w:rsidR="00894C55" w:rsidRPr="00833CEF">
        <w:rPr>
          <w:rFonts w:ascii="Times New Roman" w:hAnsi="Times New Roman"/>
          <w:b/>
          <w:sz w:val="28"/>
          <w:szCs w:val="28"/>
        </w:rPr>
        <w:t>(anotācija)</w:t>
      </w:r>
    </w:p>
    <w:p w:rsidR="00E5323B"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rsidR="00670019" w:rsidRPr="00894C55" w:rsidRDefault="00670019"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8671E7" w:rsidRDefault="00634435" w:rsidP="008671E7">
            <w:pPr>
              <w:spacing w:after="0" w:line="240" w:lineRule="auto"/>
              <w:ind w:firstLine="287"/>
              <w:jc w:val="both"/>
              <w:rPr>
                <w:rFonts w:ascii="Times New Roman" w:hAnsi="Times New Roman"/>
                <w:sz w:val="28"/>
                <w:szCs w:val="28"/>
              </w:rPr>
            </w:pPr>
            <w:r w:rsidRPr="00634435">
              <w:rPr>
                <w:rFonts w:ascii="Times New Roman" w:hAnsi="Times New Roman"/>
                <w:sz w:val="28"/>
                <w:szCs w:val="28"/>
              </w:rPr>
              <w:t>Mini</w:t>
            </w:r>
            <w:r w:rsidR="00CA38C5">
              <w:rPr>
                <w:rFonts w:ascii="Times New Roman" w:hAnsi="Times New Roman"/>
                <w:sz w:val="28"/>
                <w:szCs w:val="28"/>
              </w:rPr>
              <w:t>stru kabineta noteikumu projekta</w:t>
            </w:r>
            <w:r w:rsidRPr="00634435">
              <w:rPr>
                <w:rFonts w:ascii="Times New Roman" w:hAnsi="Times New Roman"/>
                <w:sz w:val="28"/>
                <w:szCs w:val="28"/>
              </w:rPr>
              <w:t xml:space="preserve"> „Grozījumi Ministru kabineta 2010.gada 7.decembra noteikumos Nr. 1098 „Noteikumi par rīcību ar administratīvo pārkāpumu lietās izņemto mantu un dokumentiem”” (turpmāk – projekts) mērķis ir noteikt izsoļu </w:t>
            </w:r>
            <w:r w:rsidR="0077178E">
              <w:rPr>
                <w:rFonts w:ascii="Times New Roman" w:hAnsi="Times New Roman"/>
                <w:sz w:val="28"/>
                <w:szCs w:val="28"/>
              </w:rPr>
              <w:t>organizēšanas kārtību, precizēt</w:t>
            </w:r>
            <w:r w:rsidRPr="00634435">
              <w:rPr>
                <w:rFonts w:ascii="Times New Roman" w:hAnsi="Times New Roman"/>
                <w:sz w:val="28"/>
                <w:szCs w:val="28"/>
              </w:rPr>
              <w:t xml:space="preserve"> informācijas apmaiņu starp Nodrošinājuma valst</w:t>
            </w:r>
            <w:r w:rsidR="008671E7">
              <w:rPr>
                <w:rFonts w:ascii="Times New Roman" w:hAnsi="Times New Roman"/>
                <w:sz w:val="28"/>
                <w:szCs w:val="28"/>
              </w:rPr>
              <w:t>s aģentūru (turpmāk – Aģentūra)</w:t>
            </w:r>
            <w:r w:rsidRPr="00634435">
              <w:rPr>
                <w:rFonts w:ascii="Times New Roman" w:hAnsi="Times New Roman"/>
                <w:sz w:val="28"/>
                <w:szCs w:val="28"/>
              </w:rPr>
              <w:t xml:space="preserve"> un atbildīgajām institūcijām. </w:t>
            </w:r>
            <w:r w:rsidR="008671E7">
              <w:rPr>
                <w:rFonts w:ascii="Times New Roman" w:hAnsi="Times New Roman"/>
                <w:sz w:val="28"/>
                <w:szCs w:val="28"/>
              </w:rPr>
              <w:t xml:space="preserve"> </w:t>
            </w:r>
          </w:p>
          <w:p w:rsidR="00E5323B" w:rsidRPr="00E5323B" w:rsidRDefault="00634435" w:rsidP="008671E7">
            <w:pPr>
              <w:spacing w:after="0" w:line="240" w:lineRule="auto"/>
              <w:ind w:firstLine="287"/>
              <w:jc w:val="both"/>
              <w:rPr>
                <w:rFonts w:ascii="Times New Roman" w:eastAsia="Times New Roman" w:hAnsi="Times New Roman" w:cs="Times New Roman"/>
                <w:iCs/>
                <w:color w:val="A6A6A6" w:themeColor="background1" w:themeShade="A6"/>
                <w:sz w:val="24"/>
                <w:szCs w:val="24"/>
                <w:lang w:val="sv-SE" w:eastAsia="lv-LV"/>
              </w:rPr>
            </w:pPr>
            <w:r w:rsidRPr="00634435">
              <w:rPr>
                <w:rFonts w:ascii="Times New Roman" w:hAnsi="Times New Roman"/>
                <w:sz w:val="28"/>
                <w:szCs w:val="28"/>
              </w:rPr>
              <w:t>Projekta spēkā stāšanās laiks ir 2019.gada 1.janvāris.</w:t>
            </w:r>
          </w:p>
        </w:tc>
      </w:tr>
    </w:tbl>
    <w:p w:rsid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AF0948" w:rsidP="00BC79E5">
            <w:pPr>
              <w:spacing w:after="0" w:line="240" w:lineRule="auto"/>
              <w:jc w:val="both"/>
              <w:rPr>
                <w:rFonts w:ascii="Times New Roman" w:hAnsi="Times New Roman"/>
                <w:sz w:val="28"/>
                <w:szCs w:val="28"/>
              </w:rPr>
            </w:pPr>
            <w:r>
              <w:rPr>
                <w:rFonts w:ascii="Times New Roman" w:hAnsi="Times New Roman"/>
                <w:sz w:val="28"/>
                <w:szCs w:val="28"/>
              </w:rPr>
              <w:t xml:space="preserve">   </w:t>
            </w:r>
            <w:r w:rsidR="00F951E7" w:rsidRPr="00F951E7">
              <w:rPr>
                <w:rFonts w:ascii="Times New Roman" w:hAnsi="Times New Roman"/>
                <w:sz w:val="28"/>
                <w:szCs w:val="28"/>
              </w:rPr>
              <w:t>Ministru kabineta 2017.gada 10.oktobra sēdē (prot. Nr. 50, 12.§ 4.punkts) Iekšlietu ministrijai dots uzdevums izvērtēt to kompetencē esošos tiesību aktus un nepie</w:t>
            </w:r>
            <w:r w:rsidR="000F447C">
              <w:rPr>
                <w:rFonts w:ascii="Times New Roman" w:hAnsi="Times New Roman"/>
                <w:sz w:val="28"/>
                <w:szCs w:val="28"/>
              </w:rPr>
              <w:t>ciešamības gadījumā līdz 2018.g</w:t>
            </w:r>
            <w:r w:rsidR="00F951E7" w:rsidRPr="00F951E7">
              <w:rPr>
                <w:rFonts w:ascii="Times New Roman" w:hAnsi="Times New Roman"/>
                <w:sz w:val="28"/>
                <w:szCs w:val="28"/>
              </w:rPr>
              <w:t>ada 30. novembrim noteiktā kārtībā iesniegt izskatīšanai Ministru kabinetā grozījumus tiesību aktos, paredzot kārtību, kādā Aģentūra tiesību aktos noteiktajos gadījumos organizē kustamas mantas izsoles.</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1173AC" w:rsidRPr="001173AC" w:rsidRDefault="00AF0948" w:rsidP="001173AC">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1173AC" w:rsidRPr="001173AC">
              <w:rPr>
                <w:rFonts w:ascii="Times New Roman" w:hAnsi="Times New Roman"/>
                <w:sz w:val="28"/>
                <w:szCs w:val="28"/>
              </w:rPr>
              <w:t>Latvijas Administratīvo pārkāpumu kodeksa (turpmāk – LAPK) 274.</w:t>
            </w:r>
            <w:r w:rsidR="001173AC" w:rsidRPr="001173AC">
              <w:rPr>
                <w:rFonts w:ascii="Times New Roman" w:hAnsi="Times New Roman"/>
                <w:sz w:val="28"/>
                <w:szCs w:val="28"/>
                <w:vertAlign w:val="superscript"/>
              </w:rPr>
              <w:t>1</w:t>
            </w:r>
            <w:r w:rsidR="001173AC" w:rsidRPr="001173AC">
              <w:rPr>
                <w:rFonts w:ascii="Times New Roman" w:hAnsi="Times New Roman"/>
                <w:sz w:val="28"/>
                <w:szCs w:val="28"/>
              </w:rPr>
              <w:t>panta pirmā daļa nosaka, ka lēmumā par administratīvā soda uzlikšanu vai lietvedības izbeigšanu jānosaka, kas darāms ar pārkāpuma izdarīšanas rīkiem vai citiem izņemtajiem priekšmetiem un dokumentiem.</w:t>
            </w:r>
          </w:p>
          <w:p w:rsidR="001173AC" w:rsidRPr="001173AC" w:rsidRDefault="001173AC" w:rsidP="001173AC">
            <w:pPr>
              <w:widowControl w:val="0"/>
              <w:tabs>
                <w:tab w:val="left" w:pos="284"/>
              </w:tabs>
              <w:spacing w:after="0" w:line="240" w:lineRule="auto"/>
              <w:ind w:firstLine="269"/>
              <w:jc w:val="both"/>
              <w:rPr>
                <w:rFonts w:ascii="Times New Roman" w:hAnsi="Times New Roman"/>
                <w:sz w:val="28"/>
                <w:szCs w:val="28"/>
              </w:rPr>
            </w:pPr>
            <w:r w:rsidRPr="001173AC">
              <w:rPr>
                <w:rFonts w:ascii="Times New Roman" w:hAnsi="Times New Roman"/>
                <w:sz w:val="28"/>
                <w:szCs w:val="28"/>
              </w:rPr>
              <w:t xml:space="preserve">Šobrīd pastāv prakse, ka atbildīgā institūcija administratīvā pārkāpumu lietā nosūta lēmumu par rīcību ar izņemto mantu, kas glabājas Aģentūrā, bet pēc tam atsevišķi Aģentūrai nepieciešams pieprasīt no atbildīgās institūcijas </w:t>
            </w:r>
            <w:r w:rsidRPr="001173AC">
              <w:rPr>
                <w:rFonts w:ascii="Times New Roman" w:hAnsi="Times New Roman"/>
                <w:sz w:val="28"/>
                <w:szCs w:val="28"/>
              </w:rPr>
              <w:lastRenderedPageBreak/>
              <w:t>lēmumus par administratīvā soda uzlikšanu vai administratīvās pārkāpumu lietvedības izbeigšanu. Tas saistāms ar to, ka pastāvošais normatīvais regulējums neparedz minēto pienākumu atbildīgajai institūcijai, kā arī valsts informācijas sistēmas “Integrētā iekšlietu informācijas sistēma” iekļautā Vienotā notikumu reģistra apakšsistēmā “Elektroniskais notikumu žurnāls”, reģistrētā pārkāpuma notikumu numuru nav iespējams pārbaudīt datu meklēšanas formas Integrētās iekšlietu informācijas sistēmas apakšsistēmā “Administratīvus pārkāpumus izdarījušās personas” Personas identifikācijas risinājuma (PIR) izdrukas formā, turklāt</w:t>
            </w:r>
            <w:r w:rsidR="00435B75">
              <w:rPr>
                <w:rFonts w:ascii="Times New Roman" w:hAnsi="Times New Roman"/>
                <w:sz w:val="28"/>
                <w:szCs w:val="28"/>
              </w:rPr>
              <w:t xml:space="preserve"> </w:t>
            </w:r>
            <w:r w:rsidRPr="001173AC">
              <w:rPr>
                <w:rFonts w:ascii="Times New Roman" w:hAnsi="Times New Roman"/>
                <w:sz w:val="28"/>
                <w:szCs w:val="28"/>
              </w:rPr>
              <w:t xml:space="preserve">tiek </w:t>
            </w:r>
            <w:r w:rsidR="00435B75">
              <w:rPr>
                <w:rFonts w:ascii="Times New Roman" w:hAnsi="Times New Roman"/>
                <w:sz w:val="28"/>
                <w:szCs w:val="28"/>
              </w:rPr>
              <w:t>nelietderīgi</w:t>
            </w:r>
            <w:r w:rsidR="00435B75" w:rsidRPr="001173AC">
              <w:rPr>
                <w:rFonts w:ascii="Times New Roman" w:hAnsi="Times New Roman"/>
                <w:sz w:val="28"/>
                <w:szCs w:val="28"/>
              </w:rPr>
              <w:t xml:space="preserve"> </w:t>
            </w:r>
            <w:r w:rsidRPr="001173AC">
              <w:rPr>
                <w:rFonts w:ascii="Times New Roman" w:hAnsi="Times New Roman"/>
                <w:sz w:val="28"/>
                <w:szCs w:val="28"/>
              </w:rPr>
              <w:t>izmantoti Aģentūras resursi pieprasījuma gatavošanai un nosūtīšanai atbildīgajai institūcijai par administratīvās pārkāpumu lietā pieņemtā lēmuma par administratīvā soda uzlikšanu vai administratīvās pārkāpumu lietvedības izbeigšanu nosūtīšanu.</w:t>
            </w:r>
          </w:p>
          <w:p w:rsidR="001173AC" w:rsidRPr="001173AC" w:rsidRDefault="009F2510" w:rsidP="001173AC">
            <w:pPr>
              <w:widowControl w:val="0"/>
              <w:tabs>
                <w:tab w:val="left" w:pos="284"/>
              </w:tabs>
              <w:spacing w:after="0" w:line="240" w:lineRule="auto"/>
              <w:ind w:firstLine="269"/>
              <w:jc w:val="both"/>
              <w:rPr>
                <w:rFonts w:ascii="Times New Roman" w:hAnsi="Times New Roman"/>
                <w:sz w:val="28"/>
                <w:szCs w:val="28"/>
              </w:rPr>
            </w:pPr>
            <w:r>
              <w:rPr>
                <w:rFonts w:ascii="Times New Roman" w:hAnsi="Times New Roman"/>
                <w:sz w:val="28"/>
                <w:szCs w:val="28"/>
              </w:rPr>
              <w:t>Ministru kabineta 2010.gada 7.decembra noteikumi Nr.</w:t>
            </w:r>
            <w:r w:rsidR="001173AC" w:rsidRPr="001173AC">
              <w:rPr>
                <w:rFonts w:ascii="Times New Roman" w:hAnsi="Times New Roman"/>
                <w:sz w:val="28"/>
                <w:szCs w:val="28"/>
              </w:rPr>
              <w:t xml:space="preserve">1098 “Noteikumu par rīcību ar administratīvo pārkāpumu lietās izņemto mantu un dokumentiem” (turpmāk - </w:t>
            </w:r>
            <w:r w:rsidR="0089349A">
              <w:rPr>
                <w:rFonts w:ascii="Times New Roman" w:hAnsi="Times New Roman"/>
                <w:sz w:val="28"/>
                <w:szCs w:val="28"/>
              </w:rPr>
              <w:t>n</w:t>
            </w:r>
            <w:r w:rsidR="001173AC" w:rsidRPr="001173AC">
              <w:rPr>
                <w:rFonts w:ascii="Times New Roman" w:hAnsi="Times New Roman"/>
                <w:sz w:val="28"/>
                <w:szCs w:val="28"/>
              </w:rPr>
              <w:t>oteikumi Nr.1098) tiek papildināti ar vārdiem “</w:t>
            </w:r>
            <w:r w:rsidR="00435B75" w:rsidRPr="00C24ECD">
              <w:rPr>
                <w:rFonts w:ascii="Times New Roman" w:hAnsi="Times New Roman" w:cs="Times New Roman"/>
                <w:sz w:val="28"/>
                <w:szCs w:val="28"/>
              </w:rPr>
              <w:t>nekavējoties, bet ne vēlāk kā</w:t>
            </w:r>
            <w:r w:rsidR="00435B75" w:rsidRPr="00BE64F3">
              <w:rPr>
                <w:rFonts w:ascii="Times New Roman" w:hAnsi="Times New Roman" w:cs="Times New Roman"/>
                <w:sz w:val="28"/>
                <w:szCs w:val="28"/>
              </w:rPr>
              <w:t xml:space="preserve"> </w:t>
            </w:r>
            <w:r w:rsidR="00435B75">
              <w:rPr>
                <w:rFonts w:ascii="Times New Roman" w:hAnsi="Times New Roman" w:cs="Times New Roman"/>
                <w:sz w:val="28"/>
                <w:szCs w:val="28"/>
              </w:rPr>
              <w:t>triju darbdienu laikā</w:t>
            </w:r>
            <w:r w:rsidR="001173AC" w:rsidRPr="001173AC">
              <w:rPr>
                <w:rFonts w:ascii="Times New Roman" w:hAnsi="Times New Roman"/>
                <w:sz w:val="28"/>
                <w:szCs w:val="28"/>
              </w:rPr>
              <w:t>”,</w:t>
            </w:r>
            <w:r w:rsidR="00435B75">
              <w:rPr>
                <w:rFonts w:ascii="Times New Roman" w:hAnsi="Times New Roman"/>
                <w:sz w:val="28"/>
                <w:szCs w:val="28"/>
              </w:rPr>
              <w:t xml:space="preserve"> precizējot izpildes termiņus rīcībai ar izņemto mantu un dokumentiem,</w:t>
            </w:r>
            <w:r w:rsidR="001173AC" w:rsidRPr="001173AC">
              <w:rPr>
                <w:rFonts w:ascii="Times New Roman" w:hAnsi="Times New Roman"/>
                <w:sz w:val="28"/>
                <w:szCs w:val="28"/>
              </w:rPr>
              <w:t xml:space="preserve"> kā arī nosakot, ka atbildīgā institūcija nosūta lēmumus par izņemtās mantas nodošanu glabāšanā vai izņemtās mantas realizāciju vai iznīcināšanu ar drošu elektronisko</w:t>
            </w:r>
            <w:proofErr w:type="gramStart"/>
            <w:r w:rsidR="001173AC" w:rsidRPr="001173AC">
              <w:rPr>
                <w:rFonts w:ascii="Times New Roman" w:hAnsi="Times New Roman"/>
                <w:sz w:val="28"/>
                <w:szCs w:val="28"/>
              </w:rPr>
              <w:t xml:space="preserve"> </w:t>
            </w:r>
            <w:r w:rsidR="00A449D2">
              <w:rPr>
                <w:rFonts w:ascii="Times New Roman" w:hAnsi="Times New Roman"/>
                <w:sz w:val="28"/>
                <w:szCs w:val="28"/>
              </w:rPr>
              <w:t xml:space="preserve"> </w:t>
            </w:r>
            <w:proofErr w:type="gramEnd"/>
            <w:r w:rsidR="001173AC" w:rsidRPr="001173AC">
              <w:rPr>
                <w:rFonts w:ascii="Times New Roman" w:hAnsi="Times New Roman"/>
                <w:sz w:val="28"/>
                <w:szCs w:val="28"/>
              </w:rPr>
              <w:t xml:space="preserve">parakstu </w:t>
            </w:r>
            <w:r w:rsidR="00A449D2">
              <w:rPr>
                <w:rFonts w:ascii="Times New Roman" w:hAnsi="Times New Roman"/>
                <w:sz w:val="28"/>
                <w:szCs w:val="28"/>
              </w:rPr>
              <w:t xml:space="preserve">   </w:t>
            </w:r>
            <w:r w:rsidR="001173AC" w:rsidRPr="001173AC">
              <w:rPr>
                <w:rFonts w:ascii="Times New Roman" w:hAnsi="Times New Roman"/>
                <w:sz w:val="28"/>
                <w:szCs w:val="28"/>
              </w:rPr>
              <w:t>uz Aģentūras e-pastu</w:t>
            </w:r>
            <w:r w:rsidR="0077178E">
              <w:rPr>
                <w:rFonts w:ascii="Times New Roman" w:hAnsi="Times New Roman"/>
                <w:sz w:val="28"/>
                <w:szCs w:val="28"/>
              </w:rPr>
              <w:t>:</w:t>
            </w:r>
            <w:r w:rsidR="001173AC" w:rsidRPr="001173AC">
              <w:rPr>
                <w:rFonts w:ascii="Times New Roman" w:hAnsi="Times New Roman"/>
                <w:sz w:val="28"/>
                <w:szCs w:val="28"/>
              </w:rPr>
              <w:t xml:space="preserve"> </w:t>
            </w:r>
            <w:proofErr w:type="spellStart"/>
            <w:r w:rsidR="00A449D2">
              <w:rPr>
                <w:rFonts w:ascii="Times New Roman" w:hAnsi="Times New Roman"/>
                <w:sz w:val="28"/>
                <w:szCs w:val="28"/>
              </w:rPr>
              <w:t>kanceleja</w:t>
            </w:r>
            <w:r w:rsidR="001173AC" w:rsidRPr="001173AC">
              <w:rPr>
                <w:rFonts w:ascii="Times New Roman" w:hAnsi="Times New Roman"/>
                <w:sz w:val="28"/>
                <w:szCs w:val="28"/>
              </w:rPr>
              <w:t>@agentura.iem.gov.lv</w:t>
            </w:r>
            <w:proofErr w:type="spellEnd"/>
            <w:r w:rsidR="001173AC" w:rsidRPr="001173AC">
              <w:rPr>
                <w:rFonts w:ascii="Times New Roman" w:hAnsi="Times New Roman"/>
                <w:sz w:val="28"/>
                <w:szCs w:val="28"/>
              </w:rPr>
              <w:t>, tādā veidā paātrinot informācijas apmaiņu starp atbildīgo institūciju un Aģentūru.</w:t>
            </w:r>
          </w:p>
          <w:p w:rsidR="0084141D" w:rsidRPr="0084141D" w:rsidRDefault="009F1154" w:rsidP="0084141D">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9F2510">
              <w:rPr>
                <w:rFonts w:ascii="Times New Roman" w:hAnsi="Times New Roman"/>
                <w:sz w:val="28"/>
                <w:szCs w:val="28"/>
              </w:rPr>
              <w:t>Satversmes tiesa 2013.gada 24.</w:t>
            </w:r>
            <w:r w:rsidR="0084141D" w:rsidRPr="0084141D">
              <w:rPr>
                <w:rFonts w:ascii="Times New Roman" w:hAnsi="Times New Roman"/>
                <w:sz w:val="28"/>
                <w:szCs w:val="28"/>
              </w:rPr>
              <w:t>oktobra spriedumā lietā Nr. 2012-23-01 “Par Latvijas Admini</w:t>
            </w:r>
            <w:r w:rsidR="009F2510">
              <w:rPr>
                <w:rFonts w:ascii="Times New Roman" w:hAnsi="Times New Roman"/>
                <w:sz w:val="28"/>
                <w:szCs w:val="28"/>
              </w:rPr>
              <w:t>stratīvo pārkāpumu kodeksa 257.</w:t>
            </w:r>
            <w:r w:rsidR="0084141D" w:rsidRPr="0084141D">
              <w:rPr>
                <w:rFonts w:ascii="Times New Roman" w:hAnsi="Times New Roman"/>
                <w:sz w:val="28"/>
                <w:szCs w:val="28"/>
              </w:rPr>
              <w:t>panta pirmās daļas atbilstību Latv</w:t>
            </w:r>
            <w:r w:rsidR="009F2510">
              <w:rPr>
                <w:rFonts w:ascii="Times New Roman" w:hAnsi="Times New Roman"/>
                <w:sz w:val="28"/>
                <w:szCs w:val="28"/>
              </w:rPr>
              <w:t>ijas Republikas Satversmes 105.</w:t>
            </w:r>
            <w:r w:rsidR="0084141D" w:rsidRPr="0084141D">
              <w:rPr>
                <w:rFonts w:ascii="Times New Roman" w:hAnsi="Times New Roman"/>
                <w:sz w:val="28"/>
                <w:szCs w:val="28"/>
              </w:rPr>
              <w:t xml:space="preserve">pantam” atzina LAPK 257. panta pirmās daļas otrā teikuma vārdus “[ja </w:t>
            </w:r>
            <w:r w:rsidR="0084141D" w:rsidRPr="0084141D">
              <w:rPr>
                <w:rFonts w:ascii="Times New Roman" w:hAnsi="Times New Roman"/>
                <w:sz w:val="28"/>
                <w:szCs w:val="28"/>
              </w:rPr>
              <w:lastRenderedPageBreak/>
              <w:t>izdarīts administratīvais pārkāpums, kas paredzēts šā kodeksa 149.</w:t>
            </w:r>
            <w:r w:rsidR="0084141D" w:rsidRPr="0084141D">
              <w:rPr>
                <w:rFonts w:ascii="Times New Roman" w:hAnsi="Times New Roman"/>
                <w:sz w:val="28"/>
                <w:szCs w:val="28"/>
                <w:vertAlign w:val="superscript"/>
              </w:rPr>
              <w:t>4</w:t>
            </w:r>
            <w:r w:rsidR="0084141D" w:rsidRPr="0084141D">
              <w:rPr>
                <w:rFonts w:ascii="Times New Roman" w:hAnsi="Times New Roman"/>
                <w:sz w:val="28"/>
                <w:szCs w:val="28"/>
              </w:rPr>
              <w:t xml:space="preserve"> panta septītajā daļā, 149.</w:t>
            </w:r>
            <w:r w:rsidR="0084141D" w:rsidRPr="0084141D">
              <w:rPr>
                <w:rFonts w:ascii="Times New Roman" w:hAnsi="Times New Roman"/>
                <w:sz w:val="28"/>
                <w:szCs w:val="28"/>
                <w:vertAlign w:val="superscript"/>
              </w:rPr>
              <w:t>5</w:t>
            </w:r>
            <w:r w:rsidR="0084141D" w:rsidRPr="0084141D">
              <w:rPr>
                <w:rFonts w:ascii="Times New Roman" w:hAnsi="Times New Roman"/>
                <w:sz w:val="28"/>
                <w:szCs w:val="28"/>
              </w:rPr>
              <w:t>panta piektajā daļā vai 149.</w:t>
            </w:r>
            <w:r w:rsidR="0084141D" w:rsidRPr="0084141D">
              <w:rPr>
                <w:rFonts w:ascii="Times New Roman" w:hAnsi="Times New Roman"/>
                <w:sz w:val="28"/>
                <w:szCs w:val="28"/>
                <w:vertAlign w:val="superscript"/>
              </w:rPr>
              <w:t>15</w:t>
            </w:r>
            <w:r w:rsidR="0084141D" w:rsidRPr="0084141D">
              <w:rPr>
                <w:rFonts w:ascii="Times New Roman" w:hAnsi="Times New Roman"/>
                <w:sz w:val="28"/>
                <w:szCs w:val="28"/>
              </w:rPr>
              <w:t>pantā (izņemot</w:t>
            </w:r>
            <w:r w:rsidR="0084141D">
              <w:rPr>
                <w:rFonts w:ascii="Times New Roman" w:hAnsi="Times New Roman"/>
                <w:sz w:val="28"/>
                <w:szCs w:val="28"/>
              </w:rPr>
              <w:t xml:space="preserve"> </w:t>
            </w:r>
            <w:r w:rsidR="0084141D" w:rsidRPr="0084141D">
              <w:rPr>
                <w:rFonts w:ascii="Times New Roman" w:hAnsi="Times New Roman"/>
                <w:sz w:val="28"/>
                <w:szCs w:val="28"/>
              </w:rPr>
              <w:t>sestajā daļā paredzēto pārkāpumu) līdz piemērotā naudas soda izpildei]” attiecībā uz transportlīdzekļu īpašniekiem (transportlīdzekļa reģistrācijas apliecībā norādītajiem turētājiem), kuri nav izdarījuši administratīvo pārkāpumu, par kuru piemērots naudas sods, un kuru transportlīdzekļi šā sprieduma publicēšanas dienā atrodas Aģentūras glabāšanā, par neatbilstošiem Latv</w:t>
            </w:r>
            <w:r w:rsidR="009F2510">
              <w:rPr>
                <w:rFonts w:ascii="Times New Roman" w:hAnsi="Times New Roman"/>
                <w:sz w:val="28"/>
                <w:szCs w:val="28"/>
              </w:rPr>
              <w:t>ijas Republikas Satversmes 105.</w:t>
            </w:r>
            <w:r w:rsidR="0084141D" w:rsidRPr="0084141D">
              <w:rPr>
                <w:rFonts w:ascii="Times New Roman" w:hAnsi="Times New Roman"/>
                <w:sz w:val="28"/>
                <w:szCs w:val="28"/>
              </w:rPr>
              <w:t>pantam un spēkā neesošiem no dienas, kad pieņemts lēmums attiecīgajā administratīvā pārkāpuma lietā.</w:t>
            </w:r>
          </w:p>
          <w:p w:rsidR="0084141D" w:rsidRDefault="0084141D" w:rsidP="0084141D">
            <w:pPr>
              <w:widowControl w:val="0"/>
              <w:tabs>
                <w:tab w:val="left" w:pos="284"/>
              </w:tabs>
              <w:spacing w:after="0" w:line="240" w:lineRule="auto"/>
              <w:ind w:firstLine="269"/>
              <w:jc w:val="both"/>
              <w:rPr>
                <w:rFonts w:ascii="Times New Roman" w:hAnsi="Times New Roman"/>
                <w:sz w:val="28"/>
                <w:szCs w:val="28"/>
              </w:rPr>
            </w:pPr>
            <w:r w:rsidRPr="0084141D">
              <w:rPr>
                <w:rFonts w:ascii="Times New Roman" w:hAnsi="Times New Roman"/>
                <w:sz w:val="28"/>
                <w:szCs w:val="28"/>
              </w:rPr>
              <w:t>Ievērojot minēto, S</w:t>
            </w:r>
            <w:r w:rsidR="009F2510">
              <w:rPr>
                <w:rFonts w:ascii="Times New Roman" w:hAnsi="Times New Roman"/>
                <w:sz w:val="28"/>
                <w:szCs w:val="28"/>
              </w:rPr>
              <w:t>atversmes tiesas 2013.gada 24.</w:t>
            </w:r>
            <w:r w:rsidRPr="0084141D">
              <w:rPr>
                <w:rFonts w:ascii="Times New Roman" w:hAnsi="Times New Roman"/>
                <w:sz w:val="28"/>
                <w:szCs w:val="28"/>
              </w:rPr>
              <w:t>oktobra spriedumā lietā Nr. 2012-23-01 “Par Latvijas Admini</w:t>
            </w:r>
            <w:r w:rsidR="009F2510">
              <w:rPr>
                <w:rFonts w:ascii="Times New Roman" w:hAnsi="Times New Roman"/>
                <w:sz w:val="28"/>
                <w:szCs w:val="28"/>
              </w:rPr>
              <w:t>stratīvo pārkāpumu kodeksa 257.</w:t>
            </w:r>
            <w:r w:rsidRPr="0084141D">
              <w:rPr>
                <w:rFonts w:ascii="Times New Roman" w:hAnsi="Times New Roman"/>
                <w:sz w:val="28"/>
                <w:szCs w:val="28"/>
              </w:rPr>
              <w:t>panta pirmās daļas atbilstību Latvijas Republikas Satversmes 105.pantam” izteiktā atziņa ir iestrādājama Noteikumu Nr.1098 25.</w:t>
            </w:r>
            <w:r w:rsidRPr="0084141D">
              <w:rPr>
                <w:rFonts w:ascii="Times New Roman" w:hAnsi="Times New Roman"/>
                <w:sz w:val="28"/>
                <w:szCs w:val="28"/>
                <w:vertAlign w:val="superscript"/>
              </w:rPr>
              <w:t>1</w:t>
            </w:r>
            <w:r w:rsidRPr="0084141D">
              <w:rPr>
                <w:rFonts w:ascii="Times New Roman" w:hAnsi="Times New Roman"/>
                <w:sz w:val="28"/>
                <w:szCs w:val="28"/>
              </w:rPr>
              <w:t>punktā, paredzot, ka gadījumā, ja iesniegumu par izņemtā transportlīdzekļa atdošanu iesniedz administratīvā pārkāpuma lietā ceļu satiksmē izņemtā transportlīdzekļa īpašnieks vai turētājs, kuram administratīvā pārkāpuma lietā nav piemērots administratīvais sods, pirms transportlīdzekļa saņemšanas viņš</w:t>
            </w:r>
            <w:r w:rsidR="009F2510">
              <w:rPr>
                <w:rFonts w:ascii="Times New Roman" w:hAnsi="Times New Roman"/>
                <w:sz w:val="28"/>
                <w:szCs w:val="28"/>
              </w:rPr>
              <w:t xml:space="preserve"> neuzrāda Noteikumu Nr.1098 24.2. un 24.3.</w:t>
            </w:r>
            <w:r w:rsidRPr="0084141D">
              <w:rPr>
                <w:rFonts w:ascii="Times New Roman" w:hAnsi="Times New Roman"/>
                <w:sz w:val="28"/>
                <w:szCs w:val="28"/>
              </w:rPr>
              <w:t>apakšpunktā norādītos dokumentus.</w:t>
            </w:r>
          </w:p>
          <w:p w:rsidR="003D7EF4" w:rsidRPr="003D7EF4" w:rsidRDefault="003D7EF4" w:rsidP="003D7EF4">
            <w:pPr>
              <w:widowControl w:val="0"/>
              <w:tabs>
                <w:tab w:val="left" w:pos="284"/>
              </w:tabs>
              <w:spacing w:after="0" w:line="240" w:lineRule="auto"/>
              <w:ind w:firstLine="269"/>
              <w:jc w:val="both"/>
              <w:rPr>
                <w:rFonts w:ascii="Times New Roman" w:hAnsi="Times New Roman"/>
                <w:sz w:val="28"/>
                <w:szCs w:val="28"/>
              </w:rPr>
            </w:pPr>
            <w:r w:rsidRPr="003D7EF4">
              <w:rPr>
                <w:rFonts w:ascii="Times New Roman" w:hAnsi="Times New Roman"/>
                <w:sz w:val="28"/>
                <w:szCs w:val="28"/>
              </w:rPr>
              <w:t xml:space="preserve">Ministru kabineta 2017.gada 10.oktobra sēdē (prot. Nr.50, 12.§) izskatīts likumprojekts “Grozījumi Civilprocesa likumā” (TA-1967) (turpmāk – likumprojekts), kurā ietverti grozījumi, kas skar Civilprocesa likuma 71. nodaļā “Piedziņas vēršana uz kustamo mantu” ietverto tiesisko regulējumu, tajā skaitā, grozījumi, kas paredz arī parādniekam piederošu kustamu mantu turpmāk pārdot elektronisko izsoļu vietnē, kas pieejama https://izsoles.ta.gov.lv. Vienlaikus </w:t>
            </w:r>
            <w:r w:rsidRPr="003D7EF4">
              <w:rPr>
                <w:rFonts w:ascii="Times New Roman" w:hAnsi="Times New Roman"/>
                <w:sz w:val="28"/>
                <w:szCs w:val="28"/>
              </w:rPr>
              <w:lastRenderedPageBreak/>
              <w:t>likumprojektā ietverta atsauce, ka kustamās mantas izsoli organizē atbilstoši normatīvajiem aktiem, kas nosaka kārtību, kādā veic darbības elektronisko izsoļu vietnē un izsoļu dalībnieku reģistrā iekļauj, aktualizē un dzēš ziņas par personu, tādējādi arī attiecībā uz kustamās mantas izsolēm attiecinot Ministru kabineta 2015.</w:t>
            </w:r>
            <w:r w:rsidR="009F2510">
              <w:rPr>
                <w:rFonts w:ascii="Times New Roman" w:hAnsi="Times New Roman"/>
                <w:sz w:val="28"/>
                <w:szCs w:val="28"/>
              </w:rPr>
              <w:t>gada 16.jūnija noteikumus Nr.</w:t>
            </w:r>
            <w:r w:rsidRPr="003D7EF4">
              <w:rPr>
                <w:rFonts w:ascii="Times New Roman" w:hAnsi="Times New Roman"/>
                <w:sz w:val="28"/>
                <w:szCs w:val="28"/>
              </w:rPr>
              <w:t>318 “Elektronisko izsoļu vietnes noteikumi”</w:t>
            </w:r>
            <w:r w:rsidR="003E064A">
              <w:rPr>
                <w:rFonts w:ascii="Times New Roman" w:hAnsi="Times New Roman"/>
                <w:sz w:val="28"/>
                <w:szCs w:val="28"/>
              </w:rPr>
              <w:t xml:space="preserve"> </w:t>
            </w:r>
            <w:r w:rsidR="003E064A" w:rsidRPr="003E064A">
              <w:rPr>
                <w:rFonts w:ascii="Times New Roman" w:hAnsi="Times New Roman" w:cs="Times New Roman"/>
                <w:sz w:val="28"/>
                <w:szCs w:val="28"/>
              </w:rPr>
              <w:t>(turpmāk – noteikumi Nr.318)</w:t>
            </w:r>
            <w:r w:rsidRPr="003D7EF4">
              <w:rPr>
                <w:rFonts w:ascii="Times New Roman" w:hAnsi="Times New Roman"/>
                <w:sz w:val="28"/>
                <w:szCs w:val="28"/>
              </w:rPr>
              <w:t>.</w:t>
            </w:r>
          </w:p>
          <w:p w:rsidR="00EB08FE" w:rsidRPr="003D7EF4" w:rsidRDefault="003D7EF4" w:rsidP="00EB08FE">
            <w:pPr>
              <w:widowControl w:val="0"/>
              <w:tabs>
                <w:tab w:val="left" w:pos="284"/>
              </w:tabs>
              <w:spacing w:after="0" w:line="240" w:lineRule="auto"/>
              <w:ind w:firstLine="269"/>
              <w:jc w:val="both"/>
              <w:rPr>
                <w:rFonts w:ascii="Times New Roman" w:hAnsi="Times New Roman"/>
                <w:sz w:val="28"/>
                <w:szCs w:val="28"/>
              </w:rPr>
            </w:pPr>
            <w:r w:rsidRPr="003D7EF4">
              <w:rPr>
                <w:rFonts w:ascii="Times New Roman" w:hAnsi="Times New Roman"/>
                <w:sz w:val="28"/>
                <w:szCs w:val="28"/>
              </w:rPr>
              <w:t>Saistībā ar likumprojektā paredzēto regulējumu attiecībā uz elektronisko izsoļu organizēšanu Ministru kabineta 2017.gada 10.oktobra sēdes protokola Nr.50 12.§ “Likumprojekts “Grozījumi Civilprocesa likumā” 4.punktā Iekšlietu ministrijai dots uzdevums izvērtēt tās kompetencē esošos tiesību aktus un nepieciešamības gadījumā</w:t>
            </w:r>
            <w:proofErr w:type="gramStart"/>
            <w:r w:rsidRPr="003D7EF4">
              <w:rPr>
                <w:rFonts w:ascii="Times New Roman" w:hAnsi="Times New Roman"/>
                <w:sz w:val="28"/>
                <w:szCs w:val="28"/>
              </w:rPr>
              <w:t xml:space="preserve"> līdz 2018.gada 30.novembrim noteiktā kārtībā iesniegt izskatīšanai Ministru kabinetā grozījumus tiesību aktos, paredzot kārtību, kādā Aģentūra tiesību aktos noteiktajos gadījumos organizē</w:t>
            </w:r>
            <w:proofErr w:type="gramEnd"/>
            <w:r w:rsidRPr="003D7EF4">
              <w:rPr>
                <w:rFonts w:ascii="Times New Roman" w:hAnsi="Times New Roman"/>
                <w:sz w:val="28"/>
                <w:szCs w:val="28"/>
              </w:rPr>
              <w:t xml:space="preserve"> kustamas mantas izsoles.</w:t>
            </w:r>
          </w:p>
          <w:p w:rsidR="003D7EF4" w:rsidRPr="003E064A" w:rsidRDefault="003D7EF4" w:rsidP="003D7EF4">
            <w:pPr>
              <w:widowControl w:val="0"/>
              <w:tabs>
                <w:tab w:val="left" w:pos="284"/>
              </w:tabs>
              <w:spacing w:after="0" w:line="240" w:lineRule="auto"/>
              <w:ind w:firstLine="269"/>
              <w:jc w:val="both"/>
              <w:rPr>
                <w:rFonts w:ascii="Times New Roman" w:hAnsi="Times New Roman" w:cs="Times New Roman"/>
                <w:sz w:val="28"/>
                <w:szCs w:val="28"/>
              </w:rPr>
            </w:pPr>
            <w:r w:rsidRPr="003E064A">
              <w:rPr>
                <w:rFonts w:ascii="Times New Roman" w:hAnsi="Times New Roman" w:cs="Times New Roman"/>
                <w:sz w:val="28"/>
                <w:szCs w:val="28"/>
              </w:rPr>
              <w:t>Iekšlietu ministrija</w:t>
            </w:r>
            <w:r w:rsidR="003E064A">
              <w:rPr>
                <w:rFonts w:ascii="Times New Roman" w:hAnsi="Times New Roman" w:cs="Times New Roman"/>
                <w:sz w:val="28"/>
                <w:szCs w:val="28"/>
              </w:rPr>
              <w:t>,</w:t>
            </w:r>
            <w:r w:rsidRPr="003E064A">
              <w:rPr>
                <w:rFonts w:ascii="Times New Roman" w:hAnsi="Times New Roman" w:cs="Times New Roman"/>
                <w:sz w:val="28"/>
                <w:szCs w:val="28"/>
              </w:rPr>
              <w:t xml:space="preserve"> izvērtējot </w:t>
            </w:r>
            <w:r w:rsidR="0077178E" w:rsidRPr="003E064A">
              <w:rPr>
                <w:rFonts w:ascii="Times New Roman" w:hAnsi="Times New Roman" w:cs="Times New Roman"/>
                <w:sz w:val="28"/>
                <w:szCs w:val="28"/>
              </w:rPr>
              <w:t>noteikum</w:t>
            </w:r>
            <w:r w:rsidR="003E064A">
              <w:rPr>
                <w:rFonts w:ascii="Times New Roman" w:hAnsi="Times New Roman" w:cs="Times New Roman"/>
                <w:sz w:val="28"/>
                <w:szCs w:val="28"/>
              </w:rPr>
              <w:t>us Nr.318</w:t>
            </w:r>
            <w:r w:rsidR="0077178E" w:rsidRPr="003E064A">
              <w:rPr>
                <w:rFonts w:ascii="Times New Roman" w:hAnsi="Times New Roman" w:cs="Times New Roman"/>
                <w:sz w:val="28"/>
                <w:szCs w:val="28"/>
              </w:rPr>
              <w:t xml:space="preserve"> </w:t>
            </w:r>
            <w:r w:rsidR="003E064A" w:rsidRPr="003E064A">
              <w:rPr>
                <w:rFonts w:ascii="Times New Roman" w:hAnsi="Times New Roman" w:cs="Times New Roman"/>
                <w:sz w:val="28"/>
                <w:szCs w:val="28"/>
              </w:rPr>
              <w:t>attiecībā uz iespēju rīkot elektroniskās izsoles</w:t>
            </w:r>
            <w:r w:rsidR="0089349A">
              <w:rPr>
                <w:rFonts w:ascii="Times New Roman" w:hAnsi="Times New Roman" w:cs="Times New Roman"/>
                <w:sz w:val="28"/>
                <w:szCs w:val="28"/>
              </w:rPr>
              <w:t>, izmantojot elektronisko izsoļu vietni,</w:t>
            </w:r>
            <w:r w:rsidR="003E064A" w:rsidRPr="003E064A">
              <w:rPr>
                <w:rFonts w:ascii="Times New Roman" w:hAnsi="Times New Roman" w:cs="Times New Roman"/>
                <w:sz w:val="28"/>
                <w:szCs w:val="28"/>
              </w:rPr>
              <w:t xml:space="preserve"> </w:t>
            </w:r>
            <w:r w:rsidR="0077178E" w:rsidRPr="003E064A">
              <w:rPr>
                <w:rFonts w:ascii="Times New Roman" w:hAnsi="Times New Roman" w:cs="Times New Roman"/>
                <w:sz w:val="28"/>
                <w:szCs w:val="28"/>
              </w:rPr>
              <w:t xml:space="preserve">konstatēja, ka noteikumi Nr.318 nav attiecināmi uz Aģentūru, jo Aģentūra, rīkojot </w:t>
            </w:r>
            <w:r w:rsidR="003E064A" w:rsidRPr="003E064A">
              <w:rPr>
                <w:rFonts w:ascii="Times New Roman" w:hAnsi="Times New Roman" w:cs="Times New Roman"/>
                <w:sz w:val="28"/>
                <w:szCs w:val="28"/>
              </w:rPr>
              <w:t xml:space="preserve">kustamu </w:t>
            </w:r>
            <w:r w:rsidR="0077178E" w:rsidRPr="003E064A">
              <w:rPr>
                <w:rFonts w:ascii="Times New Roman" w:hAnsi="Times New Roman" w:cs="Times New Roman"/>
                <w:sz w:val="28"/>
                <w:szCs w:val="28"/>
              </w:rPr>
              <w:t xml:space="preserve">mantu izsoles atbilstoši </w:t>
            </w:r>
            <w:r w:rsidR="0077178E" w:rsidRPr="003E064A">
              <w:rPr>
                <w:rFonts w:ascii="Times New Roman" w:hAnsi="Times New Roman" w:cs="Times New Roman"/>
                <w:color w:val="000000"/>
                <w:sz w:val="28"/>
                <w:szCs w:val="28"/>
              </w:rPr>
              <w:t xml:space="preserve">noteikumiem Nr.1098 </w:t>
            </w:r>
            <w:r w:rsidR="0077178E" w:rsidRPr="003E064A">
              <w:rPr>
                <w:rFonts w:ascii="Times New Roman" w:hAnsi="Times New Roman" w:cs="Times New Roman"/>
                <w:bCs/>
                <w:sz w:val="28"/>
                <w:szCs w:val="28"/>
              </w:rPr>
              <w:t>neveic publiskas personas mantas pārdošanu</w:t>
            </w:r>
            <w:r w:rsidR="0077178E" w:rsidRPr="003E064A">
              <w:rPr>
                <w:rFonts w:ascii="Times New Roman" w:hAnsi="Times New Roman" w:cs="Times New Roman"/>
                <w:sz w:val="28"/>
                <w:szCs w:val="28"/>
              </w:rPr>
              <w:t>. Ņemot vērā minēto</w:t>
            </w:r>
            <w:r w:rsidR="0089349A">
              <w:rPr>
                <w:rFonts w:ascii="Times New Roman" w:hAnsi="Times New Roman" w:cs="Times New Roman"/>
                <w:sz w:val="28"/>
                <w:szCs w:val="28"/>
              </w:rPr>
              <w:t>,</w:t>
            </w:r>
            <w:r w:rsidR="0077178E" w:rsidRPr="003E064A">
              <w:rPr>
                <w:rFonts w:ascii="Times New Roman" w:hAnsi="Times New Roman" w:cs="Times New Roman"/>
                <w:sz w:val="28"/>
                <w:szCs w:val="28"/>
              </w:rPr>
              <w:t xml:space="preserve"> tika nolemts, ka</w:t>
            </w:r>
            <w:r w:rsidRPr="003E064A">
              <w:rPr>
                <w:rFonts w:ascii="Times New Roman" w:hAnsi="Times New Roman" w:cs="Times New Roman"/>
                <w:sz w:val="28"/>
                <w:szCs w:val="28"/>
              </w:rPr>
              <w:t xml:space="preserve"> elektroniskās izsoles netiks organizētas, </w:t>
            </w:r>
            <w:r w:rsidR="0077178E" w:rsidRPr="003E064A">
              <w:rPr>
                <w:rFonts w:ascii="Times New Roman" w:hAnsi="Times New Roman" w:cs="Times New Roman"/>
                <w:sz w:val="28"/>
                <w:szCs w:val="28"/>
              </w:rPr>
              <w:t>bet tiks rīkotas</w:t>
            </w:r>
            <w:r w:rsidRPr="003E064A">
              <w:rPr>
                <w:rFonts w:ascii="Times New Roman" w:hAnsi="Times New Roman" w:cs="Times New Roman"/>
                <w:sz w:val="28"/>
                <w:szCs w:val="28"/>
              </w:rPr>
              <w:t xml:space="preserve"> mutiskas vai rakstiskas izsole</w:t>
            </w:r>
            <w:r w:rsidR="009F2510">
              <w:rPr>
                <w:rFonts w:ascii="Times New Roman" w:hAnsi="Times New Roman" w:cs="Times New Roman"/>
                <w:sz w:val="28"/>
                <w:szCs w:val="28"/>
              </w:rPr>
              <w:t>s projektā noteiktajā kārtībā.</w:t>
            </w:r>
          </w:p>
          <w:p w:rsidR="00EB08FE" w:rsidRDefault="0089349A" w:rsidP="00516D94">
            <w:pPr>
              <w:widowControl w:val="0"/>
              <w:tabs>
                <w:tab w:val="left" w:pos="284"/>
              </w:tabs>
              <w:spacing w:after="0" w:line="240" w:lineRule="auto"/>
              <w:ind w:firstLine="269"/>
              <w:jc w:val="both"/>
              <w:rPr>
                <w:rFonts w:ascii="Times New Roman" w:hAnsi="Times New Roman"/>
                <w:sz w:val="28"/>
                <w:szCs w:val="28"/>
              </w:rPr>
            </w:pPr>
            <w:r>
              <w:rPr>
                <w:rFonts w:ascii="Times New Roman" w:hAnsi="Times New Roman"/>
                <w:sz w:val="28"/>
                <w:szCs w:val="28"/>
              </w:rPr>
              <w:t>Saskaņā ar Noteikumu Nr.</w:t>
            </w:r>
            <w:r w:rsidR="009F2510">
              <w:rPr>
                <w:rFonts w:ascii="Times New Roman" w:hAnsi="Times New Roman"/>
                <w:sz w:val="28"/>
                <w:szCs w:val="28"/>
              </w:rPr>
              <w:t>1098 52.2.</w:t>
            </w:r>
            <w:r w:rsidR="003D7EF4" w:rsidRPr="003D7EF4">
              <w:rPr>
                <w:rFonts w:ascii="Times New Roman" w:hAnsi="Times New Roman"/>
                <w:sz w:val="28"/>
                <w:szCs w:val="28"/>
              </w:rPr>
              <w:t xml:space="preserve">apakšpunktu </w:t>
            </w:r>
            <w:r w:rsidR="00EB08FE">
              <w:rPr>
                <w:rFonts w:ascii="Times New Roman" w:hAnsi="Times New Roman"/>
                <w:sz w:val="28"/>
                <w:szCs w:val="28"/>
              </w:rPr>
              <w:t>A</w:t>
            </w:r>
            <w:r w:rsidR="003D7EF4" w:rsidRPr="003D7EF4">
              <w:rPr>
                <w:rFonts w:ascii="Times New Roman" w:hAnsi="Times New Roman"/>
                <w:sz w:val="28"/>
                <w:szCs w:val="28"/>
              </w:rPr>
              <w:t xml:space="preserve">ģentūra izņemto mantu realizē izsolē, kuru organizē saskaņā ar Civilprocesa likuma vispārējiem noteikumiem. Izsoli obligāti rīko, ja realizējamās izņemtās mantas kopējā vērtība pārsniedz 10 000 </w:t>
            </w:r>
            <w:proofErr w:type="spellStart"/>
            <w:r w:rsidR="003D7EF4" w:rsidRPr="0069231D">
              <w:rPr>
                <w:rFonts w:ascii="Times New Roman" w:hAnsi="Times New Roman"/>
                <w:i/>
                <w:sz w:val="28"/>
                <w:szCs w:val="28"/>
              </w:rPr>
              <w:t>euro</w:t>
            </w:r>
            <w:proofErr w:type="spellEnd"/>
            <w:r w:rsidR="003D7EF4" w:rsidRPr="003D7EF4">
              <w:rPr>
                <w:rFonts w:ascii="Times New Roman" w:hAnsi="Times New Roman"/>
                <w:sz w:val="28"/>
                <w:szCs w:val="28"/>
              </w:rPr>
              <w:t>. Šis nosacījums neattiecas uz izņemto mantu, kas ātri bojājas.</w:t>
            </w:r>
            <w:r w:rsidR="00516D94">
              <w:rPr>
                <w:rFonts w:ascii="Times New Roman" w:hAnsi="Times New Roman"/>
                <w:sz w:val="28"/>
                <w:szCs w:val="28"/>
              </w:rPr>
              <w:t xml:space="preserve"> </w:t>
            </w:r>
            <w:r w:rsidR="00EB08FE">
              <w:rPr>
                <w:rFonts w:ascii="Times New Roman" w:hAnsi="Times New Roman"/>
                <w:sz w:val="28"/>
                <w:szCs w:val="28"/>
              </w:rPr>
              <w:t>Aģentūra</w:t>
            </w:r>
            <w:r w:rsidR="003D7EF4" w:rsidRPr="003D7EF4">
              <w:rPr>
                <w:rFonts w:ascii="Times New Roman" w:hAnsi="Times New Roman"/>
                <w:sz w:val="28"/>
                <w:szCs w:val="28"/>
              </w:rPr>
              <w:t xml:space="preserve"> </w:t>
            </w:r>
            <w:r w:rsidR="00EB08FE">
              <w:rPr>
                <w:rFonts w:ascii="Times New Roman" w:hAnsi="Times New Roman"/>
                <w:sz w:val="28"/>
                <w:szCs w:val="28"/>
              </w:rPr>
              <w:t>s</w:t>
            </w:r>
            <w:r w:rsidR="00EB08FE">
              <w:rPr>
                <w:rFonts w:ascii="Times New Roman" w:hAnsi="Times New Roman"/>
                <w:sz w:val="28"/>
                <w:szCs w:val="28"/>
              </w:rPr>
              <w:t>askaņā ar Noteikumu Nr.1098 52.2.</w:t>
            </w:r>
            <w:r w:rsidR="00EB08FE" w:rsidRPr="003D7EF4">
              <w:rPr>
                <w:rFonts w:ascii="Times New Roman" w:hAnsi="Times New Roman"/>
                <w:sz w:val="28"/>
                <w:szCs w:val="28"/>
              </w:rPr>
              <w:t>apakšpunktu</w:t>
            </w:r>
            <w:r w:rsidR="00EB08FE">
              <w:rPr>
                <w:rFonts w:ascii="Times New Roman" w:hAnsi="Times New Roman"/>
                <w:sz w:val="28"/>
                <w:szCs w:val="28"/>
              </w:rPr>
              <w:t xml:space="preserve"> </w:t>
            </w:r>
            <w:r w:rsidR="00EB08FE">
              <w:rPr>
                <w:rFonts w:ascii="Times New Roman" w:hAnsi="Times New Roman"/>
                <w:sz w:val="28"/>
                <w:szCs w:val="28"/>
              </w:rPr>
              <w:lastRenderedPageBreak/>
              <w:t xml:space="preserve">2016.gadā rīkoja 4 izsoles; 2017.gadā – 11 izsoles (10 reizes tika rīkota izsole par vienām un tām pašām mēbelēm); </w:t>
            </w:r>
            <w:r w:rsidR="00516D94">
              <w:rPr>
                <w:rFonts w:ascii="Times New Roman" w:hAnsi="Times New Roman"/>
                <w:sz w:val="28"/>
                <w:szCs w:val="28"/>
              </w:rPr>
              <w:t xml:space="preserve">no </w:t>
            </w:r>
            <w:r w:rsidR="00516D94">
              <w:rPr>
                <w:rFonts w:ascii="Times New Roman" w:hAnsi="Times New Roman"/>
                <w:sz w:val="28"/>
                <w:szCs w:val="28"/>
              </w:rPr>
              <w:t xml:space="preserve">2018.gada </w:t>
            </w:r>
            <w:r w:rsidR="00516D94">
              <w:rPr>
                <w:rFonts w:ascii="Times New Roman" w:hAnsi="Times New Roman"/>
                <w:sz w:val="28"/>
                <w:szCs w:val="28"/>
              </w:rPr>
              <w:t xml:space="preserve">1.janvāra </w:t>
            </w:r>
            <w:r w:rsidR="00EB08FE">
              <w:rPr>
                <w:rFonts w:ascii="Times New Roman" w:hAnsi="Times New Roman"/>
                <w:sz w:val="28"/>
                <w:szCs w:val="28"/>
              </w:rPr>
              <w:t>līdz 2018.gada 22.novembrim</w:t>
            </w:r>
            <w:proofErr w:type="gramStart"/>
            <w:r w:rsidR="00EB08FE">
              <w:rPr>
                <w:rFonts w:ascii="Times New Roman" w:hAnsi="Times New Roman"/>
                <w:sz w:val="28"/>
                <w:szCs w:val="28"/>
              </w:rPr>
              <w:t xml:space="preserve">  </w:t>
            </w:r>
            <w:proofErr w:type="gramEnd"/>
            <w:r w:rsidR="00EB08FE">
              <w:rPr>
                <w:rFonts w:ascii="Times New Roman" w:hAnsi="Times New Roman"/>
                <w:sz w:val="28"/>
                <w:szCs w:val="28"/>
              </w:rPr>
              <w:t>- 1 izsole.</w:t>
            </w:r>
          </w:p>
          <w:p w:rsidR="00F123F9" w:rsidRPr="00833CEF" w:rsidRDefault="003D7EF4" w:rsidP="0089349A">
            <w:pPr>
              <w:widowControl w:val="0"/>
              <w:tabs>
                <w:tab w:val="left" w:pos="284"/>
              </w:tabs>
              <w:spacing w:after="0" w:line="240" w:lineRule="auto"/>
              <w:ind w:firstLine="269"/>
              <w:jc w:val="both"/>
              <w:rPr>
                <w:rFonts w:ascii="Times New Roman" w:hAnsi="Times New Roman"/>
                <w:sz w:val="28"/>
                <w:szCs w:val="28"/>
              </w:rPr>
            </w:pPr>
            <w:r w:rsidRPr="003D7EF4">
              <w:rPr>
                <w:rFonts w:ascii="Times New Roman" w:hAnsi="Times New Roman"/>
                <w:sz w:val="28"/>
                <w:szCs w:val="28"/>
              </w:rPr>
              <w:t xml:space="preserve">Projekts paredz saglabāt nosacījumu, ka izsoli obligāti rīko, ja realizējamās izņemtās mantas kopējā vērtība pārsniedz 10 000 </w:t>
            </w:r>
            <w:proofErr w:type="spellStart"/>
            <w:r w:rsidRPr="0069231D">
              <w:rPr>
                <w:rFonts w:ascii="Times New Roman" w:hAnsi="Times New Roman"/>
                <w:i/>
                <w:sz w:val="28"/>
                <w:szCs w:val="28"/>
              </w:rPr>
              <w:t>euro</w:t>
            </w:r>
            <w:proofErr w:type="spellEnd"/>
            <w:r w:rsidRPr="003D7EF4">
              <w:rPr>
                <w:rFonts w:ascii="Times New Roman" w:hAnsi="Times New Roman"/>
                <w:sz w:val="28"/>
                <w:szCs w:val="28"/>
              </w:rPr>
              <w:t>, kā arī šo nosacījumu neattiecināt uz izņemto mantu, kas ātri bojājas. Projektā minētajos izņemtās mantas realizācijas komisijas izstrādātajos izsoles noteikumos tiks aprakstīt</w:t>
            </w:r>
            <w:r w:rsidR="003E064A">
              <w:rPr>
                <w:rFonts w:ascii="Times New Roman" w:hAnsi="Times New Roman"/>
                <w:sz w:val="28"/>
                <w:szCs w:val="28"/>
              </w:rPr>
              <w:t>a</w:t>
            </w:r>
            <w:r w:rsidRPr="003D7EF4">
              <w:rPr>
                <w:rFonts w:ascii="Times New Roman" w:hAnsi="Times New Roman"/>
                <w:sz w:val="28"/>
                <w:szCs w:val="28"/>
              </w:rPr>
              <w:t xml:space="preserve"> detalizētāka izsoles organizēšanas norise.</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Nodrošinājuma valsts aģentūra.</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rsidR="00E5323B"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p w:rsidR="00516D94" w:rsidRDefault="00516D94"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833CE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AD4CBD"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825FEA" w:rsidRPr="00BE0136" w:rsidRDefault="003D7EF4" w:rsidP="00753375">
            <w:pPr>
              <w:spacing w:after="0" w:line="240" w:lineRule="auto"/>
              <w:ind w:firstLine="269"/>
              <w:jc w:val="both"/>
              <w:rPr>
                <w:rFonts w:ascii="Times New Roman" w:hAnsi="Times New Roman" w:cs="Times New Roman"/>
                <w:sz w:val="27"/>
                <w:szCs w:val="27"/>
              </w:rPr>
            </w:pPr>
            <w:r w:rsidRPr="003D7EF4">
              <w:rPr>
                <w:rFonts w:ascii="Times New Roman" w:hAnsi="Times New Roman" w:cs="Times New Roman"/>
                <w:sz w:val="27"/>
                <w:szCs w:val="27"/>
              </w:rPr>
              <w:t>Projekts attiecas uz atbildīgajām institūcijām, kurām būs jāpaziņo par administratīvo pārkāpumu lietās pieņemtajiem galīgajiem nolēmumiem</w:t>
            </w:r>
            <w:r w:rsidR="0077178E">
              <w:rPr>
                <w:rFonts w:ascii="Times New Roman" w:hAnsi="Times New Roman" w:cs="Times New Roman"/>
                <w:sz w:val="27"/>
                <w:szCs w:val="27"/>
              </w:rPr>
              <w:t xml:space="preserve"> un Aģentūras nodarbinātajiem</w:t>
            </w:r>
            <w:r w:rsidRPr="003D7EF4">
              <w:rPr>
                <w:rFonts w:ascii="Times New Roman" w:hAnsi="Times New Roman" w:cs="Times New Roman"/>
                <w:sz w:val="27"/>
                <w:szCs w:val="27"/>
              </w:rPr>
              <w:t>.</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753375" w:rsidP="00753375">
            <w:pPr>
              <w:spacing w:after="0" w:line="240" w:lineRule="auto"/>
              <w:jc w:val="both"/>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753375" w:rsidP="00753375">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Nav.</w:t>
            </w:r>
          </w:p>
        </w:tc>
      </w:tr>
    </w:tbl>
    <w:p w:rsidR="00753375" w:rsidRDefault="00E5323B" w:rsidP="00753375">
      <w:pPr>
        <w:spacing w:after="0" w:line="240" w:lineRule="auto"/>
        <w:rPr>
          <w:rFonts w:ascii="Times New Roman" w:hAnsi="Times New Roman"/>
          <w:sz w:val="28"/>
          <w:szCs w:val="28"/>
        </w:rPr>
      </w:pPr>
      <w:r w:rsidRPr="00833CEF">
        <w:rPr>
          <w:rFonts w:ascii="Times New Roman" w:hAnsi="Times New Roman"/>
          <w:sz w:val="28"/>
          <w:szCs w:val="28"/>
        </w:rPr>
        <w:t xml:space="preserve">  </w:t>
      </w:r>
    </w:p>
    <w:p w:rsidR="00516D94" w:rsidRDefault="00516D94" w:rsidP="00753375">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53375" w:rsidRPr="00833CEF" w:rsidTr="003E01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3375" w:rsidRPr="00BA5311" w:rsidRDefault="00753375" w:rsidP="003E01ED">
            <w:pPr>
              <w:spacing w:after="0" w:line="240" w:lineRule="auto"/>
              <w:rPr>
                <w:rFonts w:ascii="Times New Roman" w:hAnsi="Times New Roman"/>
                <w:b/>
                <w:sz w:val="26"/>
                <w:szCs w:val="26"/>
              </w:rPr>
            </w:pPr>
            <w:r w:rsidRPr="00BA5311">
              <w:rPr>
                <w:rFonts w:ascii="Times New Roman" w:eastAsia="Times New Roman" w:hAnsi="Times New Roman" w:cs="Times New Roman"/>
                <w:b/>
                <w:bCs/>
                <w:sz w:val="26"/>
                <w:szCs w:val="26"/>
                <w:lang w:eastAsia="lv-LV"/>
              </w:rPr>
              <w:t>III. Tiesību akta projekta ietekme uz valsts budžetu un pašvaldību budžetiem</w:t>
            </w:r>
          </w:p>
        </w:tc>
      </w:tr>
      <w:tr w:rsidR="00753375" w:rsidRPr="00833CEF" w:rsidTr="003E01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26C58" w:rsidRPr="00F26C58" w:rsidRDefault="00753375" w:rsidP="00F26C58">
            <w:pPr>
              <w:spacing w:after="0" w:line="240" w:lineRule="auto"/>
              <w:jc w:val="center"/>
              <w:rPr>
                <w:rFonts w:ascii="Times New Roman" w:hAnsi="Times New Roman"/>
                <w:bCs/>
                <w:sz w:val="28"/>
                <w:szCs w:val="28"/>
              </w:rPr>
            </w:pPr>
            <w:r w:rsidRPr="003F4810">
              <w:rPr>
                <w:rFonts w:ascii="Times New Roman" w:hAnsi="Times New Roman"/>
                <w:bCs/>
                <w:sz w:val="28"/>
                <w:szCs w:val="28"/>
              </w:rPr>
              <w:t>Projekts šo jomu neskar.</w:t>
            </w:r>
          </w:p>
        </w:tc>
      </w:tr>
    </w:tbl>
    <w:p w:rsidR="00753375" w:rsidRDefault="00753375" w:rsidP="00753375">
      <w:pPr>
        <w:spacing w:after="0" w:line="240" w:lineRule="auto"/>
        <w:rPr>
          <w:rFonts w:ascii="Times New Roman" w:hAnsi="Times New Roman"/>
          <w:sz w:val="28"/>
          <w:szCs w:val="28"/>
        </w:rPr>
      </w:pPr>
      <w:r w:rsidRPr="00833CEF">
        <w:rPr>
          <w:rFonts w:ascii="Times New Roman" w:hAnsi="Times New Roman"/>
          <w:sz w:val="28"/>
          <w:szCs w:val="28"/>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b/>
                <w:sz w:val="26"/>
                <w:szCs w:val="26"/>
              </w:rPr>
            </w:pPr>
            <w:r w:rsidRPr="00BA5311">
              <w:rPr>
                <w:rFonts w:ascii="Times New Roman" w:hAnsi="Times New Roman"/>
                <w:b/>
                <w:sz w:val="26"/>
                <w:szCs w:val="26"/>
              </w:rPr>
              <w:t>IV. Tiesību akta projekta ietekme uz spēkā esošo tiesību normu sistēmu</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26C58" w:rsidRPr="00F26C58" w:rsidRDefault="00E07D12" w:rsidP="00F26C58">
            <w:pPr>
              <w:spacing w:after="0" w:line="240" w:lineRule="auto"/>
              <w:jc w:val="center"/>
              <w:rPr>
                <w:rFonts w:ascii="Times New Roman" w:hAnsi="Times New Roman"/>
                <w:bCs/>
                <w:sz w:val="28"/>
                <w:szCs w:val="28"/>
              </w:rPr>
            </w:pPr>
            <w:r w:rsidRPr="003F4810">
              <w:rPr>
                <w:rFonts w:ascii="Times New Roman" w:hAnsi="Times New Roman"/>
                <w:bCs/>
                <w:sz w:val="28"/>
                <w:szCs w:val="28"/>
              </w:rPr>
              <w:t>Projekts šo jomu neskar.</w:t>
            </w:r>
          </w:p>
        </w:tc>
      </w:tr>
    </w:tbl>
    <w:p w:rsidR="00E5323B" w:rsidRDefault="00E5323B" w:rsidP="00E5323B">
      <w:pPr>
        <w:spacing w:after="0" w:line="240" w:lineRule="auto"/>
        <w:rPr>
          <w:rFonts w:ascii="Times New Roman" w:hAnsi="Times New Roman"/>
          <w:sz w:val="28"/>
          <w:szCs w:val="28"/>
        </w:rPr>
      </w:pPr>
    </w:p>
    <w:p w:rsidR="00516D94" w:rsidRDefault="00516D94"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 Tiesību akta projekta atbilstība Latvijas Republikas starptautiskajām saistībām</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E07D12" w:rsidP="00E07D12">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89349A"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p w:rsidR="00516D94" w:rsidRPr="00833CEF" w:rsidRDefault="00516D94" w:rsidP="00E5323B">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ED62A3" w:rsidRPr="00425AF0" w:rsidTr="00057ACF">
        <w:trPr>
          <w:cantSplit/>
        </w:trPr>
        <w:tc>
          <w:tcPr>
            <w:tcW w:w="5000" w:type="pct"/>
            <w:gridSpan w:val="3"/>
            <w:vAlign w:val="center"/>
            <w:hideMark/>
          </w:tcPr>
          <w:p w:rsidR="00ED62A3" w:rsidRPr="00ED62A3" w:rsidRDefault="00ED62A3" w:rsidP="00516D94">
            <w:pPr>
              <w:rPr>
                <w:rFonts w:ascii="Times New Roman" w:hAnsi="Times New Roman" w:cs="Times New Roman"/>
                <w:b/>
                <w:bCs/>
                <w:sz w:val="28"/>
                <w:szCs w:val="28"/>
              </w:rPr>
            </w:pPr>
            <w:r w:rsidRPr="00ED62A3">
              <w:rPr>
                <w:rFonts w:ascii="Times New Roman" w:hAnsi="Times New Roman" w:cs="Times New Roman"/>
                <w:b/>
                <w:bCs/>
                <w:sz w:val="28"/>
                <w:szCs w:val="28"/>
              </w:rPr>
              <w:t>VI. Sabiedrības līdzdalība un komunikācijas aktivitātes</w:t>
            </w:r>
          </w:p>
        </w:tc>
      </w:tr>
      <w:tr w:rsidR="00ED62A3" w:rsidRPr="00425AF0" w:rsidTr="00057ACF">
        <w:trPr>
          <w:cantSplit/>
        </w:trPr>
        <w:tc>
          <w:tcPr>
            <w:tcW w:w="311" w:type="pct"/>
            <w:hideMark/>
          </w:tcPr>
          <w:p w:rsidR="00ED62A3" w:rsidRPr="0089349A" w:rsidRDefault="00ED62A3" w:rsidP="00057ACF">
            <w:pPr>
              <w:jc w:val="center"/>
              <w:rPr>
                <w:rFonts w:ascii="Times New Roman" w:hAnsi="Times New Roman" w:cs="Times New Roman"/>
                <w:sz w:val="28"/>
                <w:szCs w:val="28"/>
              </w:rPr>
            </w:pPr>
            <w:r w:rsidRPr="0089349A">
              <w:rPr>
                <w:rFonts w:ascii="Times New Roman" w:hAnsi="Times New Roman" w:cs="Times New Roman"/>
                <w:sz w:val="28"/>
                <w:szCs w:val="28"/>
              </w:rPr>
              <w:t>1.</w:t>
            </w:r>
          </w:p>
        </w:tc>
        <w:tc>
          <w:tcPr>
            <w:tcW w:w="1479" w:type="pct"/>
            <w:hideMark/>
          </w:tcPr>
          <w:p w:rsidR="00ED62A3" w:rsidRPr="00ED62A3" w:rsidRDefault="00ED62A3" w:rsidP="00057ACF">
            <w:pPr>
              <w:rPr>
                <w:rFonts w:ascii="Times New Roman" w:hAnsi="Times New Roman" w:cs="Times New Roman"/>
                <w:sz w:val="28"/>
                <w:szCs w:val="28"/>
              </w:rPr>
            </w:pPr>
            <w:r w:rsidRPr="00ED62A3">
              <w:rPr>
                <w:rFonts w:ascii="Times New Roman" w:hAnsi="Times New Roman" w:cs="Times New Roman"/>
                <w:sz w:val="28"/>
                <w:szCs w:val="28"/>
              </w:rPr>
              <w:t>Plānotās sabiedrības līdzdalības un komunikācijas aktivitātes saistībā ar projektu</w:t>
            </w:r>
          </w:p>
        </w:tc>
        <w:tc>
          <w:tcPr>
            <w:tcW w:w="3210" w:type="pct"/>
            <w:hideMark/>
          </w:tcPr>
          <w:p w:rsidR="00ED62A3" w:rsidRPr="00ED62A3" w:rsidRDefault="00ED62A3" w:rsidP="00753375">
            <w:pPr>
              <w:jc w:val="both"/>
              <w:rPr>
                <w:rFonts w:ascii="Times New Roman" w:hAnsi="Times New Roman" w:cs="Times New Roman"/>
                <w:sz w:val="28"/>
                <w:szCs w:val="28"/>
              </w:rPr>
            </w:pPr>
            <w:r w:rsidRPr="00ED62A3">
              <w:rPr>
                <w:rFonts w:ascii="Times New Roman" w:hAnsi="Times New Roman" w:cs="Times New Roman"/>
                <w:sz w:val="28"/>
                <w:szCs w:val="28"/>
              </w:rPr>
              <w:t xml:space="preserve">Sabiedrības līdzdalība un komunikācijas aktivitātes saistībā ar projektu nav notikušas, jo projekts neskar plašas sabiedrības intereses, bet attiecas uz </w:t>
            </w:r>
            <w:r w:rsidR="00753375" w:rsidRPr="003D7EF4">
              <w:rPr>
                <w:rFonts w:ascii="Times New Roman" w:hAnsi="Times New Roman" w:cs="Times New Roman"/>
                <w:sz w:val="27"/>
                <w:szCs w:val="27"/>
              </w:rPr>
              <w:t>atbildīgajām institūcijām, kurām būs jāpaziņo par administratīvo pārkāpumu lietās pie</w:t>
            </w:r>
            <w:r w:rsidR="00753375">
              <w:rPr>
                <w:rFonts w:ascii="Times New Roman" w:hAnsi="Times New Roman" w:cs="Times New Roman"/>
                <w:sz w:val="27"/>
                <w:szCs w:val="27"/>
              </w:rPr>
              <w:t>ņemtajiem galīgajiem nolēmumiem un Aģentūras nodarbinātajiem</w:t>
            </w:r>
            <w:r w:rsidR="0077178E">
              <w:rPr>
                <w:rFonts w:ascii="Times New Roman" w:hAnsi="Times New Roman" w:cs="Times New Roman"/>
                <w:sz w:val="27"/>
                <w:szCs w:val="27"/>
              </w:rPr>
              <w:t>.</w:t>
            </w:r>
          </w:p>
        </w:tc>
      </w:tr>
      <w:tr w:rsidR="00ED62A3" w:rsidRPr="00425AF0" w:rsidTr="00057ACF">
        <w:trPr>
          <w:cantSplit/>
        </w:trPr>
        <w:tc>
          <w:tcPr>
            <w:tcW w:w="311" w:type="pct"/>
            <w:hideMark/>
          </w:tcPr>
          <w:p w:rsidR="00ED62A3" w:rsidRPr="0089349A" w:rsidRDefault="00ED62A3" w:rsidP="00057ACF">
            <w:pPr>
              <w:jc w:val="center"/>
              <w:rPr>
                <w:rFonts w:ascii="Times New Roman" w:hAnsi="Times New Roman" w:cs="Times New Roman"/>
                <w:sz w:val="28"/>
                <w:szCs w:val="28"/>
              </w:rPr>
            </w:pPr>
            <w:r w:rsidRPr="0089349A">
              <w:rPr>
                <w:rFonts w:ascii="Times New Roman" w:hAnsi="Times New Roman" w:cs="Times New Roman"/>
                <w:sz w:val="28"/>
                <w:szCs w:val="28"/>
              </w:rPr>
              <w:t>2.</w:t>
            </w:r>
          </w:p>
        </w:tc>
        <w:tc>
          <w:tcPr>
            <w:tcW w:w="1479" w:type="pct"/>
            <w:hideMark/>
          </w:tcPr>
          <w:p w:rsidR="00ED62A3" w:rsidRPr="00ED62A3" w:rsidRDefault="00ED62A3" w:rsidP="00057ACF">
            <w:pPr>
              <w:rPr>
                <w:rFonts w:ascii="Times New Roman" w:hAnsi="Times New Roman" w:cs="Times New Roman"/>
                <w:sz w:val="28"/>
                <w:szCs w:val="28"/>
              </w:rPr>
            </w:pPr>
            <w:r w:rsidRPr="00ED62A3">
              <w:rPr>
                <w:rFonts w:ascii="Times New Roman" w:hAnsi="Times New Roman" w:cs="Times New Roman"/>
                <w:sz w:val="28"/>
                <w:szCs w:val="28"/>
              </w:rPr>
              <w:t>Sabiedrības līdzdalība projekta izstrādē</w:t>
            </w:r>
          </w:p>
        </w:tc>
        <w:tc>
          <w:tcPr>
            <w:tcW w:w="3210" w:type="pct"/>
            <w:hideMark/>
          </w:tcPr>
          <w:p w:rsidR="00ED62A3" w:rsidRPr="00ED62A3" w:rsidRDefault="00ED62A3" w:rsidP="00057ACF">
            <w:pPr>
              <w:rPr>
                <w:rFonts w:ascii="Times New Roman" w:hAnsi="Times New Roman" w:cs="Times New Roman"/>
                <w:sz w:val="28"/>
                <w:szCs w:val="28"/>
              </w:rPr>
            </w:pPr>
            <w:r w:rsidRPr="00ED62A3">
              <w:rPr>
                <w:rFonts w:ascii="Times New Roman" w:hAnsi="Times New Roman" w:cs="Times New Roman"/>
                <w:sz w:val="28"/>
                <w:szCs w:val="28"/>
              </w:rPr>
              <w:t>Projekts šo jomu neskar</w:t>
            </w:r>
          </w:p>
        </w:tc>
      </w:tr>
      <w:tr w:rsidR="00ED62A3" w:rsidRPr="00425AF0" w:rsidTr="00057ACF">
        <w:trPr>
          <w:cantSplit/>
        </w:trPr>
        <w:tc>
          <w:tcPr>
            <w:tcW w:w="311" w:type="pct"/>
            <w:hideMark/>
          </w:tcPr>
          <w:p w:rsidR="00ED62A3" w:rsidRPr="0089349A" w:rsidRDefault="00ED62A3" w:rsidP="00057ACF">
            <w:pPr>
              <w:jc w:val="center"/>
              <w:rPr>
                <w:rFonts w:ascii="Times New Roman" w:hAnsi="Times New Roman" w:cs="Times New Roman"/>
                <w:sz w:val="28"/>
                <w:szCs w:val="28"/>
              </w:rPr>
            </w:pPr>
            <w:r w:rsidRPr="0089349A">
              <w:rPr>
                <w:rFonts w:ascii="Times New Roman" w:hAnsi="Times New Roman" w:cs="Times New Roman"/>
                <w:sz w:val="28"/>
                <w:szCs w:val="28"/>
              </w:rPr>
              <w:t>3.</w:t>
            </w:r>
          </w:p>
        </w:tc>
        <w:tc>
          <w:tcPr>
            <w:tcW w:w="1479" w:type="pct"/>
            <w:hideMark/>
          </w:tcPr>
          <w:p w:rsidR="00ED62A3" w:rsidRPr="00ED62A3" w:rsidRDefault="00ED62A3" w:rsidP="00057ACF">
            <w:pPr>
              <w:rPr>
                <w:rFonts w:ascii="Times New Roman" w:hAnsi="Times New Roman" w:cs="Times New Roman"/>
                <w:sz w:val="28"/>
                <w:szCs w:val="28"/>
              </w:rPr>
            </w:pPr>
            <w:r w:rsidRPr="00ED62A3">
              <w:rPr>
                <w:rFonts w:ascii="Times New Roman" w:hAnsi="Times New Roman" w:cs="Times New Roman"/>
                <w:sz w:val="28"/>
                <w:szCs w:val="28"/>
              </w:rPr>
              <w:t>Sabiedrības līdzdalības rezultāti</w:t>
            </w:r>
          </w:p>
        </w:tc>
        <w:tc>
          <w:tcPr>
            <w:tcW w:w="3210" w:type="pct"/>
            <w:hideMark/>
          </w:tcPr>
          <w:p w:rsidR="00ED62A3" w:rsidRPr="00ED62A3" w:rsidRDefault="00ED62A3" w:rsidP="00057ACF">
            <w:pPr>
              <w:rPr>
                <w:rFonts w:ascii="Times New Roman" w:hAnsi="Times New Roman" w:cs="Times New Roman"/>
                <w:sz w:val="28"/>
                <w:szCs w:val="28"/>
              </w:rPr>
            </w:pPr>
            <w:r w:rsidRPr="00ED62A3">
              <w:rPr>
                <w:rFonts w:ascii="Times New Roman" w:hAnsi="Times New Roman" w:cs="Times New Roman"/>
                <w:sz w:val="28"/>
                <w:szCs w:val="28"/>
              </w:rPr>
              <w:t>Projekts šo jomu neskar</w:t>
            </w:r>
          </w:p>
        </w:tc>
      </w:tr>
      <w:tr w:rsidR="00ED62A3" w:rsidRPr="00425AF0" w:rsidTr="00057ACF">
        <w:trPr>
          <w:cantSplit/>
        </w:trPr>
        <w:tc>
          <w:tcPr>
            <w:tcW w:w="311" w:type="pct"/>
            <w:hideMark/>
          </w:tcPr>
          <w:p w:rsidR="00ED62A3" w:rsidRPr="0089349A" w:rsidRDefault="00ED62A3" w:rsidP="00057ACF">
            <w:pPr>
              <w:jc w:val="center"/>
              <w:rPr>
                <w:rFonts w:ascii="Times New Roman" w:hAnsi="Times New Roman" w:cs="Times New Roman"/>
                <w:sz w:val="28"/>
                <w:szCs w:val="28"/>
              </w:rPr>
            </w:pPr>
            <w:r w:rsidRPr="0089349A">
              <w:rPr>
                <w:rFonts w:ascii="Times New Roman" w:hAnsi="Times New Roman" w:cs="Times New Roman"/>
                <w:sz w:val="28"/>
                <w:szCs w:val="28"/>
              </w:rPr>
              <w:t>4.</w:t>
            </w:r>
          </w:p>
        </w:tc>
        <w:tc>
          <w:tcPr>
            <w:tcW w:w="1479" w:type="pct"/>
            <w:hideMark/>
          </w:tcPr>
          <w:p w:rsidR="00ED62A3" w:rsidRPr="00ED62A3" w:rsidRDefault="00ED62A3" w:rsidP="00057ACF">
            <w:pPr>
              <w:rPr>
                <w:rFonts w:ascii="Times New Roman" w:hAnsi="Times New Roman" w:cs="Times New Roman"/>
                <w:sz w:val="28"/>
                <w:szCs w:val="28"/>
              </w:rPr>
            </w:pPr>
            <w:r w:rsidRPr="00ED62A3">
              <w:rPr>
                <w:rFonts w:ascii="Times New Roman" w:hAnsi="Times New Roman" w:cs="Times New Roman"/>
                <w:sz w:val="28"/>
                <w:szCs w:val="28"/>
              </w:rPr>
              <w:t>Cita informācija</w:t>
            </w:r>
          </w:p>
        </w:tc>
        <w:tc>
          <w:tcPr>
            <w:tcW w:w="3210" w:type="pct"/>
            <w:hideMark/>
          </w:tcPr>
          <w:p w:rsidR="00ED62A3" w:rsidRPr="00ED62A3" w:rsidRDefault="00ED62A3" w:rsidP="00057ACF">
            <w:pPr>
              <w:rPr>
                <w:rFonts w:ascii="Times New Roman" w:hAnsi="Times New Roman" w:cs="Times New Roman"/>
                <w:sz w:val="28"/>
                <w:szCs w:val="28"/>
              </w:rPr>
            </w:pPr>
            <w:r w:rsidRPr="00ED62A3">
              <w:rPr>
                <w:rFonts w:ascii="Times New Roman" w:hAnsi="Times New Roman" w:cs="Times New Roman"/>
                <w:sz w:val="28"/>
                <w:szCs w:val="28"/>
              </w:rPr>
              <w:t>Nav</w:t>
            </w:r>
          </w:p>
        </w:tc>
      </w:tr>
    </w:tbl>
    <w:p w:rsidR="00E5323B" w:rsidRDefault="00E5323B" w:rsidP="00E5323B">
      <w:pPr>
        <w:spacing w:after="0" w:line="240" w:lineRule="auto"/>
        <w:rPr>
          <w:rFonts w:ascii="Times New Roman" w:hAnsi="Times New Roman"/>
          <w:sz w:val="28"/>
          <w:szCs w:val="28"/>
        </w:rPr>
      </w:pPr>
    </w:p>
    <w:tbl>
      <w:tblPr>
        <w:tblpPr w:leftFromText="180" w:rightFromText="180" w:vertAnchor="text" w:horzAnchor="margin" w:tblpY="-15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865DA" w:rsidRPr="00833CEF" w:rsidTr="006865D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865DA" w:rsidRPr="00B83C71" w:rsidRDefault="006865DA" w:rsidP="006865DA">
            <w:pPr>
              <w:spacing w:after="0" w:line="240" w:lineRule="auto"/>
              <w:rPr>
                <w:rFonts w:ascii="Times New Roman" w:hAnsi="Times New Roman"/>
                <w:b/>
                <w:sz w:val="26"/>
                <w:szCs w:val="26"/>
              </w:rPr>
            </w:pPr>
            <w:r w:rsidRPr="00B83C71">
              <w:rPr>
                <w:rFonts w:ascii="Times New Roman" w:hAnsi="Times New Roman"/>
                <w:b/>
                <w:sz w:val="26"/>
                <w:szCs w:val="26"/>
              </w:rPr>
              <w:t>VII. Tiesību akta projekta izpildes nodrošināšana un tās ietekme uz institūcijām</w:t>
            </w:r>
          </w:p>
        </w:tc>
      </w:tr>
      <w:tr w:rsidR="006865DA" w:rsidRPr="00833CEF" w:rsidTr="006865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865DA" w:rsidRPr="00833CEF" w:rsidRDefault="006865DA" w:rsidP="006865DA">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6865DA" w:rsidRPr="00833CEF" w:rsidRDefault="006865DA" w:rsidP="006865DA">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6865DA" w:rsidRPr="00657769" w:rsidRDefault="006865DA" w:rsidP="006865DA">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Nodrošinājuma valsts aģentūra.</w:t>
            </w:r>
          </w:p>
        </w:tc>
      </w:tr>
      <w:tr w:rsidR="006865DA" w:rsidRPr="00833CEF" w:rsidTr="006865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865DA" w:rsidRPr="00833CEF" w:rsidRDefault="006865DA" w:rsidP="006865DA">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6865DA" w:rsidRPr="00833CEF" w:rsidRDefault="006865DA" w:rsidP="006865DA">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6865DA" w:rsidRPr="00657769" w:rsidRDefault="00ED62A3" w:rsidP="00753375">
            <w:pPr>
              <w:spacing w:after="0" w:line="240" w:lineRule="auto"/>
              <w:rPr>
                <w:rFonts w:ascii="Times New Roman" w:eastAsia="Times New Roman" w:hAnsi="Times New Roman" w:cs="Times New Roman"/>
                <w:sz w:val="28"/>
                <w:szCs w:val="28"/>
                <w:lang w:eastAsia="lv-LV"/>
              </w:rPr>
            </w:pPr>
            <w:r w:rsidRPr="00ED62A3">
              <w:rPr>
                <w:rFonts w:ascii="Times New Roman" w:hAnsi="Times New Roman" w:cs="Times New Roman"/>
                <w:sz w:val="28"/>
                <w:szCs w:val="28"/>
                <w:shd w:val="clear" w:color="auto" w:fill="FFFFFF"/>
              </w:rPr>
              <w:t>Projekta izpilde neietekmēs pārvaldes funkcij</w:t>
            </w:r>
            <w:r w:rsidR="00753375">
              <w:rPr>
                <w:rFonts w:ascii="Times New Roman" w:hAnsi="Times New Roman" w:cs="Times New Roman"/>
                <w:sz w:val="28"/>
                <w:szCs w:val="28"/>
                <w:shd w:val="clear" w:color="auto" w:fill="FFFFFF"/>
              </w:rPr>
              <w:t>as vai institucionālo struktūr</w:t>
            </w:r>
            <w:r w:rsidR="00753375" w:rsidRPr="00753375">
              <w:rPr>
                <w:rFonts w:ascii="Times New Roman" w:hAnsi="Times New Roman" w:cs="Times New Roman"/>
                <w:sz w:val="28"/>
                <w:szCs w:val="28"/>
                <w:shd w:val="clear" w:color="auto" w:fill="FFFFFF"/>
              </w:rPr>
              <w:t>u</w:t>
            </w:r>
            <w:r w:rsidR="00753375" w:rsidRPr="00753375">
              <w:rPr>
                <w:rFonts w:ascii="Times New Roman" w:hAnsi="Times New Roman" w:cs="Times New Roman"/>
                <w:sz w:val="28"/>
                <w:szCs w:val="28"/>
              </w:rPr>
              <w:t>, papildus cilvēkresursi nav nepieciešami.</w:t>
            </w:r>
          </w:p>
        </w:tc>
      </w:tr>
      <w:tr w:rsidR="006865DA" w:rsidRPr="00833CEF" w:rsidTr="006865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865DA" w:rsidRPr="00833CEF" w:rsidRDefault="006865DA" w:rsidP="006865DA">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6865DA" w:rsidRPr="00833CEF" w:rsidRDefault="006865DA" w:rsidP="006865DA">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6865DA" w:rsidRPr="00833CEF" w:rsidRDefault="006865DA" w:rsidP="006865DA">
            <w:pPr>
              <w:spacing w:after="0" w:line="240" w:lineRule="auto"/>
              <w:rPr>
                <w:rFonts w:ascii="Times New Roman" w:hAnsi="Times New Roman"/>
                <w:sz w:val="28"/>
                <w:szCs w:val="28"/>
              </w:rPr>
            </w:pPr>
            <w:r>
              <w:rPr>
                <w:rFonts w:ascii="Times New Roman" w:hAnsi="Times New Roman"/>
                <w:sz w:val="28"/>
                <w:szCs w:val="28"/>
              </w:rPr>
              <w:t>Nav</w:t>
            </w:r>
          </w:p>
        </w:tc>
      </w:tr>
    </w:tbl>
    <w:p w:rsidR="00516D94" w:rsidRDefault="00516D94" w:rsidP="006C6BCE">
      <w:pPr>
        <w:spacing w:after="0" w:line="240" w:lineRule="auto"/>
        <w:rPr>
          <w:rFonts w:ascii="Times New Roman" w:hAnsi="Times New Roman" w:cs="Times New Roman"/>
          <w:sz w:val="28"/>
          <w:szCs w:val="28"/>
        </w:rPr>
      </w:pPr>
    </w:p>
    <w:p w:rsidR="00516D94" w:rsidRDefault="00516D94" w:rsidP="006C6BCE">
      <w:pPr>
        <w:spacing w:after="0" w:line="240" w:lineRule="auto"/>
        <w:rPr>
          <w:rFonts w:ascii="Times New Roman" w:hAnsi="Times New Roman" w:cs="Times New Roman"/>
          <w:sz w:val="28"/>
          <w:szCs w:val="28"/>
        </w:rPr>
      </w:pP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Pr="00591A4B">
        <w:rPr>
          <w:rFonts w:ascii="Times New Roman" w:hAnsi="Times New Roman" w:cs="Times New Roman"/>
          <w:sz w:val="28"/>
          <w:szCs w:val="28"/>
        </w:rPr>
        <w:tab/>
      </w:r>
      <w:r w:rsidR="003A13A5">
        <w:rPr>
          <w:rFonts w:ascii="Times New Roman" w:hAnsi="Times New Roman" w:cs="Times New Roman"/>
          <w:sz w:val="28"/>
          <w:szCs w:val="28"/>
        </w:rPr>
        <w:tab/>
      </w:r>
      <w:r w:rsidRPr="00591A4B">
        <w:rPr>
          <w:rFonts w:ascii="Times New Roman" w:hAnsi="Times New Roman" w:cs="Times New Roman"/>
          <w:sz w:val="28"/>
          <w:szCs w:val="28"/>
        </w:rPr>
        <w:t>Rihards Kozlovskis</w:t>
      </w:r>
      <w:r w:rsidRPr="00591A4B">
        <w:rPr>
          <w:rFonts w:ascii="Times New Roman" w:hAnsi="Times New Roman" w:cs="Times New Roman"/>
          <w:sz w:val="28"/>
          <w:szCs w:val="28"/>
        </w:rPr>
        <w:tab/>
      </w:r>
    </w:p>
    <w:p w:rsidR="00516D94" w:rsidRDefault="00516D94" w:rsidP="006C6BCE">
      <w:pPr>
        <w:spacing w:after="0" w:line="240" w:lineRule="auto"/>
        <w:rPr>
          <w:rFonts w:ascii="Times New Roman" w:hAnsi="Times New Roman" w:cs="Times New Roman"/>
          <w:sz w:val="28"/>
          <w:szCs w:val="28"/>
        </w:rPr>
      </w:pPr>
    </w:p>
    <w:p w:rsidR="00516D94" w:rsidRDefault="00516D94" w:rsidP="006C6BCE">
      <w:pPr>
        <w:spacing w:after="0" w:line="240" w:lineRule="auto"/>
        <w:rPr>
          <w:rFonts w:ascii="Times New Roman" w:hAnsi="Times New Roman" w:cs="Times New Roman"/>
          <w:sz w:val="28"/>
          <w:szCs w:val="28"/>
        </w:rPr>
      </w:pP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sekretārs</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003A13A5">
        <w:rPr>
          <w:rFonts w:ascii="Times New Roman" w:hAnsi="Times New Roman" w:cs="Times New Roman"/>
          <w:sz w:val="28"/>
          <w:szCs w:val="28"/>
        </w:rPr>
        <w:tab/>
      </w:r>
      <w:proofErr w:type="spellStart"/>
      <w:r w:rsidRPr="00591A4B">
        <w:rPr>
          <w:rFonts w:ascii="Times New Roman" w:hAnsi="Times New Roman" w:cs="Times New Roman"/>
          <w:sz w:val="28"/>
          <w:szCs w:val="28"/>
        </w:rPr>
        <w:t>Dimitrijs</w:t>
      </w:r>
      <w:proofErr w:type="spellEnd"/>
      <w:r w:rsidRPr="00591A4B">
        <w:rPr>
          <w:rFonts w:ascii="Times New Roman" w:hAnsi="Times New Roman" w:cs="Times New Roman"/>
          <w:sz w:val="28"/>
          <w:szCs w:val="28"/>
        </w:rPr>
        <w:t xml:space="preserve"> </w:t>
      </w:r>
      <w:proofErr w:type="spellStart"/>
      <w:r w:rsidRPr="00591A4B">
        <w:rPr>
          <w:rFonts w:ascii="Times New Roman" w:hAnsi="Times New Roman" w:cs="Times New Roman"/>
          <w:sz w:val="28"/>
          <w:szCs w:val="28"/>
        </w:rPr>
        <w:t>Trofimovs</w:t>
      </w:r>
      <w:proofErr w:type="spellEnd"/>
    </w:p>
    <w:p w:rsidR="003F4810" w:rsidRDefault="003F4810" w:rsidP="00BE0136">
      <w:pPr>
        <w:tabs>
          <w:tab w:val="left" w:pos="6237"/>
        </w:tabs>
        <w:spacing w:after="0" w:line="240" w:lineRule="auto"/>
        <w:rPr>
          <w:rFonts w:ascii="Times New Roman" w:hAnsi="Times New Roman" w:cs="Times New Roman"/>
          <w:sz w:val="28"/>
          <w:szCs w:val="28"/>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516D94" w:rsidRDefault="00516D94" w:rsidP="00267BDA">
      <w:pPr>
        <w:spacing w:after="0" w:line="240" w:lineRule="auto"/>
        <w:jc w:val="both"/>
        <w:rPr>
          <w:rFonts w:ascii="Times New Roman" w:hAnsi="Times New Roman"/>
          <w:sz w:val="20"/>
          <w:szCs w:val="20"/>
        </w:rPr>
      </w:pPr>
    </w:p>
    <w:p w:rsidR="00267BDA" w:rsidRDefault="00267BDA" w:rsidP="00267BDA">
      <w:pPr>
        <w:spacing w:after="0" w:line="240" w:lineRule="auto"/>
        <w:jc w:val="both"/>
        <w:rPr>
          <w:rFonts w:ascii="Times New Roman" w:hAnsi="Times New Roman"/>
          <w:sz w:val="20"/>
          <w:szCs w:val="20"/>
        </w:rPr>
      </w:pPr>
      <w:r>
        <w:rPr>
          <w:rFonts w:ascii="Times New Roman" w:hAnsi="Times New Roman"/>
          <w:sz w:val="20"/>
          <w:szCs w:val="20"/>
        </w:rPr>
        <w:t xml:space="preserve">Raitis Nora </w:t>
      </w:r>
      <w:r w:rsidRPr="00ED62A3">
        <w:rPr>
          <w:rFonts w:ascii="Times New Roman" w:hAnsi="Times New Roman"/>
          <w:sz w:val="20"/>
          <w:szCs w:val="20"/>
        </w:rPr>
        <w:t>67829075</w:t>
      </w:r>
    </w:p>
    <w:p w:rsidR="00267BDA" w:rsidRPr="00F507C2" w:rsidRDefault="00CD1B47" w:rsidP="0089349A">
      <w:pPr>
        <w:spacing w:after="120" w:line="240" w:lineRule="auto"/>
        <w:jc w:val="both"/>
        <w:rPr>
          <w:rFonts w:ascii="Times New Roman" w:hAnsi="Times New Roman"/>
          <w:color w:val="000000" w:themeColor="text1"/>
          <w:sz w:val="20"/>
          <w:szCs w:val="20"/>
        </w:rPr>
      </w:pPr>
      <w:hyperlink r:id="rId9" w:history="1">
        <w:r w:rsidR="00267BDA" w:rsidRPr="00F507C2">
          <w:rPr>
            <w:rStyle w:val="Hyperlink"/>
            <w:rFonts w:ascii="Times New Roman" w:hAnsi="Times New Roman"/>
            <w:color w:val="000000" w:themeColor="text1"/>
            <w:sz w:val="20"/>
            <w:szCs w:val="20"/>
            <w:u w:val="none"/>
          </w:rPr>
          <w:t>raitis.nora@agentura.iem.gov.lv</w:t>
        </w:r>
      </w:hyperlink>
    </w:p>
    <w:p w:rsidR="00267BDA" w:rsidRPr="00ED62A3" w:rsidRDefault="00267BDA" w:rsidP="0089349A">
      <w:pPr>
        <w:spacing w:after="0" w:line="240" w:lineRule="auto"/>
        <w:jc w:val="both"/>
        <w:rPr>
          <w:rFonts w:ascii="Times New Roman" w:hAnsi="Times New Roman"/>
          <w:sz w:val="20"/>
          <w:szCs w:val="20"/>
        </w:rPr>
      </w:pPr>
      <w:r>
        <w:rPr>
          <w:rFonts w:ascii="Times New Roman" w:hAnsi="Times New Roman"/>
          <w:sz w:val="20"/>
          <w:szCs w:val="20"/>
        </w:rPr>
        <w:t>Raivis Mālijs</w:t>
      </w:r>
      <w:r w:rsidRPr="00ED62A3">
        <w:rPr>
          <w:rFonts w:ascii="Times New Roman" w:hAnsi="Times New Roman"/>
          <w:sz w:val="20"/>
          <w:szCs w:val="20"/>
        </w:rPr>
        <w:t xml:space="preserve"> 67218631</w:t>
      </w:r>
    </w:p>
    <w:p w:rsidR="00267BDA" w:rsidRPr="00ED62A3" w:rsidRDefault="00267BDA" w:rsidP="0089349A">
      <w:pPr>
        <w:spacing w:after="120" w:line="240" w:lineRule="auto"/>
        <w:jc w:val="both"/>
        <w:rPr>
          <w:rFonts w:ascii="Times New Roman" w:hAnsi="Times New Roman"/>
          <w:sz w:val="20"/>
          <w:szCs w:val="20"/>
        </w:rPr>
      </w:pPr>
      <w:r w:rsidRPr="00ED62A3">
        <w:rPr>
          <w:rFonts w:ascii="Times New Roman" w:hAnsi="Times New Roman"/>
          <w:sz w:val="20"/>
          <w:szCs w:val="20"/>
        </w:rPr>
        <w:t>raivis.malijs@agentura.iem.gov.lv</w:t>
      </w:r>
    </w:p>
    <w:p w:rsidR="00ED62A3" w:rsidRDefault="00267BDA" w:rsidP="0089349A">
      <w:pPr>
        <w:spacing w:after="0" w:line="240" w:lineRule="auto"/>
        <w:jc w:val="both"/>
        <w:rPr>
          <w:rFonts w:ascii="Times New Roman" w:hAnsi="Times New Roman"/>
          <w:sz w:val="20"/>
          <w:szCs w:val="20"/>
        </w:rPr>
      </w:pPr>
      <w:r>
        <w:rPr>
          <w:rFonts w:ascii="Times New Roman" w:hAnsi="Times New Roman"/>
          <w:sz w:val="20"/>
          <w:szCs w:val="20"/>
        </w:rPr>
        <w:t>Alīna Bogdanova-Uzkliņģe</w:t>
      </w:r>
      <w:r w:rsidR="00ED62A3">
        <w:rPr>
          <w:rFonts w:ascii="Times New Roman" w:hAnsi="Times New Roman"/>
          <w:sz w:val="20"/>
          <w:szCs w:val="20"/>
        </w:rPr>
        <w:t xml:space="preserve"> </w:t>
      </w:r>
      <w:r>
        <w:rPr>
          <w:rFonts w:ascii="Times New Roman" w:hAnsi="Times New Roman"/>
          <w:sz w:val="20"/>
          <w:szCs w:val="20"/>
        </w:rPr>
        <w:t>67829070</w:t>
      </w:r>
    </w:p>
    <w:p w:rsidR="0087327A" w:rsidRPr="0089349A" w:rsidRDefault="00CD1B47" w:rsidP="0089349A">
      <w:pPr>
        <w:spacing w:after="0" w:line="240" w:lineRule="auto"/>
        <w:jc w:val="both"/>
        <w:rPr>
          <w:rFonts w:ascii="Times New Roman" w:hAnsi="Times New Roman"/>
          <w:sz w:val="20"/>
          <w:szCs w:val="20"/>
        </w:rPr>
      </w:pPr>
      <w:hyperlink r:id="rId10" w:history="1">
        <w:r w:rsidR="00267BDA" w:rsidRPr="00267BDA">
          <w:rPr>
            <w:rStyle w:val="Hyperlink"/>
            <w:rFonts w:ascii="Times New Roman" w:hAnsi="Times New Roman"/>
            <w:color w:val="auto"/>
            <w:sz w:val="20"/>
            <w:szCs w:val="20"/>
            <w:u w:val="none"/>
          </w:rPr>
          <w:t>alina.bogdanova@agentura.iem.gov.lv</w:t>
        </w:r>
      </w:hyperlink>
    </w:p>
    <w:sectPr w:rsidR="0087327A" w:rsidRPr="0089349A"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47" w:rsidRDefault="00CD1B47" w:rsidP="00894C55">
      <w:pPr>
        <w:spacing w:after="0" w:line="240" w:lineRule="auto"/>
      </w:pPr>
      <w:r>
        <w:separator/>
      </w:r>
    </w:p>
  </w:endnote>
  <w:endnote w:type="continuationSeparator" w:id="0">
    <w:p w:rsidR="00CD1B47" w:rsidRDefault="00CD1B4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4F" w:rsidRPr="00A3304F" w:rsidRDefault="00A3304F" w:rsidP="00A3304F">
    <w:pPr>
      <w:pStyle w:val="Footer"/>
      <w:rPr>
        <w:rFonts w:ascii="Times New Roman" w:hAnsi="Times New Roman" w:cs="Times New Roman"/>
        <w:sz w:val="20"/>
        <w:szCs w:val="20"/>
      </w:rPr>
    </w:pPr>
    <w:r w:rsidRPr="00A3304F">
      <w:rPr>
        <w:rFonts w:ascii="Times New Roman" w:hAnsi="Times New Roman" w:cs="Times New Roman"/>
        <w:sz w:val="20"/>
        <w:szCs w:val="20"/>
      </w:rPr>
      <w:fldChar w:fldCharType="begin"/>
    </w:r>
    <w:r w:rsidRPr="00A3304F">
      <w:rPr>
        <w:rFonts w:ascii="Times New Roman" w:hAnsi="Times New Roman" w:cs="Times New Roman"/>
        <w:sz w:val="20"/>
        <w:szCs w:val="20"/>
      </w:rPr>
      <w:instrText xml:space="preserve"> FILENAME   \* MERGEFORMAT </w:instrText>
    </w:r>
    <w:r w:rsidRPr="00A3304F">
      <w:rPr>
        <w:rFonts w:ascii="Times New Roman" w:hAnsi="Times New Roman" w:cs="Times New Roman"/>
        <w:sz w:val="20"/>
        <w:szCs w:val="20"/>
      </w:rPr>
      <w:fldChar w:fldCharType="separate"/>
    </w:r>
    <w:r w:rsidRPr="00A3304F">
      <w:rPr>
        <w:rFonts w:ascii="Times New Roman" w:hAnsi="Times New Roman" w:cs="Times New Roman"/>
        <w:sz w:val="20"/>
        <w:szCs w:val="20"/>
      </w:rPr>
      <w:t>IEMAnot_</w:t>
    </w:r>
    <w:r w:rsidR="00267BDA">
      <w:rPr>
        <w:rFonts w:ascii="Times New Roman" w:hAnsi="Times New Roman" w:cs="Times New Roman"/>
        <w:sz w:val="20"/>
        <w:szCs w:val="20"/>
      </w:rPr>
      <w:t>2211</w:t>
    </w:r>
    <w:r w:rsidRPr="00A3304F">
      <w:rPr>
        <w:rFonts w:ascii="Times New Roman" w:hAnsi="Times New Roman" w:cs="Times New Roman"/>
        <w:sz w:val="20"/>
        <w:szCs w:val="20"/>
      </w:rPr>
      <w:t>18_</w:t>
    </w:r>
    <w:r w:rsidRPr="00A3304F">
      <w:rPr>
        <w:rFonts w:ascii="Times New Roman" w:hAnsi="Times New Roman" w:cs="Times New Roman"/>
        <w:sz w:val="20"/>
        <w:szCs w:val="20"/>
      </w:rPr>
      <w:fldChar w:fldCharType="end"/>
    </w:r>
    <w:r w:rsidR="00267BDA">
      <w:rPr>
        <w:rFonts w:ascii="Times New Roman" w:hAnsi="Times New Roman" w:cs="Times New Roman"/>
        <w:sz w:val="20"/>
        <w:szCs w:val="20"/>
      </w:rPr>
      <w:t>groz1098</w:t>
    </w:r>
  </w:p>
  <w:p w:rsidR="00E64AD2" w:rsidRPr="009F1154" w:rsidRDefault="00E64AD2">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2" w:rsidRPr="00A3304F" w:rsidRDefault="002C32CE" w:rsidP="00A3304F">
    <w:pPr>
      <w:pStyle w:val="Footer"/>
    </w:pPr>
    <w:r>
      <w:rPr>
        <w:rFonts w:ascii="Times New Roman" w:hAnsi="Times New Roman" w:cs="Times New Roman"/>
        <w:sz w:val="20"/>
        <w:szCs w:val="20"/>
      </w:rPr>
      <w:t>IEMAnot_</w:t>
    </w:r>
    <w:r w:rsidR="00267BDA">
      <w:rPr>
        <w:rFonts w:ascii="Times New Roman" w:hAnsi="Times New Roman" w:cs="Times New Roman"/>
        <w:sz w:val="20"/>
        <w:szCs w:val="20"/>
      </w:rPr>
      <w:t>2211</w:t>
    </w:r>
    <w:r w:rsidR="00A3304F" w:rsidRPr="00A3304F">
      <w:rPr>
        <w:rFonts w:ascii="Times New Roman" w:hAnsi="Times New Roman" w:cs="Times New Roman"/>
        <w:sz w:val="20"/>
        <w:szCs w:val="20"/>
      </w:rPr>
      <w:t>18_</w:t>
    </w:r>
    <w:r w:rsidR="00267BDA">
      <w:rPr>
        <w:rFonts w:ascii="Times New Roman" w:hAnsi="Times New Roman" w:cs="Times New Roman"/>
        <w:sz w:val="20"/>
        <w:szCs w:val="20"/>
      </w:rPr>
      <w:t>groz1098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47" w:rsidRDefault="00CD1B47" w:rsidP="00894C55">
      <w:pPr>
        <w:spacing w:after="0" w:line="240" w:lineRule="auto"/>
      </w:pPr>
      <w:r>
        <w:separator/>
      </w:r>
    </w:p>
  </w:footnote>
  <w:footnote w:type="continuationSeparator" w:id="0">
    <w:p w:rsidR="00CD1B47" w:rsidRDefault="00CD1B47"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64AD2" w:rsidRPr="00C25B49" w:rsidRDefault="00E64A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70019">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26EE"/>
    <w:multiLevelType w:val="hybridMultilevel"/>
    <w:tmpl w:val="6022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E8D1EBF"/>
    <w:multiLevelType w:val="hybridMultilevel"/>
    <w:tmpl w:val="79007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5">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5E535C78"/>
    <w:multiLevelType w:val="hybridMultilevel"/>
    <w:tmpl w:val="4944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3628"/>
    <w:rsid w:val="0003216F"/>
    <w:rsid w:val="00047039"/>
    <w:rsid w:val="000648A6"/>
    <w:rsid w:val="00074E9D"/>
    <w:rsid w:val="0008184C"/>
    <w:rsid w:val="000868D7"/>
    <w:rsid w:val="000E7FC9"/>
    <w:rsid w:val="000F447C"/>
    <w:rsid w:val="001173AC"/>
    <w:rsid w:val="00150CD6"/>
    <w:rsid w:val="00155B03"/>
    <w:rsid w:val="00161313"/>
    <w:rsid w:val="00161616"/>
    <w:rsid w:val="001634B6"/>
    <w:rsid w:val="0016356E"/>
    <w:rsid w:val="00184057"/>
    <w:rsid w:val="001A7FCB"/>
    <w:rsid w:val="00210B3C"/>
    <w:rsid w:val="002131C1"/>
    <w:rsid w:val="00214B75"/>
    <w:rsid w:val="00243426"/>
    <w:rsid w:val="0025350D"/>
    <w:rsid w:val="002559CF"/>
    <w:rsid w:val="00255C28"/>
    <w:rsid w:val="00257880"/>
    <w:rsid w:val="00267BDA"/>
    <w:rsid w:val="00271D3C"/>
    <w:rsid w:val="00275A58"/>
    <w:rsid w:val="00280689"/>
    <w:rsid w:val="002816D8"/>
    <w:rsid w:val="002B1764"/>
    <w:rsid w:val="002C32CE"/>
    <w:rsid w:val="002D11C0"/>
    <w:rsid w:val="002E1C05"/>
    <w:rsid w:val="002E4820"/>
    <w:rsid w:val="002F0491"/>
    <w:rsid w:val="002F3553"/>
    <w:rsid w:val="002F3C69"/>
    <w:rsid w:val="002F4E69"/>
    <w:rsid w:val="002F52A0"/>
    <w:rsid w:val="00302ABB"/>
    <w:rsid w:val="00364B79"/>
    <w:rsid w:val="0037565D"/>
    <w:rsid w:val="00380798"/>
    <w:rsid w:val="003A13A5"/>
    <w:rsid w:val="003B0BF9"/>
    <w:rsid w:val="003C4BF3"/>
    <w:rsid w:val="003C77B3"/>
    <w:rsid w:val="003D5FEA"/>
    <w:rsid w:val="003D7EF4"/>
    <w:rsid w:val="003E064A"/>
    <w:rsid w:val="003E0791"/>
    <w:rsid w:val="003E2C67"/>
    <w:rsid w:val="003F28AC"/>
    <w:rsid w:val="003F4810"/>
    <w:rsid w:val="003F5D22"/>
    <w:rsid w:val="003F7EB8"/>
    <w:rsid w:val="00416D00"/>
    <w:rsid w:val="00435B75"/>
    <w:rsid w:val="004454FE"/>
    <w:rsid w:val="00456E40"/>
    <w:rsid w:val="00466E81"/>
    <w:rsid w:val="00471CA8"/>
    <w:rsid w:val="00471F27"/>
    <w:rsid w:val="00477752"/>
    <w:rsid w:val="00482A28"/>
    <w:rsid w:val="004913D7"/>
    <w:rsid w:val="00496BCC"/>
    <w:rsid w:val="004A1E61"/>
    <w:rsid w:val="004D6BD3"/>
    <w:rsid w:val="004E73B6"/>
    <w:rsid w:val="004F1A12"/>
    <w:rsid w:val="0050178F"/>
    <w:rsid w:val="005069AD"/>
    <w:rsid w:val="00507E3E"/>
    <w:rsid w:val="0051459A"/>
    <w:rsid w:val="00516D94"/>
    <w:rsid w:val="00540CD1"/>
    <w:rsid w:val="00543248"/>
    <w:rsid w:val="005471A0"/>
    <w:rsid w:val="00550C0E"/>
    <w:rsid w:val="00552071"/>
    <w:rsid w:val="00563D14"/>
    <w:rsid w:val="00591A4B"/>
    <w:rsid w:val="005A1505"/>
    <w:rsid w:val="005D5B0E"/>
    <w:rsid w:val="005E50AF"/>
    <w:rsid w:val="005F3EF6"/>
    <w:rsid w:val="00603E1B"/>
    <w:rsid w:val="00610AA2"/>
    <w:rsid w:val="00613854"/>
    <w:rsid w:val="00626A52"/>
    <w:rsid w:val="00633417"/>
    <w:rsid w:val="00634435"/>
    <w:rsid w:val="00640C0A"/>
    <w:rsid w:val="006444D4"/>
    <w:rsid w:val="00645BB3"/>
    <w:rsid w:val="006525C1"/>
    <w:rsid w:val="00652708"/>
    <w:rsid w:val="00655F2C"/>
    <w:rsid w:val="00657769"/>
    <w:rsid w:val="00661D05"/>
    <w:rsid w:val="00670019"/>
    <w:rsid w:val="00682065"/>
    <w:rsid w:val="0068413F"/>
    <w:rsid w:val="006865DA"/>
    <w:rsid w:val="0069231D"/>
    <w:rsid w:val="006973E2"/>
    <w:rsid w:val="006A0B33"/>
    <w:rsid w:val="006B4E98"/>
    <w:rsid w:val="006C6BCE"/>
    <w:rsid w:val="006E1081"/>
    <w:rsid w:val="006E3364"/>
    <w:rsid w:val="00720585"/>
    <w:rsid w:val="00720E90"/>
    <w:rsid w:val="007249CF"/>
    <w:rsid w:val="00730DC0"/>
    <w:rsid w:val="007437D9"/>
    <w:rsid w:val="00745A75"/>
    <w:rsid w:val="00753375"/>
    <w:rsid w:val="0076276B"/>
    <w:rsid w:val="007679C9"/>
    <w:rsid w:val="0077178E"/>
    <w:rsid w:val="00773AF6"/>
    <w:rsid w:val="00776BA7"/>
    <w:rsid w:val="00777524"/>
    <w:rsid w:val="00783359"/>
    <w:rsid w:val="00794BE1"/>
    <w:rsid w:val="00795F71"/>
    <w:rsid w:val="007A61C9"/>
    <w:rsid w:val="007B098E"/>
    <w:rsid w:val="007B3457"/>
    <w:rsid w:val="007B5D20"/>
    <w:rsid w:val="007C7345"/>
    <w:rsid w:val="007E3A79"/>
    <w:rsid w:val="007E5F7A"/>
    <w:rsid w:val="007E73AB"/>
    <w:rsid w:val="007F55B4"/>
    <w:rsid w:val="007F5908"/>
    <w:rsid w:val="007F67CB"/>
    <w:rsid w:val="00812FDA"/>
    <w:rsid w:val="00816C11"/>
    <w:rsid w:val="00816D5C"/>
    <w:rsid w:val="0081714D"/>
    <w:rsid w:val="00825FEA"/>
    <w:rsid w:val="008321D7"/>
    <w:rsid w:val="00833CEF"/>
    <w:rsid w:val="008369FD"/>
    <w:rsid w:val="0084141D"/>
    <w:rsid w:val="00850DAD"/>
    <w:rsid w:val="00865F36"/>
    <w:rsid w:val="00866143"/>
    <w:rsid w:val="00866D5D"/>
    <w:rsid w:val="008671E7"/>
    <w:rsid w:val="00867DE8"/>
    <w:rsid w:val="0087327A"/>
    <w:rsid w:val="008833DD"/>
    <w:rsid w:val="0088709B"/>
    <w:rsid w:val="0089349A"/>
    <w:rsid w:val="00894C55"/>
    <w:rsid w:val="008A4ADE"/>
    <w:rsid w:val="008B7DD3"/>
    <w:rsid w:val="008C58E0"/>
    <w:rsid w:val="008D1CBE"/>
    <w:rsid w:val="008E28D4"/>
    <w:rsid w:val="008E2B70"/>
    <w:rsid w:val="008E4997"/>
    <w:rsid w:val="008E7638"/>
    <w:rsid w:val="00907DF6"/>
    <w:rsid w:val="00943B86"/>
    <w:rsid w:val="00943E99"/>
    <w:rsid w:val="00961C48"/>
    <w:rsid w:val="0096220D"/>
    <w:rsid w:val="0096264B"/>
    <w:rsid w:val="009709CB"/>
    <w:rsid w:val="009751E4"/>
    <w:rsid w:val="00975FB4"/>
    <w:rsid w:val="009A2654"/>
    <w:rsid w:val="009A403B"/>
    <w:rsid w:val="009E0F7C"/>
    <w:rsid w:val="009E766D"/>
    <w:rsid w:val="009F1154"/>
    <w:rsid w:val="009F2510"/>
    <w:rsid w:val="00A03F74"/>
    <w:rsid w:val="00A101F3"/>
    <w:rsid w:val="00A10FC3"/>
    <w:rsid w:val="00A12D8A"/>
    <w:rsid w:val="00A203D3"/>
    <w:rsid w:val="00A203D4"/>
    <w:rsid w:val="00A2581E"/>
    <w:rsid w:val="00A3304F"/>
    <w:rsid w:val="00A449D2"/>
    <w:rsid w:val="00A4665B"/>
    <w:rsid w:val="00A6073E"/>
    <w:rsid w:val="00A67DBF"/>
    <w:rsid w:val="00A7473D"/>
    <w:rsid w:val="00A85545"/>
    <w:rsid w:val="00A909C4"/>
    <w:rsid w:val="00AA00A0"/>
    <w:rsid w:val="00AA4C9F"/>
    <w:rsid w:val="00AB5957"/>
    <w:rsid w:val="00AC0732"/>
    <w:rsid w:val="00AC58B2"/>
    <w:rsid w:val="00AC797B"/>
    <w:rsid w:val="00AD4CBD"/>
    <w:rsid w:val="00AD7AB3"/>
    <w:rsid w:val="00AE5567"/>
    <w:rsid w:val="00AF0948"/>
    <w:rsid w:val="00AF1239"/>
    <w:rsid w:val="00AF49B7"/>
    <w:rsid w:val="00AF5C39"/>
    <w:rsid w:val="00B16480"/>
    <w:rsid w:val="00B176BF"/>
    <w:rsid w:val="00B2165C"/>
    <w:rsid w:val="00B50910"/>
    <w:rsid w:val="00B83C71"/>
    <w:rsid w:val="00B870E3"/>
    <w:rsid w:val="00B949D5"/>
    <w:rsid w:val="00B94D45"/>
    <w:rsid w:val="00BA20AA"/>
    <w:rsid w:val="00BA2382"/>
    <w:rsid w:val="00BA5311"/>
    <w:rsid w:val="00BB3ABE"/>
    <w:rsid w:val="00BC2B1D"/>
    <w:rsid w:val="00BC2F26"/>
    <w:rsid w:val="00BC79E5"/>
    <w:rsid w:val="00BD3F40"/>
    <w:rsid w:val="00BD4425"/>
    <w:rsid w:val="00BE0136"/>
    <w:rsid w:val="00BE5B1E"/>
    <w:rsid w:val="00BF3FE1"/>
    <w:rsid w:val="00BF7FC1"/>
    <w:rsid w:val="00C06779"/>
    <w:rsid w:val="00C11D05"/>
    <w:rsid w:val="00C14948"/>
    <w:rsid w:val="00C15704"/>
    <w:rsid w:val="00C25B49"/>
    <w:rsid w:val="00C51876"/>
    <w:rsid w:val="00C563DB"/>
    <w:rsid w:val="00C65637"/>
    <w:rsid w:val="00C7646B"/>
    <w:rsid w:val="00C9339A"/>
    <w:rsid w:val="00C94FE8"/>
    <w:rsid w:val="00C9736B"/>
    <w:rsid w:val="00CA38C5"/>
    <w:rsid w:val="00CB09A8"/>
    <w:rsid w:val="00CB26BD"/>
    <w:rsid w:val="00CB3A49"/>
    <w:rsid w:val="00CC0324"/>
    <w:rsid w:val="00CC0D2D"/>
    <w:rsid w:val="00CD1B47"/>
    <w:rsid w:val="00CE5657"/>
    <w:rsid w:val="00D133F8"/>
    <w:rsid w:val="00D14A3E"/>
    <w:rsid w:val="00D1545A"/>
    <w:rsid w:val="00D166BF"/>
    <w:rsid w:val="00D31F6F"/>
    <w:rsid w:val="00D400AF"/>
    <w:rsid w:val="00D40CF3"/>
    <w:rsid w:val="00D46101"/>
    <w:rsid w:val="00D82B44"/>
    <w:rsid w:val="00D82D9E"/>
    <w:rsid w:val="00DA2FB1"/>
    <w:rsid w:val="00DE175C"/>
    <w:rsid w:val="00DE58D3"/>
    <w:rsid w:val="00DF60A3"/>
    <w:rsid w:val="00E02010"/>
    <w:rsid w:val="00E07D12"/>
    <w:rsid w:val="00E11F9D"/>
    <w:rsid w:val="00E3716B"/>
    <w:rsid w:val="00E5323B"/>
    <w:rsid w:val="00E64AD2"/>
    <w:rsid w:val="00E66412"/>
    <w:rsid w:val="00E840B7"/>
    <w:rsid w:val="00E8749E"/>
    <w:rsid w:val="00E90C01"/>
    <w:rsid w:val="00EA3022"/>
    <w:rsid w:val="00EA486E"/>
    <w:rsid w:val="00EB08FE"/>
    <w:rsid w:val="00EC12BB"/>
    <w:rsid w:val="00EC6DA7"/>
    <w:rsid w:val="00ED62A3"/>
    <w:rsid w:val="00ED7B78"/>
    <w:rsid w:val="00EE71E4"/>
    <w:rsid w:val="00EF2F71"/>
    <w:rsid w:val="00EF4F7E"/>
    <w:rsid w:val="00F037E6"/>
    <w:rsid w:val="00F123F9"/>
    <w:rsid w:val="00F26596"/>
    <w:rsid w:val="00F26C58"/>
    <w:rsid w:val="00F300D1"/>
    <w:rsid w:val="00F44B90"/>
    <w:rsid w:val="00F50780"/>
    <w:rsid w:val="00F507C2"/>
    <w:rsid w:val="00F50B12"/>
    <w:rsid w:val="00F55316"/>
    <w:rsid w:val="00F57B0C"/>
    <w:rsid w:val="00F6528D"/>
    <w:rsid w:val="00F8715F"/>
    <w:rsid w:val="00F951E7"/>
    <w:rsid w:val="00F9527B"/>
    <w:rsid w:val="00FA2278"/>
    <w:rsid w:val="00FB1A4F"/>
    <w:rsid w:val="00FD3DF2"/>
    <w:rsid w:val="00FD758F"/>
    <w:rsid w:val="00FE0F7C"/>
    <w:rsid w:val="00FE47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A4665B"/>
    <w:rPr>
      <w:sz w:val="16"/>
      <w:szCs w:val="16"/>
    </w:rPr>
  </w:style>
  <w:style w:type="paragraph" w:styleId="CommentText">
    <w:name w:val="annotation text"/>
    <w:basedOn w:val="Normal"/>
    <w:link w:val="CommentTextChar"/>
    <w:uiPriority w:val="99"/>
    <w:semiHidden/>
    <w:unhideWhenUsed/>
    <w:rsid w:val="00A4665B"/>
    <w:pPr>
      <w:spacing w:line="240" w:lineRule="auto"/>
    </w:pPr>
    <w:rPr>
      <w:sz w:val="20"/>
      <w:szCs w:val="20"/>
    </w:rPr>
  </w:style>
  <w:style w:type="character" w:customStyle="1" w:styleId="CommentTextChar">
    <w:name w:val="Comment Text Char"/>
    <w:basedOn w:val="DefaultParagraphFont"/>
    <w:link w:val="CommentText"/>
    <w:uiPriority w:val="99"/>
    <w:semiHidden/>
    <w:rsid w:val="00A4665B"/>
    <w:rPr>
      <w:sz w:val="20"/>
      <w:szCs w:val="20"/>
    </w:rPr>
  </w:style>
  <w:style w:type="paragraph" w:styleId="CommentSubject">
    <w:name w:val="annotation subject"/>
    <w:basedOn w:val="CommentText"/>
    <w:next w:val="CommentText"/>
    <w:link w:val="CommentSubjectChar"/>
    <w:uiPriority w:val="99"/>
    <w:semiHidden/>
    <w:unhideWhenUsed/>
    <w:rsid w:val="00A4665B"/>
    <w:rPr>
      <w:b/>
      <w:bCs/>
    </w:rPr>
  </w:style>
  <w:style w:type="character" w:customStyle="1" w:styleId="CommentSubjectChar">
    <w:name w:val="Comment Subject Char"/>
    <w:basedOn w:val="CommentTextChar"/>
    <w:link w:val="CommentSubject"/>
    <w:uiPriority w:val="99"/>
    <w:semiHidden/>
    <w:rsid w:val="00A466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A4665B"/>
    <w:rPr>
      <w:sz w:val="16"/>
      <w:szCs w:val="16"/>
    </w:rPr>
  </w:style>
  <w:style w:type="paragraph" w:styleId="CommentText">
    <w:name w:val="annotation text"/>
    <w:basedOn w:val="Normal"/>
    <w:link w:val="CommentTextChar"/>
    <w:uiPriority w:val="99"/>
    <w:semiHidden/>
    <w:unhideWhenUsed/>
    <w:rsid w:val="00A4665B"/>
    <w:pPr>
      <w:spacing w:line="240" w:lineRule="auto"/>
    </w:pPr>
    <w:rPr>
      <w:sz w:val="20"/>
      <w:szCs w:val="20"/>
    </w:rPr>
  </w:style>
  <w:style w:type="character" w:customStyle="1" w:styleId="CommentTextChar">
    <w:name w:val="Comment Text Char"/>
    <w:basedOn w:val="DefaultParagraphFont"/>
    <w:link w:val="CommentText"/>
    <w:uiPriority w:val="99"/>
    <w:semiHidden/>
    <w:rsid w:val="00A4665B"/>
    <w:rPr>
      <w:sz w:val="20"/>
      <w:szCs w:val="20"/>
    </w:rPr>
  </w:style>
  <w:style w:type="paragraph" w:styleId="CommentSubject">
    <w:name w:val="annotation subject"/>
    <w:basedOn w:val="CommentText"/>
    <w:next w:val="CommentText"/>
    <w:link w:val="CommentSubjectChar"/>
    <w:uiPriority w:val="99"/>
    <w:semiHidden/>
    <w:unhideWhenUsed/>
    <w:rsid w:val="00A4665B"/>
    <w:rPr>
      <w:b/>
      <w:bCs/>
    </w:rPr>
  </w:style>
  <w:style w:type="character" w:customStyle="1" w:styleId="CommentSubjectChar">
    <w:name w:val="Comment Subject Char"/>
    <w:basedOn w:val="CommentTextChar"/>
    <w:link w:val="CommentSubject"/>
    <w:uiPriority w:val="99"/>
    <w:semiHidden/>
    <w:rsid w:val="00A466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8730538">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6088725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lina.bogdanova@agentura.iem.gov.lv" TargetMode="External"/><Relationship Id="rId4" Type="http://schemas.microsoft.com/office/2007/relationships/stylesWithEffects" Target="stylesWithEffects.xml"/><Relationship Id="rId9" Type="http://schemas.openxmlformats.org/officeDocument/2006/relationships/hyperlink" Target="mailto:raitis.nora@agentura.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0D9FB-7AB9-400D-BDEC-D97109C4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6629</Words>
  <Characters>3779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 gada 7. decembra noteikumos Nr. 1098 „Noteikumi par rīcību ar administratīvo pārkāpumu lietās izņemto mantu un dokumentiem”” sākotnējās ietekmes novērtējuma ziņojums (anotācija)</vt:lpstr>
    </vt:vector>
  </TitlesOfParts>
  <Company>Nodrošinājuma valsts aģentūra</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7. decembra noteikumos Nr. 1098 „Noteikumi par rīcību ar administratīvo pārkāpumu lietās izņemto mantu un dokumentiem”” sākotnējās ietekmes novērtējuma ziņojums (anotācija)</dc:title>
  <dc:subject>Anotācija</dc:subject>
  <dc:creator>Raitis Nora</dc:creator>
  <dc:description>Raitis Nora 67829075_x000d_
raitis.nora@agentura.iem.gov.lv</dc:description>
  <cp:lastModifiedBy>Raitis Nora</cp:lastModifiedBy>
  <cp:revision>8</cp:revision>
  <cp:lastPrinted>2018-06-01T08:06:00Z</cp:lastPrinted>
  <dcterms:created xsi:type="dcterms:W3CDTF">2018-11-21T11:04:00Z</dcterms:created>
  <dcterms:modified xsi:type="dcterms:W3CDTF">2018-11-22T10:51:00Z</dcterms:modified>
</cp:coreProperties>
</file>