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7C" w:rsidRDefault="0038517C" w:rsidP="0038517C">
      <w:pPr>
        <w:shd w:val="clear" w:color="auto" w:fill="FFFFFF"/>
        <w:jc w:val="center"/>
        <w:rPr>
          <w:b/>
          <w:bCs/>
        </w:rPr>
      </w:pPr>
      <w:bookmarkStart w:id="0" w:name="_gjdgxs" w:colFirst="0" w:colLast="0"/>
      <w:bookmarkEnd w:id="0"/>
      <w:r w:rsidRPr="0038517C">
        <w:rPr>
          <w:b/>
          <w:bCs/>
        </w:rPr>
        <w:t>Ministru kabineta rīkojuma projekta</w:t>
      </w:r>
    </w:p>
    <w:p w:rsidR="000C7EFF" w:rsidRDefault="0038517C" w:rsidP="0038517C">
      <w:pPr>
        <w:shd w:val="clear" w:color="auto" w:fill="FFFFFF"/>
        <w:jc w:val="center"/>
        <w:rPr>
          <w:b/>
        </w:rPr>
      </w:pPr>
      <w:r w:rsidRPr="0038517C">
        <w:rPr>
          <w:b/>
          <w:bCs/>
        </w:rPr>
        <w:t xml:space="preserve"> „Grozījumi Ministru kabineta 2011.gada 27.decembra noteikumos Nr.1025 „Noteikumi par rīcību ar lietiskajiem pierādījumiem un arestēto mantu””</w:t>
      </w:r>
      <w:r>
        <w:rPr>
          <w:b/>
          <w:bCs/>
          <w:sz w:val="28"/>
          <w:szCs w:val="28"/>
        </w:rPr>
        <w:t xml:space="preserve"> </w:t>
      </w:r>
      <w:r w:rsidR="00E203EE">
        <w:rPr>
          <w:b/>
        </w:rPr>
        <w:t>sākotnējās ietekmes novērtējuma ziņojums (anotācija)</w:t>
      </w:r>
    </w:p>
    <w:p w:rsidR="0038517C" w:rsidRDefault="0038517C" w:rsidP="0038517C">
      <w:pPr>
        <w:shd w:val="clear" w:color="auto" w:fill="FFFFFF"/>
        <w:jc w:val="center"/>
        <w:rPr>
          <w:b/>
        </w:rPr>
      </w:pPr>
    </w:p>
    <w:p w:rsidR="000C7EFF"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jc w:val="center"/>
              <w:rPr>
                <w:rFonts w:ascii="Times New Roman" w:hAnsi="Times New Roman" w:cs="Times New Roman"/>
                <w:b/>
              </w:rPr>
            </w:pPr>
            <w:r w:rsidRPr="00151A8E">
              <w:rPr>
                <w:rFonts w:ascii="Times New Roman" w:hAnsi="Times New Roman" w:cs="Times New Roman"/>
                <w:b/>
              </w:rPr>
              <w:t xml:space="preserve">Tiesību akta projekta anotācijas kopsavilkums </w:t>
            </w:r>
          </w:p>
        </w:tc>
      </w:tr>
      <w:tr w:rsidR="000C7EFF">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rPr>
                <w:rFonts w:ascii="Times New Roman" w:hAnsi="Times New Roman" w:cs="Times New Roman"/>
              </w:rPr>
            </w:pPr>
            <w:r w:rsidRPr="00151A8E">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0C7EFF" w:rsidRPr="00892818" w:rsidRDefault="00892818" w:rsidP="0038517C">
            <w:pPr>
              <w:jc w:val="both"/>
              <w:rPr>
                <w:rFonts w:ascii="Times New Roman" w:hAnsi="Times New Roman" w:cs="Times New Roman"/>
              </w:rPr>
            </w:pPr>
            <w:r w:rsidRPr="00892818">
              <w:rPr>
                <w:rFonts w:ascii="Times New Roman" w:hAnsi="Times New Roman" w:cs="Times New Roman"/>
                <w:iCs/>
              </w:rPr>
              <w:t>Netiek aizpildīts saskaņā ar Ministru kabineta 2009.gada 15.decembra instrukcijas Nr.19 “Tiesību akta projekta sākotnējās ietekmes izvērtēšanas kārtība” 5.</w:t>
            </w:r>
            <w:r w:rsidRPr="00892818">
              <w:rPr>
                <w:rFonts w:ascii="Times New Roman" w:hAnsi="Times New Roman" w:cs="Times New Roman"/>
                <w:iCs/>
                <w:vertAlign w:val="superscript"/>
              </w:rPr>
              <w:t>1</w:t>
            </w:r>
            <w:r w:rsidRPr="00892818">
              <w:rPr>
                <w:rFonts w:ascii="Times New Roman" w:hAnsi="Times New Roman" w:cs="Times New Roman"/>
                <w:iCs/>
              </w:rPr>
              <w:t>punktu.</w:t>
            </w:r>
          </w:p>
        </w:tc>
      </w:tr>
    </w:tbl>
    <w:p w:rsidR="000C7EFF" w:rsidRDefault="000C7EFF">
      <w:pPr>
        <w:shd w:val="clear" w:color="auto" w:fill="FFFFFF"/>
        <w:ind w:firstLine="300"/>
        <w:jc w:val="center"/>
      </w:pPr>
    </w:p>
    <w:p w:rsidR="0038517C" w:rsidRDefault="0038517C">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 Tiesību akta projekta izstrādes nepieciešamība</w:t>
            </w:r>
          </w:p>
        </w:tc>
      </w:tr>
      <w:tr w:rsidR="000C7EFF">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DD2547" w:rsidRDefault="00DD2547">
            <w:pPr>
              <w:ind w:firstLine="402"/>
              <w:jc w:val="both"/>
            </w:pPr>
            <w:r w:rsidRPr="00DD2547">
              <w:t xml:space="preserve">Ministru kabineta 2017.gada 10.oktobra sēdē (prot. Nr. 50, 12.§ 4.punkts) Iekšlietu ministrijai dots uzdevums izvērtēt to kompetencē esošos tiesību aktus un nepieciešamības gadījumā līdz 2018.gada 30. novembrim noteiktā kārtībā iesniegt izskatīšanai Ministru kabinetā grozījumus tiesību aktos, paredzot kārtību, kādā </w:t>
            </w:r>
            <w:r>
              <w:t xml:space="preserve">Nodrošinājuma valsts aģentūra (turpmāk – </w:t>
            </w:r>
            <w:r w:rsidRPr="00DD2547">
              <w:t>Aģentūra</w:t>
            </w:r>
            <w:r>
              <w:t>)</w:t>
            </w:r>
            <w:r w:rsidRPr="00DD2547">
              <w:t xml:space="preserve"> tiesību aktos noteiktajos gadījumos organizē kustamas mantas izsoles.</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425667" w:rsidRDefault="00E40EB8" w:rsidP="0038517C">
            <w:pPr>
              <w:ind w:firstLine="275"/>
              <w:jc w:val="both"/>
              <w:rPr>
                <w:color w:val="auto"/>
                <w:shd w:val="clear" w:color="auto" w:fill="FFFFFF"/>
              </w:rPr>
            </w:pPr>
            <w:r w:rsidRPr="00E40EB8">
              <w:rPr>
                <w:bCs/>
              </w:rPr>
              <w:t xml:space="preserve">Atbilstoši </w:t>
            </w:r>
            <w:r w:rsidR="004E20EE" w:rsidRPr="000C44CF">
              <w:rPr>
                <w:bCs/>
                <w:color w:val="auto"/>
              </w:rPr>
              <w:t>Ministru kabineta 2011.gada 27.decembra noteikumos Nr.1025 „Noteikumi par rīcību ar lietiskajiem pierādījumiem un arestēto mantu””</w:t>
            </w:r>
            <w:r w:rsidRPr="000C44CF">
              <w:rPr>
                <w:bCs/>
                <w:color w:val="auto"/>
              </w:rPr>
              <w:t xml:space="preserve"> </w:t>
            </w:r>
            <w:r w:rsidR="0033092E">
              <w:rPr>
                <w:bCs/>
                <w:color w:val="auto"/>
              </w:rPr>
              <w:t xml:space="preserve">(turpmāk – noteikumi Nr.1025) </w:t>
            </w:r>
            <w:r w:rsidRPr="000C44CF">
              <w:rPr>
                <w:bCs/>
                <w:color w:val="auto"/>
              </w:rPr>
              <w:t xml:space="preserve">22.3.apakšpunktam viens no veidiem kā </w:t>
            </w:r>
            <w:r w:rsidR="00DD2547">
              <w:rPr>
                <w:bCs/>
                <w:color w:val="auto"/>
              </w:rPr>
              <w:t>A</w:t>
            </w:r>
            <w:r w:rsidRPr="000C44CF">
              <w:rPr>
                <w:bCs/>
                <w:color w:val="auto"/>
              </w:rPr>
              <w:t>ģentūra realizē lietisko pierādījumu</w:t>
            </w:r>
            <w:r w:rsidR="00425667">
              <w:rPr>
                <w:bCs/>
                <w:color w:val="auto"/>
              </w:rPr>
              <w:t xml:space="preserve"> un arestēto mantu</w:t>
            </w:r>
            <w:r w:rsidRPr="000C44CF">
              <w:rPr>
                <w:bCs/>
                <w:color w:val="auto"/>
              </w:rPr>
              <w:t xml:space="preserve"> ir </w:t>
            </w:r>
            <w:r w:rsidR="000C44CF" w:rsidRPr="000C44CF">
              <w:rPr>
                <w:color w:val="auto"/>
                <w:shd w:val="clear" w:color="auto" w:fill="FFFFFF"/>
              </w:rPr>
              <w:t>realizēt to izsolē, kuru organizē saskaņā ar </w:t>
            </w:r>
            <w:hyperlink r:id="rId8" w:tgtFrame="_blank" w:history="1">
              <w:r w:rsidR="000C44CF" w:rsidRPr="000C44CF">
                <w:rPr>
                  <w:rStyle w:val="Hyperlink"/>
                  <w:color w:val="auto"/>
                  <w:u w:val="none"/>
                  <w:shd w:val="clear" w:color="auto" w:fill="FFFFFF"/>
                </w:rPr>
                <w:t>Civilprocesa likuma</w:t>
              </w:r>
            </w:hyperlink>
            <w:r w:rsidR="000C44CF" w:rsidRPr="000C44CF">
              <w:rPr>
                <w:color w:val="auto"/>
                <w:shd w:val="clear" w:color="auto" w:fill="FFFFFF"/>
              </w:rPr>
              <w:t xml:space="preserve"> vispārējiem noteikumiem. </w:t>
            </w:r>
          </w:p>
          <w:p w:rsidR="0038517C" w:rsidRPr="0038517C" w:rsidRDefault="0038517C" w:rsidP="0038517C">
            <w:pPr>
              <w:ind w:firstLine="275"/>
              <w:jc w:val="both"/>
            </w:pPr>
            <w:r w:rsidRPr="0038517C">
              <w:t>Ministru kabineta 2017.ga</w:t>
            </w:r>
            <w:r w:rsidR="004E20EE">
              <w:t xml:space="preserve">da 10.oktobra sēdē (prot. Nr.50 </w:t>
            </w:r>
            <w:r w:rsidRPr="0038517C">
              <w:t>12.§) izskatīts likumprojekts “Grozījumi Civilprocesa likumā” (TA-1967) (turpmāk – likumprojekts), kurā ietverti grozījumi, k</w:t>
            </w:r>
            <w:r w:rsidR="00DD2547">
              <w:t>as skar Civilprocesa likuma 71.</w:t>
            </w:r>
            <w:r w:rsidRPr="0038517C">
              <w:t>nodaļā “Piedziņas vēršana uz kustamo mantu” ietverto tiesisko regulējumu, tajā skaitā, grozījumi, kas paredz arī parādniekam piederošu kustamu mantu turpmāk pārdot elektronisko izsoļu vietnē, kas pieejama https://izsoles.ta.gov.lv. Vienlaikus likumprojektā ietverta atsauce, ka kustamās mantas izsoli organizē atbilstoši normatīvajiem aktiem, kas nosaka kārtību, kādā veic darbības elektronisko izsoļu vietnē un izsoļu dalībnieku reģistrā iekļauj, aktualizē un dzēš ziņas par personu, tādējādi arī attiecībā uz kustamās mantas izsolēm attiecinot Ministru kabineta 2015.</w:t>
            </w:r>
            <w:r w:rsidR="00DD2547">
              <w:t xml:space="preserve"> gada 16. jūnija noteikumus Nr.</w:t>
            </w:r>
            <w:r w:rsidRPr="0038517C">
              <w:t>318 “Elektro</w:t>
            </w:r>
            <w:r w:rsidR="00DD2547">
              <w:t>nisko izsoļu vietnes noteikumi” (turpmāk – noteikumi Nr.318).</w:t>
            </w:r>
          </w:p>
          <w:p w:rsidR="0038517C" w:rsidRDefault="0038517C" w:rsidP="0038517C">
            <w:pPr>
              <w:ind w:firstLine="275"/>
              <w:jc w:val="both"/>
            </w:pPr>
            <w:r w:rsidRPr="0038517C">
              <w:lastRenderedPageBreak/>
              <w:t>Saistībā ar likumprojektā paredzēto regulējumu attiecībā uz elektronisko izsoļu organizēšanu Ministru kabineta 2017.gada 10.oktobra sēdes protokola Nr.50 12.§ “Likumprojekts “Grozījumi Civilprocesa likumā</w:t>
            </w:r>
            <w:r>
              <w:t>”</w:t>
            </w:r>
            <w:r w:rsidRPr="0038517C">
              <w:t>” 4.punktā Iekšlietu ministrijai dots uzdevums izvērtēt tās kompetencē esošos tiesību aktus un nepieciešamības gadījumā</w:t>
            </w:r>
            <w:proofErr w:type="gramStart"/>
            <w:r w:rsidRPr="0038517C">
              <w:t xml:space="preserve"> līdz 2018.gada 30.novembrim noteiktā kārtībā iesniegt izskatīšanai Ministru kabinetā grozījumus tiesību aktos, paredzot kārtību, kādā Aģentūra tiesību aktos noteiktajos gadījumos organizē</w:t>
            </w:r>
            <w:proofErr w:type="gramEnd"/>
            <w:r w:rsidRPr="0038517C">
              <w:t xml:space="preserve"> kustamas mantas izsoles.</w:t>
            </w:r>
          </w:p>
          <w:p w:rsidR="00DD2547" w:rsidRPr="00DD2547" w:rsidRDefault="00DD2547" w:rsidP="00DD2547">
            <w:pPr>
              <w:widowControl w:val="0"/>
              <w:tabs>
                <w:tab w:val="left" w:pos="284"/>
              </w:tabs>
              <w:ind w:firstLine="269"/>
              <w:jc w:val="both"/>
            </w:pPr>
            <w:r w:rsidRPr="00DD2547">
              <w:t xml:space="preserve">Iekšlietu ministrija, izvērtējot noteikumus Nr.318 attiecībā uz iespēju rīkot elektroniskās izsoles, izmantojot elektronisko izsoļu vietni, konstatēja, ka noteikumi Nr.318 nav attiecināmi uz Aģentūru, jo Aģentūra, rīkojot kustamu mantu izsoles atbilstoši noteikumiem Nr.1025 </w:t>
            </w:r>
            <w:r w:rsidRPr="00DD2547">
              <w:rPr>
                <w:bCs/>
              </w:rPr>
              <w:t>neveic publiskas personas mantas pārdošanu</w:t>
            </w:r>
            <w:r w:rsidRPr="00DD2547">
              <w:t>. Ņemot vērā minēto, tika nolemts, ka elektroniskās izsoles netiks organizētas, bet tiks rīkotas mutiskas vai rakstiskas izsoles projektā noteiktajā kārtībā.</w:t>
            </w:r>
          </w:p>
          <w:p w:rsidR="00DD2547" w:rsidRDefault="00DD2547" w:rsidP="0033092E">
            <w:pPr>
              <w:jc w:val="both"/>
            </w:pPr>
            <w:r>
              <w:t xml:space="preserve">    </w:t>
            </w:r>
            <w:r w:rsidR="0033092E">
              <w:t xml:space="preserve">Iekšlietu ministrija izvērtējot likumprojektu saistībā ar noteikumos Nr.1025 paredzēto lietiskā pierādījuma </w:t>
            </w:r>
            <w:r w:rsidR="00003EDE">
              <w:t xml:space="preserve">un arestētās mantas </w:t>
            </w:r>
            <w:r w:rsidR="0033092E">
              <w:t>realizācijas kārtību secināja, ka optimālais risinājums ir grozīt noteikumus Nr.</w:t>
            </w:r>
            <w:r w:rsidR="0056029F">
              <w:t>10</w:t>
            </w:r>
            <w:r w:rsidR="0033092E">
              <w:t>25, paredzot tajos kustamās mantas izsoles kārtību, nerīkojot elektroniskas izsoles, bet informāciju pa</w:t>
            </w:r>
            <w:r w:rsidR="0033092E" w:rsidRPr="0033092E">
              <w:t xml:space="preserve">r izsoli publicējot </w:t>
            </w:r>
            <w:r w:rsidR="0056029F">
              <w:t>A</w:t>
            </w:r>
            <w:r w:rsidR="0033092E" w:rsidRPr="0033092E">
              <w:t>ģentūras mājaslapā internetā.</w:t>
            </w:r>
            <w:r w:rsidR="0033092E">
              <w:t xml:space="preserve"> </w:t>
            </w:r>
          </w:p>
          <w:p w:rsidR="0033092E" w:rsidRDefault="00003EDE" w:rsidP="0033092E">
            <w:pPr>
              <w:jc w:val="both"/>
              <w:rPr>
                <w:bCs/>
                <w:color w:val="auto"/>
              </w:rPr>
            </w:pPr>
            <w:r>
              <w:t xml:space="preserve">     </w:t>
            </w:r>
            <w:r w:rsidR="0033092E">
              <w:t xml:space="preserve">Ņemot vērā izvērtējumu tika izstrādāts </w:t>
            </w:r>
            <w:r w:rsidR="0033092E" w:rsidRPr="000C44CF">
              <w:rPr>
                <w:bCs/>
                <w:color w:val="auto"/>
              </w:rPr>
              <w:t xml:space="preserve">Ministru kabineta </w:t>
            </w:r>
            <w:r w:rsidR="0033092E">
              <w:rPr>
                <w:bCs/>
                <w:color w:val="auto"/>
              </w:rPr>
              <w:t xml:space="preserve">noteikumu projekts “Grozījumi </w:t>
            </w:r>
            <w:r w:rsidR="0033092E" w:rsidRPr="000C44CF">
              <w:rPr>
                <w:bCs/>
                <w:color w:val="auto"/>
              </w:rPr>
              <w:t>Ministru kabineta 2011.gada 27.decembra noteikumos Nr.1025 „Noteikumi par rīcību ar lietiskajiem pierādījumiem un arestēto mantu””</w:t>
            </w:r>
            <w:r w:rsidR="0033092E">
              <w:rPr>
                <w:bCs/>
                <w:color w:val="auto"/>
              </w:rPr>
              <w:t xml:space="preserve"> (turpmāk – projekts) ar mērķi noteikt lietiskā pierādījuma</w:t>
            </w:r>
            <w:r w:rsidR="0056029F">
              <w:rPr>
                <w:bCs/>
                <w:color w:val="auto"/>
              </w:rPr>
              <w:t xml:space="preserve"> un arestētās mantas</w:t>
            </w:r>
            <w:r w:rsidR="00B24FC2">
              <w:rPr>
                <w:bCs/>
                <w:color w:val="auto"/>
              </w:rPr>
              <w:t xml:space="preserve"> </w:t>
            </w:r>
            <w:r w:rsidR="0033092E">
              <w:rPr>
                <w:bCs/>
                <w:color w:val="auto"/>
              </w:rPr>
              <w:t xml:space="preserve">realizēšanas kārtību, rīkojot </w:t>
            </w:r>
            <w:r w:rsidR="00C901D3">
              <w:rPr>
                <w:bCs/>
                <w:color w:val="auto"/>
              </w:rPr>
              <w:t xml:space="preserve">kustamās mantas </w:t>
            </w:r>
            <w:r w:rsidR="0033092E">
              <w:rPr>
                <w:bCs/>
                <w:color w:val="auto"/>
              </w:rPr>
              <w:t>izsoles.</w:t>
            </w:r>
          </w:p>
          <w:p w:rsidR="00B24FC2" w:rsidRDefault="00792E2C" w:rsidP="00792E2C">
            <w:pPr>
              <w:widowControl w:val="0"/>
              <w:tabs>
                <w:tab w:val="left" w:pos="284"/>
              </w:tabs>
              <w:ind w:firstLine="269"/>
              <w:jc w:val="both"/>
            </w:pPr>
            <w:r w:rsidRPr="00792E2C">
              <w:t>Saskaņā ar Noteikumu Nr.10</w:t>
            </w:r>
            <w:r w:rsidRPr="00792E2C">
              <w:t>25</w:t>
            </w:r>
            <w:r w:rsidRPr="00792E2C">
              <w:t xml:space="preserve"> </w:t>
            </w:r>
            <w:r w:rsidRPr="00792E2C">
              <w:t>22</w:t>
            </w:r>
            <w:r w:rsidRPr="00792E2C">
              <w:t>.</w:t>
            </w:r>
            <w:r w:rsidRPr="00792E2C">
              <w:t>3</w:t>
            </w:r>
            <w:r w:rsidRPr="00792E2C">
              <w:t xml:space="preserve">.apakšpunktu Aģentūra </w:t>
            </w:r>
            <w:r w:rsidRPr="00792E2C">
              <w:t>lietisko pierādījumu</w:t>
            </w:r>
            <w:r w:rsidRPr="00792E2C">
              <w:t xml:space="preserve"> realizē izsolē, kuru organizē saskaņā ar Civilprocesa likuma vispārējiem noteikumiem. Izsol</w:t>
            </w:r>
            <w:r w:rsidRPr="00792E2C">
              <w:t>es rīkošana ir</w:t>
            </w:r>
            <w:r w:rsidRPr="00792E2C">
              <w:t xml:space="preserve"> obligāt</w:t>
            </w:r>
            <w:r w:rsidRPr="00792E2C">
              <w:t>a, ja realizējamā</w:t>
            </w:r>
            <w:r w:rsidRPr="00792E2C">
              <w:t xml:space="preserve"> </w:t>
            </w:r>
            <w:r w:rsidRPr="00792E2C">
              <w:t>lietiskā pierādījuma</w:t>
            </w:r>
            <w:r w:rsidRPr="00792E2C">
              <w:t xml:space="preserve"> kopējā vērtība pārsniedz 10 000 </w:t>
            </w:r>
            <w:proofErr w:type="spellStart"/>
            <w:r w:rsidRPr="00792E2C">
              <w:rPr>
                <w:i/>
              </w:rPr>
              <w:t>euro</w:t>
            </w:r>
            <w:proofErr w:type="spellEnd"/>
            <w:r w:rsidRPr="00792E2C">
              <w:t xml:space="preserve">. Šis nosacījums neattiecas uz </w:t>
            </w:r>
            <w:r w:rsidRPr="00792E2C">
              <w:t>lietisko pierādījumu</w:t>
            </w:r>
            <w:r w:rsidRPr="00792E2C">
              <w:t xml:space="preserve">, kas ātri bojājas. </w:t>
            </w:r>
            <w:r w:rsidR="00B24FC2">
              <w:t xml:space="preserve">Atbilstoši </w:t>
            </w:r>
            <w:r w:rsidR="00B24FC2" w:rsidRPr="00792E2C">
              <w:t>Noteikumu Nr.1025</w:t>
            </w:r>
            <w:r w:rsidR="00B24FC2">
              <w:t xml:space="preserve"> 74.punktam arī uz arestēto mantu piemērojams noteikumu Nr.1025 22.3.apakšpunkts.</w:t>
            </w:r>
          </w:p>
          <w:p w:rsidR="0056096D" w:rsidRDefault="00792E2C" w:rsidP="00425667">
            <w:pPr>
              <w:widowControl w:val="0"/>
              <w:tabs>
                <w:tab w:val="left" w:pos="284"/>
              </w:tabs>
              <w:ind w:firstLine="269"/>
              <w:jc w:val="both"/>
            </w:pPr>
            <w:r w:rsidRPr="00792E2C">
              <w:t>Aģentūra saskaņā ar Noteikumu Nr.10</w:t>
            </w:r>
            <w:r w:rsidRPr="00792E2C">
              <w:t>25</w:t>
            </w:r>
            <w:r w:rsidRPr="00792E2C">
              <w:t xml:space="preserve"> </w:t>
            </w:r>
            <w:r w:rsidRPr="00792E2C">
              <w:t>22</w:t>
            </w:r>
            <w:r w:rsidRPr="00792E2C">
              <w:t>.</w:t>
            </w:r>
            <w:r w:rsidRPr="00792E2C">
              <w:t>3</w:t>
            </w:r>
            <w:r w:rsidRPr="00792E2C">
              <w:t xml:space="preserve">.apakšpunktu 2016.gadā </w:t>
            </w:r>
            <w:r w:rsidRPr="00792E2C">
              <w:t>ne</w:t>
            </w:r>
            <w:r w:rsidRPr="00792E2C">
              <w:t xml:space="preserve">rīkoja </w:t>
            </w:r>
            <w:r w:rsidRPr="00792E2C">
              <w:t>nevienu izsoli</w:t>
            </w:r>
            <w:r w:rsidRPr="00792E2C">
              <w:t xml:space="preserve">; 2017.gadā </w:t>
            </w:r>
            <w:r w:rsidRPr="00792E2C">
              <w:t>rīkoja</w:t>
            </w:r>
            <w:r w:rsidRPr="00792E2C">
              <w:t xml:space="preserve"> </w:t>
            </w:r>
            <w:r w:rsidRPr="00792E2C">
              <w:t>vienu</w:t>
            </w:r>
            <w:r w:rsidRPr="00792E2C">
              <w:t xml:space="preserve"> izsol</w:t>
            </w:r>
            <w:r w:rsidRPr="00792E2C">
              <w:t>i</w:t>
            </w:r>
            <w:r w:rsidRPr="00792E2C">
              <w:t xml:space="preserve">; </w:t>
            </w:r>
            <w:r w:rsidRPr="00792E2C">
              <w:t xml:space="preserve">bet </w:t>
            </w:r>
            <w:r w:rsidRPr="00792E2C">
              <w:t xml:space="preserve">no 2018.gada 1.janvāra līdz 2018.gada 22.novembrim </w:t>
            </w:r>
            <w:r w:rsidRPr="00792E2C">
              <w:t>rīkotas</w:t>
            </w:r>
            <w:r w:rsidRPr="00792E2C">
              <w:t xml:space="preserve"> 1</w:t>
            </w:r>
            <w:r w:rsidRPr="00792E2C">
              <w:t>0</w:t>
            </w:r>
            <w:r w:rsidRPr="00792E2C">
              <w:t xml:space="preserve"> izsole</w:t>
            </w:r>
            <w:r w:rsidRPr="00792E2C">
              <w:t>s</w:t>
            </w:r>
            <w:r w:rsidRPr="00792E2C">
              <w:t>.</w:t>
            </w:r>
            <w:r w:rsidR="00B24FC2">
              <w:t xml:space="preserve"> </w:t>
            </w:r>
            <w:r w:rsidR="00B24FC2" w:rsidRPr="00B24FC2">
              <w:t>Projekts paredz saglabāt nosacījumu, ka izsol</w:t>
            </w:r>
            <w:r w:rsidR="00B24FC2" w:rsidRPr="00B24FC2">
              <w:t>i obligāti rīko, ja realizējamā</w:t>
            </w:r>
            <w:r w:rsidR="00B24FC2" w:rsidRPr="00B24FC2">
              <w:t xml:space="preserve"> </w:t>
            </w:r>
            <w:r w:rsidR="00B24FC2" w:rsidRPr="00B24FC2">
              <w:t>lietiskā pierādījuma</w:t>
            </w:r>
            <w:r w:rsidR="00B24FC2" w:rsidRPr="00B24FC2">
              <w:t xml:space="preserve"> </w:t>
            </w:r>
            <w:r w:rsidR="00425667">
              <w:t xml:space="preserve">vai </w:t>
            </w:r>
            <w:r w:rsidR="00425667">
              <w:lastRenderedPageBreak/>
              <w:t xml:space="preserve">arestētās mantas </w:t>
            </w:r>
            <w:r w:rsidR="00B24FC2" w:rsidRPr="00B24FC2">
              <w:t xml:space="preserve">kopējā vērtība pārsniedz 10 000 </w:t>
            </w:r>
            <w:proofErr w:type="spellStart"/>
            <w:r w:rsidR="00B24FC2" w:rsidRPr="00B24FC2">
              <w:rPr>
                <w:i/>
              </w:rPr>
              <w:t>euro</w:t>
            </w:r>
            <w:proofErr w:type="spellEnd"/>
            <w:r w:rsidR="00B24FC2" w:rsidRPr="00B24FC2">
              <w:t xml:space="preserve">, kā arī šo nosacījumu neattiecināt uz </w:t>
            </w:r>
            <w:r w:rsidR="00425667" w:rsidRPr="00B24FC2">
              <w:t>lietisk</w:t>
            </w:r>
            <w:r w:rsidR="00425667">
              <w:t>o</w:t>
            </w:r>
            <w:r w:rsidR="00425667" w:rsidRPr="00B24FC2">
              <w:t xml:space="preserve"> pierādījum</w:t>
            </w:r>
            <w:r w:rsidR="00425667">
              <w:t>u</w:t>
            </w:r>
            <w:r w:rsidR="00425667" w:rsidRPr="00B24FC2">
              <w:t xml:space="preserve"> </w:t>
            </w:r>
            <w:r w:rsidR="00425667">
              <w:t>vai arestēt</w:t>
            </w:r>
            <w:r w:rsidR="00425667">
              <w:t>o</w:t>
            </w:r>
            <w:r w:rsidR="00425667">
              <w:t xml:space="preserve"> mant</w:t>
            </w:r>
            <w:r w:rsidR="00425667">
              <w:t>u</w:t>
            </w:r>
            <w:r w:rsidR="00B24FC2" w:rsidRPr="00B24FC2">
              <w:t xml:space="preserve">, kas ātri bojājas. Projektā minētajos </w:t>
            </w:r>
            <w:r w:rsidR="00B24FC2" w:rsidRPr="00B24FC2">
              <w:t>lietiskā pierādījuma</w:t>
            </w:r>
            <w:r w:rsidR="00B24FC2" w:rsidRPr="00B24FC2">
              <w:t xml:space="preserve"> </w:t>
            </w:r>
            <w:r w:rsidR="00B24FC2">
              <w:t xml:space="preserve">vai arestētās mantas </w:t>
            </w:r>
            <w:r w:rsidR="00B24FC2" w:rsidRPr="00B24FC2">
              <w:t>realizācijas komisijas izstrādātajos izsoles noteikumos tiks aprakstīta detalizētāka izsoles organizēšanas norise</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Projekta izstrādē iesaistītās institūcijas un publiskas personas kapitālsabiedrības</w:t>
            </w:r>
          </w:p>
          <w:p w:rsidR="0056029F" w:rsidRDefault="0056029F"/>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sidP="00470B95">
            <w:pPr>
              <w:spacing w:after="120"/>
              <w:jc w:val="both"/>
            </w:pPr>
            <w:r>
              <w:t xml:space="preserve">Iekšlietu ministrija, </w:t>
            </w:r>
            <w:r w:rsidR="00470B95">
              <w:t>Nodrošinājuma valsts aģentūra</w:t>
            </w:r>
          </w:p>
        </w:tc>
      </w:tr>
      <w:tr w:rsidR="000C7EFF">
        <w:tc>
          <w:tcPr>
            <w:tcW w:w="520" w:type="dxa"/>
            <w:tcBorders>
              <w:top w:val="single" w:sz="6" w:space="0" w:color="414142"/>
              <w:left w:val="single" w:sz="6" w:space="0" w:color="414142"/>
              <w:bottom w:val="single" w:sz="6" w:space="0" w:color="414142"/>
              <w:right w:val="single" w:sz="6" w:space="0" w:color="414142"/>
            </w:tcBorders>
          </w:tcPr>
          <w:p w:rsidR="0056029F" w:rsidRDefault="0056029F">
            <w:pPr>
              <w:jc w:val="center"/>
            </w:pPr>
          </w:p>
          <w:p w:rsidR="000C7EFF" w:rsidRDefault="00E203EE">
            <w:pPr>
              <w:jc w:val="center"/>
            </w:pPr>
            <w:r>
              <w:t>4.</w:t>
            </w:r>
          </w:p>
        </w:tc>
        <w:tc>
          <w:tcPr>
            <w:tcW w:w="2592" w:type="dxa"/>
            <w:tcBorders>
              <w:top w:val="single" w:sz="6" w:space="0" w:color="414142"/>
              <w:left w:val="single" w:sz="6" w:space="0" w:color="414142"/>
              <w:bottom w:val="single" w:sz="6" w:space="0" w:color="414142"/>
              <w:right w:val="single" w:sz="6" w:space="0" w:color="414142"/>
            </w:tcBorders>
          </w:tcPr>
          <w:p w:rsidR="0056029F" w:rsidRDefault="0056029F"/>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56029F" w:rsidRDefault="0056029F" w:rsidP="0038517C"/>
          <w:p w:rsidR="000C7EFF" w:rsidRDefault="00E203EE" w:rsidP="0038517C">
            <w:r>
              <w:t>Nav</w:t>
            </w:r>
          </w:p>
          <w:p w:rsidR="0056029F" w:rsidRDefault="0056029F" w:rsidP="0038517C"/>
        </w:tc>
      </w:tr>
    </w:tbl>
    <w:p w:rsidR="000C7EFF" w:rsidRDefault="000C7EFF">
      <w:pPr>
        <w:shd w:val="clear" w:color="auto" w:fill="FFFFFF"/>
        <w:ind w:firstLine="300"/>
      </w:pPr>
    </w:p>
    <w:p w:rsidR="0038517C" w:rsidRDefault="0038517C">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II. Tiesību akta projekta ietekme uz sabiedrību, tautsaimniecības attīstību un administratīvo slogu</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Default="00470B95" w:rsidP="00470B95">
            <w:pPr>
              <w:jc w:val="both"/>
            </w:pPr>
            <w:r>
              <w:t>Nodrošinājuma valsts aģentūras nodarbinātajiem, kas iekļauti lietiskā pierādījuma realizācijas komisijā un privātpersonas, kas vēlas piedalīties lietiskā pierādījuma izsolē.</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sidP="00470B95">
            <w:pPr>
              <w:spacing w:after="120"/>
              <w:jc w:val="both"/>
            </w:pPr>
            <w:r>
              <w:t xml:space="preserve">Tiesiskais regulējums palielinās administratīvo slogu </w:t>
            </w:r>
            <w:r w:rsidR="00470B95">
              <w:t>Nodrošinājuma valsts aģentūras nodarbinātajiem, kas iekļauti lietiskā pierādījuma realizācijas komisijā</w:t>
            </w:r>
            <w:r>
              <w:t xml:space="preserve">. </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Projekts šo jomu neskar.</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4.</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Projekts šo jomu neskar.</w:t>
            </w:r>
          </w:p>
        </w:tc>
      </w:tr>
      <w:tr w:rsidR="000C7EFF">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5.</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Nav</w:t>
            </w:r>
            <w:r w:rsidR="0038517C">
              <w:t>.</w:t>
            </w:r>
          </w:p>
        </w:tc>
      </w:tr>
    </w:tbl>
    <w:p w:rsidR="000C7EFF" w:rsidRDefault="00E203EE">
      <w:pPr>
        <w:shd w:val="clear" w:color="auto" w:fill="FFFFFF"/>
        <w:ind w:firstLine="300"/>
      </w:pPr>
      <w:r>
        <w:rPr>
          <w:rFonts w:ascii="Arial" w:eastAsia="Arial" w:hAnsi="Arial" w:cs="Arial"/>
        </w:rPr>
        <w:t> </w:t>
      </w:r>
    </w:p>
    <w:p w:rsidR="000C7EFF" w:rsidRDefault="000C7EFF"/>
    <w:tbl>
      <w:tblPr>
        <w:tblStyle w:val="a2"/>
        <w:tblW w:w="853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31"/>
      </w:tblGrid>
      <w:tr w:rsidR="000C7EFF">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after="120"/>
              <w:jc w:val="center"/>
              <w:rPr>
                <w:b/>
              </w:rPr>
            </w:pPr>
            <w:r>
              <w:rPr>
                <w:b/>
              </w:rPr>
              <w:t>III. Tiesību akta projekta ietekme uz valsts budžetu un pašvaldību budžetiem</w:t>
            </w:r>
          </w:p>
        </w:tc>
      </w:tr>
      <w:tr w:rsidR="000C7EFF">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after="120"/>
              <w:jc w:val="center"/>
              <w:rPr>
                <w:b/>
              </w:rPr>
            </w:pPr>
            <w:r>
              <w:t>Projekts šo jomu neskar.</w:t>
            </w:r>
          </w:p>
        </w:tc>
      </w:tr>
    </w:tbl>
    <w:p w:rsidR="000C7EFF" w:rsidRDefault="000C7EFF">
      <w:pPr>
        <w:shd w:val="clear" w:color="auto" w:fill="FFFFFF"/>
        <w:ind w:firstLine="300"/>
        <w:rPr>
          <w:sz w:val="22"/>
          <w:szCs w:val="22"/>
        </w:rPr>
      </w:pPr>
    </w:p>
    <w:p w:rsidR="00425667" w:rsidRDefault="00425667">
      <w:pPr>
        <w:shd w:val="clear" w:color="auto" w:fill="FFFFFF"/>
        <w:ind w:firstLine="300"/>
        <w:rPr>
          <w:sz w:val="22"/>
          <w:szCs w:val="22"/>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22"/>
      </w:tblGrid>
      <w:tr w:rsidR="000C7EFF">
        <w:trPr>
          <w:trHeight w:val="180"/>
          <w:jc w:val="center"/>
        </w:trPr>
        <w:tc>
          <w:tcPr>
            <w:tcW w:w="8522" w:type="dxa"/>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sz w:val="22"/>
                <w:szCs w:val="22"/>
              </w:rPr>
              <w:t> </w:t>
            </w:r>
            <w:r>
              <w:rPr>
                <w:b/>
              </w:rPr>
              <w:t>IV. Tiesību akta projekta ietekme uz spēkā esošo tiesību normu sistēmu</w:t>
            </w:r>
          </w:p>
        </w:tc>
      </w:tr>
      <w:tr w:rsidR="0038517C">
        <w:trPr>
          <w:trHeight w:val="180"/>
          <w:jc w:val="center"/>
        </w:trPr>
        <w:tc>
          <w:tcPr>
            <w:tcW w:w="8522" w:type="dxa"/>
            <w:tcBorders>
              <w:top w:val="single" w:sz="6" w:space="0" w:color="414142"/>
              <w:left w:val="single" w:sz="6" w:space="0" w:color="414142"/>
              <w:bottom w:val="single" w:sz="6" w:space="0" w:color="414142"/>
              <w:right w:val="single" w:sz="6" w:space="0" w:color="414142"/>
            </w:tcBorders>
            <w:vAlign w:val="center"/>
          </w:tcPr>
          <w:p w:rsidR="0038517C" w:rsidRDefault="0038517C">
            <w:pPr>
              <w:jc w:val="center"/>
              <w:rPr>
                <w:b/>
              </w:rPr>
            </w:pPr>
            <w:r>
              <w:t>Projekts šo jomu neskar.</w:t>
            </w:r>
          </w:p>
        </w:tc>
      </w:tr>
    </w:tbl>
    <w:p w:rsidR="0038517C" w:rsidRDefault="0038517C">
      <w:pPr>
        <w:shd w:val="clear" w:color="auto" w:fill="FFFFFF"/>
        <w:ind w:firstLine="300"/>
        <w:rPr>
          <w:rFonts w:ascii="Arial" w:eastAsia="Arial" w:hAnsi="Arial" w:cs="Arial"/>
        </w:rPr>
      </w:pPr>
    </w:p>
    <w:p w:rsidR="000C7EFF" w:rsidRDefault="00E203EE">
      <w:pPr>
        <w:shd w:val="clear" w:color="auto" w:fill="FFFFFF"/>
        <w:ind w:firstLine="300"/>
      </w:pPr>
      <w:r>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0C7EFF">
        <w:tc>
          <w:tcPr>
            <w:tcW w:w="8572" w:type="dxa"/>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 Tiesību akta projekta atbilstība Latvijas Republikas starptautiskajām saistībām</w:t>
            </w:r>
          </w:p>
        </w:tc>
      </w:tr>
      <w:tr w:rsidR="006350AF">
        <w:tc>
          <w:tcPr>
            <w:tcW w:w="8572" w:type="dxa"/>
            <w:tcBorders>
              <w:top w:val="single" w:sz="6" w:space="0" w:color="414142"/>
              <w:left w:val="single" w:sz="6" w:space="0" w:color="414142"/>
              <w:bottom w:val="single" w:sz="6" w:space="0" w:color="414142"/>
              <w:right w:val="single" w:sz="6" w:space="0" w:color="414142"/>
            </w:tcBorders>
            <w:vAlign w:val="center"/>
          </w:tcPr>
          <w:p w:rsidR="006350AF" w:rsidRDefault="006350AF">
            <w:pPr>
              <w:jc w:val="center"/>
              <w:rPr>
                <w:b/>
              </w:rPr>
            </w:pPr>
            <w:r>
              <w:t>Projekts šo jomu neskar.</w:t>
            </w:r>
          </w:p>
        </w:tc>
      </w:tr>
    </w:tbl>
    <w:p w:rsidR="000C7EFF" w:rsidRDefault="000C7EFF">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1"/>
        <w:gridCol w:w="2511"/>
        <w:gridCol w:w="5490"/>
      </w:tblGrid>
      <w:tr w:rsidR="00CD2328" w:rsidRPr="00537804" w:rsidTr="00CF302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D2328" w:rsidRPr="00537804" w:rsidRDefault="00CD2328" w:rsidP="00CF3024">
            <w:pPr>
              <w:jc w:val="center"/>
              <w:rPr>
                <w:b/>
                <w:bCs/>
              </w:rPr>
            </w:pPr>
            <w:r w:rsidRPr="00537804">
              <w:rPr>
                <w:b/>
                <w:bCs/>
              </w:rPr>
              <w:lastRenderedPageBreak/>
              <w:t>VI. Sabiedrības līdzdalība un komunikācijas aktivitātes</w:t>
            </w:r>
          </w:p>
        </w:tc>
      </w:tr>
      <w:tr w:rsidR="00CD2328" w:rsidRPr="00537804" w:rsidTr="00CF3024">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933A23" w:rsidRDefault="00933A23" w:rsidP="00933A23">
            <w:pPr>
              <w:spacing w:after="120"/>
              <w:jc w:val="both"/>
            </w:pPr>
            <w:r w:rsidRPr="00933A23">
              <w:t>Sabiedrības līdzdalība un komunikācijas aktivitātes saistībā ar projektu nav notikušas, jo projekts neskar plašas sabiedrības intereses, bet attiecas uz normatīvo regulējumu Aģentūras nodarbinātajiem</w:t>
            </w:r>
            <w:r>
              <w:t>,</w:t>
            </w:r>
            <w:r w:rsidRPr="00933A23">
              <w:t xml:space="preserve"> organizējot izsoles.</w:t>
            </w:r>
          </w:p>
        </w:tc>
      </w:tr>
      <w:tr w:rsidR="00CD2328" w:rsidRPr="00537804" w:rsidTr="00CF3024">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D829E0" w:rsidRDefault="00933A23" w:rsidP="00E8704C">
            <w:pPr>
              <w:spacing w:after="120"/>
              <w:jc w:val="both"/>
            </w:pPr>
            <w:r>
              <w:t>Projekts šo jomu neskar</w:t>
            </w:r>
          </w:p>
        </w:tc>
      </w:tr>
      <w:tr w:rsidR="00CD2328" w:rsidRPr="00537804" w:rsidTr="00CF3024">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CD2328" w:rsidRPr="00537804" w:rsidRDefault="00CD2328" w:rsidP="00CF3024">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CD2328" w:rsidRPr="00D829E0" w:rsidRDefault="00933A23" w:rsidP="00CF3024">
            <w:pPr>
              <w:spacing w:after="120"/>
            </w:pPr>
            <w:r>
              <w:t>Projekts šo jomu neskar</w:t>
            </w:r>
          </w:p>
        </w:tc>
      </w:tr>
      <w:tr w:rsidR="00CD2328" w:rsidRPr="00537804" w:rsidTr="00CF3024">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56029F" w:rsidRDefault="0056029F" w:rsidP="00CF3024"/>
          <w:p w:rsidR="00CD2328" w:rsidRPr="00537804" w:rsidRDefault="00CD2328" w:rsidP="00CF3024">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56029F" w:rsidRDefault="0056029F" w:rsidP="00CF3024"/>
          <w:p w:rsidR="00CD2328" w:rsidRPr="00537804" w:rsidRDefault="00CD2328" w:rsidP="00CF3024">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56029F" w:rsidRDefault="0056029F" w:rsidP="00CF3024">
            <w:pPr>
              <w:spacing w:after="120"/>
            </w:pPr>
          </w:p>
          <w:p w:rsidR="00CD2328" w:rsidRPr="00D829E0" w:rsidRDefault="00CD2328" w:rsidP="00CF3024">
            <w:pPr>
              <w:spacing w:after="120"/>
            </w:pPr>
            <w:r>
              <w:t>Nav</w:t>
            </w:r>
            <w:r w:rsidR="00E8704C">
              <w:t>.</w:t>
            </w:r>
          </w:p>
        </w:tc>
      </w:tr>
    </w:tbl>
    <w:p w:rsidR="00CD2328" w:rsidRDefault="00CD2328">
      <w:pPr>
        <w:shd w:val="clear" w:color="auto" w:fill="FFFFFF"/>
        <w:ind w:firstLine="300"/>
      </w:pPr>
      <w:r w:rsidRPr="00537804">
        <w:rPr>
          <w:rFonts w:ascii="Arial" w:hAnsi="Arial" w:cs="Arial"/>
        </w:rPr>
        <w:t> </w:t>
      </w:r>
    </w:p>
    <w:p w:rsidR="0038517C" w:rsidRDefault="0038517C">
      <w:pPr>
        <w:shd w:val="clear" w:color="auto" w:fill="FFFFFF"/>
        <w:ind w:firstLine="300"/>
      </w:pP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VII. Tiesību akta projekta izpildes nodrošināšana un tās ietekme uz institūcijām</w:t>
            </w:r>
          </w:p>
        </w:tc>
      </w:tr>
      <w:tr w:rsidR="000C7EFF">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Default="006350AF" w:rsidP="006350AF">
            <w:pPr>
              <w:spacing w:after="120"/>
              <w:jc w:val="both"/>
            </w:pPr>
            <w:r>
              <w:t>Iekšlietu ministrija, Nodrošinājuma valsts aģentūra</w:t>
            </w:r>
            <w:r w:rsidR="0038517C">
              <w:t>.</w:t>
            </w:r>
          </w:p>
        </w:tc>
      </w:tr>
      <w:tr w:rsidR="000C7EFF">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izpildes ietekme uz pārvaldes funkcijām un institucionālo struktūru.</w:t>
            </w:r>
          </w:p>
          <w:p w:rsidR="000C7EFF" w:rsidRDefault="00E203EE">
            <w: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Projekta izpildes rezultātā nav paredzēta esošu institūciju likvidācija vai reorganizācija. Iestāžu institucionālā struktūra netiek ietekmēta, papildus cilvēkresursi nav nepieciešami.</w:t>
            </w:r>
          </w:p>
        </w:tc>
      </w:tr>
      <w:tr w:rsidR="000C7EFF">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pPr>
            <w:r>
              <w:t>Nav</w:t>
            </w:r>
            <w:r w:rsidR="0038517C">
              <w:t>.</w:t>
            </w:r>
          </w:p>
        </w:tc>
      </w:tr>
    </w:tbl>
    <w:p w:rsidR="000C7EFF" w:rsidRDefault="000C7EFF"/>
    <w:p w:rsidR="008D7D01" w:rsidRDefault="008D7D01">
      <w:pPr>
        <w:tabs>
          <w:tab w:val="left" w:pos="6237"/>
        </w:tabs>
        <w:spacing w:after="120"/>
      </w:pPr>
    </w:p>
    <w:p w:rsidR="000C7EFF" w:rsidRDefault="00E203EE">
      <w:pPr>
        <w:tabs>
          <w:tab w:val="left" w:pos="6237"/>
        </w:tabs>
        <w:spacing w:after="120"/>
      </w:pPr>
      <w:r>
        <w:t>Iekšlietu ministrs</w:t>
      </w:r>
      <w:r>
        <w:tab/>
        <w:t>Rihards Kozlovskis</w:t>
      </w:r>
    </w:p>
    <w:p w:rsidR="000C7EFF" w:rsidRDefault="000C7EFF">
      <w:pPr>
        <w:spacing w:after="120"/>
        <w:ind w:firstLine="720"/>
      </w:pPr>
    </w:p>
    <w:p w:rsidR="000C7EFF" w:rsidRDefault="00E203EE">
      <w:pPr>
        <w:spacing w:after="120"/>
      </w:pPr>
      <w:r>
        <w:t>Vīza:</w:t>
      </w:r>
    </w:p>
    <w:p w:rsidR="000C7EFF" w:rsidRDefault="006350AF">
      <w:pPr>
        <w:tabs>
          <w:tab w:val="left" w:pos="6237"/>
        </w:tabs>
        <w:spacing w:after="120"/>
      </w:pPr>
      <w:r>
        <w:t xml:space="preserve">Iekšlietu ministrijas </w:t>
      </w:r>
      <w:r w:rsidR="00E203EE">
        <w:t>valsts sekretārs</w:t>
      </w:r>
      <w:r w:rsidR="00E203EE">
        <w:tab/>
      </w:r>
      <w:proofErr w:type="spellStart"/>
      <w:r w:rsidR="00E203EE">
        <w:t>Dimitrijs</w:t>
      </w:r>
      <w:proofErr w:type="spellEnd"/>
      <w:r w:rsidR="00E203EE">
        <w:t xml:space="preserve"> </w:t>
      </w:r>
      <w:proofErr w:type="spellStart"/>
      <w:r w:rsidR="00E203EE">
        <w:t>Trofimovs</w:t>
      </w:r>
      <w:proofErr w:type="spellEnd"/>
    </w:p>
    <w:p w:rsidR="00933A23" w:rsidRDefault="00933A23" w:rsidP="00470B95">
      <w:pPr>
        <w:rPr>
          <w:sz w:val="20"/>
          <w:szCs w:val="20"/>
        </w:rPr>
      </w:pPr>
    </w:p>
    <w:p w:rsidR="0056029F" w:rsidRDefault="0056029F" w:rsidP="00470B95">
      <w:pPr>
        <w:rPr>
          <w:sz w:val="20"/>
          <w:szCs w:val="20"/>
        </w:rPr>
      </w:pPr>
    </w:p>
    <w:p w:rsidR="0056029F" w:rsidRDefault="0056029F" w:rsidP="00470B95">
      <w:pPr>
        <w:rPr>
          <w:sz w:val="20"/>
          <w:szCs w:val="20"/>
        </w:rPr>
      </w:pPr>
    </w:p>
    <w:p w:rsidR="00003EDE" w:rsidRDefault="00003EDE" w:rsidP="00470B95">
      <w:pPr>
        <w:rPr>
          <w:sz w:val="20"/>
          <w:szCs w:val="20"/>
        </w:rPr>
      </w:pPr>
    </w:p>
    <w:p w:rsidR="00003EDE" w:rsidRDefault="00003EDE" w:rsidP="00470B95">
      <w:pPr>
        <w:rPr>
          <w:sz w:val="20"/>
          <w:szCs w:val="20"/>
        </w:rPr>
      </w:pPr>
    </w:p>
    <w:p w:rsidR="00003EDE" w:rsidRDefault="00003EDE" w:rsidP="00470B95">
      <w:pPr>
        <w:rPr>
          <w:sz w:val="20"/>
          <w:szCs w:val="20"/>
        </w:rPr>
      </w:pPr>
    </w:p>
    <w:p w:rsidR="00003EDE" w:rsidRDefault="00003EDE" w:rsidP="00470B95">
      <w:pPr>
        <w:rPr>
          <w:sz w:val="20"/>
          <w:szCs w:val="20"/>
        </w:rPr>
      </w:pPr>
    </w:p>
    <w:p w:rsidR="00003EDE" w:rsidRDefault="00003EDE" w:rsidP="00470B95">
      <w:pPr>
        <w:rPr>
          <w:sz w:val="20"/>
          <w:szCs w:val="20"/>
        </w:rPr>
      </w:pPr>
    </w:p>
    <w:p w:rsidR="00003EDE" w:rsidRDefault="00003EDE" w:rsidP="00470B95">
      <w:pPr>
        <w:rPr>
          <w:sz w:val="20"/>
          <w:szCs w:val="20"/>
        </w:rPr>
      </w:pPr>
      <w:bookmarkStart w:id="1" w:name="_GoBack"/>
      <w:bookmarkEnd w:id="1"/>
    </w:p>
    <w:p w:rsidR="00470B95" w:rsidRDefault="006350AF" w:rsidP="00470B95">
      <w:pPr>
        <w:rPr>
          <w:sz w:val="20"/>
          <w:szCs w:val="20"/>
        </w:rPr>
      </w:pPr>
      <w:r>
        <w:rPr>
          <w:sz w:val="20"/>
          <w:szCs w:val="20"/>
        </w:rPr>
        <w:t>Raitis Nora</w:t>
      </w:r>
      <w:r w:rsidR="00E203EE">
        <w:rPr>
          <w:sz w:val="20"/>
          <w:szCs w:val="20"/>
        </w:rPr>
        <w:t xml:space="preserve"> 67</w:t>
      </w:r>
      <w:r>
        <w:rPr>
          <w:sz w:val="20"/>
          <w:szCs w:val="20"/>
        </w:rPr>
        <w:t>829075</w:t>
      </w:r>
    </w:p>
    <w:p w:rsidR="000C7EFF" w:rsidRDefault="00387C25" w:rsidP="00470B95">
      <w:pPr>
        <w:rPr>
          <w:color w:val="auto"/>
          <w:sz w:val="20"/>
          <w:szCs w:val="20"/>
        </w:rPr>
      </w:pPr>
      <w:hyperlink r:id="rId9" w:history="1">
        <w:r w:rsidR="00470B95" w:rsidRPr="0038517C">
          <w:rPr>
            <w:rStyle w:val="Hyperlink"/>
            <w:color w:val="auto"/>
            <w:sz w:val="20"/>
            <w:szCs w:val="20"/>
            <w:u w:val="none"/>
          </w:rPr>
          <w:t>raitis.nora@agentura.iem.gov.lv</w:t>
        </w:r>
      </w:hyperlink>
    </w:p>
    <w:p w:rsidR="0056029F" w:rsidRDefault="0056029F" w:rsidP="00933A23">
      <w:pPr>
        <w:jc w:val="both"/>
        <w:rPr>
          <w:sz w:val="20"/>
          <w:szCs w:val="20"/>
        </w:rPr>
      </w:pPr>
    </w:p>
    <w:p w:rsidR="00933A23" w:rsidRDefault="00933A23" w:rsidP="00933A23">
      <w:pPr>
        <w:jc w:val="both"/>
        <w:rPr>
          <w:sz w:val="20"/>
          <w:szCs w:val="20"/>
        </w:rPr>
      </w:pPr>
      <w:r>
        <w:rPr>
          <w:sz w:val="20"/>
          <w:szCs w:val="20"/>
        </w:rPr>
        <w:t>Alīna Bogdanova-Uzkliņģe 67829070</w:t>
      </w:r>
    </w:p>
    <w:p w:rsidR="00933A23" w:rsidRPr="00933A23" w:rsidRDefault="00387C25" w:rsidP="00933A23">
      <w:pPr>
        <w:jc w:val="both"/>
        <w:rPr>
          <w:sz w:val="20"/>
          <w:szCs w:val="20"/>
        </w:rPr>
      </w:pPr>
      <w:hyperlink r:id="rId10" w:history="1">
        <w:r w:rsidR="00933A23" w:rsidRPr="00933A23">
          <w:rPr>
            <w:rStyle w:val="Hyperlink"/>
            <w:color w:val="auto"/>
            <w:sz w:val="20"/>
            <w:szCs w:val="20"/>
            <w:u w:val="none"/>
          </w:rPr>
          <w:t>alina.bogdanova@agentura.iem.gov.lv</w:t>
        </w:r>
      </w:hyperlink>
    </w:p>
    <w:sectPr w:rsidR="00933A23" w:rsidRPr="00933A2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25" w:rsidRDefault="00387C25">
      <w:r>
        <w:separator/>
      </w:r>
    </w:p>
  </w:endnote>
  <w:endnote w:type="continuationSeparator" w:id="0">
    <w:p w:rsidR="00387C25" w:rsidRDefault="0038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84" w:rsidRDefault="00275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F5" w:rsidRDefault="00890BF5" w:rsidP="00890BF5">
    <w:pPr>
      <w:tabs>
        <w:tab w:val="center" w:pos="4153"/>
        <w:tab w:val="right" w:pos="8306"/>
      </w:tabs>
      <w:jc w:val="both"/>
      <w:rPr>
        <w:sz w:val="20"/>
        <w:szCs w:val="20"/>
      </w:rPr>
    </w:pPr>
    <w:r>
      <w:rPr>
        <w:sz w:val="20"/>
        <w:szCs w:val="20"/>
      </w:rPr>
      <w:t>IEMAnot_</w:t>
    </w:r>
    <w:r w:rsidR="00625A5B">
      <w:rPr>
        <w:sz w:val="20"/>
        <w:szCs w:val="20"/>
      </w:rPr>
      <w:t>2311</w:t>
    </w:r>
    <w:r>
      <w:rPr>
        <w:sz w:val="20"/>
        <w:szCs w:val="20"/>
      </w:rPr>
      <w:t>18_groz1025</w:t>
    </w:r>
  </w:p>
  <w:p w:rsidR="000C7EFF" w:rsidRDefault="000C7EFF">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FF" w:rsidRDefault="00E203EE">
    <w:pPr>
      <w:tabs>
        <w:tab w:val="center" w:pos="4153"/>
        <w:tab w:val="right" w:pos="8306"/>
      </w:tabs>
      <w:jc w:val="both"/>
      <w:rPr>
        <w:sz w:val="20"/>
        <w:szCs w:val="20"/>
      </w:rPr>
    </w:pPr>
    <w:r>
      <w:rPr>
        <w:sz w:val="20"/>
        <w:szCs w:val="20"/>
      </w:rPr>
      <w:t>IEMAnot_</w:t>
    </w:r>
    <w:r w:rsidR="00275284">
      <w:rPr>
        <w:sz w:val="20"/>
        <w:szCs w:val="20"/>
      </w:rPr>
      <w:t>2311</w:t>
    </w:r>
    <w:r>
      <w:rPr>
        <w:sz w:val="20"/>
        <w:szCs w:val="20"/>
      </w:rPr>
      <w:t>18_</w:t>
    </w:r>
    <w:r w:rsidR="00890BF5">
      <w:rPr>
        <w:sz w:val="20"/>
        <w:szCs w:val="20"/>
      </w:rPr>
      <w:t>groz1025</w:t>
    </w:r>
  </w:p>
  <w:p w:rsidR="000C7EFF" w:rsidRDefault="000C7EFF">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25" w:rsidRDefault="00387C25">
      <w:r>
        <w:separator/>
      </w:r>
    </w:p>
  </w:footnote>
  <w:footnote w:type="continuationSeparator" w:id="0">
    <w:p w:rsidR="00387C25" w:rsidRDefault="0038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84" w:rsidRDefault="00275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FF" w:rsidRDefault="00E203EE">
    <w:pPr>
      <w:tabs>
        <w:tab w:val="center" w:pos="4153"/>
        <w:tab w:val="right" w:pos="8306"/>
      </w:tabs>
      <w:jc w:val="center"/>
    </w:pPr>
    <w:r>
      <w:fldChar w:fldCharType="begin"/>
    </w:r>
    <w:r>
      <w:instrText>PAGE</w:instrText>
    </w:r>
    <w:r>
      <w:fldChar w:fldCharType="separate"/>
    </w:r>
    <w:r w:rsidR="00003EDE">
      <w:rPr>
        <w:noProof/>
      </w:rPr>
      <w:t>2</w:t>
    </w:r>
    <w:r>
      <w:fldChar w:fldCharType="end"/>
    </w:r>
  </w:p>
  <w:p w:rsidR="000C7EFF" w:rsidRDefault="000C7EFF">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84" w:rsidRDefault="00275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EFF"/>
    <w:rsid w:val="00003EDE"/>
    <w:rsid w:val="000072EC"/>
    <w:rsid w:val="00044AB5"/>
    <w:rsid w:val="000B47C6"/>
    <w:rsid w:val="000C44CF"/>
    <w:rsid w:val="000C7EFF"/>
    <w:rsid w:val="00151A8E"/>
    <w:rsid w:val="0016488A"/>
    <w:rsid w:val="001F097B"/>
    <w:rsid w:val="00235D80"/>
    <w:rsid w:val="00275284"/>
    <w:rsid w:val="002A424E"/>
    <w:rsid w:val="0033092E"/>
    <w:rsid w:val="00355159"/>
    <w:rsid w:val="00383271"/>
    <w:rsid w:val="0038517C"/>
    <w:rsid w:val="00387C25"/>
    <w:rsid w:val="00425667"/>
    <w:rsid w:val="00451ABB"/>
    <w:rsid w:val="00451FDA"/>
    <w:rsid w:val="00470B95"/>
    <w:rsid w:val="004E20EE"/>
    <w:rsid w:val="00521FBB"/>
    <w:rsid w:val="0056029F"/>
    <w:rsid w:val="0056096D"/>
    <w:rsid w:val="00625A5B"/>
    <w:rsid w:val="006350AF"/>
    <w:rsid w:val="006C26C0"/>
    <w:rsid w:val="007452AA"/>
    <w:rsid w:val="00775AC9"/>
    <w:rsid w:val="00792E2C"/>
    <w:rsid w:val="00890BF5"/>
    <w:rsid w:val="00892818"/>
    <w:rsid w:val="008D7D01"/>
    <w:rsid w:val="0092379D"/>
    <w:rsid w:val="00925EAA"/>
    <w:rsid w:val="00933A23"/>
    <w:rsid w:val="00A3414F"/>
    <w:rsid w:val="00B24FC2"/>
    <w:rsid w:val="00B85D90"/>
    <w:rsid w:val="00C66995"/>
    <w:rsid w:val="00C901D3"/>
    <w:rsid w:val="00CA3F25"/>
    <w:rsid w:val="00CC4A36"/>
    <w:rsid w:val="00CD133B"/>
    <w:rsid w:val="00CD2328"/>
    <w:rsid w:val="00CE07AB"/>
    <w:rsid w:val="00DD2547"/>
    <w:rsid w:val="00E203EE"/>
    <w:rsid w:val="00E40EB8"/>
    <w:rsid w:val="00E8704C"/>
    <w:rsid w:val="00F50E5A"/>
    <w:rsid w:val="00FC2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470B95"/>
    <w:rPr>
      <w:color w:val="0000FF" w:themeColor="hyperlink"/>
      <w:u w:val="single"/>
    </w:rPr>
  </w:style>
  <w:style w:type="paragraph" w:styleId="Header">
    <w:name w:val="header"/>
    <w:basedOn w:val="Normal"/>
    <w:link w:val="HeaderChar"/>
    <w:uiPriority w:val="99"/>
    <w:unhideWhenUsed/>
    <w:rsid w:val="00470B95"/>
    <w:pPr>
      <w:tabs>
        <w:tab w:val="center" w:pos="4153"/>
        <w:tab w:val="right" w:pos="8306"/>
      </w:tabs>
    </w:pPr>
  </w:style>
  <w:style w:type="character" w:customStyle="1" w:styleId="HeaderChar">
    <w:name w:val="Header Char"/>
    <w:basedOn w:val="DefaultParagraphFont"/>
    <w:link w:val="Header"/>
    <w:uiPriority w:val="99"/>
    <w:rsid w:val="00470B95"/>
  </w:style>
  <w:style w:type="paragraph" w:styleId="Footer">
    <w:name w:val="footer"/>
    <w:basedOn w:val="Normal"/>
    <w:link w:val="FooterChar"/>
    <w:uiPriority w:val="99"/>
    <w:unhideWhenUsed/>
    <w:rsid w:val="00470B95"/>
    <w:pPr>
      <w:tabs>
        <w:tab w:val="center" w:pos="4153"/>
        <w:tab w:val="right" w:pos="8306"/>
      </w:tabs>
    </w:pPr>
  </w:style>
  <w:style w:type="character" w:customStyle="1" w:styleId="FooterChar">
    <w:name w:val="Footer Char"/>
    <w:basedOn w:val="DefaultParagraphFont"/>
    <w:link w:val="Footer"/>
    <w:uiPriority w:val="99"/>
    <w:rsid w:val="00470B95"/>
  </w:style>
  <w:style w:type="character" w:styleId="FollowedHyperlink">
    <w:name w:val="FollowedHyperlink"/>
    <w:basedOn w:val="DefaultParagraphFont"/>
    <w:uiPriority w:val="99"/>
    <w:semiHidden/>
    <w:unhideWhenUsed/>
    <w:rsid w:val="00044A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470B95"/>
    <w:rPr>
      <w:color w:val="0000FF" w:themeColor="hyperlink"/>
      <w:u w:val="single"/>
    </w:rPr>
  </w:style>
  <w:style w:type="paragraph" w:styleId="Header">
    <w:name w:val="header"/>
    <w:basedOn w:val="Normal"/>
    <w:link w:val="HeaderChar"/>
    <w:uiPriority w:val="99"/>
    <w:unhideWhenUsed/>
    <w:rsid w:val="00470B95"/>
    <w:pPr>
      <w:tabs>
        <w:tab w:val="center" w:pos="4153"/>
        <w:tab w:val="right" w:pos="8306"/>
      </w:tabs>
    </w:pPr>
  </w:style>
  <w:style w:type="character" w:customStyle="1" w:styleId="HeaderChar">
    <w:name w:val="Header Char"/>
    <w:basedOn w:val="DefaultParagraphFont"/>
    <w:link w:val="Header"/>
    <w:uiPriority w:val="99"/>
    <w:rsid w:val="00470B95"/>
  </w:style>
  <w:style w:type="paragraph" w:styleId="Footer">
    <w:name w:val="footer"/>
    <w:basedOn w:val="Normal"/>
    <w:link w:val="FooterChar"/>
    <w:uiPriority w:val="99"/>
    <w:unhideWhenUsed/>
    <w:rsid w:val="00470B95"/>
    <w:pPr>
      <w:tabs>
        <w:tab w:val="center" w:pos="4153"/>
        <w:tab w:val="right" w:pos="8306"/>
      </w:tabs>
    </w:pPr>
  </w:style>
  <w:style w:type="character" w:customStyle="1" w:styleId="FooterChar">
    <w:name w:val="Footer Char"/>
    <w:basedOn w:val="DefaultParagraphFont"/>
    <w:link w:val="Footer"/>
    <w:uiPriority w:val="99"/>
    <w:rsid w:val="00470B95"/>
  </w:style>
  <w:style w:type="character" w:styleId="FollowedHyperlink">
    <w:name w:val="FollowedHyperlink"/>
    <w:basedOn w:val="DefaultParagraphFont"/>
    <w:uiPriority w:val="99"/>
    <w:semiHidden/>
    <w:unhideWhenUsed/>
    <w:rsid w:val="00044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ina.bogdanova@agentura.iem.gov.lv" TargetMode="External"/><Relationship Id="rId4" Type="http://schemas.openxmlformats.org/officeDocument/2006/relationships/settings" Target="settings.xml"/><Relationship Id="rId9" Type="http://schemas.openxmlformats.org/officeDocument/2006/relationships/hyperlink" Target="mailto:raitis.nora@agentur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5094</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2011.gada 27.decembra noteikumos Nr.1025 „Noteikumi par rīcību ar lietiskajiem pierādījumiem un arestēto mantu””</vt:lpstr>
    </vt:vector>
  </TitlesOfParts>
  <Manager>Iekšlietu ministrija</Manager>
  <Company>Nodrošinājuma valsts aģentūra</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2011.gada 27.decembra noteikumos Nr.1025 „Noteikumi par rīcību ar lietiskajiem pierādījumiem un arestēto mantu””</dc:title>
  <dc:subject>sākotnējās ietekmes novērtējuma ziņojums (anotācija)</dc:subject>
  <dc:creator>Raitis Nora</dc:creator>
  <dc:description>tel.67829075; e-pasts: raitis.nora@agentura.iem.gov.lv </dc:description>
  <cp:lastModifiedBy>Raitis Nora</cp:lastModifiedBy>
  <cp:revision>27</cp:revision>
  <dcterms:created xsi:type="dcterms:W3CDTF">2018-03-01T15:54:00Z</dcterms:created>
  <dcterms:modified xsi:type="dcterms:W3CDTF">2018-11-23T11:34:00Z</dcterms:modified>
</cp:coreProperties>
</file>