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557" w:rsidRDefault="00A4701F" w:rsidP="00A4701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Projekts</w:t>
      </w:r>
    </w:p>
    <w:p w:rsidR="00834091" w:rsidRDefault="00834091" w:rsidP="00A4701F">
      <w:pPr>
        <w:spacing w:after="0" w:line="240" w:lineRule="auto"/>
        <w:jc w:val="right"/>
        <w:rPr>
          <w:rFonts w:ascii="Times New Roman" w:hAnsi="Times New Roman" w:cs="Times New Roman"/>
          <w:sz w:val="28"/>
          <w:szCs w:val="28"/>
        </w:rPr>
      </w:pPr>
    </w:p>
    <w:p w:rsidR="00834091" w:rsidRDefault="00834091" w:rsidP="008340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LATVIJAS REPUBLIKAS MINISTRU KABINETS</w:t>
      </w:r>
    </w:p>
    <w:p w:rsidR="00A4701F" w:rsidRDefault="00A4701F" w:rsidP="00A4701F">
      <w:pPr>
        <w:spacing w:after="0" w:line="240" w:lineRule="auto"/>
        <w:rPr>
          <w:rFonts w:ascii="Times New Roman" w:hAnsi="Times New Roman" w:cs="Times New Roman"/>
          <w:sz w:val="28"/>
          <w:szCs w:val="28"/>
        </w:rPr>
      </w:pPr>
    </w:p>
    <w:p w:rsidR="00063523" w:rsidRDefault="00063523" w:rsidP="00A4701F">
      <w:pPr>
        <w:spacing w:after="0" w:line="240" w:lineRule="auto"/>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1"/>
      </w:tblGrid>
      <w:tr w:rsidR="00A4701F" w:rsidTr="00A4701F">
        <w:tc>
          <w:tcPr>
            <w:tcW w:w="4810" w:type="dxa"/>
          </w:tcPr>
          <w:p w:rsidR="00063523" w:rsidRDefault="00A4701F" w:rsidP="00727017">
            <w:pPr>
              <w:spacing w:after="120"/>
              <w:rPr>
                <w:rFonts w:ascii="Times New Roman" w:hAnsi="Times New Roman" w:cs="Times New Roman"/>
                <w:sz w:val="28"/>
                <w:szCs w:val="28"/>
              </w:rPr>
            </w:pPr>
            <w:r>
              <w:rPr>
                <w:rFonts w:ascii="Times New Roman" w:hAnsi="Times New Roman" w:cs="Times New Roman"/>
                <w:sz w:val="28"/>
                <w:szCs w:val="28"/>
              </w:rPr>
              <w:t>201</w:t>
            </w:r>
            <w:r w:rsidR="00707F81">
              <w:rPr>
                <w:rFonts w:ascii="Times New Roman" w:hAnsi="Times New Roman" w:cs="Times New Roman"/>
                <w:sz w:val="28"/>
                <w:szCs w:val="28"/>
              </w:rPr>
              <w:t>8</w:t>
            </w:r>
            <w:r>
              <w:rPr>
                <w:rFonts w:ascii="Times New Roman" w:hAnsi="Times New Roman" w:cs="Times New Roman"/>
                <w:sz w:val="28"/>
                <w:szCs w:val="28"/>
              </w:rPr>
              <w:t>.</w:t>
            </w:r>
            <w:r w:rsidR="00012061">
              <w:rPr>
                <w:rFonts w:ascii="Times New Roman" w:hAnsi="Times New Roman" w:cs="Times New Roman"/>
                <w:sz w:val="28"/>
                <w:szCs w:val="28"/>
              </w:rPr>
              <w:t> </w:t>
            </w:r>
            <w:r>
              <w:rPr>
                <w:rFonts w:ascii="Times New Roman" w:hAnsi="Times New Roman" w:cs="Times New Roman"/>
                <w:sz w:val="28"/>
                <w:szCs w:val="28"/>
              </w:rPr>
              <w:t>gada _</w:t>
            </w:r>
            <w:r w:rsidR="00012125">
              <w:rPr>
                <w:rFonts w:ascii="Times New Roman" w:hAnsi="Times New Roman" w:cs="Times New Roman"/>
                <w:sz w:val="28"/>
                <w:szCs w:val="28"/>
              </w:rPr>
              <w:t>_</w:t>
            </w:r>
            <w:r>
              <w:rPr>
                <w:rFonts w:ascii="Times New Roman" w:hAnsi="Times New Roman" w:cs="Times New Roman"/>
                <w:sz w:val="28"/>
                <w:szCs w:val="28"/>
              </w:rPr>
              <w:t>__.____________</w:t>
            </w:r>
          </w:p>
        </w:tc>
        <w:tc>
          <w:tcPr>
            <w:tcW w:w="4811" w:type="dxa"/>
          </w:tcPr>
          <w:p w:rsidR="00A4701F" w:rsidRDefault="00012125" w:rsidP="00727017">
            <w:pPr>
              <w:spacing w:after="120"/>
              <w:jc w:val="right"/>
              <w:rPr>
                <w:rFonts w:ascii="Times New Roman" w:hAnsi="Times New Roman" w:cs="Times New Roman"/>
                <w:sz w:val="28"/>
                <w:szCs w:val="28"/>
              </w:rPr>
            </w:pPr>
            <w:r>
              <w:rPr>
                <w:rFonts w:ascii="Times New Roman" w:hAnsi="Times New Roman" w:cs="Times New Roman"/>
                <w:sz w:val="28"/>
                <w:szCs w:val="28"/>
              </w:rPr>
              <w:t>Noteikumi Nr.______</w:t>
            </w:r>
          </w:p>
        </w:tc>
      </w:tr>
      <w:tr w:rsidR="00A4701F" w:rsidTr="00A4701F">
        <w:tc>
          <w:tcPr>
            <w:tcW w:w="4810" w:type="dxa"/>
          </w:tcPr>
          <w:p w:rsidR="00A4701F" w:rsidRDefault="00A4701F" w:rsidP="00727017">
            <w:pPr>
              <w:spacing w:after="120"/>
              <w:rPr>
                <w:rFonts w:ascii="Times New Roman" w:hAnsi="Times New Roman" w:cs="Times New Roman"/>
                <w:sz w:val="28"/>
                <w:szCs w:val="28"/>
              </w:rPr>
            </w:pPr>
            <w:r>
              <w:rPr>
                <w:rFonts w:ascii="Times New Roman" w:hAnsi="Times New Roman" w:cs="Times New Roman"/>
                <w:sz w:val="28"/>
                <w:szCs w:val="28"/>
              </w:rPr>
              <w:t>Rīgā</w:t>
            </w:r>
          </w:p>
        </w:tc>
        <w:tc>
          <w:tcPr>
            <w:tcW w:w="4811" w:type="dxa"/>
          </w:tcPr>
          <w:p w:rsidR="00A4701F" w:rsidRDefault="00012125" w:rsidP="00727017">
            <w:pPr>
              <w:spacing w:after="120"/>
              <w:jc w:val="right"/>
              <w:rPr>
                <w:rFonts w:ascii="Times New Roman" w:hAnsi="Times New Roman" w:cs="Times New Roman"/>
                <w:sz w:val="28"/>
                <w:szCs w:val="28"/>
              </w:rPr>
            </w:pPr>
            <w:r>
              <w:rPr>
                <w:rFonts w:ascii="Times New Roman" w:hAnsi="Times New Roman" w:cs="Times New Roman"/>
                <w:sz w:val="28"/>
                <w:szCs w:val="28"/>
              </w:rPr>
              <w:t xml:space="preserve">(prot. Nr.___    </w:t>
            </w:r>
            <w:r w:rsidR="00A4701F">
              <w:rPr>
                <w:rFonts w:ascii="Times New Roman" w:hAnsi="Times New Roman" w:cs="Times New Roman"/>
                <w:sz w:val="28"/>
                <w:szCs w:val="28"/>
              </w:rPr>
              <w:t>___.</w:t>
            </w:r>
            <w:r w:rsidR="00A4701F" w:rsidRPr="00A4701F">
              <w:rPr>
                <w:rFonts w:ascii="Times New Roman" w:hAnsi="Times New Roman" w:cs="Times New Roman"/>
                <w:sz w:val="28"/>
                <w:szCs w:val="28"/>
              </w:rPr>
              <w:t>§</w:t>
            </w:r>
            <w:r w:rsidR="00A4701F">
              <w:rPr>
                <w:rFonts w:ascii="Times New Roman" w:hAnsi="Times New Roman" w:cs="Times New Roman"/>
                <w:sz w:val="28"/>
                <w:szCs w:val="28"/>
              </w:rPr>
              <w:t>)</w:t>
            </w:r>
          </w:p>
        </w:tc>
      </w:tr>
    </w:tbl>
    <w:p w:rsidR="00A4701F" w:rsidRDefault="00A4701F" w:rsidP="00A4701F">
      <w:pPr>
        <w:spacing w:after="0" w:line="240" w:lineRule="auto"/>
        <w:rPr>
          <w:rFonts w:ascii="Times New Roman" w:hAnsi="Times New Roman" w:cs="Times New Roman"/>
          <w:sz w:val="28"/>
          <w:szCs w:val="28"/>
        </w:rPr>
      </w:pPr>
    </w:p>
    <w:p w:rsidR="00063523" w:rsidRDefault="00063523" w:rsidP="00A4701F">
      <w:pPr>
        <w:spacing w:after="0" w:line="240" w:lineRule="auto"/>
        <w:rPr>
          <w:rFonts w:ascii="Times New Roman" w:hAnsi="Times New Roman" w:cs="Times New Roman"/>
          <w:sz w:val="28"/>
          <w:szCs w:val="28"/>
        </w:rPr>
      </w:pPr>
    </w:p>
    <w:p w:rsidR="00A4701F" w:rsidRDefault="00A4701F" w:rsidP="00A4701F">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Grozījum</w:t>
      </w:r>
      <w:r w:rsidR="0089447C">
        <w:rPr>
          <w:rFonts w:ascii="Times New Roman" w:hAnsi="Times New Roman" w:cs="Times New Roman"/>
          <w:b/>
          <w:sz w:val="28"/>
          <w:szCs w:val="28"/>
        </w:rPr>
        <w:t>i</w:t>
      </w:r>
      <w:r>
        <w:rPr>
          <w:rFonts w:ascii="Times New Roman" w:hAnsi="Times New Roman" w:cs="Times New Roman"/>
          <w:b/>
          <w:sz w:val="28"/>
          <w:szCs w:val="28"/>
        </w:rPr>
        <w:t xml:space="preserve"> Ministru kabineta 201</w:t>
      </w:r>
      <w:r w:rsidR="00CA240D">
        <w:rPr>
          <w:rFonts w:ascii="Times New Roman" w:hAnsi="Times New Roman" w:cs="Times New Roman"/>
          <w:b/>
          <w:sz w:val="28"/>
          <w:szCs w:val="28"/>
        </w:rPr>
        <w:t>1</w:t>
      </w:r>
      <w:r>
        <w:rPr>
          <w:rFonts w:ascii="Times New Roman" w:hAnsi="Times New Roman" w:cs="Times New Roman"/>
          <w:b/>
          <w:sz w:val="28"/>
          <w:szCs w:val="28"/>
        </w:rPr>
        <w:t xml:space="preserve">.gada </w:t>
      </w:r>
      <w:r w:rsidR="00CA240D">
        <w:rPr>
          <w:rFonts w:ascii="Times New Roman" w:hAnsi="Times New Roman" w:cs="Times New Roman"/>
          <w:b/>
          <w:sz w:val="28"/>
          <w:szCs w:val="28"/>
        </w:rPr>
        <w:t>2</w:t>
      </w:r>
      <w:r>
        <w:rPr>
          <w:rFonts w:ascii="Times New Roman" w:hAnsi="Times New Roman" w:cs="Times New Roman"/>
          <w:b/>
          <w:sz w:val="28"/>
          <w:szCs w:val="28"/>
        </w:rPr>
        <w:t>7.decembra noteikumos Nr.10</w:t>
      </w:r>
      <w:r w:rsidR="00CA240D">
        <w:rPr>
          <w:rFonts w:ascii="Times New Roman" w:hAnsi="Times New Roman" w:cs="Times New Roman"/>
          <w:b/>
          <w:sz w:val="28"/>
          <w:szCs w:val="28"/>
        </w:rPr>
        <w:t>25</w:t>
      </w:r>
    </w:p>
    <w:p w:rsidR="00A4701F" w:rsidRDefault="00707F81" w:rsidP="00A4701F">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w:t>
      </w:r>
      <w:r w:rsidR="00A4701F">
        <w:rPr>
          <w:rFonts w:ascii="Times New Roman" w:hAnsi="Times New Roman" w:cs="Times New Roman"/>
          <w:b/>
          <w:sz w:val="28"/>
          <w:szCs w:val="28"/>
        </w:rPr>
        <w:t>Noteikumi par</w:t>
      </w:r>
      <w:r w:rsidR="00274009">
        <w:rPr>
          <w:rFonts w:ascii="Times New Roman" w:hAnsi="Times New Roman" w:cs="Times New Roman"/>
          <w:b/>
          <w:sz w:val="28"/>
          <w:szCs w:val="28"/>
        </w:rPr>
        <w:t xml:space="preserve"> rīcību ar</w:t>
      </w:r>
      <w:r w:rsidR="00A4701F">
        <w:rPr>
          <w:rFonts w:ascii="Times New Roman" w:hAnsi="Times New Roman" w:cs="Times New Roman"/>
          <w:b/>
          <w:sz w:val="28"/>
          <w:szCs w:val="28"/>
        </w:rPr>
        <w:t xml:space="preserve"> </w:t>
      </w:r>
      <w:r w:rsidR="00CA240D">
        <w:rPr>
          <w:rFonts w:ascii="Times New Roman" w:hAnsi="Times New Roman" w:cs="Times New Roman"/>
          <w:b/>
          <w:sz w:val="28"/>
          <w:szCs w:val="28"/>
        </w:rPr>
        <w:t>lietiskajiem pierādījumiem un arestēto mantu</w:t>
      </w:r>
      <w:r w:rsidR="00A4701F">
        <w:rPr>
          <w:rFonts w:ascii="Times New Roman" w:hAnsi="Times New Roman" w:cs="Times New Roman"/>
          <w:b/>
          <w:sz w:val="28"/>
          <w:szCs w:val="28"/>
        </w:rPr>
        <w:t>”</w:t>
      </w:r>
    </w:p>
    <w:p w:rsidR="00A4701F" w:rsidRDefault="00A4701F" w:rsidP="00A4701F">
      <w:pPr>
        <w:spacing w:after="0" w:line="240" w:lineRule="auto"/>
        <w:contextualSpacing/>
        <w:jc w:val="center"/>
        <w:rPr>
          <w:rFonts w:ascii="Times New Roman" w:hAnsi="Times New Roman" w:cs="Times New Roman"/>
          <w:b/>
          <w:sz w:val="28"/>
          <w:szCs w:val="28"/>
        </w:rPr>
      </w:pPr>
    </w:p>
    <w:p w:rsidR="00063523" w:rsidRDefault="00063523" w:rsidP="00A4701F">
      <w:pPr>
        <w:spacing w:after="0" w:line="240" w:lineRule="auto"/>
        <w:contextualSpacing/>
        <w:jc w:val="center"/>
        <w:rPr>
          <w:rFonts w:ascii="Times New Roman" w:hAnsi="Times New Roman" w:cs="Times New Roman"/>
          <w:b/>
          <w:sz w:val="28"/>
          <w:szCs w:val="28"/>
        </w:rPr>
      </w:pPr>
    </w:p>
    <w:p w:rsidR="00CA240D" w:rsidRPr="00C51BCF" w:rsidRDefault="00CA240D" w:rsidP="00CA240D">
      <w:pPr>
        <w:jc w:val="right"/>
        <w:rPr>
          <w:rFonts w:ascii="Times New Roman" w:hAnsi="Times New Roman" w:cs="Times New Roman"/>
          <w:sz w:val="28"/>
          <w:szCs w:val="28"/>
        </w:rPr>
      </w:pPr>
      <w:r w:rsidRPr="00C51BCF">
        <w:rPr>
          <w:rFonts w:ascii="Times New Roman" w:hAnsi="Times New Roman" w:cs="Times New Roman"/>
          <w:i/>
          <w:iCs/>
          <w:sz w:val="28"/>
          <w:szCs w:val="28"/>
          <w:shd w:val="clear" w:color="auto" w:fill="FFFFFF"/>
        </w:rPr>
        <w:t xml:space="preserve">Izdoti saskaņā </w:t>
      </w:r>
      <w:r w:rsidRPr="00CA240D">
        <w:rPr>
          <w:rFonts w:ascii="Times New Roman" w:hAnsi="Times New Roman" w:cs="Times New Roman"/>
          <w:i/>
          <w:iCs/>
          <w:sz w:val="28"/>
          <w:szCs w:val="28"/>
          <w:shd w:val="clear" w:color="auto" w:fill="FFFFFF"/>
        </w:rPr>
        <w:t>ar </w:t>
      </w:r>
      <w:hyperlink r:id="rId9" w:tgtFrame="_blank" w:history="1">
        <w:r w:rsidRPr="00CA240D">
          <w:rPr>
            <w:rStyle w:val="Hyperlink"/>
            <w:rFonts w:ascii="Times New Roman" w:hAnsi="Times New Roman" w:cs="Times New Roman"/>
            <w:i/>
            <w:iCs/>
            <w:color w:val="auto"/>
            <w:sz w:val="28"/>
            <w:szCs w:val="28"/>
            <w:u w:val="none"/>
            <w:shd w:val="clear" w:color="auto" w:fill="FFFFFF"/>
          </w:rPr>
          <w:t>Kriminālprocesa likuma</w:t>
        </w:r>
      </w:hyperlink>
      <w:r w:rsidRPr="00CA240D">
        <w:rPr>
          <w:rFonts w:ascii="Times New Roman" w:hAnsi="Times New Roman" w:cs="Times New Roman"/>
          <w:i/>
          <w:iCs/>
          <w:sz w:val="28"/>
          <w:szCs w:val="28"/>
          <w:shd w:val="clear" w:color="auto" w:fill="FFFFFF"/>
        </w:rPr>
        <w:t> </w:t>
      </w:r>
      <w:hyperlink r:id="rId10" w:anchor="p235" w:tgtFrame="_blank" w:history="1">
        <w:r w:rsidRPr="00CA240D">
          <w:rPr>
            <w:rStyle w:val="Hyperlink"/>
            <w:rFonts w:ascii="Times New Roman" w:hAnsi="Times New Roman" w:cs="Times New Roman"/>
            <w:i/>
            <w:iCs/>
            <w:color w:val="auto"/>
            <w:sz w:val="28"/>
            <w:szCs w:val="28"/>
            <w:u w:val="none"/>
            <w:shd w:val="clear" w:color="auto" w:fill="FFFFFF"/>
          </w:rPr>
          <w:t>235.panta</w:t>
        </w:r>
      </w:hyperlink>
      <w:r>
        <w:rPr>
          <w:rFonts w:ascii="Times New Roman" w:hAnsi="Times New Roman" w:cs="Times New Roman"/>
          <w:i/>
          <w:iCs/>
          <w:sz w:val="28"/>
          <w:szCs w:val="28"/>
          <w:shd w:val="clear" w:color="auto" w:fill="FFFFFF"/>
        </w:rPr>
        <w:t> septīto daļu,</w:t>
      </w:r>
      <w:r w:rsidRPr="00C51BCF">
        <w:rPr>
          <w:rFonts w:ascii="Times New Roman" w:hAnsi="Times New Roman" w:cs="Times New Roman"/>
          <w:i/>
          <w:iCs/>
          <w:sz w:val="28"/>
          <w:szCs w:val="28"/>
          <w:shd w:val="clear" w:color="auto" w:fill="FFFFFF"/>
        </w:rPr>
        <w:t> </w:t>
      </w:r>
      <w:r w:rsidRPr="00C51BCF">
        <w:rPr>
          <w:rFonts w:ascii="Times New Roman" w:hAnsi="Times New Roman" w:cs="Times New Roman"/>
          <w:i/>
          <w:iCs/>
          <w:sz w:val="28"/>
          <w:szCs w:val="28"/>
        </w:rPr>
        <w:br/>
      </w:r>
      <w:hyperlink r:id="rId11" w:anchor="p239" w:tgtFrame="_blank" w:history="1">
        <w:r w:rsidRPr="00CA240D">
          <w:rPr>
            <w:rStyle w:val="Hyperlink"/>
            <w:rFonts w:ascii="Times New Roman" w:hAnsi="Times New Roman" w:cs="Times New Roman"/>
            <w:i/>
            <w:iCs/>
            <w:color w:val="auto"/>
            <w:sz w:val="28"/>
            <w:szCs w:val="28"/>
            <w:u w:val="none"/>
            <w:shd w:val="clear" w:color="auto" w:fill="FFFFFF"/>
          </w:rPr>
          <w:t>239.panta</w:t>
        </w:r>
      </w:hyperlink>
      <w:r w:rsidRPr="00CA240D">
        <w:rPr>
          <w:rFonts w:ascii="Times New Roman" w:hAnsi="Times New Roman" w:cs="Times New Roman"/>
          <w:i/>
          <w:iCs/>
          <w:sz w:val="28"/>
          <w:szCs w:val="28"/>
          <w:shd w:val="clear" w:color="auto" w:fill="FFFFFF"/>
        </w:rPr>
        <w:t> sesto daļu, </w:t>
      </w:r>
      <w:hyperlink r:id="rId12" w:anchor="p240" w:tgtFrame="_blank" w:history="1">
        <w:r w:rsidRPr="00CA240D">
          <w:rPr>
            <w:rStyle w:val="Hyperlink"/>
            <w:rFonts w:ascii="Times New Roman" w:hAnsi="Times New Roman" w:cs="Times New Roman"/>
            <w:i/>
            <w:iCs/>
            <w:color w:val="auto"/>
            <w:sz w:val="28"/>
            <w:szCs w:val="28"/>
            <w:u w:val="none"/>
            <w:shd w:val="clear" w:color="auto" w:fill="FFFFFF"/>
          </w:rPr>
          <w:t>240.panta</w:t>
        </w:r>
      </w:hyperlink>
      <w:r w:rsidRPr="00CA240D">
        <w:rPr>
          <w:rFonts w:ascii="Times New Roman" w:hAnsi="Times New Roman" w:cs="Times New Roman"/>
          <w:i/>
          <w:iCs/>
          <w:sz w:val="28"/>
          <w:szCs w:val="28"/>
          <w:shd w:val="clear" w:color="auto" w:fill="FFFFFF"/>
        </w:rPr>
        <w:t> sesto daļu, </w:t>
      </w:r>
      <w:hyperlink r:id="rId13" w:anchor="p365" w:tgtFrame="_blank" w:history="1">
        <w:r w:rsidRPr="00CA240D">
          <w:rPr>
            <w:rStyle w:val="Hyperlink"/>
            <w:rFonts w:ascii="Times New Roman" w:hAnsi="Times New Roman" w:cs="Times New Roman"/>
            <w:i/>
            <w:iCs/>
            <w:color w:val="auto"/>
            <w:sz w:val="28"/>
            <w:szCs w:val="28"/>
            <w:u w:val="none"/>
            <w:shd w:val="clear" w:color="auto" w:fill="FFFFFF"/>
          </w:rPr>
          <w:t>365.panta</w:t>
        </w:r>
      </w:hyperlink>
      <w:r w:rsidRPr="00C51BCF">
        <w:rPr>
          <w:rFonts w:ascii="Times New Roman" w:hAnsi="Times New Roman" w:cs="Times New Roman"/>
          <w:i/>
          <w:iCs/>
          <w:sz w:val="28"/>
          <w:szCs w:val="28"/>
          <w:shd w:val="clear" w:color="auto" w:fill="FFFFFF"/>
        </w:rPr>
        <w:t> 2.</w:t>
      </w:r>
      <w:r w:rsidRPr="00C51BCF">
        <w:rPr>
          <w:rFonts w:ascii="Times New Roman" w:hAnsi="Times New Roman" w:cs="Times New Roman"/>
          <w:i/>
          <w:iCs/>
          <w:sz w:val="28"/>
          <w:szCs w:val="28"/>
          <w:shd w:val="clear" w:color="auto" w:fill="FFFFFF"/>
          <w:vertAlign w:val="superscript"/>
        </w:rPr>
        <w:t>1</w:t>
      </w:r>
      <w:r w:rsidRPr="00C51BCF">
        <w:rPr>
          <w:rFonts w:ascii="Times New Roman" w:hAnsi="Times New Roman" w:cs="Times New Roman"/>
          <w:i/>
          <w:iCs/>
          <w:sz w:val="28"/>
          <w:szCs w:val="28"/>
          <w:shd w:val="clear" w:color="auto" w:fill="FFFFFF"/>
        </w:rPr>
        <w:t> </w:t>
      </w:r>
      <w:r>
        <w:rPr>
          <w:rFonts w:ascii="Times New Roman" w:hAnsi="Times New Roman" w:cs="Times New Roman"/>
          <w:i/>
          <w:iCs/>
          <w:sz w:val="28"/>
          <w:szCs w:val="28"/>
          <w:shd w:val="clear" w:color="auto" w:fill="FFFFFF"/>
        </w:rPr>
        <w:t>un</w:t>
      </w:r>
      <w:r w:rsidRPr="00C51BCF">
        <w:rPr>
          <w:rFonts w:ascii="Times New Roman" w:hAnsi="Times New Roman" w:cs="Times New Roman"/>
          <w:i/>
          <w:iCs/>
          <w:sz w:val="28"/>
          <w:szCs w:val="28"/>
        </w:rPr>
        <w:br/>
      </w:r>
      <w:r w:rsidRPr="00C51BCF">
        <w:rPr>
          <w:rFonts w:ascii="Times New Roman" w:hAnsi="Times New Roman" w:cs="Times New Roman"/>
          <w:i/>
          <w:iCs/>
          <w:sz w:val="28"/>
          <w:szCs w:val="28"/>
          <w:shd w:val="clear" w:color="auto" w:fill="FFFFFF"/>
        </w:rPr>
        <w:t>trešo daļu, </w:t>
      </w:r>
      <w:hyperlink r:id="rId14" w:anchor="p366" w:tgtFrame="_blank" w:history="1">
        <w:r w:rsidRPr="00CA240D">
          <w:rPr>
            <w:rStyle w:val="Hyperlink"/>
            <w:rFonts w:ascii="Times New Roman" w:hAnsi="Times New Roman" w:cs="Times New Roman"/>
            <w:i/>
            <w:iCs/>
            <w:color w:val="auto"/>
            <w:sz w:val="28"/>
            <w:szCs w:val="28"/>
            <w:u w:val="none"/>
            <w:shd w:val="clear" w:color="auto" w:fill="FFFFFF"/>
          </w:rPr>
          <w:t>366.panta</w:t>
        </w:r>
      </w:hyperlink>
      <w:r w:rsidRPr="00CA240D">
        <w:rPr>
          <w:rFonts w:ascii="Times New Roman" w:hAnsi="Times New Roman" w:cs="Times New Roman"/>
          <w:i/>
          <w:iCs/>
          <w:sz w:val="28"/>
          <w:szCs w:val="28"/>
          <w:shd w:val="clear" w:color="auto" w:fill="FFFFFF"/>
        </w:rPr>
        <w:t> </w:t>
      </w:r>
      <w:r w:rsidRPr="00C51BCF">
        <w:rPr>
          <w:rFonts w:ascii="Times New Roman" w:hAnsi="Times New Roman" w:cs="Times New Roman"/>
          <w:i/>
          <w:iCs/>
          <w:sz w:val="28"/>
          <w:szCs w:val="28"/>
          <w:shd w:val="clear" w:color="auto" w:fill="FFFFFF"/>
        </w:rPr>
        <w:t>ceturto daļu</w:t>
      </w:r>
    </w:p>
    <w:p w:rsidR="00A4701F" w:rsidRDefault="00A4701F" w:rsidP="00A4701F">
      <w:pPr>
        <w:spacing w:after="0" w:line="240" w:lineRule="auto"/>
        <w:contextualSpacing/>
        <w:jc w:val="right"/>
        <w:rPr>
          <w:rFonts w:ascii="Times New Roman" w:hAnsi="Times New Roman" w:cs="Times New Roman"/>
          <w:sz w:val="28"/>
          <w:szCs w:val="28"/>
        </w:rPr>
      </w:pPr>
    </w:p>
    <w:p w:rsidR="00063523" w:rsidRDefault="00063523" w:rsidP="00A4701F">
      <w:pPr>
        <w:spacing w:after="0" w:line="240" w:lineRule="auto"/>
        <w:contextualSpacing/>
        <w:jc w:val="right"/>
        <w:rPr>
          <w:rFonts w:ascii="Times New Roman" w:hAnsi="Times New Roman" w:cs="Times New Roman"/>
          <w:sz w:val="28"/>
          <w:szCs w:val="28"/>
        </w:rPr>
      </w:pPr>
    </w:p>
    <w:p w:rsidR="0089447C" w:rsidRDefault="00A4701F" w:rsidP="0006352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AE6EE7">
        <w:rPr>
          <w:rFonts w:ascii="Times New Roman" w:hAnsi="Times New Roman" w:cs="Times New Roman"/>
          <w:sz w:val="28"/>
          <w:szCs w:val="28"/>
        </w:rPr>
        <w:t>Izdarīt</w:t>
      </w:r>
      <w:r>
        <w:rPr>
          <w:rFonts w:ascii="Times New Roman" w:hAnsi="Times New Roman" w:cs="Times New Roman"/>
          <w:sz w:val="28"/>
          <w:szCs w:val="28"/>
        </w:rPr>
        <w:t xml:space="preserve"> Ministru kabineta 201</w:t>
      </w:r>
      <w:r w:rsidR="00CA240D">
        <w:rPr>
          <w:rFonts w:ascii="Times New Roman" w:hAnsi="Times New Roman" w:cs="Times New Roman"/>
          <w:sz w:val="28"/>
          <w:szCs w:val="28"/>
        </w:rPr>
        <w:t>1</w:t>
      </w:r>
      <w:r>
        <w:rPr>
          <w:rFonts w:ascii="Times New Roman" w:hAnsi="Times New Roman" w:cs="Times New Roman"/>
          <w:sz w:val="28"/>
          <w:szCs w:val="28"/>
        </w:rPr>
        <w:t>.</w:t>
      </w:r>
      <w:r w:rsidR="001A25B2">
        <w:rPr>
          <w:rFonts w:ascii="Times New Roman" w:hAnsi="Times New Roman" w:cs="Times New Roman"/>
          <w:sz w:val="28"/>
          <w:szCs w:val="28"/>
        </w:rPr>
        <w:t> </w:t>
      </w:r>
      <w:r>
        <w:rPr>
          <w:rFonts w:ascii="Times New Roman" w:hAnsi="Times New Roman" w:cs="Times New Roman"/>
          <w:sz w:val="28"/>
          <w:szCs w:val="28"/>
        </w:rPr>
        <w:t xml:space="preserve">gada </w:t>
      </w:r>
      <w:r w:rsidR="00CA240D">
        <w:rPr>
          <w:rFonts w:ascii="Times New Roman" w:hAnsi="Times New Roman" w:cs="Times New Roman"/>
          <w:sz w:val="28"/>
          <w:szCs w:val="28"/>
        </w:rPr>
        <w:t>2</w:t>
      </w:r>
      <w:r>
        <w:rPr>
          <w:rFonts w:ascii="Times New Roman" w:hAnsi="Times New Roman" w:cs="Times New Roman"/>
          <w:sz w:val="28"/>
          <w:szCs w:val="28"/>
        </w:rPr>
        <w:t>7.</w:t>
      </w:r>
      <w:r w:rsidR="001A25B2">
        <w:rPr>
          <w:rFonts w:ascii="Times New Roman" w:hAnsi="Times New Roman" w:cs="Times New Roman"/>
          <w:sz w:val="28"/>
          <w:szCs w:val="28"/>
        </w:rPr>
        <w:t> </w:t>
      </w:r>
      <w:r>
        <w:rPr>
          <w:rFonts w:ascii="Times New Roman" w:hAnsi="Times New Roman" w:cs="Times New Roman"/>
          <w:sz w:val="28"/>
          <w:szCs w:val="28"/>
        </w:rPr>
        <w:t>decembra noteikum</w:t>
      </w:r>
      <w:r w:rsidR="00AE6EE7">
        <w:rPr>
          <w:rFonts w:ascii="Times New Roman" w:hAnsi="Times New Roman" w:cs="Times New Roman"/>
          <w:sz w:val="28"/>
          <w:szCs w:val="28"/>
        </w:rPr>
        <w:t>o</w:t>
      </w:r>
      <w:r>
        <w:rPr>
          <w:rFonts w:ascii="Times New Roman" w:hAnsi="Times New Roman" w:cs="Times New Roman"/>
          <w:sz w:val="28"/>
          <w:szCs w:val="28"/>
        </w:rPr>
        <w:t>s Nr.10</w:t>
      </w:r>
      <w:r w:rsidR="00CA240D">
        <w:rPr>
          <w:rFonts w:ascii="Times New Roman" w:hAnsi="Times New Roman" w:cs="Times New Roman"/>
          <w:sz w:val="28"/>
          <w:szCs w:val="28"/>
        </w:rPr>
        <w:t>25</w:t>
      </w:r>
      <w:r>
        <w:rPr>
          <w:rFonts w:ascii="Times New Roman" w:hAnsi="Times New Roman" w:cs="Times New Roman"/>
          <w:sz w:val="28"/>
          <w:szCs w:val="28"/>
        </w:rPr>
        <w:t xml:space="preserve"> </w:t>
      </w:r>
      <w:r w:rsidR="00707F81">
        <w:rPr>
          <w:rFonts w:ascii="Times New Roman" w:hAnsi="Times New Roman" w:cs="Times New Roman"/>
          <w:sz w:val="28"/>
          <w:szCs w:val="28"/>
        </w:rPr>
        <w:t>“</w:t>
      </w:r>
      <w:r>
        <w:rPr>
          <w:rFonts w:ascii="Times New Roman" w:hAnsi="Times New Roman" w:cs="Times New Roman"/>
          <w:sz w:val="28"/>
          <w:szCs w:val="28"/>
        </w:rPr>
        <w:t xml:space="preserve">Noteikumi par rīcību ar </w:t>
      </w:r>
      <w:r w:rsidR="00CA240D">
        <w:rPr>
          <w:rFonts w:ascii="Times New Roman" w:hAnsi="Times New Roman" w:cs="Times New Roman"/>
          <w:sz w:val="28"/>
          <w:szCs w:val="28"/>
        </w:rPr>
        <w:t>lietiskajiem pierādījumiem un arestēto mantu</w:t>
      </w:r>
      <w:r>
        <w:rPr>
          <w:rFonts w:ascii="Times New Roman" w:hAnsi="Times New Roman" w:cs="Times New Roman"/>
          <w:sz w:val="28"/>
          <w:szCs w:val="28"/>
        </w:rPr>
        <w:t xml:space="preserve">” </w:t>
      </w:r>
      <w:r w:rsidRPr="00CA240D">
        <w:rPr>
          <w:rFonts w:ascii="Times New Roman" w:hAnsi="Times New Roman" w:cs="Times New Roman"/>
          <w:sz w:val="28"/>
          <w:szCs w:val="28"/>
        </w:rPr>
        <w:t>(</w:t>
      </w:r>
      <w:r w:rsidR="00CA240D">
        <w:rPr>
          <w:rFonts w:ascii="Times New Roman" w:hAnsi="Times New Roman" w:cs="Times New Roman"/>
          <w:sz w:val="28"/>
          <w:szCs w:val="28"/>
          <w:shd w:val="clear" w:color="auto" w:fill="FFFFFF"/>
        </w:rPr>
        <w:t>Latvijas Vēstnesis, 2011, 205.nr.; 2013, 169.nr.; 2016, 44.</w:t>
      </w:r>
      <w:r w:rsidR="00CA240D" w:rsidRPr="00CA240D">
        <w:rPr>
          <w:rFonts w:ascii="Times New Roman" w:hAnsi="Times New Roman" w:cs="Times New Roman"/>
          <w:sz w:val="28"/>
          <w:szCs w:val="28"/>
          <w:shd w:val="clear" w:color="auto" w:fill="FFFFFF"/>
        </w:rPr>
        <w:t>nr.; 2017, 107.nr.</w:t>
      </w:r>
      <w:r w:rsidR="006016B7" w:rsidRPr="00CA240D">
        <w:rPr>
          <w:rFonts w:ascii="Times New Roman" w:hAnsi="Times New Roman" w:cs="Times New Roman"/>
          <w:sz w:val="28"/>
          <w:szCs w:val="28"/>
        </w:rPr>
        <w:t>)</w:t>
      </w:r>
      <w:r w:rsidR="00AE6EE7" w:rsidRPr="00CA240D">
        <w:rPr>
          <w:rFonts w:ascii="Times New Roman" w:hAnsi="Times New Roman" w:cs="Times New Roman"/>
          <w:sz w:val="28"/>
          <w:szCs w:val="28"/>
        </w:rPr>
        <w:t xml:space="preserve"> </w:t>
      </w:r>
      <w:r w:rsidR="0089447C">
        <w:rPr>
          <w:rFonts w:ascii="Times New Roman" w:hAnsi="Times New Roman" w:cs="Times New Roman"/>
          <w:sz w:val="28"/>
          <w:szCs w:val="28"/>
        </w:rPr>
        <w:t xml:space="preserve">šādus </w:t>
      </w:r>
      <w:r w:rsidR="00AE6EE7">
        <w:rPr>
          <w:rFonts w:ascii="Times New Roman" w:hAnsi="Times New Roman" w:cs="Times New Roman"/>
          <w:sz w:val="28"/>
          <w:szCs w:val="28"/>
        </w:rPr>
        <w:t>grozījumu</w:t>
      </w:r>
      <w:r w:rsidR="0089447C">
        <w:rPr>
          <w:rFonts w:ascii="Times New Roman" w:hAnsi="Times New Roman" w:cs="Times New Roman"/>
          <w:sz w:val="28"/>
          <w:szCs w:val="28"/>
        </w:rPr>
        <w:t>s:</w:t>
      </w:r>
    </w:p>
    <w:p w:rsidR="0089447C" w:rsidRDefault="0089447C" w:rsidP="00063523">
      <w:pPr>
        <w:spacing w:after="0" w:line="240" w:lineRule="auto"/>
        <w:contextualSpacing/>
        <w:jc w:val="both"/>
        <w:rPr>
          <w:rFonts w:ascii="Times New Roman" w:hAnsi="Times New Roman" w:cs="Times New Roman"/>
          <w:sz w:val="28"/>
          <w:szCs w:val="28"/>
        </w:rPr>
      </w:pPr>
    </w:p>
    <w:p w:rsidR="00707F81" w:rsidRDefault="006F38A4" w:rsidP="00063523">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w:t>
      </w:r>
      <w:r w:rsidR="00707F81">
        <w:rPr>
          <w:rFonts w:ascii="Times New Roman" w:hAnsi="Times New Roman" w:cs="Times New Roman"/>
          <w:sz w:val="28"/>
          <w:szCs w:val="28"/>
        </w:rPr>
        <w:t xml:space="preserve">. </w:t>
      </w:r>
      <w:r w:rsidR="00707F81" w:rsidRPr="00707F81">
        <w:rPr>
          <w:rFonts w:ascii="Times New Roman" w:hAnsi="Times New Roman" w:cs="Times New Roman"/>
          <w:sz w:val="28"/>
          <w:szCs w:val="28"/>
        </w:rPr>
        <w:t xml:space="preserve">Izteikt </w:t>
      </w:r>
      <w:r w:rsidR="00CA240D">
        <w:rPr>
          <w:rFonts w:ascii="Times New Roman" w:hAnsi="Times New Roman" w:cs="Times New Roman"/>
          <w:sz w:val="28"/>
          <w:szCs w:val="28"/>
        </w:rPr>
        <w:t>22</w:t>
      </w:r>
      <w:r w:rsidR="00707F81" w:rsidRPr="00707F81">
        <w:rPr>
          <w:rFonts w:ascii="Times New Roman" w:hAnsi="Times New Roman" w:cs="Times New Roman"/>
          <w:sz w:val="28"/>
          <w:szCs w:val="28"/>
        </w:rPr>
        <w:t>.</w:t>
      </w:r>
      <w:r w:rsidR="00CA240D">
        <w:rPr>
          <w:rFonts w:ascii="Times New Roman" w:hAnsi="Times New Roman" w:cs="Times New Roman"/>
          <w:sz w:val="28"/>
          <w:szCs w:val="28"/>
        </w:rPr>
        <w:t>3</w:t>
      </w:r>
      <w:r w:rsidR="00707F81" w:rsidRPr="00707F81">
        <w:rPr>
          <w:rFonts w:ascii="Times New Roman" w:hAnsi="Times New Roman" w:cs="Times New Roman"/>
          <w:sz w:val="28"/>
          <w:szCs w:val="28"/>
        </w:rPr>
        <w:t>.apakšpunkta pirmo teikumu šādā redakcijā:</w:t>
      </w:r>
    </w:p>
    <w:p w:rsidR="00707F81" w:rsidRDefault="00707F81" w:rsidP="00063523">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w:t>
      </w:r>
      <w:r w:rsidRPr="00707F81">
        <w:rPr>
          <w:rFonts w:ascii="Times New Roman" w:hAnsi="Times New Roman" w:cs="Times New Roman"/>
          <w:sz w:val="28"/>
          <w:szCs w:val="28"/>
        </w:rPr>
        <w:t xml:space="preserve">realizē izsolē, kuru organizē, ievērojot šo noteikumu </w:t>
      </w:r>
      <w:r w:rsidR="00CA240D">
        <w:rPr>
          <w:rFonts w:ascii="Times New Roman" w:hAnsi="Times New Roman" w:cs="Times New Roman"/>
          <w:sz w:val="28"/>
          <w:szCs w:val="28"/>
        </w:rPr>
        <w:t>2</w:t>
      </w:r>
      <w:r w:rsidRPr="00707F81">
        <w:rPr>
          <w:rFonts w:ascii="Times New Roman" w:hAnsi="Times New Roman" w:cs="Times New Roman"/>
          <w:sz w:val="28"/>
          <w:szCs w:val="28"/>
        </w:rPr>
        <w:t>5.</w:t>
      </w:r>
      <w:r w:rsidRPr="00707F81">
        <w:rPr>
          <w:rFonts w:ascii="Times New Roman" w:hAnsi="Times New Roman" w:cs="Times New Roman"/>
          <w:sz w:val="28"/>
          <w:szCs w:val="28"/>
          <w:vertAlign w:val="superscript"/>
        </w:rPr>
        <w:t>1</w:t>
      </w:r>
      <w:r w:rsidRPr="00707F81">
        <w:rPr>
          <w:rFonts w:ascii="Times New Roman" w:hAnsi="Times New Roman" w:cs="Times New Roman"/>
          <w:sz w:val="28"/>
          <w:szCs w:val="28"/>
        </w:rPr>
        <w:t>punktā noteikto kārtību.</w:t>
      </w:r>
      <w:r>
        <w:rPr>
          <w:rFonts w:ascii="Times New Roman" w:hAnsi="Times New Roman" w:cs="Times New Roman"/>
          <w:sz w:val="28"/>
          <w:szCs w:val="28"/>
        </w:rPr>
        <w:t>”.</w:t>
      </w:r>
    </w:p>
    <w:p w:rsidR="00707F81" w:rsidRDefault="00707F81" w:rsidP="00063523">
      <w:pPr>
        <w:spacing w:after="0" w:line="240" w:lineRule="auto"/>
        <w:ind w:firstLine="720"/>
        <w:contextualSpacing/>
        <w:jc w:val="both"/>
        <w:rPr>
          <w:rFonts w:ascii="Times New Roman" w:hAnsi="Times New Roman" w:cs="Times New Roman"/>
          <w:sz w:val="28"/>
          <w:szCs w:val="28"/>
        </w:rPr>
      </w:pPr>
    </w:p>
    <w:p w:rsidR="00707F81" w:rsidRDefault="006F38A4" w:rsidP="00063523">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2</w:t>
      </w:r>
      <w:r w:rsidR="00707F81">
        <w:rPr>
          <w:rFonts w:ascii="Times New Roman" w:hAnsi="Times New Roman" w:cs="Times New Roman"/>
          <w:sz w:val="28"/>
          <w:szCs w:val="28"/>
        </w:rPr>
        <w:t xml:space="preserve">. </w:t>
      </w:r>
      <w:r w:rsidR="00707F81" w:rsidRPr="00707F81">
        <w:rPr>
          <w:rFonts w:ascii="Times New Roman" w:hAnsi="Times New Roman" w:cs="Times New Roman"/>
          <w:sz w:val="28"/>
          <w:szCs w:val="28"/>
        </w:rPr>
        <w:t xml:space="preserve">Papildināt noteikumus ar </w:t>
      </w:r>
      <w:r w:rsidR="00CA240D">
        <w:rPr>
          <w:rFonts w:ascii="Times New Roman" w:hAnsi="Times New Roman" w:cs="Times New Roman"/>
          <w:sz w:val="28"/>
          <w:szCs w:val="28"/>
        </w:rPr>
        <w:t>2</w:t>
      </w:r>
      <w:r w:rsidR="00707F81" w:rsidRPr="00707F81">
        <w:rPr>
          <w:rFonts w:ascii="Times New Roman" w:hAnsi="Times New Roman" w:cs="Times New Roman"/>
          <w:sz w:val="28"/>
          <w:szCs w:val="28"/>
        </w:rPr>
        <w:t>5.</w:t>
      </w:r>
      <w:r w:rsidR="00707F81" w:rsidRPr="00707F81">
        <w:rPr>
          <w:rFonts w:ascii="Times New Roman" w:hAnsi="Times New Roman" w:cs="Times New Roman"/>
          <w:sz w:val="28"/>
          <w:szCs w:val="28"/>
          <w:vertAlign w:val="superscript"/>
        </w:rPr>
        <w:t>1</w:t>
      </w:r>
      <w:r w:rsidR="00707F81" w:rsidRPr="00707F81">
        <w:rPr>
          <w:rFonts w:ascii="Times New Roman" w:hAnsi="Times New Roman" w:cs="Times New Roman"/>
          <w:sz w:val="28"/>
          <w:szCs w:val="28"/>
        </w:rPr>
        <w:t>punktu šādā redakcijā:</w:t>
      </w:r>
    </w:p>
    <w:p w:rsidR="005851C7" w:rsidRPr="00707F81" w:rsidRDefault="00707F81" w:rsidP="005851C7">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w:t>
      </w:r>
      <w:r w:rsidR="005851C7">
        <w:rPr>
          <w:rFonts w:ascii="Times New Roman" w:hAnsi="Times New Roman" w:cs="Times New Roman"/>
          <w:sz w:val="28"/>
          <w:szCs w:val="28"/>
        </w:rPr>
        <w:t>25</w:t>
      </w:r>
      <w:r w:rsidR="005851C7" w:rsidRPr="00707F81">
        <w:rPr>
          <w:rFonts w:ascii="Times New Roman" w:hAnsi="Times New Roman" w:cs="Times New Roman"/>
          <w:sz w:val="28"/>
          <w:szCs w:val="28"/>
        </w:rPr>
        <w:t>.</w:t>
      </w:r>
      <w:r w:rsidR="005851C7" w:rsidRPr="00707F81">
        <w:rPr>
          <w:rFonts w:ascii="Times New Roman" w:hAnsi="Times New Roman" w:cs="Times New Roman"/>
          <w:sz w:val="28"/>
          <w:szCs w:val="28"/>
          <w:vertAlign w:val="superscript"/>
        </w:rPr>
        <w:t>1</w:t>
      </w:r>
      <w:r w:rsidR="005851C7" w:rsidRPr="00707F81">
        <w:rPr>
          <w:rFonts w:ascii="Times New Roman" w:hAnsi="Times New Roman" w:cs="Times New Roman"/>
          <w:sz w:val="28"/>
          <w:szCs w:val="28"/>
        </w:rPr>
        <w:t xml:space="preserve"> Izsoli organizē saskaņā ar </w:t>
      </w:r>
      <w:r w:rsidR="005851C7">
        <w:rPr>
          <w:rFonts w:ascii="Times New Roman" w:hAnsi="Times New Roman" w:cs="Times New Roman"/>
          <w:sz w:val="28"/>
          <w:szCs w:val="28"/>
        </w:rPr>
        <w:t>lietiskā pierādījuma</w:t>
      </w:r>
      <w:r w:rsidR="005851C7" w:rsidRPr="00707F81">
        <w:rPr>
          <w:rFonts w:ascii="Times New Roman" w:hAnsi="Times New Roman" w:cs="Times New Roman"/>
          <w:sz w:val="28"/>
          <w:szCs w:val="28"/>
        </w:rPr>
        <w:t xml:space="preserve"> realizācijas komisijas izstrādātajiem izsoles noteikumiem šādā kārtībā:</w:t>
      </w:r>
    </w:p>
    <w:p w:rsidR="005851C7" w:rsidRDefault="005851C7" w:rsidP="005851C7">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25</w:t>
      </w:r>
      <w:r w:rsidRPr="00707F81">
        <w:rPr>
          <w:rFonts w:ascii="Times New Roman" w:hAnsi="Times New Roman" w:cs="Times New Roman"/>
          <w:sz w:val="28"/>
          <w:szCs w:val="28"/>
        </w:rPr>
        <w:t>.</w:t>
      </w:r>
      <w:r w:rsidRPr="00707F81">
        <w:rPr>
          <w:rFonts w:ascii="Times New Roman" w:hAnsi="Times New Roman" w:cs="Times New Roman"/>
          <w:sz w:val="28"/>
          <w:szCs w:val="28"/>
          <w:vertAlign w:val="superscript"/>
        </w:rPr>
        <w:t>1</w:t>
      </w:r>
      <w:r w:rsidRPr="00707F81">
        <w:rPr>
          <w:rFonts w:ascii="Times New Roman" w:hAnsi="Times New Roman" w:cs="Times New Roman"/>
          <w:sz w:val="28"/>
          <w:szCs w:val="28"/>
        </w:rPr>
        <w:t xml:space="preserve">1. izsoli izziņo vismaz </w:t>
      </w:r>
      <w:r>
        <w:rPr>
          <w:rFonts w:ascii="Times New Roman" w:hAnsi="Times New Roman" w:cs="Times New Roman"/>
          <w:sz w:val="28"/>
          <w:szCs w:val="28"/>
        </w:rPr>
        <w:t>piecas darbdienas</w:t>
      </w:r>
      <w:r w:rsidRPr="00707F81">
        <w:rPr>
          <w:rFonts w:ascii="Times New Roman" w:hAnsi="Times New Roman" w:cs="Times New Roman"/>
          <w:sz w:val="28"/>
          <w:szCs w:val="28"/>
        </w:rPr>
        <w:t xml:space="preserve"> dienas iepriekš, publicējot </w:t>
      </w:r>
      <w:r>
        <w:rPr>
          <w:rFonts w:ascii="Times New Roman" w:hAnsi="Times New Roman" w:cs="Times New Roman"/>
          <w:sz w:val="28"/>
          <w:szCs w:val="28"/>
        </w:rPr>
        <w:t xml:space="preserve">izsoles noteikumus </w:t>
      </w:r>
      <w:r w:rsidRPr="00707F81">
        <w:rPr>
          <w:rFonts w:ascii="Times New Roman" w:hAnsi="Times New Roman" w:cs="Times New Roman"/>
          <w:sz w:val="28"/>
          <w:szCs w:val="28"/>
        </w:rPr>
        <w:t>aģentūras mājaslapā internetā</w:t>
      </w:r>
      <w:r>
        <w:rPr>
          <w:rFonts w:ascii="Times New Roman" w:hAnsi="Times New Roman" w:cs="Times New Roman"/>
          <w:sz w:val="28"/>
          <w:szCs w:val="28"/>
        </w:rPr>
        <w:t>;</w:t>
      </w:r>
    </w:p>
    <w:p w:rsidR="005851C7" w:rsidRDefault="005851C7" w:rsidP="005851C7">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25</w:t>
      </w:r>
      <w:r w:rsidRPr="00707F81">
        <w:rPr>
          <w:rFonts w:ascii="Times New Roman" w:hAnsi="Times New Roman" w:cs="Times New Roman"/>
          <w:sz w:val="28"/>
          <w:szCs w:val="28"/>
        </w:rPr>
        <w:t>.</w:t>
      </w:r>
      <w:r w:rsidRPr="00707F81">
        <w:rPr>
          <w:rFonts w:ascii="Times New Roman" w:hAnsi="Times New Roman" w:cs="Times New Roman"/>
          <w:sz w:val="28"/>
          <w:szCs w:val="28"/>
          <w:vertAlign w:val="superscript"/>
        </w:rPr>
        <w:t>1</w:t>
      </w:r>
      <w:r w:rsidRPr="00707F81">
        <w:rPr>
          <w:rFonts w:ascii="Times New Roman" w:hAnsi="Times New Roman" w:cs="Times New Roman"/>
          <w:sz w:val="28"/>
          <w:szCs w:val="28"/>
        </w:rPr>
        <w:t xml:space="preserve">2. </w:t>
      </w:r>
      <w:r>
        <w:rPr>
          <w:rFonts w:ascii="Times New Roman" w:hAnsi="Times New Roman" w:cs="Times New Roman"/>
          <w:sz w:val="28"/>
          <w:szCs w:val="28"/>
        </w:rPr>
        <w:t>izsoles noteikumos izsoles rīkotājs</w:t>
      </w:r>
      <w:r w:rsidRPr="00707F81">
        <w:rPr>
          <w:rFonts w:ascii="Times New Roman" w:hAnsi="Times New Roman" w:cs="Times New Roman"/>
          <w:sz w:val="28"/>
          <w:szCs w:val="28"/>
        </w:rPr>
        <w:t xml:space="preserve"> norāda</w:t>
      </w:r>
      <w:r>
        <w:rPr>
          <w:rFonts w:ascii="Times New Roman" w:hAnsi="Times New Roman" w:cs="Times New Roman"/>
          <w:sz w:val="28"/>
          <w:szCs w:val="28"/>
        </w:rPr>
        <w:t xml:space="preserve"> realizējamo</w:t>
      </w:r>
      <w:r w:rsidRPr="00707F81">
        <w:rPr>
          <w:rFonts w:ascii="Times New Roman" w:hAnsi="Times New Roman" w:cs="Times New Roman"/>
          <w:sz w:val="28"/>
          <w:szCs w:val="28"/>
        </w:rPr>
        <w:t xml:space="preserve"> mantu</w:t>
      </w:r>
      <w:r>
        <w:rPr>
          <w:rFonts w:ascii="Times New Roman" w:hAnsi="Times New Roman" w:cs="Times New Roman"/>
          <w:sz w:val="28"/>
          <w:szCs w:val="28"/>
        </w:rPr>
        <w:t>,</w:t>
      </w:r>
      <w:r w:rsidRPr="00707F81">
        <w:rPr>
          <w:rFonts w:ascii="Times New Roman" w:hAnsi="Times New Roman" w:cs="Times New Roman"/>
          <w:sz w:val="28"/>
          <w:szCs w:val="28"/>
        </w:rPr>
        <w:t xml:space="preserve"> </w:t>
      </w:r>
      <w:r>
        <w:rPr>
          <w:rFonts w:ascii="Times New Roman" w:hAnsi="Times New Roman" w:cs="Times New Roman"/>
          <w:sz w:val="28"/>
          <w:szCs w:val="28"/>
        </w:rPr>
        <w:t>realizācijas cen</w:t>
      </w:r>
      <w:r w:rsidRPr="00707F81">
        <w:rPr>
          <w:rFonts w:ascii="Times New Roman" w:hAnsi="Times New Roman" w:cs="Times New Roman"/>
          <w:sz w:val="28"/>
          <w:szCs w:val="28"/>
        </w:rPr>
        <w:t>u, nodrošinājuma summu</w:t>
      </w:r>
      <w:r>
        <w:rPr>
          <w:rFonts w:ascii="Times New Roman" w:hAnsi="Times New Roman" w:cs="Times New Roman"/>
          <w:sz w:val="28"/>
          <w:szCs w:val="28"/>
        </w:rPr>
        <w:t xml:space="preserve"> un nodrošinājuma iemaksas kārtību</w:t>
      </w:r>
      <w:r w:rsidRPr="00707F81">
        <w:rPr>
          <w:rFonts w:ascii="Times New Roman" w:hAnsi="Times New Roman" w:cs="Times New Roman"/>
          <w:sz w:val="28"/>
          <w:szCs w:val="28"/>
        </w:rPr>
        <w:t>, izsoles norises vietu un laiku</w:t>
      </w:r>
      <w:r>
        <w:rPr>
          <w:rFonts w:ascii="Times New Roman" w:hAnsi="Times New Roman" w:cs="Times New Roman"/>
          <w:sz w:val="28"/>
          <w:szCs w:val="28"/>
        </w:rPr>
        <w:t>, izsoles soli, realizējamās mantas apskates vietu un laiku, piedāvājumu iesniegšanas un reģistrēšanas kārtību, kā arī citu izsoles norisei nepieciešamu informāciju;</w:t>
      </w:r>
    </w:p>
    <w:p w:rsidR="005851C7" w:rsidRPr="00707F81" w:rsidRDefault="005851C7" w:rsidP="005851C7">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25</w:t>
      </w:r>
      <w:r w:rsidRPr="00707F81">
        <w:rPr>
          <w:rFonts w:ascii="Times New Roman" w:hAnsi="Times New Roman" w:cs="Times New Roman"/>
          <w:sz w:val="28"/>
          <w:szCs w:val="28"/>
        </w:rPr>
        <w:t>.</w:t>
      </w:r>
      <w:r w:rsidRPr="00707F81">
        <w:rPr>
          <w:rFonts w:ascii="Times New Roman" w:hAnsi="Times New Roman" w:cs="Times New Roman"/>
          <w:sz w:val="28"/>
          <w:szCs w:val="28"/>
          <w:vertAlign w:val="superscript"/>
        </w:rPr>
        <w:t>1</w:t>
      </w:r>
      <w:r>
        <w:rPr>
          <w:rFonts w:ascii="Times New Roman" w:hAnsi="Times New Roman" w:cs="Times New Roman"/>
          <w:sz w:val="28"/>
          <w:szCs w:val="28"/>
        </w:rPr>
        <w:t>3</w:t>
      </w:r>
      <w:r w:rsidRPr="00707F81">
        <w:rPr>
          <w:rFonts w:ascii="Times New Roman" w:hAnsi="Times New Roman" w:cs="Times New Roman"/>
          <w:sz w:val="28"/>
          <w:szCs w:val="28"/>
        </w:rPr>
        <w:t>. izsole var būt mutiska</w:t>
      </w:r>
      <w:r>
        <w:rPr>
          <w:rFonts w:ascii="Times New Roman" w:hAnsi="Times New Roman" w:cs="Times New Roman"/>
          <w:sz w:val="28"/>
          <w:szCs w:val="28"/>
        </w:rPr>
        <w:t xml:space="preserve"> vai</w:t>
      </w:r>
      <w:r w:rsidRPr="00707F81">
        <w:rPr>
          <w:rFonts w:ascii="Times New Roman" w:hAnsi="Times New Roman" w:cs="Times New Roman"/>
          <w:sz w:val="28"/>
          <w:szCs w:val="28"/>
        </w:rPr>
        <w:t xml:space="preserve"> rakstiska;</w:t>
      </w:r>
    </w:p>
    <w:p w:rsidR="005851C7" w:rsidRPr="000D404E" w:rsidRDefault="005851C7" w:rsidP="005851C7">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25</w:t>
      </w:r>
      <w:r w:rsidRPr="00707F81">
        <w:rPr>
          <w:rFonts w:ascii="Times New Roman" w:hAnsi="Times New Roman" w:cs="Times New Roman"/>
          <w:sz w:val="28"/>
          <w:szCs w:val="28"/>
        </w:rPr>
        <w:t>.</w:t>
      </w:r>
      <w:r w:rsidRPr="00707F81">
        <w:rPr>
          <w:rFonts w:ascii="Times New Roman" w:hAnsi="Times New Roman" w:cs="Times New Roman"/>
          <w:sz w:val="28"/>
          <w:szCs w:val="28"/>
          <w:vertAlign w:val="superscript"/>
        </w:rPr>
        <w:t>1</w:t>
      </w:r>
      <w:r>
        <w:rPr>
          <w:rFonts w:ascii="Times New Roman" w:hAnsi="Times New Roman" w:cs="Times New Roman"/>
          <w:sz w:val="28"/>
          <w:szCs w:val="28"/>
        </w:rPr>
        <w:t>4</w:t>
      </w:r>
      <w:r w:rsidRPr="00707F81">
        <w:rPr>
          <w:rFonts w:ascii="Times New Roman" w:hAnsi="Times New Roman" w:cs="Times New Roman"/>
          <w:sz w:val="28"/>
          <w:szCs w:val="28"/>
        </w:rPr>
        <w:t xml:space="preserve">. personas, kuras vēlas piedalīties </w:t>
      </w:r>
      <w:r>
        <w:rPr>
          <w:rFonts w:ascii="Times New Roman" w:hAnsi="Times New Roman" w:cs="Times New Roman"/>
          <w:sz w:val="28"/>
          <w:szCs w:val="28"/>
        </w:rPr>
        <w:t>lietiskā pierādījuma</w:t>
      </w:r>
      <w:r w:rsidRPr="00707F81">
        <w:rPr>
          <w:rFonts w:ascii="Times New Roman" w:hAnsi="Times New Roman" w:cs="Times New Roman"/>
          <w:sz w:val="28"/>
          <w:szCs w:val="28"/>
        </w:rPr>
        <w:t xml:space="preserve"> izsolē, iemaksā </w:t>
      </w:r>
      <w:r>
        <w:rPr>
          <w:rFonts w:ascii="Times New Roman" w:hAnsi="Times New Roman" w:cs="Times New Roman"/>
          <w:sz w:val="28"/>
          <w:szCs w:val="28"/>
        </w:rPr>
        <w:t xml:space="preserve">deponēto līdzekļu </w:t>
      </w:r>
      <w:r w:rsidRPr="000D404E">
        <w:rPr>
          <w:rFonts w:ascii="Times New Roman" w:hAnsi="Times New Roman" w:cs="Times New Roman"/>
          <w:sz w:val="28"/>
          <w:szCs w:val="28"/>
        </w:rPr>
        <w:t xml:space="preserve">kontā nodrošinājumu 10 procentu apmērā no realizācijas cenas. </w:t>
      </w:r>
      <w:r w:rsidRPr="0086655E">
        <w:rPr>
          <w:rFonts w:ascii="Times New Roman" w:hAnsi="Times New Roman" w:cs="Times New Roman"/>
          <w:sz w:val="28"/>
          <w:szCs w:val="28"/>
        </w:rPr>
        <w:lastRenderedPageBreak/>
        <w:t xml:space="preserve">Nodrošinājums uzskatāms par iesniegtu, ja attiecīgā naudas summa ir ieskaitīta izsoles noteikumos norādītajā </w:t>
      </w:r>
      <w:r>
        <w:rPr>
          <w:rFonts w:ascii="Times New Roman" w:hAnsi="Times New Roman" w:cs="Times New Roman"/>
          <w:sz w:val="28"/>
          <w:szCs w:val="28"/>
        </w:rPr>
        <w:t xml:space="preserve">termiņā deponēto līdzekļu </w:t>
      </w:r>
      <w:r w:rsidRPr="0086655E">
        <w:rPr>
          <w:rFonts w:ascii="Times New Roman" w:hAnsi="Times New Roman" w:cs="Times New Roman"/>
          <w:sz w:val="28"/>
          <w:szCs w:val="28"/>
        </w:rPr>
        <w:t>kontā</w:t>
      </w:r>
      <w:r w:rsidRPr="000D404E">
        <w:rPr>
          <w:rFonts w:ascii="Times New Roman" w:hAnsi="Times New Roman" w:cs="Times New Roman"/>
          <w:sz w:val="28"/>
          <w:szCs w:val="28"/>
        </w:rPr>
        <w:t>;</w:t>
      </w:r>
    </w:p>
    <w:p w:rsidR="005851C7" w:rsidRPr="000D404E" w:rsidRDefault="005851C7" w:rsidP="005851C7">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25</w:t>
      </w:r>
      <w:r w:rsidRPr="000D404E">
        <w:rPr>
          <w:rFonts w:ascii="Times New Roman" w:hAnsi="Times New Roman" w:cs="Times New Roman"/>
          <w:sz w:val="28"/>
          <w:szCs w:val="28"/>
        </w:rPr>
        <w:t>.</w:t>
      </w:r>
      <w:r w:rsidRPr="00707F81">
        <w:rPr>
          <w:rFonts w:ascii="Times New Roman" w:hAnsi="Times New Roman" w:cs="Times New Roman"/>
          <w:sz w:val="28"/>
          <w:szCs w:val="28"/>
          <w:vertAlign w:val="superscript"/>
        </w:rPr>
        <w:t>1</w:t>
      </w:r>
      <w:r w:rsidRPr="000D404E">
        <w:rPr>
          <w:rFonts w:ascii="Times New Roman" w:hAnsi="Times New Roman" w:cs="Times New Roman"/>
          <w:sz w:val="28"/>
          <w:szCs w:val="28"/>
        </w:rPr>
        <w:t>5. solīšana mutiskā izsolē notiek pa izsoles noteikumos noteikto soli;</w:t>
      </w:r>
    </w:p>
    <w:p w:rsidR="005851C7" w:rsidRPr="00707F81" w:rsidRDefault="005851C7" w:rsidP="005851C7">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25</w:t>
      </w:r>
      <w:r w:rsidRPr="00707F81">
        <w:rPr>
          <w:rFonts w:ascii="Times New Roman" w:hAnsi="Times New Roman" w:cs="Times New Roman"/>
          <w:sz w:val="28"/>
          <w:szCs w:val="28"/>
        </w:rPr>
        <w:t>.</w:t>
      </w:r>
      <w:r w:rsidRPr="00707F81">
        <w:rPr>
          <w:rFonts w:ascii="Times New Roman" w:hAnsi="Times New Roman" w:cs="Times New Roman"/>
          <w:sz w:val="28"/>
          <w:szCs w:val="28"/>
          <w:vertAlign w:val="superscript"/>
        </w:rPr>
        <w:t>1</w:t>
      </w:r>
      <w:r>
        <w:rPr>
          <w:rFonts w:ascii="Times New Roman" w:hAnsi="Times New Roman" w:cs="Times New Roman"/>
          <w:sz w:val="28"/>
          <w:szCs w:val="28"/>
        </w:rPr>
        <w:t>6</w:t>
      </w:r>
      <w:r w:rsidRPr="00707F81">
        <w:rPr>
          <w:rFonts w:ascii="Times New Roman" w:hAnsi="Times New Roman" w:cs="Times New Roman"/>
          <w:sz w:val="28"/>
          <w:szCs w:val="28"/>
        </w:rPr>
        <w:t xml:space="preserve">. pārsolīšanu mutiskajā izsolē var izdarīt par noteiktu summu, kas nedrīkst būt </w:t>
      </w:r>
      <w:r>
        <w:rPr>
          <w:rFonts w:ascii="Times New Roman" w:hAnsi="Times New Roman" w:cs="Times New Roman"/>
          <w:sz w:val="28"/>
          <w:szCs w:val="28"/>
        </w:rPr>
        <w:t xml:space="preserve">mazāka par vienu procentu vai </w:t>
      </w:r>
      <w:r w:rsidRPr="00707F81">
        <w:rPr>
          <w:rFonts w:ascii="Times New Roman" w:hAnsi="Times New Roman" w:cs="Times New Roman"/>
          <w:sz w:val="28"/>
          <w:szCs w:val="28"/>
        </w:rPr>
        <w:t>lielāka par 10 procentiem no nosacītās cenas</w:t>
      </w:r>
      <w:r>
        <w:rPr>
          <w:rFonts w:ascii="Times New Roman" w:hAnsi="Times New Roman" w:cs="Times New Roman"/>
          <w:sz w:val="28"/>
          <w:szCs w:val="28"/>
        </w:rPr>
        <w:t>,</w:t>
      </w:r>
      <w:r w:rsidRPr="00707F81">
        <w:rPr>
          <w:rFonts w:ascii="Times New Roman" w:hAnsi="Times New Roman" w:cs="Times New Roman"/>
          <w:sz w:val="28"/>
          <w:szCs w:val="28"/>
        </w:rPr>
        <w:t xml:space="preserve"> kas norādīta izsoles noteikumos;</w:t>
      </w:r>
    </w:p>
    <w:p w:rsidR="005851C7" w:rsidRPr="006F2698" w:rsidRDefault="005851C7" w:rsidP="005851C7">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25</w:t>
      </w:r>
      <w:r w:rsidRPr="00707F81">
        <w:rPr>
          <w:rFonts w:ascii="Times New Roman" w:hAnsi="Times New Roman" w:cs="Times New Roman"/>
          <w:sz w:val="28"/>
          <w:szCs w:val="28"/>
        </w:rPr>
        <w:t>.</w:t>
      </w:r>
      <w:r w:rsidRPr="00707F81">
        <w:rPr>
          <w:rFonts w:ascii="Times New Roman" w:hAnsi="Times New Roman" w:cs="Times New Roman"/>
          <w:sz w:val="28"/>
          <w:szCs w:val="28"/>
          <w:vertAlign w:val="superscript"/>
        </w:rPr>
        <w:t>1</w:t>
      </w:r>
      <w:r>
        <w:rPr>
          <w:rFonts w:ascii="Times New Roman" w:hAnsi="Times New Roman" w:cs="Times New Roman"/>
          <w:sz w:val="28"/>
          <w:szCs w:val="28"/>
        </w:rPr>
        <w:t>7</w:t>
      </w:r>
      <w:r w:rsidRPr="00707F81">
        <w:rPr>
          <w:rFonts w:ascii="Times New Roman" w:hAnsi="Times New Roman" w:cs="Times New Roman"/>
          <w:sz w:val="28"/>
          <w:szCs w:val="28"/>
        </w:rPr>
        <w:t xml:space="preserve">. ja tiek rīkota rakstiska izsole, </w:t>
      </w:r>
      <w:r>
        <w:rPr>
          <w:rFonts w:ascii="Times New Roman" w:hAnsi="Times New Roman" w:cs="Times New Roman"/>
          <w:sz w:val="28"/>
          <w:szCs w:val="28"/>
        </w:rPr>
        <w:t xml:space="preserve">līdz izsoles noteikumos noteiktajai dienai un stundai </w:t>
      </w:r>
      <w:r w:rsidRPr="00707F81">
        <w:rPr>
          <w:rFonts w:ascii="Times New Roman" w:hAnsi="Times New Roman" w:cs="Times New Roman"/>
          <w:sz w:val="28"/>
          <w:szCs w:val="28"/>
        </w:rPr>
        <w:t xml:space="preserve">piedāvājumi iesniedzami slēgtās aploksnēs ar atzīmi, kurai izsolei tos </w:t>
      </w:r>
      <w:r w:rsidRPr="006F2698">
        <w:rPr>
          <w:rFonts w:ascii="Times New Roman" w:hAnsi="Times New Roman" w:cs="Times New Roman"/>
          <w:sz w:val="28"/>
          <w:szCs w:val="28"/>
        </w:rPr>
        <w:t>iesniedz</w:t>
      </w:r>
      <w:r>
        <w:rPr>
          <w:rFonts w:ascii="Times New Roman" w:hAnsi="Times New Roman" w:cs="Times New Roman"/>
          <w:sz w:val="28"/>
          <w:szCs w:val="28"/>
        </w:rPr>
        <w:t xml:space="preserve"> un glabājami slēgtās aploksnēs līdz izsolei</w:t>
      </w:r>
      <w:r w:rsidRPr="006F2698">
        <w:rPr>
          <w:rFonts w:ascii="Times New Roman" w:hAnsi="Times New Roman" w:cs="Times New Roman"/>
          <w:sz w:val="28"/>
          <w:szCs w:val="28"/>
        </w:rPr>
        <w:t>;</w:t>
      </w:r>
    </w:p>
    <w:p w:rsidR="005851C7" w:rsidRDefault="005851C7" w:rsidP="005851C7">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25</w:t>
      </w:r>
      <w:r>
        <w:rPr>
          <w:rFonts w:ascii="Times New Roman" w:hAnsi="Times New Roman" w:cs="Times New Roman"/>
          <w:sz w:val="28"/>
          <w:szCs w:val="28"/>
        </w:rPr>
        <w:t>.</w:t>
      </w:r>
      <w:r w:rsidRPr="00707F81">
        <w:rPr>
          <w:rFonts w:ascii="Times New Roman" w:hAnsi="Times New Roman" w:cs="Times New Roman"/>
          <w:sz w:val="28"/>
          <w:szCs w:val="28"/>
          <w:vertAlign w:val="superscript"/>
        </w:rPr>
        <w:t>1</w:t>
      </w:r>
      <w:r>
        <w:rPr>
          <w:rFonts w:ascii="Times New Roman" w:hAnsi="Times New Roman" w:cs="Times New Roman"/>
          <w:sz w:val="28"/>
          <w:szCs w:val="28"/>
        </w:rPr>
        <w:t>8</w:t>
      </w:r>
      <w:r w:rsidRPr="003E7DEA">
        <w:rPr>
          <w:rFonts w:ascii="Times New Roman" w:hAnsi="Times New Roman" w:cs="Times New Roman"/>
          <w:sz w:val="28"/>
          <w:szCs w:val="28"/>
        </w:rPr>
        <w:t xml:space="preserve">. </w:t>
      </w:r>
      <w:r>
        <w:rPr>
          <w:rFonts w:ascii="Times New Roman" w:hAnsi="Times New Roman" w:cs="Times New Roman"/>
          <w:sz w:val="28"/>
          <w:szCs w:val="28"/>
        </w:rPr>
        <w:t xml:space="preserve">pēc izsoles noteikumos noteiktā dienas un stundas izsoles </w:t>
      </w:r>
      <w:r w:rsidRPr="003E7DEA">
        <w:rPr>
          <w:rFonts w:ascii="Times New Roman" w:hAnsi="Times New Roman" w:cs="Times New Roman"/>
          <w:sz w:val="28"/>
          <w:szCs w:val="28"/>
        </w:rPr>
        <w:t>rīkotājs</w:t>
      </w:r>
      <w:r w:rsidRPr="00707F81">
        <w:rPr>
          <w:rFonts w:ascii="Times New Roman" w:hAnsi="Times New Roman" w:cs="Times New Roman"/>
          <w:sz w:val="28"/>
          <w:szCs w:val="28"/>
        </w:rPr>
        <w:t xml:space="preserve"> </w:t>
      </w:r>
      <w:r>
        <w:rPr>
          <w:rFonts w:ascii="Times New Roman" w:hAnsi="Times New Roman" w:cs="Times New Roman"/>
          <w:sz w:val="28"/>
          <w:szCs w:val="28"/>
        </w:rPr>
        <w:t xml:space="preserve">izsoles dalībniekus nereģistrē un </w:t>
      </w:r>
      <w:r w:rsidRPr="00707F81">
        <w:rPr>
          <w:rFonts w:ascii="Times New Roman" w:hAnsi="Times New Roman" w:cs="Times New Roman"/>
          <w:sz w:val="28"/>
          <w:szCs w:val="28"/>
        </w:rPr>
        <w:t>piedāvājum</w:t>
      </w:r>
      <w:r>
        <w:rPr>
          <w:rFonts w:ascii="Times New Roman" w:hAnsi="Times New Roman" w:cs="Times New Roman"/>
          <w:sz w:val="28"/>
          <w:szCs w:val="28"/>
        </w:rPr>
        <w:t>us nepieņem;</w:t>
      </w:r>
    </w:p>
    <w:p w:rsidR="005851C7" w:rsidRDefault="005851C7" w:rsidP="005851C7">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25</w:t>
      </w:r>
      <w:r>
        <w:rPr>
          <w:rFonts w:ascii="Times New Roman" w:hAnsi="Times New Roman" w:cs="Times New Roman"/>
          <w:sz w:val="28"/>
          <w:szCs w:val="28"/>
        </w:rPr>
        <w:t>.</w:t>
      </w:r>
      <w:r w:rsidRPr="00707F81">
        <w:rPr>
          <w:rFonts w:ascii="Times New Roman" w:hAnsi="Times New Roman" w:cs="Times New Roman"/>
          <w:sz w:val="28"/>
          <w:szCs w:val="28"/>
          <w:vertAlign w:val="superscript"/>
        </w:rPr>
        <w:t>1</w:t>
      </w:r>
      <w:r>
        <w:rPr>
          <w:rFonts w:ascii="Times New Roman" w:hAnsi="Times New Roman" w:cs="Times New Roman"/>
          <w:sz w:val="28"/>
          <w:szCs w:val="28"/>
        </w:rPr>
        <w:t>9</w:t>
      </w:r>
      <w:r w:rsidRPr="003E7DEA">
        <w:rPr>
          <w:rFonts w:ascii="Times New Roman" w:hAnsi="Times New Roman" w:cs="Times New Roman"/>
          <w:sz w:val="28"/>
          <w:szCs w:val="28"/>
        </w:rPr>
        <w:t xml:space="preserve">. </w:t>
      </w:r>
      <w:r>
        <w:rPr>
          <w:rFonts w:ascii="Times New Roman" w:hAnsi="Times New Roman" w:cs="Times New Roman"/>
          <w:sz w:val="28"/>
          <w:szCs w:val="28"/>
        </w:rPr>
        <w:t>r</w:t>
      </w:r>
      <w:r w:rsidRPr="0086655E">
        <w:rPr>
          <w:rFonts w:ascii="Times New Roman" w:hAnsi="Times New Roman" w:cs="Times New Roman"/>
          <w:sz w:val="28"/>
          <w:szCs w:val="28"/>
        </w:rPr>
        <w:t>akstiskā izsolē pēc aplokšņu atvēršanas izsoles rīkotājs no iesniegtajiem piedāvājumiem sastāda piedāvāto cenu sarakstu, atraida nederīgos piedāvājumus, atzīmējot to izsoles protokolā, un, ja nav nekādu šaubu, paziņo, ka izsole pabeigta, kā arī nosauc</w:t>
      </w:r>
      <w:r>
        <w:rPr>
          <w:rFonts w:ascii="Times New Roman" w:hAnsi="Times New Roman" w:cs="Times New Roman"/>
          <w:sz w:val="28"/>
          <w:szCs w:val="28"/>
        </w:rPr>
        <w:t xml:space="preserve"> visaugstāko cenu un personu, kura</w:t>
      </w:r>
      <w:r w:rsidRPr="0086655E">
        <w:rPr>
          <w:rFonts w:ascii="Times New Roman" w:hAnsi="Times New Roman" w:cs="Times New Roman"/>
          <w:sz w:val="28"/>
          <w:szCs w:val="28"/>
        </w:rPr>
        <w:t xml:space="preserve"> to nosolījusi</w:t>
      </w:r>
      <w:r>
        <w:rPr>
          <w:rFonts w:ascii="Times New Roman" w:hAnsi="Times New Roman" w:cs="Times New Roman"/>
          <w:sz w:val="28"/>
          <w:szCs w:val="28"/>
        </w:rPr>
        <w:t>;</w:t>
      </w:r>
    </w:p>
    <w:p w:rsidR="005851C7" w:rsidRPr="00E72B53" w:rsidRDefault="005851C7" w:rsidP="005851C7">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25</w:t>
      </w:r>
      <w:r>
        <w:rPr>
          <w:rFonts w:ascii="Times New Roman" w:hAnsi="Times New Roman" w:cs="Times New Roman"/>
          <w:sz w:val="28"/>
          <w:szCs w:val="28"/>
        </w:rPr>
        <w:t>.</w:t>
      </w:r>
      <w:r w:rsidRPr="00707F81">
        <w:rPr>
          <w:rFonts w:ascii="Times New Roman" w:hAnsi="Times New Roman" w:cs="Times New Roman"/>
          <w:sz w:val="28"/>
          <w:szCs w:val="28"/>
          <w:vertAlign w:val="superscript"/>
        </w:rPr>
        <w:t>1</w:t>
      </w:r>
      <w:r>
        <w:rPr>
          <w:rFonts w:ascii="Times New Roman" w:hAnsi="Times New Roman" w:cs="Times New Roman"/>
          <w:sz w:val="28"/>
          <w:szCs w:val="28"/>
        </w:rPr>
        <w:t>10</w:t>
      </w:r>
      <w:r w:rsidRPr="003E7DEA">
        <w:rPr>
          <w:rFonts w:ascii="Times New Roman" w:hAnsi="Times New Roman" w:cs="Times New Roman"/>
          <w:sz w:val="28"/>
          <w:szCs w:val="28"/>
        </w:rPr>
        <w:t xml:space="preserve">. </w:t>
      </w:r>
      <w:r>
        <w:rPr>
          <w:rFonts w:ascii="Times New Roman" w:hAnsi="Times New Roman" w:cs="Times New Roman"/>
          <w:sz w:val="28"/>
          <w:szCs w:val="28"/>
        </w:rPr>
        <w:t>j</w:t>
      </w:r>
      <w:r w:rsidRPr="00E72B53">
        <w:rPr>
          <w:rFonts w:ascii="Times New Roman" w:hAnsi="Times New Roman" w:cs="Times New Roman"/>
          <w:sz w:val="28"/>
          <w:szCs w:val="28"/>
        </w:rPr>
        <w:t xml:space="preserve">a </w:t>
      </w:r>
      <w:r w:rsidRPr="0086655E">
        <w:rPr>
          <w:rFonts w:ascii="Times New Roman" w:hAnsi="Times New Roman" w:cs="Times New Roman"/>
          <w:sz w:val="28"/>
          <w:szCs w:val="28"/>
        </w:rPr>
        <w:t xml:space="preserve">pēc visu aplokšņu atvēršanas </w:t>
      </w:r>
      <w:r w:rsidRPr="00E72B53">
        <w:rPr>
          <w:rFonts w:ascii="Times New Roman" w:hAnsi="Times New Roman" w:cs="Times New Roman"/>
          <w:sz w:val="28"/>
          <w:szCs w:val="28"/>
        </w:rPr>
        <w:t xml:space="preserve">rakstiskā izsolē </w:t>
      </w:r>
      <w:r w:rsidRPr="0086655E">
        <w:rPr>
          <w:rFonts w:ascii="Times New Roman" w:hAnsi="Times New Roman" w:cs="Times New Roman"/>
          <w:sz w:val="28"/>
          <w:szCs w:val="28"/>
        </w:rPr>
        <w:t>izrādās, ka vairāki izsoles dalībnieki piedāvājuši vienādu augstāko cenu, izsoles rīkotājs turpina izsoli, pieņemot rakstiskus piedāvājumus no personām, kuras piedāvājušas vienādu augstāko cenu</w:t>
      </w:r>
      <w:r>
        <w:rPr>
          <w:rFonts w:ascii="Times New Roman" w:hAnsi="Times New Roman" w:cs="Times New Roman"/>
          <w:sz w:val="28"/>
          <w:szCs w:val="28"/>
        </w:rPr>
        <w:t>;</w:t>
      </w:r>
    </w:p>
    <w:p w:rsidR="005851C7" w:rsidRDefault="005851C7" w:rsidP="005851C7">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25</w:t>
      </w:r>
      <w:r>
        <w:rPr>
          <w:rFonts w:ascii="Times New Roman" w:hAnsi="Times New Roman" w:cs="Times New Roman"/>
          <w:sz w:val="28"/>
          <w:szCs w:val="28"/>
        </w:rPr>
        <w:t>.</w:t>
      </w:r>
      <w:r w:rsidRPr="00707F81">
        <w:rPr>
          <w:rFonts w:ascii="Times New Roman" w:hAnsi="Times New Roman" w:cs="Times New Roman"/>
          <w:sz w:val="28"/>
          <w:szCs w:val="28"/>
          <w:vertAlign w:val="superscript"/>
        </w:rPr>
        <w:t>1</w:t>
      </w:r>
      <w:r>
        <w:rPr>
          <w:rFonts w:ascii="Times New Roman" w:hAnsi="Times New Roman" w:cs="Times New Roman"/>
          <w:sz w:val="28"/>
          <w:szCs w:val="28"/>
        </w:rPr>
        <w:t>11</w:t>
      </w:r>
      <w:r w:rsidRPr="003E7DEA">
        <w:rPr>
          <w:rFonts w:ascii="Times New Roman" w:hAnsi="Times New Roman" w:cs="Times New Roman"/>
          <w:sz w:val="28"/>
          <w:szCs w:val="28"/>
        </w:rPr>
        <w:t xml:space="preserve">. </w:t>
      </w:r>
      <w:r>
        <w:rPr>
          <w:rFonts w:ascii="Times New Roman" w:hAnsi="Times New Roman" w:cs="Times New Roman"/>
          <w:sz w:val="28"/>
          <w:szCs w:val="28"/>
        </w:rPr>
        <w:t>p</w:t>
      </w:r>
      <w:r w:rsidRPr="0086655E">
        <w:rPr>
          <w:rFonts w:ascii="Times New Roman" w:hAnsi="Times New Roman" w:cs="Times New Roman"/>
          <w:sz w:val="28"/>
          <w:szCs w:val="28"/>
        </w:rPr>
        <w:t xml:space="preserve">ar </w:t>
      </w:r>
      <w:r>
        <w:rPr>
          <w:rFonts w:ascii="Times New Roman" w:hAnsi="Times New Roman" w:cs="Times New Roman"/>
          <w:sz w:val="28"/>
          <w:szCs w:val="28"/>
        </w:rPr>
        <w:t>izsoles norisi izsoles rīkotājs sastāda</w:t>
      </w:r>
      <w:r w:rsidRPr="0086655E">
        <w:rPr>
          <w:rFonts w:ascii="Times New Roman" w:hAnsi="Times New Roman" w:cs="Times New Roman"/>
          <w:sz w:val="28"/>
          <w:szCs w:val="28"/>
        </w:rPr>
        <w:t xml:space="preserve"> protokol</w:t>
      </w:r>
      <w:r>
        <w:rPr>
          <w:rFonts w:ascii="Times New Roman" w:hAnsi="Times New Roman" w:cs="Times New Roman"/>
          <w:sz w:val="28"/>
          <w:szCs w:val="28"/>
        </w:rPr>
        <w:t xml:space="preserve">u un </w:t>
      </w:r>
      <w:r w:rsidRPr="00707F81">
        <w:rPr>
          <w:rFonts w:ascii="Times New Roman" w:hAnsi="Times New Roman" w:cs="Times New Roman"/>
          <w:sz w:val="28"/>
          <w:szCs w:val="28"/>
        </w:rPr>
        <w:t>aģentūras mājaslapā internetā</w:t>
      </w:r>
      <w:r>
        <w:rPr>
          <w:rFonts w:ascii="Times New Roman" w:hAnsi="Times New Roman" w:cs="Times New Roman"/>
          <w:sz w:val="28"/>
          <w:szCs w:val="28"/>
        </w:rPr>
        <w:t xml:space="preserve"> publicē paziņojumu par izsoles rezultātiem;</w:t>
      </w:r>
    </w:p>
    <w:p w:rsidR="005851C7" w:rsidRDefault="005851C7" w:rsidP="005851C7">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25</w:t>
      </w:r>
      <w:r w:rsidRPr="006F2698">
        <w:rPr>
          <w:rFonts w:ascii="Times New Roman" w:hAnsi="Times New Roman" w:cs="Times New Roman"/>
          <w:sz w:val="28"/>
          <w:szCs w:val="28"/>
        </w:rPr>
        <w:t>.</w:t>
      </w:r>
      <w:r w:rsidRPr="00707F81">
        <w:rPr>
          <w:rFonts w:ascii="Times New Roman" w:hAnsi="Times New Roman" w:cs="Times New Roman"/>
          <w:sz w:val="28"/>
          <w:szCs w:val="28"/>
          <w:vertAlign w:val="superscript"/>
        </w:rPr>
        <w:t>1</w:t>
      </w:r>
      <w:r>
        <w:rPr>
          <w:rFonts w:ascii="Times New Roman" w:hAnsi="Times New Roman" w:cs="Times New Roman"/>
          <w:sz w:val="28"/>
          <w:szCs w:val="28"/>
        </w:rPr>
        <w:t>12</w:t>
      </w:r>
      <w:r w:rsidRPr="006F2698">
        <w:rPr>
          <w:rFonts w:ascii="Times New Roman" w:hAnsi="Times New Roman" w:cs="Times New Roman"/>
          <w:sz w:val="28"/>
          <w:szCs w:val="28"/>
        </w:rPr>
        <w:t xml:space="preserve">. </w:t>
      </w:r>
      <w:r>
        <w:rPr>
          <w:rFonts w:ascii="Times New Roman" w:hAnsi="Times New Roman" w:cs="Times New Roman"/>
          <w:sz w:val="28"/>
          <w:szCs w:val="28"/>
        </w:rPr>
        <w:t>lietiskā pierādījuma</w:t>
      </w:r>
      <w:r w:rsidRPr="006F2698">
        <w:rPr>
          <w:rFonts w:ascii="Times New Roman" w:hAnsi="Times New Roman" w:cs="Times New Roman"/>
          <w:sz w:val="28"/>
          <w:szCs w:val="28"/>
        </w:rPr>
        <w:t xml:space="preserve"> nosolītājs </w:t>
      </w:r>
      <w:r>
        <w:rPr>
          <w:rFonts w:ascii="Times New Roman" w:hAnsi="Times New Roman" w:cs="Times New Roman"/>
          <w:sz w:val="28"/>
          <w:szCs w:val="28"/>
        </w:rPr>
        <w:t>10</w:t>
      </w:r>
      <w:r w:rsidRPr="006F2698">
        <w:rPr>
          <w:rFonts w:ascii="Times New Roman" w:hAnsi="Times New Roman" w:cs="Times New Roman"/>
          <w:sz w:val="28"/>
          <w:szCs w:val="28"/>
        </w:rPr>
        <w:t xml:space="preserve"> dienu laikā pēc izsoles norises paraksta pirkuma līgumu. Iemaksātā nodrošinājuma summa tiek ieskaitīta pirkuma</w:t>
      </w:r>
      <w:r>
        <w:rPr>
          <w:rFonts w:ascii="Times New Roman" w:hAnsi="Times New Roman" w:cs="Times New Roman"/>
          <w:sz w:val="28"/>
          <w:szCs w:val="28"/>
        </w:rPr>
        <w:t xml:space="preserve"> maks</w:t>
      </w:r>
      <w:r w:rsidRPr="00707F81">
        <w:rPr>
          <w:rFonts w:ascii="Times New Roman" w:hAnsi="Times New Roman" w:cs="Times New Roman"/>
          <w:sz w:val="28"/>
          <w:szCs w:val="28"/>
        </w:rPr>
        <w:t>ā</w:t>
      </w:r>
      <w:r>
        <w:rPr>
          <w:rFonts w:ascii="Times New Roman" w:hAnsi="Times New Roman" w:cs="Times New Roman"/>
          <w:sz w:val="28"/>
          <w:szCs w:val="28"/>
        </w:rPr>
        <w:t>, bet</w:t>
      </w:r>
      <w:r w:rsidRPr="00835256">
        <w:rPr>
          <w:rFonts w:ascii="Times New Roman" w:hAnsi="Times New Roman" w:cs="Times New Roman"/>
          <w:sz w:val="28"/>
          <w:szCs w:val="28"/>
        </w:rPr>
        <w:t xml:space="preserve"> </w:t>
      </w:r>
      <w:r>
        <w:rPr>
          <w:rFonts w:ascii="Times New Roman" w:hAnsi="Times New Roman" w:cs="Times New Roman"/>
          <w:sz w:val="28"/>
          <w:szCs w:val="28"/>
        </w:rPr>
        <w:t>p</w:t>
      </w:r>
      <w:r w:rsidRPr="005E1DE3">
        <w:rPr>
          <w:rFonts w:ascii="Times New Roman" w:hAnsi="Times New Roman" w:cs="Times New Roman"/>
          <w:sz w:val="28"/>
          <w:szCs w:val="28"/>
        </w:rPr>
        <w:t>ārējiem izsoles dalībniekiem nodrošinājumu atmaksā izsoles noteikumos paredzētajā termiņā</w:t>
      </w:r>
      <w:r w:rsidRPr="00707F81">
        <w:rPr>
          <w:rFonts w:ascii="Times New Roman" w:hAnsi="Times New Roman" w:cs="Times New Roman"/>
          <w:sz w:val="28"/>
          <w:szCs w:val="28"/>
        </w:rPr>
        <w:t>. Nokavējot noteikto samaksas termiņu, nosolītājs zaudē iesniegto nodrošinājumu</w:t>
      </w:r>
      <w:r>
        <w:rPr>
          <w:rFonts w:ascii="Times New Roman" w:hAnsi="Times New Roman" w:cs="Times New Roman"/>
          <w:sz w:val="28"/>
          <w:szCs w:val="28"/>
        </w:rPr>
        <w:t>;</w:t>
      </w:r>
    </w:p>
    <w:p w:rsidR="005851C7" w:rsidRPr="005851C7" w:rsidRDefault="005851C7" w:rsidP="005851C7">
      <w:pPr>
        <w:pStyle w:val="tv213"/>
        <w:spacing w:before="0" w:beforeAutospacing="0" w:after="0" w:afterAutospacing="0"/>
        <w:ind w:firstLine="851"/>
        <w:jc w:val="both"/>
        <w:rPr>
          <w:sz w:val="28"/>
          <w:szCs w:val="28"/>
        </w:rPr>
      </w:pPr>
      <w:r>
        <w:rPr>
          <w:sz w:val="28"/>
          <w:szCs w:val="28"/>
        </w:rPr>
        <w:t>25</w:t>
      </w:r>
      <w:r w:rsidRPr="003E7DEA">
        <w:rPr>
          <w:sz w:val="28"/>
          <w:szCs w:val="28"/>
        </w:rPr>
        <w:t>.</w:t>
      </w:r>
      <w:r w:rsidRPr="00707F81">
        <w:rPr>
          <w:sz w:val="28"/>
          <w:szCs w:val="28"/>
          <w:vertAlign w:val="superscript"/>
        </w:rPr>
        <w:t>1</w:t>
      </w:r>
      <w:r>
        <w:rPr>
          <w:sz w:val="28"/>
          <w:szCs w:val="28"/>
        </w:rPr>
        <w:t>13</w:t>
      </w:r>
      <w:r w:rsidRPr="003E7DEA">
        <w:rPr>
          <w:sz w:val="28"/>
          <w:szCs w:val="28"/>
        </w:rPr>
        <w:t xml:space="preserve">. </w:t>
      </w:r>
      <w:r>
        <w:rPr>
          <w:sz w:val="28"/>
          <w:szCs w:val="28"/>
        </w:rPr>
        <w:t>j</w:t>
      </w:r>
      <w:r w:rsidRPr="0086655E">
        <w:rPr>
          <w:sz w:val="28"/>
          <w:szCs w:val="28"/>
        </w:rPr>
        <w:t xml:space="preserve">a neviens </w:t>
      </w:r>
      <w:r w:rsidRPr="005851C7">
        <w:rPr>
          <w:sz w:val="28"/>
          <w:szCs w:val="28"/>
        </w:rPr>
        <w:t>pircējs nav pārsolījis realizācijas cenu vai arī nosolītājs nav samaksājis nosolīto cenu, izsole atzīstama par nenotikušu;</w:t>
      </w:r>
    </w:p>
    <w:p w:rsidR="00707F81" w:rsidRPr="005851C7" w:rsidRDefault="005851C7" w:rsidP="005851C7">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25</w:t>
      </w:r>
      <w:r w:rsidRPr="005851C7">
        <w:rPr>
          <w:rFonts w:ascii="Times New Roman" w:hAnsi="Times New Roman" w:cs="Times New Roman"/>
          <w:sz w:val="28"/>
          <w:szCs w:val="28"/>
        </w:rPr>
        <w:t>.</w:t>
      </w:r>
      <w:r w:rsidRPr="005851C7">
        <w:rPr>
          <w:rFonts w:ascii="Times New Roman" w:hAnsi="Times New Roman" w:cs="Times New Roman"/>
          <w:sz w:val="28"/>
          <w:szCs w:val="28"/>
          <w:vertAlign w:val="superscript"/>
        </w:rPr>
        <w:t>1</w:t>
      </w:r>
      <w:r w:rsidRPr="005851C7">
        <w:rPr>
          <w:rFonts w:ascii="Times New Roman" w:hAnsi="Times New Roman" w:cs="Times New Roman"/>
          <w:sz w:val="28"/>
          <w:szCs w:val="28"/>
        </w:rPr>
        <w:t xml:space="preserve">14. ja izsole atzīta par nenotikušu, izsoles rīkotājs organizē atkārtotu izsoli, samazinot </w:t>
      </w:r>
      <w:r w:rsidR="005545BB">
        <w:rPr>
          <w:rFonts w:ascii="Times New Roman" w:hAnsi="Times New Roman" w:cs="Times New Roman"/>
          <w:sz w:val="28"/>
          <w:szCs w:val="28"/>
        </w:rPr>
        <w:t>lietiskā pierādījuma</w:t>
      </w:r>
      <w:bookmarkStart w:id="0" w:name="_GoBack"/>
      <w:bookmarkEnd w:id="0"/>
      <w:r w:rsidRPr="005851C7">
        <w:rPr>
          <w:rFonts w:ascii="Times New Roman" w:hAnsi="Times New Roman" w:cs="Times New Roman"/>
          <w:sz w:val="28"/>
          <w:szCs w:val="28"/>
        </w:rPr>
        <w:t xml:space="preserve"> realizācijas cenu līdz 20 procentiem</w:t>
      </w:r>
      <w:r w:rsidR="00707F81" w:rsidRPr="005851C7">
        <w:rPr>
          <w:rFonts w:ascii="Times New Roman" w:hAnsi="Times New Roman" w:cs="Times New Roman"/>
          <w:sz w:val="28"/>
          <w:szCs w:val="28"/>
        </w:rPr>
        <w:t>”.</w:t>
      </w:r>
    </w:p>
    <w:p w:rsidR="00834091" w:rsidRPr="00063523" w:rsidRDefault="00AE6EE7" w:rsidP="006F38A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9447C">
        <w:rPr>
          <w:rFonts w:ascii="Times New Roman" w:hAnsi="Times New Roman" w:cs="Times New Roman"/>
          <w:sz w:val="28"/>
          <w:szCs w:val="28"/>
        </w:rPr>
        <w:tab/>
      </w:r>
    </w:p>
    <w:p w:rsidR="00B8660B" w:rsidRDefault="0023759F" w:rsidP="00A4701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Ministru prezidents</w:t>
      </w:r>
      <w:r w:rsidR="003D5551">
        <w:rPr>
          <w:rFonts w:ascii="Times New Roman" w:hAnsi="Times New Roman" w:cs="Times New Roman"/>
          <w:sz w:val="28"/>
          <w:szCs w:val="28"/>
        </w:rPr>
        <w:tab/>
      </w:r>
      <w:r w:rsidR="003D5551">
        <w:rPr>
          <w:rFonts w:ascii="Times New Roman" w:hAnsi="Times New Roman" w:cs="Times New Roman"/>
          <w:sz w:val="28"/>
          <w:szCs w:val="28"/>
        </w:rPr>
        <w:tab/>
      </w:r>
      <w:r w:rsidR="003D5551">
        <w:rPr>
          <w:rFonts w:ascii="Times New Roman" w:hAnsi="Times New Roman" w:cs="Times New Roman"/>
          <w:sz w:val="28"/>
          <w:szCs w:val="28"/>
        </w:rPr>
        <w:tab/>
      </w:r>
      <w:r w:rsidR="003D5551">
        <w:rPr>
          <w:rFonts w:ascii="Times New Roman" w:hAnsi="Times New Roman" w:cs="Times New Roman"/>
          <w:sz w:val="28"/>
          <w:szCs w:val="28"/>
        </w:rPr>
        <w:tab/>
      </w:r>
      <w:r w:rsidR="003D5551">
        <w:rPr>
          <w:rFonts w:ascii="Times New Roman" w:hAnsi="Times New Roman" w:cs="Times New Roman"/>
          <w:sz w:val="28"/>
          <w:szCs w:val="28"/>
        </w:rPr>
        <w:tab/>
      </w:r>
      <w:r w:rsidR="003D5551">
        <w:rPr>
          <w:rFonts w:ascii="Times New Roman" w:hAnsi="Times New Roman" w:cs="Times New Roman"/>
          <w:sz w:val="28"/>
          <w:szCs w:val="28"/>
        </w:rPr>
        <w:tab/>
      </w:r>
      <w:r>
        <w:rPr>
          <w:rFonts w:ascii="Times New Roman" w:hAnsi="Times New Roman" w:cs="Times New Roman"/>
          <w:sz w:val="28"/>
          <w:szCs w:val="28"/>
        </w:rPr>
        <w:t>Māris Kučinskis</w:t>
      </w:r>
    </w:p>
    <w:p w:rsidR="00063523" w:rsidRDefault="00063523" w:rsidP="00A4701F">
      <w:pPr>
        <w:spacing w:after="0" w:line="240" w:lineRule="auto"/>
        <w:contextualSpacing/>
        <w:jc w:val="both"/>
        <w:rPr>
          <w:rFonts w:ascii="Times New Roman" w:hAnsi="Times New Roman" w:cs="Times New Roman"/>
          <w:sz w:val="28"/>
          <w:szCs w:val="28"/>
        </w:rPr>
      </w:pPr>
    </w:p>
    <w:p w:rsidR="00CA240D" w:rsidRDefault="00CA240D" w:rsidP="00A4701F">
      <w:pPr>
        <w:spacing w:after="0" w:line="240" w:lineRule="auto"/>
        <w:contextualSpacing/>
        <w:jc w:val="both"/>
        <w:rPr>
          <w:rFonts w:ascii="Times New Roman" w:hAnsi="Times New Roman" w:cs="Times New Roman"/>
          <w:sz w:val="28"/>
          <w:szCs w:val="28"/>
        </w:rPr>
      </w:pPr>
    </w:p>
    <w:p w:rsidR="00B8660B" w:rsidRDefault="0023759F" w:rsidP="003D555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Iekšlietu ministrs</w:t>
      </w:r>
      <w:r>
        <w:rPr>
          <w:rFonts w:ascii="Times New Roman" w:hAnsi="Times New Roman" w:cs="Times New Roman"/>
          <w:sz w:val="28"/>
          <w:szCs w:val="28"/>
        </w:rPr>
        <w:tab/>
      </w:r>
      <w:r>
        <w:rPr>
          <w:rFonts w:ascii="Times New Roman" w:hAnsi="Times New Roman" w:cs="Times New Roman"/>
          <w:sz w:val="28"/>
          <w:szCs w:val="28"/>
        </w:rPr>
        <w:tab/>
      </w:r>
      <w:r w:rsidR="003D5551">
        <w:rPr>
          <w:rFonts w:ascii="Times New Roman" w:hAnsi="Times New Roman" w:cs="Times New Roman"/>
          <w:sz w:val="28"/>
          <w:szCs w:val="28"/>
        </w:rPr>
        <w:tab/>
      </w:r>
      <w:r w:rsidR="003D5551">
        <w:rPr>
          <w:rFonts w:ascii="Times New Roman" w:hAnsi="Times New Roman" w:cs="Times New Roman"/>
          <w:sz w:val="28"/>
          <w:szCs w:val="28"/>
        </w:rPr>
        <w:tab/>
      </w:r>
      <w:r w:rsidR="003D5551">
        <w:rPr>
          <w:rFonts w:ascii="Times New Roman" w:hAnsi="Times New Roman" w:cs="Times New Roman"/>
          <w:sz w:val="28"/>
          <w:szCs w:val="28"/>
        </w:rPr>
        <w:tab/>
      </w:r>
      <w:r w:rsidR="003D5551">
        <w:rPr>
          <w:rFonts w:ascii="Times New Roman" w:hAnsi="Times New Roman" w:cs="Times New Roman"/>
          <w:sz w:val="28"/>
          <w:szCs w:val="28"/>
        </w:rPr>
        <w:tab/>
      </w:r>
      <w:r w:rsidR="003D5551">
        <w:rPr>
          <w:rFonts w:ascii="Times New Roman" w:hAnsi="Times New Roman" w:cs="Times New Roman"/>
          <w:sz w:val="28"/>
          <w:szCs w:val="28"/>
        </w:rPr>
        <w:tab/>
      </w:r>
      <w:r>
        <w:rPr>
          <w:rFonts w:ascii="Times New Roman" w:hAnsi="Times New Roman" w:cs="Times New Roman"/>
          <w:sz w:val="28"/>
          <w:szCs w:val="28"/>
        </w:rPr>
        <w:t>Rihards Kozlovskis</w:t>
      </w:r>
    </w:p>
    <w:p w:rsidR="003D5551" w:rsidRDefault="003D5551" w:rsidP="003D5551">
      <w:pPr>
        <w:rPr>
          <w:rFonts w:ascii="Times New Roman" w:hAnsi="Times New Roman" w:cs="Times New Roman"/>
          <w:sz w:val="28"/>
          <w:szCs w:val="28"/>
        </w:rPr>
      </w:pPr>
    </w:p>
    <w:p w:rsidR="003D5551" w:rsidRPr="00606333" w:rsidRDefault="003D5551" w:rsidP="003D5551">
      <w:pPr>
        <w:rPr>
          <w:rFonts w:ascii="Times New Roman" w:hAnsi="Times New Roman" w:cs="Times New Roman"/>
          <w:color w:val="000000"/>
          <w:sz w:val="28"/>
        </w:rPr>
      </w:pPr>
      <w:r w:rsidRPr="00606333">
        <w:rPr>
          <w:rFonts w:ascii="Times New Roman" w:hAnsi="Times New Roman" w:cs="Times New Roman"/>
          <w:sz w:val="28"/>
          <w:szCs w:val="28"/>
        </w:rPr>
        <w:t xml:space="preserve">Iesniedzējs: </w:t>
      </w:r>
      <w:r>
        <w:rPr>
          <w:rFonts w:ascii="Times New Roman" w:hAnsi="Times New Roman" w:cs="Times New Roman"/>
          <w:color w:val="000000"/>
          <w:sz w:val="28"/>
        </w:rPr>
        <w:t>Iekšlietu ministrs</w:t>
      </w: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sz w:val="28"/>
          <w:szCs w:val="28"/>
        </w:rPr>
        <w:t>Rihards Kozlovskis</w:t>
      </w:r>
    </w:p>
    <w:p w:rsidR="005851C7" w:rsidRDefault="005851C7" w:rsidP="003D5551">
      <w:pPr>
        <w:pStyle w:val="naisf"/>
        <w:ind w:firstLine="0"/>
        <w:rPr>
          <w:sz w:val="28"/>
          <w:szCs w:val="28"/>
        </w:rPr>
      </w:pPr>
    </w:p>
    <w:p w:rsidR="003D5551" w:rsidRPr="00606333" w:rsidRDefault="003D5551" w:rsidP="003D5551">
      <w:pPr>
        <w:pStyle w:val="naisf"/>
        <w:ind w:firstLine="0"/>
        <w:rPr>
          <w:sz w:val="28"/>
          <w:szCs w:val="28"/>
        </w:rPr>
      </w:pPr>
      <w:r w:rsidRPr="00606333">
        <w:rPr>
          <w:sz w:val="28"/>
          <w:szCs w:val="28"/>
        </w:rPr>
        <w:t xml:space="preserve">Vīza: </w:t>
      </w:r>
      <w:r>
        <w:rPr>
          <w:sz w:val="28"/>
          <w:szCs w:val="28"/>
        </w:rPr>
        <w:t xml:space="preserve">Iekšlietu ministrijas </w:t>
      </w:r>
      <w:r w:rsidRPr="00606333">
        <w:rPr>
          <w:sz w:val="28"/>
          <w:szCs w:val="28"/>
        </w:rPr>
        <w:t>valsts sekretār</w:t>
      </w:r>
      <w:r>
        <w:rPr>
          <w:sz w:val="28"/>
          <w:szCs w:val="28"/>
        </w:rPr>
        <w:t>s</w:t>
      </w:r>
      <w:r w:rsidRPr="00606333">
        <w:rPr>
          <w:sz w:val="28"/>
          <w:szCs w:val="28"/>
        </w:rPr>
        <w:tab/>
      </w:r>
      <w:r w:rsidRPr="00606333">
        <w:rPr>
          <w:sz w:val="28"/>
          <w:szCs w:val="28"/>
        </w:rPr>
        <w:tab/>
      </w:r>
      <w:r>
        <w:rPr>
          <w:sz w:val="28"/>
          <w:szCs w:val="28"/>
        </w:rPr>
        <w:tab/>
      </w:r>
      <w:proofErr w:type="spellStart"/>
      <w:r>
        <w:rPr>
          <w:sz w:val="28"/>
          <w:szCs w:val="28"/>
        </w:rPr>
        <w:t>Dimitrijs</w:t>
      </w:r>
      <w:proofErr w:type="spellEnd"/>
      <w:r>
        <w:rPr>
          <w:sz w:val="28"/>
          <w:szCs w:val="28"/>
        </w:rPr>
        <w:t xml:space="preserve"> </w:t>
      </w:r>
      <w:proofErr w:type="spellStart"/>
      <w:r>
        <w:rPr>
          <w:sz w:val="28"/>
          <w:szCs w:val="28"/>
        </w:rPr>
        <w:t>Trofimovs</w:t>
      </w:r>
      <w:proofErr w:type="spellEnd"/>
    </w:p>
    <w:sectPr w:rsidR="003D5551" w:rsidRPr="00606333" w:rsidSect="00357A3F">
      <w:headerReference w:type="default" r:id="rId15"/>
      <w:footerReference w:type="default" r:id="rId16"/>
      <w:footerReference w:type="first" r:id="rId17"/>
      <w:pgSz w:w="12240" w:h="15840"/>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63F" w:rsidRDefault="0017663F" w:rsidP="00B8660B">
      <w:pPr>
        <w:spacing w:after="0" w:line="240" w:lineRule="auto"/>
      </w:pPr>
      <w:r>
        <w:separator/>
      </w:r>
    </w:p>
  </w:endnote>
  <w:endnote w:type="continuationSeparator" w:id="0">
    <w:p w:rsidR="0017663F" w:rsidRDefault="0017663F" w:rsidP="00B86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60B" w:rsidRPr="00B8660B" w:rsidRDefault="00727017" w:rsidP="00B8660B">
    <w:pPr>
      <w:pStyle w:val="Footer"/>
      <w:jc w:val="both"/>
      <w:rPr>
        <w:rFonts w:ascii="Times New Roman" w:hAnsi="Times New Roman" w:cs="Times New Roman"/>
        <w:sz w:val="20"/>
        <w:szCs w:val="20"/>
      </w:rPr>
    </w:pPr>
    <w:r>
      <w:rPr>
        <w:rFonts w:ascii="Times New Roman" w:hAnsi="Times New Roman" w:cs="Times New Roman"/>
        <w:noProof/>
        <w:sz w:val="20"/>
        <w:szCs w:val="20"/>
      </w:rPr>
      <w:t>IEMNot_2</w:t>
    </w:r>
    <w:r w:rsidR="003D5551">
      <w:rPr>
        <w:rFonts w:ascii="Times New Roman" w:hAnsi="Times New Roman" w:cs="Times New Roman"/>
        <w:noProof/>
        <w:sz w:val="20"/>
        <w:szCs w:val="20"/>
      </w:rPr>
      <w:t>3</w:t>
    </w:r>
    <w:r>
      <w:rPr>
        <w:rFonts w:ascii="Times New Roman" w:hAnsi="Times New Roman" w:cs="Times New Roman"/>
        <w:noProof/>
        <w:sz w:val="20"/>
        <w:szCs w:val="20"/>
      </w:rPr>
      <w:t>1118_groz1025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17" w:rsidRDefault="00727017">
    <w:pPr>
      <w:pStyle w:val="Footer"/>
    </w:pPr>
    <w:r>
      <w:rPr>
        <w:rFonts w:ascii="Times New Roman" w:hAnsi="Times New Roman" w:cs="Times New Roman"/>
        <w:noProof/>
        <w:sz w:val="20"/>
        <w:szCs w:val="20"/>
      </w:rPr>
      <w:t>IEMNot_2</w:t>
    </w:r>
    <w:r w:rsidR="003D5551">
      <w:rPr>
        <w:rFonts w:ascii="Times New Roman" w:hAnsi="Times New Roman" w:cs="Times New Roman"/>
        <w:noProof/>
        <w:sz w:val="20"/>
        <w:szCs w:val="20"/>
      </w:rPr>
      <w:t>3</w:t>
    </w:r>
    <w:r>
      <w:rPr>
        <w:rFonts w:ascii="Times New Roman" w:hAnsi="Times New Roman" w:cs="Times New Roman"/>
        <w:noProof/>
        <w:sz w:val="20"/>
        <w:szCs w:val="20"/>
      </w:rPr>
      <w:t>1118_groz1025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63F" w:rsidRDefault="0017663F" w:rsidP="00B8660B">
      <w:pPr>
        <w:spacing w:after="0" w:line="240" w:lineRule="auto"/>
      </w:pPr>
      <w:r>
        <w:separator/>
      </w:r>
    </w:p>
  </w:footnote>
  <w:footnote w:type="continuationSeparator" w:id="0">
    <w:p w:rsidR="0017663F" w:rsidRDefault="0017663F" w:rsidP="00B866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705745"/>
      <w:docPartObj>
        <w:docPartGallery w:val="Page Numbers (Top of Page)"/>
        <w:docPartUnique/>
      </w:docPartObj>
    </w:sdtPr>
    <w:sdtEndPr>
      <w:rPr>
        <w:noProof/>
      </w:rPr>
    </w:sdtEndPr>
    <w:sdtContent>
      <w:p w:rsidR="00063523" w:rsidRDefault="00063523">
        <w:pPr>
          <w:pStyle w:val="Header"/>
          <w:jc w:val="center"/>
        </w:pPr>
        <w:r w:rsidRPr="00063523">
          <w:rPr>
            <w:rFonts w:ascii="Times New Roman" w:hAnsi="Times New Roman" w:cs="Times New Roman"/>
          </w:rPr>
          <w:fldChar w:fldCharType="begin"/>
        </w:r>
        <w:r w:rsidRPr="00063523">
          <w:rPr>
            <w:rFonts w:ascii="Times New Roman" w:hAnsi="Times New Roman" w:cs="Times New Roman"/>
          </w:rPr>
          <w:instrText xml:space="preserve"> PAGE   \* MERGEFORMAT </w:instrText>
        </w:r>
        <w:r w:rsidRPr="00063523">
          <w:rPr>
            <w:rFonts w:ascii="Times New Roman" w:hAnsi="Times New Roman" w:cs="Times New Roman"/>
          </w:rPr>
          <w:fldChar w:fldCharType="separate"/>
        </w:r>
        <w:r w:rsidR="005545BB">
          <w:rPr>
            <w:rFonts w:ascii="Times New Roman" w:hAnsi="Times New Roman" w:cs="Times New Roman"/>
            <w:noProof/>
          </w:rPr>
          <w:t>2</w:t>
        </w:r>
        <w:r w:rsidRPr="00063523">
          <w:rPr>
            <w:rFonts w:ascii="Times New Roman" w:hAnsi="Times New Roman" w:cs="Times New Roman"/>
            <w:noProof/>
          </w:rPr>
          <w:fldChar w:fldCharType="end"/>
        </w:r>
      </w:p>
    </w:sdtContent>
  </w:sdt>
  <w:p w:rsidR="00063523" w:rsidRDefault="000635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D16901"/>
    <w:multiLevelType w:val="hybridMultilevel"/>
    <w:tmpl w:val="C928C29E"/>
    <w:lvl w:ilvl="0" w:tplc="CAA833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112"/>
    <w:rsid w:val="00012061"/>
    <w:rsid w:val="00012125"/>
    <w:rsid w:val="00063523"/>
    <w:rsid w:val="000816F5"/>
    <w:rsid w:val="00081D72"/>
    <w:rsid w:val="00085180"/>
    <w:rsid w:val="000B2CCD"/>
    <w:rsid w:val="000C5E98"/>
    <w:rsid w:val="000E4BC5"/>
    <w:rsid w:val="00134F00"/>
    <w:rsid w:val="00135A35"/>
    <w:rsid w:val="001604AA"/>
    <w:rsid w:val="00162687"/>
    <w:rsid w:val="0017663F"/>
    <w:rsid w:val="0017738C"/>
    <w:rsid w:val="00187944"/>
    <w:rsid w:val="001A241D"/>
    <w:rsid w:val="001A25B2"/>
    <w:rsid w:val="001B31A3"/>
    <w:rsid w:val="00201A1F"/>
    <w:rsid w:val="002217F7"/>
    <w:rsid w:val="00232296"/>
    <w:rsid w:val="0023266A"/>
    <w:rsid w:val="0023759F"/>
    <w:rsid w:val="00274009"/>
    <w:rsid w:val="00286F59"/>
    <w:rsid w:val="002A4888"/>
    <w:rsid w:val="002D412F"/>
    <w:rsid w:val="00311C07"/>
    <w:rsid w:val="00316619"/>
    <w:rsid w:val="003211B7"/>
    <w:rsid w:val="00323D6E"/>
    <w:rsid w:val="00335FE7"/>
    <w:rsid w:val="00357A3F"/>
    <w:rsid w:val="00382AD5"/>
    <w:rsid w:val="00393B74"/>
    <w:rsid w:val="003964F0"/>
    <w:rsid w:val="003A37E2"/>
    <w:rsid w:val="003A4B78"/>
    <w:rsid w:val="003D0DE1"/>
    <w:rsid w:val="003D1190"/>
    <w:rsid w:val="003D5551"/>
    <w:rsid w:val="003E722F"/>
    <w:rsid w:val="003F03CE"/>
    <w:rsid w:val="0041083B"/>
    <w:rsid w:val="00410FDF"/>
    <w:rsid w:val="00422FE1"/>
    <w:rsid w:val="00426B36"/>
    <w:rsid w:val="0044790F"/>
    <w:rsid w:val="00461EBB"/>
    <w:rsid w:val="004869E0"/>
    <w:rsid w:val="004A6B06"/>
    <w:rsid w:val="004B2F0C"/>
    <w:rsid w:val="004C5937"/>
    <w:rsid w:val="004C63DB"/>
    <w:rsid w:val="004D1565"/>
    <w:rsid w:val="004E4DB1"/>
    <w:rsid w:val="00520F4A"/>
    <w:rsid w:val="005545BB"/>
    <w:rsid w:val="0055482E"/>
    <w:rsid w:val="005851C7"/>
    <w:rsid w:val="0059006D"/>
    <w:rsid w:val="005A054A"/>
    <w:rsid w:val="005B7642"/>
    <w:rsid w:val="005F4DBB"/>
    <w:rsid w:val="006016B7"/>
    <w:rsid w:val="0060569D"/>
    <w:rsid w:val="006126F0"/>
    <w:rsid w:val="006331C6"/>
    <w:rsid w:val="00663A35"/>
    <w:rsid w:val="00671D49"/>
    <w:rsid w:val="006A54AE"/>
    <w:rsid w:val="006E1E10"/>
    <w:rsid w:val="006F38A4"/>
    <w:rsid w:val="00707F81"/>
    <w:rsid w:val="00713B79"/>
    <w:rsid w:val="0072057B"/>
    <w:rsid w:val="0072316A"/>
    <w:rsid w:val="00727017"/>
    <w:rsid w:val="00790BE9"/>
    <w:rsid w:val="007910E1"/>
    <w:rsid w:val="00796775"/>
    <w:rsid w:val="00797ADC"/>
    <w:rsid w:val="007A4E6B"/>
    <w:rsid w:val="007B2448"/>
    <w:rsid w:val="007C20E3"/>
    <w:rsid w:val="007C2D42"/>
    <w:rsid w:val="007C7C40"/>
    <w:rsid w:val="007E5FB4"/>
    <w:rsid w:val="007F68B3"/>
    <w:rsid w:val="008004F3"/>
    <w:rsid w:val="00834091"/>
    <w:rsid w:val="00840150"/>
    <w:rsid w:val="00840A44"/>
    <w:rsid w:val="00860809"/>
    <w:rsid w:val="00861E25"/>
    <w:rsid w:val="0089447C"/>
    <w:rsid w:val="008968EF"/>
    <w:rsid w:val="00897112"/>
    <w:rsid w:val="0091453A"/>
    <w:rsid w:val="00922782"/>
    <w:rsid w:val="00933F92"/>
    <w:rsid w:val="009928F2"/>
    <w:rsid w:val="009A691B"/>
    <w:rsid w:val="009B089A"/>
    <w:rsid w:val="009B5CF8"/>
    <w:rsid w:val="00A004F5"/>
    <w:rsid w:val="00A132B9"/>
    <w:rsid w:val="00A277AE"/>
    <w:rsid w:val="00A4701F"/>
    <w:rsid w:val="00A613FA"/>
    <w:rsid w:val="00A62EA0"/>
    <w:rsid w:val="00A6331A"/>
    <w:rsid w:val="00A73403"/>
    <w:rsid w:val="00A821D1"/>
    <w:rsid w:val="00AC21B1"/>
    <w:rsid w:val="00AE01AA"/>
    <w:rsid w:val="00AE6EE7"/>
    <w:rsid w:val="00AF01EF"/>
    <w:rsid w:val="00B01AE0"/>
    <w:rsid w:val="00B17470"/>
    <w:rsid w:val="00B27780"/>
    <w:rsid w:val="00B27AA1"/>
    <w:rsid w:val="00B375B0"/>
    <w:rsid w:val="00B8660B"/>
    <w:rsid w:val="00BD6768"/>
    <w:rsid w:val="00BE2636"/>
    <w:rsid w:val="00C24ECD"/>
    <w:rsid w:val="00CA240D"/>
    <w:rsid w:val="00CA65F4"/>
    <w:rsid w:val="00CB0039"/>
    <w:rsid w:val="00CB019B"/>
    <w:rsid w:val="00CC1120"/>
    <w:rsid w:val="00CC4304"/>
    <w:rsid w:val="00CD141F"/>
    <w:rsid w:val="00CF0096"/>
    <w:rsid w:val="00CF414B"/>
    <w:rsid w:val="00D11C56"/>
    <w:rsid w:val="00D2267B"/>
    <w:rsid w:val="00D27C34"/>
    <w:rsid w:val="00D35B09"/>
    <w:rsid w:val="00D42D73"/>
    <w:rsid w:val="00D70295"/>
    <w:rsid w:val="00D7303D"/>
    <w:rsid w:val="00D80420"/>
    <w:rsid w:val="00D9750A"/>
    <w:rsid w:val="00DA1928"/>
    <w:rsid w:val="00DD417C"/>
    <w:rsid w:val="00E00088"/>
    <w:rsid w:val="00E06FB8"/>
    <w:rsid w:val="00E11D47"/>
    <w:rsid w:val="00E43B2E"/>
    <w:rsid w:val="00E70AC4"/>
    <w:rsid w:val="00E858BE"/>
    <w:rsid w:val="00E92E08"/>
    <w:rsid w:val="00E96E89"/>
    <w:rsid w:val="00EB201A"/>
    <w:rsid w:val="00EC4E40"/>
    <w:rsid w:val="00EE4DEB"/>
    <w:rsid w:val="00EF2C39"/>
    <w:rsid w:val="00F1543C"/>
    <w:rsid w:val="00F46CD2"/>
    <w:rsid w:val="00F8021E"/>
    <w:rsid w:val="00F80EA1"/>
    <w:rsid w:val="00F937B5"/>
    <w:rsid w:val="00FB07DA"/>
    <w:rsid w:val="00FD247F"/>
    <w:rsid w:val="00FD3001"/>
    <w:rsid w:val="00FE7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7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660B"/>
    <w:pPr>
      <w:tabs>
        <w:tab w:val="center" w:pos="4320"/>
        <w:tab w:val="right" w:pos="8640"/>
      </w:tabs>
      <w:spacing w:after="0" w:line="240" w:lineRule="auto"/>
    </w:pPr>
  </w:style>
  <w:style w:type="character" w:customStyle="1" w:styleId="HeaderChar">
    <w:name w:val="Header Char"/>
    <w:basedOn w:val="DefaultParagraphFont"/>
    <w:link w:val="Header"/>
    <w:uiPriority w:val="99"/>
    <w:rsid w:val="00B8660B"/>
    <w:rPr>
      <w:lang w:val="lv-LV"/>
    </w:rPr>
  </w:style>
  <w:style w:type="paragraph" w:styleId="Footer">
    <w:name w:val="footer"/>
    <w:basedOn w:val="Normal"/>
    <w:link w:val="FooterChar"/>
    <w:uiPriority w:val="99"/>
    <w:unhideWhenUsed/>
    <w:rsid w:val="00B8660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8660B"/>
    <w:rPr>
      <w:lang w:val="lv-LV"/>
    </w:rPr>
  </w:style>
  <w:style w:type="paragraph" w:styleId="BalloonText">
    <w:name w:val="Balloon Text"/>
    <w:basedOn w:val="Normal"/>
    <w:link w:val="BalloonTextChar"/>
    <w:uiPriority w:val="99"/>
    <w:semiHidden/>
    <w:unhideWhenUsed/>
    <w:rsid w:val="00B86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60B"/>
    <w:rPr>
      <w:rFonts w:ascii="Tahoma" w:hAnsi="Tahoma" w:cs="Tahoma"/>
      <w:sz w:val="16"/>
      <w:szCs w:val="16"/>
      <w:lang w:val="lv-LV"/>
    </w:rPr>
  </w:style>
  <w:style w:type="paragraph" w:styleId="FootnoteText">
    <w:name w:val="footnote text"/>
    <w:basedOn w:val="Normal"/>
    <w:link w:val="FootnoteTextChar"/>
    <w:uiPriority w:val="99"/>
    <w:semiHidden/>
    <w:unhideWhenUsed/>
    <w:rsid w:val="00B277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7780"/>
    <w:rPr>
      <w:sz w:val="20"/>
      <w:szCs w:val="20"/>
      <w:lang w:val="lv-LV"/>
    </w:rPr>
  </w:style>
  <w:style w:type="character" w:styleId="FootnoteReference">
    <w:name w:val="footnote reference"/>
    <w:basedOn w:val="DefaultParagraphFont"/>
    <w:uiPriority w:val="99"/>
    <w:semiHidden/>
    <w:unhideWhenUsed/>
    <w:rsid w:val="00B27780"/>
    <w:rPr>
      <w:vertAlign w:val="superscript"/>
    </w:rPr>
  </w:style>
  <w:style w:type="character" w:styleId="CommentReference">
    <w:name w:val="annotation reference"/>
    <w:basedOn w:val="DefaultParagraphFont"/>
    <w:uiPriority w:val="99"/>
    <w:semiHidden/>
    <w:unhideWhenUsed/>
    <w:rsid w:val="001A25B2"/>
    <w:rPr>
      <w:sz w:val="16"/>
      <w:szCs w:val="16"/>
    </w:rPr>
  </w:style>
  <w:style w:type="paragraph" w:styleId="CommentText">
    <w:name w:val="annotation text"/>
    <w:basedOn w:val="Normal"/>
    <w:link w:val="CommentTextChar"/>
    <w:uiPriority w:val="99"/>
    <w:semiHidden/>
    <w:unhideWhenUsed/>
    <w:rsid w:val="001A25B2"/>
    <w:pPr>
      <w:spacing w:line="240" w:lineRule="auto"/>
    </w:pPr>
    <w:rPr>
      <w:sz w:val="20"/>
      <w:szCs w:val="20"/>
    </w:rPr>
  </w:style>
  <w:style w:type="character" w:customStyle="1" w:styleId="CommentTextChar">
    <w:name w:val="Comment Text Char"/>
    <w:basedOn w:val="DefaultParagraphFont"/>
    <w:link w:val="CommentText"/>
    <w:uiPriority w:val="99"/>
    <w:semiHidden/>
    <w:rsid w:val="001A25B2"/>
    <w:rPr>
      <w:sz w:val="20"/>
      <w:szCs w:val="20"/>
      <w:lang w:val="lv-LV"/>
    </w:rPr>
  </w:style>
  <w:style w:type="paragraph" w:styleId="CommentSubject">
    <w:name w:val="annotation subject"/>
    <w:basedOn w:val="CommentText"/>
    <w:next w:val="CommentText"/>
    <w:link w:val="CommentSubjectChar"/>
    <w:uiPriority w:val="99"/>
    <w:semiHidden/>
    <w:unhideWhenUsed/>
    <w:rsid w:val="001A25B2"/>
    <w:rPr>
      <w:b/>
      <w:bCs/>
    </w:rPr>
  </w:style>
  <w:style w:type="character" w:customStyle="1" w:styleId="CommentSubjectChar">
    <w:name w:val="Comment Subject Char"/>
    <w:basedOn w:val="CommentTextChar"/>
    <w:link w:val="CommentSubject"/>
    <w:uiPriority w:val="99"/>
    <w:semiHidden/>
    <w:rsid w:val="001A25B2"/>
    <w:rPr>
      <w:b/>
      <w:bCs/>
      <w:sz w:val="20"/>
      <w:szCs w:val="20"/>
      <w:lang w:val="lv-LV"/>
    </w:rPr>
  </w:style>
  <w:style w:type="paragraph" w:styleId="ListParagraph">
    <w:name w:val="List Paragraph"/>
    <w:basedOn w:val="Normal"/>
    <w:uiPriority w:val="34"/>
    <w:qFormat/>
    <w:rsid w:val="0089447C"/>
    <w:pPr>
      <w:ind w:left="720"/>
      <w:contextualSpacing/>
    </w:pPr>
  </w:style>
  <w:style w:type="character" w:styleId="Hyperlink">
    <w:name w:val="Hyperlink"/>
    <w:basedOn w:val="DefaultParagraphFont"/>
    <w:uiPriority w:val="99"/>
    <w:unhideWhenUsed/>
    <w:rsid w:val="00D35B09"/>
    <w:rPr>
      <w:color w:val="0000FF" w:themeColor="hyperlink"/>
      <w:u w:val="single"/>
    </w:rPr>
  </w:style>
  <w:style w:type="paragraph" w:customStyle="1" w:styleId="naisf">
    <w:name w:val="naisf"/>
    <w:basedOn w:val="Normal"/>
    <w:rsid w:val="003D5551"/>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tv213">
    <w:name w:val="tv213"/>
    <w:basedOn w:val="Normal"/>
    <w:rsid w:val="005851C7"/>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7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660B"/>
    <w:pPr>
      <w:tabs>
        <w:tab w:val="center" w:pos="4320"/>
        <w:tab w:val="right" w:pos="8640"/>
      </w:tabs>
      <w:spacing w:after="0" w:line="240" w:lineRule="auto"/>
    </w:pPr>
  </w:style>
  <w:style w:type="character" w:customStyle="1" w:styleId="HeaderChar">
    <w:name w:val="Header Char"/>
    <w:basedOn w:val="DefaultParagraphFont"/>
    <w:link w:val="Header"/>
    <w:uiPriority w:val="99"/>
    <w:rsid w:val="00B8660B"/>
    <w:rPr>
      <w:lang w:val="lv-LV"/>
    </w:rPr>
  </w:style>
  <w:style w:type="paragraph" w:styleId="Footer">
    <w:name w:val="footer"/>
    <w:basedOn w:val="Normal"/>
    <w:link w:val="FooterChar"/>
    <w:uiPriority w:val="99"/>
    <w:unhideWhenUsed/>
    <w:rsid w:val="00B8660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8660B"/>
    <w:rPr>
      <w:lang w:val="lv-LV"/>
    </w:rPr>
  </w:style>
  <w:style w:type="paragraph" w:styleId="BalloonText">
    <w:name w:val="Balloon Text"/>
    <w:basedOn w:val="Normal"/>
    <w:link w:val="BalloonTextChar"/>
    <w:uiPriority w:val="99"/>
    <w:semiHidden/>
    <w:unhideWhenUsed/>
    <w:rsid w:val="00B86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60B"/>
    <w:rPr>
      <w:rFonts w:ascii="Tahoma" w:hAnsi="Tahoma" w:cs="Tahoma"/>
      <w:sz w:val="16"/>
      <w:szCs w:val="16"/>
      <w:lang w:val="lv-LV"/>
    </w:rPr>
  </w:style>
  <w:style w:type="paragraph" w:styleId="FootnoteText">
    <w:name w:val="footnote text"/>
    <w:basedOn w:val="Normal"/>
    <w:link w:val="FootnoteTextChar"/>
    <w:uiPriority w:val="99"/>
    <w:semiHidden/>
    <w:unhideWhenUsed/>
    <w:rsid w:val="00B277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7780"/>
    <w:rPr>
      <w:sz w:val="20"/>
      <w:szCs w:val="20"/>
      <w:lang w:val="lv-LV"/>
    </w:rPr>
  </w:style>
  <w:style w:type="character" w:styleId="FootnoteReference">
    <w:name w:val="footnote reference"/>
    <w:basedOn w:val="DefaultParagraphFont"/>
    <w:uiPriority w:val="99"/>
    <w:semiHidden/>
    <w:unhideWhenUsed/>
    <w:rsid w:val="00B27780"/>
    <w:rPr>
      <w:vertAlign w:val="superscript"/>
    </w:rPr>
  </w:style>
  <w:style w:type="character" w:styleId="CommentReference">
    <w:name w:val="annotation reference"/>
    <w:basedOn w:val="DefaultParagraphFont"/>
    <w:uiPriority w:val="99"/>
    <w:semiHidden/>
    <w:unhideWhenUsed/>
    <w:rsid w:val="001A25B2"/>
    <w:rPr>
      <w:sz w:val="16"/>
      <w:szCs w:val="16"/>
    </w:rPr>
  </w:style>
  <w:style w:type="paragraph" w:styleId="CommentText">
    <w:name w:val="annotation text"/>
    <w:basedOn w:val="Normal"/>
    <w:link w:val="CommentTextChar"/>
    <w:uiPriority w:val="99"/>
    <w:semiHidden/>
    <w:unhideWhenUsed/>
    <w:rsid w:val="001A25B2"/>
    <w:pPr>
      <w:spacing w:line="240" w:lineRule="auto"/>
    </w:pPr>
    <w:rPr>
      <w:sz w:val="20"/>
      <w:szCs w:val="20"/>
    </w:rPr>
  </w:style>
  <w:style w:type="character" w:customStyle="1" w:styleId="CommentTextChar">
    <w:name w:val="Comment Text Char"/>
    <w:basedOn w:val="DefaultParagraphFont"/>
    <w:link w:val="CommentText"/>
    <w:uiPriority w:val="99"/>
    <w:semiHidden/>
    <w:rsid w:val="001A25B2"/>
    <w:rPr>
      <w:sz w:val="20"/>
      <w:szCs w:val="20"/>
      <w:lang w:val="lv-LV"/>
    </w:rPr>
  </w:style>
  <w:style w:type="paragraph" w:styleId="CommentSubject">
    <w:name w:val="annotation subject"/>
    <w:basedOn w:val="CommentText"/>
    <w:next w:val="CommentText"/>
    <w:link w:val="CommentSubjectChar"/>
    <w:uiPriority w:val="99"/>
    <w:semiHidden/>
    <w:unhideWhenUsed/>
    <w:rsid w:val="001A25B2"/>
    <w:rPr>
      <w:b/>
      <w:bCs/>
    </w:rPr>
  </w:style>
  <w:style w:type="character" w:customStyle="1" w:styleId="CommentSubjectChar">
    <w:name w:val="Comment Subject Char"/>
    <w:basedOn w:val="CommentTextChar"/>
    <w:link w:val="CommentSubject"/>
    <w:uiPriority w:val="99"/>
    <w:semiHidden/>
    <w:rsid w:val="001A25B2"/>
    <w:rPr>
      <w:b/>
      <w:bCs/>
      <w:sz w:val="20"/>
      <w:szCs w:val="20"/>
      <w:lang w:val="lv-LV"/>
    </w:rPr>
  </w:style>
  <w:style w:type="paragraph" w:styleId="ListParagraph">
    <w:name w:val="List Paragraph"/>
    <w:basedOn w:val="Normal"/>
    <w:uiPriority w:val="34"/>
    <w:qFormat/>
    <w:rsid w:val="0089447C"/>
    <w:pPr>
      <w:ind w:left="720"/>
      <w:contextualSpacing/>
    </w:pPr>
  </w:style>
  <w:style w:type="character" w:styleId="Hyperlink">
    <w:name w:val="Hyperlink"/>
    <w:basedOn w:val="DefaultParagraphFont"/>
    <w:uiPriority w:val="99"/>
    <w:unhideWhenUsed/>
    <w:rsid w:val="00D35B09"/>
    <w:rPr>
      <w:color w:val="0000FF" w:themeColor="hyperlink"/>
      <w:u w:val="single"/>
    </w:rPr>
  </w:style>
  <w:style w:type="paragraph" w:customStyle="1" w:styleId="naisf">
    <w:name w:val="naisf"/>
    <w:basedOn w:val="Normal"/>
    <w:rsid w:val="003D5551"/>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tv213">
    <w:name w:val="tv213"/>
    <w:basedOn w:val="Normal"/>
    <w:rsid w:val="005851C7"/>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kumi.lv/ta/id/107820-kriminalprocesa-likum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kumi.lv/ta/id/107820-kriminalprocesa-likum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kumi.lv/ta/id/107820-kriminalprocesa-likum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ikumi.lv/ta/id/107820-kriminalprocesa-likum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likumi.lv/ta/id/107820-kriminalprocesa-likums" TargetMode="External"/><Relationship Id="rId14" Type="http://schemas.openxmlformats.org/officeDocument/2006/relationships/hyperlink" Target="https://likumi.lv/ta/id/107820-kriminalprocesa-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8AEEC-F373-4CB8-A8EA-54BBABF79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2878</Words>
  <Characters>1642</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Grozījumi Ministru kabineta 2011.gada 27.decembra noteikumos Nr.1025</vt:lpstr>
    </vt:vector>
  </TitlesOfParts>
  <Manager>Iekšlietu ministrija</Manager>
  <Company>Nodrošinājuma valsts aģentūra</Company>
  <LinksUpToDate>false</LinksUpToDate>
  <CharactersWithSpaces>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27.decembra noteikumos Nr.1025</dc:title>
  <dc:subject>Ministru kabineta noteikumu projekts</dc:subject>
  <dc:creator>Raitis Nora</dc:creator>
  <dc:description>raitis.nora@agentura.iem.gov.lv, tel.67829075</dc:description>
  <cp:lastModifiedBy>Raitis Nora</cp:lastModifiedBy>
  <cp:revision>12</cp:revision>
  <cp:lastPrinted>2018-11-22T16:35:00Z</cp:lastPrinted>
  <dcterms:created xsi:type="dcterms:W3CDTF">2018-03-01T16:11:00Z</dcterms:created>
  <dcterms:modified xsi:type="dcterms:W3CDTF">2018-11-22T17:09:00Z</dcterms:modified>
</cp:coreProperties>
</file>