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E" w:rsidRPr="005070AF" w:rsidRDefault="00B61F4E" w:rsidP="00B61F4E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B61F4E" w:rsidRPr="005070AF" w:rsidRDefault="00B61F4E" w:rsidP="00B61F4E">
      <w:pPr>
        <w:pStyle w:val="H4"/>
        <w:spacing w:after="0"/>
        <w:rPr>
          <w:szCs w:val="28"/>
        </w:rPr>
      </w:pPr>
    </w:p>
    <w:p w:rsidR="00B61F4E" w:rsidRPr="005070AF" w:rsidRDefault="00B61F4E" w:rsidP="00B61F4E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B61F4E" w:rsidRPr="005070AF" w:rsidRDefault="00B61F4E" w:rsidP="00B61F4E">
      <w:pPr>
        <w:pStyle w:val="H4"/>
        <w:spacing w:after="0"/>
        <w:rPr>
          <w:b w:val="0"/>
          <w:szCs w:val="28"/>
        </w:rPr>
      </w:pPr>
    </w:p>
    <w:p w:rsidR="00B61F4E" w:rsidRPr="005070AF" w:rsidRDefault="00B61F4E" w:rsidP="00B61F4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>
        <w:rPr>
          <w:szCs w:val="28"/>
        </w:rPr>
        <w:t>8</w:t>
      </w:r>
      <w:r w:rsidRPr="005070AF">
        <w:rPr>
          <w:szCs w:val="28"/>
        </w:rPr>
        <w:t>.gada __</w:t>
      </w:r>
      <w:r>
        <w:rPr>
          <w:szCs w:val="28"/>
        </w:rPr>
        <w:t>_.</w:t>
      </w:r>
      <w:r w:rsidRPr="005070AF">
        <w:rPr>
          <w:szCs w:val="28"/>
        </w:rPr>
        <w:t>_________</w:t>
      </w:r>
      <w:r w:rsidRPr="005070AF">
        <w:rPr>
          <w:szCs w:val="28"/>
        </w:rPr>
        <w:tab/>
        <w:t>Rīkojums Nr. ____</w:t>
      </w:r>
    </w:p>
    <w:p w:rsidR="00B61F4E" w:rsidRPr="005070AF" w:rsidRDefault="00B61F4E" w:rsidP="00B61F4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677072" w:rsidRDefault="00677072" w:rsidP="00677072">
      <w:pPr>
        <w:pStyle w:val="Parasts"/>
        <w:rPr>
          <w:lang w:eastAsia="lv-LV"/>
        </w:rPr>
      </w:pPr>
    </w:p>
    <w:p w:rsidR="00677072" w:rsidRDefault="00677072" w:rsidP="00677072">
      <w:pPr>
        <w:pStyle w:val="Parasts"/>
        <w:ind w:firstLine="0"/>
        <w:jc w:val="center"/>
        <w:rPr>
          <w:szCs w:val="28"/>
          <w:lang w:eastAsia="lv-LV"/>
        </w:rPr>
      </w:pPr>
      <w:bookmarkStart w:id="0" w:name="OLE_LINK1"/>
      <w:bookmarkStart w:id="1" w:name="OLE_LINK2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>„</w:t>
      </w:r>
      <w:r>
        <w:rPr>
          <w:b/>
          <w:szCs w:val="28"/>
        </w:rPr>
        <w:t>Latvijas Nacionālais simfoniskais orķestris</w:t>
      </w:r>
      <w:r w:rsidRPr="009F7FE5"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bookmarkEnd w:id="0"/>
    <w:bookmarkEnd w:id="1"/>
    <w:p w:rsidR="00677072" w:rsidRDefault="00677072" w:rsidP="00677072">
      <w:pPr>
        <w:pStyle w:val="Parasts"/>
        <w:rPr>
          <w:szCs w:val="28"/>
          <w:lang w:eastAsia="lv-LV"/>
        </w:rPr>
      </w:pPr>
    </w:p>
    <w:p w:rsidR="00677072" w:rsidRPr="00677072" w:rsidRDefault="00677072" w:rsidP="00677072">
      <w:pPr>
        <w:pStyle w:val="Paraststmeklis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Saskaņā ar Ministru kabineta 2015.gada 22.decembra noteikumu Nr.806 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6.punktu atļaut valsts sabiedrības ar ierobežotu atbildību </w:t>
      </w:r>
      <w:r w:rsidR="00C2053F" w:rsidRPr="00C2053F"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="00C2053F" w:rsidRPr="00C2053F">
        <w:rPr>
          <w:rFonts w:ascii="Times New Roman" w:hAnsi="Times New Roman"/>
          <w:sz w:val="28"/>
          <w:szCs w:val="28"/>
        </w:rPr>
        <w:t>Latvijas Nacionālais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simfoniskais orķestris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(vienotais reģistrācijas Nr.4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373615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 w:rsidR="009A12C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2018.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2022.gadam noteikt, ka kapitālsabiedrībai nav jāmaksā dividendes no prognozētās peļņas par 201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2021. pārskata gadu.</w:t>
      </w:r>
    </w:p>
    <w:p w:rsidR="00677072" w:rsidRPr="00677072" w:rsidRDefault="00677072" w:rsidP="00677072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77072" w:rsidRPr="00677072" w:rsidRDefault="00677072" w:rsidP="00677072">
      <w:pPr>
        <w:pStyle w:val="Paraststmeklis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Kultūras ministrijai kā kapitālsabiedrības kapitāla daļu turētājai nodrošināt, ka 201</w:t>
      </w:r>
      <w:r w:rsidR="00C2053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17723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2021. pārskata gadā gūtā peļņa tiek novirzīta kapitālsabiedrības plānotajām investīcijām 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61F4E"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materiāli tehniskās bāzes uzlabošanai – atbilstoši kapitālsabiedrības vidēja termiņa darbības stratēģijai 2018.</w:t>
      </w:r>
      <w:r w:rsidR="00B61F4E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2022.gadam, lai nodrošinātu ilgtermiņa attīstību un augstvērtīgu māksliniecisko darbību.</w:t>
      </w:r>
    </w:p>
    <w:p w:rsidR="00677072" w:rsidRDefault="00677072" w:rsidP="00677072">
      <w:pPr>
        <w:ind w:left="397" w:hanging="397"/>
        <w:jc w:val="both"/>
        <w:rPr>
          <w:color w:val="000000"/>
          <w:sz w:val="28"/>
          <w:szCs w:val="28"/>
        </w:rPr>
      </w:pPr>
    </w:p>
    <w:p w:rsidR="00677072" w:rsidRDefault="00677072" w:rsidP="00677072">
      <w:pPr>
        <w:ind w:left="142"/>
        <w:rPr>
          <w:color w:val="000000"/>
          <w:sz w:val="28"/>
          <w:szCs w:val="28"/>
        </w:rPr>
      </w:pPr>
    </w:p>
    <w:p w:rsidR="00677072" w:rsidRDefault="00677072" w:rsidP="00677072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M.Kučinskis</w:t>
      </w:r>
      <w:proofErr w:type="spellEnd"/>
    </w:p>
    <w:p w:rsidR="00677072" w:rsidRDefault="00677072" w:rsidP="00677072">
      <w:pPr>
        <w:ind w:left="284"/>
        <w:rPr>
          <w:color w:val="000000"/>
          <w:sz w:val="28"/>
          <w:szCs w:val="28"/>
        </w:rPr>
      </w:pPr>
    </w:p>
    <w:p w:rsidR="00677072" w:rsidRDefault="00677072" w:rsidP="00677072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677072" w:rsidRDefault="00677072" w:rsidP="00677072">
      <w:pPr>
        <w:ind w:left="284"/>
        <w:rPr>
          <w:color w:val="000000"/>
          <w:sz w:val="28"/>
          <w:szCs w:val="28"/>
        </w:rPr>
      </w:pPr>
    </w:p>
    <w:p w:rsidR="00677072" w:rsidRDefault="00677072" w:rsidP="00677072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677072" w:rsidRDefault="00677072" w:rsidP="00677072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677072" w:rsidRDefault="00677072" w:rsidP="00677072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677072" w:rsidRDefault="00677072" w:rsidP="00677072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677072" w:rsidRDefault="00677072" w:rsidP="00677072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677072" w:rsidRDefault="00677072" w:rsidP="00677072">
      <w:pPr>
        <w:autoSpaceDE w:val="0"/>
        <w:autoSpaceDN w:val="0"/>
        <w:adjustRightInd w:val="0"/>
        <w:rPr>
          <w:color w:val="000000"/>
        </w:rPr>
      </w:pPr>
    </w:p>
    <w:p w:rsidR="00677072" w:rsidRDefault="00677072" w:rsidP="00677072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677072" w:rsidRDefault="00677072" w:rsidP="00677072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677072" w:rsidRDefault="00677072" w:rsidP="00677072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bookmarkStart w:id="2" w:name="OLE_LINK3"/>
      <w:bookmarkStart w:id="3" w:name="OLE_LINK4"/>
      <w:r>
        <w:t>67330327</w:t>
      </w:r>
    </w:p>
    <w:p w:rsidR="00677072" w:rsidRDefault="005B3CBD" w:rsidP="00677072">
      <w:pPr>
        <w:tabs>
          <w:tab w:val="left" w:pos="6804"/>
        </w:tabs>
      </w:pPr>
      <w:hyperlink r:id="rId7" w:history="1">
        <w:r w:rsidR="00677072">
          <w:rPr>
            <w:rStyle w:val="Hipersaite"/>
          </w:rPr>
          <w:t>Marcis.Katajs@km.gov.lv</w:t>
        </w:r>
      </w:hyperlink>
    </w:p>
    <w:bookmarkEnd w:id="2"/>
    <w:bookmarkEnd w:id="3"/>
    <w:p w:rsidR="00677072" w:rsidRDefault="00677072" w:rsidP="00677072">
      <w:pPr>
        <w:tabs>
          <w:tab w:val="left" w:pos="6804"/>
        </w:tabs>
        <w:jc w:val="both"/>
      </w:pPr>
    </w:p>
    <w:p w:rsidR="00677072" w:rsidRDefault="00677072" w:rsidP="00677072"/>
    <w:p w:rsidR="00677072" w:rsidRDefault="00677072" w:rsidP="00677072"/>
    <w:p w:rsidR="00A258F4" w:rsidRDefault="00A258F4"/>
    <w:sectPr w:rsidR="00A258F4" w:rsidSect="00A233CB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E7" w:rsidRDefault="00A424E7" w:rsidP="00677072">
      <w:r>
        <w:separator/>
      </w:r>
    </w:p>
  </w:endnote>
  <w:endnote w:type="continuationSeparator" w:id="0">
    <w:p w:rsidR="00A424E7" w:rsidRDefault="00A424E7" w:rsidP="0067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B4" w:rsidRDefault="00C2053F">
    <w:pPr>
      <w:pStyle w:val="Kjene"/>
    </w:pPr>
    <w:r>
      <w:t>KMRik_</w:t>
    </w:r>
    <w:r w:rsidR="00B61F4E">
      <w:t>12</w:t>
    </w:r>
    <w:r>
      <w:t>1118_L</w:t>
    </w:r>
    <w:r w:rsidR="00677072">
      <w:t>N</w:t>
    </w:r>
    <w:r>
      <w:t>SO_strategija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E7" w:rsidRDefault="00A424E7" w:rsidP="00677072">
      <w:r>
        <w:separator/>
      </w:r>
    </w:p>
  </w:footnote>
  <w:footnote w:type="continuationSeparator" w:id="0">
    <w:p w:rsidR="00A424E7" w:rsidRDefault="00A424E7" w:rsidP="00677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72"/>
    <w:rsid w:val="001801D7"/>
    <w:rsid w:val="0019418E"/>
    <w:rsid w:val="00311CDD"/>
    <w:rsid w:val="005B3CBD"/>
    <w:rsid w:val="00677072"/>
    <w:rsid w:val="009A12CD"/>
    <w:rsid w:val="009A232E"/>
    <w:rsid w:val="00A258F4"/>
    <w:rsid w:val="00A424E7"/>
    <w:rsid w:val="00AD7298"/>
    <w:rsid w:val="00B34618"/>
    <w:rsid w:val="00B61F4E"/>
    <w:rsid w:val="00C17723"/>
    <w:rsid w:val="00C2053F"/>
    <w:rsid w:val="00D1635B"/>
    <w:rsid w:val="00D259D5"/>
    <w:rsid w:val="00D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7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677072"/>
    <w:rPr>
      <w:color w:val="0000FF"/>
      <w:u w:val="single"/>
    </w:rPr>
  </w:style>
  <w:style w:type="paragraph" w:customStyle="1" w:styleId="Parasts">
    <w:name w:val="Parasts"/>
    <w:qFormat/>
    <w:rsid w:val="006770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67707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677072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6770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770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6770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7707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61F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1F4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simfoniskais orķestris” peļņas daļu</dc:title>
  <dc:subject>Ministru kabineta rīkojuma projekts</dc:subject>
  <dc:creator>Mārcis Katajs</dc:creator>
  <cp:keywords>KMRik_121118_LNSO_strategija</cp:keywords>
  <dc:description>67330327
Marcis.Katajs@km.gov.lv</dc:description>
  <cp:lastModifiedBy>Dzintra Rozīte</cp:lastModifiedBy>
  <cp:revision>3</cp:revision>
  <dcterms:created xsi:type="dcterms:W3CDTF">2018-11-12T12:37:00Z</dcterms:created>
  <dcterms:modified xsi:type="dcterms:W3CDTF">2018-11-13T07:08:00Z</dcterms:modified>
</cp:coreProperties>
</file>