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4611" w14:textId="77777777" w:rsidR="00D91D3E" w:rsidRPr="00F15DBF" w:rsidRDefault="00D91D3E" w:rsidP="00D91D3E">
      <w:pPr>
        <w:tabs>
          <w:tab w:val="left" w:pos="680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1F8EE82C" w14:textId="312AA121" w:rsidR="00D91D3E" w:rsidRDefault="00D91D3E" w:rsidP="00D91D3E">
      <w:pPr>
        <w:tabs>
          <w:tab w:val="left" w:pos="6804"/>
        </w:tabs>
        <w:jc w:val="right"/>
      </w:pPr>
    </w:p>
    <w:p w14:paraId="4B744874" w14:textId="04FE2D47" w:rsidR="00004C51" w:rsidRPr="00095F4A" w:rsidRDefault="00004C51" w:rsidP="00095F4A">
      <w:pPr>
        <w:tabs>
          <w:tab w:val="left" w:pos="6804"/>
        </w:tabs>
        <w:jc w:val="center"/>
        <w:rPr>
          <w:sz w:val="28"/>
        </w:rPr>
      </w:pPr>
      <w:r w:rsidRPr="00095F4A">
        <w:rPr>
          <w:sz w:val="28"/>
        </w:rPr>
        <w:t>LATVIJAS REPUBLIKAS MINISTRU KABINETS</w:t>
      </w:r>
    </w:p>
    <w:p w14:paraId="40B22DE0" w14:textId="77777777" w:rsidR="00004C51" w:rsidRPr="00F15DBF" w:rsidRDefault="00004C51" w:rsidP="00D91D3E">
      <w:pPr>
        <w:tabs>
          <w:tab w:val="left" w:pos="6804"/>
        </w:tabs>
        <w:jc w:val="right"/>
      </w:pPr>
    </w:p>
    <w:p w14:paraId="486DAC56" w14:textId="68749F45" w:rsidR="00D91D3E" w:rsidRPr="008C4EDF" w:rsidRDefault="00D91D3E" w:rsidP="00D91D3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</w:t>
      </w:r>
      <w:r w:rsidR="008B0EC9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</w:p>
    <w:p w14:paraId="32793C9B" w14:textId="77777777" w:rsidR="00D91D3E" w:rsidRPr="00E9501F" w:rsidRDefault="00D91D3E" w:rsidP="00D91D3E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 </w:t>
      </w:r>
      <w:r w:rsidRPr="00F5458C">
        <w:rPr>
          <w:sz w:val="28"/>
          <w:szCs w:val="28"/>
        </w:rPr>
        <w:t>§)</w:t>
      </w:r>
    </w:p>
    <w:p w14:paraId="7016C638" w14:textId="77777777" w:rsidR="00D91D3E" w:rsidRPr="008201DE" w:rsidRDefault="00D91D3E" w:rsidP="00D91D3E">
      <w:pPr>
        <w:rPr>
          <w:bCs/>
          <w:sz w:val="28"/>
          <w:szCs w:val="28"/>
        </w:rPr>
      </w:pPr>
    </w:p>
    <w:p w14:paraId="04ED3DC8" w14:textId="18290339" w:rsidR="00255FA0" w:rsidRPr="00255FA0" w:rsidRDefault="00255FA0" w:rsidP="00255FA0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5"/>
      <w:bookmarkStart w:id="3" w:name="OLE_LINK6"/>
      <w:r w:rsidRPr="00255FA0">
        <w:rPr>
          <w:b/>
          <w:sz w:val="28"/>
          <w:szCs w:val="28"/>
        </w:rPr>
        <w:t>Grozījum</w:t>
      </w:r>
      <w:r w:rsidR="006B4300">
        <w:rPr>
          <w:b/>
          <w:sz w:val="28"/>
          <w:szCs w:val="28"/>
        </w:rPr>
        <w:t>s</w:t>
      </w:r>
      <w:r w:rsidRPr="00255FA0">
        <w:rPr>
          <w:b/>
          <w:sz w:val="28"/>
          <w:szCs w:val="28"/>
        </w:rPr>
        <w:t xml:space="preserve"> Ministru kabineta 2014. gada 7. </w:t>
      </w:r>
      <w:bookmarkStart w:id="4" w:name="OLE_LINK1"/>
      <w:bookmarkStart w:id="5" w:name="OLE_LINK2"/>
      <w:r w:rsidRPr="00255FA0">
        <w:rPr>
          <w:b/>
          <w:sz w:val="28"/>
          <w:szCs w:val="28"/>
        </w:rPr>
        <w:t xml:space="preserve">janvāra noteikumos </w:t>
      </w:r>
      <w:bookmarkStart w:id="6" w:name="OLE_LINK3"/>
      <w:bookmarkStart w:id="7" w:name="OLE_LINK4"/>
      <w:r w:rsidRPr="00255FA0">
        <w:rPr>
          <w:b/>
          <w:sz w:val="28"/>
          <w:szCs w:val="28"/>
        </w:rPr>
        <w:t>Nr. 9 "</w:t>
      </w:r>
      <w:r w:rsidRPr="00255FA0">
        <w:rPr>
          <w:b/>
          <w:bCs/>
          <w:sz w:val="28"/>
          <w:szCs w:val="28"/>
        </w:rPr>
        <w:t xml:space="preserve">Noteikumi par </w:t>
      </w:r>
      <w:bookmarkEnd w:id="0"/>
      <w:bookmarkEnd w:id="1"/>
      <w:r w:rsidRPr="00255FA0">
        <w:rPr>
          <w:b/>
          <w:bCs/>
          <w:sz w:val="28"/>
          <w:szCs w:val="28"/>
        </w:rPr>
        <w:t>izpildu darbību veikšanai nepieciešamajiem izdevumiem</w:t>
      </w:r>
      <w:r w:rsidRPr="00255FA0">
        <w:rPr>
          <w:b/>
          <w:sz w:val="28"/>
          <w:szCs w:val="28"/>
        </w:rPr>
        <w:t>"</w:t>
      </w:r>
    </w:p>
    <w:bookmarkEnd w:id="2"/>
    <w:bookmarkEnd w:id="3"/>
    <w:bookmarkEnd w:id="4"/>
    <w:bookmarkEnd w:id="5"/>
    <w:bookmarkEnd w:id="6"/>
    <w:bookmarkEnd w:id="7"/>
    <w:p w14:paraId="1C67D37C" w14:textId="77777777" w:rsidR="00255FA0" w:rsidRPr="00255FA0" w:rsidRDefault="00255FA0" w:rsidP="00255FA0">
      <w:pPr>
        <w:jc w:val="right"/>
        <w:rPr>
          <w:bCs/>
          <w:iCs/>
        </w:rPr>
      </w:pPr>
    </w:p>
    <w:p w14:paraId="56290DDE" w14:textId="77777777" w:rsidR="00255FA0" w:rsidRPr="00255FA0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>Izdoti saskaņā ar</w:t>
      </w:r>
    </w:p>
    <w:p w14:paraId="0005E4FB" w14:textId="77777777" w:rsidR="00255FA0" w:rsidRPr="00255FA0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>Civilprocesa likuma 567. panta ceturto daļu un</w:t>
      </w:r>
    </w:p>
    <w:p w14:paraId="7D2E10CD" w14:textId="77777777" w:rsidR="00255FA0" w:rsidRPr="00255FA0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>620.</w:t>
      </w:r>
      <w:r w:rsidRPr="00255FA0">
        <w:rPr>
          <w:bCs/>
          <w:iCs/>
          <w:sz w:val="28"/>
          <w:szCs w:val="28"/>
          <w:vertAlign w:val="superscript"/>
        </w:rPr>
        <w:t>10</w:t>
      </w:r>
      <w:r w:rsidRPr="00255FA0">
        <w:rPr>
          <w:bCs/>
          <w:iCs/>
          <w:sz w:val="28"/>
          <w:szCs w:val="28"/>
        </w:rPr>
        <w:t> panta otro daļu</w:t>
      </w:r>
    </w:p>
    <w:p w14:paraId="14C2F2A2" w14:textId="77777777" w:rsidR="00D91D3E" w:rsidRPr="00F15DBF" w:rsidRDefault="00D91D3E" w:rsidP="00D91D3E"/>
    <w:p w14:paraId="103F6108" w14:textId="500B7E98" w:rsidR="008C019A" w:rsidRDefault="00BE1A99" w:rsidP="00E15D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1D3E">
        <w:rPr>
          <w:sz w:val="28"/>
          <w:szCs w:val="28"/>
        </w:rPr>
        <w:t>Izdarīt Ministru kabineta 201</w:t>
      </w:r>
      <w:r w:rsidR="00145150">
        <w:rPr>
          <w:sz w:val="28"/>
          <w:szCs w:val="28"/>
        </w:rPr>
        <w:t>4</w:t>
      </w:r>
      <w:r w:rsidR="00D91D3E" w:rsidRPr="00953441">
        <w:rPr>
          <w:sz w:val="28"/>
          <w:szCs w:val="28"/>
        </w:rPr>
        <w:t>.</w:t>
      </w:r>
      <w:r w:rsidR="00D91D3E">
        <w:rPr>
          <w:sz w:val="28"/>
          <w:szCs w:val="28"/>
        </w:rPr>
        <w:t> gada 7</w:t>
      </w:r>
      <w:r w:rsidR="00D91D3E" w:rsidRPr="00953441">
        <w:rPr>
          <w:sz w:val="28"/>
          <w:szCs w:val="28"/>
        </w:rPr>
        <w:t>.</w:t>
      </w:r>
      <w:r w:rsidR="00D91D3E">
        <w:rPr>
          <w:sz w:val="28"/>
          <w:szCs w:val="28"/>
        </w:rPr>
        <w:t xml:space="preserve"> janvāra </w:t>
      </w:r>
      <w:r w:rsidR="00D91D3E" w:rsidRPr="00953441">
        <w:rPr>
          <w:sz w:val="28"/>
          <w:szCs w:val="28"/>
        </w:rPr>
        <w:t>noteikumos Nr.</w:t>
      </w:r>
      <w:r w:rsidR="00D91D3E">
        <w:rPr>
          <w:sz w:val="28"/>
          <w:szCs w:val="28"/>
        </w:rPr>
        <w:t> </w:t>
      </w:r>
      <w:r w:rsidR="00E15D5F">
        <w:rPr>
          <w:sz w:val="28"/>
          <w:szCs w:val="28"/>
        </w:rPr>
        <w:t>9 "</w:t>
      </w:r>
      <w:r w:rsidR="00D91D3E">
        <w:rPr>
          <w:sz w:val="28"/>
          <w:szCs w:val="28"/>
        </w:rPr>
        <w:t>Noteikumi par izpildu darbību veikšanai nepieciešamajiem izdevumiem</w:t>
      </w:r>
      <w:r w:rsidR="00E15D5F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2014</w:t>
      </w:r>
      <w:r w:rsidR="00D91D3E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D91D3E" w:rsidRPr="00953441">
        <w:rPr>
          <w:sz w:val="28"/>
          <w:szCs w:val="28"/>
        </w:rPr>
        <w:t>.</w:t>
      </w:r>
      <w:r w:rsidR="00D91D3E">
        <w:rPr>
          <w:sz w:val="28"/>
          <w:szCs w:val="28"/>
        </w:rPr>
        <w:t> </w:t>
      </w:r>
      <w:r w:rsidR="00D91D3E" w:rsidRPr="00953441">
        <w:rPr>
          <w:sz w:val="28"/>
          <w:szCs w:val="28"/>
        </w:rPr>
        <w:t xml:space="preserve">nr.) </w:t>
      </w:r>
      <w:r w:rsidR="00E15D5F">
        <w:rPr>
          <w:sz w:val="28"/>
          <w:szCs w:val="28"/>
        </w:rPr>
        <w:t>grozījum</w:t>
      </w:r>
      <w:r w:rsidR="008C019A">
        <w:rPr>
          <w:sz w:val="28"/>
          <w:szCs w:val="28"/>
        </w:rPr>
        <w:t>u</w:t>
      </w:r>
      <w:r w:rsidR="00053E1E">
        <w:rPr>
          <w:sz w:val="28"/>
          <w:szCs w:val="28"/>
        </w:rPr>
        <w:t xml:space="preserve"> un papildināt noteikumus ar 8.</w:t>
      </w:r>
      <w:r w:rsidR="00053E1E" w:rsidRPr="00053E1E">
        <w:rPr>
          <w:sz w:val="28"/>
          <w:szCs w:val="28"/>
          <w:vertAlign w:val="superscript"/>
        </w:rPr>
        <w:t>1</w:t>
      </w:r>
      <w:r w:rsidR="00053E1E">
        <w:rPr>
          <w:sz w:val="28"/>
          <w:szCs w:val="28"/>
        </w:rPr>
        <w:t> punktu šādā redakcijā</w:t>
      </w:r>
      <w:r w:rsidR="008C019A">
        <w:rPr>
          <w:sz w:val="28"/>
          <w:szCs w:val="28"/>
        </w:rPr>
        <w:t>:</w:t>
      </w:r>
    </w:p>
    <w:p w14:paraId="43D7E7A3" w14:textId="64045BAB" w:rsidR="008C019A" w:rsidRDefault="008C019A" w:rsidP="00E15D5F">
      <w:pPr>
        <w:ind w:firstLine="720"/>
        <w:jc w:val="both"/>
        <w:rPr>
          <w:sz w:val="28"/>
          <w:szCs w:val="28"/>
        </w:rPr>
      </w:pPr>
    </w:p>
    <w:p w14:paraId="1F115246" w14:textId="22621FF7" w:rsidR="00D91D3E" w:rsidRPr="00053E1E" w:rsidRDefault="00053E1E" w:rsidP="0005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"8.</w:t>
      </w:r>
      <w:r w:rsidRPr="00053E1E">
        <w:rPr>
          <w:sz w:val="28"/>
          <w:szCs w:val="28"/>
          <w:vertAlign w:val="superscript"/>
        </w:rPr>
        <w:t>1</w:t>
      </w:r>
      <w:r w:rsidR="00D91D3E" w:rsidRPr="006B3D2C">
        <w:rPr>
          <w:sz w:val="28"/>
          <w:szCs w:val="28"/>
        </w:rPr>
        <w:t> </w:t>
      </w:r>
      <w:r>
        <w:rPr>
          <w:sz w:val="28"/>
          <w:szCs w:val="28"/>
        </w:rPr>
        <w:t xml:space="preserve">Izdevumus, kas saistīti ar </w:t>
      </w:r>
      <w:r w:rsidR="00D91D3E" w:rsidRPr="006B3D2C">
        <w:rPr>
          <w:rFonts w:eastAsia="Calibri"/>
          <w:sz w:val="28"/>
          <w:szCs w:val="28"/>
        </w:rPr>
        <w:t xml:space="preserve">tiesas un ārpustiesas dokumentu </w:t>
      </w:r>
      <w:r w:rsidR="00BE1A99">
        <w:rPr>
          <w:rFonts w:eastAsia="Calibri"/>
          <w:sz w:val="28"/>
          <w:szCs w:val="28"/>
        </w:rPr>
        <w:t>izsniegšanu</w:t>
      </w:r>
      <w:r w:rsidR="00D91D3E" w:rsidRPr="006B3D2C">
        <w:rPr>
          <w:rFonts w:eastAsia="Calibri"/>
          <w:sz w:val="28"/>
          <w:szCs w:val="28"/>
        </w:rPr>
        <w:t xml:space="preserve"> Latvijā saskaņā ar </w:t>
      </w:r>
      <w:r w:rsidR="00BE1A99" w:rsidRPr="006B3D2C">
        <w:rPr>
          <w:rFonts w:eastAsia="Calibri"/>
          <w:sz w:val="28"/>
          <w:szCs w:val="28"/>
        </w:rPr>
        <w:t xml:space="preserve">Hāgas 1965. gada konvenciju par tiesas un ārpustiesas dokumentu izsniegšanu civillietās un komerclietās </w:t>
      </w:r>
      <w:r w:rsidR="00BE1A99">
        <w:rPr>
          <w:rFonts w:eastAsia="Calibri"/>
          <w:sz w:val="28"/>
          <w:szCs w:val="28"/>
        </w:rPr>
        <w:t xml:space="preserve">un </w:t>
      </w:r>
      <w:r w:rsidR="00D91D3E" w:rsidRPr="006B3D2C">
        <w:rPr>
          <w:rFonts w:eastAsia="Calibri"/>
          <w:sz w:val="28"/>
          <w:szCs w:val="28"/>
        </w:rPr>
        <w:t>Eiropas Parlamenta un Padom</w:t>
      </w:r>
      <w:r w:rsidR="00307C61">
        <w:rPr>
          <w:rFonts w:eastAsia="Calibri"/>
          <w:sz w:val="28"/>
          <w:szCs w:val="28"/>
        </w:rPr>
        <w:t>e</w:t>
      </w:r>
      <w:r w:rsidR="00D91D3E" w:rsidRPr="006B3D2C">
        <w:rPr>
          <w:rFonts w:eastAsia="Calibri"/>
          <w:sz w:val="28"/>
          <w:szCs w:val="28"/>
        </w:rPr>
        <w:t xml:space="preserve">s </w:t>
      </w:r>
      <w:r w:rsidR="006A18E0">
        <w:rPr>
          <w:rFonts w:eastAsia="Calibri"/>
          <w:sz w:val="28"/>
          <w:szCs w:val="28"/>
        </w:rPr>
        <w:t xml:space="preserve">2007. gada 13. novembra </w:t>
      </w:r>
      <w:r w:rsidR="00D91D3E" w:rsidRPr="006B3D2C">
        <w:rPr>
          <w:rFonts w:eastAsia="Calibri"/>
          <w:sz w:val="28"/>
          <w:szCs w:val="28"/>
        </w:rPr>
        <w:t xml:space="preserve">regulu Nr. 1393/2007 </w:t>
      </w:r>
      <w:r w:rsidR="00D91D3E" w:rsidRPr="006B3D2C">
        <w:rPr>
          <w:sz w:val="28"/>
          <w:szCs w:val="28"/>
          <w:lang w:eastAsia="ru-RU"/>
        </w:rPr>
        <w:t xml:space="preserve">par tiesas un ārpustiesas civillietu un komerclietu dokumentu izsniegšanu dalībvalstīs </w:t>
      </w:r>
      <w:proofErr w:type="gramStart"/>
      <w:r w:rsidR="00D91D3E" w:rsidRPr="006B3D2C">
        <w:rPr>
          <w:sz w:val="28"/>
          <w:szCs w:val="28"/>
          <w:lang w:eastAsia="ru-RU"/>
        </w:rPr>
        <w:t>(</w:t>
      </w:r>
      <w:proofErr w:type="gramEnd"/>
      <w:r w:rsidR="00D91D3E" w:rsidRPr="006B3D2C">
        <w:rPr>
          <w:sz w:val="28"/>
          <w:szCs w:val="28"/>
          <w:lang w:eastAsia="ru-RU"/>
        </w:rPr>
        <w:t>dokumentu izsniegšana), un ar ko atceļ Padomes Regulu Nr.</w:t>
      </w:r>
      <w:r w:rsidR="00D91D3E">
        <w:rPr>
          <w:sz w:val="28"/>
          <w:szCs w:val="28"/>
          <w:lang w:eastAsia="ru-RU"/>
        </w:rPr>
        <w:t> </w:t>
      </w:r>
      <w:r w:rsidR="00D91D3E" w:rsidRPr="006B3D2C">
        <w:rPr>
          <w:sz w:val="28"/>
          <w:szCs w:val="28"/>
          <w:lang w:eastAsia="ru-RU"/>
        </w:rPr>
        <w:t>1348/2000</w:t>
      </w:r>
      <w:r w:rsidR="00D91D3E">
        <w:rPr>
          <w:rFonts w:eastAsia="Calibri"/>
          <w:sz w:val="28"/>
          <w:szCs w:val="28"/>
        </w:rPr>
        <w:t xml:space="preserve">, </w:t>
      </w:r>
      <w:r w:rsidR="000814AB">
        <w:rPr>
          <w:rFonts w:eastAsia="Calibri"/>
          <w:sz w:val="28"/>
          <w:szCs w:val="28"/>
        </w:rPr>
        <w:t>sedz 17</w:t>
      </w:r>
      <w:r w:rsidR="006A18E0">
        <w:rPr>
          <w:rFonts w:eastAsia="Calibri"/>
          <w:sz w:val="28"/>
          <w:szCs w:val="28"/>
        </w:rPr>
        <w:t> </w:t>
      </w:r>
      <w:proofErr w:type="spellStart"/>
      <w:r w:rsidR="00D91D3E" w:rsidRPr="006B3D2C">
        <w:rPr>
          <w:rFonts w:eastAsia="Calibri"/>
          <w:i/>
          <w:sz w:val="28"/>
          <w:szCs w:val="28"/>
        </w:rPr>
        <w:t>euro</w:t>
      </w:r>
      <w:proofErr w:type="spellEnd"/>
      <w:r w:rsidR="00D91D3E">
        <w:rPr>
          <w:rFonts w:eastAsia="Calibri"/>
          <w:sz w:val="28"/>
          <w:szCs w:val="28"/>
        </w:rPr>
        <w:t xml:space="preserve"> apmērā</w:t>
      </w:r>
      <w:r>
        <w:rPr>
          <w:rFonts w:eastAsia="Calibri"/>
          <w:sz w:val="28"/>
          <w:szCs w:val="28"/>
        </w:rPr>
        <w:t xml:space="preserve"> </w:t>
      </w:r>
      <w:r w:rsidRPr="00BF1065">
        <w:rPr>
          <w:rFonts w:eastAsia="Calibri"/>
          <w:sz w:val="28"/>
          <w:szCs w:val="28"/>
        </w:rPr>
        <w:t xml:space="preserve">kārtībā, kāda noteikta </w:t>
      </w:r>
      <w:r w:rsidR="0025432A">
        <w:rPr>
          <w:rFonts w:eastAsia="Calibri"/>
          <w:sz w:val="28"/>
          <w:szCs w:val="28"/>
        </w:rPr>
        <w:t>normatīvajā aktā</w:t>
      </w:r>
      <w:r w:rsidR="0025432A" w:rsidRPr="00BF1065">
        <w:rPr>
          <w:rFonts w:eastAsia="Calibri"/>
          <w:sz w:val="28"/>
          <w:szCs w:val="28"/>
        </w:rPr>
        <w:t xml:space="preserve"> </w:t>
      </w:r>
      <w:r w:rsidRPr="00BF1065">
        <w:rPr>
          <w:rFonts w:eastAsia="Calibri"/>
          <w:sz w:val="28"/>
          <w:szCs w:val="28"/>
        </w:rPr>
        <w:t>par zvērināta tiesu izpildītāja veikt</w:t>
      </w:r>
      <w:r w:rsidR="00BF1065" w:rsidRPr="00BF1065">
        <w:rPr>
          <w:rFonts w:eastAsia="Calibri"/>
          <w:sz w:val="28"/>
          <w:szCs w:val="28"/>
        </w:rPr>
        <w:t>u</w:t>
      </w:r>
      <w:r w:rsidRPr="00BF1065">
        <w:rPr>
          <w:rFonts w:eastAsia="Calibri"/>
          <w:sz w:val="28"/>
          <w:szCs w:val="28"/>
        </w:rPr>
        <w:t xml:space="preserve"> dokumentu piegād</w:t>
      </w:r>
      <w:r w:rsidR="00BF1065" w:rsidRPr="00BF1065">
        <w:rPr>
          <w:rFonts w:eastAsia="Calibri"/>
          <w:sz w:val="28"/>
          <w:szCs w:val="28"/>
        </w:rPr>
        <w:t>i</w:t>
      </w:r>
      <w:r w:rsidRPr="00BF1065">
        <w:rPr>
          <w:rFonts w:eastAsia="Calibri"/>
          <w:sz w:val="28"/>
          <w:szCs w:val="28"/>
        </w:rPr>
        <w:t>.</w:t>
      </w:r>
      <w:r w:rsidR="00215B89" w:rsidRPr="00BF1065">
        <w:rPr>
          <w:rFonts w:eastAsia="Calibri"/>
          <w:sz w:val="28"/>
          <w:szCs w:val="28"/>
        </w:rPr>
        <w:t>"</w:t>
      </w:r>
      <w:bookmarkStart w:id="8" w:name="_GoBack"/>
      <w:bookmarkEnd w:id="8"/>
    </w:p>
    <w:p w14:paraId="768E0432" w14:textId="77777777" w:rsidR="00D91D3E" w:rsidRDefault="00D91D3E" w:rsidP="00053E1E">
      <w:pPr>
        <w:jc w:val="both"/>
        <w:rPr>
          <w:rFonts w:eastAsia="Calibri"/>
          <w:sz w:val="28"/>
          <w:szCs w:val="28"/>
        </w:rPr>
      </w:pPr>
    </w:p>
    <w:p w14:paraId="4143D7EB" w14:textId="19EC52EB" w:rsidR="00D91D3E" w:rsidRPr="006B3D2C" w:rsidRDefault="00BE1A99" w:rsidP="00D91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F7011">
        <w:rPr>
          <w:sz w:val="28"/>
          <w:szCs w:val="28"/>
        </w:rPr>
        <w:t>Noteikumi</w:t>
      </w:r>
      <w:r w:rsidR="00D91D3E">
        <w:rPr>
          <w:sz w:val="28"/>
          <w:szCs w:val="28"/>
        </w:rPr>
        <w:t xml:space="preserve"> stājas spēkā 2019. gada 1. janvārī.</w:t>
      </w:r>
    </w:p>
    <w:p w14:paraId="62BF1F9F" w14:textId="5102CE05" w:rsidR="00E101A7" w:rsidRDefault="00E101A7"/>
    <w:p w14:paraId="7E71A3D0" w14:textId="77777777" w:rsidR="00E101A7" w:rsidRPr="00E101A7" w:rsidRDefault="00E101A7" w:rsidP="00E101A7"/>
    <w:p w14:paraId="52DCE2E0" w14:textId="3963759D" w:rsidR="00E101A7" w:rsidRPr="001A70BC" w:rsidRDefault="001A70BC" w:rsidP="00E101A7">
      <w:pPr>
        <w:rPr>
          <w:sz w:val="28"/>
          <w:szCs w:val="28"/>
        </w:rPr>
      </w:pPr>
      <w:r w:rsidRPr="001A70BC">
        <w:rPr>
          <w:sz w:val="28"/>
          <w:szCs w:val="28"/>
        </w:rPr>
        <w:t>Ministru prezidents</w:t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  <w:t>Māris Kučinskis</w:t>
      </w:r>
    </w:p>
    <w:p w14:paraId="59C8F60A" w14:textId="0D93B839" w:rsidR="001A70BC" w:rsidRPr="001A70BC" w:rsidRDefault="001A70BC" w:rsidP="00E101A7">
      <w:pPr>
        <w:rPr>
          <w:sz w:val="28"/>
          <w:szCs w:val="28"/>
        </w:rPr>
      </w:pPr>
    </w:p>
    <w:p w14:paraId="770F2D55" w14:textId="613E983E" w:rsidR="001A70BC" w:rsidRPr="001A70BC" w:rsidRDefault="001A70BC" w:rsidP="00E101A7">
      <w:pPr>
        <w:rPr>
          <w:sz w:val="28"/>
          <w:szCs w:val="28"/>
        </w:rPr>
      </w:pPr>
      <w:r w:rsidRPr="001A70BC">
        <w:rPr>
          <w:sz w:val="28"/>
          <w:szCs w:val="28"/>
        </w:rPr>
        <w:t>Tieslietu ministrs</w:t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  <w:t xml:space="preserve">Dzintars </w:t>
      </w:r>
      <w:r>
        <w:rPr>
          <w:sz w:val="28"/>
          <w:szCs w:val="28"/>
        </w:rPr>
        <w:t>R</w:t>
      </w:r>
      <w:r w:rsidRPr="001A70BC">
        <w:rPr>
          <w:sz w:val="28"/>
          <w:szCs w:val="28"/>
        </w:rPr>
        <w:t>asnačs</w:t>
      </w:r>
    </w:p>
    <w:p w14:paraId="2276D9FC" w14:textId="77777777" w:rsidR="00E101A7" w:rsidRPr="001A70BC" w:rsidRDefault="00E101A7" w:rsidP="00E101A7">
      <w:pPr>
        <w:rPr>
          <w:sz w:val="28"/>
          <w:szCs w:val="28"/>
        </w:rPr>
      </w:pPr>
    </w:p>
    <w:p w14:paraId="33945A2C" w14:textId="77777777" w:rsidR="00E101A7" w:rsidRPr="001A70BC" w:rsidRDefault="00E101A7" w:rsidP="00E101A7">
      <w:pPr>
        <w:rPr>
          <w:sz w:val="28"/>
          <w:szCs w:val="28"/>
        </w:rPr>
      </w:pPr>
    </w:p>
    <w:p w14:paraId="00622228" w14:textId="72D694B6" w:rsidR="00E101A7" w:rsidRPr="001A70BC" w:rsidRDefault="001A70BC" w:rsidP="00E101A7">
      <w:pPr>
        <w:rPr>
          <w:sz w:val="28"/>
          <w:szCs w:val="28"/>
        </w:rPr>
      </w:pPr>
      <w:r w:rsidRPr="001A70BC">
        <w:rPr>
          <w:sz w:val="28"/>
          <w:szCs w:val="28"/>
        </w:rPr>
        <w:t>Iesniedzējs:</w:t>
      </w:r>
    </w:p>
    <w:p w14:paraId="2D13FA23" w14:textId="103F566C" w:rsidR="001A70BC" w:rsidRPr="001A70BC" w:rsidRDefault="001A70BC" w:rsidP="00E101A7">
      <w:pPr>
        <w:rPr>
          <w:sz w:val="28"/>
          <w:szCs w:val="28"/>
        </w:rPr>
      </w:pPr>
      <w:r w:rsidRPr="001A70BC">
        <w:rPr>
          <w:sz w:val="28"/>
          <w:szCs w:val="28"/>
        </w:rPr>
        <w:t xml:space="preserve">Tieslietu ministrijas </w:t>
      </w:r>
    </w:p>
    <w:p w14:paraId="29A82EF8" w14:textId="7F6ADF93" w:rsidR="00111DCC" w:rsidRPr="00C21ECD" w:rsidRDefault="001A70BC" w:rsidP="00095F4A">
      <w:r w:rsidRPr="001A70BC">
        <w:rPr>
          <w:sz w:val="28"/>
          <w:szCs w:val="28"/>
        </w:rPr>
        <w:t>valsts sekretārs</w:t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  <w:t>Raivis Kronbergs</w:t>
      </w:r>
    </w:p>
    <w:sectPr w:rsidR="00111DCC" w:rsidRPr="00C21ECD" w:rsidSect="00095F4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5014" w14:textId="77777777" w:rsidR="00C75362" w:rsidRDefault="00C6019D">
      <w:r>
        <w:separator/>
      </w:r>
    </w:p>
  </w:endnote>
  <w:endnote w:type="continuationSeparator" w:id="0">
    <w:p w14:paraId="133014E4" w14:textId="77777777" w:rsidR="00C75362" w:rsidRDefault="00C6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F22C" w14:textId="124792E0" w:rsidR="000547ED" w:rsidRPr="00E101A7" w:rsidRDefault="00AE1129" w:rsidP="00E101A7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</w:t>
    </w:r>
    <w:r w:rsidR="00E101A7">
      <w:rPr>
        <w:sz w:val="20"/>
        <w:szCs w:val="20"/>
      </w:rPr>
      <w:t>n</w:t>
    </w:r>
    <w:r>
      <w:rPr>
        <w:sz w:val="20"/>
        <w:szCs w:val="20"/>
      </w:rPr>
      <w:t>ot_</w:t>
    </w:r>
    <w:r w:rsidR="00E101A7">
      <w:rPr>
        <w:sz w:val="20"/>
        <w:szCs w:val="20"/>
      </w:rPr>
      <w:t>180718</w:t>
    </w:r>
    <w:r>
      <w:rPr>
        <w:sz w:val="20"/>
        <w:szCs w:val="20"/>
      </w:rPr>
      <w:t>_</w:t>
    </w:r>
    <w:r w:rsidR="00E101A7">
      <w:rPr>
        <w:sz w:val="20"/>
        <w:szCs w:val="20"/>
      </w:rPr>
      <w:t>piegade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C28F" w14:textId="29E3F60E" w:rsidR="00E101A7" w:rsidRPr="00A25B9A" w:rsidRDefault="00C6019D" w:rsidP="00A25B9A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</w:t>
    </w:r>
    <w:r w:rsidR="00AE1129">
      <w:rPr>
        <w:sz w:val="20"/>
        <w:szCs w:val="20"/>
      </w:rPr>
      <w:t>ot_</w:t>
    </w:r>
    <w:r w:rsidR="00095F4A">
      <w:rPr>
        <w:sz w:val="20"/>
        <w:szCs w:val="20"/>
      </w:rPr>
      <w:t>2</w:t>
    </w:r>
    <w:r w:rsidR="00871C2A">
      <w:rPr>
        <w:sz w:val="20"/>
        <w:szCs w:val="20"/>
      </w:rPr>
      <w:t>9</w:t>
    </w:r>
    <w:r w:rsidR="00004C51">
      <w:rPr>
        <w:sz w:val="20"/>
        <w:szCs w:val="20"/>
      </w:rPr>
      <w:t>10</w:t>
    </w:r>
    <w:r w:rsidR="00A25B9A">
      <w:rPr>
        <w:sz w:val="20"/>
        <w:szCs w:val="20"/>
      </w:rPr>
      <w:t>18</w:t>
    </w:r>
    <w:r w:rsidR="00AE1129">
      <w:rPr>
        <w:sz w:val="20"/>
        <w:szCs w:val="20"/>
      </w:rPr>
      <w:t>_</w:t>
    </w:r>
    <w:r w:rsidR="00E101A7">
      <w:rPr>
        <w:sz w:val="20"/>
        <w:szCs w:val="20"/>
      </w:rPr>
      <w:t>izdevumi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5ED3" w14:textId="77777777" w:rsidR="00C75362" w:rsidRDefault="00C6019D">
      <w:r>
        <w:separator/>
      </w:r>
    </w:p>
  </w:footnote>
  <w:footnote w:type="continuationSeparator" w:id="0">
    <w:p w14:paraId="744AB961" w14:textId="77777777" w:rsidR="00C75362" w:rsidRDefault="00C6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8F86" w14:textId="77777777" w:rsidR="000547ED" w:rsidRDefault="00AE1129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493FCF2" w14:textId="77777777" w:rsidR="000547ED" w:rsidRDefault="00A8641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3348" w14:textId="51B4C2F1" w:rsidR="000547ED" w:rsidRDefault="00AE1129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019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8FA3568" w14:textId="77777777" w:rsidR="000547ED" w:rsidRDefault="00A86416">
    <w:pPr>
      <w:pStyle w:val="Galvene"/>
    </w:pPr>
  </w:p>
  <w:p w14:paraId="61DFD855" w14:textId="77777777" w:rsidR="000547ED" w:rsidRDefault="00A8641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2B95"/>
    <w:multiLevelType w:val="hybridMultilevel"/>
    <w:tmpl w:val="5FF46DDA"/>
    <w:lvl w:ilvl="0" w:tplc="71649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13AC"/>
    <w:multiLevelType w:val="hybridMultilevel"/>
    <w:tmpl w:val="8C10E382"/>
    <w:lvl w:ilvl="0" w:tplc="314C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3E"/>
    <w:rsid w:val="00004C51"/>
    <w:rsid w:val="00053E1E"/>
    <w:rsid w:val="000814AB"/>
    <w:rsid w:val="00095F4A"/>
    <w:rsid w:val="000B1F14"/>
    <w:rsid w:val="00111DCC"/>
    <w:rsid w:val="00145150"/>
    <w:rsid w:val="0018352B"/>
    <w:rsid w:val="0018796B"/>
    <w:rsid w:val="001A70BC"/>
    <w:rsid w:val="001B2ABB"/>
    <w:rsid w:val="001C07E8"/>
    <w:rsid w:val="00215B89"/>
    <w:rsid w:val="0025432A"/>
    <w:rsid w:val="00255FA0"/>
    <w:rsid w:val="002F7011"/>
    <w:rsid w:val="00307C61"/>
    <w:rsid w:val="004D6733"/>
    <w:rsid w:val="00625C10"/>
    <w:rsid w:val="0068564A"/>
    <w:rsid w:val="006866EC"/>
    <w:rsid w:val="006A18E0"/>
    <w:rsid w:val="006B4300"/>
    <w:rsid w:val="006C084B"/>
    <w:rsid w:val="006D26CE"/>
    <w:rsid w:val="00707FB7"/>
    <w:rsid w:val="007543CF"/>
    <w:rsid w:val="007D6AF7"/>
    <w:rsid w:val="00871C2A"/>
    <w:rsid w:val="00891E7F"/>
    <w:rsid w:val="008B0EC9"/>
    <w:rsid w:val="008C019A"/>
    <w:rsid w:val="00901965"/>
    <w:rsid w:val="00A25B9A"/>
    <w:rsid w:val="00A86416"/>
    <w:rsid w:val="00AE1129"/>
    <w:rsid w:val="00B07318"/>
    <w:rsid w:val="00BE1A99"/>
    <w:rsid w:val="00BF1065"/>
    <w:rsid w:val="00C21ECD"/>
    <w:rsid w:val="00C6019D"/>
    <w:rsid w:val="00C75362"/>
    <w:rsid w:val="00CA6939"/>
    <w:rsid w:val="00D91D3E"/>
    <w:rsid w:val="00DB7A14"/>
    <w:rsid w:val="00DD77B1"/>
    <w:rsid w:val="00E05388"/>
    <w:rsid w:val="00E101A7"/>
    <w:rsid w:val="00E15D5F"/>
    <w:rsid w:val="00F34F62"/>
    <w:rsid w:val="00F74559"/>
    <w:rsid w:val="00FD7E18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CDDAB"/>
  <w15:chartTrackingRefBased/>
  <w15:docId w15:val="{60BDC3FE-04C2-43F3-8347-6A763FD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9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91D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91D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D91D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91D3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91D3E"/>
  </w:style>
  <w:style w:type="character" w:styleId="Komentraatsauce">
    <w:name w:val="annotation reference"/>
    <w:basedOn w:val="Noklusjumarindkopasfonts"/>
    <w:uiPriority w:val="99"/>
    <w:semiHidden/>
    <w:unhideWhenUsed/>
    <w:rsid w:val="00D91D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1D3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1D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91D3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91D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1D3E"/>
    <w:rPr>
      <w:rFonts w:ascii="Segoe UI" w:eastAsia="Times New Roman" w:hAnsi="Segoe UI" w:cs="Segoe UI"/>
      <w:sz w:val="18"/>
      <w:szCs w:val="18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14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14A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6A18E0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 gada 7. janvāra noteikumos Nr. 9 "Noteikumi par izpildu darbību veikšanai nepieciešamajiem izdevumiem"</vt:lpstr>
    </vt:vector>
  </TitlesOfParts>
  <Company>Tieslietu ministrija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7. janvāra noteikumos Nr. 9 "Noteikumi par izpildu darbību veikšanai nepieciešamajiem izdevumiem"</dc:title>
  <dc:subject>Noteikumu projekts</dc:subject>
  <dc:creator>Evija Timpare</dc:creator>
  <cp:keywords/>
  <dc:description>67036829, Evija.Timpare@tm.gov.lv</dc:description>
  <cp:lastModifiedBy>Evija Timpare</cp:lastModifiedBy>
  <cp:revision>2</cp:revision>
  <cp:lastPrinted>2018-10-25T06:58:00Z</cp:lastPrinted>
  <dcterms:created xsi:type="dcterms:W3CDTF">2018-10-29T11:30:00Z</dcterms:created>
  <dcterms:modified xsi:type="dcterms:W3CDTF">2018-10-29T11:30:00Z</dcterms:modified>
</cp:coreProperties>
</file>